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p w:rsidR="00A77B3E">
      <w:pPr>
        <w:pStyle w:val="Interstitial1"/>
      </w:pP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07/12/2016</w:t>
      </w:r>
      <w:r>
        <w:rPr>
          <w:rStyle w:val="HideTWBInt"/>
        </w:rPr>
        <w:t>}</w:t>
      </w:r>
      <w:r>
        <w:t>7.12.2016</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A8-0344</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313</w:t>
      </w:r>
      <w:r>
        <w:rPr>
          <w:rStyle w:val="HideTWBExt"/>
        </w:rPr>
        <w:t>&lt;/</w:t>
      </w:r>
      <w:r>
        <w:rPr>
          <w:rStyle w:val="HideTWBExt"/>
        </w:rPr>
        <w:t>NumAm</w:t>
      </w:r>
      <w:r>
        <w:rPr>
          <w:rStyle w:val="HideTWBExt"/>
        </w:rPr>
        <w:t>&gt;</w:t>
      </w:r>
    </w:p>
    <w:p>
      <w:pPr>
        <w:pStyle w:val="AMNumberTabs"/>
      </w:pPr>
      <w:r>
        <w:t>Pozměňovací návrh</w:t>
      </w:r>
      <w:r>
        <w:tab/>
      </w:r>
      <w:r>
        <w:tab/>
      </w:r>
      <w:r>
        <w:rPr>
          <w:rStyle w:val="HideTWBExt"/>
        </w:rPr>
        <w:t>&lt;</w:t>
      </w:r>
      <w:r>
        <w:rPr>
          <w:rStyle w:val="HideTWBExt"/>
        </w:rPr>
        <w:t>NumAm</w:t>
      </w:r>
      <w:r>
        <w:rPr>
          <w:rStyle w:val="HideTWBExt"/>
        </w:rPr>
        <w:t>&gt;</w:t>
      </w:r>
      <w:r>
        <w:t>313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Isabella Adinolfi</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EFDD</w:t>
      </w:r>
      <w:r>
        <w:rPr>
          <w:rStyle w:val="HideTWBInt"/>
        </w:rPr>
        <w:t>}</w:t>
      </w:r>
      <w:r>
        <w:t xml:space="preserve">za skupinu </w:t>
      </w:r>
      <w:r>
        <w:t>EFDD</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Ashley Fox</w:t>
      </w:r>
      <w:r>
        <w:t xml:space="preserve">, </w:t>
      </w:r>
      <w:r>
        <w:t>Kazimierz Michał Ujazdowski</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 xml:space="preserve">za skupinu </w:t>
      </w:r>
      <w:r>
        <w:t>ECR</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Helmut Scholz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Zpráva</w:t>
      </w:r>
      <w:r>
        <w:rPr>
          <w:rStyle w:val="HideTWBExt"/>
        </w:rPr>
        <w:t>&lt;/</w:t>
      </w:r>
      <w:r>
        <w:rPr>
          <w:rStyle w:val="HideTWBExt"/>
        </w:rPr>
        <w:t>TitreType</w:t>
      </w:r>
      <w:r>
        <w:rPr>
          <w:rStyle w:val="HideTWBExt"/>
        </w:rPr>
        <w:t>&gt;</w:t>
      </w:r>
      <w:r>
        <w:tab/>
      </w:r>
      <w:r>
        <w:t>A8-0344/2016</w:t>
      </w:r>
    </w:p>
    <w:p>
      <w:pPr>
        <w:pStyle w:val="NormalBold"/>
      </w:pPr>
      <w:r>
        <w:rPr>
          <w:rStyle w:val="HideTWBExt"/>
        </w:rPr>
        <w:t>&lt;</w:t>
      </w:r>
      <w:r>
        <w:rPr>
          <w:rStyle w:val="HideTWBExt"/>
        </w:rPr>
        <w:t>Rapporteur</w:t>
      </w:r>
      <w:r>
        <w:rPr>
          <w:rStyle w:val="HideTWBExt"/>
        </w:rPr>
        <w:t>&gt;</w:t>
      </w:r>
      <w:r>
        <w:t>Richard Corbett</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Celková revize jednacího řádu Evropského parlamentu</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2016/2114(REG)</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Jednací řád</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Příloha 2 - čl. 15 - odst. 1 - pododst.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Platné znění</w:t>
            </w:r>
          </w:p>
        </w:tc>
        <w:tc>
          <w:tcPr/>
          <w:p>
            <w:pPr>
              <w:pStyle w:val="ColumnHeading"/>
            </w:pPr>
            <w:r>
              <w:t>Pozměňovací návrh</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Předseda, místopředsedové a kvestoři jsou voleni tajným hlasováním v souladu s článkem 182. Nominace se podávají se souhlasem kandidátů. Návrhy mohou podávat pouze politické skupiny nebo nejméně čtyřicet poslanců. Jestliže však počet kandidátů nepřesáhne počet volných míst, mohou být kandidáti zvoleni aklamací.</w:t>
            </w:r>
          </w:p>
        </w:tc>
        <w:tc>
          <w:tcPr/>
          <w:p>
            <w:pPr>
              <w:pStyle w:val="Normal6"/>
            </w:pPr>
            <w:r>
              <w:t xml:space="preserve">Předseda, místopředsedové a kvestoři jsou voleni tajným hlasováním v souladu s článkem 182. Nominace se podávají se souhlasem kandidátů. Návrhy mohou podávat pouze politické skupiny nebo nejméně čtyřicet poslanců. Jestliže však počet kandidátů nepřesáhne počet volných míst, mohou být kandidáti zvoleni aklamací. </w:t>
            </w:r>
            <w:r>
              <w:rPr>
                <w:rFonts w:ascii="Times New Roman" w:eastAsia="Times New Roman" w:hAnsi="Times New Roman" w:cs="Times New Roman"/>
                <w:b/>
                <w:i/>
                <w:strike w:val="0"/>
                <w:color w:val="000000"/>
                <w:sz w:val="24"/>
                <w:highlight w:val="none"/>
                <w:u w:val="none" w:color="auto"/>
              </w:rPr>
              <w:t>Poslanec může vykonávat funkci předsedy nejvýše po dvě funkční období podle čl. 19 odst. 1, bez ohledu na to, zda tato období následují bezprostředně po sobě či nikoli.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JustificationTitle"/>
      </w:pPr>
      <w:r>
        <w:rPr>
          <w:rStyle w:val="HideTWBExt"/>
        </w:rPr>
        <w:t>&lt;</w:t>
      </w:r>
      <w:r>
        <w:rPr>
          <w:rStyle w:val="HideTWBExt"/>
        </w:rPr>
        <w:t>TitreJust</w:t>
      </w:r>
      <w:r>
        <w:rPr>
          <w:rStyle w:val="HideTWBExt"/>
        </w:rPr>
        <w:t>&gt;</w:t>
      </w:r>
      <w:r>
        <w:t>Odůvodnění</w:t>
      </w:r>
      <w:r>
        <w:rPr>
          <w:rStyle w:val="HideTWBExt"/>
        </w:rPr>
        <w:t>&lt;/</w:t>
      </w:r>
      <w:r>
        <w:rPr>
          <w:rStyle w:val="HideTWBExt"/>
        </w:rPr>
        <w:t>TitreJust</w:t>
      </w:r>
      <w:r>
        <w:rPr>
          <w:rStyle w:val="HideTWBExt"/>
        </w:rPr>
        <w:t>&gt;</w:t>
      </w:r>
    </w:p>
    <w:p>
      <w:pPr>
        <w:pStyle w:val="Normal12Italic"/>
      </w:pPr>
      <w:r>
        <w:t>Myslíme, že v době, kdy kritizujeme koncentraci moci v několika zemích na světě, by tato změna nejen vdechla nový život do vedení Parlamentu, ale byla by také ukázkou toho, že Parlament se hodlá řídit demokratickými hodnotami. Kromě toho by posílila mechanismy, které kontrolují výkon funkce jednoho z našich nejvíce viditelných představitelů. Protože na dva a půl roku je volen také předseda Evropské rady (s možností jednoho opětovného zvolení), bylo by logické, aby pro předsedu Evropského parlamentu platila stejná pravidla.</w:t>
      </w:r>
    </w:p>
    <w:p>
      <w:pPr>
        <w:pStyle w:val="Normal12Italic"/>
      </w:pPr>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4"/>
      <w:footerReference w:type="default" r:id="rId5"/>
      <w:footerReference w:type="first" r:id="rId6"/>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AM\1112149CS.docx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596.594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CS</w:t>
    </w:r>
    <w:r>
      <w:tab/>
    </w:r>
    <w:r>
      <w:rPr>
        <w:rStyle w:val="Footer2Middle"/>
      </w:rPr>
      <w:t>Jednotná v rozmanitosti</w:t>
    </w:r>
    <w:r>
      <w:tab/>
    </w:r>
    <w:r>
      <w:t>CS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AM\1112149CS.docx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596.594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CS</w:t>
    </w:r>
    <w:r>
      <w:tab/>
    </w:r>
    <w:r>
      <w:rPr>
        <w:rStyle w:val="Footer2Middle"/>
      </w:rPr>
      <w:t>Jednotná v rozmanitosti</w:t>
    </w:r>
    <w:r>
      <w:tab/>
    </w:r>
    <w:r>
      <w:t>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AM\1112149CS.docx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596.594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CS</w:t>
    </w:r>
    <w:r>
      <w:tab/>
    </w:r>
    <w:r>
      <w:rPr>
        <w:rStyle w:val="Footer2Middle"/>
      </w:rPr>
      <w:t>Jednotná v rozmanitosti</w:t>
    </w:r>
    <w:r>
      <w:tab/>
    </w:r>
    <w:r>
      <w:t>CS</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eastAsia="Times New Roman" w:hAnsi="Cambria" w:cs="Times New Roman"/>
      <w:color w:val="365F91" w:themeShade="B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6"/>
        <w:tab w:val="right" w:pos="9072"/>
      </w:tabs>
      <w:spacing w:before="240" w:after="240"/>
    </w:pPr>
    <w:rPr>
      <w:sz w:val="22"/>
      <w:szCs w:val="24"/>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pPr>
      <w:tabs>
        <w:tab w:val="center" w:pos="4535"/>
        <w:tab w:val="right" w:pos="9072"/>
        <w:tab w:val="right" w:pos="9923"/>
      </w:tabs>
      <w:spacing w:before="0" w:after="0" w:line="480" w:lineRule="auto"/>
      <w:ind w:left="-851" w:right="-284"/>
    </w:pPr>
    <w:rPr>
      <w:rFonts w:ascii="Arial" w:eastAsia="Arial" w:hAnsi="Arial" w:cs="Arial"/>
      <w:b/>
      <w:color w:val="000000"/>
      <w:sz w:val="48"/>
      <w:szCs w:val="24"/>
    </w:rPr>
  </w:style>
  <w:style w:type="paragraph" w:customStyle="1" w:styleId="Footer2Landscape">
    <w:name w:val="Footer2Landscape"/>
    <w:qFormat/>
    <w:rsid w:val="002F0BDD"/>
    <w:pPr>
      <w:tabs>
        <w:tab w:val="center" w:pos="4535"/>
        <w:tab w:val="center" w:pos="6804"/>
        <w:tab w:val="clear" w:pos="9072"/>
        <w:tab w:val="clear" w:pos="9923"/>
        <w:tab w:val="center" w:pos="13608"/>
      </w:tabs>
      <w:spacing w:before="0" w:after="0"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lear" w:pos="9072"/>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szCs w:val="24"/>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szCs w:val="24"/>
    </w:rPr>
  </w:style>
  <w:style w:type="paragraph" w:styleId="Header">
    <w:name w:val="header"/>
    <w:basedOn w:val="Normal"/>
    <w:link w:val="HeaderChar"/>
    <w:rsid w:val="00173229"/>
    <w:pPr>
      <w:tabs>
        <w:tab w:val="center" w:pos="4513"/>
        <w:tab w:val="right" w:pos="9026"/>
      </w:tabs>
    </w:pPr>
    <w:rPr>
      <w:sz w:val="24"/>
      <w:szCs w:val="24"/>
    </w:r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rPr>
      <w:sz w:val="24"/>
      <w:szCs w:val="24"/>
    </w:rPr>
  </w:style>
  <w:style w:type="character" w:customStyle="1" w:styleId="Heading2Char">
    <w:name w:val="Heading 2 Char"/>
    <w:basedOn w:val="DefaultParagraphFont"/>
    <w:link w:val="Heading2"/>
    <w:rsid w:val="00D311CB"/>
    <w:rPr>
      <w:rFonts w:ascii="Cambria" w:eastAsia="Times New Roman" w:hAnsi="Cambria" w:cs="Times New Roman"/>
      <w:color w:val="365F91" w:themeShade="BF"/>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themeShade="BF"/>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eastAsia="Times New Roman" w:hAnsi="Cambria" w:cs="Times New Roman"/>
      <w:color w:val="365F91" w:themeShade="BF"/>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E24A24"/>
    <w:pPr>
      <w:tabs>
        <w:tab w:val="right" w:pos="9072"/>
      </w:tabs>
      <w:spacing w:before="0" w:after="0"/>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sz w:val="24"/>
      <w:szCs w:val="24"/>
    </w:rPr>
  </w:style>
  <w:style w:type="paragraph" w:customStyle="1" w:styleId="Normal12Italic">
    <w:name w:val="Normal12Italic"/>
    <w:pPr>
      <w:tabs>
        <w:tab w:val="right" w:pos="9072"/>
      </w:tabs>
      <w:spacing w:before="0" w:after="0"/>
      <w:ind w:right="-284"/>
    </w:pPr>
    <w:rPr>
      <w:i/>
      <w:color w:val="000000"/>
      <w:sz w:val="22"/>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szCs w:val="24"/>
    </w:rPr>
  </w:style>
  <w:style w:type="paragraph" w:customStyle="1" w:styleId="PERight">
    <w:name w:val="PERight"/>
    <w:basedOn w:val="Normal"/>
    <w:next w:val="Normal"/>
    <w:pPr>
      <w:spacing w:line="220" w:lineRule="auto"/>
      <w:jc w:val="right"/>
    </w:pPr>
    <w:rPr>
      <w:rFonts w:ascii="Arial" w:eastAsia="Arial" w:hAnsi="Arial" w:cs="Arial"/>
      <w:color w:val="000000"/>
      <w:sz w:val="22"/>
      <w:szCs w:val="24"/>
    </w:rPr>
  </w:style>
  <w:style w:type="paragraph" w:customStyle="1" w:styleId="ProjRap">
    <w:name w:val="ProjRap"/>
    <w:basedOn w:val="Normal"/>
    <w:rsid w:val="00D311CB"/>
    <w:pPr>
      <w:widowControl w:val="0"/>
      <w:tabs>
        <w:tab w:val="right" w:pos="9072"/>
        <w:tab w:val="right" w:pos="13608"/>
      </w:tabs>
      <w:ind w:right="-284"/>
    </w:pPr>
    <w:rPr>
      <w:b/>
      <w:snapToGrid w:val="0"/>
      <w:sz w:val="24"/>
      <w:szCs w:val="20"/>
      <w:lang w:val="fr-FR"/>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pPr>
      <w:spacing w:after="240"/>
      <w:jc w:val="right"/>
    </w:pPr>
    <w:rPr>
      <w:rFonts w:ascii="Arial" w:eastAsia="Arial" w:hAnsi="Arial" w:cs="Arial"/>
      <w:b/>
      <w:caps/>
      <w:color w:val="000000"/>
      <w:sz w:val="22"/>
      <w:szCs w:val="24"/>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AM_Ple_Rules</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CS</vt:lpwstr>
  </property>
  <property fmtid="{D5CDD505-2E9C-101B-9397-08002B2CF9AE}" pid="3" name="&lt;FdR&gt;">
    <vt:lpwstr>1112149</vt:lpwstr>
  </property>
  <property fmtid="{D5CDD505-2E9C-101B-9397-08002B2CF9AE}" pid="4" name="&lt;FooterPath&gt;">
    <vt:lpwstr>AM\1112149CS.doc</vt:lpwstr>
  </property>
  <property fmtid="{D5CDD505-2E9C-101B-9397-08002B2CF9AE}" pid="5" name="&lt;Model&gt;">
    <vt:lpwstr>AM_Ple_Rules</vt:lpwstr>
  </property>
  <property fmtid="{D5CDD505-2E9C-101B-9397-08002B2CF9AE}" pid="6" name="&lt;Type&gt;">
    <vt:lpwstr>AM</vt:lpwstr>
  </property>
  <property fmtid="{D5CDD505-2E9C-101B-9397-08002B2CF9AE}" pid="7" name="DMXMLUID">
    <vt:lpwstr>20161209-110821-000336-557840</vt:lpwstr>
  </property>
  <property fmtid="{D5CDD505-2E9C-101B-9397-08002B2CF9AE}" pid="8" name="PE Number">
    <vt:lpwstr>596.594</vt:lpwstr>
  </property>
  <property fmtid="{D5CDD505-2E9C-101B-9397-08002B2CF9AE}" pid="9" name="UID">
    <vt:lpwstr>eu.europa.europarl-DIN1-2016-0000083852_01.00-cs-01.00_text-xml</vt:lpwstr>
  </property>
</Properties>
</file>