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 -->
  <w:body>
    <w:p w:rsidR="00A77B3E">
      <w:pPr>
        <w:pStyle w:val="Interstitial1"/>
      </w:pPr>
      <w:r>
        <w:rPr>
          <w:rStyle w:val="HideTWBExt"/>
        </w:rPr>
        <w:t>&lt;</w:t>
      </w:r>
      <w:r>
        <w:rPr>
          <w:rStyle w:val="HideTWBExt"/>
        </w:rPr>
        <w:t>RepeatBlock-Amend</w:t>
      </w:r>
      <w:r>
        <w:rPr>
          <w:rStyle w:val="HideTWBExt"/>
        </w:rPr>
        <w:t>&gt;</w:t>
      </w:r>
      <w:r>
        <w:rPr>
          <w:rStyle w:val="HideTWBExt"/>
        </w:rPr>
        <w:t>&lt;</w:t>
      </w:r>
      <w:r>
        <w:rPr>
          <w:rStyle w:val="HideTWBExt"/>
        </w:rPr>
        <w:t>Amend</w:t>
      </w:r>
      <w:r>
        <w:rPr>
          <w:rStyle w:val="HideTWBExt"/>
        </w:rPr>
        <w:t>&gt;</w:t>
      </w:r>
      <w:r>
        <w:rPr>
          <w:rStyle w:val="HideTWBExt"/>
        </w:rPr>
        <w:t>&lt;</w:t>
      </w:r>
      <w:r>
        <w:rPr>
          <w:rStyle w:val="HideTWBExt"/>
        </w:rPr>
        <w:t>Date</w:t>
      </w:r>
      <w:r>
        <w:rPr>
          <w:rStyle w:val="HideTWBExt"/>
        </w:rPr>
        <w:t>&gt;</w:t>
      </w:r>
      <w:r>
        <w:rPr>
          <w:rStyle w:val="HideTWBInt"/>
        </w:rPr>
        <w:t>{</w:t>
      </w:r>
      <w:r>
        <w:rPr>
          <w:rStyle w:val="HideTWBInt"/>
        </w:rPr>
        <w:t>07/12/2016</w:t>
      </w:r>
      <w:r>
        <w:rPr>
          <w:rStyle w:val="HideTWBInt"/>
        </w:rPr>
        <w:t>}</w:t>
      </w:r>
      <w:r>
        <w:t>7.12.2016</w:t>
      </w:r>
      <w:r>
        <w:rPr>
          <w:rStyle w:val="HideTWBExt"/>
        </w:rPr>
        <w:t>&lt;/</w:t>
      </w:r>
      <w:r>
        <w:rPr>
          <w:rStyle w:val="HideTWBExt"/>
        </w:rPr>
        <w:t>Date</w:t>
      </w:r>
      <w:r>
        <w:rPr>
          <w:rStyle w:val="HideTWBExt"/>
        </w:rPr>
        <w:t>&gt;</w:t>
      </w:r>
      <w:r>
        <w:tab/>
      </w:r>
      <w:r>
        <w:rPr>
          <w:rStyle w:val="HideTWBExt"/>
        </w:rPr>
        <w:t>&lt;</w:t>
      </w:r>
      <w:r>
        <w:rPr>
          <w:rStyle w:val="HideTWBExt"/>
        </w:rPr>
        <w:t>ANo</w:t>
      </w:r>
      <w:r>
        <w:rPr>
          <w:rStyle w:val="HideTWBExt"/>
        </w:rPr>
        <w:t>&gt;</w:t>
      </w:r>
      <w:r>
        <w:t>A8-0358</w:t>
      </w:r>
      <w:r>
        <w:rPr>
          <w:rStyle w:val="HideTWBExt"/>
        </w:rPr>
        <w:t>&lt;/</w:t>
      </w:r>
      <w:r>
        <w:rPr>
          <w:rStyle w:val="HideTWBExt"/>
        </w:rPr>
        <w:t>ANo</w:t>
      </w:r>
      <w:r>
        <w:rPr>
          <w:rStyle w:val="HideTWBExt"/>
        </w:rPr>
        <w:t>&gt;</w:t>
      </w:r>
      <w:r>
        <w:t>/</w:t>
      </w:r>
      <w:r>
        <w:rPr>
          <w:rStyle w:val="HideTWBExt"/>
        </w:rPr>
        <w:t>&lt;</w:t>
      </w:r>
      <w:r>
        <w:rPr>
          <w:rStyle w:val="HideTWBExt"/>
        </w:rPr>
        <w:t>NumAm</w:t>
      </w:r>
      <w:r>
        <w:rPr>
          <w:rStyle w:val="HideTWBExt"/>
        </w:rPr>
        <w:t>&gt;</w:t>
      </w:r>
      <w:r>
        <w:t>11</w:t>
      </w:r>
      <w:r>
        <w:rPr>
          <w:rStyle w:val="HideTWBExt"/>
        </w:rPr>
        <w:t>&lt;/</w:t>
      </w:r>
      <w:r>
        <w:rPr>
          <w:rStyle w:val="HideTWBExt"/>
        </w:rPr>
        <w:t>NumAm</w:t>
      </w:r>
      <w:r>
        <w:rPr>
          <w:rStyle w:val="HideTWBExt"/>
        </w:rPr>
        <w:t>&gt;</w:t>
      </w:r>
    </w:p>
    <w:p>
      <w:pPr>
        <w:pStyle w:val="AMNumberTabs"/>
      </w:pPr>
      <w:r>
        <w:t>Tarkistus</w:t>
      </w:r>
      <w:r>
        <w:tab/>
      </w:r>
      <w:r>
        <w:tab/>
      </w:r>
      <w:r>
        <w:rPr>
          <w:rStyle w:val="HideTWBExt"/>
        </w:rPr>
        <w:t>&lt;</w:t>
      </w:r>
      <w:r>
        <w:rPr>
          <w:rStyle w:val="HideTWBExt"/>
        </w:rPr>
        <w:t>NumAm</w:t>
      </w:r>
      <w:r>
        <w:rPr>
          <w:rStyle w:val="HideTWBExt"/>
        </w:rPr>
        <w:t>&gt;</w:t>
      </w:r>
      <w:r>
        <w:t>11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Jakop Dalunde</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Verts/ALE</w:t>
      </w:r>
      <w:r>
        <w:rPr>
          <w:rStyle w:val="HideTWBInt"/>
        </w:rPr>
        <w:t>}</w:t>
      </w:r>
      <w:r>
        <w:t>Verts/ALE</w:t>
      </w:r>
      <w:r>
        <w:t>-ryhmän puolesta</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ProjRap"/>
      </w:pPr>
      <w:r>
        <w:rPr>
          <w:rStyle w:val="HideTWBExt"/>
        </w:rPr>
        <w:t>&lt;</w:t>
      </w:r>
      <w:r>
        <w:rPr>
          <w:rStyle w:val="HideTWBExt"/>
        </w:rPr>
        <w:t>TitreType</w:t>
      </w:r>
      <w:r>
        <w:rPr>
          <w:rStyle w:val="HideTWBExt"/>
        </w:rPr>
        <w:t>&gt;</w:t>
      </w:r>
      <w:r>
        <w:t>Mietintö</w:t>
      </w:r>
      <w:r>
        <w:rPr>
          <w:rStyle w:val="HideTWBExt"/>
        </w:rPr>
        <w:t>&lt;/</w:t>
      </w:r>
      <w:r>
        <w:rPr>
          <w:rStyle w:val="HideTWBExt"/>
        </w:rPr>
        <w:t>TitreType</w:t>
      </w:r>
      <w:r>
        <w:rPr>
          <w:rStyle w:val="HideTWBExt"/>
        </w:rPr>
        <w:t>&gt;</w:t>
      </w:r>
      <w:r>
        <w:tab/>
      </w:r>
      <w:r>
        <w:t>A8-0358/2016</w:t>
      </w:r>
    </w:p>
    <w:p>
      <w:pPr>
        <w:pStyle w:val="NormalBold"/>
      </w:pPr>
      <w:r>
        <w:rPr>
          <w:rStyle w:val="HideTWBExt"/>
        </w:rPr>
        <w:t>&lt;</w:t>
      </w:r>
      <w:r>
        <w:rPr>
          <w:rStyle w:val="HideTWBExt"/>
        </w:rPr>
        <w:t>Rapporteur</w:t>
      </w:r>
      <w:r>
        <w:rPr>
          <w:rStyle w:val="HideTWBExt"/>
        </w:rPr>
        <w:t>&gt;</w:t>
      </w:r>
      <w:r>
        <w:t>Jerzy Buzek</w:t>
      </w:r>
      <w:r>
        <w:rPr>
          <w:rStyle w:val="HideTWBExt"/>
        </w:rPr>
        <w:t>&lt;/</w:t>
      </w:r>
      <w:r>
        <w:rPr>
          <w:rStyle w:val="HideTWBExt"/>
        </w:rPr>
        <w:t>Rapporteur</w:t>
      </w:r>
      <w:r>
        <w:rPr>
          <w:rStyle w:val="HideTWBExt"/>
        </w:rPr>
        <w:t>&gt;</w:t>
      </w:r>
    </w:p>
    <w:p>
      <w:pPr>
        <w:pStyle w:val="Normal12"/>
      </w:pPr>
      <w:r>
        <w:rPr>
          <w:rStyle w:val="HideTWBExt"/>
        </w:rPr>
        <w:t>&lt;</w:t>
      </w:r>
      <w:r>
        <w:rPr>
          <w:rStyle w:val="HideTWBExt"/>
        </w:rPr>
        <w:t>Titre</w:t>
      </w:r>
      <w:r>
        <w:rPr>
          <w:rStyle w:val="HideTWBExt"/>
        </w:rPr>
        <w:t>&gt;</w:t>
      </w:r>
      <w:r>
        <w:t>Hiili- ja terästutkimusrahaston tutkimusohjelma</w:t>
      </w:r>
      <w:r>
        <w:rPr>
          <w:rStyle w:val="HideTWBExt"/>
        </w:rPr>
        <w:t>&lt;/</w:t>
      </w:r>
      <w:r>
        <w:rPr>
          <w:rStyle w:val="HideTWBExt"/>
        </w:rPr>
        <w:t>Titre</w:t>
      </w:r>
      <w:r>
        <w:rPr>
          <w:rStyle w:val="HideTWBExt"/>
        </w:rPr>
        <w:t>&gt;</w:t>
      </w:r>
    </w:p>
    <w:p>
      <w:pPr>
        <w:pStyle w:val="Normal12"/>
      </w:pPr>
      <w:r>
        <w:rPr>
          <w:rStyle w:val="HideTWBExt"/>
        </w:rPr>
        <w:t>&lt;</w:t>
      </w:r>
      <w:r>
        <w:rPr>
          <w:rStyle w:val="HideTWBExt"/>
        </w:rPr>
        <w:t>DocRef</w:t>
      </w:r>
      <w:r>
        <w:rPr>
          <w:rStyle w:val="HideTWBExt"/>
        </w:rPr>
        <w:t>&gt;</w:t>
      </w:r>
      <w:r>
        <w:t>(</w:t>
      </w:r>
      <w:r>
        <w:t>COM(2016)0075</w:t>
      </w:r>
      <w:r>
        <w:t xml:space="preserve"> - </w:t>
      </w:r>
      <w:r>
        <w:t>C8-0099/2016</w:t>
      </w:r>
      <w:r>
        <w:t xml:space="preserve"> - </w:t>
      </w:r>
      <w:r>
        <w:t>2016/0047(NLE)</w:t>
      </w:r>
      <w:r>
        <w:t>)</w:t>
      </w:r>
      <w:r>
        <w:rPr>
          <w:rStyle w:val="HideTWBExt"/>
        </w:rPr>
        <w:t>&lt;/</w:t>
      </w:r>
      <w:r>
        <w:rPr>
          <w:rStyle w:val="HideTWBExt"/>
        </w:rPr>
        <w:t>DocRef</w:t>
      </w:r>
      <w:r>
        <w:rPr>
          <w:rStyle w:val="HideTWBExt"/>
        </w:rPr>
        <w:t>&gt;</w:t>
      </w:r>
    </w:p>
    <w:p>
      <w:pPr>
        <w:pStyle w:val="Normal12"/>
      </w:pPr>
    </w:p>
    <w:p>
      <w:pPr>
        <w:pStyle w:val="NormalBold"/>
      </w:pPr>
      <w:r>
        <w:rPr>
          <w:rStyle w:val="HideTWBExt"/>
        </w:rPr>
        <w:t>&lt;</w:t>
      </w:r>
      <w:r>
        <w:rPr>
          <w:rStyle w:val="HideTWBExt"/>
        </w:rPr>
        <w:t>Article</w:t>
      </w:r>
      <w:r>
        <w:rPr>
          <w:rStyle w:val="HideTWBExt"/>
        </w:rPr>
        <w:t>&gt;</w:t>
      </w:r>
      <w:r>
        <w:t>1 artikla – 1 kohta – 2 alakohta</w:t>
      </w:r>
      <w:r>
        <w:rPr>
          <w:rStyle w:val="HideTWBExt"/>
        </w:rPr>
        <w:t>&lt;/</w:t>
      </w:r>
      <w:r>
        <w:rPr>
          <w:rStyle w:val="HideTWBExt"/>
        </w:rPr>
        <w:t>Article</w:t>
      </w:r>
      <w:r>
        <w:rPr>
          <w:rStyle w:val="HideTWBExt"/>
        </w:rPr>
        <w:t>&gt;</w:t>
      </w:r>
    </w:p>
    <w:p>
      <w:r>
        <w:rPr>
          <w:rStyle w:val="HideTWBExt"/>
        </w:rPr>
        <w:t>&lt;</w:t>
      </w:r>
      <w:r>
        <w:rPr>
          <w:rStyle w:val="HideTWBExt"/>
        </w:rPr>
        <w:t>DocAmend2</w:t>
      </w:r>
      <w:r>
        <w:rPr>
          <w:rStyle w:val="HideTWBExt"/>
        </w:rPr>
        <w:t>&gt;</w:t>
      </w:r>
      <w:r>
        <w:t>Päätös 2008/376/EY</w:t>
      </w:r>
      <w:r>
        <w:rPr>
          <w:rStyle w:val="HideTWBExt"/>
        </w:rPr>
        <w:t>&lt;/</w:t>
      </w:r>
      <w:r>
        <w:rPr>
          <w:rStyle w:val="HideTWBExt"/>
        </w:rPr>
        <w:t>DocAmend2</w:t>
      </w:r>
      <w:r>
        <w:rPr>
          <w:rStyle w:val="HideTWBExt"/>
        </w:rPr>
        <w:t>&gt;</w:t>
      </w:r>
    </w:p>
    <w:p>
      <w:r>
        <w:rPr>
          <w:rStyle w:val="HideTWBExt"/>
        </w:rPr>
        <w:t>&lt;</w:t>
      </w:r>
      <w:r>
        <w:rPr>
          <w:rStyle w:val="HideTWBExt"/>
        </w:rPr>
        <w:t>Article2</w:t>
      </w:r>
      <w:r>
        <w:rPr>
          <w:rStyle w:val="HideTWBExt"/>
        </w:rPr>
        <w:t>&gt;</w:t>
      </w:r>
      <w:r>
        <w:t>22 artikla – 3 kohta</w:t>
      </w:r>
      <w:r>
        <w:rPr>
          <w:rStyle w:val="HideTWBExt"/>
        </w:rPr>
        <w:t>&lt;/</w:t>
      </w:r>
      <w:r>
        <w:rPr>
          <w:rStyle w:val="HideTWBExt"/>
        </w:rPr>
        <w:t>Article2</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Komission teksti</w:t>
            </w:r>
          </w:p>
        </w:tc>
        <w:tc>
          <w:tcPr/>
          <w:p>
            <w:pPr>
              <w:pStyle w:val="ColumnHeading"/>
            </w:pPr>
            <w:r>
              <w:t>Tarkistus</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3.</w:t>
            </w:r>
            <w:r>
              <w:tab/>
            </w:r>
            <w:r>
              <w:t xml:space="preserve">Komissio </w:t>
            </w:r>
            <w:r>
              <w:rPr>
                <w:rFonts w:ascii="Times New Roman" w:eastAsia="Times New Roman" w:hAnsi="Times New Roman" w:cs="Times New Roman"/>
                <w:b/>
                <w:i/>
                <w:strike w:val="0"/>
                <w:color w:val="000000"/>
                <w:sz w:val="24"/>
                <w:highlight w:val="none"/>
                <w:u w:val="none" w:color="auto"/>
              </w:rPr>
              <w:t>pyrkii mahdollisimman hyvin varmistamaan</w:t>
            </w:r>
            <w:r>
              <w:t>, että kussakin neuvoa-antavassa ryhmässä on korkea asiantuntemuksen taso</w:t>
            </w:r>
            <w:r>
              <w:rPr>
                <w:rFonts w:ascii="Times New Roman" w:eastAsia="Times New Roman" w:hAnsi="Times New Roman" w:cs="Times New Roman"/>
                <w:b/>
                <w:i/>
                <w:strike w:val="0"/>
                <w:color w:val="000000"/>
                <w:sz w:val="24"/>
                <w:highlight w:val="none"/>
                <w:u w:val="none" w:color="auto"/>
              </w:rPr>
              <w:t>,</w:t>
            </w:r>
            <w:r>
              <w:t xml:space="preserve"> asiantuntemuksen alojen ja etunäkökohtien tasapainoinen edustus samoin kuin sukupuolten ja maantieteellisten alueiden tasapainoinen edustus, ottaen huomioon neuvoa-antavien ryhmien erityistehtävät, vaadittava asiantuntemus ja asiantuntijoiden valintamenettelyn tulos.;</w:t>
            </w:r>
          </w:p>
        </w:tc>
        <w:tc>
          <w:tcPr/>
          <w:p>
            <w:pPr>
              <w:pStyle w:val="Normal6"/>
            </w:pPr>
            <w:r>
              <w:t>3.</w:t>
            </w:r>
            <w:r>
              <w:tab/>
            </w:r>
            <w:r>
              <w:t xml:space="preserve">Komissio </w:t>
            </w:r>
            <w:r>
              <w:rPr>
                <w:rFonts w:ascii="Times New Roman" w:eastAsia="Times New Roman" w:hAnsi="Times New Roman" w:cs="Times New Roman"/>
                <w:b/>
                <w:i/>
                <w:strike w:val="0"/>
                <w:color w:val="000000"/>
                <w:sz w:val="24"/>
                <w:highlight w:val="none"/>
                <w:u w:val="none" w:color="auto"/>
              </w:rPr>
              <w:t>varmistaa</w:t>
            </w:r>
            <w:r>
              <w:t>, että kussakin neuvoa-antavassa ryhmässä on korkea asiantuntemuksen taso</w:t>
            </w:r>
            <w:r>
              <w:rPr>
                <w:rFonts w:ascii="Times New Roman" w:eastAsia="Times New Roman" w:hAnsi="Times New Roman" w:cs="Times New Roman"/>
                <w:b/>
                <w:i/>
                <w:strike w:val="0"/>
                <w:color w:val="000000"/>
                <w:sz w:val="24"/>
                <w:highlight w:val="none"/>
                <w:u w:val="none" w:color="auto"/>
              </w:rPr>
              <w:t xml:space="preserve"> ja sekä taloudellisten että ei-taloudellisten</w:t>
            </w:r>
            <w:r>
              <w:t xml:space="preserve"> asiantuntemuksen alojen ja etunäkökohtien tasapainoinen edustus</w:t>
            </w:r>
            <w:r>
              <w:rPr>
                <w:rFonts w:ascii="Times New Roman" w:eastAsia="Times New Roman" w:hAnsi="Times New Roman" w:cs="Times New Roman"/>
                <w:b/>
                <w:i/>
                <w:strike w:val="0"/>
                <w:color w:val="000000"/>
                <w:sz w:val="24"/>
                <w:highlight w:val="none"/>
                <w:u w:val="none" w:color="auto"/>
              </w:rPr>
              <w:t>, kansalaisyhteiskunnan ryhmät mukaan luettuina,</w:t>
            </w:r>
            <w:r>
              <w:t xml:space="preserve"> samoin kuin sukupuolten ja maantieteellisten alueiden tasapainoinen edustus, ottaen huomioon neuvoa-antavien ryhmien erityistehtävät, vaadittava asiantuntemus ja asiantuntijoiden valintamenettelyn tulos.</w:t>
            </w:r>
            <w:r>
              <w:rPr>
                <w:rFonts w:ascii="Times New Roman" w:eastAsia="Times New Roman" w:hAnsi="Times New Roman" w:cs="Times New Roman"/>
                <w:b/>
                <w:i/>
                <w:strike w:val="0"/>
                <w:color w:val="000000"/>
                <w:sz w:val="24"/>
                <w:highlight w:val="none"/>
                <w:u w:val="none" w:color="auto"/>
              </w:rPr>
              <w:t>”</w:t>
            </w:r>
            <w: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JustificationTitle"/>
      </w:pPr>
      <w:r>
        <w:rPr>
          <w:rStyle w:val="HideTWBExt"/>
        </w:rPr>
        <w:t>&lt;</w:t>
      </w:r>
      <w:r>
        <w:rPr>
          <w:rStyle w:val="HideTWBExt"/>
        </w:rPr>
        <w:t>TitreJust</w:t>
      </w:r>
      <w:r>
        <w:rPr>
          <w:rStyle w:val="HideTWBExt"/>
        </w:rPr>
        <w:t>&gt;</w:t>
      </w:r>
      <w:r>
        <w:t>Perustelu</w:t>
      </w:r>
      <w:r>
        <w:rPr>
          <w:rStyle w:val="HideTWBExt"/>
        </w:rPr>
        <w:t>&lt;/</w:t>
      </w:r>
      <w:r>
        <w:rPr>
          <w:rStyle w:val="HideTWBExt"/>
        </w:rPr>
        <w:t>TitreJust</w:t>
      </w:r>
      <w:r>
        <w:rPr>
          <w:rStyle w:val="HideTWBExt"/>
        </w:rPr>
        <w:t>&gt;</w:t>
      </w:r>
    </w:p>
    <w:p>
      <w:pPr>
        <w:pStyle w:val="Normal12Italic"/>
      </w:pPr>
      <w:r>
        <w:t>Tarkistus vastaa komission asiantuntijaryhmien kokoonpanosta ja niitä koskevan rekisterin valvonnasta laadittuun parlamentin valiokunta-aloitteiseen mietintöön (2015/2319 (INI)) sisältyvän, budjettivaliokunnan yksimielisesti hyväksymän lausunnon 2 ja 7 kohtaa.</w:t>
      </w:r>
    </w:p>
    <w:p>
      <w:pPr>
        <w:pStyle w:val="Interstitial1"/>
      </w:pPr>
      <w:r>
        <w:rPr>
          <w:rStyle w:val="HideTWBExt"/>
        </w:rPr>
        <w:t>&lt;/</w:t>
      </w:r>
      <w:r>
        <w:rPr>
          <w:rStyle w:val="HideTWBExt"/>
        </w:rPr>
        <w:t>Amend</w:t>
      </w:r>
      <w:r>
        <w:rPr>
          <w:rStyle w:val="HideTWBExt"/>
        </w:rPr>
        <w:t>&gt;</w:t>
      </w:r>
      <w:r>
        <w:br w:type="page"/>
      </w:r>
      <w:r>
        <w:rPr>
          <w:rStyle w:val="HideTWBExt"/>
        </w:rPr>
        <w:t>&lt;</w:t>
      </w:r>
      <w:r>
        <w:rPr>
          <w:rStyle w:val="HideTWBExt"/>
        </w:rPr>
        <w:t>Amend</w:t>
      </w:r>
      <w:r>
        <w:rPr>
          <w:rStyle w:val="HideTWBExt"/>
        </w:rPr>
        <w:t>&gt;</w:t>
      </w:r>
      <w:r>
        <w:rPr>
          <w:rStyle w:val="HideTWBExt"/>
        </w:rPr>
        <w:t>&lt;</w:t>
      </w:r>
      <w:r>
        <w:rPr>
          <w:rStyle w:val="HideTWBExt"/>
        </w:rPr>
        <w:t>Date</w:t>
      </w:r>
      <w:r>
        <w:rPr>
          <w:rStyle w:val="HideTWBExt"/>
        </w:rPr>
        <w:t>&gt;</w:t>
      </w:r>
      <w:r>
        <w:rPr>
          <w:rStyle w:val="HideTWBInt"/>
        </w:rPr>
        <w:t>{</w:t>
      </w:r>
      <w:r>
        <w:rPr>
          <w:rStyle w:val="HideTWBInt"/>
        </w:rPr>
        <w:t>07/12/2016</w:t>
      </w:r>
      <w:r>
        <w:rPr>
          <w:rStyle w:val="HideTWBInt"/>
        </w:rPr>
        <w:t>}</w:t>
      </w:r>
      <w:r>
        <w:t>7.12.2016</w:t>
      </w:r>
      <w:r>
        <w:rPr>
          <w:rStyle w:val="HideTWBExt"/>
        </w:rPr>
        <w:t>&lt;/</w:t>
      </w:r>
      <w:r>
        <w:rPr>
          <w:rStyle w:val="HideTWBExt"/>
        </w:rPr>
        <w:t>Date</w:t>
      </w:r>
      <w:r>
        <w:rPr>
          <w:rStyle w:val="HideTWBExt"/>
        </w:rPr>
        <w:t>&gt;</w:t>
      </w:r>
      <w:r>
        <w:tab/>
      </w:r>
      <w:r>
        <w:rPr>
          <w:rStyle w:val="HideTWBExt"/>
        </w:rPr>
        <w:t>&lt;</w:t>
      </w:r>
      <w:r>
        <w:rPr>
          <w:rStyle w:val="HideTWBExt"/>
        </w:rPr>
        <w:t>ANo</w:t>
      </w:r>
      <w:r>
        <w:rPr>
          <w:rStyle w:val="HideTWBExt"/>
        </w:rPr>
        <w:t>&gt;</w:t>
      </w:r>
      <w:r>
        <w:t>A8-0358</w:t>
      </w:r>
      <w:r>
        <w:rPr>
          <w:rStyle w:val="HideTWBExt"/>
        </w:rPr>
        <w:t>&lt;/</w:t>
      </w:r>
      <w:r>
        <w:rPr>
          <w:rStyle w:val="HideTWBExt"/>
        </w:rPr>
        <w:t>ANo</w:t>
      </w:r>
      <w:r>
        <w:rPr>
          <w:rStyle w:val="HideTWBExt"/>
        </w:rPr>
        <w:t>&gt;</w:t>
      </w:r>
      <w:r>
        <w:t>/</w:t>
      </w:r>
      <w:r>
        <w:rPr>
          <w:rStyle w:val="HideTWBExt"/>
        </w:rPr>
        <w:t>&lt;</w:t>
      </w:r>
      <w:r>
        <w:rPr>
          <w:rStyle w:val="HideTWBExt"/>
        </w:rPr>
        <w:t>NumAm</w:t>
      </w:r>
      <w:r>
        <w:rPr>
          <w:rStyle w:val="HideTWBExt"/>
        </w:rPr>
        <w:t>&gt;</w:t>
      </w:r>
      <w:r>
        <w:t>12</w:t>
      </w:r>
      <w:r>
        <w:rPr>
          <w:rStyle w:val="HideTWBExt"/>
        </w:rPr>
        <w:t>&lt;/</w:t>
      </w:r>
      <w:r>
        <w:rPr>
          <w:rStyle w:val="HideTWBExt"/>
        </w:rPr>
        <w:t>NumAm</w:t>
      </w:r>
      <w:r>
        <w:rPr>
          <w:rStyle w:val="HideTWBExt"/>
        </w:rPr>
        <w:t>&gt;</w:t>
      </w:r>
    </w:p>
    <w:p>
      <w:pPr>
        <w:pStyle w:val="AMNumberTabs"/>
      </w:pPr>
      <w:r>
        <w:t>Tarkistus</w:t>
      </w:r>
      <w:r>
        <w:tab/>
      </w:r>
      <w:r>
        <w:tab/>
      </w:r>
      <w:r>
        <w:rPr>
          <w:rStyle w:val="HideTWBExt"/>
        </w:rPr>
        <w:t>&lt;</w:t>
      </w:r>
      <w:r>
        <w:rPr>
          <w:rStyle w:val="HideTWBExt"/>
        </w:rPr>
        <w:t>NumAm</w:t>
      </w:r>
      <w:r>
        <w:rPr>
          <w:rStyle w:val="HideTWBExt"/>
        </w:rPr>
        <w:t>&gt;</w:t>
      </w:r>
      <w:r>
        <w:t>12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Jakop Dalunde</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Verts/ALE</w:t>
      </w:r>
      <w:r>
        <w:rPr>
          <w:rStyle w:val="HideTWBInt"/>
        </w:rPr>
        <w:t>}</w:t>
      </w:r>
      <w:r>
        <w:t>Verts/ALE</w:t>
      </w:r>
      <w:r>
        <w:t>-ryhmän puolesta</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ProjRap"/>
      </w:pPr>
      <w:r>
        <w:rPr>
          <w:rStyle w:val="HideTWBExt"/>
        </w:rPr>
        <w:t>&lt;</w:t>
      </w:r>
      <w:r>
        <w:rPr>
          <w:rStyle w:val="HideTWBExt"/>
        </w:rPr>
        <w:t>TitreType</w:t>
      </w:r>
      <w:r>
        <w:rPr>
          <w:rStyle w:val="HideTWBExt"/>
        </w:rPr>
        <w:t>&gt;</w:t>
      </w:r>
      <w:r>
        <w:t>Mietintö</w:t>
      </w:r>
      <w:r>
        <w:rPr>
          <w:rStyle w:val="HideTWBExt"/>
        </w:rPr>
        <w:t>&lt;/</w:t>
      </w:r>
      <w:r>
        <w:rPr>
          <w:rStyle w:val="HideTWBExt"/>
        </w:rPr>
        <w:t>TitreType</w:t>
      </w:r>
      <w:r>
        <w:rPr>
          <w:rStyle w:val="HideTWBExt"/>
        </w:rPr>
        <w:t>&gt;</w:t>
      </w:r>
      <w:r>
        <w:tab/>
      </w:r>
      <w:r>
        <w:t>A8-0358/2016</w:t>
      </w:r>
    </w:p>
    <w:p>
      <w:pPr>
        <w:pStyle w:val="NormalBold"/>
      </w:pPr>
      <w:r>
        <w:rPr>
          <w:rStyle w:val="HideTWBExt"/>
        </w:rPr>
        <w:t>&lt;</w:t>
      </w:r>
      <w:r>
        <w:rPr>
          <w:rStyle w:val="HideTWBExt"/>
        </w:rPr>
        <w:t>Rapporteur</w:t>
      </w:r>
      <w:r>
        <w:rPr>
          <w:rStyle w:val="HideTWBExt"/>
        </w:rPr>
        <w:t>&gt;</w:t>
      </w:r>
      <w:r>
        <w:t>Jerzy Buzek</w:t>
      </w:r>
      <w:r>
        <w:rPr>
          <w:rStyle w:val="HideTWBExt"/>
        </w:rPr>
        <w:t>&lt;/</w:t>
      </w:r>
      <w:r>
        <w:rPr>
          <w:rStyle w:val="HideTWBExt"/>
        </w:rPr>
        <w:t>Rapporteur</w:t>
      </w:r>
      <w:r>
        <w:rPr>
          <w:rStyle w:val="HideTWBExt"/>
        </w:rPr>
        <w:t>&gt;</w:t>
      </w:r>
    </w:p>
    <w:p>
      <w:pPr>
        <w:pStyle w:val="Normal12"/>
      </w:pPr>
      <w:r>
        <w:rPr>
          <w:rStyle w:val="HideTWBExt"/>
        </w:rPr>
        <w:t>&lt;</w:t>
      </w:r>
      <w:r>
        <w:rPr>
          <w:rStyle w:val="HideTWBExt"/>
        </w:rPr>
        <w:t>Titre</w:t>
      </w:r>
      <w:r>
        <w:rPr>
          <w:rStyle w:val="HideTWBExt"/>
        </w:rPr>
        <w:t>&gt;</w:t>
      </w:r>
      <w:r>
        <w:t>Hiili- ja terästutkimusrahaston tutkimusohjelma</w:t>
      </w:r>
      <w:r>
        <w:rPr>
          <w:rStyle w:val="HideTWBExt"/>
        </w:rPr>
        <w:t>&lt;/</w:t>
      </w:r>
      <w:r>
        <w:rPr>
          <w:rStyle w:val="HideTWBExt"/>
        </w:rPr>
        <w:t>Titre</w:t>
      </w:r>
      <w:r>
        <w:rPr>
          <w:rStyle w:val="HideTWBExt"/>
        </w:rPr>
        <w:t>&gt;</w:t>
      </w:r>
    </w:p>
    <w:p>
      <w:pPr>
        <w:pStyle w:val="Normal12"/>
      </w:pPr>
      <w:r>
        <w:rPr>
          <w:rStyle w:val="HideTWBExt"/>
        </w:rPr>
        <w:t>&lt;</w:t>
      </w:r>
      <w:r>
        <w:rPr>
          <w:rStyle w:val="HideTWBExt"/>
        </w:rPr>
        <w:t>DocRef</w:t>
      </w:r>
      <w:r>
        <w:rPr>
          <w:rStyle w:val="HideTWBExt"/>
        </w:rPr>
        <w:t>&gt;</w:t>
      </w:r>
      <w:r>
        <w:t>(</w:t>
      </w:r>
      <w:r>
        <w:t>COM(2016)0075</w:t>
      </w:r>
      <w:r>
        <w:t xml:space="preserve"> - </w:t>
      </w:r>
      <w:r>
        <w:t>C8-0099/2016</w:t>
      </w:r>
      <w:r>
        <w:t xml:space="preserve"> - </w:t>
      </w:r>
      <w:r>
        <w:t>2016/0047(NLE)</w:t>
      </w:r>
      <w:r>
        <w:t>)</w:t>
      </w:r>
      <w:r>
        <w:rPr>
          <w:rStyle w:val="HideTWBExt"/>
        </w:rPr>
        <w:t>&lt;/</w:t>
      </w:r>
      <w:r>
        <w:rPr>
          <w:rStyle w:val="HideTWBExt"/>
        </w:rPr>
        <w:t>DocRef</w:t>
      </w:r>
      <w:r>
        <w:rPr>
          <w:rStyle w:val="HideTWBExt"/>
        </w:rPr>
        <w:t>&gt;</w:t>
      </w:r>
    </w:p>
    <w:p>
      <w:pPr>
        <w:pStyle w:val="Normal12"/>
      </w:pPr>
    </w:p>
    <w:p>
      <w:pPr>
        <w:pStyle w:val="NormalBold"/>
      </w:pPr>
      <w:r>
        <w:rPr>
          <w:rStyle w:val="HideTWBExt"/>
        </w:rPr>
        <w:t>&lt;</w:t>
      </w:r>
      <w:r>
        <w:rPr>
          <w:rStyle w:val="HideTWBExt"/>
        </w:rPr>
        <w:t>Article</w:t>
      </w:r>
      <w:r>
        <w:rPr>
          <w:rStyle w:val="HideTWBExt"/>
        </w:rPr>
        <w:t>&gt;</w:t>
      </w:r>
      <w:r>
        <w:t>1 artikla – 1 kohta – 3 alakohta</w:t>
      </w:r>
      <w:r>
        <w:rPr>
          <w:rStyle w:val="HideTWBExt"/>
        </w:rPr>
        <w:t>&lt;/</w:t>
      </w:r>
      <w:r>
        <w:rPr>
          <w:rStyle w:val="HideTWBExt"/>
        </w:rPr>
        <w:t>Article</w:t>
      </w:r>
      <w:r>
        <w:rPr>
          <w:rStyle w:val="HideTWBExt"/>
        </w:rPr>
        <w:t>&gt;</w:t>
      </w:r>
    </w:p>
    <w:p>
      <w:r>
        <w:rPr>
          <w:rStyle w:val="HideTWBExt"/>
        </w:rPr>
        <w:t>&lt;</w:t>
      </w:r>
      <w:r>
        <w:rPr>
          <w:rStyle w:val="HideTWBExt"/>
        </w:rPr>
        <w:t>DocAmend2</w:t>
      </w:r>
      <w:r>
        <w:rPr>
          <w:rStyle w:val="HideTWBExt"/>
        </w:rPr>
        <w:t>&gt;</w:t>
      </w:r>
      <w:r>
        <w:t>Päätös 2008/376/EY</w:t>
      </w:r>
      <w:r>
        <w:rPr>
          <w:rStyle w:val="HideTWBExt"/>
        </w:rPr>
        <w:t>&lt;/</w:t>
      </w:r>
      <w:r>
        <w:rPr>
          <w:rStyle w:val="HideTWBExt"/>
        </w:rPr>
        <w:t>DocAmend2</w:t>
      </w:r>
      <w:r>
        <w:rPr>
          <w:rStyle w:val="HideTWBExt"/>
        </w:rPr>
        <w:t>&gt;</w:t>
      </w:r>
    </w:p>
    <w:p>
      <w:r>
        <w:rPr>
          <w:rStyle w:val="HideTWBExt"/>
        </w:rPr>
        <w:t>&lt;</w:t>
      </w:r>
      <w:r>
        <w:rPr>
          <w:rStyle w:val="HideTWBExt"/>
        </w:rPr>
        <w:t>Article2</w:t>
      </w:r>
      <w:r>
        <w:rPr>
          <w:rStyle w:val="HideTWBExt"/>
        </w:rPr>
        <w:t>&gt;</w:t>
      </w:r>
      <w:r>
        <w:t>24 artikla – 3 kohta – 1 alakohta</w:t>
      </w:r>
      <w:r>
        <w:rPr>
          <w:rStyle w:val="HideTWBExt"/>
        </w:rPr>
        <w:t>&lt;/</w:t>
      </w:r>
      <w:r>
        <w:rPr>
          <w:rStyle w:val="HideTWBExt"/>
        </w:rPr>
        <w:t>Article2</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Komission teksti</w:t>
            </w:r>
          </w:p>
        </w:tc>
        <w:tc>
          <w:tcPr/>
          <w:p>
            <w:pPr>
              <w:pStyle w:val="ColumnHeading"/>
            </w:pPr>
            <w:r>
              <w:t>Tarkistus</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 xml:space="preserve">Komissio </w:t>
            </w:r>
            <w:r>
              <w:rPr>
                <w:rFonts w:ascii="Times New Roman" w:eastAsia="Times New Roman" w:hAnsi="Times New Roman" w:cs="Times New Roman"/>
                <w:b/>
                <w:i/>
                <w:strike w:val="0"/>
                <w:color w:val="000000"/>
                <w:sz w:val="24"/>
                <w:highlight w:val="none"/>
                <w:u w:val="none" w:color="auto"/>
              </w:rPr>
              <w:t>pyrkii varmistamaan</w:t>
            </w:r>
            <w:r>
              <w:t xml:space="preserve">, että kussakin teknisessä ryhmässä on korkea asiantuntemuksen taso </w:t>
            </w:r>
            <w:r>
              <w:rPr>
                <w:rFonts w:ascii="Times New Roman" w:eastAsia="Times New Roman" w:hAnsi="Times New Roman" w:cs="Times New Roman"/>
                <w:b/>
                <w:i/>
                <w:strike w:val="0"/>
                <w:color w:val="000000"/>
                <w:sz w:val="24"/>
                <w:highlight w:val="none"/>
                <w:u w:val="none" w:color="auto"/>
              </w:rPr>
              <w:t>sekä mahdollisuuksien mukaan eri</w:t>
            </w:r>
            <w:r>
              <w:t xml:space="preserve"> asiantuntemuksen alojen samoin kuin sukupuolten ja maantieteellisten alueiden tasapainoinen edustus, ottaen huomioon </w:t>
            </w:r>
            <w:r>
              <w:rPr>
                <w:rFonts w:ascii="Times New Roman" w:eastAsia="Times New Roman" w:hAnsi="Times New Roman" w:cs="Times New Roman"/>
                <w:b/>
                <w:i/>
                <w:strike w:val="0"/>
                <w:color w:val="000000"/>
                <w:sz w:val="24"/>
                <w:highlight w:val="none"/>
                <w:u w:val="none" w:color="auto"/>
              </w:rPr>
              <w:t>teknisten</w:t>
            </w:r>
            <w:r>
              <w:t xml:space="preserve"> ryhmien erityistehtävät, vaadittava asiantuntemus ja asiantuntijoiden valintamenettelyn tulos.</w:t>
            </w:r>
            <w:r>
              <w:rPr>
                <w:rFonts w:ascii="Times New Roman" w:eastAsia="Times New Roman" w:hAnsi="Times New Roman" w:cs="Times New Roman"/>
                <w:b/>
                <w:i/>
                <w:strike w:val="0"/>
                <w:color w:val="000000"/>
                <w:sz w:val="24"/>
                <w:highlight w:val="none"/>
                <w:u w:val="none" w:color="auto"/>
              </w:rPr>
              <w:t>”;</w:t>
            </w:r>
          </w:p>
        </w:tc>
        <w:tc>
          <w:tcPr/>
          <w:p>
            <w:pPr>
              <w:pStyle w:val="Normal6"/>
            </w:pPr>
            <w:r>
              <w:t xml:space="preserve">Komissio </w:t>
            </w:r>
            <w:r>
              <w:rPr>
                <w:rFonts w:ascii="Times New Roman" w:eastAsia="Times New Roman" w:hAnsi="Times New Roman" w:cs="Times New Roman"/>
                <w:b/>
                <w:i/>
                <w:strike w:val="0"/>
                <w:color w:val="000000"/>
                <w:sz w:val="24"/>
                <w:highlight w:val="none"/>
                <w:u w:val="none" w:color="auto"/>
              </w:rPr>
              <w:t>varmistaa</w:t>
            </w:r>
            <w:r>
              <w:t xml:space="preserve">, että kussakin teknisessä ryhmässä on korkea asiantuntemuksen taso </w:t>
            </w:r>
            <w:r>
              <w:rPr>
                <w:rFonts w:ascii="Times New Roman" w:eastAsia="Times New Roman" w:hAnsi="Times New Roman" w:cs="Times New Roman"/>
                <w:b/>
                <w:i/>
                <w:strike w:val="0"/>
                <w:color w:val="000000"/>
                <w:sz w:val="24"/>
                <w:highlight w:val="none"/>
                <w:u w:val="none" w:color="auto"/>
              </w:rPr>
              <w:t>ja sekä taloudellisten että ei-taloudellisten</w:t>
            </w:r>
            <w:r>
              <w:t xml:space="preserve"> asiantuntemuksen alojen </w:t>
            </w:r>
            <w:r>
              <w:rPr>
                <w:rFonts w:ascii="Times New Roman" w:eastAsia="Times New Roman" w:hAnsi="Times New Roman" w:cs="Times New Roman"/>
                <w:b/>
                <w:i/>
                <w:strike w:val="0"/>
                <w:color w:val="000000"/>
                <w:sz w:val="24"/>
                <w:highlight w:val="none"/>
                <w:u w:val="none" w:color="auto"/>
              </w:rPr>
              <w:t xml:space="preserve">ja etunäkökohtien tasapainoinen edustus, kansalaisyhteiskunnan ryhmät mukaan luettuina, </w:t>
            </w:r>
            <w:r>
              <w:t xml:space="preserve">samoin kuin sukupuolten ja maantieteellisten alueiden tasapainoinen edustus, ottaen huomioon </w:t>
            </w:r>
            <w:r>
              <w:rPr>
                <w:rFonts w:ascii="Times New Roman" w:eastAsia="Times New Roman" w:hAnsi="Times New Roman" w:cs="Times New Roman"/>
                <w:b/>
                <w:i/>
                <w:strike w:val="0"/>
                <w:color w:val="000000"/>
                <w:sz w:val="24"/>
                <w:highlight w:val="none"/>
                <w:u w:val="none" w:color="auto"/>
              </w:rPr>
              <w:t>neuvoa-antavien</w:t>
            </w:r>
            <w:r>
              <w:t xml:space="preserve"> ryhmien erityistehtävät, vaadittava asiantuntemus ja asiantuntijoiden valintamenettelyn tulos.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JustificationTitle"/>
      </w:pPr>
      <w:r>
        <w:rPr>
          <w:rStyle w:val="HideTWBExt"/>
        </w:rPr>
        <w:t>&lt;</w:t>
      </w:r>
      <w:r>
        <w:rPr>
          <w:rStyle w:val="HideTWBExt"/>
        </w:rPr>
        <w:t>TitreJust</w:t>
      </w:r>
      <w:r>
        <w:rPr>
          <w:rStyle w:val="HideTWBExt"/>
        </w:rPr>
        <w:t>&gt;</w:t>
      </w:r>
      <w:r>
        <w:t>Perustelu</w:t>
      </w:r>
      <w:r>
        <w:rPr>
          <w:rStyle w:val="HideTWBExt"/>
        </w:rPr>
        <w:t>&lt;/</w:t>
      </w:r>
      <w:r>
        <w:rPr>
          <w:rStyle w:val="HideTWBExt"/>
        </w:rPr>
        <w:t>TitreJust</w:t>
      </w:r>
      <w:r>
        <w:rPr>
          <w:rStyle w:val="HideTWBExt"/>
        </w:rPr>
        <w:t>&gt;</w:t>
      </w:r>
    </w:p>
    <w:p>
      <w:pPr>
        <w:pStyle w:val="Normal12Italic"/>
      </w:pPr>
      <w:r>
        <w:t>Tarkistus vastaa komission asiantuntijaryhmien kokoonpanosta ja niitä koskevan rekisterin valvonnasta annettuun parlamentin päätöslauselmaan (2015/2319 (INI)) liittyvän, budjettivaliokunnan yksimielisesti hyväksymän lausunnon 2 ja 7 kohtaa.</w:t>
      </w:r>
    </w:p>
    <w:p>
      <w:pPr>
        <w:pStyle w:val="Interstitial1"/>
      </w:pPr>
      <w:r>
        <w:rPr>
          <w:rStyle w:val="HideTWBExt"/>
        </w:rPr>
        <w:t>&lt;/</w:t>
      </w:r>
      <w:r>
        <w:rPr>
          <w:rStyle w:val="HideTWBExt"/>
        </w:rPr>
        <w:t>Amend</w:t>
      </w:r>
      <w:r>
        <w:rPr>
          <w:rStyle w:val="HideTWBExt"/>
        </w:rPr>
        <w:t>&gt;</w:t>
      </w:r>
      <w:r>
        <w:br w:type="page"/>
      </w:r>
      <w:r>
        <w:rPr>
          <w:rStyle w:val="HideTWBExt"/>
        </w:rPr>
        <w:t>&lt;</w:t>
      </w:r>
      <w:r>
        <w:rPr>
          <w:rStyle w:val="HideTWBExt"/>
        </w:rPr>
        <w:t>Amend</w:t>
      </w:r>
      <w:r>
        <w:rPr>
          <w:rStyle w:val="HideTWBExt"/>
        </w:rPr>
        <w:t>&gt;</w:t>
      </w:r>
      <w:r>
        <w:rPr>
          <w:rStyle w:val="HideTWBExt"/>
        </w:rPr>
        <w:t>&lt;</w:t>
      </w:r>
      <w:r>
        <w:rPr>
          <w:rStyle w:val="HideTWBExt"/>
        </w:rPr>
        <w:t>Date</w:t>
      </w:r>
      <w:r>
        <w:rPr>
          <w:rStyle w:val="HideTWBExt"/>
        </w:rPr>
        <w:t>&gt;</w:t>
      </w:r>
      <w:r>
        <w:rPr>
          <w:rStyle w:val="HideTWBInt"/>
        </w:rPr>
        <w:t>{</w:t>
      </w:r>
      <w:r>
        <w:rPr>
          <w:rStyle w:val="HideTWBInt"/>
        </w:rPr>
        <w:t>07/12/2016</w:t>
      </w:r>
      <w:r>
        <w:rPr>
          <w:rStyle w:val="HideTWBInt"/>
        </w:rPr>
        <w:t>}</w:t>
      </w:r>
      <w:r>
        <w:t>7.12.2016</w:t>
      </w:r>
      <w:r>
        <w:rPr>
          <w:rStyle w:val="HideTWBExt"/>
        </w:rPr>
        <w:t>&lt;/</w:t>
      </w:r>
      <w:r>
        <w:rPr>
          <w:rStyle w:val="HideTWBExt"/>
        </w:rPr>
        <w:t>Date</w:t>
      </w:r>
      <w:r>
        <w:rPr>
          <w:rStyle w:val="HideTWBExt"/>
        </w:rPr>
        <w:t>&gt;</w:t>
      </w:r>
      <w:r>
        <w:tab/>
      </w:r>
      <w:r>
        <w:rPr>
          <w:rStyle w:val="HideTWBExt"/>
        </w:rPr>
        <w:t>&lt;</w:t>
      </w:r>
      <w:r>
        <w:rPr>
          <w:rStyle w:val="HideTWBExt"/>
        </w:rPr>
        <w:t>ANo</w:t>
      </w:r>
      <w:r>
        <w:rPr>
          <w:rStyle w:val="HideTWBExt"/>
        </w:rPr>
        <w:t>&gt;</w:t>
      </w:r>
      <w:r>
        <w:t>A8-0358</w:t>
      </w:r>
      <w:r>
        <w:rPr>
          <w:rStyle w:val="HideTWBExt"/>
        </w:rPr>
        <w:t>&lt;/</w:t>
      </w:r>
      <w:r>
        <w:rPr>
          <w:rStyle w:val="HideTWBExt"/>
        </w:rPr>
        <w:t>ANo</w:t>
      </w:r>
      <w:r>
        <w:rPr>
          <w:rStyle w:val="HideTWBExt"/>
        </w:rPr>
        <w:t>&gt;</w:t>
      </w:r>
      <w:r>
        <w:t>/</w:t>
      </w:r>
      <w:r>
        <w:rPr>
          <w:rStyle w:val="HideTWBExt"/>
        </w:rPr>
        <w:t>&lt;</w:t>
      </w:r>
      <w:r>
        <w:rPr>
          <w:rStyle w:val="HideTWBExt"/>
        </w:rPr>
        <w:t>NumAm</w:t>
      </w:r>
      <w:r>
        <w:rPr>
          <w:rStyle w:val="HideTWBExt"/>
        </w:rPr>
        <w:t>&gt;</w:t>
      </w:r>
      <w:r>
        <w:t>13</w:t>
      </w:r>
      <w:r>
        <w:rPr>
          <w:rStyle w:val="HideTWBExt"/>
        </w:rPr>
        <w:t>&lt;/</w:t>
      </w:r>
      <w:r>
        <w:rPr>
          <w:rStyle w:val="HideTWBExt"/>
        </w:rPr>
        <w:t>NumAm</w:t>
      </w:r>
      <w:r>
        <w:rPr>
          <w:rStyle w:val="HideTWBExt"/>
        </w:rPr>
        <w:t>&gt;</w:t>
      </w:r>
    </w:p>
    <w:p>
      <w:pPr>
        <w:pStyle w:val="AMNumberTabs"/>
      </w:pPr>
      <w:r>
        <w:t>Tarkistus</w:t>
      </w:r>
      <w:r>
        <w:tab/>
      </w:r>
      <w:r>
        <w:tab/>
      </w:r>
      <w:r>
        <w:rPr>
          <w:rStyle w:val="HideTWBExt"/>
        </w:rPr>
        <w:t>&lt;</w:t>
      </w:r>
      <w:r>
        <w:rPr>
          <w:rStyle w:val="HideTWBExt"/>
        </w:rPr>
        <w:t>NumAm</w:t>
      </w:r>
      <w:r>
        <w:rPr>
          <w:rStyle w:val="HideTWBExt"/>
        </w:rPr>
        <w:t>&gt;</w:t>
      </w:r>
      <w:r>
        <w:t>13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Jakop Dalunde</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Verts/ALE</w:t>
      </w:r>
      <w:r>
        <w:rPr>
          <w:rStyle w:val="HideTWBInt"/>
        </w:rPr>
        <w:t>}</w:t>
      </w:r>
      <w:r>
        <w:t>Verts/ALE</w:t>
      </w:r>
      <w:r>
        <w:t>-ryhmän puolesta</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ProjRap"/>
      </w:pPr>
      <w:r>
        <w:rPr>
          <w:rStyle w:val="HideTWBExt"/>
        </w:rPr>
        <w:t>&lt;</w:t>
      </w:r>
      <w:r>
        <w:rPr>
          <w:rStyle w:val="HideTWBExt"/>
        </w:rPr>
        <w:t>TitreType</w:t>
      </w:r>
      <w:r>
        <w:rPr>
          <w:rStyle w:val="HideTWBExt"/>
        </w:rPr>
        <w:t>&gt;</w:t>
      </w:r>
      <w:r>
        <w:t>Mietintö</w:t>
      </w:r>
      <w:r>
        <w:rPr>
          <w:rStyle w:val="HideTWBExt"/>
        </w:rPr>
        <w:t>&lt;/</w:t>
      </w:r>
      <w:r>
        <w:rPr>
          <w:rStyle w:val="HideTWBExt"/>
        </w:rPr>
        <w:t>TitreType</w:t>
      </w:r>
      <w:r>
        <w:rPr>
          <w:rStyle w:val="HideTWBExt"/>
        </w:rPr>
        <w:t>&gt;</w:t>
      </w:r>
      <w:r>
        <w:tab/>
      </w:r>
      <w:r>
        <w:t>A8-0358/2016</w:t>
      </w:r>
    </w:p>
    <w:p>
      <w:pPr>
        <w:pStyle w:val="NormalBold"/>
      </w:pPr>
      <w:r>
        <w:rPr>
          <w:rStyle w:val="HideTWBExt"/>
        </w:rPr>
        <w:t>&lt;</w:t>
      </w:r>
      <w:r>
        <w:rPr>
          <w:rStyle w:val="HideTWBExt"/>
        </w:rPr>
        <w:t>Rapporteur</w:t>
      </w:r>
      <w:r>
        <w:rPr>
          <w:rStyle w:val="HideTWBExt"/>
        </w:rPr>
        <w:t>&gt;</w:t>
      </w:r>
      <w:r>
        <w:t>Jerzy Buzek</w:t>
      </w:r>
      <w:r>
        <w:rPr>
          <w:rStyle w:val="HideTWBExt"/>
        </w:rPr>
        <w:t>&lt;/</w:t>
      </w:r>
      <w:r>
        <w:rPr>
          <w:rStyle w:val="HideTWBExt"/>
        </w:rPr>
        <w:t>Rapporteur</w:t>
      </w:r>
      <w:r>
        <w:rPr>
          <w:rStyle w:val="HideTWBExt"/>
        </w:rPr>
        <w:t>&gt;</w:t>
      </w:r>
    </w:p>
    <w:p>
      <w:pPr>
        <w:pStyle w:val="Normal12"/>
      </w:pPr>
      <w:r>
        <w:rPr>
          <w:rStyle w:val="HideTWBExt"/>
        </w:rPr>
        <w:t>&lt;</w:t>
      </w:r>
      <w:r>
        <w:rPr>
          <w:rStyle w:val="HideTWBExt"/>
        </w:rPr>
        <w:t>Titre</w:t>
      </w:r>
      <w:r>
        <w:rPr>
          <w:rStyle w:val="HideTWBExt"/>
        </w:rPr>
        <w:t>&gt;</w:t>
      </w:r>
      <w:r>
        <w:t>Hiili- ja terästutkimusrahaston tutkimusohjelma</w:t>
      </w:r>
      <w:r>
        <w:rPr>
          <w:rStyle w:val="HideTWBExt"/>
        </w:rPr>
        <w:t>&lt;/</w:t>
      </w:r>
      <w:r>
        <w:rPr>
          <w:rStyle w:val="HideTWBExt"/>
        </w:rPr>
        <w:t>Titre</w:t>
      </w:r>
      <w:r>
        <w:rPr>
          <w:rStyle w:val="HideTWBExt"/>
        </w:rPr>
        <w:t>&gt;</w:t>
      </w:r>
    </w:p>
    <w:p>
      <w:pPr>
        <w:pStyle w:val="Normal12"/>
      </w:pPr>
      <w:r>
        <w:rPr>
          <w:rStyle w:val="HideTWBExt"/>
        </w:rPr>
        <w:t>&lt;</w:t>
      </w:r>
      <w:r>
        <w:rPr>
          <w:rStyle w:val="HideTWBExt"/>
        </w:rPr>
        <w:t>DocRef</w:t>
      </w:r>
      <w:r>
        <w:rPr>
          <w:rStyle w:val="HideTWBExt"/>
        </w:rPr>
        <w:t>&gt;</w:t>
      </w:r>
      <w:r>
        <w:t>(</w:t>
      </w:r>
      <w:r>
        <w:t>COM(2016)0075</w:t>
      </w:r>
      <w:r>
        <w:t xml:space="preserve"> - </w:t>
      </w:r>
      <w:r>
        <w:t>C8-0099/2016</w:t>
      </w:r>
      <w:r>
        <w:t xml:space="preserve"> - </w:t>
      </w:r>
      <w:r>
        <w:t>2016/0047(NLE)</w:t>
      </w:r>
      <w:r>
        <w:t>)</w:t>
      </w:r>
      <w:r>
        <w:rPr>
          <w:rStyle w:val="HideTWBExt"/>
        </w:rPr>
        <w:t>&lt;/</w:t>
      </w:r>
      <w:r>
        <w:rPr>
          <w:rStyle w:val="HideTWBExt"/>
        </w:rPr>
        <w:t>DocRef</w:t>
      </w:r>
      <w:r>
        <w:rPr>
          <w:rStyle w:val="HideTWBExt"/>
        </w:rPr>
        <w:t>&gt;</w:t>
      </w:r>
    </w:p>
    <w:p>
      <w:pPr>
        <w:pStyle w:val="Normal12"/>
      </w:pPr>
    </w:p>
    <w:p>
      <w:pPr>
        <w:pStyle w:val="NormalBold"/>
      </w:pPr>
      <w:r>
        <w:rPr>
          <w:rStyle w:val="HideTWBExt"/>
        </w:rPr>
        <w:t>&lt;</w:t>
      </w:r>
      <w:r>
        <w:rPr>
          <w:rStyle w:val="HideTWBExt"/>
        </w:rPr>
        <w:t>Article</w:t>
      </w:r>
      <w:r>
        <w:rPr>
          <w:rStyle w:val="HideTWBExt"/>
        </w:rPr>
        <w:t>&gt;</w:t>
      </w:r>
      <w:r>
        <w:t>1 artikla – 1 kohta – 3 alakohta</w:t>
      </w:r>
      <w:r>
        <w:rPr>
          <w:rStyle w:val="HideTWBExt"/>
        </w:rPr>
        <w:t>&lt;/</w:t>
      </w:r>
      <w:r>
        <w:rPr>
          <w:rStyle w:val="HideTWBExt"/>
        </w:rPr>
        <w:t>Article</w:t>
      </w:r>
      <w:r>
        <w:rPr>
          <w:rStyle w:val="HideTWBExt"/>
        </w:rPr>
        <w:t>&gt;</w:t>
      </w:r>
    </w:p>
    <w:p>
      <w:r>
        <w:rPr>
          <w:rStyle w:val="HideTWBExt"/>
        </w:rPr>
        <w:t>&lt;</w:t>
      </w:r>
      <w:r>
        <w:rPr>
          <w:rStyle w:val="HideTWBExt"/>
        </w:rPr>
        <w:t>DocAmend2</w:t>
      </w:r>
      <w:r>
        <w:rPr>
          <w:rStyle w:val="HideTWBExt"/>
        </w:rPr>
        <w:t>&gt;</w:t>
      </w:r>
      <w:r>
        <w:t>Päätös 2008/376/EY</w:t>
      </w:r>
      <w:r>
        <w:rPr>
          <w:rStyle w:val="HideTWBExt"/>
        </w:rPr>
        <w:t>&lt;/</w:t>
      </w:r>
      <w:r>
        <w:rPr>
          <w:rStyle w:val="HideTWBExt"/>
        </w:rPr>
        <w:t>DocAmend2</w:t>
      </w:r>
      <w:r>
        <w:rPr>
          <w:rStyle w:val="HideTWBExt"/>
        </w:rPr>
        <w:t>&gt;</w:t>
      </w:r>
    </w:p>
    <w:p>
      <w:r>
        <w:rPr>
          <w:rStyle w:val="HideTWBExt"/>
        </w:rPr>
        <w:t>&lt;</w:t>
      </w:r>
      <w:r>
        <w:rPr>
          <w:rStyle w:val="HideTWBExt"/>
        </w:rPr>
        <w:t>Article2</w:t>
      </w:r>
      <w:r>
        <w:rPr>
          <w:rStyle w:val="HideTWBExt"/>
        </w:rPr>
        <w:t>&gt;</w:t>
      </w:r>
      <w:r>
        <w:t>24 artikla – 2 kohta – 1 alakohta</w:t>
      </w:r>
      <w:r>
        <w:rPr>
          <w:rStyle w:val="HideTWBExt"/>
        </w:rPr>
        <w:t>&lt;/</w:t>
      </w:r>
      <w:r>
        <w:rPr>
          <w:rStyle w:val="HideTWBExt"/>
        </w:rPr>
        <w:t>Article2</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Komission teksti</w:t>
            </w:r>
          </w:p>
        </w:tc>
        <w:tc>
          <w:tcPr/>
          <w:p>
            <w:pPr>
              <w:pStyle w:val="ColumnHeading"/>
            </w:pPr>
            <w:r>
              <w:t>Tarkistus</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Teknisten ryhmien jäsenet valitaan asiantuntijoista, joilla on pätevyys tutkimusstrategian, hallinnon tai tuotannon alalla II luvun 3 ja 4 jaksossa tarkoitetuilla aloilla ja jotka ovat vastanneet julkisiin hakemuspyyntöihin.</w:t>
            </w:r>
          </w:p>
        </w:tc>
        <w:tc>
          <w:tcPr/>
          <w:p>
            <w:pPr>
              <w:pStyle w:val="Normal6"/>
            </w:pPr>
            <w:r>
              <w:t>Teknisten ryhmien jäsenet valitaan asiantuntijoista, joilla on pätevyys tutkimusstrategian, hallinnon</w:t>
            </w:r>
            <w:r>
              <w:rPr>
                <w:rFonts w:ascii="Times New Roman" w:eastAsia="Times New Roman" w:hAnsi="Times New Roman" w:cs="Times New Roman"/>
                <w:b/>
                <w:i/>
                <w:strike w:val="0"/>
                <w:color w:val="000000"/>
                <w:sz w:val="24"/>
                <w:highlight w:val="none"/>
                <w:u w:val="none" w:color="auto"/>
              </w:rPr>
              <w:t>, sosiaalisten ja/tai ympäristövaikutusten</w:t>
            </w:r>
            <w:r>
              <w:t xml:space="preserve"> tai tuotannon alalla II luvun 3 ja 4 jaksossa tarkoitetuilla aloilla ja jotka ovat vastanneet julkisiin hakemuspyyntöihin.</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JustificationTitle"/>
      </w:pPr>
      <w:r>
        <w:rPr>
          <w:rStyle w:val="HideTWBExt"/>
        </w:rPr>
        <w:t>&lt;</w:t>
      </w:r>
      <w:r>
        <w:rPr>
          <w:rStyle w:val="HideTWBExt"/>
        </w:rPr>
        <w:t>TitreJust</w:t>
      </w:r>
      <w:r>
        <w:rPr>
          <w:rStyle w:val="HideTWBExt"/>
        </w:rPr>
        <w:t>&gt;</w:t>
      </w:r>
      <w:r>
        <w:t>Perustelu</w:t>
      </w:r>
      <w:r>
        <w:rPr>
          <w:rStyle w:val="HideTWBExt"/>
        </w:rPr>
        <w:t>&lt;/</w:t>
      </w:r>
      <w:r>
        <w:rPr>
          <w:rStyle w:val="HideTWBExt"/>
        </w:rPr>
        <w:t>TitreJust</w:t>
      </w:r>
      <w:r>
        <w:rPr>
          <w:rStyle w:val="HideTWBExt"/>
        </w:rPr>
        <w:t>&gt;</w:t>
      </w:r>
    </w:p>
    <w:p>
      <w:pPr>
        <w:pStyle w:val="Normal12Italic"/>
      </w:pPr>
      <w:r>
        <w:t>Ammattiliittojen edustajien ja kansalaisyhteiskuntaa edustavien valtiosta riippumattomien järjestöjen olisi osallistuttava muun muassa arvioimalla hankkeen vaikutuksia. Asiaan liittyvät pätevyydet olisi siksi mainittava tässä.</w:t>
      </w:r>
    </w:p>
    <w:p>
      <w:pPr>
        <w:pStyle w:val="Interstitial1"/>
      </w:pPr>
      <w:r>
        <w:rPr>
          <w:rStyle w:val="HideTWBExt"/>
        </w:rPr>
        <w:t>&lt;/</w:t>
      </w:r>
      <w:r>
        <w:rPr>
          <w:rStyle w:val="HideTWBExt"/>
        </w:rPr>
        <w:t>Amend</w:t>
      </w:r>
      <w:r>
        <w:rPr>
          <w:rStyle w:val="HideTWBExt"/>
        </w:rPr>
        <w:t>&gt;</w:t>
      </w:r>
      <w:r>
        <w:br w:type="page"/>
      </w:r>
      <w:r>
        <w:rPr>
          <w:rStyle w:val="HideTWBExt"/>
        </w:rPr>
        <w:t>&lt;</w:t>
      </w:r>
      <w:r>
        <w:rPr>
          <w:rStyle w:val="HideTWBExt"/>
        </w:rPr>
        <w:t>Amend</w:t>
      </w:r>
      <w:r>
        <w:rPr>
          <w:rStyle w:val="HideTWBExt"/>
        </w:rPr>
        <w:t>&gt;</w:t>
      </w:r>
      <w:r>
        <w:rPr>
          <w:rStyle w:val="HideTWBExt"/>
        </w:rPr>
        <w:t>&lt;</w:t>
      </w:r>
      <w:r>
        <w:rPr>
          <w:rStyle w:val="HideTWBExt"/>
        </w:rPr>
        <w:t>Date</w:t>
      </w:r>
      <w:r>
        <w:rPr>
          <w:rStyle w:val="HideTWBExt"/>
        </w:rPr>
        <w:t>&gt;</w:t>
      </w:r>
      <w:r>
        <w:rPr>
          <w:rStyle w:val="HideTWBInt"/>
        </w:rPr>
        <w:t>{</w:t>
      </w:r>
      <w:r>
        <w:rPr>
          <w:rStyle w:val="HideTWBInt"/>
        </w:rPr>
        <w:t>07/12/2016</w:t>
      </w:r>
      <w:r>
        <w:rPr>
          <w:rStyle w:val="HideTWBInt"/>
        </w:rPr>
        <w:t>}</w:t>
      </w:r>
      <w:r>
        <w:t>7.12.2016</w:t>
      </w:r>
      <w:r>
        <w:rPr>
          <w:rStyle w:val="HideTWBExt"/>
        </w:rPr>
        <w:t>&lt;/</w:t>
      </w:r>
      <w:r>
        <w:rPr>
          <w:rStyle w:val="HideTWBExt"/>
        </w:rPr>
        <w:t>Date</w:t>
      </w:r>
      <w:r>
        <w:rPr>
          <w:rStyle w:val="HideTWBExt"/>
        </w:rPr>
        <w:t>&gt;</w:t>
      </w:r>
      <w:r>
        <w:tab/>
      </w:r>
      <w:r>
        <w:rPr>
          <w:rStyle w:val="HideTWBExt"/>
        </w:rPr>
        <w:t>&lt;</w:t>
      </w:r>
      <w:r>
        <w:rPr>
          <w:rStyle w:val="HideTWBExt"/>
        </w:rPr>
        <w:t>ANo</w:t>
      </w:r>
      <w:r>
        <w:rPr>
          <w:rStyle w:val="HideTWBExt"/>
        </w:rPr>
        <w:t>&gt;</w:t>
      </w:r>
      <w:r>
        <w:t>A8-0358</w:t>
      </w:r>
      <w:r>
        <w:rPr>
          <w:rStyle w:val="HideTWBExt"/>
        </w:rPr>
        <w:t>&lt;/</w:t>
      </w:r>
      <w:r>
        <w:rPr>
          <w:rStyle w:val="HideTWBExt"/>
        </w:rPr>
        <w:t>ANo</w:t>
      </w:r>
      <w:r>
        <w:rPr>
          <w:rStyle w:val="HideTWBExt"/>
        </w:rPr>
        <w:t>&gt;</w:t>
      </w:r>
      <w:r>
        <w:t>/</w:t>
      </w:r>
      <w:r>
        <w:rPr>
          <w:rStyle w:val="HideTWBExt"/>
        </w:rPr>
        <w:t>&lt;</w:t>
      </w:r>
      <w:r>
        <w:rPr>
          <w:rStyle w:val="HideTWBExt"/>
        </w:rPr>
        <w:t>NumAm</w:t>
      </w:r>
      <w:r>
        <w:rPr>
          <w:rStyle w:val="HideTWBExt"/>
        </w:rPr>
        <w:t>&gt;</w:t>
      </w:r>
      <w:r>
        <w:t>14</w:t>
      </w:r>
      <w:r>
        <w:rPr>
          <w:rStyle w:val="HideTWBExt"/>
        </w:rPr>
        <w:t>&lt;/</w:t>
      </w:r>
      <w:r>
        <w:rPr>
          <w:rStyle w:val="HideTWBExt"/>
        </w:rPr>
        <w:t>NumAm</w:t>
      </w:r>
      <w:r>
        <w:rPr>
          <w:rStyle w:val="HideTWBExt"/>
        </w:rPr>
        <w:t>&gt;</w:t>
      </w:r>
    </w:p>
    <w:p>
      <w:pPr>
        <w:pStyle w:val="AMNumberTabs"/>
      </w:pPr>
      <w:r>
        <w:t>Tarkistus</w:t>
      </w:r>
      <w:r>
        <w:tab/>
      </w:r>
      <w:r>
        <w:tab/>
      </w:r>
      <w:r>
        <w:rPr>
          <w:rStyle w:val="HideTWBExt"/>
        </w:rPr>
        <w:t>&lt;</w:t>
      </w:r>
      <w:r>
        <w:rPr>
          <w:rStyle w:val="HideTWBExt"/>
        </w:rPr>
        <w:t>NumAm</w:t>
      </w:r>
      <w:r>
        <w:rPr>
          <w:rStyle w:val="HideTWBExt"/>
        </w:rPr>
        <w:t>&gt;</w:t>
      </w:r>
      <w:r>
        <w:t>14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Jakop Dalunde</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Verts/ALE</w:t>
      </w:r>
      <w:r>
        <w:rPr>
          <w:rStyle w:val="HideTWBInt"/>
        </w:rPr>
        <w:t>}</w:t>
      </w:r>
      <w:r>
        <w:t>Verts/ALE</w:t>
      </w:r>
      <w:r>
        <w:t>-ryhmän puolesta</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ProjRap"/>
      </w:pPr>
      <w:r>
        <w:rPr>
          <w:rStyle w:val="HideTWBExt"/>
        </w:rPr>
        <w:t>&lt;</w:t>
      </w:r>
      <w:r>
        <w:rPr>
          <w:rStyle w:val="HideTWBExt"/>
        </w:rPr>
        <w:t>TitreType</w:t>
      </w:r>
      <w:r>
        <w:rPr>
          <w:rStyle w:val="HideTWBExt"/>
        </w:rPr>
        <w:t>&gt;</w:t>
      </w:r>
      <w:r>
        <w:t>Mietintö</w:t>
      </w:r>
      <w:r>
        <w:rPr>
          <w:rStyle w:val="HideTWBExt"/>
        </w:rPr>
        <w:t>&lt;/</w:t>
      </w:r>
      <w:r>
        <w:rPr>
          <w:rStyle w:val="HideTWBExt"/>
        </w:rPr>
        <w:t>TitreType</w:t>
      </w:r>
      <w:r>
        <w:rPr>
          <w:rStyle w:val="HideTWBExt"/>
        </w:rPr>
        <w:t>&gt;</w:t>
      </w:r>
      <w:r>
        <w:tab/>
      </w:r>
      <w:r>
        <w:t>A8-0358/2016</w:t>
      </w:r>
    </w:p>
    <w:p>
      <w:pPr>
        <w:pStyle w:val="NormalBold"/>
      </w:pPr>
      <w:r>
        <w:rPr>
          <w:rStyle w:val="HideTWBExt"/>
        </w:rPr>
        <w:t>&lt;</w:t>
      </w:r>
      <w:r>
        <w:rPr>
          <w:rStyle w:val="HideTWBExt"/>
        </w:rPr>
        <w:t>Rapporteur</w:t>
      </w:r>
      <w:r>
        <w:rPr>
          <w:rStyle w:val="HideTWBExt"/>
        </w:rPr>
        <w:t>&gt;</w:t>
      </w:r>
      <w:r>
        <w:t>Jerzy Buzek</w:t>
      </w:r>
      <w:r>
        <w:rPr>
          <w:rStyle w:val="HideTWBExt"/>
        </w:rPr>
        <w:t>&lt;/</w:t>
      </w:r>
      <w:r>
        <w:rPr>
          <w:rStyle w:val="HideTWBExt"/>
        </w:rPr>
        <w:t>Rapporteur</w:t>
      </w:r>
      <w:r>
        <w:rPr>
          <w:rStyle w:val="HideTWBExt"/>
        </w:rPr>
        <w:t>&gt;</w:t>
      </w:r>
    </w:p>
    <w:p>
      <w:pPr>
        <w:pStyle w:val="Normal12"/>
      </w:pPr>
      <w:r>
        <w:rPr>
          <w:rStyle w:val="HideTWBExt"/>
        </w:rPr>
        <w:t>&lt;</w:t>
      </w:r>
      <w:r>
        <w:rPr>
          <w:rStyle w:val="HideTWBExt"/>
        </w:rPr>
        <w:t>Titre</w:t>
      </w:r>
      <w:r>
        <w:rPr>
          <w:rStyle w:val="HideTWBExt"/>
        </w:rPr>
        <w:t>&gt;</w:t>
      </w:r>
      <w:r>
        <w:t>Hiili- ja terästutkimusrahaston tutkimusohjelma</w:t>
      </w:r>
      <w:r>
        <w:rPr>
          <w:rStyle w:val="HideTWBExt"/>
        </w:rPr>
        <w:t>&lt;/</w:t>
      </w:r>
      <w:r>
        <w:rPr>
          <w:rStyle w:val="HideTWBExt"/>
        </w:rPr>
        <w:t>Titre</w:t>
      </w:r>
      <w:r>
        <w:rPr>
          <w:rStyle w:val="HideTWBExt"/>
        </w:rPr>
        <w:t>&gt;</w:t>
      </w:r>
    </w:p>
    <w:p>
      <w:pPr>
        <w:pStyle w:val="Normal12"/>
      </w:pPr>
      <w:r>
        <w:rPr>
          <w:rStyle w:val="HideTWBExt"/>
        </w:rPr>
        <w:t>&lt;</w:t>
      </w:r>
      <w:r>
        <w:rPr>
          <w:rStyle w:val="HideTWBExt"/>
        </w:rPr>
        <w:t>DocRef</w:t>
      </w:r>
      <w:r>
        <w:rPr>
          <w:rStyle w:val="HideTWBExt"/>
        </w:rPr>
        <w:t>&gt;</w:t>
      </w:r>
      <w:r>
        <w:t>(</w:t>
      </w:r>
      <w:r>
        <w:t>COM(2016)0075</w:t>
      </w:r>
      <w:r>
        <w:t xml:space="preserve"> - </w:t>
      </w:r>
      <w:r>
        <w:t>C8-0099/2016</w:t>
      </w:r>
      <w:r>
        <w:t xml:space="preserve"> - </w:t>
      </w:r>
      <w:r>
        <w:t>2016/0047(NLE)</w:t>
      </w:r>
      <w:r>
        <w:t>)</w:t>
      </w:r>
      <w:r>
        <w:rPr>
          <w:rStyle w:val="HideTWBExt"/>
        </w:rPr>
        <w:t>&lt;/</w:t>
      </w:r>
      <w:r>
        <w:rPr>
          <w:rStyle w:val="HideTWBExt"/>
        </w:rPr>
        <w:t>DocRef</w:t>
      </w:r>
      <w:r>
        <w:rPr>
          <w:rStyle w:val="HideTWBExt"/>
        </w:rPr>
        <w:t>&gt;</w:t>
      </w:r>
    </w:p>
    <w:p>
      <w:pPr>
        <w:pStyle w:val="Normal12"/>
      </w:pPr>
    </w:p>
    <w:p>
      <w:pPr>
        <w:pStyle w:val="NormalBold"/>
      </w:pPr>
      <w:r>
        <w:rPr>
          <w:rStyle w:val="HideTWBExt"/>
        </w:rPr>
        <w:t>&lt;</w:t>
      </w:r>
      <w:r>
        <w:rPr>
          <w:rStyle w:val="HideTWBExt"/>
        </w:rPr>
        <w:t>Article</w:t>
      </w:r>
      <w:r>
        <w:rPr>
          <w:rStyle w:val="HideTWBExt"/>
        </w:rPr>
        <w:t>&gt;</w:t>
      </w:r>
      <w:r>
        <w:t>1 artikla – 1 kohta – 3 alakohta</w:t>
      </w:r>
      <w:r>
        <w:rPr>
          <w:rStyle w:val="HideTWBExt"/>
        </w:rPr>
        <w:t>&lt;/</w:t>
      </w:r>
      <w:r>
        <w:rPr>
          <w:rStyle w:val="HideTWBExt"/>
        </w:rPr>
        <w:t>Article</w:t>
      </w:r>
      <w:r>
        <w:rPr>
          <w:rStyle w:val="HideTWBExt"/>
        </w:rPr>
        <w:t>&gt;</w:t>
      </w:r>
    </w:p>
    <w:p>
      <w:r>
        <w:rPr>
          <w:rStyle w:val="HideTWBExt"/>
        </w:rPr>
        <w:t>&lt;</w:t>
      </w:r>
      <w:r>
        <w:rPr>
          <w:rStyle w:val="HideTWBExt"/>
        </w:rPr>
        <w:t>DocAmend2</w:t>
      </w:r>
      <w:r>
        <w:rPr>
          <w:rStyle w:val="HideTWBExt"/>
        </w:rPr>
        <w:t>&gt;</w:t>
      </w:r>
      <w:r>
        <w:t>Päätös 2008/376/EY</w:t>
      </w:r>
      <w:r>
        <w:rPr>
          <w:rStyle w:val="HideTWBExt"/>
        </w:rPr>
        <w:t>&lt;/</w:t>
      </w:r>
      <w:r>
        <w:rPr>
          <w:rStyle w:val="HideTWBExt"/>
        </w:rPr>
        <w:t>DocAmend2</w:t>
      </w:r>
      <w:r>
        <w:rPr>
          <w:rStyle w:val="HideTWBExt"/>
        </w:rPr>
        <w:t>&gt;</w:t>
      </w:r>
    </w:p>
    <w:p>
      <w:r>
        <w:rPr>
          <w:rStyle w:val="HideTWBExt"/>
        </w:rPr>
        <w:t>&lt;</w:t>
      </w:r>
      <w:r>
        <w:rPr>
          <w:rStyle w:val="HideTWBExt"/>
        </w:rPr>
        <w:t>Article2</w:t>
      </w:r>
      <w:r>
        <w:rPr>
          <w:rStyle w:val="HideTWBExt"/>
        </w:rPr>
        <w:t>&gt;</w:t>
      </w:r>
      <w:r>
        <w:t>24 artikla – 3 kohta – 2 alakohta</w:t>
      </w:r>
      <w:r>
        <w:rPr>
          <w:rStyle w:val="HideTWBExt"/>
        </w:rPr>
        <w:t>&lt;/</w:t>
      </w:r>
      <w:r>
        <w:rPr>
          <w:rStyle w:val="HideTWBExt"/>
        </w:rPr>
        <w:t>Article2</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Komission teksti</w:t>
            </w:r>
          </w:p>
        </w:tc>
        <w:tc>
          <w:tcPr/>
          <w:p>
            <w:pPr>
              <w:pStyle w:val="ColumnHeading"/>
            </w:pPr>
            <w:r>
              <w:t>Tarkistus</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Komissio varmistaa, että käytössä on säännöt ja menettelyt, joiden avulla voidaan asianmukaisesti ehkäistä ja hallita tietyn hankkeen arvioinnista vastaavien teknisten ryhmien jäsenten välisiä eturistiriitoja. Näillä menettelyillä on myös turvattava tasavertainen kohtelu ja oikeudenmukaisuus hankkeiden koko seurantaprosessin ajan.</w:t>
            </w:r>
          </w:p>
        </w:tc>
        <w:tc>
          <w:tcPr/>
          <w:p>
            <w:pPr>
              <w:pStyle w:val="Normal6"/>
            </w:pPr>
            <w:r>
              <w:t>Komissio varmistaa, että käytössä on säännöt ja menettelyt, joiden avulla voidaan asianmukaisesti ehkäistä ja hallita tietyn hankkeen arvioinnista vastaavien teknisten ryhmien jäsenten välisiä eturistiriitoja</w:t>
            </w:r>
            <w:r>
              <w:rPr>
                <w:rFonts w:ascii="Times New Roman" w:eastAsia="Times New Roman" w:hAnsi="Times New Roman" w:cs="Times New Roman"/>
                <w:b/>
                <w:i/>
                <w:strike w:val="0"/>
                <w:color w:val="000000"/>
                <w:sz w:val="24"/>
                <w:highlight w:val="none"/>
                <w:u w:val="none" w:color="auto"/>
              </w:rPr>
              <w:t>, myös panemalla täytäntöön valitusmekanismin</w:t>
            </w:r>
            <w:r>
              <w:t>. Näillä menettelyillä on myös turvattava tasavertainen kohtelu ja oikeudenmukaisuus hankkeiden koko seurantaprosessin ajan.</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JustificationTitle"/>
      </w:pPr>
      <w:r>
        <w:rPr>
          <w:rStyle w:val="HideTWBExt"/>
        </w:rPr>
        <w:t>&lt;</w:t>
      </w:r>
      <w:r>
        <w:rPr>
          <w:rStyle w:val="HideTWBExt"/>
        </w:rPr>
        <w:t>TitreJust</w:t>
      </w:r>
      <w:r>
        <w:rPr>
          <w:rStyle w:val="HideTWBExt"/>
        </w:rPr>
        <w:t>&gt;</w:t>
      </w:r>
      <w:r>
        <w:t>Perustelu</w:t>
      </w:r>
      <w:r>
        <w:rPr>
          <w:rStyle w:val="HideTWBExt"/>
        </w:rPr>
        <w:t>&lt;/</w:t>
      </w:r>
      <w:r>
        <w:rPr>
          <w:rStyle w:val="HideTWBExt"/>
        </w:rPr>
        <w:t>TitreJust</w:t>
      </w:r>
      <w:r>
        <w:rPr>
          <w:rStyle w:val="HideTWBExt"/>
        </w:rPr>
        <w:t>&gt;</w:t>
      </w:r>
    </w:p>
    <w:p>
      <w:pPr>
        <w:pStyle w:val="Normal12Italic"/>
      </w:pPr>
      <w:r>
        <w:t>Eturistiriitojen tehokkaaseen hallintaan on sisällyttävä myös valitusmahdollisuus, kuten ehdotettiin komission asiantuntijaryhmien kokoonpanosta ja niitä koskevan rekisterin valvonnasta annetussa parlamentin päätöslauselmassa (2015/2319(INI)).</w:t>
      </w:r>
    </w:p>
    <w:p>
      <w:pPr>
        <w:pStyle w:val="Interstitial1"/>
      </w:pPr>
      <w:r>
        <w:rPr>
          <w:rStyle w:val="HideTWBExt"/>
        </w:rPr>
        <w:t>&lt;/</w:t>
      </w:r>
      <w:r>
        <w:rPr>
          <w:rStyle w:val="HideTWBExt"/>
        </w:rPr>
        <w:t>Amend</w:t>
      </w:r>
      <w:r>
        <w:rPr>
          <w:rStyle w:val="HideTWBExt"/>
        </w:rPr>
        <w:t>&gt;</w:t>
      </w:r>
      <w:r>
        <w:br w:type="page"/>
      </w:r>
      <w:r>
        <w:rPr>
          <w:rStyle w:val="HideTWBExt"/>
        </w:rPr>
        <w:t>&lt;</w:t>
      </w:r>
      <w:r>
        <w:rPr>
          <w:rStyle w:val="HideTWBExt"/>
        </w:rPr>
        <w:t>Amend</w:t>
      </w:r>
      <w:r>
        <w:rPr>
          <w:rStyle w:val="HideTWBExt"/>
        </w:rPr>
        <w:t>&gt;</w:t>
      </w:r>
      <w:r>
        <w:rPr>
          <w:rStyle w:val="HideTWBExt"/>
        </w:rPr>
        <w:t>&lt;</w:t>
      </w:r>
      <w:r>
        <w:rPr>
          <w:rStyle w:val="HideTWBExt"/>
        </w:rPr>
        <w:t>Date</w:t>
      </w:r>
      <w:r>
        <w:rPr>
          <w:rStyle w:val="HideTWBExt"/>
        </w:rPr>
        <w:t>&gt;</w:t>
      </w:r>
      <w:r>
        <w:rPr>
          <w:rStyle w:val="HideTWBInt"/>
        </w:rPr>
        <w:t>{</w:t>
      </w:r>
      <w:r>
        <w:rPr>
          <w:rStyle w:val="HideTWBInt"/>
        </w:rPr>
        <w:t>07/12/2016</w:t>
      </w:r>
      <w:r>
        <w:rPr>
          <w:rStyle w:val="HideTWBInt"/>
        </w:rPr>
        <w:t>}</w:t>
      </w:r>
      <w:r>
        <w:t>7.12.2016</w:t>
      </w:r>
      <w:r>
        <w:rPr>
          <w:rStyle w:val="HideTWBExt"/>
        </w:rPr>
        <w:t>&lt;/</w:t>
      </w:r>
      <w:r>
        <w:rPr>
          <w:rStyle w:val="HideTWBExt"/>
        </w:rPr>
        <w:t>Date</w:t>
      </w:r>
      <w:r>
        <w:rPr>
          <w:rStyle w:val="HideTWBExt"/>
        </w:rPr>
        <w:t>&gt;</w:t>
      </w:r>
      <w:r>
        <w:tab/>
      </w:r>
      <w:r>
        <w:rPr>
          <w:rStyle w:val="HideTWBExt"/>
        </w:rPr>
        <w:t>&lt;</w:t>
      </w:r>
      <w:r>
        <w:rPr>
          <w:rStyle w:val="HideTWBExt"/>
        </w:rPr>
        <w:t>ANo</w:t>
      </w:r>
      <w:r>
        <w:rPr>
          <w:rStyle w:val="HideTWBExt"/>
        </w:rPr>
        <w:t>&gt;</w:t>
      </w:r>
      <w:r>
        <w:t>A8-0358</w:t>
      </w:r>
      <w:r>
        <w:rPr>
          <w:rStyle w:val="HideTWBExt"/>
        </w:rPr>
        <w:t>&lt;/</w:t>
      </w:r>
      <w:r>
        <w:rPr>
          <w:rStyle w:val="HideTWBExt"/>
        </w:rPr>
        <w:t>ANo</w:t>
      </w:r>
      <w:r>
        <w:rPr>
          <w:rStyle w:val="HideTWBExt"/>
        </w:rPr>
        <w:t>&gt;</w:t>
      </w:r>
      <w:r>
        <w:t>/</w:t>
      </w:r>
      <w:r>
        <w:rPr>
          <w:rStyle w:val="HideTWBExt"/>
        </w:rPr>
        <w:t>&lt;</w:t>
      </w:r>
      <w:r>
        <w:rPr>
          <w:rStyle w:val="HideTWBExt"/>
        </w:rPr>
        <w:t>NumAm</w:t>
      </w:r>
      <w:r>
        <w:rPr>
          <w:rStyle w:val="HideTWBExt"/>
        </w:rPr>
        <w:t>&gt;</w:t>
      </w:r>
      <w:r>
        <w:t>15</w:t>
      </w:r>
      <w:r>
        <w:rPr>
          <w:rStyle w:val="HideTWBExt"/>
        </w:rPr>
        <w:t>&lt;/</w:t>
      </w:r>
      <w:r>
        <w:rPr>
          <w:rStyle w:val="HideTWBExt"/>
        </w:rPr>
        <w:t>NumAm</w:t>
      </w:r>
      <w:r>
        <w:rPr>
          <w:rStyle w:val="HideTWBExt"/>
        </w:rPr>
        <w:t>&gt;</w:t>
      </w:r>
    </w:p>
    <w:p>
      <w:pPr>
        <w:pStyle w:val="AMNumberTabs"/>
      </w:pPr>
      <w:r>
        <w:t>Tarkistus</w:t>
      </w:r>
      <w:r>
        <w:tab/>
      </w:r>
      <w:r>
        <w:tab/>
      </w:r>
      <w:r>
        <w:rPr>
          <w:rStyle w:val="HideTWBExt"/>
        </w:rPr>
        <w:t>&lt;</w:t>
      </w:r>
      <w:r>
        <w:rPr>
          <w:rStyle w:val="HideTWBExt"/>
        </w:rPr>
        <w:t>NumAm</w:t>
      </w:r>
      <w:r>
        <w:rPr>
          <w:rStyle w:val="HideTWBExt"/>
        </w:rPr>
        <w:t>&gt;</w:t>
      </w:r>
      <w:r>
        <w:t>15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Jakop Dalunde</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Verts/ALE</w:t>
      </w:r>
      <w:r>
        <w:rPr>
          <w:rStyle w:val="HideTWBInt"/>
        </w:rPr>
        <w:t>}</w:t>
      </w:r>
      <w:r>
        <w:t>Verts/ALE</w:t>
      </w:r>
      <w:r>
        <w:t>-ryhmän puolesta</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ProjRap"/>
      </w:pPr>
      <w:r>
        <w:rPr>
          <w:rStyle w:val="HideTWBExt"/>
        </w:rPr>
        <w:t>&lt;</w:t>
      </w:r>
      <w:r>
        <w:rPr>
          <w:rStyle w:val="HideTWBExt"/>
        </w:rPr>
        <w:t>TitreType</w:t>
      </w:r>
      <w:r>
        <w:rPr>
          <w:rStyle w:val="HideTWBExt"/>
        </w:rPr>
        <w:t>&gt;</w:t>
      </w:r>
      <w:r>
        <w:t>Mietintö</w:t>
      </w:r>
      <w:r>
        <w:rPr>
          <w:rStyle w:val="HideTWBExt"/>
        </w:rPr>
        <w:t>&lt;/</w:t>
      </w:r>
      <w:r>
        <w:rPr>
          <w:rStyle w:val="HideTWBExt"/>
        </w:rPr>
        <w:t>TitreType</w:t>
      </w:r>
      <w:r>
        <w:rPr>
          <w:rStyle w:val="HideTWBExt"/>
        </w:rPr>
        <w:t>&gt;</w:t>
      </w:r>
      <w:r>
        <w:tab/>
      </w:r>
      <w:r>
        <w:t>A8-0358/2016</w:t>
      </w:r>
    </w:p>
    <w:p>
      <w:pPr>
        <w:pStyle w:val="NormalBold"/>
      </w:pPr>
      <w:r>
        <w:rPr>
          <w:rStyle w:val="HideTWBExt"/>
        </w:rPr>
        <w:t>&lt;</w:t>
      </w:r>
      <w:r>
        <w:rPr>
          <w:rStyle w:val="HideTWBExt"/>
        </w:rPr>
        <w:t>Rapporteur</w:t>
      </w:r>
      <w:r>
        <w:rPr>
          <w:rStyle w:val="HideTWBExt"/>
        </w:rPr>
        <w:t>&gt;</w:t>
      </w:r>
      <w:r>
        <w:t>Jerzy Buzek</w:t>
      </w:r>
      <w:r>
        <w:rPr>
          <w:rStyle w:val="HideTWBExt"/>
        </w:rPr>
        <w:t>&lt;/</w:t>
      </w:r>
      <w:r>
        <w:rPr>
          <w:rStyle w:val="HideTWBExt"/>
        </w:rPr>
        <w:t>Rapporteur</w:t>
      </w:r>
      <w:r>
        <w:rPr>
          <w:rStyle w:val="HideTWBExt"/>
        </w:rPr>
        <w:t>&gt;</w:t>
      </w:r>
    </w:p>
    <w:p>
      <w:pPr>
        <w:pStyle w:val="Normal12"/>
      </w:pPr>
      <w:r>
        <w:rPr>
          <w:rStyle w:val="HideTWBExt"/>
        </w:rPr>
        <w:t>&lt;</w:t>
      </w:r>
      <w:r>
        <w:rPr>
          <w:rStyle w:val="HideTWBExt"/>
        </w:rPr>
        <w:t>Titre</w:t>
      </w:r>
      <w:r>
        <w:rPr>
          <w:rStyle w:val="HideTWBExt"/>
        </w:rPr>
        <w:t>&gt;</w:t>
      </w:r>
      <w:r>
        <w:t>Hiili- ja terästutkimusrahaston tutkimusohjelma</w:t>
      </w:r>
      <w:r>
        <w:rPr>
          <w:rStyle w:val="HideTWBExt"/>
        </w:rPr>
        <w:t>&lt;/</w:t>
      </w:r>
      <w:r>
        <w:rPr>
          <w:rStyle w:val="HideTWBExt"/>
        </w:rPr>
        <w:t>Titre</w:t>
      </w:r>
      <w:r>
        <w:rPr>
          <w:rStyle w:val="HideTWBExt"/>
        </w:rPr>
        <w:t>&gt;</w:t>
      </w:r>
    </w:p>
    <w:p>
      <w:pPr>
        <w:pStyle w:val="Normal12"/>
      </w:pPr>
      <w:r>
        <w:rPr>
          <w:rStyle w:val="HideTWBExt"/>
        </w:rPr>
        <w:t>&lt;</w:t>
      </w:r>
      <w:r>
        <w:rPr>
          <w:rStyle w:val="HideTWBExt"/>
        </w:rPr>
        <w:t>DocRef</w:t>
      </w:r>
      <w:r>
        <w:rPr>
          <w:rStyle w:val="HideTWBExt"/>
        </w:rPr>
        <w:t>&gt;</w:t>
      </w:r>
      <w:r>
        <w:t>(</w:t>
      </w:r>
      <w:r>
        <w:t>COM(2016)0075</w:t>
      </w:r>
      <w:r>
        <w:t xml:space="preserve"> - </w:t>
      </w:r>
      <w:r>
        <w:t>C8-0099/2016</w:t>
      </w:r>
      <w:r>
        <w:t xml:space="preserve"> - </w:t>
      </w:r>
      <w:r>
        <w:t>2016/0047(NLE)</w:t>
      </w:r>
      <w:r>
        <w:t>)</w:t>
      </w:r>
      <w:r>
        <w:rPr>
          <w:rStyle w:val="HideTWBExt"/>
        </w:rPr>
        <w:t>&lt;/</w:t>
      </w:r>
      <w:r>
        <w:rPr>
          <w:rStyle w:val="HideTWBExt"/>
        </w:rPr>
        <w:t>DocRef</w:t>
      </w:r>
      <w:r>
        <w:rPr>
          <w:rStyle w:val="HideTWBExt"/>
        </w:rPr>
        <w:t>&gt;</w:t>
      </w:r>
    </w:p>
    <w:p>
      <w:pPr>
        <w:pStyle w:val="Normal12"/>
      </w:pPr>
    </w:p>
    <w:p>
      <w:pPr>
        <w:pStyle w:val="NormalBold"/>
      </w:pPr>
      <w:r>
        <w:rPr>
          <w:rStyle w:val="HideTWBExt"/>
        </w:rPr>
        <w:t>&lt;</w:t>
      </w:r>
      <w:r>
        <w:rPr>
          <w:rStyle w:val="HideTWBExt"/>
        </w:rPr>
        <w:t>Article</w:t>
      </w:r>
      <w:r>
        <w:rPr>
          <w:rStyle w:val="HideTWBExt"/>
        </w:rPr>
        <w:t>&gt;</w:t>
      </w:r>
      <w:r>
        <w:t>1 artikla – 1 kohta – 3 alakohta</w:t>
      </w:r>
      <w:r>
        <w:rPr>
          <w:rStyle w:val="HideTWBExt"/>
        </w:rPr>
        <w:t>&lt;/</w:t>
      </w:r>
      <w:r>
        <w:rPr>
          <w:rStyle w:val="HideTWBExt"/>
        </w:rPr>
        <w:t>Article</w:t>
      </w:r>
      <w:r>
        <w:rPr>
          <w:rStyle w:val="HideTWBExt"/>
        </w:rPr>
        <w:t>&gt;</w:t>
      </w:r>
    </w:p>
    <w:p>
      <w:r>
        <w:rPr>
          <w:rStyle w:val="HideTWBExt"/>
        </w:rPr>
        <w:t>&lt;</w:t>
      </w:r>
      <w:r>
        <w:rPr>
          <w:rStyle w:val="HideTWBExt"/>
        </w:rPr>
        <w:t>DocAmend2</w:t>
      </w:r>
      <w:r>
        <w:rPr>
          <w:rStyle w:val="HideTWBExt"/>
        </w:rPr>
        <w:t>&gt;</w:t>
      </w:r>
      <w:r>
        <w:t>Päätös 2008/376/EY</w:t>
      </w:r>
      <w:r>
        <w:rPr>
          <w:rStyle w:val="HideTWBExt"/>
        </w:rPr>
        <w:t>&lt;/</w:t>
      </w:r>
      <w:r>
        <w:rPr>
          <w:rStyle w:val="HideTWBExt"/>
        </w:rPr>
        <w:t>DocAmend2</w:t>
      </w:r>
      <w:r>
        <w:rPr>
          <w:rStyle w:val="HideTWBExt"/>
        </w:rPr>
        <w:t>&gt;</w:t>
      </w:r>
    </w:p>
    <w:p>
      <w:r>
        <w:rPr>
          <w:rStyle w:val="HideTWBExt"/>
        </w:rPr>
        <w:t>&lt;</w:t>
      </w:r>
      <w:r>
        <w:rPr>
          <w:rStyle w:val="HideTWBExt"/>
        </w:rPr>
        <w:t>Article2</w:t>
      </w:r>
      <w:r>
        <w:rPr>
          <w:rStyle w:val="HideTWBExt"/>
        </w:rPr>
        <w:t>&gt;</w:t>
      </w:r>
      <w:r>
        <w:t>24 artikla – 3 a kohta (uusi)</w:t>
      </w:r>
      <w:r>
        <w:rPr>
          <w:rStyle w:val="HideTWBExt"/>
        </w:rPr>
        <w:t>&lt;/</w:t>
      </w:r>
      <w:r>
        <w:rPr>
          <w:rStyle w:val="HideTWBExt"/>
        </w:rPr>
        <w:t>Article2</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Komission teksti</w:t>
            </w:r>
          </w:p>
        </w:tc>
        <w:tc>
          <w:tcPr/>
          <w:p>
            <w:pPr>
              <w:pStyle w:val="ColumnHeading"/>
            </w:pPr>
            <w:r>
              <w:t>Tarkistus</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3 a.</w:t>
            </w:r>
            <w:r>
              <w:tab/>
            </w:r>
            <w:r>
              <w:rPr>
                <w:rFonts w:ascii="Times New Roman" w:eastAsia="Times New Roman" w:hAnsi="Times New Roman" w:cs="Times New Roman"/>
                <w:b/>
                <w:i/>
                <w:strike w:val="0"/>
                <w:color w:val="000000"/>
                <w:sz w:val="24"/>
                <w:highlight w:val="none"/>
                <w:u w:val="none" w:color="auto"/>
              </w:rPr>
              <w:t>Komissio huolehtii mahdollisimman laajasta avoimuudesta, mukaan lukien esityslistan, tausta-asiakirjojen, äänestystulosten, yksityiskohtaisten pöytäkirjojen ja mahdollisten eriävien mielipiteiden julkistaminen Euroopan oikeusasiamiehen suosituksen mukaisesti.</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JustificationTitle"/>
      </w:pPr>
      <w:r>
        <w:rPr>
          <w:rStyle w:val="HideTWBExt"/>
        </w:rPr>
        <w:t>&lt;</w:t>
      </w:r>
      <w:r>
        <w:rPr>
          <w:rStyle w:val="HideTWBExt"/>
        </w:rPr>
        <w:t>TitreJust</w:t>
      </w:r>
      <w:r>
        <w:rPr>
          <w:rStyle w:val="HideTWBExt"/>
        </w:rPr>
        <w:t>&gt;</w:t>
      </w:r>
      <w:r>
        <w:t>Perustelu</w:t>
      </w:r>
      <w:r>
        <w:rPr>
          <w:rStyle w:val="HideTWBExt"/>
        </w:rPr>
        <w:t>&lt;/</w:t>
      </w:r>
      <w:r>
        <w:rPr>
          <w:rStyle w:val="HideTWBExt"/>
        </w:rPr>
        <w:t>TitreJust</w:t>
      </w:r>
      <w:r>
        <w:rPr>
          <w:rStyle w:val="HideTWBExt"/>
        </w:rPr>
        <w:t>&gt;</w:t>
      </w:r>
    </w:p>
    <w:p>
      <w:pPr>
        <w:pStyle w:val="Normal12Italic"/>
      </w:pPr>
      <w:r>
        <w:t>Oikeusasiamiehen suositus 2. helmikuuta 2016, http://www.ombudsman.europa.eu/fi/press/release.faces/en/63520/html.bookmark</w:t>
      </w:r>
    </w:p>
    <w:p>
      <w:pPr>
        <w:pStyle w:val="Normal12Italic"/>
      </w:pPr>
      <w:r>
        <w:rPr>
          <w:rStyle w:val="HideTWBExt"/>
        </w:rPr>
        <w:t>&lt;/</w:t>
      </w:r>
      <w:r>
        <w:rPr>
          <w:rStyle w:val="HideTWBExt"/>
        </w:rPr>
        <w:t>Amend</w:t>
      </w:r>
      <w:r>
        <w:rPr>
          <w:rStyle w:val="HideTWBExt"/>
        </w:rPr>
        <w:t>&gt;</w:t>
      </w:r>
      <w:r>
        <w:rPr>
          <w:rStyle w:val="HideTWBExt"/>
        </w:rPr>
        <w:t>&lt;/</w:t>
      </w:r>
      <w:r>
        <w:rPr>
          <w:rStyle w:val="HideTWBExt"/>
        </w:rPr>
        <w:t>RepeatBlock-Amend</w:t>
      </w:r>
      <w:r>
        <w:rPr>
          <w:rStyle w:val="HideTWBExt"/>
        </w:rPr>
        <w:t>&gt;</w:t>
      </w:r>
    </w:p>
    <w:sectPr>
      <w:footerReference w:type="even" r:id="rId4"/>
      <w:footerReference w:type="default" r:id="rId5"/>
      <w:footerReference w:type="first" r:id="rId6"/>
      <w:pgSz w:w="11906" w:h="16838"/>
      <w:pgMar w:top="1134" w:right="1417" w:bottom="1417" w:left="1417" w:header="1134" w:footer="567"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rStyle w:val="HideTWBExt"/>
      </w:rPr>
      <w:t>&lt;</w:t>
    </w:r>
    <w:r>
      <w:rPr>
        <w:rStyle w:val="HideTWBExt"/>
      </w:rPr>
      <w:t>PathFdR</w:t>
    </w:r>
    <w:r>
      <w:rPr>
        <w:rStyle w:val="HideTWBExt"/>
      </w:rPr>
      <w:t>&gt;</w:t>
    </w:r>
    <w:r>
      <w:t>AM\1112152FI.docx</w:t>
    </w:r>
    <w:r>
      <w:rPr>
        <w:rStyle w:val="HideTWBExt"/>
      </w:rPr>
      <w:t>&lt;/</w:t>
    </w:r>
    <w:r>
      <w:rPr>
        <w:rStyle w:val="HideTWBExt"/>
      </w:rPr>
      <w:t>PathFdR</w:t>
    </w:r>
    <w:r>
      <w:rPr>
        <w:rStyle w:val="HideTWBExt"/>
      </w:rPr>
      <w:t>&gt;</w:t>
    </w:r>
    <w:r>
      <w:tab/>
    </w:r>
    <w:r>
      <w:tab/>
    </w:r>
    <w:r>
      <w:t>PE</w:t>
    </w:r>
    <w:r>
      <w:rPr>
        <w:rStyle w:val="HideTWBExt"/>
      </w:rPr>
      <w:t>&lt;</w:t>
    </w:r>
    <w:r>
      <w:rPr>
        <w:rStyle w:val="HideTWBExt"/>
      </w:rPr>
      <w:t>NoPE</w:t>
    </w:r>
    <w:r>
      <w:rPr>
        <w:rStyle w:val="HideTWBExt"/>
      </w:rPr>
      <w:t>&gt;</w:t>
    </w:r>
    <w:r>
      <w:t>596.595</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Footer2"/>
    </w:pPr>
    <w:r>
      <w:t>FI</w:t>
    </w:r>
    <w:r>
      <w:tab/>
    </w:r>
    <w:r>
      <w:rPr>
        <w:rStyle w:val="Footer2Middle"/>
      </w:rPr>
      <w:t>Moninaisuudessaan yhtenäinen</w:t>
    </w:r>
    <w:r>
      <w:tab/>
    </w:r>
    <w:r>
      <w:t>FI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rStyle w:val="HideTWBExt"/>
      </w:rPr>
      <w:t>&lt;</w:t>
    </w:r>
    <w:r>
      <w:rPr>
        <w:rStyle w:val="HideTWBExt"/>
      </w:rPr>
      <w:t>PathFdR</w:t>
    </w:r>
    <w:r>
      <w:rPr>
        <w:rStyle w:val="HideTWBExt"/>
      </w:rPr>
      <w:t>&gt;</w:t>
    </w:r>
    <w:r>
      <w:t>AM\1112152FI.docx</w:t>
    </w:r>
    <w:r>
      <w:rPr>
        <w:rStyle w:val="HideTWBExt"/>
      </w:rPr>
      <w:t>&lt;/</w:t>
    </w:r>
    <w:r>
      <w:rPr>
        <w:rStyle w:val="HideTWBExt"/>
      </w:rPr>
      <w:t>PathFdR</w:t>
    </w:r>
    <w:r>
      <w:rPr>
        <w:rStyle w:val="HideTWBExt"/>
      </w:rPr>
      <w:t>&gt;</w:t>
    </w:r>
    <w:r>
      <w:tab/>
    </w:r>
    <w:r>
      <w:tab/>
    </w:r>
    <w:r>
      <w:t>PE</w:t>
    </w:r>
    <w:r>
      <w:rPr>
        <w:rStyle w:val="HideTWBExt"/>
      </w:rPr>
      <w:t>&lt;</w:t>
    </w:r>
    <w:r>
      <w:rPr>
        <w:rStyle w:val="HideTWBExt"/>
      </w:rPr>
      <w:t>NoPE</w:t>
    </w:r>
    <w:r>
      <w:rPr>
        <w:rStyle w:val="HideTWBExt"/>
      </w:rPr>
      <w:t>&gt;</w:t>
    </w:r>
    <w:r>
      <w:t>596.595</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Footer2"/>
    </w:pPr>
    <w:r>
      <w:t>FI</w:t>
    </w:r>
    <w:r>
      <w:tab/>
    </w:r>
    <w:r>
      <w:rPr>
        <w:rStyle w:val="Footer2Middle"/>
      </w:rPr>
      <w:t>Moninaisuudessaan yhtenäinen</w:t>
    </w:r>
    <w:r>
      <w:tab/>
    </w:r>
    <w:r>
      <w:t>FI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rStyle w:val="HideTWBExt"/>
      </w:rPr>
      <w:t>&lt;</w:t>
    </w:r>
    <w:r>
      <w:rPr>
        <w:rStyle w:val="HideTWBExt"/>
      </w:rPr>
      <w:t>PathFdR</w:t>
    </w:r>
    <w:r>
      <w:rPr>
        <w:rStyle w:val="HideTWBExt"/>
      </w:rPr>
      <w:t>&gt;</w:t>
    </w:r>
    <w:r>
      <w:t>AM\1112152FI.docx</w:t>
    </w:r>
    <w:r>
      <w:rPr>
        <w:rStyle w:val="HideTWBExt"/>
      </w:rPr>
      <w:t>&lt;/</w:t>
    </w:r>
    <w:r>
      <w:rPr>
        <w:rStyle w:val="HideTWBExt"/>
      </w:rPr>
      <w:t>PathFdR</w:t>
    </w:r>
    <w:r>
      <w:rPr>
        <w:rStyle w:val="HideTWBExt"/>
      </w:rPr>
      <w:t>&gt;</w:t>
    </w:r>
    <w:r>
      <w:tab/>
    </w:r>
    <w:r>
      <w:tab/>
    </w:r>
    <w:r>
      <w:t>PE</w:t>
    </w:r>
    <w:r>
      <w:rPr>
        <w:rStyle w:val="HideTWBExt"/>
      </w:rPr>
      <w:t>&lt;</w:t>
    </w:r>
    <w:r>
      <w:rPr>
        <w:rStyle w:val="HideTWBExt"/>
      </w:rPr>
      <w:t>NoPE</w:t>
    </w:r>
    <w:r>
      <w:rPr>
        <w:rStyle w:val="HideTWBExt"/>
      </w:rPr>
      <w:t>&gt;</w:t>
    </w:r>
    <w:r>
      <w:t>596.595</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Footer2"/>
    </w:pPr>
    <w:r>
      <w:t>FI</w:t>
    </w:r>
    <w:r>
      <w:tab/>
    </w:r>
    <w:r>
      <w:rPr>
        <w:rStyle w:val="Footer2Middle"/>
      </w:rPr>
      <w:t>Moninaisuudessaan yhtenäinen</w:t>
    </w:r>
    <w:r>
      <w:tab/>
    </w:r>
    <w:r>
      <w:t>FI</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D311CB"/>
    <w:pPr>
      <w:keepNext/>
      <w:keepLines/>
      <w:spacing w:before="40"/>
      <w:outlineLvl w:val="1"/>
    </w:pPr>
    <w:rPr>
      <w:rFonts w:ascii="Cambria" w:eastAsia="Times New Roman" w:hAnsi="Cambria" w:cs="Times New Roman"/>
      <w:color w:val="365F91" w:themeShade="BF"/>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MNumberTabs">
    <w:name w:val="AMNumberTabs"/>
    <w:basedOn w:val="Normal"/>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color w:val="000000"/>
      <w:sz w:val="24"/>
      <w:szCs w:val="24"/>
    </w:rPr>
  </w:style>
  <w:style w:type="paragraph" w:styleId="BalloonText">
    <w:name w:val="Balloon Text"/>
    <w:basedOn w:val="Normal"/>
    <w:link w:val="BalloonTextChar"/>
    <w:rsid w:val="00F82F23"/>
    <w:rPr>
      <w:rFonts w:ascii="Tahoma" w:hAnsi="Tahoma" w:cs="Tahoma"/>
      <w:sz w:val="16"/>
      <w:szCs w:val="16"/>
    </w:rPr>
  </w:style>
  <w:style w:type="character" w:customStyle="1" w:styleId="BalloonTextChar">
    <w:name w:val="Balloon Text Char"/>
    <w:basedOn w:val="DefaultParagraphFont"/>
    <w:link w:val="BalloonText"/>
    <w:rsid w:val="00F82F23"/>
    <w:rPr>
      <w:rFonts w:ascii="Tahoma" w:hAnsi="Tahoma" w:cs="Tahoma"/>
      <w:sz w:val="16"/>
      <w:szCs w:val="16"/>
    </w:rPr>
  </w:style>
  <w:style w:type="character" w:customStyle="1" w:styleId="BalloonTextChar0">
    <w:name w:val="Balloon Text Char_0"/>
    <w:basedOn w:val="DefaultParagraphFont"/>
    <w:link w:val="BalloonText0"/>
    <w:rsid w:val="00F82F23"/>
    <w:rPr>
      <w:rFonts w:ascii="Tahoma" w:hAnsi="Tahoma" w:cs="Tahoma"/>
      <w:sz w:val="16"/>
      <w:szCs w:val="16"/>
    </w:rPr>
  </w:style>
  <w:style w:type="paragraph" w:customStyle="1" w:styleId="BalloonText0">
    <w:name w:val="Balloon Text_0"/>
    <w:basedOn w:val="Normal"/>
    <w:link w:val="BalloonTextChar0"/>
    <w:rsid w:val="00F82F23"/>
    <w:rPr>
      <w:rFonts w:ascii="Tahoma" w:hAnsi="Tahoma" w:cs="Tahoma"/>
      <w:sz w:val="16"/>
      <w:szCs w:val="16"/>
    </w:rPr>
  </w:style>
  <w:style w:type="character" w:customStyle="1" w:styleId="Bold">
    <w:name w:val="Bold"/>
    <w:uiPriority w:val="1"/>
    <w:qFormat/>
    <w:rsid w:val="00D51378"/>
    <w:rPr>
      <w:rFonts w:ascii="Times New Roman" w:hAnsi="Times New Roman"/>
      <w:b/>
      <w:sz w:val="24"/>
    </w:rPr>
  </w:style>
  <w:style w:type="character" w:customStyle="1" w:styleId="BoldItalic">
    <w:name w:val="BoldItalic"/>
    <w:uiPriority w:val="1"/>
    <w:qFormat/>
    <w:rsid w:val="00B54A9F"/>
    <w:rPr>
      <w:rFonts w:ascii="Times New Roman" w:hAnsi="Times New Roman"/>
      <w:b/>
      <w:i/>
      <w:sz w:val="24"/>
    </w:rPr>
  </w:style>
  <w:style w:type="paragraph" w:customStyle="1" w:styleId="Center">
    <w:name w:val="Center"/>
    <w:pPr>
      <w:spacing w:after="120"/>
      <w:jc w:val="center"/>
    </w:pPr>
    <w:rPr>
      <w:color w:val="000000"/>
    </w:rPr>
  </w:style>
  <w:style w:type="paragraph" w:customStyle="1" w:styleId="ColumnHeading">
    <w:name w:val="ColumnHeading"/>
    <w:basedOn w:val="Normal"/>
    <w:pPr>
      <w:spacing w:after="240"/>
      <w:jc w:val="center"/>
    </w:pPr>
    <w:rPr>
      <w:i/>
      <w:color w:val="000000"/>
      <w:sz w:val="24"/>
      <w:szCs w:val="24"/>
    </w:rPr>
  </w:style>
  <w:style w:type="paragraph" w:customStyle="1" w:styleId="Cover24">
    <w:name w:val="Cover24"/>
    <w:pPr>
      <w:spacing w:after="480"/>
      <w:ind w:left="1418"/>
    </w:pPr>
    <w:rPr>
      <w:color w:val="000000"/>
      <w:sz w:val="24"/>
      <w:szCs w:val="24"/>
    </w:rPr>
  </w:style>
  <w:style w:type="paragraph" w:customStyle="1" w:styleId="CoverBold">
    <w:name w:val="CoverBold"/>
    <w:pPr>
      <w:ind w:left="1418"/>
    </w:pPr>
    <w:rPr>
      <w:b/>
      <w:color w:val="000000"/>
      <w:sz w:val="24"/>
      <w:szCs w:val="24"/>
    </w:rPr>
  </w:style>
  <w:style w:type="paragraph" w:customStyle="1" w:styleId="CoverNormal">
    <w:name w:val="CoverNormal"/>
    <w:basedOn w:val="Normal"/>
    <w:pPr>
      <w:ind w:left="1418"/>
    </w:pPr>
    <w:rPr>
      <w:color w:val="000000"/>
      <w:sz w:val="24"/>
      <w:szCs w:val="24"/>
    </w:rPr>
  </w:style>
  <w:style w:type="paragraph" w:customStyle="1" w:styleId="CrossRef">
    <w:name w:val="CrossRef"/>
    <w:pPr>
      <w:spacing w:before="240"/>
      <w:jc w:val="center"/>
    </w:pPr>
    <w:rPr>
      <w:i/>
      <w:color w:val="000000"/>
      <w:sz w:val="24"/>
    </w:rPr>
  </w:style>
  <w:style w:type="character" w:customStyle="1" w:styleId="DefaultParagraphFont0">
    <w:name w:val="Default Paragraph Font_0"/>
    <w:next w:val="DefaultParagraphFont"/>
    <w:uiPriority w:val="1"/>
    <w:semiHidden/>
    <w:unhideWhenUsed/>
  </w:style>
  <w:style w:type="character" w:customStyle="1" w:styleId="FootNoteMarker">
    <w:name w:val="FootNoteMarker"/>
    <w:rPr>
      <w:color w:val="000000"/>
      <w:vertAlign w:val="superscript"/>
    </w:rPr>
  </w:style>
  <w:style w:type="paragraph" w:styleId="Footer">
    <w:name w:val="footer"/>
    <w:basedOn w:val="Normal"/>
    <w:link w:val="FooterChar"/>
    <w:rsid w:val="00F54C98"/>
    <w:pPr>
      <w:tabs>
        <w:tab w:val="center" w:pos="4536"/>
        <w:tab w:val="right" w:pos="9072"/>
      </w:tabs>
      <w:spacing w:before="240" w:after="240"/>
    </w:pPr>
    <w:rPr>
      <w:sz w:val="22"/>
      <w:szCs w:val="24"/>
    </w:rPr>
  </w:style>
  <w:style w:type="character" w:customStyle="1" w:styleId="FooterChar">
    <w:name w:val="Footer Char"/>
    <w:basedOn w:val="DefaultParagraphFont"/>
    <w:link w:val="Footer"/>
    <w:rsid w:val="00F54C98"/>
    <w:rPr>
      <w:sz w:val="22"/>
      <w:szCs w:val="24"/>
    </w:rPr>
  </w:style>
  <w:style w:type="character" w:customStyle="1" w:styleId="FooterChar0">
    <w:name w:val="Footer Char_0"/>
    <w:basedOn w:val="DefaultParagraphFont"/>
    <w:link w:val="Footer0"/>
    <w:rsid w:val="00F54C98"/>
    <w:rPr>
      <w:sz w:val="22"/>
      <w:szCs w:val="24"/>
    </w:rPr>
  </w:style>
  <w:style w:type="paragraph" w:customStyle="1" w:styleId="Footer0">
    <w:name w:val="Footer_0"/>
    <w:basedOn w:val="Normal"/>
    <w:link w:val="FooterChar0"/>
    <w:rsid w:val="00F54C98"/>
    <w:pPr>
      <w:tabs>
        <w:tab w:val="center" w:pos="4536"/>
        <w:tab w:val="right" w:pos="9072"/>
      </w:tabs>
      <w:spacing w:before="240" w:after="240"/>
    </w:pPr>
    <w:rPr>
      <w:sz w:val="22"/>
      <w:szCs w:val="24"/>
    </w:rPr>
  </w:style>
  <w:style w:type="paragraph" w:customStyle="1" w:styleId="Footer1">
    <w:name w:val="Footer1"/>
    <w:pPr>
      <w:tabs>
        <w:tab w:val="center" w:pos="4536"/>
        <w:tab w:val="right" w:pos="9072"/>
      </w:tabs>
      <w:spacing w:before="240" w:after="240" w:line="220" w:lineRule="auto"/>
    </w:pPr>
    <w:rPr>
      <w:color w:val="000000"/>
      <w:sz w:val="22"/>
      <w:szCs w:val="24"/>
    </w:rPr>
  </w:style>
  <w:style w:type="paragraph" w:customStyle="1" w:styleId="Footer2">
    <w:name w:val="Footer2"/>
    <w:pPr>
      <w:tabs>
        <w:tab w:val="center" w:pos="4535"/>
        <w:tab w:val="right" w:pos="9072"/>
        <w:tab w:val="right" w:pos="9923"/>
      </w:tabs>
      <w:spacing w:before="0" w:after="0" w:line="480" w:lineRule="auto"/>
      <w:ind w:left="-851" w:right="-284"/>
    </w:pPr>
    <w:rPr>
      <w:rFonts w:ascii="Arial" w:eastAsia="Arial" w:hAnsi="Arial" w:cs="Arial"/>
      <w:b/>
      <w:color w:val="000000"/>
      <w:sz w:val="48"/>
      <w:szCs w:val="24"/>
    </w:rPr>
  </w:style>
  <w:style w:type="paragraph" w:customStyle="1" w:styleId="Footer2Landscape">
    <w:name w:val="Footer2Landscape"/>
    <w:qFormat/>
    <w:rsid w:val="002F0BDD"/>
    <w:pPr>
      <w:tabs>
        <w:tab w:val="center" w:pos="4535"/>
        <w:tab w:val="center" w:pos="6804"/>
        <w:tab w:val="clear" w:pos="9072"/>
        <w:tab w:val="clear" w:pos="9923"/>
        <w:tab w:val="center" w:pos="13608"/>
      </w:tabs>
      <w:spacing w:before="0" w:after="0" w:line="480" w:lineRule="auto"/>
      <w:ind w:left="-851" w:right="-284"/>
    </w:pPr>
    <w:rPr>
      <w:rFonts w:ascii="Arial" w:eastAsia="Arial" w:hAnsi="Arial" w:cs="Arial"/>
      <w:b/>
      <w:color w:val="000000"/>
      <w:sz w:val="48"/>
      <w:szCs w:val="24"/>
    </w:rPr>
  </w:style>
  <w:style w:type="character" w:customStyle="1" w:styleId="Footer2Middle">
    <w:name w:val="Footer2Middle"/>
    <w:rPr>
      <w:rFonts w:ascii="Arial" w:eastAsia="Arial" w:hAnsi="Arial" w:cs="Arial"/>
      <w:b w:val="0"/>
      <w:i/>
      <w:color w:val="C0C0C0"/>
      <w:sz w:val="22"/>
    </w:rPr>
  </w:style>
  <w:style w:type="paragraph" w:customStyle="1" w:styleId="FooterLandscape">
    <w:name w:val="FooterLandscape"/>
    <w:qFormat/>
    <w:rsid w:val="00645FC6"/>
    <w:pPr>
      <w:tabs>
        <w:tab w:val="center" w:pos="4536"/>
        <w:tab w:val="clear" w:pos="9072"/>
        <w:tab w:val="center" w:pos="13608"/>
      </w:tabs>
      <w:spacing w:before="240" w:after="240"/>
    </w:pPr>
    <w:rPr>
      <w:sz w:val="22"/>
      <w:szCs w:val="24"/>
    </w:rPr>
  </w:style>
  <w:style w:type="paragraph" w:customStyle="1" w:styleId="FooterRc">
    <w:name w:val="FooterRc"/>
    <w:basedOn w:val="Normal"/>
    <w:link w:val="FooterRcChar"/>
    <w:qFormat/>
    <w:rsid w:val="001B2A8C"/>
    <w:pPr>
      <w:tabs>
        <w:tab w:val="left" w:pos="6237"/>
      </w:tabs>
    </w:pPr>
    <w:rPr>
      <w:sz w:val="22"/>
      <w:szCs w:val="24"/>
    </w:rPr>
  </w:style>
  <w:style w:type="character" w:customStyle="1" w:styleId="FooterRcChar">
    <w:name w:val="FooterRc Char"/>
    <w:basedOn w:val="DefaultParagraphFont"/>
    <w:link w:val="FooterRc"/>
    <w:rsid w:val="001B2A8C"/>
    <w:rPr>
      <w:sz w:val="22"/>
      <w:szCs w:val="24"/>
    </w:rPr>
  </w:style>
  <w:style w:type="character" w:customStyle="1" w:styleId="FooterRcChar0">
    <w:name w:val="FooterRc Char_0"/>
    <w:basedOn w:val="DefaultParagraphFont"/>
    <w:link w:val="FooterRc0"/>
    <w:rsid w:val="001B2A8C"/>
    <w:rPr>
      <w:sz w:val="22"/>
      <w:szCs w:val="24"/>
    </w:rPr>
  </w:style>
  <w:style w:type="paragraph" w:customStyle="1" w:styleId="FooterRc0">
    <w:name w:val="FooterRc_0"/>
    <w:basedOn w:val="Normal"/>
    <w:link w:val="FooterRcChar0"/>
    <w:qFormat/>
    <w:rsid w:val="001B2A8C"/>
    <w:pPr>
      <w:tabs>
        <w:tab w:val="left" w:pos="6237"/>
      </w:tabs>
    </w:pPr>
    <w:rPr>
      <w:sz w:val="22"/>
      <w:szCs w:val="24"/>
    </w:rPr>
  </w:style>
  <w:style w:type="paragraph" w:styleId="Header">
    <w:name w:val="header"/>
    <w:basedOn w:val="Normal"/>
    <w:link w:val="HeaderChar"/>
    <w:rsid w:val="00173229"/>
    <w:pPr>
      <w:tabs>
        <w:tab w:val="center" w:pos="4513"/>
        <w:tab w:val="right" w:pos="9026"/>
      </w:tabs>
    </w:pPr>
    <w:rPr>
      <w:sz w:val="24"/>
      <w:szCs w:val="24"/>
    </w:rPr>
  </w:style>
  <w:style w:type="character" w:customStyle="1" w:styleId="HeaderChar">
    <w:name w:val="Header Char"/>
    <w:basedOn w:val="DefaultParagraphFont"/>
    <w:link w:val="Header"/>
    <w:rsid w:val="00173229"/>
    <w:rPr>
      <w:sz w:val="24"/>
      <w:szCs w:val="24"/>
    </w:rPr>
  </w:style>
  <w:style w:type="character" w:customStyle="1" w:styleId="HeaderChar0">
    <w:name w:val="Header Char_0"/>
    <w:basedOn w:val="DefaultParagraphFont"/>
    <w:link w:val="Header0"/>
    <w:rsid w:val="00173229"/>
    <w:rPr>
      <w:sz w:val="24"/>
      <w:szCs w:val="24"/>
    </w:rPr>
  </w:style>
  <w:style w:type="paragraph" w:customStyle="1" w:styleId="Header0">
    <w:name w:val="Header_0"/>
    <w:basedOn w:val="Normal"/>
    <w:link w:val="HeaderChar0"/>
    <w:rsid w:val="00173229"/>
    <w:pPr>
      <w:tabs>
        <w:tab w:val="center" w:pos="4513"/>
        <w:tab w:val="right" w:pos="9026"/>
      </w:tabs>
    </w:pPr>
    <w:rPr>
      <w:sz w:val="24"/>
      <w:szCs w:val="24"/>
    </w:rPr>
  </w:style>
  <w:style w:type="character" w:customStyle="1" w:styleId="Heading2Char">
    <w:name w:val="Heading 2 Char"/>
    <w:basedOn w:val="DefaultParagraphFont"/>
    <w:link w:val="Heading2"/>
    <w:rsid w:val="00D311CB"/>
    <w:rPr>
      <w:rFonts w:ascii="Cambria" w:eastAsia="Times New Roman" w:hAnsi="Cambria" w:cs="Times New Roman"/>
      <w:color w:val="365F91" w:themeShade="BF"/>
      <w:sz w:val="26"/>
      <w:szCs w:val="26"/>
    </w:rPr>
  </w:style>
  <w:style w:type="character" w:customStyle="1" w:styleId="Heading2Char0">
    <w:name w:val="Heading 2 Char_0"/>
    <w:basedOn w:val="DefaultParagraphFont"/>
    <w:link w:val="Heading20"/>
    <w:rsid w:val="00D311CB"/>
    <w:rPr>
      <w:rFonts w:ascii="Cambria" w:eastAsia="Times New Roman" w:hAnsi="Cambria" w:cs="Times New Roman"/>
      <w:color w:val="365F91" w:themeShade="BF"/>
      <w:sz w:val="26"/>
      <w:szCs w:val="26"/>
    </w:rPr>
  </w:style>
  <w:style w:type="paragraph" w:customStyle="1" w:styleId="Heading20">
    <w:name w:val="Heading 2_0"/>
    <w:basedOn w:val="Normal"/>
    <w:next w:val="Normal"/>
    <w:link w:val="Heading2Char0"/>
    <w:unhideWhenUsed/>
    <w:qFormat/>
    <w:rsid w:val="00D311CB"/>
    <w:pPr>
      <w:keepNext/>
      <w:keepLines/>
      <w:spacing w:before="40"/>
      <w:outlineLvl w:val="1"/>
    </w:pPr>
    <w:rPr>
      <w:rFonts w:ascii="Cambria" w:eastAsia="Times New Roman" w:hAnsi="Cambria" w:cs="Times New Roman"/>
      <w:color w:val="365F91" w:themeShade="BF"/>
      <w:sz w:val="26"/>
      <w:szCs w:val="26"/>
    </w:rPr>
  </w:style>
  <w:style w:type="character" w:customStyle="1" w:styleId="HideTWBExt">
    <w:name w:val="HideTWBExt"/>
    <w:basedOn w:val="DefaultParagraphFont"/>
    <w:rPr>
      <w:rFonts w:ascii="Arial" w:eastAsia="Arial" w:hAnsi="Arial" w:cs="Arial"/>
      <w:b w:val="0"/>
      <w:i w:val="0"/>
      <w:caps w:val="0"/>
      <w:vanish/>
      <w:color w:val="000080"/>
      <w:sz w:val="20"/>
    </w:rPr>
  </w:style>
  <w:style w:type="character" w:customStyle="1" w:styleId="HideTWBInt">
    <w:name w:val="HideTWBInt"/>
    <w:basedOn w:val="DefaultParagraphFont"/>
    <w:rPr>
      <w:rFonts w:ascii="Arial" w:eastAsia="Arial" w:hAnsi="Arial" w:cs="Arial"/>
      <w:b w:val="0"/>
      <w:caps w:val="0"/>
      <w:vanish/>
      <w:color w:val="808080"/>
      <w:sz w:val="22"/>
    </w:rPr>
  </w:style>
  <w:style w:type="paragraph" w:customStyle="1" w:styleId="Interstitial1">
    <w:name w:val="Interstitial1"/>
    <w:next w:val="Normal"/>
    <w:rsid w:val="00E24A24"/>
    <w:pPr>
      <w:tabs>
        <w:tab w:val="right" w:pos="9072"/>
      </w:tabs>
      <w:spacing w:before="0" w:after="0"/>
      <w:ind w:right="-284"/>
    </w:pPr>
    <w:rPr>
      <w:color w:val="000000"/>
      <w:sz w:val="22"/>
      <w:szCs w:val="24"/>
    </w:rPr>
  </w:style>
  <w:style w:type="paragraph" w:customStyle="1" w:styleId="InterstitialRc">
    <w:name w:val="InterstitialRc"/>
    <w:qFormat/>
    <w:rsid w:val="00171BBB"/>
    <w:pPr>
      <w:tabs>
        <w:tab w:val="left" w:pos="5670"/>
      </w:tabs>
      <w:spacing w:before="240" w:after="240"/>
    </w:pPr>
    <w:rPr>
      <w:color w:val="000000"/>
      <w:sz w:val="24"/>
      <w:szCs w:val="24"/>
    </w:rPr>
  </w:style>
  <w:style w:type="character" w:customStyle="1" w:styleId="Italic">
    <w:name w:val="Italic"/>
    <w:uiPriority w:val="1"/>
    <w:qFormat/>
    <w:rsid w:val="00D51378"/>
    <w:rPr>
      <w:rFonts w:ascii="Times New Roman" w:hAnsi="Times New Roman"/>
      <w:i/>
      <w:sz w:val="24"/>
    </w:rPr>
  </w:style>
  <w:style w:type="paragraph" w:customStyle="1" w:styleId="JustificationTitle">
    <w:name w:val="JustificationTitle"/>
    <w:pPr>
      <w:keepNext/>
      <w:spacing w:before="240" w:after="240"/>
      <w:jc w:val="center"/>
    </w:pPr>
    <w:rPr>
      <w:i/>
      <w:color w:val="000000"/>
      <w:sz w:val="24"/>
      <w:szCs w:val="24"/>
    </w:rPr>
  </w:style>
  <w:style w:type="paragraph" w:customStyle="1" w:styleId="LineBottom">
    <w:name w:val="LineBottom"/>
    <w:basedOn w:val="Normal"/>
    <w:next w:val="Normal"/>
    <w:pPr>
      <w:pBdr>
        <w:bottom w:val="single" w:sz="4" w:space="0" w:color="auto"/>
      </w:pBdr>
      <w:spacing w:after="960"/>
      <w:jc w:val="center"/>
    </w:pPr>
    <w:rPr>
      <w:rFonts w:ascii="Arial" w:eastAsia="Arial" w:hAnsi="Arial" w:cs="Arial"/>
      <w:color w:val="000000"/>
      <w:sz w:val="16"/>
      <w:szCs w:val="24"/>
    </w:rPr>
  </w:style>
  <w:style w:type="paragraph" w:customStyle="1" w:styleId="LineTop">
    <w:name w:val="LineTop"/>
    <w:basedOn w:val="Normal"/>
    <w:pPr>
      <w:pBdr>
        <w:top w:val="single" w:sz="4" w:space="0" w:color="auto"/>
      </w:pBdr>
      <w:jc w:val="center"/>
    </w:pPr>
    <w:rPr>
      <w:rFonts w:ascii="Arial" w:eastAsia="Arial" w:hAnsi="Arial" w:cs="Arial"/>
      <w:color w:val="000000"/>
      <w:sz w:val="16"/>
      <w:szCs w:val="24"/>
    </w:rPr>
  </w:style>
  <w:style w:type="paragraph" w:customStyle="1" w:styleId="NRAMS">
    <w:name w:val="NRAMS"/>
    <w:pPr>
      <w:spacing w:after="480" w:line="460" w:lineRule="auto"/>
      <w:ind w:left="1418"/>
    </w:pPr>
    <w:rPr>
      <w:rFonts w:ascii="Arial" w:eastAsia="Arial" w:hAnsi="Arial" w:cs="Arial"/>
      <w:b/>
      <w:color w:val="000000"/>
      <w:sz w:val="46"/>
      <w:szCs w:val="24"/>
    </w:rPr>
  </w:style>
  <w:style w:type="numbering" w:customStyle="1" w:styleId="NoList0">
    <w:name w:val="No List_0"/>
    <w:next w:val="NoList"/>
    <w:uiPriority w:val="99"/>
    <w:semiHidden/>
    <w:unhideWhenUsed/>
  </w:style>
  <w:style w:type="paragraph" w:customStyle="1" w:styleId="Normal0">
    <w:name w:val="Normal_0"/>
    <w:next w:val="Normal"/>
    <w:qFormat/>
    <w:rPr>
      <w:sz w:val="24"/>
      <w:szCs w:val="24"/>
    </w:rPr>
  </w:style>
  <w:style w:type="paragraph" w:customStyle="1" w:styleId="Normal12">
    <w:name w:val="Normal12"/>
    <w:basedOn w:val="Normal"/>
    <w:rsid w:val="00F425E5"/>
    <w:rPr>
      <w:color w:val="000000"/>
      <w:sz w:val="24"/>
      <w:szCs w:val="24"/>
    </w:rPr>
  </w:style>
  <w:style w:type="paragraph" w:customStyle="1" w:styleId="Normal12Italic">
    <w:name w:val="Normal12Italic"/>
    <w:pPr>
      <w:tabs>
        <w:tab w:val="right" w:pos="9072"/>
      </w:tabs>
      <w:spacing w:before="0" w:after="0"/>
      <w:ind w:right="-284"/>
    </w:pPr>
    <w:rPr>
      <w:i/>
      <w:color w:val="000000"/>
      <w:sz w:val="22"/>
      <w:szCs w:val="24"/>
    </w:rPr>
  </w:style>
  <w:style w:type="paragraph" w:customStyle="1" w:styleId="Normal12a12b">
    <w:name w:val="Normal12a12b"/>
    <w:basedOn w:val="Normal"/>
    <w:pPr>
      <w:spacing w:before="240" w:after="240"/>
    </w:pPr>
    <w:rPr>
      <w:color w:val="000000"/>
      <w:sz w:val="24"/>
      <w:szCs w:val="24"/>
    </w:rPr>
  </w:style>
  <w:style w:type="paragraph" w:customStyle="1" w:styleId="Normal24">
    <w:name w:val="Normal24"/>
    <w:basedOn w:val="Normal"/>
    <w:pPr>
      <w:spacing w:after="480"/>
    </w:pPr>
    <w:rPr>
      <w:color w:val="000000"/>
      <w:sz w:val="24"/>
      <w:szCs w:val="24"/>
    </w:rPr>
  </w:style>
  <w:style w:type="paragraph" w:customStyle="1" w:styleId="Normal6">
    <w:name w:val="Normal6"/>
    <w:basedOn w:val="Normal"/>
    <w:pPr>
      <w:spacing w:after="120"/>
    </w:pPr>
    <w:rPr>
      <w:color w:val="000000"/>
      <w:sz w:val="24"/>
      <w:szCs w:val="24"/>
    </w:rPr>
  </w:style>
  <w:style w:type="paragraph" w:customStyle="1" w:styleId="Normal6Italic">
    <w:name w:val="Normal6Italic"/>
    <w:basedOn w:val="Normal"/>
    <w:pPr>
      <w:spacing w:after="120"/>
    </w:pPr>
    <w:rPr>
      <w:i/>
      <w:color w:val="000000"/>
      <w:sz w:val="24"/>
      <w:szCs w:val="24"/>
    </w:rPr>
  </w:style>
  <w:style w:type="character" w:customStyle="1" w:styleId="Normal6RomanBI">
    <w:name w:val="Normal6RomanBI"/>
    <w:rPr>
      <w:rFonts w:ascii="Times New Roman" w:eastAsia="Times New Roman" w:hAnsi="Times New Roman" w:cs="Times New Roman"/>
      <w:b/>
      <w:i/>
      <w:color w:val="000000"/>
      <w:sz w:val="24"/>
    </w:rPr>
  </w:style>
  <w:style w:type="paragraph" w:customStyle="1" w:styleId="NormalBold">
    <w:name w:val="NormalBold"/>
    <w:basedOn w:val="Normal"/>
    <w:rPr>
      <w:b/>
      <w:color w:val="000000"/>
      <w:sz w:val="24"/>
      <w:szCs w:val="24"/>
    </w:rPr>
  </w:style>
  <w:style w:type="paragraph" w:customStyle="1" w:styleId="NormalBold12b">
    <w:name w:val="NormalBold12b"/>
    <w:basedOn w:val="Normal"/>
    <w:pPr>
      <w:spacing w:before="240"/>
    </w:pPr>
    <w:rPr>
      <w:b/>
      <w:color w:val="000000"/>
      <w:sz w:val="24"/>
      <w:szCs w:val="24"/>
    </w:rPr>
  </w:style>
  <w:style w:type="paragraph" w:customStyle="1" w:styleId="Olang">
    <w:name w:val="Olang"/>
    <w:pPr>
      <w:spacing w:before="240" w:after="240"/>
      <w:jc w:val="right"/>
    </w:pPr>
    <w:rPr>
      <w:color w:val="000000"/>
      <w:sz w:val="24"/>
      <w:szCs w:val="24"/>
    </w:rPr>
  </w:style>
  <w:style w:type="paragraph" w:customStyle="1" w:styleId="PELeft">
    <w:name w:val="PELeft"/>
    <w:basedOn w:val="Normal"/>
    <w:pPr>
      <w:spacing w:before="40" w:after="40" w:line="220" w:lineRule="auto"/>
    </w:pPr>
    <w:rPr>
      <w:rFonts w:ascii="Arial" w:eastAsia="Arial" w:hAnsi="Arial" w:cs="Arial"/>
      <w:color w:val="000000"/>
      <w:sz w:val="22"/>
      <w:szCs w:val="24"/>
    </w:rPr>
  </w:style>
  <w:style w:type="paragraph" w:customStyle="1" w:styleId="PERight">
    <w:name w:val="PERight"/>
    <w:basedOn w:val="Normal"/>
    <w:next w:val="Normal"/>
    <w:pPr>
      <w:spacing w:line="220" w:lineRule="auto"/>
      <w:jc w:val="right"/>
    </w:pPr>
    <w:rPr>
      <w:rFonts w:ascii="Arial" w:eastAsia="Arial" w:hAnsi="Arial" w:cs="Arial"/>
      <w:color w:val="000000"/>
      <w:sz w:val="22"/>
      <w:szCs w:val="24"/>
    </w:rPr>
  </w:style>
  <w:style w:type="paragraph" w:customStyle="1" w:styleId="ProjRap">
    <w:name w:val="ProjRap"/>
    <w:basedOn w:val="Normal"/>
    <w:rsid w:val="00D311CB"/>
    <w:pPr>
      <w:widowControl w:val="0"/>
      <w:tabs>
        <w:tab w:val="right" w:pos="9072"/>
        <w:tab w:val="right" w:pos="13608"/>
      </w:tabs>
      <w:ind w:right="-284"/>
    </w:pPr>
    <w:rPr>
      <w:b/>
      <w:snapToGrid w:val="0"/>
      <w:sz w:val="24"/>
      <w:szCs w:val="20"/>
      <w:lang w:val="fr-FR"/>
    </w:rPr>
  </w:style>
  <w:style w:type="paragraph" w:customStyle="1" w:styleId="RefPE">
    <w:name w:val="RefPE"/>
    <w:basedOn w:val="Normal"/>
    <w:rsid w:val="00A92086"/>
    <w:pPr>
      <w:spacing w:after="240"/>
      <w:jc w:val="right"/>
    </w:pPr>
    <w:rPr>
      <w:rFonts w:ascii="Arial" w:hAnsi="Arial"/>
      <w:b/>
      <w:sz w:val="24"/>
      <w:szCs w:val="24"/>
    </w:rPr>
  </w:style>
  <w:style w:type="paragraph" w:customStyle="1" w:styleId="RefProc">
    <w:name w:val="RefProc"/>
    <w:basedOn w:val="Normal"/>
    <w:pPr>
      <w:spacing w:after="240"/>
      <w:jc w:val="right"/>
    </w:pPr>
    <w:rPr>
      <w:rFonts w:ascii="Arial" w:eastAsia="Arial" w:hAnsi="Arial" w:cs="Arial"/>
      <w:b/>
      <w:caps/>
      <w:color w:val="000000"/>
      <w:sz w:val="22"/>
      <w:szCs w:val="24"/>
    </w:rPr>
  </w:style>
  <w:style w:type="paragraph" w:customStyle="1" w:styleId="StyleNormal6TimesNewRomanBoldItalic">
    <w:name w:val="Style Normal6 + TimesNewRoman Bold Italic"/>
    <w:pPr>
      <w:spacing w:after="120"/>
    </w:pPr>
    <w:rPr>
      <w:b/>
      <w:i/>
      <w:color w:val="000000"/>
      <w:sz w:val="24"/>
      <w:szCs w:val="24"/>
    </w:rPr>
  </w:style>
  <w:style w:type="paragraph" w:customStyle="1" w:styleId="StyleNormalBoldNotBold">
    <w:name w:val="Style NormalBold + Not Bold"/>
    <w:rPr>
      <w:b w:val="0"/>
      <w:color w:val="000000"/>
      <w:sz w:val="24"/>
      <w:szCs w:val="24"/>
    </w:rPr>
  </w:style>
  <w:style w:type="character" w:customStyle="1" w:styleId="Sub">
    <w:name w:val="Sub"/>
    <w:rPr>
      <w:color w:val="000000"/>
      <w:vertAlign w:val="subscript"/>
    </w:rPr>
  </w:style>
  <w:style w:type="character" w:customStyle="1" w:styleId="SubBold">
    <w:name w:val="SubBold"/>
    <w:rPr>
      <w:b/>
      <w:color w:val="000000"/>
      <w:vertAlign w:val="subscript"/>
    </w:rPr>
  </w:style>
  <w:style w:type="character" w:customStyle="1" w:styleId="SubBoldItalic">
    <w:name w:val="SubBoldItalic"/>
    <w:rPr>
      <w:b/>
      <w:i/>
      <w:color w:val="000000"/>
      <w:vertAlign w:val="subscript"/>
    </w:rPr>
  </w:style>
  <w:style w:type="character" w:customStyle="1" w:styleId="SubItalic">
    <w:name w:val="SubItalic"/>
    <w:rPr>
      <w:i/>
      <w:color w:val="000000"/>
      <w:vertAlign w:val="subscript"/>
    </w:rPr>
  </w:style>
  <w:style w:type="character" w:customStyle="1" w:styleId="Sup">
    <w:name w:val="Sup"/>
    <w:rPr>
      <w:color w:val="000000"/>
      <w:vertAlign w:val="superscript"/>
    </w:rPr>
  </w:style>
  <w:style w:type="character" w:customStyle="1" w:styleId="SupBold">
    <w:name w:val="SupBold"/>
    <w:rPr>
      <w:b/>
      <w:color w:val="000000"/>
      <w:vertAlign w:val="superscript"/>
    </w:rPr>
  </w:style>
  <w:style w:type="character" w:customStyle="1" w:styleId="SupBoldItalic">
    <w:name w:val="SupBoldItalic"/>
    <w:rPr>
      <w:b/>
      <w:i/>
      <w:color w:val="000000"/>
      <w:vertAlign w:val="superscript"/>
    </w:rPr>
  </w:style>
  <w:style w:type="character" w:customStyle="1" w:styleId="SupItalic">
    <w:name w:val="SupItalic"/>
    <w:rPr>
      <w:i/>
      <w:color w:val="000000"/>
      <w:vertAlign w:val="superscript"/>
    </w:rPr>
  </w:style>
  <w:style w:type="table" w:customStyle="1" w:styleId="TableNormal0">
    <w:name w:val="Table Normal_0"/>
    <w:next w:val="TableNormal"/>
    <w:uiPriority w:val="99"/>
    <w:semiHidden/>
    <w:unhideWhenUsed/>
    <w:tblPr>
      <w:tblInd w:w="0" w:type="dxa"/>
      <w:tblCellMar>
        <w:top w:w="0" w:type="dxa"/>
        <w:left w:w="108" w:type="dxa"/>
        <w:bottom w:w="0" w:type="dxa"/>
        <w:right w:w="108" w:type="dxa"/>
      </w:tblCellMar>
    </w:tblPr>
  </w:style>
  <w:style w:type="paragraph" w:customStyle="1" w:styleId="TypeDocAM">
    <w:name w:val="TypeDocAM"/>
    <w:basedOn w:val="Normal"/>
    <w:pPr>
      <w:ind w:left="1418"/>
    </w:pPr>
    <w:rPr>
      <w:rFonts w:ascii="Arial" w:eastAsia="Arial" w:hAnsi="Arial" w:cs="Arial"/>
      <w:b/>
      <w:color w:val="000000"/>
      <w:sz w:val="48"/>
      <w:szCs w:val="24"/>
    </w:rPr>
  </w:style>
  <w:style w:type="character" w:customStyle="1" w:styleId="Underline">
    <w:name w:val="Underline"/>
    <w:uiPriority w:val="1"/>
    <w:qFormat/>
    <w:rsid w:val="00D51378"/>
    <w:rPr>
      <w:rFonts w:ascii="Times New Roman" w:hAnsi="Times New Roman"/>
      <w:sz w:val="24"/>
    </w:rPr>
  </w:style>
  <w:style w:type="paragraph" w:customStyle="1" w:styleId="ZCommittee">
    <w:name w:val="ZCommittee"/>
    <w:basedOn w:val="Normal"/>
    <w:next w:val="Normal"/>
    <w:pPr>
      <w:spacing w:line="220" w:lineRule="auto"/>
      <w:jc w:val="center"/>
    </w:pPr>
    <w:rPr>
      <w:rFonts w:ascii="Arial" w:eastAsia="Arial" w:hAnsi="Arial" w:cs="Arial"/>
      <w:i/>
      <w:color w:val="000000"/>
      <w:sz w:val="22"/>
      <w:szCs w:val="24"/>
    </w:rPr>
  </w:style>
  <w:style w:type="paragraph" w:customStyle="1" w:styleId="ZDate">
    <w:name w:val="ZDate"/>
    <w:basedOn w:val="Normal"/>
    <w:pPr>
      <w:spacing w:after="1680"/>
    </w:pPr>
    <w:rPr>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FI</vt:lpwstr>
  </property>
  <property fmtid="{D5CDD505-2E9C-101B-9397-08002B2CF9AE}" pid="3" name="&lt;FdR&gt;">
    <vt:lpwstr>1112152</vt:lpwstr>
  </property>
  <property fmtid="{D5CDD505-2E9C-101B-9397-08002B2CF9AE}" pid="4" name="&lt;FooterPath&gt;">
    <vt:lpwstr>AM\1112152FI.doc</vt:lpwstr>
  </property>
  <property fmtid="{D5CDD505-2E9C-101B-9397-08002B2CF9AE}" pid="5" name="&lt;Model&gt;">
    <vt:lpwstr>AM_Ple_LegReport</vt:lpwstr>
  </property>
  <property fmtid="{D5CDD505-2E9C-101B-9397-08002B2CF9AE}" pid="6" name="&lt;Type&gt;">
    <vt:lpwstr>AM</vt:lpwstr>
  </property>
  <property fmtid="{D5CDD505-2E9C-101B-9397-08002B2CF9AE}" pid="7" name="DMXMLUID">
    <vt:lpwstr>20161208-145427-000014-844179</vt:lpwstr>
  </property>
  <property fmtid="{D5CDD505-2E9C-101B-9397-08002B2CF9AE}" pid="8" name="PE Number">
    <vt:lpwstr>596.595</vt:lpwstr>
  </property>
  <property fmtid="{D5CDD505-2E9C-101B-9397-08002B2CF9AE}" pid="9" name="UID">
    <vt:lpwstr>eu.europa.europarl-DIN1-2016-0000083853_01.00-fi-03.00_text-xml</vt:lpwstr>
  </property>
</Properties>
</file>