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8D50CF" w:rsidTr="00696B79">
        <w:trPr>
          <w:trHeight w:hRule="exact" w:val="1418"/>
        </w:trPr>
        <w:tc>
          <w:tcPr>
            <w:tcW w:w="6804" w:type="dxa"/>
            <w:vAlign w:val="center"/>
            <w:hideMark/>
          </w:tcPr>
          <w:p w:rsidR="00696B79" w:rsidRPr="008D50CF" w:rsidRDefault="00E857D7">
            <w:pPr>
              <w:pStyle w:val="EPName"/>
            </w:pPr>
            <w:bookmarkStart w:id="0" w:name="_GoBack"/>
            <w:bookmarkEnd w:id="0"/>
            <w:r>
              <w:t>Eiropas Parlaments</w:t>
            </w:r>
          </w:p>
          <w:p w:rsidR="00696B79" w:rsidRPr="008D50CF" w:rsidRDefault="006A56ED" w:rsidP="006A56ED">
            <w:pPr>
              <w:pStyle w:val="EPTerm"/>
              <w:rPr>
                <w:rStyle w:val="HideTWBExt"/>
                <w:noProof w:val="0"/>
                <w:vanish w:val="0"/>
                <w:color w:val="auto"/>
              </w:rPr>
            </w:pPr>
            <w:r>
              <w:t>2014-2019</w:t>
            </w:r>
          </w:p>
        </w:tc>
        <w:tc>
          <w:tcPr>
            <w:tcW w:w="2268" w:type="dxa"/>
            <w:hideMark/>
          </w:tcPr>
          <w:p w:rsidR="00696B79" w:rsidRPr="008D50CF" w:rsidRDefault="009A2F48">
            <w:pPr>
              <w:pStyle w:val="EPLogo"/>
            </w:pPr>
            <w:r>
              <w:rPr>
                <w:noProof/>
                <w:lang w:val="en-GB" w:eastAsia="en-GB" w:bidi="ar-SA"/>
              </w:rPr>
              <w:drawing>
                <wp:inline distT="0" distB="0" distL="0" distR="0">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rsidR="001742E9" w:rsidRPr="008D50CF" w:rsidRDefault="001742E9" w:rsidP="001742E9">
      <w:pPr>
        <w:pStyle w:val="LineTop"/>
      </w:pPr>
    </w:p>
    <w:p w:rsidR="001742E9" w:rsidRPr="008D50CF" w:rsidRDefault="009F075D" w:rsidP="001742E9">
      <w:pPr>
        <w:pStyle w:val="ZCommittee"/>
      </w:pPr>
      <w:r>
        <w:t>Sesijas dokuments</w:t>
      </w:r>
    </w:p>
    <w:p w:rsidR="001742E9" w:rsidRPr="008D50CF" w:rsidRDefault="001742E9" w:rsidP="001742E9">
      <w:pPr>
        <w:pStyle w:val="LineBottom"/>
      </w:pPr>
    </w:p>
    <w:p w:rsidR="00B328A0" w:rsidRPr="008D50CF" w:rsidRDefault="009F075D">
      <w:pPr>
        <w:pStyle w:val="RefProc"/>
      </w:pPr>
      <w:r>
        <w:rPr>
          <w:rStyle w:val="HideTWBExt"/>
          <w:noProof w:val="0"/>
        </w:rPr>
        <w:t>&lt;NoDocSe&gt;</w:t>
      </w:r>
      <w:r>
        <w:t>A8-0371/2016</w:t>
      </w:r>
      <w:r>
        <w:rPr>
          <w:rStyle w:val="HideTWBExt"/>
          <w:noProof w:val="0"/>
        </w:rPr>
        <w:t>&lt;/NoDocSe&gt;</w:t>
      </w:r>
    </w:p>
    <w:p w:rsidR="00B328A0" w:rsidRPr="008D50CF" w:rsidRDefault="00B328A0">
      <w:pPr>
        <w:pStyle w:val="ZDate"/>
      </w:pPr>
      <w:r>
        <w:rPr>
          <w:rStyle w:val="HideTWBExt"/>
          <w:noProof w:val="0"/>
        </w:rPr>
        <w:t>&lt;Date&gt;</w:t>
      </w:r>
      <w:r>
        <w:rPr>
          <w:rStyle w:val="HideTWBInt"/>
        </w:rPr>
        <w:t>{07/12/2016}</w:t>
      </w:r>
      <w:r>
        <w:t>7.12.2016</w:t>
      </w:r>
      <w:r>
        <w:rPr>
          <w:rStyle w:val="HideTWBExt"/>
          <w:noProof w:val="0"/>
        </w:rPr>
        <w:t>&lt;/Date&gt;</w:t>
      </w:r>
    </w:p>
    <w:p w:rsidR="00B328A0" w:rsidRPr="008D50CF" w:rsidRDefault="00B328A0">
      <w:pPr>
        <w:pStyle w:val="StarsAndIs"/>
      </w:pPr>
      <w:r>
        <w:rPr>
          <w:rStyle w:val="HideTWBExt"/>
          <w:b w:val="0"/>
          <w:noProof w:val="0"/>
        </w:rPr>
        <w:t>&lt;RefProcLect&gt;</w:t>
      </w:r>
      <w:r>
        <w:t>***II</w:t>
      </w:r>
      <w:r>
        <w:rPr>
          <w:rStyle w:val="HideTWBExt"/>
          <w:b w:val="0"/>
          <w:noProof w:val="0"/>
        </w:rPr>
        <w:t>&lt;/RefProcLect&gt;</w:t>
      </w:r>
    </w:p>
    <w:p w:rsidR="00B328A0" w:rsidRPr="008D50CF" w:rsidRDefault="00B328A0">
      <w:pPr>
        <w:pStyle w:val="TypeDoc"/>
      </w:pPr>
      <w:r>
        <w:rPr>
          <w:rStyle w:val="HideTWBExt"/>
          <w:b w:val="0"/>
          <w:noProof w:val="0"/>
        </w:rPr>
        <w:t>&lt;TitreType&gt;</w:t>
      </w:r>
      <w:r>
        <w:t>IETEIKUMS OTRAJAM LASĪJUMAM</w:t>
      </w:r>
      <w:r>
        <w:rPr>
          <w:rStyle w:val="HideTWBExt"/>
          <w:b w:val="0"/>
          <w:noProof w:val="0"/>
        </w:rPr>
        <w:t>&lt;/TitreType&gt;</w:t>
      </w:r>
    </w:p>
    <w:p w:rsidR="00B328A0" w:rsidRPr="008D50CF" w:rsidRDefault="00B328A0">
      <w:pPr>
        <w:pStyle w:val="CoverNormal"/>
      </w:pPr>
      <w:r>
        <w:rPr>
          <w:rStyle w:val="HideTWBExt"/>
          <w:noProof w:val="0"/>
        </w:rPr>
        <w:t>&lt;</w:t>
      </w:r>
      <w:proofErr w:type="spellStart"/>
      <w:r>
        <w:rPr>
          <w:rStyle w:val="HideTWBExt"/>
          <w:noProof w:val="0"/>
        </w:rPr>
        <w:t>Titre</w:t>
      </w:r>
      <w:proofErr w:type="spellEnd"/>
      <w:r>
        <w:rPr>
          <w:rStyle w:val="HideTWBExt"/>
          <w:noProof w:val="0"/>
        </w:rPr>
        <w:t>&gt;</w:t>
      </w:r>
      <w:r w:rsidR="009A2F48" w:rsidRPr="009A2F48">
        <w:t>par Padomes nostāju pirmajā lasījumā, lai pieņemtu Eiropas Parlamenta un Padomes direktīvu, ar ko Eiropas Parlamenta un Padomes Direktīvu 2012/34/ES groza attiecībā uz iekšzemes dzelzceļa pasažieru pārvadājumu tirgus atvēršanu un dzelzceļa infrastruktūras pārvaldību</w:t>
      </w:r>
      <w:r>
        <w:rPr>
          <w:rStyle w:val="HideTWBExt"/>
          <w:noProof w:val="0"/>
        </w:rPr>
        <w:t>&lt;/</w:t>
      </w:r>
      <w:proofErr w:type="spellStart"/>
      <w:r>
        <w:rPr>
          <w:rStyle w:val="HideTWBExt"/>
          <w:noProof w:val="0"/>
        </w:rPr>
        <w:t>Titre</w:t>
      </w:r>
      <w:proofErr w:type="spellEnd"/>
      <w:r>
        <w:rPr>
          <w:rStyle w:val="HideTWBExt"/>
          <w:noProof w:val="0"/>
        </w:rPr>
        <w:t>&gt;</w:t>
      </w:r>
    </w:p>
    <w:p w:rsidR="00B328A0" w:rsidRPr="008D50CF" w:rsidRDefault="00B328A0">
      <w:pPr>
        <w:pStyle w:val="Cover24"/>
      </w:pPr>
      <w:r>
        <w:rPr>
          <w:rStyle w:val="HideTWBExt"/>
          <w:noProof w:val="0"/>
        </w:rPr>
        <w:t>&lt;DocRef&gt;</w:t>
      </w:r>
      <w:r>
        <w:t>(11199/1/2016 – C8-0426/2016 – 2013/0029(COD))</w:t>
      </w:r>
      <w:r>
        <w:rPr>
          <w:rStyle w:val="HideTWBExt"/>
          <w:noProof w:val="0"/>
        </w:rPr>
        <w:t>&lt;/DocRef&gt;</w:t>
      </w:r>
    </w:p>
    <w:p w:rsidR="00B328A0" w:rsidRPr="008D50CF" w:rsidRDefault="00B328A0">
      <w:pPr>
        <w:pStyle w:val="Cover24"/>
      </w:pPr>
      <w:r>
        <w:rPr>
          <w:rStyle w:val="HideTWBExt"/>
          <w:noProof w:val="0"/>
        </w:rPr>
        <w:t>&lt;Commission&gt;</w:t>
      </w:r>
      <w:r>
        <w:rPr>
          <w:rStyle w:val="HideTWBInt"/>
        </w:rPr>
        <w:t>{TRAN}</w:t>
      </w:r>
      <w:r>
        <w:t>Transporta un tūrisma komiteja</w:t>
      </w:r>
      <w:r>
        <w:rPr>
          <w:rStyle w:val="HideTWBExt"/>
          <w:noProof w:val="0"/>
        </w:rPr>
        <w:t>&lt;/Commission&gt;</w:t>
      </w:r>
    </w:p>
    <w:p w:rsidR="00E91F5F" w:rsidRPr="008D50CF" w:rsidRDefault="006A56ED" w:rsidP="006A56ED">
      <w:pPr>
        <w:pStyle w:val="Cover24"/>
      </w:pPr>
      <w:r>
        <w:t xml:space="preserve">Referents: </w:t>
      </w:r>
      <w:r>
        <w:rPr>
          <w:rStyle w:val="HideTWBExt"/>
          <w:noProof w:val="0"/>
        </w:rPr>
        <w:t>&lt;Depute&gt;</w:t>
      </w:r>
      <w:proofErr w:type="spellStart"/>
      <w:r>
        <w:rPr>
          <w:i/>
        </w:rPr>
        <w:t>David-Maria</w:t>
      </w:r>
      <w:proofErr w:type="spellEnd"/>
      <w:r>
        <w:rPr>
          <w:i/>
        </w:rPr>
        <w:t xml:space="preserve"> </w:t>
      </w:r>
      <w:proofErr w:type="spellStart"/>
      <w:r>
        <w:rPr>
          <w:i/>
        </w:rPr>
        <w:t>Sassoli</w:t>
      </w:r>
      <w:proofErr w:type="spellEnd"/>
      <w:r>
        <w:rPr>
          <w:rStyle w:val="HideTWBExt"/>
          <w:noProof w:val="0"/>
        </w:rPr>
        <w:t>&lt;/Depute&gt;</w:t>
      </w:r>
    </w:p>
    <w:p w:rsidR="00B328A0" w:rsidRPr="008D50CF" w:rsidRDefault="00B328A0" w:rsidP="00744DF3">
      <w:pPr>
        <w:widowControl/>
        <w:tabs>
          <w:tab w:val="center" w:pos="4677"/>
        </w:tabs>
      </w:pPr>
      <w:r>
        <w:br w:type="page"/>
      </w:r>
      <w:bookmarkStart w:id="1" w:name="DocEPTmpStart"/>
      <w:bookmarkEnd w:id="1"/>
    </w:p>
    <w:p w:rsidR="006A56ED" w:rsidRPr="008D50CF" w:rsidRDefault="006A1E5D">
      <w:r>
        <w:t>PR_COD_2app</w:t>
      </w:r>
    </w:p>
    <w:p w:rsidR="006A56ED" w:rsidRPr="008D50CF" w:rsidRDefault="006A56ED"/>
    <w:p w:rsidR="006A56ED" w:rsidRPr="008D50CF" w:rsidRDefault="006A56E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A56ED" w:rsidRPr="008D50CF" w:rsidTr="002905C0">
        <w:tc>
          <w:tcPr>
            <w:tcW w:w="5811" w:type="dxa"/>
            <w:tcBorders>
              <w:top w:val="single" w:sz="4" w:space="0" w:color="auto"/>
            </w:tcBorders>
          </w:tcPr>
          <w:p w:rsidR="006A56ED" w:rsidRPr="008D50CF" w:rsidRDefault="006A56ED" w:rsidP="002905C0">
            <w:pPr>
              <w:pStyle w:val="Lgendetitre"/>
              <w:rPr>
                <w:szCs w:val="24"/>
              </w:rPr>
            </w:pPr>
            <w:r>
              <w:t>Izmantoto apzīmējumu skaidrojums</w:t>
            </w:r>
          </w:p>
        </w:tc>
      </w:tr>
      <w:tr w:rsidR="006A56ED" w:rsidRPr="008D50CF" w:rsidTr="002905C0">
        <w:trPr>
          <w:cantSplit/>
          <w:trHeight w:val="1949"/>
        </w:trPr>
        <w:tc>
          <w:tcPr>
            <w:tcW w:w="5811" w:type="dxa"/>
            <w:tcBorders>
              <w:bottom w:val="single" w:sz="4" w:space="0" w:color="auto"/>
            </w:tcBorders>
          </w:tcPr>
          <w:p w:rsidR="006A56ED" w:rsidRPr="008D50CF" w:rsidRDefault="006A56ED" w:rsidP="002905C0">
            <w:pPr>
              <w:pStyle w:val="Lgendesigne"/>
              <w:rPr>
                <w:szCs w:val="24"/>
              </w:rPr>
            </w:pPr>
            <w:r>
              <w:tab/>
              <w:t>*</w:t>
            </w:r>
            <w:r>
              <w:tab/>
              <w:t>Apspriežu procedūra</w:t>
            </w:r>
            <w:r>
              <w:tab/>
            </w:r>
          </w:p>
          <w:p w:rsidR="006A56ED" w:rsidRPr="008D50CF" w:rsidRDefault="006A56ED" w:rsidP="002905C0">
            <w:pPr>
              <w:pStyle w:val="Lgendesigne"/>
              <w:rPr>
                <w:szCs w:val="24"/>
              </w:rPr>
            </w:pPr>
            <w:r>
              <w:tab/>
              <w:t>***</w:t>
            </w:r>
            <w:r>
              <w:tab/>
              <w:t>Piekrišanas procedūra</w:t>
            </w:r>
          </w:p>
          <w:p w:rsidR="006A56ED" w:rsidRPr="008D50CF" w:rsidRDefault="006A56ED" w:rsidP="002905C0">
            <w:pPr>
              <w:pStyle w:val="Lgendesigne"/>
              <w:rPr>
                <w:szCs w:val="24"/>
              </w:rPr>
            </w:pPr>
            <w:r>
              <w:tab/>
              <w:t>***I</w:t>
            </w:r>
            <w:r>
              <w:tab/>
              <w:t>Parastā likumdošanas procedūra (pirmais lasījums)</w:t>
            </w:r>
          </w:p>
          <w:p w:rsidR="006A56ED" w:rsidRPr="008D50CF" w:rsidRDefault="006A56ED" w:rsidP="002905C0">
            <w:pPr>
              <w:pStyle w:val="Lgendesigne"/>
              <w:rPr>
                <w:szCs w:val="24"/>
              </w:rPr>
            </w:pPr>
            <w:r>
              <w:tab/>
              <w:t>***II</w:t>
            </w:r>
            <w:r>
              <w:tab/>
              <w:t>Parastā likumdošanas procedūra (otrais lasījums)</w:t>
            </w:r>
          </w:p>
          <w:p w:rsidR="006A56ED" w:rsidRPr="008D50CF" w:rsidRDefault="006A56ED" w:rsidP="002905C0">
            <w:pPr>
              <w:pStyle w:val="Lgendesigne"/>
              <w:rPr>
                <w:szCs w:val="24"/>
              </w:rPr>
            </w:pPr>
            <w:r>
              <w:tab/>
              <w:t>***III</w:t>
            </w:r>
            <w:r>
              <w:tab/>
              <w:t>Parastā likumdošanas procedūra (trešais lasījums)</w:t>
            </w:r>
            <w:r>
              <w:br/>
            </w:r>
          </w:p>
          <w:p w:rsidR="006A56ED" w:rsidRPr="008D50CF" w:rsidRDefault="006A56ED" w:rsidP="002905C0">
            <w:pPr>
              <w:pStyle w:val="Lgendestandard"/>
              <w:rPr>
                <w:szCs w:val="24"/>
              </w:rPr>
            </w:pPr>
            <w:r>
              <w:t>(Norādītā procedūra pamatojas uz akta projektā ierosināto juridisko pamatu.)</w:t>
            </w:r>
          </w:p>
          <w:p w:rsidR="006A56ED" w:rsidRPr="008D50CF" w:rsidRDefault="006A56ED" w:rsidP="002905C0">
            <w:pPr>
              <w:pStyle w:val="Lgendestandard"/>
              <w:rPr>
                <w:szCs w:val="24"/>
              </w:rPr>
            </w:pPr>
          </w:p>
        </w:tc>
      </w:tr>
    </w:tbl>
    <w:p w:rsidR="006A56ED" w:rsidRPr="008D50CF" w:rsidRDefault="006A56ED" w:rsidP="002905C0"/>
    <w:p w:rsidR="006A56ED" w:rsidRPr="008D50CF" w:rsidRDefault="006A56ED" w:rsidP="002905C0"/>
    <w:p w:rsidR="006A56ED" w:rsidRPr="008D50CF" w:rsidRDefault="006A56ED" w:rsidP="002905C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A56ED" w:rsidRPr="008D50CF" w:rsidTr="002905C0">
        <w:tc>
          <w:tcPr>
            <w:tcW w:w="5811" w:type="dxa"/>
            <w:tcBorders>
              <w:top w:val="single" w:sz="4" w:space="0" w:color="auto"/>
            </w:tcBorders>
          </w:tcPr>
          <w:p w:rsidR="006A56ED" w:rsidRPr="008D50CF" w:rsidRDefault="006A56ED" w:rsidP="002905C0">
            <w:pPr>
              <w:pStyle w:val="Lgendetitre"/>
              <w:rPr>
                <w:szCs w:val="24"/>
              </w:rPr>
            </w:pPr>
            <w:r>
              <w:t>Grozījumi akta projektā</w:t>
            </w:r>
          </w:p>
        </w:tc>
      </w:tr>
      <w:tr w:rsidR="006A56ED" w:rsidRPr="008D50CF" w:rsidTr="002905C0">
        <w:tc>
          <w:tcPr>
            <w:tcW w:w="5811" w:type="dxa"/>
            <w:tcBorders>
              <w:bottom w:val="single" w:sz="4" w:space="0" w:color="auto"/>
            </w:tcBorders>
          </w:tcPr>
          <w:p w:rsidR="006A56ED" w:rsidRPr="008D50CF" w:rsidRDefault="006A56ED" w:rsidP="002905C0">
            <w:pPr>
              <w:pStyle w:val="Lgendestandard"/>
              <w:rPr>
                <w:szCs w:val="24"/>
              </w:rPr>
            </w:pPr>
          </w:p>
          <w:p w:rsidR="006A56ED" w:rsidRPr="008D50CF" w:rsidRDefault="006A56ED" w:rsidP="002905C0">
            <w:pPr>
              <w:pStyle w:val="Lgendestandard"/>
              <w:rPr>
                <w:szCs w:val="24"/>
              </w:rPr>
            </w:pPr>
            <w:r>
              <w:rPr>
                <w:b/>
              </w:rPr>
              <w:t>Parlamenta grozījumi, kas sagatavoti divās slejās</w:t>
            </w:r>
          </w:p>
          <w:p w:rsidR="006A56ED" w:rsidRPr="008D50CF" w:rsidRDefault="006A56ED" w:rsidP="002905C0">
            <w:pPr>
              <w:pStyle w:val="Lgendestandard"/>
              <w:rPr>
                <w:szCs w:val="24"/>
              </w:rPr>
            </w:pPr>
          </w:p>
          <w:p w:rsidR="006A56ED" w:rsidRPr="008D50CF" w:rsidRDefault="006A56ED" w:rsidP="002905C0">
            <w:pPr>
              <w:pStyle w:val="Lgendestandard"/>
              <w:rPr>
                <w:szCs w:val="24"/>
              </w:rPr>
            </w:pPr>
            <w:r>
              <w:t xml:space="preserve">Svītrotās teksta daļas iezīmē </w:t>
            </w:r>
            <w:r>
              <w:rPr>
                <w:b/>
                <w:i/>
              </w:rPr>
              <w:t>treknā slīprakstā</w:t>
            </w:r>
            <w:r>
              <w:t xml:space="preserve"> kreisajā slejā. Aizstātās teksta daļas iezīmē </w:t>
            </w:r>
            <w:r>
              <w:rPr>
                <w:b/>
                <w:i/>
              </w:rPr>
              <w:t>treknā slīprakstā</w:t>
            </w:r>
            <w:r>
              <w:t xml:space="preserve"> abās slejās. Jauno tekstu iezīmē </w:t>
            </w:r>
            <w:r>
              <w:rPr>
                <w:b/>
                <w:i/>
              </w:rPr>
              <w:t>treknā slīprakstā</w:t>
            </w:r>
            <w:r>
              <w:t xml:space="preserve"> labajā slejā.</w:t>
            </w:r>
          </w:p>
          <w:p w:rsidR="006A56ED" w:rsidRPr="008D50CF" w:rsidRDefault="006A56ED" w:rsidP="002905C0">
            <w:pPr>
              <w:pStyle w:val="Lgendestandard"/>
              <w:rPr>
                <w:szCs w:val="24"/>
              </w:rPr>
            </w:pPr>
          </w:p>
          <w:p w:rsidR="006A56ED" w:rsidRPr="008D50CF" w:rsidRDefault="006A56ED" w:rsidP="002905C0">
            <w:pPr>
              <w:pStyle w:val="Lgendestandard"/>
              <w:rPr>
                <w:szCs w:val="24"/>
              </w:rPr>
            </w:pPr>
            <w:r>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6A56ED" w:rsidRPr="008D50CF" w:rsidRDefault="006A56ED" w:rsidP="002905C0">
            <w:pPr>
              <w:pStyle w:val="Lgendestandard"/>
              <w:rPr>
                <w:szCs w:val="24"/>
              </w:rPr>
            </w:pPr>
          </w:p>
          <w:p w:rsidR="006A56ED" w:rsidRPr="008D50CF" w:rsidRDefault="006A56ED" w:rsidP="002905C0">
            <w:pPr>
              <w:pStyle w:val="Lgendestandard"/>
              <w:rPr>
                <w:b/>
                <w:szCs w:val="24"/>
              </w:rPr>
            </w:pPr>
            <w:r>
              <w:rPr>
                <w:b/>
              </w:rPr>
              <w:t>Parlamenta grozījumi, kas sagatavoti kā konsolidēts teksts.</w:t>
            </w:r>
          </w:p>
          <w:p w:rsidR="006A56ED" w:rsidRPr="008D50CF" w:rsidRDefault="006A56ED" w:rsidP="002905C0">
            <w:pPr>
              <w:pStyle w:val="Lgendestandard"/>
              <w:rPr>
                <w:szCs w:val="24"/>
              </w:rPr>
            </w:pPr>
          </w:p>
          <w:p w:rsidR="006A56ED" w:rsidRPr="008D50CF" w:rsidRDefault="006A56ED" w:rsidP="002905C0">
            <w:pPr>
              <w:pStyle w:val="Lgendestandard"/>
              <w:rPr>
                <w:szCs w:val="24"/>
              </w:rPr>
            </w:pPr>
            <w:r>
              <w:t xml:space="preserve">Jaunās teksta daļas iezīmē </w:t>
            </w:r>
            <w:r>
              <w:rPr>
                <w:b/>
                <w:i/>
              </w:rPr>
              <w:t>treknā slīprakstā</w:t>
            </w:r>
            <w:r>
              <w:t xml:space="preserve">. Svītrotās teksta daļas iezīmē ar simbolu ▌ vai pārsvītro. Aizstātās teksta daļas iezīmē, ierakstot jauno tekstu </w:t>
            </w:r>
            <w:r>
              <w:rPr>
                <w:b/>
                <w:i/>
              </w:rPr>
              <w:t>treknā slīprakstā</w:t>
            </w:r>
            <w:r>
              <w:t xml:space="preserve"> un izdzēšot vai pārsvītrojot aizstāto tekstu. </w:t>
            </w:r>
          </w:p>
          <w:p w:rsidR="006A56ED" w:rsidRPr="008D50CF" w:rsidRDefault="006A56ED" w:rsidP="002905C0">
            <w:pPr>
              <w:pStyle w:val="Lgendestandard"/>
              <w:rPr>
                <w:szCs w:val="24"/>
              </w:rPr>
            </w:pPr>
            <w:r>
              <w:t>Tas neattiecas uz tīri tehniska rakstura grozījumiem, kurus izdara attiecīgie dienesti, gatavojot galīgo tekstu. Tie netiek iezīmēti.</w:t>
            </w:r>
          </w:p>
          <w:p w:rsidR="006A56ED" w:rsidRPr="008D50CF" w:rsidRDefault="006A56ED" w:rsidP="002905C0">
            <w:pPr>
              <w:pStyle w:val="Lgendestandard"/>
              <w:rPr>
                <w:szCs w:val="24"/>
              </w:rPr>
            </w:pPr>
          </w:p>
        </w:tc>
      </w:tr>
    </w:tbl>
    <w:p w:rsidR="006A56ED" w:rsidRPr="008D50CF" w:rsidRDefault="006A56ED"/>
    <w:p w:rsidR="00B328A0" w:rsidRPr="008D50CF" w:rsidRDefault="00B328A0" w:rsidP="00744DF3">
      <w:pPr>
        <w:widowControl/>
        <w:tabs>
          <w:tab w:val="center" w:pos="4677"/>
        </w:tabs>
      </w:pPr>
    </w:p>
    <w:p w:rsidR="00B328A0" w:rsidRPr="008D50CF" w:rsidRDefault="00B328A0">
      <w:pPr>
        <w:pStyle w:val="TOCHeading"/>
      </w:pPr>
      <w:r>
        <w:br w:type="page"/>
        <w:t>SATURA RĀDĪTĀJS</w:t>
      </w:r>
    </w:p>
    <w:p w:rsidR="00B328A0" w:rsidRPr="008D50CF" w:rsidRDefault="00E857D7">
      <w:pPr>
        <w:pStyle w:val="TOCPage"/>
      </w:pPr>
      <w:r>
        <w:t>Lpp.</w:t>
      </w:r>
    </w:p>
    <w:p w:rsidR="008B5504" w:rsidRDefault="00744DF3">
      <w:pPr>
        <w:pStyle w:val="TOC1"/>
        <w:tabs>
          <w:tab w:val="right" w:leader="dot" w:pos="9060"/>
        </w:tabs>
        <w:rPr>
          <w:rFonts w:asciiTheme="minorHAnsi" w:eastAsiaTheme="minorEastAsia" w:hAnsiTheme="minorHAnsi" w:cstheme="minorBidi"/>
          <w:noProof/>
          <w:sz w:val="22"/>
          <w:szCs w:val="22"/>
          <w:lang w:val="en-GB" w:eastAsia="en-GB" w:bidi="ar-SA"/>
        </w:rPr>
      </w:pPr>
      <w:r w:rsidRPr="008D50CF">
        <w:rPr>
          <w:b/>
        </w:rPr>
        <w:fldChar w:fldCharType="begin"/>
      </w:r>
      <w:r w:rsidRPr="008D50CF">
        <w:rPr>
          <w:b/>
        </w:rPr>
        <w:instrText xml:space="preserve"> TOC \t "PageHeading</w:instrText>
      </w:r>
      <w:r w:rsidR="00F95C1D">
        <w:rPr>
          <w:b/>
        </w:rPr>
        <w:instrText>;</w:instrText>
      </w:r>
      <w:r w:rsidRPr="008D50CF">
        <w:rPr>
          <w:b/>
        </w:rPr>
        <w:instrText xml:space="preserve">1" </w:instrText>
      </w:r>
      <w:r w:rsidRPr="008D50CF">
        <w:rPr>
          <w:b/>
        </w:rPr>
        <w:fldChar w:fldCharType="separate"/>
      </w:r>
      <w:r w:rsidR="008B5504">
        <w:rPr>
          <w:noProof/>
        </w:rPr>
        <w:t>EIROPAS PARLAMENTA NORMATĪVĀS REZOLŪCIJAS PROJEKTS</w:t>
      </w:r>
      <w:r w:rsidR="008B5504">
        <w:rPr>
          <w:noProof/>
        </w:rPr>
        <w:tab/>
      </w:r>
      <w:r w:rsidR="008B5504">
        <w:rPr>
          <w:noProof/>
        </w:rPr>
        <w:fldChar w:fldCharType="begin"/>
      </w:r>
      <w:r w:rsidR="008B5504">
        <w:rPr>
          <w:noProof/>
        </w:rPr>
        <w:instrText xml:space="preserve"> PAGEREF _Toc469045542 \h </w:instrText>
      </w:r>
      <w:r w:rsidR="008B5504">
        <w:rPr>
          <w:noProof/>
        </w:rPr>
      </w:r>
      <w:r w:rsidR="008B5504">
        <w:rPr>
          <w:noProof/>
        </w:rPr>
        <w:fldChar w:fldCharType="separate"/>
      </w:r>
      <w:r w:rsidR="008B5504">
        <w:rPr>
          <w:noProof/>
        </w:rPr>
        <w:t>5</w:t>
      </w:r>
      <w:r w:rsidR="008B5504">
        <w:rPr>
          <w:noProof/>
        </w:rPr>
        <w:fldChar w:fldCharType="end"/>
      </w:r>
    </w:p>
    <w:p w:rsidR="008B5504" w:rsidRDefault="008B550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_Toc469045543 \h </w:instrText>
      </w:r>
      <w:r>
        <w:rPr>
          <w:noProof/>
        </w:rPr>
      </w:r>
      <w:r>
        <w:rPr>
          <w:noProof/>
        </w:rPr>
        <w:fldChar w:fldCharType="separate"/>
      </w:r>
      <w:r>
        <w:rPr>
          <w:noProof/>
        </w:rPr>
        <w:t>7</w:t>
      </w:r>
      <w:r>
        <w:rPr>
          <w:noProof/>
        </w:rPr>
        <w:fldChar w:fldCharType="end"/>
      </w:r>
    </w:p>
    <w:p w:rsidR="008B5504" w:rsidRDefault="008B550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PROCEDŪRA</w:t>
      </w:r>
      <w:r>
        <w:rPr>
          <w:noProof/>
        </w:rPr>
        <w:tab/>
      </w:r>
      <w:r>
        <w:rPr>
          <w:noProof/>
        </w:rPr>
        <w:fldChar w:fldCharType="begin"/>
      </w:r>
      <w:r>
        <w:rPr>
          <w:noProof/>
        </w:rPr>
        <w:instrText xml:space="preserve"> PAGEREF _Toc469045544 \h </w:instrText>
      </w:r>
      <w:r>
        <w:rPr>
          <w:noProof/>
        </w:rPr>
      </w:r>
      <w:r>
        <w:rPr>
          <w:noProof/>
        </w:rPr>
        <w:fldChar w:fldCharType="separate"/>
      </w:r>
      <w:r>
        <w:rPr>
          <w:noProof/>
        </w:rPr>
        <w:t>10</w:t>
      </w:r>
      <w:r>
        <w:rPr>
          <w:noProof/>
        </w:rPr>
        <w:fldChar w:fldCharType="end"/>
      </w:r>
    </w:p>
    <w:p w:rsidR="006A1E5D" w:rsidRDefault="00744DF3">
      <w:pPr>
        <w:pStyle w:val="TOC1"/>
        <w:tabs>
          <w:tab w:val="right" w:leader="dot" w:pos="9060"/>
        </w:tabs>
        <w:rPr>
          <w:rFonts w:asciiTheme="minorHAnsi" w:eastAsiaTheme="minorEastAsia" w:hAnsiTheme="minorHAnsi" w:cstheme="minorBidi"/>
          <w:sz w:val="22"/>
          <w:szCs w:val="22"/>
        </w:rPr>
      </w:pPr>
      <w:r w:rsidRPr="008D50CF">
        <w:rPr>
          <w:b/>
        </w:rPr>
        <w:fldChar w:fldCharType="end"/>
      </w:r>
    </w:p>
    <w:p w:rsidR="00AB2BE6" w:rsidRPr="008D50CF" w:rsidRDefault="00AB2BE6" w:rsidP="00AB2BE6"/>
    <w:p w:rsidR="00AB2BE6" w:rsidRPr="008D50CF" w:rsidRDefault="00AB2BE6">
      <w:pPr>
        <w:pStyle w:val="PageHeading"/>
      </w:pPr>
    </w:p>
    <w:p w:rsidR="00B328A0" w:rsidRPr="008D50CF" w:rsidRDefault="00B328A0">
      <w:pPr>
        <w:pStyle w:val="PageHeading"/>
      </w:pPr>
      <w:r>
        <w:br w:type="page"/>
      </w:r>
      <w:r>
        <w:br w:type="page"/>
      </w:r>
      <w:bookmarkStart w:id="2" w:name="_Toc465072412"/>
      <w:bookmarkStart w:id="3" w:name="_Toc468884881"/>
      <w:bookmarkStart w:id="4" w:name="_Toc469045542"/>
      <w:r>
        <w:t>EIROPAS PARLAMENTA NORMATĪVĀS REZOLŪCIJAS PROJEKTS</w:t>
      </w:r>
      <w:bookmarkEnd w:id="2"/>
      <w:bookmarkEnd w:id="3"/>
      <w:bookmarkEnd w:id="4"/>
    </w:p>
    <w:p w:rsidR="00B328A0" w:rsidRPr="008D50CF" w:rsidRDefault="00E857D7">
      <w:pPr>
        <w:pStyle w:val="NormalBold"/>
      </w:pPr>
      <w:r>
        <w:t xml:space="preserve">par </w:t>
      </w:r>
      <w:r w:rsidR="00475CD2" w:rsidRPr="00475CD2">
        <w:t>Padomes nostāju pirmajā lasījumā, lai pieņemtu Eiropas Parlamenta un Padomes direktīvu, ar ko Eiropas Parlamenta un Padomes Direktīvu 2012/34/ES groza attiecībā uz iekšzemes dzelzceļa pasažieru pārvadājumu tirgus atvēršanu un dzelzceļa infrastruktūras pārvaldību</w:t>
      </w:r>
    </w:p>
    <w:p w:rsidR="00B328A0" w:rsidRPr="008D50CF" w:rsidRDefault="00E857D7">
      <w:pPr>
        <w:pStyle w:val="Normal12Bold"/>
      </w:pPr>
      <w:r>
        <w:t>(11199/1/2016 – C8-0426/2016 – 2013/0029(COD))</w:t>
      </w:r>
    </w:p>
    <w:p w:rsidR="00B328A0" w:rsidRPr="008D50CF" w:rsidRDefault="00E857D7">
      <w:pPr>
        <w:pStyle w:val="Normal12Bold"/>
      </w:pPr>
      <w:r>
        <w:t>(Parastā likumdošanas procedūra: otrais lasījums)</w:t>
      </w:r>
    </w:p>
    <w:p w:rsidR="006A1E5D" w:rsidRPr="00C044F4" w:rsidRDefault="00E857D7" w:rsidP="006A1E5D">
      <w:pPr>
        <w:pStyle w:val="Normal12"/>
      </w:pPr>
      <w:r>
        <w:rPr>
          <w:i/>
        </w:rPr>
        <w:t>Eiropas Parlaments</w:t>
      </w:r>
      <w:r>
        <w:t>,</w:t>
      </w:r>
    </w:p>
    <w:p w:rsidR="006A1E5D" w:rsidRPr="00C044F4" w:rsidRDefault="006A1E5D" w:rsidP="006A1E5D">
      <w:pPr>
        <w:pStyle w:val="Normal12Hanging"/>
      </w:pPr>
      <w:r>
        <w:t>–</w:t>
      </w:r>
      <w:r>
        <w:tab/>
        <w:t>ņemot vērā Padomes nostāju pirmajā lasījumā (11199/1/2016 – C8-0426/2016),</w:t>
      </w:r>
    </w:p>
    <w:p w:rsidR="006A1E5D" w:rsidRPr="00C044F4" w:rsidRDefault="006A1E5D" w:rsidP="006A1E5D">
      <w:pPr>
        <w:pStyle w:val="Normal12Hanging"/>
      </w:pPr>
      <w:r>
        <w:t>–</w:t>
      </w:r>
      <w:r>
        <w:tab/>
        <w:t xml:space="preserve">ņemot vērā pamatotos atzinumus, kurus saskaņā ar 2. protokolu par subsidiaritātes un proporcionalitātes principu piemērošanu iesniedza </w:t>
      </w:r>
      <w:r w:rsidR="008B5504">
        <w:t>Francijas Senāts, Lietuvas p</w:t>
      </w:r>
      <w:r>
        <w:t xml:space="preserve">arlaments, Luksemburgas Deputātu palāta, Nīderlandes Senāts, Nīderlandes Pārstāvju palāta un Zviedrijas </w:t>
      </w:r>
      <w:r w:rsidR="008B5504">
        <w:t>p</w:t>
      </w:r>
      <w:r>
        <w:t>arlaments un kuros norādīts, ka leģislatīvā akta projekts neatbilst subsidiaritātes principam,</w:t>
      </w:r>
    </w:p>
    <w:p w:rsidR="006A1E5D" w:rsidRPr="00C044F4" w:rsidRDefault="006A1E5D" w:rsidP="006A1E5D">
      <w:pPr>
        <w:pStyle w:val="Normal12Hanging"/>
      </w:pPr>
      <w:r>
        <w:t>–</w:t>
      </w:r>
      <w:r>
        <w:tab/>
        <w:t>ņemot vērā Eiropas Ekonomikas un sociālo lietu komitejas 2013. gada 11. jūlija atzinumu</w:t>
      </w:r>
      <w:r>
        <w:rPr>
          <w:rStyle w:val="FootnoteReference"/>
        </w:rPr>
        <w:footnoteReference w:id="1"/>
      </w:r>
      <w:r>
        <w:t>,</w:t>
      </w:r>
    </w:p>
    <w:p w:rsidR="006A1E5D" w:rsidRPr="00C044F4" w:rsidRDefault="006A1E5D" w:rsidP="006A1E5D">
      <w:pPr>
        <w:pStyle w:val="Normal12Hanging"/>
      </w:pPr>
      <w:r>
        <w:t>–</w:t>
      </w:r>
      <w:r>
        <w:tab/>
        <w:t>ņemot vērā Reģionu komitejas 2013. gada 8. oktobra atzinumu</w:t>
      </w:r>
      <w:r>
        <w:rPr>
          <w:rStyle w:val="FootnoteReference"/>
        </w:rPr>
        <w:footnoteReference w:id="2"/>
      </w:r>
      <w:r>
        <w:t>,</w:t>
      </w:r>
    </w:p>
    <w:p w:rsidR="006A1E5D" w:rsidRPr="00C044F4" w:rsidRDefault="006A1E5D" w:rsidP="006A1E5D">
      <w:pPr>
        <w:pStyle w:val="Normal12Hanging"/>
      </w:pPr>
      <w:r>
        <w:t>–</w:t>
      </w:r>
      <w:r>
        <w:tab/>
        <w:t>ņemot vērā Parlamenta nostāju pirmajā lasījumā</w:t>
      </w:r>
      <w:r>
        <w:rPr>
          <w:rStyle w:val="FootnoteReference"/>
        </w:rPr>
        <w:footnoteReference w:id="3"/>
      </w:r>
      <w:r>
        <w:t xml:space="preserve"> attiecībā uz Komisijas priekšlikumu Eiropas Parlamentam un Padomei (COM(2013)0029),</w:t>
      </w:r>
    </w:p>
    <w:p w:rsidR="006A1E5D" w:rsidRPr="00C044F4" w:rsidRDefault="006A1E5D" w:rsidP="006A1E5D">
      <w:pPr>
        <w:pStyle w:val="Normal12Hanging"/>
      </w:pPr>
      <w:r>
        <w:t>–</w:t>
      </w:r>
      <w:r>
        <w:tab/>
        <w:t>ņemot vērā Līguma par Eiropas Savienības darbību 294. panta 7. punktu,</w:t>
      </w:r>
    </w:p>
    <w:p w:rsidR="006A1E5D" w:rsidRPr="00C044F4" w:rsidRDefault="006A1E5D" w:rsidP="006A1E5D">
      <w:pPr>
        <w:pStyle w:val="Normal12Hanging"/>
      </w:pPr>
      <w:r>
        <w:t>–</w:t>
      </w:r>
      <w:r>
        <w:tab/>
        <w:t>ņemot vērā Reglamenta 76. pantu,</w:t>
      </w:r>
    </w:p>
    <w:p w:rsidR="006A1E5D" w:rsidRPr="00C044F4" w:rsidRDefault="006A1E5D" w:rsidP="006A1E5D">
      <w:pPr>
        <w:pStyle w:val="Normal12Hanging"/>
      </w:pPr>
      <w:r>
        <w:t>–</w:t>
      </w:r>
      <w:r>
        <w:tab/>
        <w:t>ņemot vērā Transporta un tūrisma komitejas ieteikumu otrajam lasījumam (A8-0371/2016),</w:t>
      </w:r>
    </w:p>
    <w:p w:rsidR="006A1E5D" w:rsidRPr="00C044F4" w:rsidRDefault="006A1E5D" w:rsidP="006A1E5D">
      <w:pPr>
        <w:pStyle w:val="Normal12Hanging"/>
      </w:pPr>
      <w:r>
        <w:t>1.</w:t>
      </w:r>
      <w:r>
        <w:tab/>
        <w:t>apstiprina Padomes nostāju pirmajā lasījumā;</w:t>
      </w:r>
    </w:p>
    <w:p w:rsidR="006A1E5D" w:rsidRPr="00C044F4" w:rsidRDefault="006A1E5D" w:rsidP="006A1E5D">
      <w:pPr>
        <w:pStyle w:val="Normal12Hanging"/>
      </w:pPr>
      <w:r>
        <w:t>2.</w:t>
      </w:r>
      <w:r>
        <w:tab/>
        <w:t>konstatē, ka akts ir pieņemts saskaņā ar Padomes nostāju;</w:t>
      </w:r>
    </w:p>
    <w:p w:rsidR="006A1E5D" w:rsidRPr="00C044F4" w:rsidRDefault="006A1E5D" w:rsidP="006A1E5D">
      <w:pPr>
        <w:pStyle w:val="Normal12Hanging"/>
      </w:pPr>
      <w:r>
        <w:t>3.</w:t>
      </w:r>
      <w:r>
        <w:tab/>
        <w:t>uzdod priekšsēdētājam parakstīt aktu kopā ar Padomes priekšsēdētāju saskaņā ar Līguma par Eiropas Savienības darbību 297. panta 1. punktu;</w:t>
      </w:r>
    </w:p>
    <w:p w:rsidR="006A1E5D" w:rsidRPr="00C044F4" w:rsidRDefault="006A1E5D" w:rsidP="006A1E5D">
      <w:pPr>
        <w:pStyle w:val="Normal12Hanging"/>
      </w:pPr>
      <w:r>
        <w:t>4.</w:t>
      </w:r>
      <w:r>
        <w:tab/>
        <w:t xml:space="preserve">uzdod ģenerālsekretāram parakstīt aktu pēc tam, kad ir notikusi pārbaude, ka ir pienācīgi ievērotas visas procedūras, un pēc saskaņošanas ar Padomes ģenerālsekretāru nodrošināt tā publicēšanu </w:t>
      </w:r>
      <w:r>
        <w:rPr>
          <w:i/>
        </w:rPr>
        <w:t>Eiropas Savienības Oficiālajā Vēstnesī</w:t>
      </w:r>
      <w:r>
        <w:t>;</w:t>
      </w:r>
    </w:p>
    <w:p w:rsidR="006A1E5D" w:rsidRPr="00C044F4" w:rsidRDefault="006A1E5D" w:rsidP="006A1E5D">
      <w:pPr>
        <w:pStyle w:val="Normal12Hanging"/>
      </w:pPr>
      <w:r>
        <w:t>5.</w:t>
      </w:r>
      <w:r>
        <w:tab/>
      </w:r>
      <w:bookmarkStart w:id="5" w:name="ProcPageRR"/>
      <w:r>
        <w:t>uzdod priekšsēdētājam Parlamenta nostāju nosūtīt Padomei un Komisijai, kā arī dalībvalstu parlamentiem.</w:t>
      </w:r>
    </w:p>
    <w:p w:rsidR="006A1E5D" w:rsidRPr="00C044F4" w:rsidRDefault="006A1E5D" w:rsidP="006A1E5D">
      <w:pPr>
        <w:pStyle w:val="PageHeading"/>
      </w:pPr>
      <w:r>
        <w:br w:type="page"/>
      </w:r>
      <w:bookmarkStart w:id="6" w:name="_Toc468868092"/>
      <w:bookmarkStart w:id="7" w:name="_Toc468884882"/>
      <w:bookmarkStart w:id="8" w:name="_Toc469045543"/>
      <w:r>
        <w:t>PASKAIDROJUMS</w:t>
      </w:r>
      <w:bookmarkEnd w:id="6"/>
      <w:bookmarkEnd w:id="7"/>
      <w:bookmarkEnd w:id="8"/>
    </w:p>
    <w:p w:rsidR="006A1E5D" w:rsidRPr="00C044F4" w:rsidRDefault="006A1E5D" w:rsidP="006A1E5D">
      <w:pPr>
        <w:pStyle w:val="Normal12Bold"/>
      </w:pPr>
      <w:r>
        <w:t>1. Ceturtās dzelzceļa tiesību aktu paketes tirgus pīlārs</w:t>
      </w:r>
    </w:p>
    <w:p w:rsidR="006A1E5D" w:rsidRPr="00C044F4" w:rsidRDefault="006A1E5D" w:rsidP="006A1E5D">
      <w:pPr>
        <w:pStyle w:val="Normal12"/>
        <w:jc w:val="both"/>
      </w:pPr>
      <w:r>
        <w:t>Ceturtās dzelzceļa tiesību aktu paketes tirgus pīlāru veido trīs tiesību aktu priekšlikumi:</w:t>
      </w:r>
    </w:p>
    <w:p w:rsidR="006A1E5D" w:rsidRPr="00C044F4" w:rsidRDefault="006A1E5D" w:rsidP="006A1E5D">
      <w:pPr>
        <w:pStyle w:val="Normal12"/>
        <w:ind w:left="360" w:hanging="360"/>
        <w:jc w:val="both"/>
      </w:pPr>
      <w:r>
        <w:t>1.</w:t>
      </w:r>
      <w:r>
        <w:tab/>
        <w:t>priekšlikums grozīt Direktīvu 2012/34/ES, ar ko izveido vienotu Eiropas dzelzceļa telpu, attiecībā uz iekšzemes dzelzceļa pasažieru pārvadājumu tirgus atvēršanu un dzelzceļa infrastruktūras pārvaldību;</w:t>
      </w:r>
    </w:p>
    <w:p w:rsidR="006A1E5D" w:rsidRPr="00C044F4" w:rsidRDefault="006A1E5D" w:rsidP="006A1E5D">
      <w:pPr>
        <w:pStyle w:val="Normal12"/>
        <w:ind w:left="360" w:hanging="360"/>
        <w:jc w:val="both"/>
      </w:pPr>
      <w:r>
        <w:t>2.</w:t>
      </w:r>
      <w:r>
        <w:tab/>
        <w:t>priekšlikums grozīt Regulu (EK) Nr. 1370/2007 attiecībā uz iekšzemes dzelzceļa pasažieru pārvadājumu tirgus atvēršanu;</w:t>
      </w:r>
    </w:p>
    <w:p w:rsidR="006A1E5D" w:rsidRPr="00C044F4" w:rsidRDefault="006A1E5D" w:rsidP="006A1E5D">
      <w:pPr>
        <w:pStyle w:val="Normal12"/>
        <w:ind w:left="360" w:hanging="360"/>
        <w:jc w:val="both"/>
      </w:pPr>
      <w:r>
        <w:t>3.</w:t>
      </w:r>
      <w:r>
        <w:tab/>
        <w:t>priekšlikums atcelt Regulu (EEK) Nr. 1192/69 par kopīgiem noteikumiem uzskaites normalizēšanai dzelzceļa pārvadājumu uzņēmumos.</w:t>
      </w:r>
    </w:p>
    <w:p w:rsidR="006A1E5D" w:rsidRPr="00C044F4" w:rsidRDefault="006A1E5D" w:rsidP="006A1E5D">
      <w:pPr>
        <w:pStyle w:val="Normal12Bold"/>
      </w:pPr>
      <w:r>
        <w:t>2. Komisijas priekšlikums grozīt Direktīvu 2012/34/ES</w:t>
      </w:r>
    </w:p>
    <w:p w:rsidR="006A1E5D" w:rsidRPr="00C044F4" w:rsidRDefault="006A1E5D" w:rsidP="006A1E5D">
      <w:pPr>
        <w:pStyle w:val="Normal12"/>
        <w:jc w:val="both"/>
      </w:pPr>
      <w:r>
        <w:t>Šim tiesību akta priekšlikumam, ko dēvē arī par “Pārvaldības direktīvu”, ir šādi konkrēti mērķi:</w:t>
      </w:r>
    </w:p>
    <w:p w:rsidR="006A1E5D" w:rsidRPr="00C044F4" w:rsidRDefault="006A1E5D" w:rsidP="006A1E5D">
      <w:pPr>
        <w:pStyle w:val="Normal12"/>
        <w:ind w:left="360" w:hanging="360"/>
        <w:jc w:val="both"/>
      </w:pPr>
      <w:r>
        <w:t>a)</w:t>
      </w:r>
      <w:r>
        <w:tab/>
        <w:t>iekšzemes dzelzceļa pasažieru pārvadājumu tirgu atvēršana ar mērķi pastiprināt konkurences spiedienu uz iekšzemes dzelzceļa tirgiem, lai palielinātu pasažieru pārvadājumu pakalpojumu apjomu un uzlabotu kvalitāti. Dzelzceļa kravu pārvadājumu pakalpojumiem un dzelzceļa starptautiskajiem pasažieru pārvadājumu pakalpojumiem tirgi ir atvērti konkurencei attiecīgi kopš 2007. gada un 2010. gada līdz ar iepriekšējo dzelzceļa nozares tiesību aktu pakešu pieņemšanu. Priekšlikums jāskata līdztekus ierosinātajiem grozījumiem Regulā (EK) Nr. 1370/2007, un tā mērķis šajā kontekstā ir palielināt pasažieru pārvadājumu pakalpojumu publiskā finansējuma efektivitāti;</w:t>
      </w:r>
    </w:p>
    <w:p w:rsidR="006A1E5D" w:rsidRPr="00C044F4" w:rsidRDefault="006A1E5D" w:rsidP="006A1E5D">
      <w:pPr>
        <w:pStyle w:val="Normal12"/>
        <w:ind w:left="360" w:hanging="360"/>
        <w:jc w:val="both"/>
      </w:pPr>
      <w:r>
        <w:t>b)</w:t>
      </w:r>
      <w:r>
        <w:tab/>
        <w:t xml:space="preserve">infrastruktūras pārvaldītāja darbības uzlabošana ar mērķi nodrošināt vienlīdzīgu piekļuvi infrastruktūrai. Tas būtu jāpanāk, likvidējot interešu konfliktus, kas ietekmē infrastruktūras pārvaldītāja lēmumus par piekļuvi tirgum, un novēršot integrētās struktūrās iespējamo </w:t>
      </w:r>
      <w:proofErr w:type="spellStart"/>
      <w:r>
        <w:t>šķērssubsidēšanu</w:t>
      </w:r>
      <w:proofErr w:type="spellEnd"/>
      <w:r>
        <w:t xml:space="preserve"> starp infrastruktūras pārvaldītājiem un dzelzceļa pārvadājumu uzņēmumiem. Priekšlikuma mērķis bija arī nodrošināt, lai visas infrastruktūras pārvaldītāja funkcijas tiktu pārvaldītas konsekventi. Visbeidzot, priekšlikuma mērķis bija stiprināt koordināciju starp infrastruktūras pārvaldītājiem un dzelzceļa pārvadājumu uzņēmumiem, lai labāk apmierinātu tirgus vajadzības, un veicināt pārrobežu sadarbību starp infrastruktūras pārvaldītājiem.</w:t>
      </w:r>
    </w:p>
    <w:p w:rsidR="006A1E5D" w:rsidRPr="00C044F4" w:rsidRDefault="006A1E5D" w:rsidP="006A1E5D">
      <w:pPr>
        <w:pStyle w:val="Normal12"/>
        <w:jc w:val="both"/>
      </w:pPr>
      <w:r>
        <w:t xml:space="preserve">Šīm izmaiņām būtu jāpaaugstina konkurences līmenis, jānodrošina finanšu </w:t>
      </w:r>
      <w:proofErr w:type="spellStart"/>
      <w:r>
        <w:t>pārredzamība</w:t>
      </w:r>
      <w:proofErr w:type="spellEnd"/>
      <w:r>
        <w:t xml:space="preserve"> un taisnīgi finansēšanas nosacījumi. Ar vienlīdzīgu piekļuvi tirgum un arvien pieaugošu operatoru skaitu būtu galu galā jārada jauna uzņēmējdarbības aktivitāte un jāveicina pārvadājumu pieaugums. Lielākai konkurencei un tirgus dalībnieku specializācijai arī vajadzētu pozitīvi ietekmēt produktivitāti un efektivitāti un radīt apjomīgākus ieguldījumus dzelzceļa transporta infrastruktūrā.</w:t>
      </w:r>
    </w:p>
    <w:p w:rsidR="006A1E5D" w:rsidRPr="00C044F4" w:rsidRDefault="006A1E5D" w:rsidP="006A1E5D">
      <w:pPr>
        <w:pStyle w:val="Normal12"/>
        <w:jc w:val="both"/>
        <w:rPr>
          <w:szCs w:val="24"/>
        </w:rPr>
      </w:pPr>
      <w:r>
        <w:t>Sabiedrisko pakalpojumu līgumu “atvērtas piekļuves” un konkursa procedūras apvienojumam būtu jārada iespēja turpināt tirgus atvēršanu, kas jau ir panākta kravu un starptautiskajā pasažieru tirgū un ko apstiprina labvēlīga attīstība kravu pārvadājumu tirgū, kurā tirgus atvēršanas rezultātā ir palielinājusies dzelzceļa tirgus daļa.</w:t>
      </w:r>
    </w:p>
    <w:p w:rsidR="006A1E5D" w:rsidRPr="00C044F4" w:rsidRDefault="006A1E5D" w:rsidP="006A1E5D">
      <w:pPr>
        <w:pStyle w:val="Normal12"/>
        <w:jc w:val="both"/>
        <w:rPr>
          <w:szCs w:val="24"/>
        </w:rPr>
      </w:pPr>
      <w:r>
        <w:t>Lielākai konkurencei būtu jāuzlabo dzelzceļa transporta pievilcīgums un jāuzlabo nozares reaģēšanas spēja uz klientu vajadzībām, ļaujot dzelzceļa operatoriem konkurēt ar citiem transporta veidiem. Pasažieru ātrgaitas pārvadājumu turpmākai attīstībai būtu dzelzceļš jāpadara konkurētspējīgāks, palielinot tā tirgus daļu un veicinot ar klimata pārmaiņām saistīto mērķu sasniegšanu.</w:t>
      </w:r>
    </w:p>
    <w:p w:rsidR="006A1E5D" w:rsidRPr="00C044F4" w:rsidRDefault="006A1E5D" w:rsidP="006A1E5D">
      <w:pPr>
        <w:pStyle w:val="Normal12"/>
        <w:jc w:val="both"/>
        <w:rPr>
          <w:szCs w:val="24"/>
        </w:rPr>
      </w:pPr>
      <w:r>
        <w:t>Dzelzceļa darbības pieaugumam būtu arī jāpalielina ne tikai pieprasījums pēc kvalificētiem dzelzceļa darbiniekiem un dzelzceļa pārvadājumu iekārtu operatoriem, bet arī pieprasījums pēc ritošā sastāva, tādējādi radot jaunas darba vietas dzelzceļa rūpniecībā.</w:t>
      </w:r>
    </w:p>
    <w:p w:rsidR="006A1E5D" w:rsidRPr="00C044F4" w:rsidRDefault="006A1E5D" w:rsidP="006A1E5D">
      <w:pPr>
        <w:pStyle w:val="Normal12Bold"/>
        <w:jc w:val="both"/>
      </w:pPr>
      <w:r>
        <w:t>3. Iestāžu sarunas</w:t>
      </w:r>
    </w:p>
    <w:p w:rsidR="006A1E5D" w:rsidRPr="00C044F4" w:rsidRDefault="006A1E5D" w:rsidP="006A1E5D">
      <w:pPr>
        <w:pStyle w:val="Normal12"/>
        <w:jc w:val="both"/>
      </w:pPr>
      <w:r>
        <w:t xml:space="preserve">Pēc tam, kad 2014. gada 26. februārī bija pieņemta Parlamenta nostāja pirmajā lasījumā, laikposmā no 2015. gada oktobra līdz 2016. gada aprīlim Luksemburgas un Nīderlandes Padomes prezidentūru laikā notika iestāžu sarunas (ar mērķi panākt agrīnu vienošanos otrajā lasījumā). Pēc sešām </w:t>
      </w:r>
      <w:proofErr w:type="spellStart"/>
      <w:r>
        <w:t>trialoga</w:t>
      </w:r>
      <w:proofErr w:type="spellEnd"/>
      <w:r>
        <w:t xml:space="preserve"> kārtām Parlamenta sarunu grupa 2016. gada 19. aprīlī panāca vienošanos ar Padomes prezidentūru.</w:t>
      </w:r>
    </w:p>
    <w:p w:rsidR="006A1E5D" w:rsidRPr="00C044F4" w:rsidRDefault="006A1E5D" w:rsidP="006A1E5D">
      <w:pPr>
        <w:pStyle w:val="Normal12"/>
        <w:jc w:val="both"/>
      </w:pPr>
      <w:r>
        <w:t>Vienošanās teksts tika iesniegts Transporta un tūrisma komitejai (TRAN) un apstiprināts 2016. gada 12. jūlijā. Pamatojoties uz komitejas apstiprinājumu, TRAN komitejas priekšsēdētājs vēstulē Pastāvīgo pārstāvju komitejai (</w:t>
      </w:r>
      <w:r>
        <w:rPr>
          <w:i/>
        </w:rPr>
        <w:t>COREPER</w:t>
      </w:r>
      <w:r>
        <w:t> I) norādīja, ka viņš ieteiks Padomes nostāju pirmajā lasījumā plenārsēdē apstiprināt bez grozījumiem, ja tā būs saskaņā ar vienošanos, kas panākta starp abām iestādēm. Pēc juridiskās un lingvistiskās pārbaudes Padome 2016. gada 17. oktobrī pieņēma savu nostāju pirmajā lasījumā saskaņā ar vienošanos.</w:t>
      </w:r>
    </w:p>
    <w:p w:rsidR="006A1E5D" w:rsidRPr="00C044F4" w:rsidRDefault="006A1E5D" w:rsidP="006A1E5D">
      <w:pPr>
        <w:pStyle w:val="Normal12Bold"/>
      </w:pPr>
      <w:r>
        <w:t>4. Eiropas Parlamenta galvenie sasniegumi</w:t>
      </w:r>
    </w:p>
    <w:p w:rsidR="006A1E5D" w:rsidRPr="00C044F4" w:rsidRDefault="006A1E5D" w:rsidP="006A1E5D">
      <w:pPr>
        <w:pStyle w:val="Normal12"/>
      </w:pPr>
      <w:r>
        <w:t>Parlamenta loma bija izšķiroša, lai ar Padomi panāktu vispārēju vienošanos, kuras mērķis ir nodrošināt objektivitāti un neatkarību no infrastruktūras pārvaldītājiem un atvērt dzelzceļa transporta tirgu. Konkrētāk, Parlamenta sasniegumi bija šādi:</w:t>
      </w:r>
    </w:p>
    <w:p w:rsidR="006A1E5D" w:rsidRPr="00C044F4" w:rsidRDefault="006A1E5D" w:rsidP="006A1E5D">
      <w:pPr>
        <w:pStyle w:val="Normal12"/>
        <w:ind w:left="360" w:hanging="360"/>
        <w:jc w:val="both"/>
      </w:pPr>
      <w:r>
        <w:rPr>
          <w:rFonts w:ascii="Symbol" w:hAnsi="Symbol"/>
        </w:rPr>
        <w:t></w:t>
      </w:r>
      <w:r>
        <w:tab/>
        <w:t xml:space="preserve">tika ieviesti drošības mehānismi, lai nodrošinātu infrastruktūras pārvaldītāja objektivitāti un neatkarību, nostiprinot noteikumus attiecībā uz </w:t>
      </w:r>
      <w:proofErr w:type="spellStart"/>
      <w:r>
        <w:t>dubultmandātiem</w:t>
      </w:r>
      <w:proofErr w:type="spellEnd"/>
      <w:r>
        <w:t xml:space="preserve">, būtiskām funkcijām, satiksmes pārvaldību un apkopes plānošanu, infrastruktūras pārvaldītāja funkciju nodošanu ārpakalpojumā un dalīšanu, finanšu </w:t>
      </w:r>
      <w:proofErr w:type="spellStart"/>
      <w:r>
        <w:t>pārredzamību</w:t>
      </w:r>
      <w:proofErr w:type="spellEnd"/>
      <w:r>
        <w:t>;</w:t>
      </w:r>
    </w:p>
    <w:p w:rsidR="006A1E5D" w:rsidRPr="00C044F4" w:rsidRDefault="006A1E5D" w:rsidP="006A1E5D">
      <w:pPr>
        <w:pStyle w:val="Normal12"/>
        <w:ind w:left="360" w:hanging="360"/>
        <w:jc w:val="both"/>
      </w:pPr>
      <w:r>
        <w:rPr>
          <w:rFonts w:ascii="Symbol" w:hAnsi="Symbol"/>
        </w:rPr>
        <w:t></w:t>
      </w:r>
      <w:r>
        <w:tab/>
        <w:t>dalībvalstīm būtu jāizveido valsts sistēma interešu konfliktu novērtēšanai. Šajā sistēmā regulatīvajām iestādēm būtu jāņem vērā jebkādas personīgās finanšu, ekonomiskās vai profesionālās intereses, kas varētu neatbilstīgi ietekmēt infrastruktūras pārvaldītāja objektivitāti;</w:t>
      </w:r>
    </w:p>
    <w:p w:rsidR="006A1E5D" w:rsidRPr="00C044F4" w:rsidRDefault="006A1E5D" w:rsidP="006A1E5D">
      <w:pPr>
        <w:pStyle w:val="Normal12"/>
        <w:ind w:left="360" w:hanging="360"/>
        <w:jc w:val="both"/>
      </w:pPr>
      <w:r>
        <w:rPr>
          <w:rFonts w:ascii="Symbol" w:hAnsi="Symbol"/>
        </w:rPr>
        <w:t></w:t>
      </w:r>
      <w:r>
        <w:tab/>
        <w:t>tika paredzēti īpaši noteikumi, kas reglamentē pasažieru ātrgaitas pārvadājumu pakalpojumu piekļuvi Savienības dzelzceļa infrastruktūrai, lai attīstītu pasažieru ātrgaitas pārvadājumu pakalpojumu tirgu un veicinātu tā konkurētspēju pasažieru interesēs; šie jaunie 11.a pantā izklāstītie noteikumi nosaka, ka pasažieru ātrgaitas pārvadājumu pakalpojumu piekļuve ir atkarīga tikai no regulatīvās iestādes prasībām, kas pieņemtas saskaņā ar šā panta prasībām. Referents norāda uz apstākli, kas izriet no 11.a panta, proti, dalībvalstis nedrīkst ierobežot pasažieru ātrgaitas pārvadājumu pakalpojumu piekļuvi Savienības dzelzceļa infrastruktūrai saskaņā ar 11. panta 1. punktu.</w:t>
      </w:r>
    </w:p>
    <w:p w:rsidR="006A1E5D" w:rsidRPr="00C044F4" w:rsidRDefault="006A1E5D" w:rsidP="006A1E5D">
      <w:pPr>
        <w:pStyle w:val="Normal12"/>
        <w:ind w:left="360" w:hanging="360"/>
        <w:jc w:val="both"/>
      </w:pPr>
      <w:r>
        <w:rPr>
          <w:rFonts w:ascii="Symbol" w:hAnsi="Symbol"/>
        </w:rPr>
        <w:t></w:t>
      </w:r>
      <w:r>
        <w:tab/>
        <w:t>sociālajos jautājumos: dzelzceļa pārvadājumu uzņēmums, kas iesniedz licences pieteikumu, vai par tā pārvaldību atbildīgās personas nedrīkst būt notiesātas par smagiem pārkāpumiem, kuri izriet no saistībām, kas rodas no saistošiem koplīgumiem; Komisijai būtu arī jāizvērtē, vai ir nepieciešami normatīvi akti par vilcienu personāla sertifikāciju;</w:t>
      </w:r>
    </w:p>
    <w:p w:rsidR="006A1E5D" w:rsidRPr="00C044F4" w:rsidRDefault="006A1E5D" w:rsidP="006A1E5D">
      <w:pPr>
        <w:pStyle w:val="Normal12"/>
        <w:ind w:left="360" w:hanging="360"/>
        <w:jc w:val="both"/>
      </w:pPr>
      <w:r>
        <w:rPr>
          <w:rFonts w:ascii="Symbol" w:hAnsi="Symbol"/>
        </w:rPr>
        <w:t></w:t>
      </w:r>
      <w:r>
        <w:tab/>
        <w:t>tika izveidoti obligāti koordinēšanas mehānismi starp infrastruktūras pārvaldītājiem un dzelzceļa uzņēmumiem;</w:t>
      </w:r>
    </w:p>
    <w:p w:rsidR="006A1E5D" w:rsidRPr="00C044F4" w:rsidRDefault="006A1E5D" w:rsidP="006A1E5D">
      <w:pPr>
        <w:pStyle w:val="Normal12"/>
        <w:ind w:left="360" w:hanging="360"/>
        <w:jc w:val="both"/>
      </w:pPr>
      <w:r>
        <w:rPr>
          <w:rFonts w:ascii="Symbol" w:hAnsi="Symbol"/>
        </w:rPr>
        <w:t></w:t>
      </w:r>
      <w:r>
        <w:tab/>
        <w:t>tika nostiprināta Eiropas infrastruktūras pārvaldītāju tīkla nozīme, tostarp mehānismi, kas nodrošina pārvaldītāju snieguma salīdzināšanu;</w:t>
      </w:r>
    </w:p>
    <w:p w:rsidR="006A1E5D" w:rsidRPr="00C044F4" w:rsidRDefault="006A1E5D" w:rsidP="006A1E5D">
      <w:pPr>
        <w:pStyle w:val="Normal12"/>
        <w:ind w:left="360" w:hanging="360"/>
        <w:jc w:val="both"/>
      </w:pPr>
      <w:r>
        <w:rPr>
          <w:rFonts w:ascii="Symbol" w:hAnsi="Symbol"/>
        </w:rPr>
        <w:t></w:t>
      </w:r>
      <w:r>
        <w:tab/>
        <w:t>tika pastiprinātas regulatīvo iestāžu pilnvaras un tika izveidots sadarbības mehānisms divu vai vairāku regulatīvo iestāžu lēmumu koordinācijai attiecībā uz starptautiskiem dzelzceļa pakalpojumiem vai divu valstu infrastruktūru;</w:t>
      </w:r>
    </w:p>
    <w:p w:rsidR="006A1E5D" w:rsidRPr="00C044F4" w:rsidRDefault="006A1E5D" w:rsidP="006A1E5D">
      <w:pPr>
        <w:pStyle w:val="Normal12"/>
        <w:ind w:left="360" w:hanging="360"/>
        <w:jc w:val="both"/>
      </w:pPr>
      <w:r>
        <w:rPr>
          <w:rFonts w:ascii="Symbol" w:hAnsi="Symbol"/>
        </w:rPr>
        <w:t></w:t>
      </w:r>
      <w:r>
        <w:tab/>
        <w:t>par prioritāti tika izvirzīta kopēju informācijas un tranzīta biļešu sistēmu tirgus attīstība, lai sekmētu efektīvākus multimodālos un pārrobežu pasažieru pārvadājumus; Komisija pārrauga dzelzceļa tirgus norises saistībā ar šādu sistēmu ieviešanu un līdz 2022. gadam iesniegs ziņojumu Eiropas Parlamentam un Padomei, vajadzības gadījumā pievienojot tiesību aktu priekšlikumus.</w:t>
      </w:r>
    </w:p>
    <w:p w:rsidR="006A1E5D" w:rsidRPr="00C044F4" w:rsidRDefault="006A1E5D" w:rsidP="006A1E5D">
      <w:pPr>
        <w:pStyle w:val="Normal12Bold"/>
      </w:pPr>
      <w:r>
        <w:t>5. Ieteikums</w:t>
      </w:r>
    </w:p>
    <w:p w:rsidR="006A1E5D" w:rsidRPr="008E09FD" w:rsidRDefault="006A1E5D" w:rsidP="006A1E5D">
      <w:pPr>
        <w:pStyle w:val="Normal12"/>
      </w:pPr>
      <w:r>
        <w:t>Tā kā Padomes pirmā lasījuma nostāja ir saskaņā ar vienošanos, kas panākta iestāžu sarunās, referents iesaka to apstiprināt bez grozījumiem.</w:t>
      </w:r>
    </w:p>
    <w:p w:rsidR="009F075D" w:rsidRPr="006A1E5D" w:rsidRDefault="006A1E5D" w:rsidP="006A1E5D">
      <w:pPr>
        <w:pStyle w:val="PageHeading"/>
      </w:pPr>
      <w:r>
        <w:br w:type="page"/>
      </w:r>
      <w:bookmarkStart w:id="9" w:name="_Toc468884883"/>
      <w:bookmarkStart w:id="10" w:name="_Toc469045544"/>
      <w:r>
        <w:t>ATBILDĪGĀS KOMITEJAS PROCEDŪRA</w:t>
      </w:r>
      <w:bookmarkEnd w:id="9"/>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Grozījumu izdarīšana Eiropas Parlamenta un Padomes 2012. gada 21. novembra Direktīvā 2012/34/ES, ar ko izveido vienotu Eiropas dzelzceļa telpu, attiecībā uz iekšzemes dzelzceļa pasažieru pārvadājumu tirgus atvēršanu un dzelzceļa infrastruktūras pārvaldību</w:t>
            </w: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11199/1/2016 – C8-0426/2016 – 2013/0029(COD)</w:t>
            </w: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1. lasījuma datums EP – P numurs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26.2.2014                     T7-0147/2014</w:t>
            </w: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Komisijas priekšlikums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COM(2013)0029 - C7-0025/2013</w:t>
            </w: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Datums, kad plenārsēdē paziņoja par Padomes nostājas saņemšanu pirmajā lasījumā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27.10.2016</w:t>
            </w:r>
          </w:p>
        </w:tc>
      </w:tr>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Atbildīgā komiteja</w:t>
            </w:r>
          </w:p>
          <w:p w:rsidR="009F075D" w:rsidRDefault="009F075D">
            <w:pPr>
              <w:autoSpaceDE w:val="0"/>
              <w:autoSpaceDN w:val="0"/>
              <w:adjustRightInd w:val="0"/>
              <w:rPr>
                <w:color w:val="000000"/>
                <w:sz w:val="20"/>
              </w:rPr>
            </w:pPr>
            <w:r>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TRAN</w:t>
            </w:r>
          </w:p>
          <w:p w:rsidR="009F075D" w:rsidRDefault="009F075D">
            <w:pPr>
              <w:autoSpaceDE w:val="0"/>
              <w:autoSpaceDN w:val="0"/>
              <w:adjustRightInd w:val="0"/>
              <w:rPr>
                <w:color w:val="000000"/>
                <w:sz w:val="20"/>
              </w:rPr>
            </w:pPr>
            <w:r>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r>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Referenti</w:t>
            </w:r>
          </w:p>
          <w:p w:rsidR="009F075D" w:rsidRDefault="009F075D">
            <w:pPr>
              <w:autoSpaceDE w:val="0"/>
              <w:autoSpaceDN w:val="0"/>
              <w:adjustRightInd w:val="0"/>
              <w:rPr>
                <w:color w:val="000000"/>
                <w:sz w:val="20"/>
              </w:rPr>
            </w:pPr>
            <w:r>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proofErr w:type="spellStart"/>
            <w:r>
              <w:rPr>
                <w:color w:val="000000"/>
                <w:sz w:val="20"/>
              </w:rPr>
              <w:t>David-Maria</w:t>
            </w:r>
            <w:proofErr w:type="spellEnd"/>
            <w:r>
              <w:rPr>
                <w:color w:val="000000"/>
                <w:sz w:val="20"/>
              </w:rPr>
              <w:t xml:space="preserve"> </w:t>
            </w:r>
            <w:proofErr w:type="spellStart"/>
            <w:r>
              <w:rPr>
                <w:color w:val="000000"/>
                <w:sz w:val="20"/>
              </w:rPr>
              <w:t>Sassoli</w:t>
            </w:r>
            <w:proofErr w:type="spellEnd"/>
          </w:p>
          <w:p w:rsidR="009F075D" w:rsidRDefault="009F075D">
            <w:pPr>
              <w:autoSpaceDE w:val="0"/>
              <w:autoSpaceDN w:val="0"/>
              <w:adjustRightInd w:val="0"/>
              <w:rPr>
                <w:color w:val="000000"/>
                <w:sz w:val="20"/>
              </w:rPr>
            </w:pPr>
            <w:r>
              <w:rPr>
                <w:color w:val="000000"/>
                <w:sz w:val="20"/>
              </w:rPr>
              <w:t>13.10.2014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Aizstātie referenti</w:t>
            </w:r>
          </w:p>
        </w:tc>
        <w:tc>
          <w:tcPr>
            <w:tcW w:w="1530"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proofErr w:type="spellStart"/>
            <w:r>
              <w:rPr>
                <w:color w:val="000000"/>
                <w:sz w:val="20"/>
              </w:rPr>
              <w:t>David-Maria</w:t>
            </w:r>
            <w:proofErr w:type="spellEnd"/>
            <w:r>
              <w:rPr>
                <w:color w:val="000000"/>
                <w:sz w:val="20"/>
              </w:rPr>
              <w:t xml:space="preserve"> </w:t>
            </w:r>
            <w:proofErr w:type="spellStart"/>
            <w:r>
              <w:rPr>
                <w:color w:val="000000"/>
                <w:sz w:val="20"/>
              </w:rPr>
              <w:t>Sassoli</w:t>
            </w:r>
            <w:proofErr w:type="spellEnd"/>
          </w:p>
        </w:tc>
        <w:tc>
          <w:tcPr>
            <w:tcW w:w="1474"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r>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5.12.2016</w:t>
            </w:r>
          </w:p>
        </w:tc>
        <w:tc>
          <w:tcPr>
            <w:tcW w:w="1474"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rFonts w:ascii="sans-serif" w:hAnsi="sans-serif" w:cs="sans-serif"/>
                <w:color w:val="000000"/>
                <w:szCs w:val="24"/>
              </w:rPr>
            </w:pPr>
          </w:p>
        </w:tc>
      </w:tr>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w:t>
            </w:r>
          </w:p>
          <w:p w:rsidR="009F075D" w:rsidRDefault="009F075D">
            <w:pPr>
              <w:autoSpaceDE w:val="0"/>
              <w:autoSpaceDN w:val="0"/>
              <w:adjustRightInd w:val="0"/>
              <w:rPr>
                <w:color w:val="000000"/>
                <w:sz w:val="20"/>
              </w:rPr>
            </w:pPr>
            <w:r>
              <w:rPr>
                <w:color w:val="000000"/>
                <w:sz w:val="20"/>
              </w:rPr>
              <w:t>–:</w:t>
            </w:r>
          </w:p>
          <w:p w:rsidR="009F075D" w:rsidRDefault="009F075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31</w:t>
            </w:r>
          </w:p>
          <w:p w:rsidR="009F075D" w:rsidRDefault="009F075D">
            <w:pPr>
              <w:autoSpaceDE w:val="0"/>
              <w:autoSpaceDN w:val="0"/>
              <w:adjustRightInd w:val="0"/>
              <w:rPr>
                <w:color w:val="000000"/>
                <w:sz w:val="20"/>
              </w:rPr>
            </w:pPr>
            <w:r>
              <w:rPr>
                <w:color w:val="000000"/>
                <w:sz w:val="20"/>
              </w:rPr>
              <w:t>14</w:t>
            </w:r>
          </w:p>
          <w:p w:rsidR="009F075D" w:rsidRDefault="009F075D">
            <w:pPr>
              <w:autoSpaceDE w:val="0"/>
              <w:autoSpaceDN w:val="0"/>
              <w:adjustRightInd w:val="0"/>
              <w:rPr>
                <w:color w:val="000000"/>
                <w:sz w:val="20"/>
              </w:rPr>
            </w:pPr>
            <w:r>
              <w:rPr>
                <w:color w:val="000000"/>
                <w:sz w:val="20"/>
              </w:rPr>
              <w:t>0</w:t>
            </w:r>
          </w:p>
        </w:tc>
      </w:tr>
      <w:tr w:rsidR="009F075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 xml:space="preserve">Daniela </w:t>
            </w:r>
            <w:proofErr w:type="spellStart"/>
            <w:r>
              <w:rPr>
                <w:color w:val="000000"/>
                <w:sz w:val="20"/>
              </w:rPr>
              <w:t>Aiuto</w:t>
            </w:r>
            <w:proofErr w:type="spellEnd"/>
            <w:r>
              <w:rPr>
                <w:color w:val="000000"/>
                <w:sz w:val="20"/>
              </w:rPr>
              <w:t xml:space="preserve">, </w:t>
            </w:r>
            <w:proofErr w:type="spellStart"/>
            <w:r>
              <w:rPr>
                <w:color w:val="000000"/>
                <w:sz w:val="20"/>
              </w:rPr>
              <w:t>Lucy</w:t>
            </w:r>
            <w:proofErr w:type="spellEnd"/>
            <w:r>
              <w:rPr>
                <w:color w:val="000000"/>
                <w:sz w:val="20"/>
              </w:rPr>
              <w:t xml:space="preserve"> Anderson, </w:t>
            </w:r>
            <w:proofErr w:type="spellStart"/>
            <w:r>
              <w:rPr>
                <w:color w:val="000000"/>
                <w:sz w:val="20"/>
              </w:rPr>
              <w:t>Marie-Christine</w:t>
            </w:r>
            <w:proofErr w:type="spellEnd"/>
            <w:r>
              <w:rPr>
                <w:color w:val="000000"/>
                <w:sz w:val="20"/>
              </w:rPr>
              <w:t xml:space="preserve"> </w:t>
            </w:r>
            <w:proofErr w:type="spellStart"/>
            <w:r>
              <w:rPr>
                <w:color w:val="000000"/>
                <w:sz w:val="20"/>
              </w:rPr>
              <w:t>Arnautu</w:t>
            </w:r>
            <w:proofErr w:type="spellEnd"/>
            <w:r>
              <w:rPr>
                <w:color w:val="000000"/>
                <w:sz w:val="20"/>
              </w:rPr>
              <w:t xml:space="preserve">, </w:t>
            </w:r>
            <w:proofErr w:type="spellStart"/>
            <w:r>
              <w:rPr>
                <w:color w:val="000000"/>
                <w:sz w:val="20"/>
              </w:rPr>
              <w:t>Inés</w:t>
            </w:r>
            <w:proofErr w:type="spellEnd"/>
            <w:r>
              <w:rPr>
                <w:color w:val="000000"/>
                <w:sz w:val="20"/>
              </w:rPr>
              <w:t xml:space="preserve"> </w:t>
            </w:r>
            <w:proofErr w:type="spellStart"/>
            <w:r>
              <w:rPr>
                <w:color w:val="000000"/>
                <w:sz w:val="20"/>
              </w:rPr>
              <w:t>Ayala</w:t>
            </w:r>
            <w:proofErr w:type="spellEnd"/>
            <w:r>
              <w:rPr>
                <w:color w:val="000000"/>
                <w:sz w:val="20"/>
              </w:rPr>
              <w:t xml:space="preserve"> </w:t>
            </w:r>
            <w:proofErr w:type="spellStart"/>
            <w:r>
              <w:rPr>
                <w:color w:val="000000"/>
                <w:sz w:val="20"/>
              </w:rPr>
              <w:t>Sender</w:t>
            </w:r>
            <w:proofErr w:type="spellEnd"/>
            <w:r>
              <w:rPr>
                <w:color w:val="000000"/>
                <w:sz w:val="20"/>
              </w:rPr>
              <w:t xml:space="preserve">, Georges </w:t>
            </w:r>
            <w:proofErr w:type="spellStart"/>
            <w:r>
              <w:rPr>
                <w:color w:val="000000"/>
                <w:sz w:val="20"/>
              </w:rPr>
              <w:t>Bach</w:t>
            </w:r>
            <w:proofErr w:type="spellEnd"/>
            <w:r>
              <w:rPr>
                <w:color w:val="000000"/>
                <w:sz w:val="20"/>
              </w:rPr>
              <w:t xml:space="preserve">, </w:t>
            </w:r>
            <w:proofErr w:type="spellStart"/>
            <w:r>
              <w:rPr>
                <w:color w:val="000000"/>
                <w:sz w:val="20"/>
              </w:rPr>
              <w:t>Deirdre</w:t>
            </w:r>
            <w:proofErr w:type="spellEnd"/>
            <w:r>
              <w:rPr>
                <w:color w:val="000000"/>
                <w:sz w:val="20"/>
              </w:rPr>
              <w:t xml:space="preserve"> </w:t>
            </w:r>
            <w:proofErr w:type="spellStart"/>
            <w:r>
              <w:rPr>
                <w:color w:val="000000"/>
                <w:sz w:val="20"/>
              </w:rPr>
              <w:t>Clune</w:t>
            </w:r>
            <w:proofErr w:type="spellEnd"/>
            <w:r>
              <w:rPr>
                <w:color w:val="000000"/>
                <w:sz w:val="20"/>
              </w:rPr>
              <w:t xml:space="preserve">, </w:t>
            </w:r>
            <w:proofErr w:type="spellStart"/>
            <w:r>
              <w:rPr>
                <w:color w:val="000000"/>
                <w:sz w:val="20"/>
              </w:rPr>
              <w:t>Michael</w:t>
            </w:r>
            <w:proofErr w:type="spellEnd"/>
            <w:r>
              <w:rPr>
                <w:color w:val="000000"/>
                <w:sz w:val="20"/>
              </w:rPr>
              <w:t xml:space="preserve"> </w:t>
            </w:r>
            <w:proofErr w:type="spellStart"/>
            <w:r>
              <w:rPr>
                <w:color w:val="000000"/>
                <w:sz w:val="20"/>
              </w:rPr>
              <w:t>Cramer</w:t>
            </w:r>
            <w:proofErr w:type="spellEnd"/>
            <w:r>
              <w:rPr>
                <w:color w:val="000000"/>
                <w:sz w:val="20"/>
              </w:rPr>
              <w:t xml:space="preserve">, </w:t>
            </w:r>
            <w:proofErr w:type="spellStart"/>
            <w:r>
              <w:rPr>
                <w:color w:val="000000"/>
                <w:sz w:val="20"/>
              </w:rPr>
              <w:t>Andor</w:t>
            </w:r>
            <w:proofErr w:type="spellEnd"/>
            <w:r>
              <w:rPr>
                <w:color w:val="000000"/>
                <w:sz w:val="20"/>
              </w:rPr>
              <w:t xml:space="preserve"> Deli, Karima Delli, </w:t>
            </w:r>
            <w:proofErr w:type="spellStart"/>
            <w:r>
              <w:rPr>
                <w:color w:val="000000"/>
                <w:sz w:val="20"/>
              </w:rPr>
              <w:t>Isabella</w:t>
            </w:r>
            <w:proofErr w:type="spellEnd"/>
            <w:r>
              <w:rPr>
                <w:color w:val="000000"/>
                <w:sz w:val="20"/>
              </w:rPr>
              <w:t xml:space="preserve"> </w:t>
            </w:r>
            <w:proofErr w:type="spellStart"/>
            <w:r>
              <w:rPr>
                <w:color w:val="000000"/>
                <w:sz w:val="20"/>
              </w:rPr>
              <w:t>De</w:t>
            </w:r>
            <w:proofErr w:type="spellEnd"/>
            <w:r>
              <w:rPr>
                <w:color w:val="000000"/>
                <w:sz w:val="20"/>
              </w:rPr>
              <w:t xml:space="preserve"> </w:t>
            </w:r>
            <w:proofErr w:type="spellStart"/>
            <w:r>
              <w:rPr>
                <w:color w:val="000000"/>
                <w:sz w:val="20"/>
              </w:rPr>
              <w:t>Monte</w:t>
            </w:r>
            <w:proofErr w:type="spellEnd"/>
            <w:r>
              <w:rPr>
                <w:color w:val="000000"/>
                <w:sz w:val="20"/>
              </w:rPr>
              <w:t xml:space="preserve">, </w:t>
            </w:r>
            <w:proofErr w:type="spellStart"/>
            <w:r>
              <w:rPr>
                <w:color w:val="000000"/>
                <w:sz w:val="20"/>
              </w:rPr>
              <w:t>Ismail</w:t>
            </w:r>
            <w:proofErr w:type="spellEnd"/>
            <w:r>
              <w:rPr>
                <w:color w:val="000000"/>
                <w:sz w:val="20"/>
              </w:rPr>
              <w:t xml:space="preserve"> </w:t>
            </w:r>
            <w:proofErr w:type="spellStart"/>
            <w:r>
              <w:rPr>
                <w:color w:val="000000"/>
                <w:sz w:val="20"/>
              </w:rPr>
              <w:t>Ertug</w:t>
            </w:r>
            <w:proofErr w:type="spellEnd"/>
            <w:r>
              <w:rPr>
                <w:color w:val="000000"/>
                <w:sz w:val="20"/>
              </w:rPr>
              <w:t xml:space="preserve">, </w:t>
            </w:r>
            <w:proofErr w:type="spellStart"/>
            <w:r>
              <w:rPr>
                <w:color w:val="000000"/>
                <w:sz w:val="20"/>
              </w:rPr>
              <w:t>Jacqueline</w:t>
            </w:r>
            <w:proofErr w:type="spellEnd"/>
            <w:r>
              <w:rPr>
                <w:color w:val="000000"/>
                <w:sz w:val="20"/>
              </w:rPr>
              <w:t xml:space="preserve"> </w:t>
            </w:r>
            <w:proofErr w:type="spellStart"/>
            <w:r>
              <w:rPr>
                <w:color w:val="000000"/>
                <w:sz w:val="20"/>
              </w:rPr>
              <w:t>Foster</w:t>
            </w:r>
            <w:proofErr w:type="spellEnd"/>
            <w:r>
              <w:rPr>
                <w:color w:val="000000"/>
                <w:sz w:val="20"/>
              </w:rPr>
              <w:t xml:space="preserve">, Bruno </w:t>
            </w:r>
            <w:proofErr w:type="spellStart"/>
            <w:r>
              <w:rPr>
                <w:color w:val="000000"/>
                <w:sz w:val="20"/>
              </w:rPr>
              <w:t>Gollnisch</w:t>
            </w:r>
            <w:proofErr w:type="spellEnd"/>
            <w:r>
              <w:rPr>
                <w:color w:val="000000"/>
                <w:sz w:val="20"/>
              </w:rPr>
              <w:t xml:space="preserve">, </w:t>
            </w:r>
            <w:proofErr w:type="spellStart"/>
            <w:r>
              <w:rPr>
                <w:color w:val="000000"/>
                <w:sz w:val="20"/>
              </w:rPr>
              <w:t>Tania</w:t>
            </w:r>
            <w:proofErr w:type="spellEnd"/>
            <w:r>
              <w:rPr>
                <w:color w:val="000000"/>
                <w:sz w:val="20"/>
              </w:rPr>
              <w:t xml:space="preserve"> </w:t>
            </w:r>
            <w:proofErr w:type="spellStart"/>
            <w:r>
              <w:rPr>
                <w:color w:val="000000"/>
                <w:sz w:val="20"/>
              </w:rPr>
              <w:t>González</w:t>
            </w:r>
            <w:proofErr w:type="spellEnd"/>
            <w:r>
              <w:rPr>
                <w:color w:val="000000"/>
                <w:sz w:val="20"/>
              </w:rPr>
              <w:t xml:space="preserve"> </w:t>
            </w:r>
            <w:proofErr w:type="spellStart"/>
            <w:r>
              <w:rPr>
                <w:color w:val="000000"/>
                <w:sz w:val="20"/>
              </w:rPr>
              <w:t>Peñas</w:t>
            </w:r>
            <w:proofErr w:type="spellEnd"/>
            <w:r>
              <w:rPr>
                <w:color w:val="000000"/>
                <w:sz w:val="20"/>
              </w:rPr>
              <w:t xml:space="preserve">, </w:t>
            </w:r>
            <w:proofErr w:type="spellStart"/>
            <w:r>
              <w:rPr>
                <w:color w:val="000000"/>
                <w:sz w:val="20"/>
              </w:rPr>
              <w:t>Dieter-Lebrecht</w:t>
            </w:r>
            <w:proofErr w:type="spellEnd"/>
            <w:r>
              <w:rPr>
                <w:color w:val="000000"/>
                <w:sz w:val="20"/>
              </w:rPr>
              <w:t xml:space="preserve"> </w:t>
            </w:r>
            <w:proofErr w:type="spellStart"/>
            <w:r>
              <w:rPr>
                <w:color w:val="000000"/>
                <w:sz w:val="20"/>
              </w:rPr>
              <w:t>Koch</w:t>
            </w:r>
            <w:proofErr w:type="spellEnd"/>
            <w:r>
              <w:rPr>
                <w:color w:val="000000"/>
                <w:sz w:val="20"/>
              </w:rPr>
              <w:t xml:space="preserve">, </w:t>
            </w:r>
            <w:proofErr w:type="spellStart"/>
            <w:r>
              <w:rPr>
                <w:color w:val="000000"/>
                <w:sz w:val="20"/>
              </w:rPr>
              <w:t>Merja</w:t>
            </w:r>
            <w:proofErr w:type="spellEnd"/>
            <w:r>
              <w:rPr>
                <w:color w:val="000000"/>
                <w:sz w:val="20"/>
              </w:rPr>
              <w:t xml:space="preserve"> </w:t>
            </w:r>
            <w:proofErr w:type="spellStart"/>
            <w:r>
              <w:rPr>
                <w:color w:val="000000"/>
                <w:sz w:val="20"/>
              </w:rPr>
              <w:t>Kyllönen</w:t>
            </w:r>
            <w:proofErr w:type="spellEnd"/>
            <w:r>
              <w:rPr>
                <w:color w:val="000000"/>
                <w:sz w:val="20"/>
              </w:rPr>
              <w:t xml:space="preserve">, </w:t>
            </w:r>
            <w:proofErr w:type="spellStart"/>
            <w:r>
              <w:rPr>
                <w:color w:val="000000"/>
                <w:sz w:val="20"/>
              </w:rPr>
              <w:t>Miltiadis</w:t>
            </w:r>
            <w:proofErr w:type="spellEnd"/>
            <w:r>
              <w:rPr>
                <w:color w:val="000000"/>
                <w:sz w:val="20"/>
              </w:rPr>
              <w:t xml:space="preserve"> </w:t>
            </w:r>
            <w:proofErr w:type="spellStart"/>
            <w:r>
              <w:rPr>
                <w:color w:val="000000"/>
                <w:sz w:val="20"/>
              </w:rPr>
              <w:t>Kyrkos</w:t>
            </w:r>
            <w:proofErr w:type="spellEnd"/>
            <w:r>
              <w:rPr>
                <w:color w:val="000000"/>
                <w:sz w:val="20"/>
              </w:rPr>
              <w:t xml:space="preserve">, </w:t>
            </w:r>
            <w:proofErr w:type="spellStart"/>
            <w:r>
              <w:rPr>
                <w:color w:val="000000"/>
                <w:sz w:val="20"/>
              </w:rPr>
              <w:t>Bogusław</w:t>
            </w:r>
            <w:proofErr w:type="spellEnd"/>
            <w:r>
              <w:rPr>
                <w:color w:val="000000"/>
                <w:sz w:val="20"/>
              </w:rPr>
              <w:t xml:space="preserve"> </w:t>
            </w:r>
            <w:proofErr w:type="spellStart"/>
            <w:r>
              <w:rPr>
                <w:color w:val="000000"/>
                <w:sz w:val="20"/>
              </w:rPr>
              <w:t>Liberadzki</w:t>
            </w:r>
            <w:proofErr w:type="spellEnd"/>
            <w:r>
              <w:rPr>
                <w:color w:val="000000"/>
                <w:sz w:val="20"/>
              </w:rPr>
              <w:t xml:space="preserve">, Peter </w:t>
            </w:r>
            <w:proofErr w:type="spellStart"/>
            <w:r>
              <w:rPr>
                <w:color w:val="000000"/>
                <w:sz w:val="20"/>
              </w:rPr>
              <w:t>Lundgren</w:t>
            </w:r>
            <w:proofErr w:type="spellEnd"/>
            <w:r>
              <w:rPr>
                <w:color w:val="000000"/>
                <w:sz w:val="20"/>
              </w:rPr>
              <w:t>, Marian-</w:t>
            </w:r>
            <w:proofErr w:type="spellStart"/>
            <w:r>
              <w:rPr>
                <w:color w:val="000000"/>
                <w:sz w:val="20"/>
              </w:rPr>
              <w:t>Jean</w:t>
            </w:r>
            <w:proofErr w:type="spellEnd"/>
            <w:r>
              <w:rPr>
                <w:color w:val="000000"/>
                <w:sz w:val="20"/>
              </w:rPr>
              <w:t xml:space="preserve"> </w:t>
            </w:r>
            <w:proofErr w:type="spellStart"/>
            <w:r>
              <w:rPr>
                <w:color w:val="000000"/>
                <w:sz w:val="20"/>
              </w:rPr>
              <w:t>Marinescu</w:t>
            </w:r>
            <w:proofErr w:type="spellEnd"/>
            <w:r>
              <w:rPr>
                <w:color w:val="000000"/>
                <w:sz w:val="20"/>
              </w:rPr>
              <w:t xml:space="preserve">, Georg </w:t>
            </w:r>
            <w:proofErr w:type="spellStart"/>
            <w:r>
              <w:rPr>
                <w:color w:val="000000"/>
                <w:sz w:val="20"/>
              </w:rPr>
              <w:t>Mayer</w:t>
            </w:r>
            <w:proofErr w:type="spellEnd"/>
            <w:r>
              <w:rPr>
                <w:color w:val="000000"/>
                <w:sz w:val="20"/>
              </w:rPr>
              <w:t xml:space="preserve">, </w:t>
            </w:r>
            <w:proofErr w:type="spellStart"/>
            <w:r>
              <w:rPr>
                <w:color w:val="000000"/>
                <w:sz w:val="20"/>
              </w:rPr>
              <w:t>Gesine</w:t>
            </w:r>
            <w:proofErr w:type="spellEnd"/>
            <w:r>
              <w:rPr>
                <w:color w:val="000000"/>
                <w:sz w:val="20"/>
              </w:rPr>
              <w:t xml:space="preserve"> </w:t>
            </w:r>
            <w:proofErr w:type="spellStart"/>
            <w:r>
              <w:rPr>
                <w:color w:val="000000"/>
                <w:sz w:val="20"/>
              </w:rPr>
              <w:t>Meissner</w:t>
            </w:r>
            <w:proofErr w:type="spellEnd"/>
            <w:r>
              <w:rPr>
                <w:color w:val="000000"/>
                <w:sz w:val="20"/>
              </w:rPr>
              <w:t xml:space="preserve">, </w:t>
            </w:r>
            <w:proofErr w:type="spellStart"/>
            <w:r>
              <w:rPr>
                <w:color w:val="000000"/>
                <w:sz w:val="20"/>
              </w:rPr>
              <w:t>Renaud</w:t>
            </w:r>
            <w:proofErr w:type="spellEnd"/>
            <w:r>
              <w:rPr>
                <w:color w:val="000000"/>
                <w:sz w:val="20"/>
              </w:rPr>
              <w:t xml:space="preserve"> </w:t>
            </w:r>
            <w:proofErr w:type="spellStart"/>
            <w:r>
              <w:rPr>
                <w:color w:val="000000"/>
                <w:sz w:val="20"/>
              </w:rPr>
              <w:t>Muselier</w:t>
            </w:r>
            <w:proofErr w:type="spellEnd"/>
            <w:r>
              <w:rPr>
                <w:color w:val="000000"/>
                <w:sz w:val="20"/>
              </w:rPr>
              <w:t xml:space="preserve">, Jens </w:t>
            </w:r>
            <w:proofErr w:type="spellStart"/>
            <w:r>
              <w:rPr>
                <w:color w:val="000000"/>
                <w:sz w:val="20"/>
              </w:rPr>
              <w:t>Nilsson</w:t>
            </w:r>
            <w:proofErr w:type="spellEnd"/>
            <w:r>
              <w:rPr>
                <w:color w:val="000000"/>
                <w:sz w:val="20"/>
              </w:rPr>
              <w:t xml:space="preserve">, Salvatore </w:t>
            </w:r>
            <w:proofErr w:type="spellStart"/>
            <w:r>
              <w:rPr>
                <w:color w:val="000000"/>
                <w:sz w:val="20"/>
              </w:rPr>
              <w:t>Domenico</w:t>
            </w:r>
            <w:proofErr w:type="spellEnd"/>
            <w:r>
              <w:rPr>
                <w:color w:val="000000"/>
                <w:sz w:val="20"/>
              </w:rPr>
              <w:t xml:space="preserve"> </w:t>
            </w:r>
            <w:proofErr w:type="spellStart"/>
            <w:r>
              <w:rPr>
                <w:color w:val="000000"/>
                <w:sz w:val="20"/>
              </w:rPr>
              <w:t>Pogliese</w:t>
            </w:r>
            <w:proofErr w:type="spellEnd"/>
            <w:r>
              <w:rPr>
                <w:color w:val="000000"/>
                <w:sz w:val="20"/>
              </w:rPr>
              <w:t xml:space="preserve">, </w:t>
            </w:r>
            <w:proofErr w:type="spellStart"/>
            <w:r>
              <w:rPr>
                <w:color w:val="000000"/>
                <w:sz w:val="20"/>
              </w:rPr>
              <w:t>Tomasz</w:t>
            </w:r>
            <w:proofErr w:type="spellEnd"/>
            <w:r>
              <w:rPr>
                <w:color w:val="000000"/>
                <w:sz w:val="20"/>
              </w:rPr>
              <w:t xml:space="preserve"> </w:t>
            </w:r>
            <w:proofErr w:type="spellStart"/>
            <w:r>
              <w:rPr>
                <w:color w:val="000000"/>
                <w:sz w:val="20"/>
              </w:rPr>
              <w:t>Piotr</w:t>
            </w:r>
            <w:proofErr w:type="spellEnd"/>
            <w:r>
              <w:rPr>
                <w:color w:val="000000"/>
                <w:sz w:val="20"/>
              </w:rPr>
              <w:t xml:space="preserve"> </w:t>
            </w:r>
            <w:proofErr w:type="spellStart"/>
            <w:r>
              <w:rPr>
                <w:color w:val="000000"/>
                <w:sz w:val="20"/>
              </w:rPr>
              <w:t>Poręba</w:t>
            </w:r>
            <w:proofErr w:type="spellEnd"/>
            <w:r>
              <w:rPr>
                <w:color w:val="000000"/>
                <w:sz w:val="20"/>
              </w:rPr>
              <w:t xml:space="preserve">, </w:t>
            </w:r>
            <w:proofErr w:type="spellStart"/>
            <w:r>
              <w:rPr>
                <w:color w:val="000000"/>
                <w:sz w:val="20"/>
              </w:rPr>
              <w:t>Gabriele</w:t>
            </w:r>
            <w:proofErr w:type="spellEnd"/>
            <w:r>
              <w:rPr>
                <w:color w:val="000000"/>
                <w:sz w:val="20"/>
              </w:rPr>
              <w:t xml:space="preserve"> </w:t>
            </w:r>
            <w:proofErr w:type="spellStart"/>
            <w:r>
              <w:rPr>
                <w:color w:val="000000"/>
                <w:sz w:val="20"/>
              </w:rPr>
              <w:t>Preuß</w:t>
            </w:r>
            <w:proofErr w:type="spellEnd"/>
            <w:r>
              <w:rPr>
                <w:color w:val="000000"/>
                <w:sz w:val="20"/>
              </w:rPr>
              <w:t xml:space="preserve">, </w:t>
            </w:r>
            <w:proofErr w:type="spellStart"/>
            <w:r>
              <w:rPr>
                <w:color w:val="000000"/>
                <w:sz w:val="20"/>
              </w:rPr>
              <w:t>Christine</w:t>
            </w:r>
            <w:proofErr w:type="spellEnd"/>
            <w:r>
              <w:rPr>
                <w:color w:val="000000"/>
                <w:sz w:val="20"/>
              </w:rPr>
              <w:t xml:space="preserve"> </w:t>
            </w:r>
            <w:proofErr w:type="spellStart"/>
            <w:r>
              <w:rPr>
                <w:color w:val="000000"/>
                <w:sz w:val="20"/>
              </w:rPr>
              <w:t>Revault</w:t>
            </w:r>
            <w:proofErr w:type="spellEnd"/>
            <w:r>
              <w:rPr>
                <w:color w:val="000000"/>
                <w:sz w:val="20"/>
              </w:rPr>
              <w:t xml:space="preserve"> </w:t>
            </w:r>
            <w:proofErr w:type="spellStart"/>
            <w:r>
              <w:rPr>
                <w:color w:val="000000"/>
                <w:sz w:val="20"/>
              </w:rPr>
              <w:t>D’Allonnes</w:t>
            </w:r>
            <w:proofErr w:type="spellEnd"/>
            <w:r>
              <w:rPr>
                <w:color w:val="000000"/>
                <w:sz w:val="20"/>
              </w:rPr>
              <w:t xml:space="preserve"> </w:t>
            </w:r>
            <w:proofErr w:type="spellStart"/>
            <w:r>
              <w:rPr>
                <w:color w:val="000000"/>
                <w:sz w:val="20"/>
              </w:rPr>
              <w:t>Bonnefoy</w:t>
            </w:r>
            <w:proofErr w:type="spellEnd"/>
            <w:r>
              <w:rPr>
                <w:color w:val="000000"/>
                <w:sz w:val="20"/>
              </w:rPr>
              <w:t xml:space="preserve">, </w:t>
            </w:r>
            <w:proofErr w:type="spellStart"/>
            <w:r>
              <w:rPr>
                <w:color w:val="000000"/>
                <w:sz w:val="20"/>
              </w:rPr>
              <w:t>Dominique</w:t>
            </w:r>
            <w:proofErr w:type="spellEnd"/>
            <w:r>
              <w:rPr>
                <w:color w:val="000000"/>
                <w:sz w:val="20"/>
              </w:rPr>
              <w:t xml:space="preserve"> </w:t>
            </w:r>
            <w:proofErr w:type="spellStart"/>
            <w:r>
              <w:rPr>
                <w:color w:val="000000"/>
                <w:sz w:val="20"/>
              </w:rPr>
              <w:t>Riquet</w:t>
            </w:r>
            <w:proofErr w:type="spellEnd"/>
            <w:r>
              <w:rPr>
                <w:color w:val="000000"/>
                <w:sz w:val="20"/>
              </w:rPr>
              <w:t xml:space="preserve">, </w:t>
            </w:r>
            <w:proofErr w:type="spellStart"/>
            <w:r>
              <w:rPr>
                <w:color w:val="000000"/>
                <w:sz w:val="20"/>
              </w:rPr>
              <w:t>Massimiliano</w:t>
            </w:r>
            <w:proofErr w:type="spellEnd"/>
            <w:r>
              <w:rPr>
                <w:color w:val="000000"/>
                <w:sz w:val="20"/>
              </w:rPr>
              <w:t xml:space="preserve"> </w:t>
            </w:r>
            <w:proofErr w:type="spellStart"/>
            <w:r>
              <w:rPr>
                <w:color w:val="000000"/>
                <w:sz w:val="20"/>
              </w:rPr>
              <w:t>Salini</w:t>
            </w:r>
            <w:proofErr w:type="spellEnd"/>
            <w:r>
              <w:rPr>
                <w:color w:val="000000"/>
                <w:sz w:val="20"/>
              </w:rPr>
              <w:t xml:space="preserve">, </w:t>
            </w:r>
            <w:proofErr w:type="spellStart"/>
            <w:r>
              <w:rPr>
                <w:color w:val="000000"/>
                <w:sz w:val="20"/>
              </w:rPr>
              <w:t>David-Maria</w:t>
            </w:r>
            <w:proofErr w:type="spellEnd"/>
            <w:r>
              <w:rPr>
                <w:color w:val="000000"/>
                <w:sz w:val="20"/>
              </w:rPr>
              <w:t xml:space="preserve"> </w:t>
            </w:r>
            <w:proofErr w:type="spellStart"/>
            <w:r>
              <w:rPr>
                <w:color w:val="000000"/>
                <w:sz w:val="20"/>
              </w:rPr>
              <w:t>Sassoli</w:t>
            </w:r>
            <w:proofErr w:type="spellEnd"/>
            <w:r>
              <w:rPr>
                <w:color w:val="000000"/>
                <w:sz w:val="20"/>
              </w:rPr>
              <w:t xml:space="preserve">, </w:t>
            </w:r>
            <w:proofErr w:type="spellStart"/>
            <w:r>
              <w:rPr>
                <w:color w:val="000000"/>
                <w:sz w:val="20"/>
              </w:rPr>
              <w:t>Claudia</w:t>
            </w:r>
            <w:proofErr w:type="spellEnd"/>
            <w:r>
              <w:rPr>
                <w:color w:val="000000"/>
                <w:sz w:val="20"/>
              </w:rPr>
              <w:t xml:space="preserve"> </w:t>
            </w:r>
            <w:proofErr w:type="spellStart"/>
            <w:r>
              <w:rPr>
                <w:color w:val="000000"/>
                <w:sz w:val="20"/>
              </w:rPr>
              <w:t>Schmidt</w:t>
            </w:r>
            <w:proofErr w:type="spellEnd"/>
            <w:r>
              <w:rPr>
                <w:color w:val="000000"/>
                <w:sz w:val="20"/>
              </w:rPr>
              <w:t xml:space="preserve">, </w:t>
            </w:r>
            <w:proofErr w:type="spellStart"/>
            <w:r>
              <w:rPr>
                <w:color w:val="000000"/>
                <w:sz w:val="20"/>
              </w:rPr>
              <w:t>Keith</w:t>
            </w:r>
            <w:proofErr w:type="spellEnd"/>
            <w:r>
              <w:rPr>
                <w:color w:val="000000"/>
                <w:sz w:val="20"/>
              </w:rPr>
              <w:t xml:space="preserve"> </w:t>
            </w:r>
            <w:proofErr w:type="spellStart"/>
            <w:r>
              <w:rPr>
                <w:color w:val="000000"/>
                <w:sz w:val="20"/>
              </w:rPr>
              <w:t>Taylor</w:t>
            </w:r>
            <w:proofErr w:type="spellEnd"/>
            <w:r>
              <w:rPr>
                <w:color w:val="000000"/>
                <w:sz w:val="20"/>
              </w:rPr>
              <w:t xml:space="preserve">, Pavel </w:t>
            </w:r>
            <w:proofErr w:type="spellStart"/>
            <w:r>
              <w:rPr>
                <w:color w:val="000000"/>
                <w:sz w:val="20"/>
              </w:rPr>
              <w:t>Telička</w:t>
            </w:r>
            <w:proofErr w:type="spellEnd"/>
            <w:r>
              <w:rPr>
                <w:color w:val="000000"/>
                <w:sz w:val="20"/>
              </w:rPr>
              <w:t xml:space="preserve">, </w:t>
            </w:r>
            <w:proofErr w:type="spellStart"/>
            <w:r>
              <w:rPr>
                <w:color w:val="000000"/>
                <w:sz w:val="20"/>
              </w:rPr>
              <w:t>István</w:t>
            </w:r>
            <w:proofErr w:type="spellEnd"/>
            <w:r>
              <w:rPr>
                <w:color w:val="000000"/>
                <w:sz w:val="20"/>
              </w:rPr>
              <w:t xml:space="preserve"> </w:t>
            </w:r>
            <w:proofErr w:type="spellStart"/>
            <w:r>
              <w:rPr>
                <w:color w:val="000000"/>
                <w:sz w:val="20"/>
              </w:rPr>
              <w:t>Ujhelyi</w:t>
            </w:r>
            <w:proofErr w:type="spellEnd"/>
            <w:r>
              <w:rPr>
                <w:color w:val="000000"/>
                <w:sz w:val="20"/>
              </w:rPr>
              <w:t xml:space="preserve">, </w:t>
            </w:r>
            <w:proofErr w:type="spellStart"/>
            <w:r>
              <w:rPr>
                <w:color w:val="000000"/>
                <w:sz w:val="20"/>
              </w:rPr>
              <w:t>Wim</w:t>
            </w:r>
            <w:proofErr w:type="spellEnd"/>
            <w:r>
              <w:rPr>
                <w:color w:val="000000"/>
                <w:sz w:val="20"/>
              </w:rPr>
              <w:t xml:space="preserve"> </w:t>
            </w:r>
            <w:proofErr w:type="spellStart"/>
            <w:r>
              <w:rPr>
                <w:color w:val="000000"/>
                <w:sz w:val="20"/>
              </w:rPr>
              <w:t>van</w:t>
            </w:r>
            <w:proofErr w:type="spellEnd"/>
            <w:r>
              <w:rPr>
                <w:color w:val="000000"/>
                <w:sz w:val="20"/>
              </w:rPr>
              <w:t xml:space="preserve"> </w:t>
            </w:r>
            <w:proofErr w:type="spellStart"/>
            <w:r>
              <w:rPr>
                <w:color w:val="000000"/>
                <w:sz w:val="20"/>
              </w:rPr>
              <w:t>de</w:t>
            </w:r>
            <w:proofErr w:type="spellEnd"/>
            <w:r>
              <w:rPr>
                <w:color w:val="000000"/>
                <w:sz w:val="20"/>
              </w:rPr>
              <w:t xml:space="preserve"> </w:t>
            </w:r>
            <w:proofErr w:type="spellStart"/>
            <w:r>
              <w:rPr>
                <w:color w:val="000000"/>
                <w:sz w:val="20"/>
              </w:rPr>
              <w:t>Camp</w:t>
            </w:r>
            <w:proofErr w:type="spellEnd"/>
            <w:r>
              <w:rPr>
                <w:color w:val="000000"/>
                <w:sz w:val="20"/>
              </w:rPr>
              <w:t xml:space="preserve">, </w:t>
            </w:r>
            <w:proofErr w:type="spellStart"/>
            <w:r>
              <w:rPr>
                <w:color w:val="000000"/>
                <w:sz w:val="20"/>
              </w:rPr>
              <w:t>Janusz</w:t>
            </w:r>
            <w:proofErr w:type="spellEnd"/>
            <w:r>
              <w:rPr>
                <w:color w:val="000000"/>
                <w:sz w:val="20"/>
              </w:rPr>
              <w:t xml:space="preserve"> </w:t>
            </w:r>
            <w:proofErr w:type="spellStart"/>
            <w:r>
              <w:rPr>
                <w:color w:val="000000"/>
                <w:sz w:val="20"/>
              </w:rPr>
              <w:t>Zemke</w:t>
            </w:r>
            <w:proofErr w:type="spellEnd"/>
            <w:r>
              <w:rPr>
                <w:color w:val="000000"/>
                <w:sz w:val="20"/>
              </w:rPr>
              <w:t>, Roberts Zīle</w:t>
            </w:r>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 xml:space="preserve">Daniel </w:t>
            </w:r>
            <w:proofErr w:type="spellStart"/>
            <w:r>
              <w:rPr>
                <w:color w:val="000000"/>
                <w:sz w:val="20"/>
              </w:rPr>
              <w:t>Dalton</w:t>
            </w:r>
            <w:proofErr w:type="spellEnd"/>
            <w:r>
              <w:rPr>
                <w:color w:val="000000"/>
                <w:sz w:val="20"/>
              </w:rPr>
              <w:t xml:space="preserve">, </w:t>
            </w:r>
            <w:proofErr w:type="spellStart"/>
            <w:r>
              <w:rPr>
                <w:color w:val="000000"/>
                <w:sz w:val="20"/>
              </w:rPr>
              <w:t>Fabio</w:t>
            </w:r>
            <w:proofErr w:type="spellEnd"/>
            <w:r>
              <w:rPr>
                <w:color w:val="000000"/>
                <w:sz w:val="20"/>
              </w:rPr>
              <w:t xml:space="preserve"> </w:t>
            </w:r>
            <w:proofErr w:type="spellStart"/>
            <w:r>
              <w:rPr>
                <w:color w:val="000000"/>
                <w:sz w:val="20"/>
              </w:rPr>
              <w:t>De</w:t>
            </w:r>
            <w:proofErr w:type="spellEnd"/>
            <w:r>
              <w:rPr>
                <w:color w:val="000000"/>
                <w:sz w:val="20"/>
              </w:rPr>
              <w:t xml:space="preserve"> </w:t>
            </w:r>
            <w:proofErr w:type="spellStart"/>
            <w:r>
              <w:rPr>
                <w:color w:val="000000"/>
                <w:sz w:val="20"/>
              </w:rPr>
              <w:t>Masi</w:t>
            </w:r>
            <w:proofErr w:type="spellEnd"/>
            <w:r>
              <w:rPr>
                <w:color w:val="000000"/>
                <w:sz w:val="20"/>
              </w:rPr>
              <w:t xml:space="preserve">, </w:t>
            </w:r>
            <w:proofErr w:type="spellStart"/>
            <w:r>
              <w:rPr>
                <w:color w:val="000000"/>
                <w:sz w:val="20"/>
              </w:rPr>
              <w:t>Maria</w:t>
            </w:r>
            <w:proofErr w:type="spellEnd"/>
            <w:r>
              <w:rPr>
                <w:color w:val="000000"/>
                <w:sz w:val="20"/>
              </w:rPr>
              <w:t xml:space="preserve"> </w:t>
            </w:r>
            <w:proofErr w:type="spellStart"/>
            <w:r>
              <w:rPr>
                <w:color w:val="000000"/>
                <w:sz w:val="20"/>
              </w:rPr>
              <w:t>Grapini</w:t>
            </w:r>
            <w:proofErr w:type="spellEnd"/>
            <w:r>
              <w:rPr>
                <w:color w:val="000000"/>
                <w:sz w:val="20"/>
              </w:rPr>
              <w:t xml:space="preserve">, </w:t>
            </w:r>
            <w:proofErr w:type="spellStart"/>
            <w:r>
              <w:rPr>
                <w:color w:val="000000"/>
                <w:sz w:val="20"/>
              </w:rPr>
              <w:t>Werner</w:t>
            </w:r>
            <w:proofErr w:type="spellEnd"/>
            <w:r>
              <w:rPr>
                <w:color w:val="000000"/>
                <w:sz w:val="20"/>
              </w:rPr>
              <w:t xml:space="preserve"> </w:t>
            </w:r>
            <w:proofErr w:type="spellStart"/>
            <w:r>
              <w:rPr>
                <w:color w:val="000000"/>
                <w:sz w:val="20"/>
              </w:rPr>
              <w:t>Kuhn</w:t>
            </w:r>
            <w:proofErr w:type="spellEnd"/>
            <w:r>
              <w:rPr>
                <w:color w:val="000000"/>
                <w:sz w:val="20"/>
              </w:rPr>
              <w:t xml:space="preserve">, Ramona </w:t>
            </w:r>
            <w:proofErr w:type="spellStart"/>
            <w:r>
              <w:rPr>
                <w:color w:val="000000"/>
                <w:sz w:val="20"/>
              </w:rPr>
              <w:t>Nicole</w:t>
            </w:r>
            <w:proofErr w:type="spellEnd"/>
            <w:r>
              <w:rPr>
                <w:color w:val="000000"/>
                <w:sz w:val="20"/>
              </w:rPr>
              <w:t xml:space="preserve"> </w:t>
            </w:r>
            <w:proofErr w:type="spellStart"/>
            <w:r>
              <w:rPr>
                <w:color w:val="000000"/>
                <w:sz w:val="20"/>
              </w:rPr>
              <w:t>Mănescu</w:t>
            </w:r>
            <w:proofErr w:type="spellEnd"/>
            <w:r>
              <w:rPr>
                <w:color w:val="000000"/>
                <w:sz w:val="20"/>
              </w:rPr>
              <w:t xml:space="preserve">, </w:t>
            </w:r>
            <w:proofErr w:type="spellStart"/>
            <w:r>
              <w:rPr>
                <w:color w:val="000000"/>
                <w:sz w:val="20"/>
              </w:rPr>
              <w:t>Matthijs</w:t>
            </w:r>
            <w:proofErr w:type="spellEnd"/>
            <w:r>
              <w:rPr>
                <w:color w:val="000000"/>
                <w:sz w:val="20"/>
              </w:rPr>
              <w:t xml:space="preserve"> </w:t>
            </w:r>
            <w:proofErr w:type="spellStart"/>
            <w:r>
              <w:rPr>
                <w:color w:val="000000"/>
                <w:sz w:val="20"/>
              </w:rPr>
              <w:t>van</w:t>
            </w:r>
            <w:proofErr w:type="spellEnd"/>
            <w:r>
              <w:rPr>
                <w:color w:val="000000"/>
                <w:sz w:val="20"/>
              </w:rPr>
              <w:t xml:space="preserve"> </w:t>
            </w:r>
            <w:proofErr w:type="spellStart"/>
            <w:r>
              <w:rPr>
                <w:color w:val="000000"/>
                <w:sz w:val="20"/>
              </w:rPr>
              <w:t>Miltenburg</w:t>
            </w:r>
            <w:proofErr w:type="spellEnd"/>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proofErr w:type="spellStart"/>
            <w:r>
              <w:rPr>
                <w:color w:val="000000"/>
                <w:sz w:val="20"/>
              </w:rPr>
              <w:t>Jeroen</w:t>
            </w:r>
            <w:proofErr w:type="spellEnd"/>
            <w:r>
              <w:rPr>
                <w:color w:val="000000"/>
                <w:sz w:val="20"/>
              </w:rPr>
              <w:t xml:space="preserve"> </w:t>
            </w:r>
            <w:proofErr w:type="spellStart"/>
            <w:r>
              <w:rPr>
                <w:color w:val="000000"/>
                <w:sz w:val="20"/>
              </w:rPr>
              <w:t>Lenaers</w:t>
            </w:r>
            <w:proofErr w:type="spellEnd"/>
          </w:p>
        </w:tc>
      </w:tr>
      <w:tr w:rsidR="009F075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b/>
                <w:bCs/>
                <w:color w:val="000000"/>
                <w:sz w:val="20"/>
              </w:rPr>
            </w:pPr>
            <w:r>
              <w:rPr>
                <w:b/>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75D" w:rsidRDefault="009F075D">
            <w:pPr>
              <w:autoSpaceDE w:val="0"/>
              <w:autoSpaceDN w:val="0"/>
              <w:adjustRightInd w:val="0"/>
              <w:rPr>
                <w:color w:val="000000"/>
                <w:sz w:val="20"/>
              </w:rPr>
            </w:pPr>
            <w:r>
              <w:rPr>
                <w:color w:val="000000"/>
                <w:sz w:val="20"/>
              </w:rPr>
              <w:t>7.12.2016</w:t>
            </w:r>
          </w:p>
        </w:tc>
      </w:tr>
    </w:tbl>
    <w:p w:rsidR="009F075D" w:rsidRDefault="009F075D">
      <w:pPr>
        <w:autoSpaceDE w:val="0"/>
        <w:autoSpaceDN w:val="0"/>
        <w:adjustRightInd w:val="0"/>
        <w:rPr>
          <w:rFonts w:ascii="Arial" w:hAnsi="Arial" w:cs="Arial"/>
          <w:szCs w:val="24"/>
        </w:rPr>
      </w:pPr>
    </w:p>
    <w:bookmarkEnd w:id="5"/>
    <w:p w:rsidR="00B328A0" w:rsidRPr="009F075D" w:rsidRDefault="00B328A0" w:rsidP="009F075D"/>
    <w:sectPr w:rsidR="00B328A0" w:rsidRPr="009F075D" w:rsidSect="008D50C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D7" w:rsidRPr="008D50CF" w:rsidRDefault="00E857D7">
      <w:r w:rsidRPr="008D50CF">
        <w:separator/>
      </w:r>
    </w:p>
  </w:endnote>
  <w:endnote w:type="continuationSeparator" w:id="0">
    <w:p w:rsidR="00E857D7" w:rsidRPr="008D50CF" w:rsidRDefault="00E857D7">
      <w:r w:rsidRPr="008D50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5D" w:rsidRDefault="009F075D" w:rsidP="009F075D">
    <w:pPr>
      <w:pStyle w:val="Footer"/>
    </w:pPr>
    <w:r>
      <w:t>PE</w:t>
    </w:r>
    <w:r>
      <w:rPr>
        <w:rStyle w:val="HideTWBExt"/>
      </w:rPr>
      <w:t>&lt;NoPE&gt;</w:t>
    </w:r>
    <w:r>
      <w:t>592.232</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475CD2">
      <w:rPr>
        <w:noProof/>
      </w:rPr>
      <w:t>4</w:t>
    </w:r>
    <w:r>
      <w:fldChar w:fldCharType="end"/>
    </w:r>
    <w:r>
      <w:t>/</w:t>
    </w:r>
    <w:fldSimple w:instr=" NUMPAGES  \* MERGEFORMAT ">
      <w:r w:rsidR="00475CD2">
        <w:rPr>
          <w:noProof/>
        </w:rPr>
        <w:t>10</w:t>
      </w:r>
    </w:fldSimple>
    <w:r>
      <w:tab/>
    </w:r>
    <w:r>
      <w:rPr>
        <w:rStyle w:val="HideTWBExt"/>
      </w:rPr>
      <w:t>&lt;PathFdR&gt;</w:t>
    </w:r>
    <w:r>
      <w:t>RR\1112013LV.docx</w:t>
    </w:r>
    <w:r>
      <w:rPr>
        <w:rStyle w:val="HideTWBExt"/>
      </w:rPr>
      <w:t>&lt;/PathFdR&gt;</w:t>
    </w:r>
  </w:p>
  <w:p w:rsidR="00A71001" w:rsidRPr="008D50CF" w:rsidRDefault="009F075D" w:rsidP="009F075D">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5D" w:rsidRDefault="009F075D" w:rsidP="009F075D">
    <w:pPr>
      <w:pStyle w:val="Footer"/>
    </w:pPr>
    <w:r>
      <w:rPr>
        <w:rStyle w:val="HideTWBExt"/>
      </w:rPr>
      <w:t>&lt;PathFdR&gt;</w:t>
    </w:r>
    <w:r>
      <w:t>RR\1112013LV.docx</w:t>
    </w:r>
    <w:r>
      <w:rPr>
        <w:rStyle w:val="HideTWBExt"/>
      </w:rPr>
      <w:t>&lt;/PathFdR&gt;</w:t>
    </w:r>
    <w:r>
      <w:tab/>
    </w:r>
    <w:r>
      <w:fldChar w:fldCharType="begin"/>
    </w:r>
    <w:r>
      <w:instrText xml:space="preserve"> PAGE  \* MERGEFORMAT </w:instrText>
    </w:r>
    <w:r>
      <w:fldChar w:fldCharType="separate"/>
    </w:r>
    <w:r w:rsidR="00475CD2">
      <w:rPr>
        <w:noProof/>
      </w:rPr>
      <w:t>5</w:t>
    </w:r>
    <w:r>
      <w:fldChar w:fldCharType="end"/>
    </w:r>
    <w:r>
      <w:t>/</w:t>
    </w:r>
    <w:fldSimple w:instr=" NUMPAGES  \* MERGEFORMAT ">
      <w:r w:rsidR="00475CD2">
        <w:rPr>
          <w:noProof/>
        </w:rPr>
        <w:t>10</w:t>
      </w:r>
    </w:fldSimple>
    <w:r>
      <w:tab/>
      <w:t>PE</w:t>
    </w:r>
    <w:r>
      <w:rPr>
        <w:rStyle w:val="HideTWBExt"/>
      </w:rPr>
      <w:t>&lt;NoPE&gt;</w:t>
    </w:r>
    <w:r>
      <w:t>592.232</w:t>
    </w:r>
    <w:r>
      <w:rPr>
        <w:rStyle w:val="HideTWBExt"/>
      </w:rPr>
      <w:t>&lt;/NoPE&gt;&lt;Version&gt;</w:t>
    </w:r>
    <w:r>
      <w:t>v02-00</w:t>
    </w:r>
    <w:r>
      <w:rPr>
        <w:rStyle w:val="HideTWBExt"/>
      </w:rPr>
      <w:t>&lt;/Version&gt;</w:t>
    </w:r>
  </w:p>
  <w:p w:rsidR="00A71001" w:rsidRPr="008D50CF" w:rsidRDefault="009F075D" w:rsidP="009F075D">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5D" w:rsidRDefault="009F075D" w:rsidP="009F075D">
    <w:pPr>
      <w:pStyle w:val="Footer"/>
    </w:pPr>
    <w:r>
      <w:rPr>
        <w:rStyle w:val="HideTWBExt"/>
      </w:rPr>
      <w:t>&lt;PathFdR&gt;</w:t>
    </w:r>
    <w:r>
      <w:t>RR\1112013LV.docx</w:t>
    </w:r>
    <w:r>
      <w:rPr>
        <w:rStyle w:val="HideTWBExt"/>
      </w:rPr>
      <w:t>&lt;/PathFdR&gt;</w:t>
    </w:r>
    <w:r>
      <w:tab/>
    </w:r>
    <w:r>
      <w:tab/>
      <w:t>PE</w:t>
    </w:r>
    <w:r>
      <w:rPr>
        <w:rStyle w:val="HideTWBExt"/>
      </w:rPr>
      <w:t>&lt;NoPE&gt;</w:t>
    </w:r>
    <w:r>
      <w:t>592.232</w:t>
    </w:r>
    <w:r>
      <w:rPr>
        <w:rStyle w:val="HideTWBExt"/>
      </w:rPr>
      <w:t>&lt;/NoPE&gt;&lt;Version&gt;</w:t>
    </w:r>
    <w:r>
      <w:t>v02-00</w:t>
    </w:r>
    <w:r>
      <w:rPr>
        <w:rStyle w:val="HideTWBExt"/>
      </w:rPr>
      <w:t>&lt;/Version&gt;</w:t>
    </w:r>
  </w:p>
  <w:p w:rsidR="00A71001" w:rsidRPr="008D50CF" w:rsidRDefault="009F075D" w:rsidP="009F075D">
    <w:pPr>
      <w:pStyle w:val="Footer2"/>
      <w:tabs>
        <w:tab w:val="center" w:pos="4535"/>
      </w:tabs>
    </w:pPr>
    <w:r>
      <w:t>LV</w:t>
    </w:r>
    <w:r>
      <w:tab/>
    </w:r>
    <w:r>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D7" w:rsidRPr="008D50CF" w:rsidRDefault="00E857D7">
      <w:r w:rsidRPr="008D50CF">
        <w:separator/>
      </w:r>
    </w:p>
  </w:footnote>
  <w:footnote w:type="continuationSeparator" w:id="0">
    <w:p w:rsidR="00E857D7" w:rsidRPr="008D50CF" w:rsidRDefault="00E857D7">
      <w:r w:rsidRPr="008D50CF">
        <w:continuationSeparator/>
      </w:r>
    </w:p>
  </w:footnote>
  <w:footnote w:id="1">
    <w:p w:rsidR="006A1E5D" w:rsidRPr="009073F0" w:rsidRDefault="006A1E5D" w:rsidP="006A1E5D">
      <w:pPr>
        <w:pStyle w:val="FootnoteText"/>
      </w:pPr>
      <w:r>
        <w:rPr>
          <w:rStyle w:val="FootnoteReference"/>
        </w:rPr>
        <w:footnoteRef/>
      </w:r>
      <w:r>
        <w:t xml:space="preserve"> OV C 327, 12.11.2013., 122. lpp.</w:t>
      </w:r>
    </w:p>
  </w:footnote>
  <w:footnote w:id="2">
    <w:p w:rsidR="006A1E5D" w:rsidRPr="009073F0" w:rsidRDefault="006A1E5D" w:rsidP="006A1E5D">
      <w:pPr>
        <w:pStyle w:val="FootnoteText"/>
      </w:pPr>
      <w:r>
        <w:rPr>
          <w:rStyle w:val="FootnoteReference"/>
        </w:rPr>
        <w:footnoteRef/>
      </w:r>
      <w:r>
        <w:t xml:space="preserve"> </w:t>
      </w:r>
      <w:r>
        <w:t>OV C 356, 5.12.2013., 92. lpp.</w:t>
      </w:r>
    </w:p>
  </w:footnote>
  <w:footnote w:id="3">
    <w:p w:rsidR="006A1E5D" w:rsidRPr="009073F0" w:rsidRDefault="006A1E5D" w:rsidP="006A1E5D">
      <w:pPr>
        <w:pStyle w:val="FootnoteText"/>
      </w:pPr>
      <w:r>
        <w:rPr>
          <w:rStyle w:val="FootnoteReference"/>
        </w:rPr>
        <w:footnoteRef/>
      </w:r>
      <w:r>
        <w:t xml:space="preserve"> </w:t>
      </w:r>
      <w:r>
        <w:t>Pieņemtie teksti, P7_TA(2014)0147.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75" w:rsidRDefault="000D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75" w:rsidRDefault="000D3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75" w:rsidRDefault="000D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OMKEY" w:val="TRAN"/>
    <w:docVar w:name="CopyToNetwork" w:val="-1"/>
    <w:docVar w:name="DOCMNU" w:val=" 2"/>
    <w:docVar w:name="EPSTATMNU" w:val=" 5"/>
    <w:docVar w:name="INSTITUTIONSMNU" w:val=" 1"/>
    <w:docVar w:name="LastEditedSection" w:val=" 1"/>
    <w:docVar w:name="OTHERSTATMNU" w:val=" 4"/>
    <w:docVar w:name="PARLIAMENTSMNU" w:val=" 1"/>
    <w:docVar w:name="PARLMNU" w:val=" 3"/>
    <w:docVar w:name="strDocTypeID" w:val="PR_COD_2app"/>
    <w:docVar w:name="strSubDir" w:val="1112"/>
    <w:docVar w:name="TXTAUTHOR" w:val="David-Maria Sassoli"/>
    <w:docVar w:name="TXTLANGUE" w:val="LV"/>
    <w:docVar w:name="TXTLANGUEMIN" w:val="lv"/>
    <w:docVar w:name="TXTNRC" w:val="0426/2016"/>
    <w:docVar w:name="TXTNRCOD" w:val="2013/0029"/>
    <w:docVar w:name="TXTNRCOUNC" w:val="11199/1/2016"/>
    <w:docVar w:name="TXTNRPE" w:val="592.232"/>
    <w:docVar w:name="TXTPEorAP" w:val="PE"/>
    <w:docVar w:name="TXTROUTE" w:val="RR\1112013LV.docx"/>
    <w:docVar w:name="TXTTITLE" w:val="grozījumu izdarīšanu Direktīvā 2012/34/ES, ar ko izveido vienotu Eiropas dzelzceļa telpu, attiecībā uz iekšzemes dzelzceļa pasažieru pārvadājumu tirgus atvēršanu un dzelzceļa infrastruktūras pārvaldību"/>
    <w:docVar w:name="TXTVERSION" w:val="02-00"/>
  </w:docVars>
  <w:rsids>
    <w:rsidRoot w:val="00E857D7"/>
    <w:rsid w:val="000263F4"/>
    <w:rsid w:val="00071D7E"/>
    <w:rsid w:val="00076114"/>
    <w:rsid w:val="00093B75"/>
    <w:rsid w:val="000D3875"/>
    <w:rsid w:val="000F5800"/>
    <w:rsid w:val="001210E5"/>
    <w:rsid w:val="00135DB4"/>
    <w:rsid w:val="001742E9"/>
    <w:rsid w:val="001E7D60"/>
    <w:rsid w:val="001F74C8"/>
    <w:rsid w:val="002008B0"/>
    <w:rsid w:val="00317F84"/>
    <w:rsid w:val="003A7AA7"/>
    <w:rsid w:val="003B3F1B"/>
    <w:rsid w:val="00475CD2"/>
    <w:rsid w:val="00481A55"/>
    <w:rsid w:val="004B2B38"/>
    <w:rsid w:val="00631817"/>
    <w:rsid w:val="00696B79"/>
    <w:rsid w:val="006A1E5D"/>
    <w:rsid w:val="006A56ED"/>
    <w:rsid w:val="00744DF3"/>
    <w:rsid w:val="00756B4B"/>
    <w:rsid w:val="007C23A6"/>
    <w:rsid w:val="007C77B4"/>
    <w:rsid w:val="0085215D"/>
    <w:rsid w:val="008B5504"/>
    <w:rsid w:val="008D50CF"/>
    <w:rsid w:val="00967192"/>
    <w:rsid w:val="009A2F48"/>
    <w:rsid w:val="009F075D"/>
    <w:rsid w:val="00A04886"/>
    <w:rsid w:val="00A11851"/>
    <w:rsid w:val="00A56C71"/>
    <w:rsid w:val="00A71001"/>
    <w:rsid w:val="00AB2BE6"/>
    <w:rsid w:val="00AB3F76"/>
    <w:rsid w:val="00B30B85"/>
    <w:rsid w:val="00B328A0"/>
    <w:rsid w:val="00B9078F"/>
    <w:rsid w:val="00BE4597"/>
    <w:rsid w:val="00C0492B"/>
    <w:rsid w:val="00C83E85"/>
    <w:rsid w:val="00D019D4"/>
    <w:rsid w:val="00E220DA"/>
    <w:rsid w:val="00E4310C"/>
    <w:rsid w:val="00E857D7"/>
    <w:rsid w:val="00E91F5F"/>
    <w:rsid w:val="00F3060C"/>
    <w:rsid w:val="00F90BF7"/>
    <w:rsid w:val="00F95C1D"/>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F6F0392-0FE5-4658-AAC1-32F780B5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6A56ED"/>
    <w:pPr>
      <w:tabs>
        <w:tab w:val="right" w:pos="454"/>
        <w:tab w:val="left" w:pos="737"/>
      </w:tabs>
      <w:ind w:left="737" w:hanging="737"/>
    </w:pPr>
    <w:rPr>
      <w:snapToGrid w:val="0"/>
      <w:sz w:val="18"/>
    </w:rPr>
  </w:style>
  <w:style w:type="paragraph" w:customStyle="1" w:styleId="Lgendetitre">
    <w:name w:val="Légende titre"/>
    <w:basedOn w:val="Normal"/>
    <w:rsid w:val="006A56ED"/>
    <w:pPr>
      <w:spacing w:before="240" w:after="240"/>
    </w:pPr>
    <w:rPr>
      <w:b/>
      <w:i/>
      <w:snapToGrid w:val="0"/>
    </w:rPr>
  </w:style>
  <w:style w:type="paragraph" w:customStyle="1" w:styleId="Lgendestandard">
    <w:name w:val="Légende standard"/>
    <w:basedOn w:val="Lgendesigne"/>
    <w:rsid w:val="006A56ED"/>
    <w:pPr>
      <w:ind w:left="0" w:firstLine="0"/>
    </w:pPr>
  </w:style>
  <w:style w:type="paragraph" w:styleId="FootnoteText">
    <w:name w:val="footnote text"/>
    <w:basedOn w:val="Normal"/>
    <w:link w:val="FootnoteTextChar"/>
    <w:rsid w:val="006A56ED"/>
    <w:rPr>
      <w:sz w:val="20"/>
    </w:rPr>
  </w:style>
  <w:style w:type="character" w:customStyle="1" w:styleId="FootnoteTextChar">
    <w:name w:val="Footnote Text Char"/>
    <w:basedOn w:val="DefaultParagraphFont"/>
    <w:link w:val="FootnoteText"/>
    <w:rsid w:val="006A56ED"/>
    <w:rPr>
      <w:lang w:val="lv-LV"/>
    </w:rPr>
  </w:style>
  <w:style w:type="character" w:styleId="FootnoteReference">
    <w:name w:val="footnote reference"/>
    <w:basedOn w:val="DefaultParagraphFont"/>
    <w:rsid w:val="006A56ED"/>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9F075D"/>
    <w:rPr>
      <w:rFonts w:ascii="Segoe UI" w:hAnsi="Segoe UI" w:cs="Segoe UI"/>
      <w:sz w:val="18"/>
      <w:szCs w:val="18"/>
    </w:rPr>
  </w:style>
  <w:style w:type="character" w:customStyle="1" w:styleId="BalloonTextChar">
    <w:name w:val="Balloon Text Char"/>
    <w:basedOn w:val="DefaultParagraphFont"/>
    <w:link w:val="BalloonText"/>
    <w:rsid w:val="009F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B1D0-B756-411F-9404-BD3BBDC3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12D3C777.dotm</Template>
  <TotalTime>0</TotalTime>
  <Pages>10</Pages>
  <Words>1596</Words>
  <Characters>12002</Characters>
  <Application>Microsoft Office Word</Application>
  <DocSecurity>0</DocSecurity>
  <Lines>292</Lines>
  <Paragraphs>137</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STASANS Gints</dc:creator>
  <cp:keywords/>
  <dc:description/>
  <cp:lastModifiedBy>ILZINS Vilnis</cp:lastModifiedBy>
  <cp:revision>2</cp:revision>
  <cp:lastPrinted>2004-11-04T08:41:00Z</cp:lastPrinted>
  <dcterms:created xsi:type="dcterms:W3CDTF">2016-12-09T14:18:00Z</dcterms:created>
  <dcterms:modified xsi:type="dcterms:W3CDTF">2016-12-09T14:18:00Z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1112013</vt:lpwstr>
  </property>
  <property fmtid="{D5CDD505-2E9C-101B-9397-08002B2CF9AE}" pid="5" name="&lt;Type&gt;">
    <vt:lpwstr>RR</vt:lpwstr>
  </property>
  <property fmtid="{D5CDD505-2E9C-101B-9397-08002B2CF9AE}" pid="6" name="&lt;ModelCod&gt;">
    <vt:lpwstr>\\eiciLUXpr1\pdocep$\DocEP\DOCS\General\PR\PR_Leg\COD\COD_2nd\PR_COD_2app.dot(17/02/2016 11:44:36)</vt:lpwstr>
  </property>
  <property fmtid="{D5CDD505-2E9C-101B-9397-08002B2CF9AE}" pid="7" name="&lt;ModelTra&gt;">
    <vt:lpwstr>\\eiciLUXpr1\pdocep$\DocEP\TRANSFIL\LV\PR_COD_2app.LV(22/09/2016 15:04:56)</vt:lpwstr>
  </property>
  <property fmtid="{D5CDD505-2E9C-101B-9397-08002B2CF9AE}" pid="8" name="&lt;Model&gt;">
    <vt:lpwstr>PR_COD_2app</vt:lpwstr>
  </property>
  <property fmtid="{D5CDD505-2E9C-101B-9397-08002B2CF9AE}" pid="9" name="FooterPath">
    <vt:lpwstr>RR\1112013LV.docx</vt:lpwstr>
  </property>
  <property fmtid="{D5CDD505-2E9C-101B-9397-08002B2CF9AE}" pid="10" name="PE Number">
    <vt:lpwstr>592.232</vt:lpwstr>
  </property>
  <property fmtid="{D5CDD505-2E9C-101B-9397-08002B2CF9AE}" pid="11" name="Bookout">
    <vt:lpwstr>OK - 2016/12/9 11:15</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LV</vt:lpwstr>
  </property>
</Properties>
</file>