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613F2E" w:rsidRPr="00830ADD" w:rsidTr="00613F2E">
        <w:trPr>
          <w:trHeight w:hRule="exact" w:val="1418"/>
        </w:trPr>
        <w:tc>
          <w:tcPr>
            <w:tcW w:w="6804" w:type="dxa"/>
            <w:vAlign w:val="center"/>
            <w:hideMark/>
          </w:tcPr>
          <w:p w:rsidR="00613F2E" w:rsidRPr="00830ADD" w:rsidRDefault="00DF5FFD">
            <w:pPr>
              <w:pStyle w:val="EPName"/>
            </w:pPr>
            <w:r>
              <w:t>Eiropas Parlaments</w:t>
            </w:r>
          </w:p>
          <w:p w:rsidR="00613F2E" w:rsidRPr="00830ADD" w:rsidRDefault="00AC5AB9" w:rsidP="00AC5AB9">
            <w:pPr>
              <w:pStyle w:val="EPTerm"/>
            </w:pPr>
            <w:r>
              <w:t>2014-2019</w:t>
            </w:r>
          </w:p>
        </w:tc>
        <w:tc>
          <w:tcPr>
            <w:tcW w:w="2268" w:type="dxa"/>
            <w:hideMark/>
          </w:tcPr>
          <w:p w:rsidR="00613F2E" w:rsidRPr="00830ADD" w:rsidRDefault="00D658DA">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9612AA" w:rsidRPr="00DF5FFD" w:rsidRDefault="009612AA" w:rsidP="009612AA">
      <w:pPr>
        <w:pStyle w:val="LineTop"/>
      </w:pPr>
    </w:p>
    <w:p w:rsidR="009612AA" w:rsidRPr="00DF5FFD" w:rsidRDefault="005E7C81" w:rsidP="009612AA">
      <w:pPr>
        <w:pStyle w:val="ZCommittee"/>
      </w:pPr>
      <w:r>
        <w:t>Sesijas dokuments</w:t>
      </w:r>
    </w:p>
    <w:p w:rsidR="009612AA" w:rsidRPr="00DF5FFD" w:rsidRDefault="009612AA" w:rsidP="009612AA">
      <w:pPr>
        <w:pStyle w:val="LineBottom"/>
      </w:pPr>
    </w:p>
    <w:p w:rsidR="00363B94" w:rsidRPr="00DF5FFD" w:rsidRDefault="005E7C81">
      <w:pPr>
        <w:pStyle w:val="RefProc"/>
      </w:pPr>
      <w:r>
        <w:rPr>
          <w:rStyle w:val="HideTWBExt"/>
          <w:noProof w:val="0"/>
        </w:rPr>
        <w:t>&lt;NoDocSe&gt;</w:t>
      </w:r>
      <w:r>
        <w:t>A8-0009/2017</w:t>
      </w:r>
      <w:r>
        <w:rPr>
          <w:rStyle w:val="HideTWBExt"/>
          <w:noProof w:val="0"/>
        </w:rPr>
        <w:t>&lt;/NoDocSe&gt;</w:t>
      </w:r>
    </w:p>
    <w:p w:rsidR="00363B94" w:rsidRPr="00DF5FFD" w:rsidRDefault="00363B94">
      <w:pPr>
        <w:pStyle w:val="ZDate"/>
      </w:pPr>
      <w:r>
        <w:rPr>
          <w:rStyle w:val="HideTWBExt"/>
          <w:noProof w:val="0"/>
        </w:rPr>
        <w:t>&lt;Date&gt;</w:t>
      </w:r>
      <w:r>
        <w:rPr>
          <w:rStyle w:val="HideTWBInt"/>
        </w:rPr>
        <w:t>{30/01/2017}</w:t>
      </w:r>
      <w:r>
        <w:t>30.1.2017</w:t>
      </w:r>
      <w:r>
        <w:rPr>
          <w:rStyle w:val="HideTWBExt"/>
          <w:noProof w:val="0"/>
        </w:rPr>
        <w:t>&lt;/Date&gt;</w:t>
      </w:r>
    </w:p>
    <w:p w:rsidR="00363B94" w:rsidRPr="00DF5FFD" w:rsidRDefault="00363B94">
      <w:pPr>
        <w:pStyle w:val="StarsAndIs"/>
      </w:pPr>
      <w:r>
        <w:rPr>
          <w:rStyle w:val="HideTWBExt"/>
          <w:b w:val="0"/>
          <w:noProof w:val="0"/>
        </w:rPr>
        <w:t>&lt;RefProcLect&gt;</w:t>
      </w:r>
      <w:r>
        <w:t>***</w:t>
      </w:r>
      <w:r>
        <w:rPr>
          <w:rStyle w:val="HideTWBExt"/>
          <w:b w:val="0"/>
          <w:noProof w:val="0"/>
        </w:rPr>
        <w:t>&lt;/RefProcLect&gt;</w:t>
      </w:r>
    </w:p>
    <w:p w:rsidR="00363B94" w:rsidRPr="00DF5FFD" w:rsidRDefault="00363B94">
      <w:pPr>
        <w:pStyle w:val="TypeDoc"/>
      </w:pPr>
      <w:r>
        <w:rPr>
          <w:rStyle w:val="HideTWBExt"/>
          <w:b w:val="0"/>
          <w:noProof w:val="0"/>
        </w:rPr>
        <w:t>&lt;TitreType&gt;</w:t>
      </w:r>
      <w:r>
        <w:t>IETEIKUMS</w:t>
      </w:r>
      <w:r>
        <w:rPr>
          <w:rStyle w:val="HideTWBExt"/>
          <w:b w:val="0"/>
          <w:noProof w:val="0"/>
        </w:rPr>
        <w:t>&lt;/TitreType&gt;</w:t>
      </w:r>
    </w:p>
    <w:p w:rsidR="00AC5AB9" w:rsidRPr="00BA0AB8" w:rsidRDefault="00AC5AB9" w:rsidP="00AC5AB9">
      <w:pPr>
        <w:pStyle w:val="CoverNormal"/>
      </w:pPr>
      <w:r>
        <w:rPr>
          <w:rStyle w:val="HideTWBExt"/>
          <w:noProof w:val="0"/>
        </w:rPr>
        <w:t>&lt;Titre&gt;</w:t>
      </w:r>
      <w:r>
        <w:t>par Padomes lēmuma projektu par to, lai noslēgtu Visaptverošu ekonomikas un tirdzniecības nolīgumu (</w:t>
      </w:r>
      <w:r>
        <w:rPr>
          <w:i/>
        </w:rPr>
        <w:t>CETA</w:t>
      </w:r>
      <w:r>
        <w:t xml:space="preserve">) starp Kanādu, no vienas puses, un Eiropas Savienību un tās dalībvalstīm, no otras puses </w:t>
      </w:r>
      <w:r>
        <w:rPr>
          <w:rStyle w:val="HideTWBExt"/>
          <w:noProof w:val="0"/>
        </w:rPr>
        <w:t>&lt;/Titre&gt;</w:t>
      </w:r>
    </w:p>
    <w:p w:rsidR="00AC5AB9" w:rsidRPr="00BA0AB8" w:rsidRDefault="00AC5AB9" w:rsidP="00AC5AB9">
      <w:pPr>
        <w:pStyle w:val="Cover24"/>
      </w:pPr>
      <w:r>
        <w:rPr>
          <w:rStyle w:val="HideTWBExt"/>
          <w:noProof w:val="0"/>
        </w:rPr>
        <w:t>&lt;DocRef&gt;</w:t>
      </w:r>
      <w:r>
        <w:t>(10975/2016 – C8-0438/2016 – 2016/0205(NLE))</w:t>
      </w:r>
      <w:r>
        <w:rPr>
          <w:rStyle w:val="HideTWBExt"/>
          <w:noProof w:val="0"/>
        </w:rPr>
        <w:t>&lt;/DocRef&gt;</w:t>
      </w:r>
    </w:p>
    <w:p w:rsidR="00363B94" w:rsidRPr="00DF5FFD" w:rsidRDefault="00363B94">
      <w:pPr>
        <w:pStyle w:val="Cover24"/>
      </w:pPr>
      <w:r>
        <w:rPr>
          <w:rStyle w:val="HideTWBExt"/>
          <w:noProof w:val="0"/>
        </w:rPr>
        <w:t>&lt;Commission&gt;</w:t>
      </w:r>
      <w:r>
        <w:rPr>
          <w:rStyle w:val="HideTWBInt"/>
        </w:rPr>
        <w:t>{INTA}</w:t>
      </w:r>
      <w:r>
        <w:t>Starptautiskās tirdzniecības komiteja</w:t>
      </w:r>
      <w:r>
        <w:rPr>
          <w:rStyle w:val="HideTWBExt"/>
          <w:noProof w:val="0"/>
        </w:rPr>
        <w:t>&lt;/Commission&gt;</w:t>
      </w:r>
    </w:p>
    <w:p w:rsidR="00B42885" w:rsidRPr="00DF5FFD" w:rsidRDefault="00AC5AB9" w:rsidP="00BC03CC">
      <w:pPr>
        <w:pStyle w:val="Cover24"/>
      </w:pPr>
      <w:bookmarkStart w:id="0" w:name="DocEPTmp"/>
      <w:bookmarkEnd w:id="0"/>
      <w:r>
        <w:t xml:space="preserve">Referents: </w:t>
      </w:r>
      <w:r>
        <w:rPr>
          <w:rStyle w:val="HideTWBExt"/>
          <w:noProof w:val="0"/>
        </w:rPr>
        <w:t>&lt;Depute&gt;</w:t>
      </w:r>
      <w:r>
        <w:t xml:space="preserve"> </w:t>
      </w:r>
      <w:r>
        <w:rPr>
          <w:i/>
        </w:rPr>
        <w:t>Artis Pabriks</w:t>
      </w:r>
      <w:r>
        <w:t xml:space="preserve"> </w:t>
      </w:r>
      <w:r>
        <w:rPr>
          <w:rStyle w:val="HideTWBExt"/>
          <w:noProof w:val="0"/>
        </w:rPr>
        <w:t>&lt;/Depute&gt;</w:t>
      </w:r>
    </w:p>
    <w:p w:rsidR="00363B94" w:rsidRPr="00DF5FFD" w:rsidRDefault="00363B94" w:rsidP="00613F2E">
      <w:pPr>
        <w:widowControl/>
        <w:tabs>
          <w:tab w:val="center" w:pos="4677"/>
        </w:tabs>
      </w:pPr>
      <w:r>
        <w:br w:type="page"/>
      </w:r>
      <w:bookmarkStart w:id="1" w:name="DocEPTmpStart"/>
      <w:bookmarkEnd w:id="1"/>
    </w:p>
    <w:p w:rsidR="00AC5AB9" w:rsidRDefault="00A86E88">
      <w:r>
        <w:t>PR_NLE-AP_Agreement</w:t>
      </w:r>
    </w:p>
    <w:p w:rsidR="00AC5AB9" w:rsidRDefault="00AC5AB9"/>
    <w:p w:rsidR="00AC5AB9" w:rsidRDefault="00AC5AB9"/>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AC5AB9">
        <w:tc>
          <w:tcPr>
            <w:tcW w:w="5811" w:type="dxa"/>
          </w:tcPr>
          <w:p w:rsidR="00AC5AB9" w:rsidRDefault="00AC5AB9">
            <w:pPr>
              <w:pStyle w:val="Lgendetitre"/>
            </w:pPr>
            <w:r>
              <w:t>Izmantoto apzīmējumu skaidrojums</w:t>
            </w:r>
          </w:p>
        </w:tc>
      </w:tr>
      <w:tr w:rsidR="00AC5AB9" w:rsidRPr="00430989" w:rsidTr="007948A1">
        <w:trPr>
          <w:cantSplit/>
          <w:trHeight w:val="1944"/>
        </w:trPr>
        <w:tc>
          <w:tcPr>
            <w:tcW w:w="5811" w:type="dxa"/>
            <w:tcBorders>
              <w:bottom w:val="single" w:sz="4" w:space="0" w:color="auto"/>
            </w:tcBorders>
          </w:tcPr>
          <w:p w:rsidR="00AC5AB9" w:rsidRDefault="00AC5AB9">
            <w:pPr>
              <w:pStyle w:val="Lgendesigne"/>
            </w:pPr>
            <w:r>
              <w:tab/>
              <w:t>*</w:t>
            </w:r>
            <w:r>
              <w:tab/>
              <w:t>Apspriežu procedūra</w:t>
            </w:r>
          </w:p>
          <w:p w:rsidR="00AC5AB9" w:rsidRDefault="00AC5AB9">
            <w:pPr>
              <w:pStyle w:val="Lgendesigne"/>
            </w:pPr>
            <w:r>
              <w:tab/>
              <w:t>***</w:t>
            </w:r>
            <w:r>
              <w:tab/>
              <w:t>Piekrišanas procedūra</w:t>
            </w:r>
          </w:p>
          <w:p w:rsidR="00AC5AB9" w:rsidRDefault="00AC5AB9">
            <w:pPr>
              <w:pStyle w:val="Lgendesigne"/>
            </w:pPr>
            <w:r>
              <w:tab/>
              <w:t>***I</w:t>
            </w:r>
            <w:r>
              <w:tab/>
              <w:t>Parastā likumdošanas procedūra (pirmais lasījums)</w:t>
            </w:r>
          </w:p>
          <w:p w:rsidR="00AC5AB9" w:rsidRDefault="00AC5AB9">
            <w:pPr>
              <w:pStyle w:val="Lgendesigne"/>
            </w:pPr>
            <w:r>
              <w:tab/>
              <w:t>***II</w:t>
            </w:r>
            <w:r>
              <w:tab/>
              <w:t>Parastā likumdošanas procedūra (otrais lasījums)</w:t>
            </w:r>
          </w:p>
          <w:p w:rsidR="00AC5AB9" w:rsidRDefault="00AC5AB9">
            <w:pPr>
              <w:pStyle w:val="Lgendesigne"/>
            </w:pPr>
            <w:r>
              <w:tab/>
              <w:t>***III</w:t>
            </w:r>
            <w:r>
              <w:tab/>
              <w:t>Parastā likumdošanas procedūra (trešais lasījums)</w:t>
            </w:r>
          </w:p>
          <w:p w:rsidR="00AC5AB9" w:rsidRDefault="00AC5AB9">
            <w:pPr>
              <w:pStyle w:val="Lgendesigne"/>
              <w:ind w:left="0" w:firstLine="0"/>
            </w:pPr>
          </w:p>
          <w:p w:rsidR="00AC5AB9" w:rsidRDefault="00AC5AB9">
            <w:pPr>
              <w:pStyle w:val="Lgendestandard"/>
            </w:pPr>
            <w:r>
              <w:t>(Norādītā procedūra pamatojas uz akta projektā ierosināto juridisko pamatu.)</w:t>
            </w:r>
          </w:p>
        </w:tc>
      </w:tr>
    </w:tbl>
    <w:p w:rsidR="00AC5AB9" w:rsidRPr="00430989" w:rsidRDefault="00AC5AB9"/>
    <w:p w:rsidR="00AC5AB9" w:rsidRPr="00430989" w:rsidRDefault="00AC5AB9"/>
    <w:p w:rsidR="00363B94" w:rsidRPr="00AC5AB9" w:rsidRDefault="00363B94" w:rsidP="00613F2E">
      <w:pPr>
        <w:widowControl/>
        <w:tabs>
          <w:tab w:val="center" w:pos="4677"/>
        </w:tabs>
      </w:pPr>
    </w:p>
    <w:p w:rsidR="00363B94" w:rsidRPr="00DF5FFD" w:rsidRDefault="00363B94">
      <w:pPr>
        <w:pStyle w:val="TOCHeading"/>
      </w:pPr>
      <w:r>
        <w:br w:type="page"/>
      </w:r>
      <w:r>
        <w:lastRenderedPageBreak/>
        <w:t>SATURA RĀDĪTĀJS</w:t>
      </w:r>
    </w:p>
    <w:p w:rsidR="00363B94" w:rsidRPr="00DF5FFD" w:rsidRDefault="00DF5FFD">
      <w:pPr>
        <w:pStyle w:val="TOCPage"/>
      </w:pPr>
      <w:r>
        <w:t>Lpp.</w:t>
      </w:r>
    </w:p>
    <w:p w:rsidR="00D658DA" w:rsidRDefault="00EF48F2">
      <w:pPr>
        <w:pStyle w:val="TOC1"/>
        <w:tabs>
          <w:tab w:val="right" w:leader="dot" w:pos="9060"/>
        </w:tabs>
        <w:rPr>
          <w:rFonts w:asciiTheme="minorHAnsi" w:eastAsiaTheme="minorEastAsia" w:hAnsiTheme="minorHAnsi" w:cstheme="minorBidi"/>
          <w:noProof/>
          <w:sz w:val="22"/>
          <w:szCs w:val="22"/>
          <w:lang w:val="en-GB" w:eastAsia="en-GB" w:bidi="ar-SA"/>
        </w:rPr>
      </w:pPr>
      <w:r w:rsidRPr="00DF5FFD">
        <w:rPr>
          <w:b/>
        </w:rPr>
        <w:fldChar w:fldCharType="begin"/>
      </w:r>
      <w:r w:rsidRPr="00DF5FFD">
        <w:rPr>
          <w:b/>
        </w:rPr>
        <w:instrText xml:space="preserve"> TOC \t "PageHeading</w:instrText>
      </w:r>
      <w:r w:rsidR="00D658DA">
        <w:rPr>
          <w:b/>
        </w:rPr>
        <w:instrText>;</w:instrText>
      </w:r>
      <w:r w:rsidRPr="00DF5FFD">
        <w:rPr>
          <w:b/>
        </w:rPr>
        <w:instrText xml:space="preserve">1" </w:instrText>
      </w:r>
      <w:r w:rsidRPr="00DF5FFD">
        <w:rPr>
          <w:b/>
        </w:rPr>
        <w:fldChar w:fldCharType="separate"/>
      </w:r>
      <w:r w:rsidR="00D658DA">
        <w:rPr>
          <w:noProof/>
        </w:rPr>
        <w:t>EIROPAS PARLAMENTA NORMATĪVĀS REZOLŪCIJAS PROJEKTS</w:t>
      </w:r>
      <w:r w:rsidR="00D658DA">
        <w:rPr>
          <w:noProof/>
        </w:rPr>
        <w:tab/>
      </w:r>
      <w:r w:rsidR="00D658DA">
        <w:rPr>
          <w:noProof/>
        </w:rPr>
        <w:fldChar w:fldCharType="begin"/>
      </w:r>
      <w:r w:rsidR="00D658DA">
        <w:rPr>
          <w:noProof/>
        </w:rPr>
        <w:instrText xml:space="preserve"> PAGEREF _Toc474431996 \h </w:instrText>
      </w:r>
      <w:r w:rsidR="00D658DA">
        <w:rPr>
          <w:noProof/>
        </w:rPr>
      </w:r>
      <w:r w:rsidR="00D658DA">
        <w:rPr>
          <w:noProof/>
        </w:rPr>
        <w:fldChar w:fldCharType="separate"/>
      </w:r>
      <w:r w:rsidR="00D658DA">
        <w:rPr>
          <w:noProof/>
        </w:rPr>
        <w:t>5</w:t>
      </w:r>
      <w:r w:rsidR="00D658DA">
        <w:rPr>
          <w:noProof/>
        </w:rPr>
        <w:fldChar w:fldCharType="end"/>
      </w:r>
    </w:p>
    <w:p w:rsidR="00D658DA" w:rsidRDefault="00D658DA">
      <w:pPr>
        <w:pStyle w:val="TOC1"/>
        <w:tabs>
          <w:tab w:val="right" w:leader="dot" w:pos="9060"/>
        </w:tabs>
        <w:rPr>
          <w:rFonts w:asciiTheme="minorHAnsi" w:eastAsiaTheme="minorEastAsia" w:hAnsiTheme="minorHAnsi" w:cstheme="minorBidi"/>
          <w:noProof/>
          <w:sz w:val="22"/>
          <w:szCs w:val="22"/>
          <w:lang w:val="en-GB" w:eastAsia="en-GB" w:bidi="ar-SA"/>
        </w:rPr>
      </w:pPr>
      <w:r>
        <w:rPr>
          <w:noProof/>
        </w:rPr>
        <w:t>PASKAIDROJUMS</w:t>
      </w:r>
      <w:r>
        <w:rPr>
          <w:noProof/>
        </w:rPr>
        <w:tab/>
      </w:r>
      <w:r>
        <w:rPr>
          <w:noProof/>
        </w:rPr>
        <w:fldChar w:fldCharType="begin"/>
      </w:r>
      <w:r>
        <w:rPr>
          <w:noProof/>
        </w:rPr>
        <w:instrText xml:space="preserve"> PAGEREF _Toc474431997 \h </w:instrText>
      </w:r>
      <w:r>
        <w:rPr>
          <w:noProof/>
        </w:rPr>
      </w:r>
      <w:r>
        <w:rPr>
          <w:noProof/>
        </w:rPr>
        <w:fldChar w:fldCharType="separate"/>
      </w:r>
      <w:r>
        <w:rPr>
          <w:noProof/>
        </w:rPr>
        <w:t>6</w:t>
      </w:r>
      <w:r>
        <w:rPr>
          <w:noProof/>
        </w:rPr>
        <w:fldChar w:fldCharType="end"/>
      </w:r>
    </w:p>
    <w:p w:rsidR="00D658DA" w:rsidRDefault="00D658DA">
      <w:pPr>
        <w:pStyle w:val="TOC1"/>
        <w:tabs>
          <w:tab w:val="right" w:leader="dot" w:pos="9060"/>
        </w:tabs>
        <w:rPr>
          <w:rFonts w:asciiTheme="minorHAnsi" w:eastAsiaTheme="minorEastAsia" w:hAnsiTheme="minorHAnsi" w:cstheme="minorBidi"/>
          <w:noProof/>
          <w:sz w:val="22"/>
          <w:szCs w:val="22"/>
          <w:lang w:val="en-GB" w:eastAsia="en-GB" w:bidi="ar-SA"/>
        </w:rPr>
      </w:pPr>
      <w:r w:rsidRPr="00BF7F34">
        <w:rPr>
          <w:caps/>
          <w:noProof/>
        </w:rPr>
        <w:t xml:space="preserve">Ārlietu komitejaS </w:t>
      </w:r>
      <w:r>
        <w:rPr>
          <w:noProof/>
        </w:rPr>
        <w:t>ATZINUMS</w:t>
      </w:r>
      <w:r>
        <w:rPr>
          <w:noProof/>
        </w:rPr>
        <w:tab/>
      </w:r>
      <w:r>
        <w:rPr>
          <w:noProof/>
        </w:rPr>
        <w:fldChar w:fldCharType="begin"/>
      </w:r>
      <w:r>
        <w:rPr>
          <w:noProof/>
        </w:rPr>
        <w:instrText xml:space="preserve"> PAGEREF _Toc474431998 \h </w:instrText>
      </w:r>
      <w:r>
        <w:rPr>
          <w:noProof/>
        </w:rPr>
      </w:r>
      <w:r>
        <w:rPr>
          <w:noProof/>
        </w:rPr>
        <w:fldChar w:fldCharType="separate"/>
      </w:r>
      <w:r>
        <w:rPr>
          <w:noProof/>
        </w:rPr>
        <w:t>9</w:t>
      </w:r>
      <w:r>
        <w:rPr>
          <w:noProof/>
        </w:rPr>
        <w:fldChar w:fldCharType="end"/>
      </w:r>
    </w:p>
    <w:p w:rsidR="00D658DA" w:rsidRDefault="00D658DA">
      <w:pPr>
        <w:pStyle w:val="TOC1"/>
        <w:tabs>
          <w:tab w:val="right" w:leader="dot" w:pos="9060"/>
        </w:tabs>
        <w:rPr>
          <w:rFonts w:asciiTheme="minorHAnsi" w:eastAsiaTheme="minorEastAsia" w:hAnsiTheme="minorHAnsi" w:cstheme="minorBidi"/>
          <w:noProof/>
          <w:sz w:val="22"/>
          <w:szCs w:val="22"/>
          <w:lang w:val="en-GB" w:eastAsia="en-GB" w:bidi="ar-SA"/>
        </w:rPr>
      </w:pPr>
      <w:r w:rsidRPr="00BF7F34">
        <w:rPr>
          <w:caps/>
          <w:noProof/>
        </w:rPr>
        <w:t xml:space="preserve">Nodarbinātības un sociālo lietu komitejaS </w:t>
      </w:r>
      <w:r>
        <w:rPr>
          <w:noProof/>
        </w:rPr>
        <w:t>ATZINUMS</w:t>
      </w:r>
      <w:r>
        <w:rPr>
          <w:noProof/>
        </w:rPr>
        <w:tab/>
      </w:r>
      <w:r>
        <w:rPr>
          <w:noProof/>
        </w:rPr>
        <w:fldChar w:fldCharType="begin"/>
      </w:r>
      <w:r>
        <w:rPr>
          <w:noProof/>
        </w:rPr>
        <w:instrText xml:space="preserve"> PAGEREF _Toc474431999 \h </w:instrText>
      </w:r>
      <w:r>
        <w:rPr>
          <w:noProof/>
        </w:rPr>
      </w:r>
      <w:r>
        <w:rPr>
          <w:noProof/>
        </w:rPr>
        <w:fldChar w:fldCharType="separate"/>
      </w:r>
      <w:r>
        <w:rPr>
          <w:noProof/>
        </w:rPr>
        <w:t>12</w:t>
      </w:r>
      <w:r>
        <w:rPr>
          <w:noProof/>
        </w:rPr>
        <w:fldChar w:fldCharType="end"/>
      </w:r>
    </w:p>
    <w:p w:rsidR="00D658DA" w:rsidRDefault="00D658DA">
      <w:pPr>
        <w:pStyle w:val="TOC1"/>
        <w:tabs>
          <w:tab w:val="right" w:leader="dot" w:pos="9060"/>
        </w:tabs>
        <w:rPr>
          <w:rFonts w:asciiTheme="minorHAnsi" w:eastAsiaTheme="minorEastAsia" w:hAnsiTheme="minorHAnsi" w:cstheme="minorBidi"/>
          <w:noProof/>
          <w:sz w:val="22"/>
          <w:szCs w:val="22"/>
          <w:lang w:val="en-GB" w:eastAsia="en-GB" w:bidi="ar-SA"/>
        </w:rPr>
      </w:pPr>
      <w:r w:rsidRPr="00BF7F34">
        <w:rPr>
          <w:caps/>
          <w:noProof/>
        </w:rPr>
        <w:t xml:space="preserve">Vides, sabiedrības veselības un pārtikas nekaitīguma komitejaS </w:t>
      </w:r>
      <w:r>
        <w:rPr>
          <w:noProof/>
        </w:rPr>
        <w:t>ATZINUMS</w:t>
      </w:r>
      <w:r>
        <w:rPr>
          <w:noProof/>
        </w:rPr>
        <w:tab/>
      </w:r>
      <w:r>
        <w:rPr>
          <w:noProof/>
        </w:rPr>
        <w:fldChar w:fldCharType="begin"/>
      </w:r>
      <w:r>
        <w:rPr>
          <w:noProof/>
        </w:rPr>
        <w:instrText xml:space="preserve"> PAGEREF _Toc474432000 \h </w:instrText>
      </w:r>
      <w:r>
        <w:rPr>
          <w:noProof/>
        </w:rPr>
      </w:r>
      <w:r>
        <w:rPr>
          <w:noProof/>
        </w:rPr>
        <w:fldChar w:fldCharType="separate"/>
      </w:r>
      <w:r>
        <w:rPr>
          <w:noProof/>
        </w:rPr>
        <w:t>15</w:t>
      </w:r>
      <w:r>
        <w:rPr>
          <w:noProof/>
        </w:rPr>
        <w:fldChar w:fldCharType="end"/>
      </w:r>
    </w:p>
    <w:p w:rsidR="00D658DA" w:rsidRDefault="00D658DA">
      <w:pPr>
        <w:pStyle w:val="TOC1"/>
        <w:tabs>
          <w:tab w:val="right" w:leader="dot" w:pos="9060"/>
        </w:tabs>
        <w:rPr>
          <w:rFonts w:asciiTheme="minorHAnsi" w:eastAsiaTheme="minorEastAsia" w:hAnsiTheme="minorHAnsi" w:cstheme="minorBidi"/>
          <w:noProof/>
          <w:sz w:val="22"/>
          <w:szCs w:val="22"/>
          <w:lang w:val="en-GB" w:eastAsia="en-GB" w:bidi="ar-SA"/>
        </w:rPr>
      </w:pPr>
      <w:r>
        <w:rPr>
          <w:noProof/>
        </w:rPr>
        <w:t>ATBILDĪGĀS KOMITEJAS PROCEDŪRA</w:t>
      </w:r>
      <w:r>
        <w:rPr>
          <w:noProof/>
        </w:rPr>
        <w:tab/>
      </w:r>
      <w:r>
        <w:rPr>
          <w:noProof/>
        </w:rPr>
        <w:fldChar w:fldCharType="begin"/>
      </w:r>
      <w:r>
        <w:rPr>
          <w:noProof/>
        </w:rPr>
        <w:instrText xml:space="preserve"> PAGEREF _Toc474432001 \h </w:instrText>
      </w:r>
      <w:r>
        <w:rPr>
          <w:noProof/>
        </w:rPr>
      </w:r>
      <w:r>
        <w:rPr>
          <w:noProof/>
        </w:rPr>
        <w:fldChar w:fldCharType="separate"/>
      </w:r>
      <w:r>
        <w:rPr>
          <w:noProof/>
        </w:rPr>
        <w:t>17</w:t>
      </w:r>
      <w:r>
        <w:rPr>
          <w:noProof/>
        </w:rPr>
        <w:fldChar w:fldCharType="end"/>
      </w:r>
    </w:p>
    <w:p w:rsidR="00D658DA" w:rsidRDefault="00D658DA">
      <w:pPr>
        <w:pStyle w:val="TOC1"/>
        <w:tabs>
          <w:tab w:val="right" w:leader="dot" w:pos="9060"/>
        </w:tabs>
        <w:rPr>
          <w:rFonts w:asciiTheme="minorHAnsi" w:eastAsiaTheme="minorEastAsia" w:hAnsiTheme="minorHAnsi" w:cstheme="minorBidi"/>
          <w:noProof/>
          <w:sz w:val="22"/>
          <w:szCs w:val="22"/>
          <w:lang w:val="en-GB" w:eastAsia="en-GB" w:bidi="ar-SA"/>
        </w:rPr>
      </w:pPr>
      <w:r>
        <w:rPr>
          <w:noProof/>
        </w:rPr>
        <w:t>ATBILDĪGĀS KOMITEJAS GALĪGAIS BALSOJUMS PĒC SARAKSTA</w:t>
      </w:r>
      <w:r>
        <w:rPr>
          <w:noProof/>
        </w:rPr>
        <w:tab/>
      </w:r>
      <w:r>
        <w:rPr>
          <w:noProof/>
        </w:rPr>
        <w:fldChar w:fldCharType="begin"/>
      </w:r>
      <w:r>
        <w:rPr>
          <w:noProof/>
        </w:rPr>
        <w:instrText xml:space="preserve"> PAGEREF _Toc474432002 \h </w:instrText>
      </w:r>
      <w:r>
        <w:rPr>
          <w:noProof/>
        </w:rPr>
      </w:r>
      <w:r>
        <w:rPr>
          <w:noProof/>
        </w:rPr>
        <w:fldChar w:fldCharType="separate"/>
      </w:r>
      <w:r>
        <w:rPr>
          <w:noProof/>
        </w:rPr>
        <w:t>18</w:t>
      </w:r>
      <w:r>
        <w:rPr>
          <w:noProof/>
        </w:rPr>
        <w:fldChar w:fldCharType="end"/>
      </w:r>
    </w:p>
    <w:p w:rsidR="00A86E88" w:rsidRDefault="00EF48F2">
      <w:pPr>
        <w:pStyle w:val="TOC1"/>
        <w:tabs>
          <w:tab w:val="right" w:leader="dot" w:pos="9060"/>
        </w:tabs>
        <w:rPr>
          <w:rFonts w:asciiTheme="minorHAnsi" w:eastAsiaTheme="minorEastAsia" w:hAnsiTheme="minorHAnsi" w:cstheme="minorBidi"/>
          <w:sz w:val="22"/>
          <w:szCs w:val="22"/>
        </w:rPr>
      </w:pPr>
      <w:r w:rsidRPr="00DF5FFD">
        <w:rPr>
          <w:b/>
        </w:rPr>
        <w:fldChar w:fldCharType="end"/>
      </w:r>
    </w:p>
    <w:p w:rsidR="004E1650" w:rsidRPr="00DF5FFD" w:rsidRDefault="004E1650" w:rsidP="004E1650"/>
    <w:p w:rsidR="004E1650" w:rsidRPr="00DF5FFD" w:rsidRDefault="004E1650">
      <w:pPr>
        <w:pStyle w:val="PageHeading"/>
      </w:pPr>
    </w:p>
    <w:p w:rsidR="00363B94" w:rsidRPr="00DF5FFD" w:rsidRDefault="00363B94">
      <w:pPr>
        <w:pStyle w:val="Normal12"/>
      </w:pPr>
      <w:r>
        <w:br w:type="page"/>
      </w:r>
    </w:p>
    <w:p w:rsidR="00363B94" w:rsidRPr="00DF5FFD" w:rsidRDefault="00363B94">
      <w:pPr>
        <w:pStyle w:val="PageHeading"/>
      </w:pPr>
      <w:r>
        <w:br w:type="page"/>
      </w:r>
      <w:bookmarkStart w:id="2" w:name="_Toc466023886"/>
      <w:bookmarkStart w:id="3" w:name="_Toc473622996"/>
      <w:bookmarkStart w:id="4" w:name="_Toc474431996"/>
      <w:r>
        <w:lastRenderedPageBreak/>
        <w:t>EIROPAS PARLAMENTA NORMATĪVĀS REZOLŪCIJAS PROJEKTS</w:t>
      </w:r>
      <w:bookmarkEnd w:id="2"/>
      <w:bookmarkEnd w:id="3"/>
      <w:bookmarkEnd w:id="4"/>
    </w:p>
    <w:p w:rsidR="00AC5AB9" w:rsidRPr="00BA0AB8" w:rsidRDefault="00AC5AB9" w:rsidP="00AC5AB9">
      <w:pPr>
        <w:pStyle w:val="NormalBold"/>
      </w:pPr>
      <w:r>
        <w:t>par Padomes lēmuma projektu par to, lai noslēgtu Visaptverošu ekonomikas un tirdzniecības nolīgumu (</w:t>
      </w:r>
      <w:r>
        <w:rPr>
          <w:i/>
        </w:rPr>
        <w:t>CETA</w:t>
      </w:r>
      <w:r>
        <w:t>) starp Kanādu, no vienas puses, un Eiropas Savienību un tās dalībvalstīm, no otras puses</w:t>
      </w:r>
    </w:p>
    <w:p w:rsidR="00AC5AB9" w:rsidRPr="00BA0AB8" w:rsidRDefault="00AC5AB9" w:rsidP="00AC5AB9">
      <w:pPr>
        <w:pStyle w:val="Normal12Bold"/>
      </w:pPr>
      <w:r>
        <w:t>(10975/2016 – C8-0438/2016 – 2016/0205(NLE))</w:t>
      </w:r>
    </w:p>
    <w:p w:rsidR="00363B94" w:rsidRPr="00DF5FFD" w:rsidRDefault="00AC5AB9" w:rsidP="00AC5AB9">
      <w:pPr>
        <w:pStyle w:val="Normal12Bold"/>
      </w:pPr>
      <w:r>
        <w:t xml:space="preserve"> (Piekrišana)</w:t>
      </w:r>
    </w:p>
    <w:p w:rsidR="00363B94" w:rsidRPr="00DF5FFD" w:rsidRDefault="00DF5FFD">
      <w:pPr>
        <w:pStyle w:val="Normal12"/>
      </w:pPr>
      <w:r>
        <w:rPr>
          <w:i/>
        </w:rPr>
        <w:t>Eiropas Parlaments</w:t>
      </w:r>
      <w:r>
        <w:t>,</w:t>
      </w:r>
    </w:p>
    <w:p w:rsidR="00AC5AB9" w:rsidRPr="00BA0AB8" w:rsidRDefault="00AC5AB9" w:rsidP="00AC5AB9">
      <w:pPr>
        <w:pStyle w:val="Normal12Hanging"/>
      </w:pPr>
      <w:r>
        <w:t>–</w:t>
      </w:r>
      <w:r>
        <w:tab/>
        <w:t>ņemot vērā projektu Padomes lēmumam (10975/2016),</w:t>
      </w:r>
    </w:p>
    <w:p w:rsidR="00AC5AB9" w:rsidRPr="00BA0AB8" w:rsidRDefault="00AC5AB9" w:rsidP="00AC5AB9">
      <w:pPr>
        <w:pStyle w:val="Normal12Hanging"/>
      </w:pPr>
      <w:r>
        <w:t>–</w:t>
      </w:r>
      <w:r>
        <w:tab/>
        <w:t>ņemot vērā projektu Visaptveroša ekonomikas un tirdzniecības nolīguma (</w:t>
      </w:r>
      <w:r>
        <w:rPr>
          <w:i/>
        </w:rPr>
        <w:t>CETA</w:t>
      </w:r>
      <w:r>
        <w:t>)  noslēgšanai starp Kanādu, no vienas puses, un Eiropas Savienību un tās dalībvalstīm, no otras puses (10973/2016),</w:t>
      </w:r>
    </w:p>
    <w:p w:rsidR="00AC5AB9" w:rsidRPr="00BA0AB8" w:rsidRDefault="00AC5AB9" w:rsidP="00AC5AB9">
      <w:pPr>
        <w:pStyle w:val="Normal12Hanging"/>
      </w:pPr>
      <w:r>
        <w:t>–</w:t>
      </w:r>
      <w:r>
        <w:tab/>
        <w:t>ņemot vērā piekrišanas pieprasījumu, ko Padome iesniegusi saskaņā ar Līguma par Eiropas Savienības darbību 43. panta 2. punktu, 91. pantu, 100. panta 2. punktu, 153. panta 2. punktu, 192. panta 1. punktu, 207. panta 4. punktu, 218. panta 6. punkta otrās daļas a) apakšpunkta v) punktu un 218. panta 7. punktu (C8-0438/2016),</w:t>
      </w:r>
    </w:p>
    <w:p w:rsidR="00AC5AB9" w:rsidRPr="00BA0AB8" w:rsidRDefault="00AC5AB9" w:rsidP="00AC5AB9">
      <w:pPr>
        <w:pStyle w:val="Normal12Hanging"/>
      </w:pPr>
      <w:r>
        <w:t>–</w:t>
      </w:r>
      <w:r>
        <w:tab/>
        <w:t>ņemot vērā Reglamenta 99. panta 1. un 4. punktu un 108. panta 7. punktu,</w:t>
      </w:r>
    </w:p>
    <w:p w:rsidR="00AC5AB9" w:rsidRPr="00BA0AB8" w:rsidRDefault="00AC5AB9" w:rsidP="00AC5AB9">
      <w:pPr>
        <w:pStyle w:val="Normal12Hanging"/>
      </w:pPr>
      <w:r>
        <w:t>–</w:t>
      </w:r>
      <w:r>
        <w:tab/>
        <w:t>ņemot vērā Starptautiskās tirdzniecības komitejas ieteikumu un Ārlietu komitejas, Nodarbinātības un sociālo lietu komitejas un Vides, sabiedrības veselības un pārtikas nekaitīguma komitejas atzinumu (A8-0009/2017),</w:t>
      </w:r>
    </w:p>
    <w:p w:rsidR="00AC5AB9" w:rsidRPr="00BA0AB8" w:rsidRDefault="00AC5AB9" w:rsidP="00AC5AB9">
      <w:pPr>
        <w:pStyle w:val="Normal12Hanging"/>
      </w:pPr>
      <w:r>
        <w:t>1.</w:t>
      </w:r>
      <w:r>
        <w:tab/>
        <w:t>sniedz piekrišanu nolīguma slēgšanai;</w:t>
      </w:r>
    </w:p>
    <w:p w:rsidR="00AC5AB9" w:rsidRPr="00BA0AB8" w:rsidRDefault="00AC5AB9" w:rsidP="00AC5AB9">
      <w:pPr>
        <w:pStyle w:val="Normal12Hanging"/>
      </w:pPr>
      <w:r>
        <w:t>2.</w:t>
      </w:r>
      <w:r>
        <w:tab/>
        <w:t>uzdod priekšsēdētājam nosūtīt Parlamenta nostāju Padomei, Komisijai, kā arī dalībvalstu un Kanādas valdībai un parlamentiem.</w:t>
      </w:r>
    </w:p>
    <w:p w:rsidR="00AC5AB9" w:rsidRPr="00BA0AB8" w:rsidRDefault="00AC5AB9" w:rsidP="00AC5AB9">
      <w:pPr>
        <w:pStyle w:val="PageHeading"/>
      </w:pPr>
      <w:r>
        <w:br w:type="page"/>
      </w:r>
      <w:bookmarkStart w:id="5" w:name="_Toc466023887"/>
      <w:bookmarkStart w:id="6" w:name="_Toc473622997"/>
      <w:bookmarkStart w:id="7" w:name="_Toc474431997"/>
      <w:r>
        <w:lastRenderedPageBreak/>
        <w:t>PASKAIDROJUMS</w:t>
      </w:r>
      <w:bookmarkEnd w:id="5"/>
      <w:bookmarkEnd w:id="6"/>
      <w:bookmarkEnd w:id="7"/>
    </w:p>
    <w:p w:rsidR="00AC5AB9" w:rsidRPr="00BA0AB8" w:rsidRDefault="00AC5AB9" w:rsidP="00AC5AB9">
      <w:pPr>
        <w:spacing w:before="100" w:beforeAutospacing="1" w:after="100" w:afterAutospacing="1"/>
      </w:pPr>
      <w:r>
        <w:t>ES un Kanādas sarunas par Visaptverošo ekonomikas un tirdzniecības nolīgumu (</w:t>
      </w:r>
      <w:r>
        <w:rPr>
          <w:i/>
        </w:rPr>
        <w:t>CETA</w:t>
      </w:r>
      <w:r>
        <w:t>) starp ES un Kanādu tika uzsāktas ES un Kanādas samitā, kas 2009. gada 6. maijā notika Prāgā, un tika pabeigtas ES un Kanādas samitā, kas 2014. gada 26. septembrī notika Otavā.  Juridiskās pārskatīšanas laikā, kura notika 2016. gada 29. februārī, tika ieviestas arī tālākas izmaiņas, īpaši ieguldījumu nodaļā.</w:t>
      </w:r>
    </w:p>
    <w:p w:rsidR="00AC5AB9" w:rsidRPr="00BA0AB8" w:rsidRDefault="00AC5AB9" w:rsidP="00AC5AB9">
      <w:pPr>
        <w:spacing w:before="100" w:beforeAutospacing="1" w:after="100" w:afterAutospacing="1"/>
      </w:pPr>
      <w:r>
        <w:rPr>
          <w:i/>
        </w:rPr>
        <w:t>CETA</w:t>
      </w:r>
      <w:r>
        <w:t xml:space="preserve"> ir pirmais brīvās tirdzniecības nolīgums, kuru ES ir noslēgusi ar citu ievērojamu un pieredzējušu ESAO tautsaimniecību. Tas ir arī vērienīgākais ES un Kanādas noslēgtais nolīgums. Ar CETA Eiropas uzņēmumi saņems vislabāko attieksmi, kādu Kanāda ir piedāvājusi kādam tirdzniecības partnerim, tādējādi nodrošinot ES uzņēmējiem līdzvērtīgus noteikumus Kanādas tirgū. </w:t>
      </w:r>
    </w:p>
    <w:p w:rsidR="00AC5AB9" w:rsidRPr="00BA0AB8" w:rsidRDefault="00AC5AB9" w:rsidP="00AC5AB9">
      <w:pPr>
        <w:spacing w:before="100" w:beforeAutospacing="1" w:after="100" w:afterAutospacing="1"/>
      </w:pPr>
      <w:r>
        <w:t>Kanāda ir spēcīga Eiropas Savienības tirdzniecības un investīciju partnere. Kanāda ir arī stratēģiska Eiropas Savienības partnere, ar kuru mums ir kopīga pagātne, pamatojoties uz kopīgām vērtībām un interesēm.  Kanāda ieņem 12. vietu starp ES nozīmīgākajiem tirdzniecības partneriem. ES ir Kanādas otrais svarīgākais importa tirdzniecības partneris (pēc ASV). Kanāda ir arī ceturtā lielākā investore Eiropas Savienībā. 2015. gadā ES importēja preces no Kanādas EUR 28,3 miljardu vērtībā, vienlaikus eksportējot preces EUR 35,2 miljardu vērtībā, un tiek sagaidīts, ka šis apjoms pieaugs par vairāk nekā 20 %, kad  nolīgums tiks pilnībā īstenots.</w:t>
      </w:r>
    </w:p>
    <w:p w:rsidR="00AC5AB9" w:rsidRPr="00BA0AB8" w:rsidRDefault="00AC5AB9" w:rsidP="00AC5AB9">
      <w:pPr>
        <w:spacing w:before="100" w:beforeAutospacing="1" w:after="100" w:afterAutospacing="1"/>
      </w:pPr>
      <w:r>
        <w:rPr>
          <w:b/>
        </w:rPr>
        <w:t>Preču tirdzniecība</w:t>
      </w:r>
      <w:r>
        <w:t xml:space="preserve"> No </w:t>
      </w:r>
      <w:r>
        <w:rPr>
          <w:i/>
        </w:rPr>
        <w:t>CETA</w:t>
      </w:r>
      <w:r>
        <w:t xml:space="preserve"> pirmās dienas tiks atcelti gandrīz visi muitas nodokļi EUR 400 miljonu vērtībā precēm, kuru izcelsme ir ES. Tomēr pastāv daži ierobežojumi brīvai tirgus piekļuvei, tostarp attiecībā uz dažiem lauksaimniecības produktiem, sabiedriskajiem pakalpojumiem, audiovizuālajiem pakalpojumiem un transporta pakalpojumiem. Attiecībā uz dažiem lauksaimniecības produktiem, kuri tiek uzskatīti par jutīgiem, tiks piedāvātas kvotas (piemēram, piena produktiem), vai tie tiks izslēgti vispār.</w:t>
      </w:r>
    </w:p>
    <w:p w:rsidR="00AC5AB9" w:rsidRPr="00BA0AB8" w:rsidRDefault="00AC5AB9" w:rsidP="00AC5AB9">
      <w:pPr>
        <w:spacing w:before="100" w:beforeAutospacing="1" w:after="100" w:afterAutospacing="1"/>
      </w:pPr>
      <w:r>
        <w:t>Papildus tarifu samazināšanai, nolīgumā paredzēti citi pasākumi, kuriem būtu jāpalīdz samazināt izmaksas ražotājiem, piemēram, abpusēja tā saucamo „atbilstības novērtēšanas sertifikātu“ atzīšana plašam produktu klāstam, no elektroprecēm līdz rotaļlietām. Piemēram, ja ES uzņēmums vēlas eksportēt rotaļlietas, šim uzņēmumam būtu jāveic šī produkta pārbaude tikai vienreiz Eiropā, lai iegūtu sertifikātu, kurš ir derīgs Kanādai, līdz ar to ietaupot laiku un naudu.</w:t>
      </w:r>
    </w:p>
    <w:p w:rsidR="00AC5AB9" w:rsidRPr="00BA0AB8" w:rsidRDefault="00AC5AB9" w:rsidP="00AC5AB9">
      <w:pPr>
        <w:spacing w:before="100" w:beforeAutospacing="1" w:after="100" w:afterAutospacing="1"/>
      </w:pPr>
      <w:r>
        <w:rPr>
          <w:b/>
        </w:rPr>
        <w:t>Gaisa transporta pakalpojumi:</w:t>
      </w:r>
      <w:r>
        <w:t xml:space="preserve"> </w:t>
      </w:r>
      <w:r>
        <w:rPr>
          <w:i/>
        </w:rPr>
        <w:t>CETA</w:t>
      </w:r>
      <w:r>
        <w:t xml:space="preserve"> nodrošinās jaunu un labāku tirgus piekļuvi Eiropas pakalpojumu piegādātājiem tajās nozarēs, kurās ES uzņēmumi ir vadošie pasaulē, sākot no jūras pakalpojumiem, telesakariem un inženierzinātnēm līdz pakalpojumiem vides jomā un grāmatvedībai. Tas atvieglos pakalpojumu piegādātāju ceļojumus starp ES un Kanādu, lai sazinātos ar saviem klientiem. Ar </w:t>
      </w:r>
      <w:r>
        <w:rPr>
          <w:i/>
        </w:rPr>
        <w:t>CETA</w:t>
      </w:r>
      <w:r>
        <w:t xml:space="preserve"> tiks arī izveidota sistēma, lai atvieglotu profesionālo kvalifikāciju, piemēram, arhitektu kvalifikāciju, atzīšanu.</w:t>
      </w:r>
    </w:p>
    <w:p w:rsidR="00AC5AB9" w:rsidRPr="00BA0AB8" w:rsidRDefault="00AC5AB9" w:rsidP="00AC5AB9">
      <w:pPr>
        <w:spacing w:before="100" w:beforeAutospacing="1" w:after="100" w:afterAutospacing="1"/>
      </w:pPr>
      <w:r>
        <w:t xml:space="preserve">Ar šo nolīgumu ES pirmo reizi piekrita atvērt tirgus piekļuvi pakalpojumu nozarē, pamatojoties uz negatīvu sarakstu,   kas nozīmē to, ka visi pakalpojumu tirgi tiek liberalizēti, izņemot tos, kuri tiek skaidri izslēgti. Izņēmumi ir saistīti ar sabiedriskajiem pakalpojumiem, piemēram, veselības aprūpi, izglītību un citiem sociālajiem pakalpojumiem, kā arī ar ūdensapgādi, audiovizuālajiem pakalpojumiem un dažiem gaisa pārvadājumu pakalpojumiem.  </w:t>
      </w:r>
    </w:p>
    <w:p w:rsidR="00AC5AB9" w:rsidRPr="00BA0AB8" w:rsidRDefault="00AC5AB9" w:rsidP="00AC5AB9">
      <w:pPr>
        <w:spacing w:before="100" w:beforeAutospacing="1" w:after="100" w:afterAutospacing="1"/>
      </w:pPr>
      <w:r>
        <w:rPr>
          <w:b/>
        </w:rPr>
        <w:lastRenderedPageBreak/>
        <w:t>Publiskais iepirkums.</w:t>
      </w:r>
      <w:r>
        <w:t xml:space="preserve"> Kanāda savus valsts iepirkuma konkursus ES uzņēmumiem ir atvērusi lielākā mērā nekā jebkuram citam tirdzniecības partnerim. ES uzņēmumi varēs izteikt piedāvājumu piegādāt preces un sniegt pakalpojumus ne tikai federālā līmenī, bet arī Kanādas provincēm un pašvaldībām — viņi būs pirmie ārvalstu uzņēmumi, kas varēs to darīt. Tiek lēsts, ka Kanādas provinču iepirkuma tirgus ir divreiz lielāks par tās federālo ekvivalentu. Kanāda ir piekritusi arī uzlabot pārredzamību, publicējot visus publiskās iepirkuma konkursus vienā un tajā pašā iepirkuma tīmekļa vietnē. Piekļuve informācijai ir viens no lielākajiem šķēršļiem, ar ko mazāki uzņēmumi sastopas starptautisko tirgu piekļuvē, tādēļ tam būs īpaša nozīmē attiecībā uz MVU Eiropā.</w:t>
      </w:r>
    </w:p>
    <w:p w:rsidR="00AC5AB9" w:rsidRPr="00BA0AB8" w:rsidRDefault="00AC5AB9" w:rsidP="00AC5AB9">
      <w:pPr>
        <w:spacing w:before="100" w:beforeAutospacing="1" w:after="100" w:afterAutospacing="1"/>
        <w:rPr>
          <w:b/>
        </w:rPr>
      </w:pPr>
      <w:r>
        <w:rPr>
          <w:b/>
        </w:rPr>
        <w:t>Ģeogrāfiskās izcelsmes norādes</w:t>
      </w:r>
    </w:p>
    <w:p w:rsidR="00AC5AB9" w:rsidRPr="00BA0AB8" w:rsidRDefault="00AC5AB9" w:rsidP="00AC5AB9">
      <w:pPr>
        <w:spacing w:before="100" w:beforeAutospacing="1" w:after="100" w:afterAutospacing="1"/>
      </w:pPr>
      <w:r>
        <w:t xml:space="preserve">Labāka aizsardzība attiecībā uz ģeogrāfiskās izcelsmes norādēm un augstākas vērtības specializētajiem produktiem, piemēram, Vācijas </w:t>
      </w:r>
      <w:r>
        <w:rPr>
          <w:i/>
        </w:rPr>
        <w:t>Beyerisches Bier</w:t>
      </w:r>
      <w:r>
        <w:t xml:space="preserve"> vai Itālijas </w:t>
      </w:r>
      <w:r>
        <w:rPr>
          <w:i/>
        </w:rPr>
        <w:t>Mortadella Bologna</w:t>
      </w:r>
      <w:r>
        <w:t xml:space="preserve"> ir svarīgas aktīvas ES intereses tirdzniecības sarunās. Šajā nolūkā Kanāda piekrita nodrošināt aizsardzību vairāk nekā 140 Eiropas pārtikas un dzērienu produktu ģeogrāfiskajām norādēm līmenī, kas atbilst tam, kas tiek nodrošināts Eiropas Savienībā. Ar </w:t>
      </w:r>
      <w:r>
        <w:rPr>
          <w:i/>
        </w:rPr>
        <w:t>CETA</w:t>
      </w:r>
      <w:r>
        <w:t xml:space="preserve"> tiks nodrošināts, ka Kanādā iespējams pārdot tikai īstus produktus, kuriem ir minētie nosaukumi. Šis ģeogrāfiskās izcelsmes norāžu saraksts ir pievienots nolīguma 20.A pielikumā un vēlāk to drīkst papildināt ar citām ģeogrāfiskās izcelsmes norādēm.</w:t>
      </w:r>
    </w:p>
    <w:p w:rsidR="00BC03CC" w:rsidRPr="001E7F5C" w:rsidRDefault="00AC5AB9" w:rsidP="00BC03CC">
      <w:pPr>
        <w:spacing w:before="100" w:beforeAutospacing="1" w:after="100" w:afterAutospacing="1"/>
      </w:pPr>
      <w:r>
        <w:rPr>
          <w:b/>
        </w:rPr>
        <w:t xml:space="preserve">Investīcijas </w:t>
      </w:r>
      <w:r>
        <w:rPr>
          <w:i/>
        </w:rPr>
        <w:t>CETA</w:t>
      </w:r>
      <w:r>
        <w:t xml:space="preserve"> bija pirmais ekonomiskais ES nolīgums pēc Lisabonas līguma, kurā iekļauta pilntiesīga investīciju sadaļa, tostarp visi attiecīgie investīciju aizsardzības noteikumi. Pēc intensīvām sabiedriskām diskusijām un skaidras Eiropas Parlamenta nostājas pret ieguldītāju un valsts strīdu izšķiršanas mehānismu (</w:t>
      </w:r>
      <w:r>
        <w:rPr>
          <w:i/>
        </w:rPr>
        <w:t>ISDS</w:t>
      </w:r>
      <w:r>
        <w:t xml:space="preserve">), Komisija 2015. gada septembrī nāca klajā ar jaunu pieeju investīciju aizsardzībai, kuru pilnībā pieņēma Kanādas valdība.  Ar </w:t>
      </w:r>
      <w:r>
        <w:rPr>
          <w:i/>
        </w:rPr>
        <w:t>CETA</w:t>
      </w:r>
      <w:r>
        <w:t xml:space="preserve"> tiks ieviesta šī jaunā investīciju tiesu sistēma un uzlaboti ieguldījumu aizsardzības noteikumi. Šis nolīgums garantē ES valdību tiesības izstrādāt noteikumus savu iedzīvotāju interesēs, vienlaikus joprojām stimulējot ārvalstu investorus un aizsargājot viņu ieguldījumus. Jaunā sistēma uzlabo arī ieguldījumu strīdu izšķiršanas godīgumu un pārredzamību. Tādā veidā tā ir svarīgs solis ceļā uz ES galveno mērķi — globālu investīciju tiesu.</w:t>
      </w:r>
    </w:p>
    <w:p w:rsidR="00BC03CC" w:rsidRPr="001E7F5C" w:rsidRDefault="00BC03CC" w:rsidP="00BC03CC">
      <w:pPr>
        <w:spacing w:before="100" w:beforeAutospacing="1" w:after="100" w:afterAutospacing="1"/>
        <w:rPr>
          <w:b/>
          <w:szCs w:val="24"/>
        </w:rPr>
      </w:pPr>
      <w:r>
        <w:rPr>
          <w:b/>
        </w:rPr>
        <w:t>Kopīgais interpretējošais instruments</w:t>
      </w:r>
    </w:p>
    <w:p w:rsidR="00BC03CC" w:rsidRPr="001E7F5C" w:rsidRDefault="00BC03CC" w:rsidP="00D658DA">
      <w:pPr>
        <w:autoSpaceDE w:val="0"/>
        <w:autoSpaceDN w:val="0"/>
        <w:adjustRightInd w:val="0"/>
      </w:pPr>
      <w:r>
        <w:t>Parakstīšanas laikā Kanāda un ES un tās dalībvalstis pieņēma kopīgo interpretējošo instrumentu. Šis interpretējošais  instruments</w:t>
      </w:r>
      <w:r w:rsidR="00D658DA">
        <w:t xml:space="preserve"> </w:t>
      </w:r>
      <w:bookmarkStart w:id="8" w:name="_GoBack"/>
      <w:bookmarkEnd w:id="8"/>
      <w:r>
        <w:t xml:space="preserve">Vīnes Konvencijas par starptautisko līgumu tiesībām 31. panta nozīmē sniedz paziņojumu par jautājumiem, par kuriem puses ir vienojušās vairākos </w:t>
      </w:r>
      <w:r>
        <w:rPr>
          <w:i/>
        </w:rPr>
        <w:t>CETA</w:t>
      </w:r>
      <w:r>
        <w:t xml:space="preserve"> noteikumos, attiecībā uz kuriem ir notikušas publiskas debates un paustas bažas, un sniedz to interpretāciju, par ko panākta vienošanās.  Starp tiem ir </w:t>
      </w:r>
      <w:r>
        <w:rPr>
          <w:i/>
        </w:rPr>
        <w:t>CETA</w:t>
      </w:r>
      <w:r>
        <w:t xml:space="preserve"> ietekme uz valdību spēju īstenot regulatīvo funkciju sabiedrības interesēs, kā arī noteikumi par ieguldījumu aizsardzību un strīdu izšķiršanu, par ilgtspējīgu attīstību, darba tiesībām un vides aizsardzību. Šis instruments ir nolīguma neatņemama sastāvdaļa.</w:t>
      </w:r>
    </w:p>
    <w:p w:rsidR="00AC5AB9" w:rsidRPr="00BA0AB8" w:rsidRDefault="00AC5AB9" w:rsidP="00AC5AB9">
      <w:pPr>
        <w:spacing w:before="100" w:beforeAutospacing="1" w:after="100" w:afterAutospacing="1"/>
        <w:rPr>
          <w:b/>
        </w:rPr>
      </w:pPr>
      <w:r>
        <w:rPr>
          <w:b/>
        </w:rPr>
        <w:t xml:space="preserve">Secinājumi </w:t>
      </w:r>
    </w:p>
    <w:p w:rsidR="00AC5AB9" w:rsidRPr="00BA0AB8" w:rsidRDefault="00AC5AB9" w:rsidP="00AC5AB9">
      <w:pPr>
        <w:spacing w:before="100" w:beforeAutospacing="1" w:after="100" w:afterAutospacing="1"/>
      </w:pPr>
      <w:r>
        <w:t xml:space="preserve">Līdz šim Kanāda ir visattīstītākā tautsaimniecība, ar kuru Eiropas Savienība ir apspriedusi brīvās tirdzniecības nolīgumu. Galīgais nolīgums ir līdzsvarots un vispusīgs rezultāts, kuram ir nozīmīga ekonomiska vērtība Eiropas Savienībā un kas pilnībā atbilst sarunu pilnvaru un </w:t>
      </w:r>
      <w:r>
        <w:lastRenderedPageBreak/>
        <w:t xml:space="preserve">Eiropas Parlamenta pieņemtās rezolūcijas principiem </w:t>
      </w:r>
      <w:r>
        <w:rPr>
          <w:rStyle w:val="FootnoteReference"/>
        </w:rPr>
        <w:footnoteReference w:id="1"/>
      </w:r>
      <w:r>
        <w:t>. Nolīgums palīdzēs radīt tik ļoti nepieciešamo izaugsmi un darbvietas, vienlaikus pilnībā ievērojot Eiropas augstos standartus tādās jomās kā pārtikas nekaitīgums, vides aizsardzība un darba tiesības.</w:t>
      </w:r>
      <w:r>
        <w:rPr>
          <w:i/>
        </w:rPr>
        <w:t xml:space="preserve"> </w:t>
      </w:r>
      <w:r>
        <w:t xml:space="preserve">Līgumā ir paredzēti daudzi jauninājumi un Kanāda līdz šim nav vienojusies ar citu tirdzniecības partneri par ģeogrāfiskās izcelsmes norādēm vai par kuģu un konkrētu jūras pakalpojumu tirgus piekļuvi.  Vienlaikus rezultāts aizsargā arī īpašās ES jutīgās intereses, sevišķi lauksaimniecības vai sabiedrisko pakalpojumu nozarē. </w:t>
      </w:r>
    </w:p>
    <w:p w:rsidR="00AC5AB9" w:rsidRPr="00BA0AB8" w:rsidRDefault="00AC5AB9" w:rsidP="00AC5AB9">
      <w:pPr>
        <w:spacing w:before="100" w:beforeAutospacing="1" w:after="100" w:afterAutospacing="1"/>
      </w:pPr>
      <w:r>
        <w:t>Papildus ekonomiskajiem aspektiem, nolīgumam ir arī ģeogrāfiska nozīme, jo tas stiprinās attiecības starp ES un vienu no mūsu ciešākajiem sabiedrotajiem.</w:t>
      </w:r>
    </w:p>
    <w:p w:rsidR="00BC03CC" w:rsidRDefault="00AC5AB9" w:rsidP="005E7C81">
      <w:r>
        <w:t>Tādēļ referents pārliecinoši iesaka sniegt piekrišanu šim nolīgumam.</w:t>
      </w:r>
    </w:p>
    <w:p w:rsidR="00BC03CC" w:rsidRPr="000C3890" w:rsidRDefault="00BC03CC" w:rsidP="00BC03CC">
      <w:r>
        <w:br w:type="page"/>
      </w:r>
    </w:p>
    <w:p w:rsidR="00BC03CC" w:rsidRPr="000C3890" w:rsidRDefault="00BC03CC" w:rsidP="00BC03CC">
      <w:pPr>
        <w:pStyle w:val="ZDate"/>
        <w:spacing w:after="480"/>
      </w:pPr>
      <w:r>
        <w:rPr>
          <w:rStyle w:val="HideTWBExt"/>
          <w:noProof w:val="0"/>
        </w:rPr>
        <w:t>&lt;Date&gt;</w:t>
      </w:r>
      <w:r>
        <w:rPr>
          <w:rStyle w:val="HideTWBInt"/>
        </w:rPr>
        <w:t>{29/11/2016}</w:t>
      </w:r>
      <w:r>
        <w:t>29.11.2016</w:t>
      </w:r>
      <w:r>
        <w:rPr>
          <w:rStyle w:val="HideTWBExt"/>
          <w:noProof w:val="0"/>
        </w:rPr>
        <w:t>&lt;/Date&gt;</w:t>
      </w:r>
    </w:p>
    <w:p w:rsidR="00BC03CC" w:rsidRPr="000C3890" w:rsidRDefault="00BC03CC" w:rsidP="00BC03CC">
      <w:pPr>
        <w:pStyle w:val="PageHeading"/>
        <w:spacing w:before="0" w:after="720"/>
      </w:pPr>
      <w:r>
        <w:rPr>
          <w:rStyle w:val="HideTWBExt"/>
          <w:noProof w:val="0"/>
        </w:rPr>
        <w:t>&lt;CommissionResp&gt;</w:t>
      </w:r>
      <w:bookmarkStart w:id="9" w:name="OpinionToc_3"/>
      <w:bookmarkStart w:id="10" w:name="_Toc473622998"/>
      <w:bookmarkStart w:id="11" w:name="_Toc474431998"/>
      <w:r>
        <w:rPr>
          <w:caps/>
        </w:rPr>
        <w:t>Ārlietu komiteja</w:t>
      </w:r>
      <w:bookmarkEnd w:id="9"/>
      <w:r>
        <w:rPr>
          <w:caps/>
        </w:rPr>
        <w:t xml:space="preserve">S </w:t>
      </w:r>
      <w:r>
        <w:t>ATZINUMS</w:t>
      </w:r>
      <w:bookmarkEnd w:id="10"/>
      <w:bookmarkEnd w:id="11"/>
      <w:r>
        <w:rPr>
          <w:rStyle w:val="HideTWBExt"/>
          <w:noProof w:val="0"/>
        </w:rPr>
        <w:t>&lt;/CommissionResp&gt;</w:t>
      </w:r>
    </w:p>
    <w:p w:rsidR="00BC03CC" w:rsidRPr="000C3890" w:rsidRDefault="00BC03CC" w:rsidP="00BC03CC">
      <w:pPr>
        <w:pStyle w:val="Cover24"/>
        <w:ind w:left="0"/>
      </w:pPr>
      <w:r>
        <w:rPr>
          <w:rStyle w:val="HideTWBExt"/>
          <w:noProof w:val="0"/>
        </w:rPr>
        <w:t>&lt;CommissionInt&gt;</w:t>
      </w:r>
      <w:r>
        <w:t>Starptautiskās tirdzniecības komitejai</w:t>
      </w:r>
      <w:r>
        <w:rPr>
          <w:rStyle w:val="HideTWBExt"/>
          <w:noProof w:val="0"/>
        </w:rPr>
        <w:t>&lt;/CommissionInt&gt;</w:t>
      </w:r>
    </w:p>
    <w:p w:rsidR="00BC03CC" w:rsidRPr="000C3890" w:rsidRDefault="00BC03CC" w:rsidP="00BC03CC">
      <w:pPr>
        <w:pStyle w:val="CoverNormal"/>
        <w:ind w:left="0"/>
      </w:pPr>
      <w:r>
        <w:rPr>
          <w:rStyle w:val="HideTWBExt"/>
          <w:noProof w:val="0"/>
        </w:rPr>
        <w:t>&lt;Titre&gt;</w:t>
      </w:r>
      <w:r>
        <w:t>par projektu Padomes lēmumam par to, lai noslēgtu Visaptverošu ekonomikas un tirdzniecības nolīgumu (</w:t>
      </w:r>
      <w:r>
        <w:rPr>
          <w:i/>
        </w:rPr>
        <w:t>CETA</w:t>
      </w:r>
      <w:r>
        <w:t>) starp Kanādu, no vienas puses, un Eiropas Savienību un tās dalībvalstīm, no otras puses</w:t>
      </w:r>
      <w:r>
        <w:rPr>
          <w:rStyle w:val="HideTWBExt"/>
          <w:noProof w:val="0"/>
        </w:rPr>
        <w:t>&lt;/Titre&gt;</w:t>
      </w:r>
    </w:p>
    <w:p w:rsidR="00BC03CC" w:rsidRPr="000C3890" w:rsidRDefault="00BC03CC" w:rsidP="00BC03CC">
      <w:pPr>
        <w:pStyle w:val="Cover24"/>
        <w:ind w:left="0"/>
      </w:pPr>
      <w:r>
        <w:rPr>
          <w:rStyle w:val="HideTWBExt"/>
          <w:noProof w:val="0"/>
        </w:rPr>
        <w:t>&lt;DocRef&gt;</w:t>
      </w:r>
      <w:r>
        <w:t>(10975/2016 – C8-0438/2016 – 2016/0205(NLE))</w:t>
      </w:r>
      <w:r>
        <w:rPr>
          <w:rStyle w:val="HideTWBExt"/>
          <w:noProof w:val="0"/>
        </w:rPr>
        <w:t>&lt;/DocRef&gt;</w:t>
      </w:r>
    </w:p>
    <w:p w:rsidR="00BC03CC" w:rsidRPr="000C3890" w:rsidRDefault="00BC03CC" w:rsidP="00BC03CC">
      <w:pPr>
        <w:pStyle w:val="Cover24"/>
        <w:ind w:left="0"/>
      </w:pPr>
      <w:r>
        <w:t xml:space="preserve">Atzinuma sagatavotājs: </w:t>
      </w:r>
      <w:r>
        <w:rPr>
          <w:rStyle w:val="HideTWBExt"/>
          <w:noProof w:val="0"/>
        </w:rPr>
        <w:t>&lt;Depute&gt;</w:t>
      </w:r>
      <w:r>
        <w:t xml:space="preserve"> </w:t>
      </w:r>
      <w:r>
        <w:rPr>
          <w:i/>
        </w:rPr>
        <w:t>Charles Tannock</w:t>
      </w:r>
      <w:r>
        <w:rPr>
          <w:rStyle w:val="HideTWBExt"/>
          <w:noProof w:val="0"/>
        </w:rPr>
        <w:t>&lt;/Depute&gt;</w:t>
      </w:r>
    </w:p>
    <w:p w:rsidR="00BC03CC" w:rsidRPr="000C3890" w:rsidRDefault="00BC03CC" w:rsidP="00BC03CC">
      <w:pPr>
        <w:pStyle w:val="CoverNormal"/>
        <w:ind w:left="0"/>
      </w:pPr>
    </w:p>
    <w:p w:rsidR="00BC03CC" w:rsidRPr="000C3890" w:rsidRDefault="00BC03CC" w:rsidP="00BC03CC">
      <w:pPr>
        <w:widowControl/>
        <w:tabs>
          <w:tab w:val="center" w:pos="4677"/>
        </w:tabs>
      </w:pPr>
    </w:p>
    <w:p w:rsidR="00BC03CC" w:rsidRPr="000C3890" w:rsidRDefault="00BC03CC" w:rsidP="00BC03CC">
      <w:pPr>
        <w:pStyle w:val="PageHeadingNotTOC"/>
      </w:pPr>
      <w:r>
        <w:t>ĪSS PAMATOJUMS</w:t>
      </w:r>
    </w:p>
    <w:p w:rsidR="00BC03CC" w:rsidRPr="000C3890" w:rsidRDefault="00BC03CC" w:rsidP="00BC03CC">
      <w:pPr>
        <w:pStyle w:val="Normal12"/>
      </w:pPr>
      <w:r>
        <w:t>ES un Kanādas visaptverošais ekonomikas un tirdzniecības nolīgums (</w:t>
      </w:r>
      <w:r>
        <w:rPr>
          <w:i/>
        </w:rPr>
        <w:t>CETA</w:t>
      </w:r>
      <w:r>
        <w:t>) ievērojami stiprinās ES un Kanādas attiecības un tas ir svarīgs ES instruments globālās tirdzniecības standartu veidošanā 21. gadsimtā.</w:t>
      </w:r>
    </w:p>
    <w:p w:rsidR="00BC03CC" w:rsidRPr="000C3890" w:rsidRDefault="00BC03CC" w:rsidP="00BC03CC">
      <w:pPr>
        <w:pStyle w:val="Normal12"/>
      </w:pPr>
      <w:r>
        <w:t xml:space="preserve">Gan Kanāda, gan ES apņēmīgi atbalsta demokrātiju, pamatbrīvības, cilvēktiesību aizsardzību, liberālu un atklātu tirdzniecību un daudzpusējas attiecības. Kanāda ir ES stratēģiskā partnere kopš 1996. gada un ir svarīga tās sabiedrotā starptautiskā līmenī. Kanāda un ES cieši kopā strādā pie pasaules mēroga jautājumiem, piemēram, klimata pārmaiņām, cilvēktiesībām, energoapgādes drošības, konfliktu risināšanas un piespiedu migrācijas. Kanāda sniedz regulāru ieguldījumu ES KDAP civilajās un militārajās misijās un ir arī svarīga sabiedrotā NATO. </w:t>
      </w:r>
      <w:r>
        <w:rPr>
          <w:i/>
        </w:rPr>
        <w:t>CETA</w:t>
      </w:r>
      <w:r>
        <w:t xml:space="preserve"> noslēgšana varētu būt spēcīgs signāls transatlantisko attiecību turpmākajam svarīgumam un dzīvotspējai laikā, kad abi reģioni aizvien vairāk raugās uz Āziju un citiem pasaules reģioniem. </w:t>
      </w:r>
    </w:p>
    <w:p w:rsidR="00BC03CC" w:rsidRPr="000C3890" w:rsidRDefault="00BC03CC" w:rsidP="00BC03CC">
      <w:pPr>
        <w:pStyle w:val="Normal12"/>
      </w:pPr>
      <w:r>
        <w:rPr>
          <w:i/>
        </w:rPr>
        <w:t>CETA</w:t>
      </w:r>
      <w:r>
        <w:t xml:space="preserve"> ir vismodernākais brīvās tirdzniecības līgums, par kuru ES jebkad ir vedusi sarunas. Tajā ir ilgtspējīgas attīstības, nodarbinātības un vides aizsardzības sadaļas, kurās iekļautas tālejošas saistības par vides aizsardzību un darba tiesībām. Nolīgumā ir iekļauti arī pasākumi, lai nodrošinātu uzņēmumu, apvienību un pilsoniskās sabiedrības organizāciju un iedzīvotāju dalību sociālo un vides noteikumu un visa nolīguma kopumā īstenošanā. Turklāt </w:t>
      </w:r>
      <w:r>
        <w:rPr>
          <w:i/>
        </w:rPr>
        <w:t>CETA</w:t>
      </w:r>
      <w:r>
        <w:t xml:space="preserve"> ir izraisījusi apvērsumu veidā, kā tiek izšķirti ieguldītāju un valsts strīdi. Veco strīdu izšķiršanas sistēmu nomainīs jauna, pastāvīga ieguldījumu tiesas sistēma, kurā tiesnešus izvirza Eiropas un Kanādas iestādes, un apelāciju mehānisms. </w:t>
      </w:r>
      <w:r>
        <w:rPr>
          <w:i/>
        </w:rPr>
        <w:t>CETA</w:t>
      </w:r>
      <w:r>
        <w:t xml:space="preserve"> tādēļ būtu izšķiroša nozīme, lai panāktu godīgāku, taisnīgāku un uz noteikumiem balstītu globālu tirdzniecību. Laikā, kad jaunu varu parādīšanās uz globālās skatuves aizvien vairāk liek apšaubīt Rietumu spēju definēt globālos noteikumus un standartus, </w:t>
      </w:r>
      <w:r>
        <w:rPr>
          <w:i/>
        </w:rPr>
        <w:t>CETA</w:t>
      </w:r>
      <w:r>
        <w:t xml:space="preserve"> noslēgšana stiprinātu ES kā pasaules līmeņa dalībnieces nozīmi.</w:t>
      </w:r>
    </w:p>
    <w:p w:rsidR="00BC03CC" w:rsidRPr="000C3890" w:rsidRDefault="00BC03CC" w:rsidP="00BC03CC">
      <w:pPr>
        <w:pStyle w:val="Normal12"/>
      </w:pPr>
      <w:r>
        <w:rPr>
          <w:i/>
        </w:rPr>
        <w:lastRenderedPageBreak/>
        <w:t>CETA</w:t>
      </w:r>
      <w:r>
        <w:t xml:space="preserve"> papildina stratēģiskas partnerības nolīgums (SPN), kura mērķis ir pastiprināt divpusējo sadarbību tādās jomās kā ārpolitika un drošības politika, terorisma apkarošana, cīņa pret organizēto noziedzību, ilgtspējīga attīstība, pētniecība un kultūra. Kopā šie divi nolīgumi ļaus ES un Kanādas attiecībām kļūt vēl stiprākām, sniedzot ieguvumus iedzīvotājiem abās Atlantijas okeāna pusēs. Ņemot vērā notiekošās tirdzniecības sarunas ar ASV un Meksiku, </w:t>
      </w:r>
      <w:r>
        <w:rPr>
          <w:i/>
        </w:rPr>
        <w:t>CETA</w:t>
      </w:r>
      <w:r>
        <w:t xml:space="preserve"> ir pirmais solis ceļā uz plašāku Ziemeļatlantijas brīvās tirdzniecības zonu.</w:t>
      </w:r>
    </w:p>
    <w:p w:rsidR="00BC03CC" w:rsidRPr="000C3890" w:rsidRDefault="00BC03CC" w:rsidP="00BC03CC">
      <w:pPr>
        <w:pStyle w:val="Normal12"/>
      </w:pPr>
      <w:r>
        <w:t xml:space="preserve">Ņemot vērā politiskos un ekonomiskos ieguvumus pēc veiksmīgas </w:t>
      </w:r>
      <w:r>
        <w:rPr>
          <w:i/>
        </w:rPr>
        <w:t>CETA</w:t>
      </w:r>
      <w:r>
        <w:t xml:space="preserve"> noslēgšanas un šā nolīguma pozitīvo devumu globālās tirdzniecības noteikumos, atzinuma sagatavotājs iesaka, lai Ārlietu komiteja ierosina sniegt piekrišanu šim nolīgumam.</w:t>
      </w:r>
    </w:p>
    <w:p w:rsidR="00BC03CC" w:rsidRPr="000C3890" w:rsidRDefault="00BC03CC" w:rsidP="00BC03CC">
      <w:pPr>
        <w:pStyle w:val="Normal12Centre"/>
      </w:pPr>
      <w:r>
        <w:t>******</w:t>
      </w:r>
    </w:p>
    <w:p w:rsidR="00BC03CC" w:rsidRPr="000C3890" w:rsidRDefault="00BC03CC" w:rsidP="00BC03CC">
      <w:pPr>
        <w:pStyle w:val="Normal12Tab"/>
      </w:pPr>
      <w:r>
        <w:t>Ārlietu komiteja aicina par jautājumu atbildīgo Starptautiskās tirdzniecības komiteju ieteikt Parlamentam sniegt piekrišanu Padomes lēmuma projektam par to, lai Eiropas Savienības vārdā noslēgtu Visaptverošu ekonomikas un tirdzniecības nolīgumu (</w:t>
      </w:r>
      <w:r>
        <w:rPr>
          <w:i/>
        </w:rPr>
        <w:t>CETA</w:t>
      </w:r>
      <w:r>
        <w:t>) starp Kanādu, no vienas puses, un Eiropas Savienību un tās dalībvalstīm, no otras puses.</w:t>
      </w:r>
    </w:p>
    <w:p w:rsidR="00BC03CC" w:rsidRPr="000C3890" w:rsidRDefault="00BC03CC" w:rsidP="00BC03CC">
      <w:pPr>
        <w:pStyle w:val="PageHeadingNotTOC"/>
      </w:pPr>
      <w:r>
        <w:br w:type="page"/>
      </w:r>
      <w:r>
        <w:lastRenderedPageBreak/>
        <w:t>ATZINUMU SNIEDZOŠĀS KOMITEJAS PROCEDŪRA</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BC03CC" w:rsidRPr="000C3890" w:rsidTr="00DF6FD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C03CC" w:rsidRPr="000C3890" w:rsidRDefault="00BC03CC" w:rsidP="00DF6FD7">
            <w:pPr>
              <w:autoSpaceDE w:val="0"/>
              <w:autoSpaceDN w:val="0"/>
              <w:adjustRightInd w:val="0"/>
              <w:rPr>
                <w:b/>
                <w:bCs/>
                <w:color w:val="000000"/>
                <w:sz w:val="20"/>
              </w:rPr>
            </w:pPr>
            <w:r>
              <w:rPr>
                <w:b/>
                <w:color w:val="000000"/>
                <w:sz w:val="20"/>
              </w:rPr>
              <w:t>Virsraksts</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C03CC" w:rsidRPr="000C3890" w:rsidRDefault="00BC03CC" w:rsidP="00DF6FD7">
            <w:pPr>
              <w:autoSpaceDE w:val="0"/>
              <w:autoSpaceDN w:val="0"/>
              <w:adjustRightInd w:val="0"/>
              <w:rPr>
                <w:color w:val="000000"/>
                <w:sz w:val="20"/>
              </w:rPr>
            </w:pPr>
            <w:r>
              <w:rPr>
                <w:color w:val="000000"/>
                <w:sz w:val="20"/>
              </w:rPr>
              <w:t>Visaptveroša ekonomikas un tirdzniecības nolīguma noslēgšana starp Kanādu, no vienas puses, un Eiropas Savienību un tās dalībvalstīm, no otras puses</w:t>
            </w:r>
          </w:p>
        </w:tc>
      </w:tr>
      <w:tr w:rsidR="00BC03CC" w:rsidRPr="000C3890" w:rsidTr="00DF6FD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C03CC" w:rsidRPr="000C3890" w:rsidRDefault="00BC03CC" w:rsidP="00DF6FD7">
            <w:pPr>
              <w:autoSpaceDE w:val="0"/>
              <w:autoSpaceDN w:val="0"/>
              <w:adjustRightInd w:val="0"/>
              <w:rPr>
                <w:b/>
                <w:bCs/>
                <w:color w:val="000000"/>
                <w:sz w:val="20"/>
              </w:rPr>
            </w:pPr>
            <w:r>
              <w:rPr>
                <w:b/>
                <w:color w:val="000000"/>
                <w:sz w:val="20"/>
              </w:rPr>
              <w:t>Atsauces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C03CC" w:rsidRPr="000C3890" w:rsidRDefault="00BC03CC" w:rsidP="00DF6FD7">
            <w:pPr>
              <w:autoSpaceDE w:val="0"/>
              <w:autoSpaceDN w:val="0"/>
              <w:adjustRightInd w:val="0"/>
              <w:rPr>
                <w:color w:val="000000"/>
                <w:sz w:val="20"/>
              </w:rPr>
            </w:pPr>
            <w:r>
              <w:rPr>
                <w:color w:val="000000"/>
                <w:sz w:val="20"/>
              </w:rPr>
              <w:t>10975/2016 – C8-0438/2016 – COM(2016)0443 – 2016/0205(NLE)</w:t>
            </w:r>
          </w:p>
        </w:tc>
      </w:tr>
      <w:tr w:rsidR="00BC03CC" w:rsidRPr="000C3890" w:rsidTr="00DF6FD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C03CC" w:rsidRPr="000C3890" w:rsidRDefault="00BC03CC" w:rsidP="00DF6FD7">
            <w:pPr>
              <w:autoSpaceDE w:val="0"/>
              <w:autoSpaceDN w:val="0"/>
              <w:adjustRightInd w:val="0"/>
              <w:rPr>
                <w:b/>
                <w:bCs/>
                <w:color w:val="000000"/>
                <w:sz w:val="20"/>
              </w:rPr>
            </w:pPr>
            <w:r>
              <w:rPr>
                <w:b/>
                <w:color w:val="000000"/>
                <w:sz w:val="20"/>
              </w:rPr>
              <w:t>Atbildīgā komiteja</w:t>
            </w:r>
          </w:p>
          <w:p w:rsidR="00BC03CC" w:rsidRPr="000C3890" w:rsidRDefault="00BC03CC" w:rsidP="00DF6FD7">
            <w:pPr>
              <w:autoSpaceDE w:val="0"/>
              <w:autoSpaceDN w:val="0"/>
              <w:adjustRightInd w:val="0"/>
              <w:rPr>
                <w:color w:val="000000"/>
                <w:sz w:val="20"/>
              </w:rPr>
            </w:pP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C03CC" w:rsidRPr="000C3890" w:rsidRDefault="00BC03CC" w:rsidP="00DF6FD7">
            <w:pPr>
              <w:autoSpaceDE w:val="0"/>
              <w:autoSpaceDN w:val="0"/>
              <w:adjustRightInd w:val="0"/>
              <w:rPr>
                <w:color w:val="000000"/>
                <w:sz w:val="20"/>
              </w:rPr>
            </w:pPr>
            <w:r>
              <w:rPr>
                <w:color w:val="000000"/>
                <w:sz w:val="20"/>
              </w:rPr>
              <w:t>INTA</w:t>
            </w:r>
          </w:p>
          <w:p w:rsidR="00BC03CC" w:rsidRPr="000C3890" w:rsidRDefault="00BC03CC" w:rsidP="00DF6FD7">
            <w:pPr>
              <w:autoSpaceDE w:val="0"/>
              <w:autoSpaceDN w:val="0"/>
              <w:adjustRightInd w:val="0"/>
              <w:rPr>
                <w:color w:val="000000"/>
                <w:sz w:val="2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C03CC" w:rsidRPr="000C3890" w:rsidRDefault="00BC03CC" w:rsidP="00DF6FD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C03CC" w:rsidRPr="000C3890" w:rsidRDefault="00BC03CC" w:rsidP="00DF6FD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C03CC" w:rsidRPr="000C3890" w:rsidRDefault="00BC03CC" w:rsidP="00DF6FD7">
            <w:pPr>
              <w:autoSpaceDE w:val="0"/>
              <w:autoSpaceDN w:val="0"/>
              <w:adjustRightInd w:val="0"/>
              <w:rPr>
                <w:rFonts w:ascii="sans-serif" w:hAnsi="sans-serif" w:cs="sans-serif"/>
                <w:color w:val="000000"/>
                <w:szCs w:val="24"/>
              </w:rPr>
            </w:pPr>
          </w:p>
        </w:tc>
      </w:tr>
      <w:tr w:rsidR="00BC03CC" w:rsidRPr="000C3890" w:rsidTr="00DF6FD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C03CC" w:rsidRPr="000C3890" w:rsidRDefault="00BC03CC" w:rsidP="00DF6FD7">
            <w:pPr>
              <w:autoSpaceDE w:val="0"/>
              <w:autoSpaceDN w:val="0"/>
              <w:adjustRightInd w:val="0"/>
              <w:rPr>
                <w:b/>
                <w:bCs/>
                <w:color w:val="000000"/>
                <w:sz w:val="20"/>
              </w:rPr>
            </w:pPr>
            <w:r>
              <w:rPr>
                <w:b/>
                <w:color w:val="000000"/>
                <w:sz w:val="20"/>
              </w:rPr>
              <w:t>Atzinumu sniedza</w:t>
            </w:r>
          </w:p>
          <w:p w:rsidR="00BC03CC" w:rsidRPr="000C3890" w:rsidRDefault="00BC03CC" w:rsidP="00DF6FD7">
            <w:pPr>
              <w:autoSpaceDE w:val="0"/>
              <w:autoSpaceDN w:val="0"/>
              <w:adjustRightInd w:val="0"/>
              <w:rPr>
                <w:color w:val="000000"/>
                <w:sz w:val="20"/>
              </w:rPr>
            </w:pPr>
            <w:r>
              <w:rPr>
                <w:color w:val="000000"/>
                <w:sz w:val="20"/>
              </w:rPr>
              <w:t>       Datums, kad paziņoja plenārsēdē</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C03CC" w:rsidRPr="000C3890" w:rsidRDefault="00BC03CC" w:rsidP="00DF6FD7">
            <w:pPr>
              <w:autoSpaceDE w:val="0"/>
              <w:autoSpaceDN w:val="0"/>
              <w:adjustRightInd w:val="0"/>
              <w:rPr>
                <w:color w:val="000000"/>
                <w:sz w:val="20"/>
              </w:rPr>
            </w:pPr>
            <w:r>
              <w:rPr>
                <w:color w:val="000000"/>
                <w:sz w:val="20"/>
              </w:rPr>
              <w:t>AFET</w:t>
            </w:r>
          </w:p>
          <w:p w:rsidR="00BC03CC" w:rsidRPr="000C3890" w:rsidRDefault="00BC03CC" w:rsidP="00DF6FD7">
            <w:pPr>
              <w:autoSpaceDE w:val="0"/>
              <w:autoSpaceDN w:val="0"/>
              <w:adjustRightInd w:val="0"/>
              <w:rPr>
                <w:color w:val="000000"/>
                <w:sz w:val="20"/>
              </w:rPr>
            </w:pPr>
            <w:r>
              <w:rPr>
                <w:color w:val="000000"/>
                <w:sz w:val="20"/>
              </w:rPr>
              <w:t>21.11.2016</w:t>
            </w:r>
          </w:p>
        </w:tc>
      </w:tr>
      <w:tr w:rsidR="00BC03CC" w:rsidRPr="000C3890" w:rsidTr="00DF6FD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C03CC" w:rsidRPr="000C3890" w:rsidRDefault="00BC03CC" w:rsidP="00DF6FD7">
            <w:pPr>
              <w:autoSpaceDE w:val="0"/>
              <w:autoSpaceDN w:val="0"/>
              <w:adjustRightInd w:val="0"/>
              <w:rPr>
                <w:b/>
                <w:bCs/>
                <w:color w:val="000000"/>
                <w:sz w:val="20"/>
              </w:rPr>
            </w:pPr>
            <w:r>
              <w:rPr>
                <w:b/>
                <w:color w:val="000000"/>
                <w:sz w:val="20"/>
              </w:rPr>
              <w:t>Atzinumu sagatavoja</w:t>
            </w:r>
          </w:p>
          <w:p w:rsidR="00BC03CC" w:rsidRPr="000C3890" w:rsidRDefault="00BC03CC" w:rsidP="00DF6FD7">
            <w:pPr>
              <w:autoSpaceDE w:val="0"/>
              <w:autoSpaceDN w:val="0"/>
              <w:adjustRightInd w:val="0"/>
              <w:rPr>
                <w:color w:val="000000"/>
                <w:sz w:val="20"/>
              </w:rPr>
            </w:pPr>
            <w:r>
              <w:rPr>
                <w:color w:val="000000"/>
                <w:sz w:val="20"/>
              </w:rPr>
              <w:t>       Iecelšanas datums</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C03CC" w:rsidRPr="000C3890" w:rsidRDefault="00BC03CC" w:rsidP="00DF6FD7">
            <w:pPr>
              <w:autoSpaceDE w:val="0"/>
              <w:autoSpaceDN w:val="0"/>
              <w:adjustRightInd w:val="0"/>
              <w:rPr>
                <w:color w:val="000000"/>
                <w:sz w:val="20"/>
              </w:rPr>
            </w:pPr>
            <w:r>
              <w:rPr>
                <w:color w:val="000000"/>
                <w:sz w:val="20"/>
              </w:rPr>
              <w:t>Charles Tannock</w:t>
            </w:r>
          </w:p>
          <w:p w:rsidR="00BC03CC" w:rsidRPr="000C3890" w:rsidRDefault="00BC03CC" w:rsidP="00DF6FD7">
            <w:pPr>
              <w:autoSpaceDE w:val="0"/>
              <w:autoSpaceDN w:val="0"/>
              <w:adjustRightInd w:val="0"/>
              <w:rPr>
                <w:color w:val="000000"/>
                <w:sz w:val="20"/>
              </w:rPr>
            </w:pPr>
            <w:r>
              <w:rPr>
                <w:color w:val="000000"/>
                <w:sz w:val="20"/>
              </w:rPr>
              <w:t>8.9.2016</w:t>
            </w:r>
          </w:p>
        </w:tc>
      </w:tr>
      <w:tr w:rsidR="00BC03CC" w:rsidRPr="000C3890" w:rsidTr="00DF6FD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C03CC" w:rsidRPr="000C3890" w:rsidRDefault="00BC03CC" w:rsidP="00DF6FD7">
            <w:pPr>
              <w:autoSpaceDE w:val="0"/>
              <w:autoSpaceDN w:val="0"/>
              <w:adjustRightInd w:val="0"/>
              <w:rPr>
                <w:b/>
                <w:bCs/>
                <w:color w:val="000000"/>
                <w:sz w:val="20"/>
              </w:rPr>
            </w:pPr>
            <w:r>
              <w:rPr>
                <w:b/>
                <w:color w:val="000000"/>
                <w:sz w:val="20"/>
              </w:rPr>
              <w:t>Izskatīšana komitejā</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C03CC" w:rsidRPr="000C3890" w:rsidRDefault="00BC03CC" w:rsidP="00DF6FD7">
            <w:pPr>
              <w:autoSpaceDE w:val="0"/>
              <w:autoSpaceDN w:val="0"/>
              <w:adjustRightInd w:val="0"/>
              <w:rPr>
                <w:color w:val="000000"/>
                <w:sz w:val="20"/>
              </w:rPr>
            </w:pPr>
            <w:r>
              <w:rPr>
                <w:color w:val="000000"/>
                <w:sz w:val="20"/>
              </w:rPr>
              <w:t>14.11.2016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C03CC" w:rsidRPr="000C3890" w:rsidRDefault="00BC03CC" w:rsidP="00DF6FD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C03CC" w:rsidRPr="000C3890" w:rsidRDefault="00BC03CC" w:rsidP="00DF6FD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C03CC" w:rsidRPr="000C3890" w:rsidRDefault="00BC03CC" w:rsidP="00DF6FD7">
            <w:pPr>
              <w:autoSpaceDE w:val="0"/>
              <w:autoSpaceDN w:val="0"/>
              <w:adjustRightInd w:val="0"/>
              <w:rPr>
                <w:rFonts w:ascii="sans-serif" w:hAnsi="sans-serif" w:cs="sans-serif"/>
                <w:color w:val="000000"/>
                <w:szCs w:val="24"/>
              </w:rPr>
            </w:pPr>
          </w:p>
        </w:tc>
      </w:tr>
      <w:tr w:rsidR="00BC03CC" w:rsidRPr="000C3890" w:rsidTr="00DF6FD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C03CC" w:rsidRPr="000C3890" w:rsidRDefault="00BC03CC" w:rsidP="00DF6FD7">
            <w:pPr>
              <w:autoSpaceDE w:val="0"/>
              <w:autoSpaceDN w:val="0"/>
              <w:adjustRightInd w:val="0"/>
              <w:rPr>
                <w:b/>
                <w:bCs/>
                <w:color w:val="000000"/>
                <w:sz w:val="20"/>
              </w:rPr>
            </w:pPr>
            <w:r>
              <w:rPr>
                <w:b/>
                <w:color w:val="000000"/>
                <w:sz w:val="20"/>
              </w:rPr>
              <w:t>Pieņemšanas datums</w:t>
            </w:r>
          </w:p>
        </w:tc>
        <w:tc>
          <w:tcPr>
            <w:tcW w:w="1530" w:type="dxa"/>
            <w:tcBorders>
              <w:top w:val="nil"/>
              <w:left w:val="nil"/>
              <w:bottom w:val="single" w:sz="8" w:space="0" w:color="000000"/>
              <w:right w:val="nil"/>
            </w:tcBorders>
            <w:tcMar>
              <w:top w:w="79" w:type="dxa"/>
              <w:left w:w="79" w:type="dxa"/>
              <w:bottom w:w="79" w:type="dxa"/>
              <w:right w:w="79" w:type="dxa"/>
            </w:tcMar>
          </w:tcPr>
          <w:p w:rsidR="00BC03CC" w:rsidRPr="000C3890" w:rsidRDefault="00BC03CC" w:rsidP="00DF6FD7">
            <w:pPr>
              <w:autoSpaceDE w:val="0"/>
              <w:autoSpaceDN w:val="0"/>
              <w:adjustRightInd w:val="0"/>
              <w:rPr>
                <w:color w:val="000000"/>
                <w:sz w:val="20"/>
              </w:rPr>
            </w:pPr>
            <w:r>
              <w:rPr>
                <w:color w:val="000000"/>
                <w:sz w:val="20"/>
              </w:rPr>
              <w:t>29.11.2016</w:t>
            </w:r>
          </w:p>
        </w:tc>
        <w:tc>
          <w:tcPr>
            <w:tcW w:w="1474" w:type="dxa"/>
            <w:tcBorders>
              <w:top w:val="nil"/>
              <w:left w:val="nil"/>
              <w:bottom w:val="single" w:sz="8" w:space="0" w:color="000000"/>
              <w:right w:val="nil"/>
            </w:tcBorders>
            <w:tcMar>
              <w:top w:w="79" w:type="dxa"/>
              <w:left w:w="79" w:type="dxa"/>
              <w:bottom w:w="79" w:type="dxa"/>
              <w:right w:w="79" w:type="dxa"/>
            </w:tcMar>
          </w:tcPr>
          <w:p w:rsidR="00BC03CC" w:rsidRPr="000C3890" w:rsidRDefault="00BC03CC" w:rsidP="00DF6FD7">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BC03CC" w:rsidRPr="000C3890" w:rsidRDefault="00BC03CC" w:rsidP="00DF6FD7">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BC03CC" w:rsidRPr="000C3890" w:rsidRDefault="00BC03CC" w:rsidP="00DF6FD7">
            <w:pPr>
              <w:autoSpaceDE w:val="0"/>
              <w:autoSpaceDN w:val="0"/>
              <w:adjustRightInd w:val="0"/>
              <w:rPr>
                <w:rFonts w:ascii="sans-serif" w:hAnsi="sans-serif" w:cs="sans-serif"/>
                <w:color w:val="000000"/>
                <w:szCs w:val="24"/>
              </w:rPr>
            </w:pPr>
          </w:p>
        </w:tc>
      </w:tr>
      <w:tr w:rsidR="00BC03CC" w:rsidRPr="000C3890" w:rsidTr="00DF6FD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C03CC" w:rsidRPr="000C3890" w:rsidRDefault="00BC03CC" w:rsidP="00DF6FD7">
            <w:pPr>
              <w:autoSpaceDE w:val="0"/>
              <w:autoSpaceDN w:val="0"/>
              <w:adjustRightInd w:val="0"/>
              <w:rPr>
                <w:b/>
                <w:bCs/>
                <w:color w:val="000000"/>
                <w:sz w:val="20"/>
              </w:rPr>
            </w:pPr>
            <w:r>
              <w:rPr>
                <w:b/>
                <w:color w:val="000000"/>
                <w:sz w:val="20"/>
              </w:rPr>
              <w:t>Galīgais balsojums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C03CC" w:rsidRPr="000C3890" w:rsidRDefault="00BC03CC" w:rsidP="00DF6FD7">
            <w:pPr>
              <w:autoSpaceDE w:val="0"/>
              <w:autoSpaceDN w:val="0"/>
              <w:adjustRightInd w:val="0"/>
              <w:rPr>
                <w:color w:val="000000"/>
                <w:sz w:val="20"/>
              </w:rPr>
            </w:pPr>
            <w:r>
              <w:rPr>
                <w:color w:val="000000"/>
                <w:sz w:val="20"/>
              </w:rPr>
              <w:t>+:</w:t>
            </w:r>
          </w:p>
          <w:p w:rsidR="00BC03CC" w:rsidRPr="000C3890" w:rsidRDefault="00BC03CC" w:rsidP="00DF6FD7">
            <w:pPr>
              <w:autoSpaceDE w:val="0"/>
              <w:autoSpaceDN w:val="0"/>
              <w:adjustRightInd w:val="0"/>
              <w:rPr>
                <w:color w:val="000000"/>
                <w:sz w:val="20"/>
              </w:rPr>
            </w:pPr>
            <w:r>
              <w:rPr>
                <w:color w:val="000000"/>
                <w:sz w:val="20"/>
              </w:rPr>
              <w:t>–:</w:t>
            </w:r>
          </w:p>
          <w:p w:rsidR="00BC03CC" w:rsidRPr="000C3890" w:rsidRDefault="00BC03CC" w:rsidP="00DF6FD7">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C03CC" w:rsidRPr="000C3890" w:rsidRDefault="00BC03CC" w:rsidP="00DF6FD7">
            <w:pPr>
              <w:autoSpaceDE w:val="0"/>
              <w:autoSpaceDN w:val="0"/>
              <w:adjustRightInd w:val="0"/>
              <w:rPr>
                <w:color w:val="000000"/>
                <w:sz w:val="20"/>
              </w:rPr>
            </w:pPr>
            <w:r>
              <w:rPr>
                <w:color w:val="000000"/>
                <w:sz w:val="20"/>
              </w:rPr>
              <w:t>27</w:t>
            </w:r>
          </w:p>
          <w:p w:rsidR="00BC03CC" w:rsidRPr="000C3890" w:rsidRDefault="00BC03CC" w:rsidP="00DF6FD7">
            <w:pPr>
              <w:autoSpaceDE w:val="0"/>
              <w:autoSpaceDN w:val="0"/>
              <w:adjustRightInd w:val="0"/>
              <w:rPr>
                <w:color w:val="000000"/>
                <w:sz w:val="20"/>
              </w:rPr>
            </w:pPr>
            <w:r>
              <w:rPr>
                <w:color w:val="000000"/>
                <w:sz w:val="20"/>
              </w:rPr>
              <w:t>12</w:t>
            </w:r>
          </w:p>
          <w:p w:rsidR="00BC03CC" w:rsidRPr="000C3890" w:rsidRDefault="00BC03CC" w:rsidP="00DF6FD7">
            <w:pPr>
              <w:autoSpaceDE w:val="0"/>
              <w:autoSpaceDN w:val="0"/>
              <w:adjustRightInd w:val="0"/>
              <w:rPr>
                <w:color w:val="000000"/>
                <w:sz w:val="20"/>
              </w:rPr>
            </w:pPr>
            <w:r>
              <w:rPr>
                <w:color w:val="000000"/>
                <w:sz w:val="20"/>
              </w:rPr>
              <w:t>14</w:t>
            </w:r>
          </w:p>
        </w:tc>
      </w:tr>
      <w:tr w:rsidR="00BC03CC" w:rsidRPr="000C3890" w:rsidTr="00DF6FD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C03CC" w:rsidRPr="000C3890" w:rsidRDefault="00BC03CC" w:rsidP="00DF6FD7">
            <w:pPr>
              <w:autoSpaceDE w:val="0"/>
              <w:autoSpaceDN w:val="0"/>
              <w:adjustRightInd w:val="0"/>
              <w:rPr>
                <w:b/>
                <w:bCs/>
                <w:color w:val="000000"/>
                <w:sz w:val="20"/>
              </w:rPr>
            </w:pPr>
            <w:r>
              <w:rPr>
                <w:b/>
                <w:color w:val="000000"/>
                <w:sz w:val="20"/>
              </w:rPr>
              <w:t>Komitejas locekļi, kas bija klāt galīgajā balsošanā</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C03CC" w:rsidRPr="000C3890" w:rsidRDefault="00BC03CC" w:rsidP="00DF6FD7">
            <w:pPr>
              <w:autoSpaceDE w:val="0"/>
              <w:autoSpaceDN w:val="0"/>
              <w:adjustRightInd w:val="0"/>
              <w:rPr>
                <w:color w:val="000000"/>
                <w:sz w:val="20"/>
              </w:rPr>
            </w:pPr>
            <w:r>
              <w:rPr>
                <w:color w:val="000000"/>
                <w:sz w:val="20"/>
              </w:rPr>
              <w:t>Lars Adaktusson, Nikos Androulakis, Petras Auštrevičius, Amjad Bashir, Goffredo Maria Bettini, Elmar Brok, James Carver, Fabio Massimo Castaldo, Georgios Epitideios, Knut Fleckenstein, Eugen Freund, Sandra Kalniete, Afzal Khan, Janusz Korwin-Mikke, Andrey Kovatchev, Eduard Kukan, Ilhan Kyuchyuk, Ryszard Antoni Legutko, Arne Lietz, Barbara Lochbihler, Andrejs Mamikins, Ramona Nicole Mănescu, Jean-Luc Mélenchon, Vincent Peillon, Alojz Peterle, Tonino Picula, Cristian Dan Preda, Sofia Sakorafa, Jacek Saryusz-Wolski, Alyn Smith, Jaromír Štětina, Charles Tannock, László Tőkés, Ivo Vajgl, Elena Valenciano, Hilde Vautmans</w:t>
            </w:r>
          </w:p>
        </w:tc>
      </w:tr>
      <w:tr w:rsidR="00BC03CC" w:rsidRPr="000C3890" w:rsidTr="00DF6FD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C03CC" w:rsidRPr="000C3890" w:rsidRDefault="00BC03CC" w:rsidP="00DF6FD7">
            <w:pPr>
              <w:autoSpaceDE w:val="0"/>
              <w:autoSpaceDN w:val="0"/>
              <w:adjustRightInd w:val="0"/>
              <w:rPr>
                <w:b/>
                <w:bCs/>
                <w:color w:val="000000"/>
                <w:sz w:val="20"/>
              </w:rPr>
            </w:pPr>
            <w:r>
              <w:rPr>
                <w:b/>
                <w:color w:val="000000"/>
                <w:sz w:val="20"/>
              </w:rPr>
              <w:t>Aizstājēji, kas bija klāt galīgajā balsošanā</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C03CC" w:rsidRPr="000C3890" w:rsidRDefault="00BC03CC" w:rsidP="00DF6FD7">
            <w:pPr>
              <w:autoSpaceDE w:val="0"/>
              <w:autoSpaceDN w:val="0"/>
              <w:adjustRightInd w:val="0"/>
              <w:rPr>
                <w:color w:val="000000"/>
                <w:sz w:val="20"/>
              </w:rPr>
            </w:pPr>
            <w:r>
              <w:rPr>
                <w:color w:val="000000"/>
                <w:sz w:val="20"/>
              </w:rPr>
              <w:t>Laima Liucija Andrikienė, Brando Benifei, Luis de Grandes Pascual, Mariya Gabriel, Ana Gomes, Takis Hadjigeorgiou, Marek Jurek, Antonio López-Istúriz White, Urmas Paet, Soraya Post, Igor Šoltes, Renate Sommer, Bodil Valero, Marie-Christine Vergiat, Janusz Zemke, Željana Zovko</w:t>
            </w:r>
          </w:p>
        </w:tc>
      </w:tr>
      <w:tr w:rsidR="00BC03CC" w:rsidRPr="000C3890" w:rsidTr="00DF6FD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C03CC" w:rsidRPr="000C3890" w:rsidRDefault="00BC03CC" w:rsidP="00DF6FD7">
            <w:pPr>
              <w:autoSpaceDE w:val="0"/>
              <w:autoSpaceDN w:val="0"/>
              <w:adjustRightInd w:val="0"/>
              <w:rPr>
                <w:b/>
                <w:bCs/>
                <w:color w:val="000000"/>
                <w:sz w:val="20"/>
              </w:rPr>
            </w:pPr>
            <w:r>
              <w:rPr>
                <w:b/>
                <w:color w:val="000000"/>
                <w:sz w:val="20"/>
              </w:rPr>
              <w:t>Aizstājēji (200. panta 2. punkts), kas bija klāt galīgajā balsošanā</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C03CC" w:rsidRPr="000C3890" w:rsidRDefault="00BC03CC" w:rsidP="00DF6FD7">
            <w:pPr>
              <w:autoSpaceDE w:val="0"/>
              <w:autoSpaceDN w:val="0"/>
              <w:adjustRightInd w:val="0"/>
              <w:rPr>
                <w:color w:val="000000"/>
                <w:sz w:val="20"/>
              </w:rPr>
            </w:pPr>
            <w:r>
              <w:rPr>
                <w:color w:val="000000"/>
                <w:sz w:val="20"/>
              </w:rPr>
              <w:t>Michel Reimon</w:t>
            </w:r>
          </w:p>
        </w:tc>
      </w:tr>
    </w:tbl>
    <w:p w:rsidR="00BC03CC" w:rsidRPr="005E7C81" w:rsidRDefault="00BC03CC" w:rsidP="00BC03CC"/>
    <w:p w:rsidR="00BC03CC" w:rsidRDefault="00BC03CC" w:rsidP="00BC03CC">
      <w:r>
        <w:br w:type="page"/>
      </w:r>
    </w:p>
    <w:p w:rsidR="00BC03CC" w:rsidRDefault="00BC03CC" w:rsidP="00BC03CC">
      <w:pPr>
        <w:rPr>
          <w:rStyle w:val="HideTWBExt"/>
          <w:noProof w:val="0"/>
        </w:rPr>
      </w:pPr>
      <w:r>
        <w:rPr>
          <w:rStyle w:val="HideTWBExt"/>
          <w:noProof w:val="0"/>
        </w:rPr>
        <w:t>&lt;Date&gt;</w:t>
      </w:r>
      <w:r>
        <w:rPr>
          <w:rStyle w:val="HideTWBInt"/>
        </w:rPr>
        <w:t>{08/12/2016}</w:t>
      </w:r>
      <w:r>
        <w:t>8.12.2016</w:t>
      </w:r>
      <w:r>
        <w:rPr>
          <w:rStyle w:val="HideTWBExt"/>
          <w:noProof w:val="0"/>
        </w:rPr>
        <w:t>&lt;/Date&gt;</w:t>
      </w:r>
    </w:p>
    <w:p w:rsidR="00BC03CC" w:rsidRPr="00E27849" w:rsidRDefault="00BC03CC" w:rsidP="00BC03CC"/>
    <w:p w:rsidR="00BC03CC" w:rsidRPr="00E27849" w:rsidRDefault="00BC03CC" w:rsidP="00BC03CC">
      <w:pPr>
        <w:pStyle w:val="PageHeading"/>
        <w:spacing w:before="0" w:after="720"/>
      </w:pPr>
      <w:r>
        <w:rPr>
          <w:rStyle w:val="HideTWBExt"/>
          <w:noProof w:val="0"/>
        </w:rPr>
        <w:t>&lt;CommissionResp&gt;</w:t>
      </w:r>
      <w:bookmarkStart w:id="12" w:name="OpinionToc_2"/>
      <w:bookmarkStart w:id="13" w:name="_Toc473622999"/>
      <w:bookmarkStart w:id="14" w:name="_Toc474431999"/>
      <w:r>
        <w:rPr>
          <w:caps/>
        </w:rPr>
        <w:t>Nodarbinātības un sociālo lietu komiteja</w:t>
      </w:r>
      <w:bookmarkEnd w:id="12"/>
      <w:r>
        <w:rPr>
          <w:caps/>
        </w:rPr>
        <w:t xml:space="preserve">S </w:t>
      </w:r>
      <w:r>
        <w:t>ATZINUMS</w:t>
      </w:r>
      <w:bookmarkEnd w:id="13"/>
      <w:bookmarkEnd w:id="14"/>
      <w:r>
        <w:rPr>
          <w:rStyle w:val="HideTWBExt"/>
          <w:noProof w:val="0"/>
        </w:rPr>
        <w:t>&lt;/CommissionResp&gt;</w:t>
      </w:r>
    </w:p>
    <w:p w:rsidR="00BC03CC" w:rsidRPr="00E27849" w:rsidRDefault="00BC03CC" w:rsidP="00BC03CC">
      <w:pPr>
        <w:pStyle w:val="Cover24"/>
        <w:ind w:left="0"/>
      </w:pPr>
      <w:r>
        <w:rPr>
          <w:rStyle w:val="HideTWBExt"/>
          <w:noProof w:val="0"/>
        </w:rPr>
        <w:t>&lt;CommissionInt&gt;</w:t>
      </w:r>
      <w:r>
        <w:t>Starptautiskās tirdzniecības komitejai</w:t>
      </w:r>
      <w:r>
        <w:rPr>
          <w:rStyle w:val="HideTWBExt"/>
          <w:noProof w:val="0"/>
        </w:rPr>
        <w:t>&lt;/CommissionInt&gt;</w:t>
      </w:r>
    </w:p>
    <w:p w:rsidR="00BC03CC" w:rsidRPr="00E27849" w:rsidRDefault="00BC03CC" w:rsidP="00BC03CC">
      <w:pPr>
        <w:pStyle w:val="CoverNormal"/>
        <w:ind w:left="0"/>
      </w:pPr>
      <w:r>
        <w:rPr>
          <w:rStyle w:val="HideTWBExt"/>
          <w:noProof w:val="0"/>
        </w:rPr>
        <w:t>&lt;Titre&gt;</w:t>
      </w:r>
      <w:r>
        <w:t>par Padomes lēmuma projektu par to, lai noslēgtu Visaptverošu ekonomikas un tirdzniecības nolīgumu (</w:t>
      </w:r>
      <w:r>
        <w:rPr>
          <w:i/>
        </w:rPr>
        <w:t>CETA</w:t>
      </w:r>
      <w:r>
        <w:t>) starp Kanādu, no vienas puses, un Eiropas Savienību un tās dalībvalstīm, no otras puses</w:t>
      </w:r>
      <w:r>
        <w:rPr>
          <w:rStyle w:val="HideTWBExt"/>
          <w:noProof w:val="0"/>
        </w:rPr>
        <w:t>&lt;/Titre&gt;</w:t>
      </w:r>
    </w:p>
    <w:p w:rsidR="00BC03CC" w:rsidRPr="00E27849" w:rsidRDefault="00BC03CC" w:rsidP="00BC03CC">
      <w:pPr>
        <w:pStyle w:val="Cover24"/>
        <w:ind w:left="0"/>
      </w:pPr>
      <w:r>
        <w:rPr>
          <w:rStyle w:val="HideTWBExt"/>
          <w:noProof w:val="0"/>
        </w:rPr>
        <w:t>&lt;DocRef&gt;</w:t>
      </w:r>
      <w:r>
        <w:t>(10975/2016 – C8-0438/2016 – 2016/0205(NLE))</w:t>
      </w:r>
      <w:r>
        <w:rPr>
          <w:rStyle w:val="HideTWBExt"/>
          <w:noProof w:val="0"/>
        </w:rPr>
        <w:t>&lt;/DocRef&gt;</w:t>
      </w:r>
    </w:p>
    <w:p w:rsidR="00BC03CC" w:rsidRPr="00E27849" w:rsidRDefault="00BC03CC" w:rsidP="00BC03CC">
      <w:pPr>
        <w:pStyle w:val="CoverNormal"/>
        <w:ind w:left="0"/>
      </w:pPr>
      <w:r>
        <w:t xml:space="preserve">Atzinuma sagatavotājs: </w:t>
      </w:r>
      <w:r>
        <w:rPr>
          <w:rStyle w:val="HideTWBExt"/>
          <w:noProof w:val="0"/>
        </w:rPr>
        <w:t>&lt;Depute&gt;</w:t>
      </w:r>
      <w:r>
        <w:rPr>
          <w:i/>
        </w:rPr>
        <w:t>Georgi Pirinski</w:t>
      </w:r>
      <w:r>
        <w:rPr>
          <w:rStyle w:val="HideTWBExt"/>
          <w:noProof w:val="0"/>
        </w:rPr>
        <w:t>&lt;/Depute&gt;</w:t>
      </w:r>
    </w:p>
    <w:p w:rsidR="00BC03CC" w:rsidRPr="00E27849" w:rsidRDefault="00BC03CC" w:rsidP="00BC03CC">
      <w:pPr>
        <w:pStyle w:val="CoverNormal"/>
        <w:ind w:left="0"/>
      </w:pPr>
    </w:p>
    <w:p w:rsidR="00BC03CC" w:rsidRPr="00E27849" w:rsidRDefault="00BC03CC" w:rsidP="00EA3304">
      <w:pPr>
        <w:widowControl/>
        <w:tabs>
          <w:tab w:val="center" w:pos="4677"/>
        </w:tabs>
      </w:pPr>
    </w:p>
    <w:p w:rsidR="00BC03CC" w:rsidRPr="00E27849" w:rsidRDefault="00BC03CC">
      <w:pPr>
        <w:pStyle w:val="PageHeadingNotTOC"/>
      </w:pPr>
      <w:r>
        <w:t>ĪSS PAMATOJUMS</w:t>
      </w:r>
    </w:p>
    <w:p w:rsidR="00BC03CC" w:rsidRPr="006F2985" w:rsidRDefault="00BC03CC" w:rsidP="00620AE8">
      <w:pPr>
        <w:spacing w:before="60"/>
        <w:jc w:val="both"/>
      </w:pPr>
      <w:r>
        <w:rPr>
          <w:i/>
        </w:rPr>
        <w:t>CETA</w:t>
      </w:r>
      <w:r>
        <w:t xml:space="preserve"> noteicošajam galarezultātam ir jābūt pienācīgas kvalitātes darbvietu radīšanai, līdzsvarotam atalgojuma pieaugumam un lielākām uzņēmējdarbības iespējām. Tomēr attiecībā uz pienācīgu darbvietu radīšanu empīriski pierādījumi, kas pamatojas uz reālās pasaules modeļiem, norāda uz labākajā gadījumā maznozīmīgu kopēju ES nodarbinātības pieaugumu, kas nepārsniegs 0,018 % 6–10 īstenošanas gadu laikā. Turklāt nesenie pētījumi, kuros tiek izmantoti šādi modeļi, ir paredzējuši, ka visā ES faktiski pazudīs 204 000 darbvietu, tostarp Francijā — 45 000 darbvietu, Itālijā — 42 000 un Vācijā — 19 000. Turklāt 2011. gada ilgtspējas ietekmes novērtējums parāda nozīmīgas pārbīdes nozaru robežās, kuras galu galā veicinās ilgtermiņa bezdarbu.</w:t>
      </w:r>
    </w:p>
    <w:p w:rsidR="00BC03CC" w:rsidRPr="006F2985" w:rsidRDefault="00BC03CC" w:rsidP="00620AE8">
      <w:pPr>
        <w:spacing w:before="60"/>
        <w:jc w:val="both"/>
      </w:pPr>
      <w:r>
        <w:t>Saistībā ar atalgojumu pierādījumi liecina, ka šis nolīgums palielinās nekvalificēto un kvalificēto darbinieku ienākumu atšķirības, tādā veidā palielinot nevienlīdzību un sociālo spriedzi. Tāpat tiek sagaidītas vērā ņemamas pārdales sekas saistībā ar nacionālajiem ieņēmumiem, kas ES sasniegs 0,66 % palielinājumu kapitāla īpašnieku labā, līdz ar to vēl vairāk padziļinot sociālās nobīdes.</w:t>
      </w:r>
    </w:p>
    <w:p w:rsidR="00BC03CC" w:rsidRPr="006F2985" w:rsidRDefault="00BC03CC" w:rsidP="00620AE8">
      <w:pPr>
        <w:spacing w:before="60"/>
        <w:jc w:val="both"/>
      </w:pPr>
      <w:r>
        <w:t xml:space="preserve">Nolīgumā nav nevienas sadaļas, kurā būtu iekļauti konkrēti pasākumi MVU atbalstam. Pašlaik ES pastāv 20,9 miljoni MVU (93 % no tiem nodarbina mazāk nekā 10 darbinieku), taču tikai 619 000 MVU  eksportē ārpus ES. </w:t>
      </w:r>
      <w:r>
        <w:rPr>
          <w:i/>
        </w:rPr>
        <w:t>CETA</w:t>
      </w:r>
      <w:r>
        <w:t xml:space="preserve"> liberalizētajā vidē šie MVU pilnā mērā saskarsies ar lielu Ziemeļamerikas transnacionālo korporāciju radīto konkurenci, tādā veidā tiekot apdraudētiem 90 miljoniem darbvietu (67 % no kopējās nodarbinātības), kuras šie MVU nodrošina.</w:t>
      </w:r>
    </w:p>
    <w:p w:rsidR="00BC03CC" w:rsidRPr="006F2985" w:rsidRDefault="00BC03CC" w:rsidP="00620AE8">
      <w:pPr>
        <w:spacing w:before="60"/>
        <w:jc w:val="both"/>
      </w:pPr>
      <w:r>
        <w:t xml:space="preserve">Neraugoties uz to, ka </w:t>
      </w:r>
      <w:r>
        <w:rPr>
          <w:i/>
        </w:rPr>
        <w:t>CETA</w:t>
      </w:r>
      <w:r>
        <w:t xml:space="preserve"> ir iekļauta īpaša sadaļa par tirdzniecību un nodarbinātību, pastāv skaidra atšķirība starp aizsardzības līmeni, kas paredzēts investoriem, un to, kas paredzēts darbaspēka interešu un tiesību nodrošināšanai. Privileģētais statuss, kas investoriem piešķirts ieguldījumu tiesu sistēmā (</w:t>
      </w:r>
      <w:r>
        <w:rPr>
          <w:i/>
        </w:rPr>
        <w:t>ICS</w:t>
      </w:r>
      <w:r>
        <w:t>), skaudri atšķiras no konsultāciju mehānisma, kas paredzēts darbaspēka interešu un tiesību nodrošināšanai.</w:t>
      </w:r>
    </w:p>
    <w:p w:rsidR="00BC03CC" w:rsidRPr="007B0EF5" w:rsidRDefault="00BC03CC" w:rsidP="00620AE8">
      <w:pPr>
        <w:spacing w:before="60"/>
        <w:jc w:val="both"/>
      </w:pPr>
      <w:r>
        <w:t>Turklāt Kanāda līdz šim nav ratificējusi SDO Konvenciju par tiesībām apvienoties organizācijās un slēgt koplīgumus un nav izveidojusi sankciju sistēmu darba un sociālo tiesību un noteikumu pārkāpumu gadījumiem.</w:t>
      </w:r>
    </w:p>
    <w:p w:rsidR="00BC03CC" w:rsidRPr="006F2985" w:rsidRDefault="00BC03CC" w:rsidP="00620AE8">
      <w:pPr>
        <w:spacing w:before="60"/>
        <w:jc w:val="both"/>
      </w:pPr>
      <w:r>
        <w:t>Ir pierādīts, ka sekmējot ziemeļu–ziemeļu valstu tirdzniecību, tirdzniecība aizvirzās projām no jaunattīstības valstīm, šajā gadījumā galvenokārt no Āfrikas valstīm. Tam ir ļoti nelabvēlīga ietekme, ņemot vērā nepieciešamību sekmēt to, lai tiktu sasniegti ANO ilgtspējīgas attīstības mērķi (IAM), kas noteikti 2030. gadam, jo tikai tādā veidā ir iespējams pārvarēt aizvien dziļāko nevienlīdzību starp attīstītajām un jaunattīstības valstīm, kā arī stāties pretī migrācijas spiedienam, kurš strauji palielinās.</w:t>
      </w:r>
    </w:p>
    <w:p w:rsidR="00BC03CC" w:rsidRPr="006F2985" w:rsidRDefault="00BC03CC" w:rsidP="00620AE8">
      <w:pPr>
        <w:spacing w:before="60"/>
        <w:jc w:val="both"/>
      </w:pPr>
      <w:r>
        <w:t xml:space="preserve">Joprojām pastāv nopietnas bažas par spēkā esošo ES tiesību aktu saderību ar </w:t>
      </w:r>
      <w:r>
        <w:rPr>
          <w:i/>
        </w:rPr>
        <w:t>ICS</w:t>
      </w:r>
      <w:r>
        <w:t xml:space="preserve"> klauzulu, kā arī ar pagaidu piemērošanas principu.</w:t>
      </w:r>
    </w:p>
    <w:p w:rsidR="00BC03CC" w:rsidRPr="006F2985" w:rsidRDefault="00BC03CC" w:rsidP="00620AE8">
      <w:pPr>
        <w:pStyle w:val="Normal12"/>
        <w:spacing w:before="60" w:after="0"/>
        <w:jc w:val="both"/>
      </w:pPr>
      <w:r>
        <w:t>Tāpēc atzinuma sagatavotājs uzskata, ka ir spiests aicināt Starptautiskās tirdzniecības komiteju atteikties sniegt piekrišanu šā nolīguma slēgšanai.</w:t>
      </w:r>
    </w:p>
    <w:p w:rsidR="00BC03CC" w:rsidRPr="006F2985" w:rsidRDefault="00BC03CC" w:rsidP="00620AE8">
      <w:pPr>
        <w:pStyle w:val="Normal12Centre"/>
        <w:spacing w:before="60" w:after="0"/>
      </w:pPr>
    </w:p>
    <w:p w:rsidR="00BC03CC" w:rsidRPr="006F2985" w:rsidRDefault="00BC03CC" w:rsidP="00620AE8">
      <w:pPr>
        <w:pStyle w:val="Normal12Centre"/>
        <w:spacing w:before="60" w:after="0"/>
      </w:pPr>
      <w:r>
        <w:t>******</w:t>
      </w:r>
    </w:p>
    <w:p w:rsidR="00BC03CC" w:rsidRPr="00E27849" w:rsidRDefault="00BC03CC" w:rsidP="00620AE8">
      <w:pPr>
        <w:pStyle w:val="Normal12Tab"/>
      </w:pPr>
      <w:r>
        <w:t>Nodarbinātības un sociālo lietu komiteja aicina par jautājumu atbildīgo Starptautiskās tirdzniecības komiteju ieteikt Parlamentam nesniegt piekrišanu priekšlikumam Padomes lēmumam</w:t>
      </w:r>
      <w:bookmarkStart w:id="15" w:name="DocEPTmp2"/>
      <w:bookmarkEnd w:id="15"/>
      <w:r>
        <w:t xml:space="preserve"> par to, lai Eiropas Savienības vārdā noslēgtu Visaptverošu ekonomikas un tirdzniecības nolīgumu (</w:t>
      </w:r>
      <w:r>
        <w:rPr>
          <w:i/>
        </w:rPr>
        <w:t>CETA</w:t>
      </w:r>
      <w:r>
        <w:t>) starp Kanādu, no vienas puses, un Eiropas Savienību un tās dalībvalstīm, no otras puses.</w:t>
      </w:r>
    </w:p>
    <w:p w:rsidR="00BC03CC" w:rsidRPr="00E27849" w:rsidRDefault="00BC03CC" w:rsidP="00F174C8">
      <w:r>
        <w:br w:type="page"/>
      </w:r>
    </w:p>
    <w:p w:rsidR="00BC03CC" w:rsidRPr="00E27849" w:rsidRDefault="00BC03CC" w:rsidP="00F174C8">
      <w:pPr>
        <w:pStyle w:val="PageHeadingNotTOC"/>
      </w:pPr>
      <w:r>
        <w:t>ATZINUMU SNIEDZOŠĀS KOMITEJAS PROCEDŪRA</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BC03CC" w:rsidRPr="00E2784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C03CC" w:rsidRPr="00E27849" w:rsidRDefault="00BC03CC">
            <w:pPr>
              <w:autoSpaceDE w:val="0"/>
              <w:autoSpaceDN w:val="0"/>
              <w:adjustRightInd w:val="0"/>
              <w:rPr>
                <w:b/>
                <w:bCs/>
                <w:color w:val="000000"/>
                <w:sz w:val="20"/>
              </w:rPr>
            </w:pPr>
            <w:r>
              <w:rPr>
                <w:b/>
                <w:color w:val="000000"/>
                <w:sz w:val="20"/>
              </w:rPr>
              <w:t>Virsraksts</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C03CC" w:rsidRPr="00E27849" w:rsidRDefault="00BC03CC">
            <w:pPr>
              <w:autoSpaceDE w:val="0"/>
              <w:autoSpaceDN w:val="0"/>
              <w:adjustRightInd w:val="0"/>
              <w:rPr>
                <w:color w:val="000000"/>
                <w:sz w:val="20"/>
              </w:rPr>
            </w:pPr>
            <w:r>
              <w:rPr>
                <w:color w:val="000000"/>
                <w:sz w:val="20"/>
              </w:rPr>
              <w:t>Visaptveroša ekonomikas un tirdzniecības nolīguma noslēgšana starp Kanādu, no vienas puses, un Eiropas Savienību un tās dalībvalstīm, no otras puses</w:t>
            </w:r>
          </w:p>
        </w:tc>
      </w:tr>
      <w:tr w:rsidR="00BC03CC" w:rsidRPr="00E2784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C03CC" w:rsidRPr="00E27849" w:rsidRDefault="00BC03CC">
            <w:pPr>
              <w:autoSpaceDE w:val="0"/>
              <w:autoSpaceDN w:val="0"/>
              <w:adjustRightInd w:val="0"/>
              <w:rPr>
                <w:b/>
                <w:bCs/>
                <w:color w:val="000000"/>
                <w:sz w:val="20"/>
              </w:rPr>
            </w:pPr>
            <w:r>
              <w:rPr>
                <w:b/>
                <w:color w:val="000000"/>
                <w:sz w:val="20"/>
              </w:rPr>
              <w:t>Atsauces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C03CC" w:rsidRPr="00E27849" w:rsidRDefault="00BC03CC">
            <w:pPr>
              <w:autoSpaceDE w:val="0"/>
              <w:autoSpaceDN w:val="0"/>
              <w:adjustRightInd w:val="0"/>
              <w:rPr>
                <w:color w:val="000000"/>
                <w:sz w:val="20"/>
              </w:rPr>
            </w:pPr>
            <w:r>
              <w:rPr>
                <w:color w:val="000000"/>
                <w:sz w:val="20"/>
              </w:rPr>
              <w:t>10975/2016 – C8-0438/2016 – COM(2016)0443 – 2016/0205(NLE)</w:t>
            </w:r>
          </w:p>
        </w:tc>
      </w:tr>
      <w:tr w:rsidR="00BC03CC" w:rsidRPr="00E2784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C03CC" w:rsidRPr="00E27849" w:rsidRDefault="00BC03CC">
            <w:pPr>
              <w:autoSpaceDE w:val="0"/>
              <w:autoSpaceDN w:val="0"/>
              <w:adjustRightInd w:val="0"/>
              <w:rPr>
                <w:b/>
                <w:bCs/>
                <w:color w:val="000000"/>
                <w:sz w:val="20"/>
              </w:rPr>
            </w:pPr>
            <w:r>
              <w:rPr>
                <w:b/>
                <w:color w:val="000000"/>
                <w:sz w:val="20"/>
              </w:rPr>
              <w:t>Atbildīgā komiteja</w:t>
            </w:r>
          </w:p>
          <w:p w:rsidR="00BC03CC" w:rsidRPr="00E27849" w:rsidRDefault="00BC03CC">
            <w:pPr>
              <w:autoSpaceDE w:val="0"/>
              <w:autoSpaceDN w:val="0"/>
              <w:adjustRightInd w:val="0"/>
              <w:rPr>
                <w:color w:val="000000"/>
                <w:sz w:val="20"/>
              </w:rPr>
            </w:pP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C03CC" w:rsidRPr="00E27849" w:rsidRDefault="00BC03CC">
            <w:pPr>
              <w:autoSpaceDE w:val="0"/>
              <w:autoSpaceDN w:val="0"/>
              <w:adjustRightInd w:val="0"/>
              <w:rPr>
                <w:color w:val="000000"/>
                <w:sz w:val="20"/>
              </w:rPr>
            </w:pPr>
            <w:r>
              <w:rPr>
                <w:color w:val="000000"/>
                <w:sz w:val="20"/>
              </w:rPr>
              <w:t>INTA</w:t>
            </w:r>
          </w:p>
          <w:p w:rsidR="00BC03CC" w:rsidRPr="00E27849" w:rsidRDefault="00BC03CC">
            <w:pPr>
              <w:autoSpaceDE w:val="0"/>
              <w:autoSpaceDN w:val="0"/>
              <w:adjustRightInd w:val="0"/>
              <w:rPr>
                <w:color w:val="000000"/>
                <w:sz w:val="2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C03CC" w:rsidRPr="00E27849" w:rsidRDefault="00BC03C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C03CC" w:rsidRPr="00E27849" w:rsidRDefault="00BC03C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C03CC" w:rsidRPr="00E27849" w:rsidRDefault="00BC03CC">
            <w:pPr>
              <w:autoSpaceDE w:val="0"/>
              <w:autoSpaceDN w:val="0"/>
              <w:adjustRightInd w:val="0"/>
              <w:rPr>
                <w:rFonts w:ascii="sans-serif" w:hAnsi="sans-serif" w:cs="sans-serif"/>
                <w:color w:val="000000"/>
                <w:szCs w:val="24"/>
              </w:rPr>
            </w:pPr>
          </w:p>
        </w:tc>
      </w:tr>
      <w:tr w:rsidR="00BC03CC" w:rsidRPr="00E2784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C03CC" w:rsidRPr="00E27849" w:rsidRDefault="00BC03CC">
            <w:pPr>
              <w:autoSpaceDE w:val="0"/>
              <w:autoSpaceDN w:val="0"/>
              <w:adjustRightInd w:val="0"/>
              <w:rPr>
                <w:b/>
                <w:bCs/>
                <w:color w:val="000000"/>
                <w:sz w:val="20"/>
              </w:rPr>
            </w:pPr>
            <w:r>
              <w:rPr>
                <w:b/>
                <w:color w:val="000000"/>
                <w:sz w:val="20"/>
              </w:rPr>
              <w:t>Atzinumu sniedza</w:t>
            </w:r>
          </w:p>
          <w:p w:rsidR="00BC03CC" w:rsidRPr="00E27849" w:rsidRDefault="00BC03CC">
            <w:pPr>
              <w:autoSpaceDE w:val="0"/>
              <w:autoSpaceDN w:val="0"/>
              <w:adjustRightInd w:val="0"/>
              <w:rPr>
                <w:color w:val="000000"/>
                <w:sz w:val="20"/>
              </w:rPr>
            </w:pPr>
            <w:r>
              <w:rPr>
                <w:color w:val="000000"/>
                <w:sz w:val="20"/>
              </w:rPr>
              <w:t>       Datums, kad paziņoja plenārsēdē</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C03CC" w:rsidRPr="00E27849" w:rsidRDefault="00BC03CC">
            <w:pPr>
              <w:autoSpaceDE w:val="0"/>
              <w:autoSpaceDN w:val="0"/>
              <w:adjustRightInd w:val="0"/>
              <w:rPr>
                <w:color w:val="000000"/>
                <w:sz w:val="20"/>
              </w:rPr>
            </w:pPr>
            <w:r>
              <w:rPr>
                <w:color w:val="000000"/>
                <w:sz w:val="20"/>
              </w:rPr>
              <w:t>EMPL</w:t>
            </w:r>
          </w:p>
          <w:p w:rsidR="00BC03CC" w:rsidRPr="00E27849" w:rsidRDefault="00BC03CC">
            <w:pPr>
              <w:autoSpaceDE w:val="0"/>
              <w:autoSpaceDN w:val="0"/>
              <w:adjustRightInd w:val="0"/>
              <w:rPr>
                <w:color w:val="000000"/>
                <w:sz w:val="20"/>
              </w:rPr>
            </w:pPr>
            <w:r>
              <w:rPr>
                <w:color w:val="000000"/>
                <w:sz w:val="20"/>
              </w:rPr>
              <w:t>24.11.2016</w:t>
            </w:r>
          </w:p>
        </w:tc>
      </w:tr>
      <w:tr w:rsidR="00BC03CC" w:rsidRPr="00E2784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C03CC" w:rsidRPr="00E27849" w:rsidRDefault="00BC03CC">
            <w:pPr>
              <w:autoSpaceDE w:val="0"/>
              <w:autoSpaceDN w:val="0"/>
              <w:adjustRightInd w:val="0"/>
              <w:rPr>
                <w:b/>
                <w:bCs/>
                <w:color w:val="000000"/>
                <w:sz w:val="20"/>
              </w:rPr>
            </w:pPr>
            <w:r>
              <w:rPr>
                <w:b/>
                <w:color w:val="000000"/>
                <w:sz w:val="20"/>
              </w:rPr>
              <w:t>Atzinumu sagatavoja</w:t>
            </w:r>
          </w:p>
          <w:p w:rsidR="00BC03CC" w:rsidRPr="00E27849" w:rsidRDefault="00BC03CC">
            <w:pPr>
              <w:autoSpaceDE w:val="0"/>
              <w:autoSpaceDN w:val="0"/>
              <w:adjustRightInd w:val="0"/>
              <w:rPr>
                <w:color w:val="000000"/>
                <w:sz w:val="20"/>
              </w:rPr>
            </w:pPr>
            <w:r>
              <w:rPr>
                <w:color w:val="000000"/>
                <w:sz w:val="20"/>
              </w:rPr>
              <w:t>       Iecelšanas datums</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C03CC" w:rsidRPr="00E27849" w:rsidRDefault="00BC03CC">
            <w:pPr>
              <w:autoSpaceDE w:val="0"/>
              <w:autoSpaceDN w:val="0"/>
              <w:adjustRightInd w:val="0"/>
              <w:rPr>
                <w:color w:val="000000"/>
                <w:sz w:val="20"/>
              </w:rPr>
            </w:pPr>
            <w:r>
              <w:rPr>
                <w:color w:val="000000"/>
                <w:sz w:val="20"/>
              </w:rPr>
              <w:t>Georgi Pirinski</w:t>
            </w:r>
          </w:p>
          <w:p w:rsidR="00BC03CC" w:rsidRPr="00E27849" w:rsidRDefault="00BC03CC">
            <w:pPr>
              <w:autoSpaceDE w:val="0"/>
              <w:autoSpaceDN w:val="0"/>
              <w:adjustRightInd w:val="0"/>
              <w:rPr>
                <w:color w:val="000000"/>
                <w:sz w:val="20"/>
              </w:rPr>
            </w:pPr>
            <w:r>
              <w:rPr>
                <w:color w:val="000000"/>
                <w:sz w:val="20"/>
              </w:rPr>
              <w:t>9.11.2016</w:t>
            </w:r>
          </w:p>
        </w:tc>
      </w:tr>
      <w:tr w:rsidR="00BC03CC" w:rsidRPr="00E2784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C03CC" w:rsidRPr="00E27849" w:rsidRDefault="00BC03CC">
            <w:pPr>
              <w:autoSpaceDE w:val="0"/>
              <w:autoSpaceDN w:val="0"/>
              <w:adjustRightInd w:val="0"/>
              <w:rPr>
                <w:b/>
                <w:bCs/>
                <w:color w:val="000000"/>
                <w:sz w:val="20"/>
              </w:rPr>
            </w:pPr>
            <w:r>
              <w:rPr>
                <w:b/>
                <w:color w:val="000000"/>
                <w:sz w:val="20"/>
              </w:rPr>
              <w:t>Izskatīšana komitejā</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C03CC" w:rsidRPr="00E27849" w:rsidRDefault="00BC03CC">
            <w:pPr>
              <w:autoSpaceDE w:val="0"/>
              <w:autoSpaceDN w:val="0"/>
              <w:adjustRightInd w:val="0"/>
              <w:rPr>
                <w:color w:val="000000"/>
                <w:sz w:val="20"/>
              </w:rPr>
            </w:pPr>
            <w:r>
              <w:rPr>
                <w:color w:val="000000"/>
                <w:sz w:val="20"/>
              </w:rPr>
              <w:t>29.11.2016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C03CC" w:rsidRPr="00E27849" w:rsidRDefault="00BC03C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C03CC" w:rsidRPr="00E27849" w:rsidRDefault="00BC03C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C03CC" w:rsidRPr="00E27849" w:rsidRDefault="00BC03CC">
            <w:pPr>
              <w:autoSpaceDE w:val="0"/>
              <w:autoSpaceDN w:val="0"/>
              <w:adjustRightInd w:val="0"/>
              <w:rPr>
                <w:rFonts w:ascii="sans-serif" w:hAnsi="sans-serif" w:cs="sans-serif"/>
                <w:color w:val="000000"/>
                <w:szCs w:val="24"/>
              </w:rPr>
            </w:pPr>
          </w:p>
        </w:tc>
      </w:tr>
      <w:tr w:rsidR="00BC03CC" w:rsidRPr="00E2784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C03CC" w:rsidRPr="00E27849" w:rsidRDefault="00BC03CC">
            <w:pPr>
              <w:autoSpaceDE w:val="0"/>
              <w:autoSpaceDN w:val="0"/>
              <w:adjustRightInd w:val="0"/>
              <w:rPr>
                <w:b/>
                <w:bCs/>
                <w:color w:val="000000"/>
                <w:sz w:val="20"/>
              </w:rPr>
            </w:pPr>
            <w:r>
              <w:rPr>
                <w:b/>
                <w:color w:val="000000"/>
                <w:sz w:val="20"/>
              </w:rPr>
              <w:t>Pieņemšanas datums</w:t>
            </w:r>
          </w:p>
        </w:tc>
        <w:tc>
          <w:tcPr>
            <w:tcW w:w="1530" w:type="dxa"/>
            <w:tcBorders>
              <w:top w:val="nil"/>
              <w:left w:val="nil"/>
              <w:bottom w:val="single" w:sz="8" w:space="0" w:color="000000"/>
              <w:right w:val="nil"/>
            </w:tcBorders>
            <w:tcMar>
              <w:top w:w="79" w:type="dxa"/>
              <w:left w:w="79" w:type="dxa"/>
              <w:bottom w:w="79" w:type="dxa"/>
              <w:right w:w="79" w:type="dxa"/>
            </w:tcMar>
          </w:tcPr>
          <w:p w:rsidR="00BC03CC" w:rsidRPr="00E27849" w:rsidRDefault="00BC03CC">
            <w:pPr>
              <w:autoSpaceDE w:val="0"/>
              <w:autoSpaceDN w:val="0"/>
              <w:adjustRightInd w:val="0"/>
              <w:rPr>
                <w:color w:val="000000"/>
                <w:sz w:val="20"/>
              </w:rPr>
            </w:pPr>
            <w:r>
              <w:rPr>
                <w:color w:val="000000"/>
                <w:sz w:val="20"/>
              </w:rPr>
              <w:t>8.12.2016</w:t>
            </w:r>
          </w:p>
        </w:tc>
        <w:tc>
          <w:tcPr>
            <w:tcW w:w="1474" w:type="dxa"/>
            <w:tcBorders>
              <w:top w:val="nil"/>
              <w:left w:val="nil"/>
              <w:bottom w:val="single" w:sz="8" w:space="0" w:color="000000"/>
              <w:right w:val="nil"/>
            </w:tcBorders>
            <w:tcMar>
              <w:top w:w="79" w:type="dxa"/>
              <w:left w:w="79" w:type="dxa"/>
              <w:bottom w:w="79" w:type="dxa"/>
              <w:right w:w="79" w:type="dxa"/>
            </w:tcMar>
          </w:tcPr>
          <w:p w:rsidR="00BC03CC" w:rsidRPr="00E27849" w:rsidRDefault="00BC03CC">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BC03CC" w:rsidRPr="00E27849" w:rsidRDefault="00BC03CC">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BC03CC" w:rsidRPr="00E27849" w:rsidRDefault="00BC03CC">
            <w:pPr>
              <w:autoSpaceDE w:val="0"/>
              <w:autoSpaceDN w:val="0"/>
              <w:adjustRightInd w:val="0"/>
              <w:rPr>
                <w:rFonts w:ascii="sans-serif" w:hAnsi="sans-serif" w:cs="sans-serif"/>
                <w:color w:val="000000"/>
                <w:szCs w:val="24"/>
              </w:rPr>
            </w:pPr>
          </w:p>
        </w:tc>
      </w:tr>
      <w:tr w:rsidR="00BC03CC" w:rsidRPr="00E2784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C03CC" w:rsidRPr="00E27849" w:rsidRDefault="00BC03CC">
            <w:pPr>
              <w:autoSpaceDE w:val="0"/>
              <w:autoSpaceDN w:val="0"/>
              <w:adjustRightInd w:val="0"/>
              <w:rPr>
                <w:b/>
                <w:bCs/>
                <w:color w:val="000000"/>
                <w:sz w:val="20"/>
              </w:rPr>
            </w:pPr>
            <w:r>
              <w:rPr>
                <w:b/>
                <w:color w:val="000000"/>
                <w:sz w:val="20"/>
              </w:rPr>
              <w:t>Galīgais balsojums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C03CC" w:rsidRPr="00E27849" w:rsidRDefault="00BC03CC">
            <w:pPr>
              <w:autoSpaceDE w:val="0"/>
              <w:autoSpaceDN w:val="0"/>
              <w:adjustRightInd w:val="0"/>
              <w:rPr>
                <w:color w:val="000000"/>
                <w:sz w:val="20"/>
              </w:rPr>
            </w:pPr>
            <w:r>
              <w:rPr>
                <w:color w:val="000000"/>
                <w:sz w:val="20"/>
              </w:rPr>
              <w:t>+:</w:t>
            </w:r>
          </w:p>
          <w:p w:rsidR="00BC03CC" w:rsidRPr="00E27849" w:rsidRDefault="00BC03CC">
            <w:pPr>
              <w:autoSpaceDE w:val="0"/>
              <w:autoSpaceDN w:val="0"/>
              <w:adjustRightInd w:val="0"/>
              <w:rPr>
                <w:color w:val="000000"/>
                <w:sz w:val="20"/>
              </w:rPr>
            </w:pPr>
            <w:r>
              <w:rPr>
                <w:color w:val="000000"/>
                <w:sz w:val="20"/>
              </w:rPr>
              <w:t>–:</w:t>
            </w:r>
          </w:p>
          <w:p w:rsidR="00BC03CC" w:rsidRPr="00E27849" w:rsidRDefault="00BC03CC">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C03CC" w:rsidRPr="00E27849" w:rsidRDefault="00BC03CC">
            <w:pPr>
              <w:autoSpaceDE w:val="0"/>
              <w:autoSpaceDN w:val="0"/>
              <w:adjustRightInd w:val="0"/>
              <w:rPr>
                <w:color w:val="000000"/>
                <w:sz w:val="20"/>
              </w:rPr>
            </w:pPr>
            <w:r>
              <w:rPr>
                <w:color w:val="000000"/>
                <w:sz w:val="20"/>
              </w:rPr>
              <w:t>27</w:t>
            </w:r>
          </w:p>
          <w:p w:rsidR="00BC03CC" w:rsidRPr="00E27849" w:rsidRDefault="00BC03CC">
            <w:pPr>
              <w:autoSpaceDE w:val="0"/>
              <w:autoSpaceDN w:val="0"/>
              <w:adjustRightInd w:val="0"/>
              <w:rPr>
                <w:color w:val="000000"/>
                <w:sz w:val="20"/>
              </w:rPr>
            </w:pPr>
            <w:r>
              <w:rPr>
                <w:color w:val="000000"/>
                <w:sz w:val="20"/>
              </w:rPr>
              <w:t>24</w:t>
            </w:r>
          </w:p>
          <w:p w:rsidR="00BC03CC" w:rsidRPr="00E27849" w:rsidRDefault="00BC03CC">
            <w:pPr>
              <w:autoSpaceDE w:val="0"/>
              <w:autoSpaceDN w:val="0"/>
              <w:adjustRightInd w:val="0"/>
              <w:rPr>
                <w:color w:val="000000"/>
                <w:sz w:val="20"/>
              </w:rPr>
            </w:pPr>
            <w:r>
              <w:rPr>
                <w:color w:val="000000"/>
                <w:sz w:val="20"/>
              </w:rPr>
              <w:t>0</w:t>
            </w:r>
          </w:p>
        </w:tc>
      </w:tr>
      <w:tr w:rsidR="00BC03CC" w:rsidRPr="00E2784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C03CC" w:rsidRPr="00E27849" w:rsidRDefault="00BC03CC">
            <w:pPr>
              <w:autoSpaceDE w:val="0"/>
              <w:autoSpaceDN w:val="0"/>
              <w:adjustRightInd w:val="0"/>
              <w:rPr>
                <w:b/>
                <w:bCs/>
                <w:color w:val="000000"/>
                <w:sz w:val="20"/>
              </w:rPr>
            </w:pPr>
            <w:r>
              <w:rPr>
                <w:b/>
                <w:color w:val="000000"/>
                <w:sz w:val="20"/>
              </w:rPr>
              <w:t>Komitejas locekļi, kas bija klāt galīgajā balsošanā</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C03CC" w:rsidRPr="00E27849" w:rsidRDefault="00BC03CC">
            <w:pPr>
              <w:autoSpaceDE w:val="0"/>
              <w:autoSpaceDN w:val="0"/>
              <w:adjustRightInd w:val="0"/>
              <w:rPr>
                <w:color w:val="000000"/>
                <w:sz w:val="20"/>
              </w:rPr>
            </w:pPr>
            <w:r>
              <w:rPr>
                <w:color w:val="000000"/>
                <w:sz w:val="20"/>
              </w:rPr>
              <w:t>Laura Agea, Brando Benifei, Mara Bizzotto, Vilija Blinkevičiūtė, Enrique Calvet Chambon, David Casa, Ole Christensen, Martina Dlabajová, Czesław Hoc, Agnes Jongerius, Rina Ronja Kari, Jan Keller, Ádám Kósa, Agnieszka Kozłowska-Rajewicz, Jean Lambert, Patrick Le Hyaric, Jeroen Lenaers, Verónica Lope Fontagné, Javi López, Thomas Mann, Dominique Martin, Anthea McIntyre, João Pimenta Lopes, Georgi Pirinski, Marek Plura, Sofia Ribeiro, Maria João Rodrigues, Claude Rolin, Anne Sander, Sven Schulze, Romana Tomc, Yana Toom, Ulrike Trebesius, Marita Ulvskog, Renate Weber, Jana Žitňanská</w:t>
            </w:r>
          </w:p>
        </w:tc>
      </w:tr>
      <w:tr w:rsidR="00BC03CC" w:rsidRPr="00E2784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C03CC" w:rsidRPr="00E27849" w:rsidRDefault="00BC03CC">
            <w:pPr>
              <w:autoSpaceDE w:val="0"/>
              <w:autoSpaceDN w:val="0"/>
              <w:adjustRightInd w:val="0"/>
              <w:rPr>
                <w:b/>
                <w:bCs/>
                <w:color w:val="000000"/>
                <w:sz w:val="20"/>
              </w:rPr>
            </w:pPr>
            <w:r>
              <w:rPr>
                <w:b/>
                <w:color w:val="000000"/>
                <w:sz w:val="20"/>
              </w:rPr>
              <w:t>Aizstājēji, kas bija klāt galīgajā balsošanā</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C03CC" w:rsidRPr="00E27849" w:rsidRDefault="00BC03CC">
            <w:pPr>
              <w:autoSpaceDE w:val="0"/>
              <w:autoSpaceDN w:val="0"/>
              <w:adjustRightInd w:val="0"/>
              <w:rPr>
                <w:color w:val="000000"/>
                <w:sz w:val="20"/>
              </w:rPr>
            </w:pPr>
            <w:r>
              <w:rPr>
                <w:color w:val="000000"/>
                <w:sz w:val="20"/>
              </w:rPr>
              <w:t>Daniela Aiuto, Maria Arena, Georges Bach, Deirdre Clune, Karima Delli, Tania González Peñas, Edouard Martin, Evelyn Regner, Joachim Schuster, Monika Vana, Tom Vandenkendelaere, Flavio Zanonato, Gabriele Zimmer</w:t>
            </w:r>
          </w:p>
        </w:tc>
      </w:tr>
      <w:tr w:rsidR="00BC03CC" w:rsidRPr="00E2784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C03CC" w:rsidRPr="00E27849" w:rsidRDefault="00BC03CC">
            <w:pPr>
              <w:autoSpaceDE w:val="0"/>
              <w:autoSpaceDN w:val="0"/>
              <w:adjustRightInd w:val="0"/>
              <w:rPr>
                <w:b/>
                <w:bCs/>
                <w:color w:val="000000"/>
                <w:sz w:val="20"/>
              </w:rPr>
            </w:pPr>
            <w:r>
              <w:rPr>
                <w:b/>
                <w:color w:val="000000"/>
                <w:sz w:val="20"/>
              </w:rPr>
              <w:t>Aizstājēji (200. panta 2. punkts), kas bija klāt galīgajā balsošanā</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C03CC" w:rsidRPr="00E27849" w:rsidRDefault="00BC03CC">
            <w:pPr>
              <w:autoSpaceDE w:val="0"/>
              <w:autoSpaceDN w:val="0"/>
              <w:adjustRightInd w:val="0"/>
              <w:rPr>
                <w:color w:val="000000"/>
                <w:sz w:val="20"/>
              </w:rPr>
            </w:pPr>
            <w:r>
              <w:rPr>
                <w:color w:val="000000"/>
                <w:sz w:val="20"/>
              </w:rPr>
              <w:t>John Stuart Agnew, Hannu Takkula</w:t>
            </w:r>
          </w:p>
        </w:tc>
      </w:tr>
    </w:tbl>
    <w:p w:rsidR="00BC03CC" w:rsidRPr="00E27849" w:rsidRDefault="00BC03CC" w:rsidP="00F174C8"/>
    <w:p w:rsidR="00BC03CC" w:rsidRPr="009B3717" w:rsidRDefault="00BC03CC" w:rsidP="00BC03CC">
      <w:r>
        <w:br w:type="page"/>
      </w:r>
      <w:bookmarkStart w:id="16" w:name="ProcPageRR"/>
    </w:p>
    <w:p w:rsidR="00BC03CC" w:rsidRPr="009B3717" w:rsidRDefault="00BC03CC" w:rsidP="00BC03CC">
      <w:pPr>
        <w:pStyle w:val="ZDate"/>
        <w:spacing w:after="480"/>
      </w:pPr>
      <w:r>
        <w:rPr>
          <w:rStyle w:val="HideTWBExt"/>
          <w:noProof w:val="0"/>
        </w:rPr>
        <w:t>&lt;Date&gt;</w:t>
      </w:r>
      <w:r>
        <w:rPr>
          <w:rStyle w:val="HideTWBInt"/>
        </w:rPr>
        <w:t>{13/01/2017}</w:t>
      </w:r>
      <w:r>
        <w:t>13.1.2017</w:t>
      </w:r>
      <w:r>
        <w:rPr>
          <w:rStyle w:val="HideTWBExt"/>
          <w:noProof w:val="0"/>
        </w:rPr>
        <w:t>&lt;/Date&gt;</w:t>
      </w:r>
    </w:p>
    <w:p w:rsidR="00BC03CC" w:rsidRPr="009B3717" w:rsidRDefault="00BC03CC" w:rsidP="00BC03CC">
      <w:pPr>
        <w:pStyle w:val="PageHeading"/>
        <w:spacing w:before="0" w:after="720"/>
      </w:pPr>
      <w:r>
        <w:rPr>
          <w:rStyle w:val="HideTWBExt"/>
          <w:noProof w:val="0"/>
        </w:rPr>
        <w:t>&lt;CommissionResp&gt;</w:t>
      </w:r>
      <w:bookmarkStart w:id="17" w:name="OpinionToc_1"/>
      <w:bookmarkStart w:id="18" w:name="_Toc473623000"/>
      <w:bookmarkStart w:id="19" w:name="_Toc474432000"/>
      <w:r>
        <w:rPr>
          <w:caps/>
        </w:rPr>
        <w:t>Vides, sabiedrības veselības un pārtikas nekaitīguma komiteja</w:t>
      </w:r>
      <w:bookmarkEnd w:id="17"/>
      <w:r>
        <w:rPr>
          <w:caps/>
        </w:rPr>
        <w:t xml:space="preserve">S </w:t>
      </w:r>
      <w:r>
        <w:t>ATZINUMS</w:t>
      </w:r>
      <w:bookmarkEnd w:id="18"/>
      <w:bookmarkEnd w:id="19"/>
      <w:r>
        <w:rPr>
          <w:rStyle w:val="HideTWBExt"/>
          <w:noProof w:val="0"/>
        </w:rPr>
        <w:t>&lt;/CommissionResp&gt;</w:t>
      </w:r>
    </w:p>
    <w:p w:rsidR="00BC03CC" w:rsidRPr="009B3717" w:rsidRDefault="00BC03CC" w:rsidP="00BC03CC">
      <w:pPr>
        <w:pStyle w:val="Cover24"/>
        <w:ind w:left="0"/>
      </w:pPr>
      <w:r>
        <w:rPr>
          <w:rStyle w:val="HideTWBExt"/>
          <w:noProof w:val="0"/>
        </w:rPr>
        <w:t>&lt;CommissionInt&gt;</w:t>
      </w:r>
      <w:r>
        <w:t>Starptautiskās tirdzniecības komitejai</w:t>
      </w:r>
      <w:r>
        <w:rPr>
          <w:rStyle w:val="HideTWBExt"/>
          <w:noProof w:val="0"/>
        </w:rPr>
        <w:t>&lt;/CommissionInt&gt;</w:t>
      </w:r>
    </w:p>
    <w:p w:rsidR="00BC03CC" w:rsidRPr="00581A93" w:rsidRDefault="00BC03CC" w:rsidP="00BC03CC">
      <w:pPr>
        <w:pStyle w:val="CoverNormal"/>
        <w:ind w:left="0"/>
      </w:pPr>
      <w:r>
        <w:rPr>
          <w:rStyle w:val="HideTWBExt"/>
          <w:noProof w:val="0"/>
        </w:rPr>
        <w:t>&lt;Titre&gt;</w:t>
      </w:r>
      <w:r>
        <w:t>par projektu Padomes lēmumam par to, lai noslēgtu Visaptverošu ekonomikas un tirdzniecības nolīgumu (</w:t>
      </w:r>
      <w:r>
        <w:rPr>
          <w:i/>
        </w:rPr>
        <w:t>CETA</w:t>
      </w:r>
      <w:r>
        <w:t>) starp Kanādu, no vienas puses, un Eiropas Savienību un tās dalībvalstīm, no otras puses</w:t>
      </w:r>
      <w:r>
        <w:rPr>
          <w:rStyle w:val="HideTWBExt"/>
          <w:noProof w:val="0"/>
        </w:rPr>
        <w:t>&lt;/Titre&gt;</w:t>
      </w:r>
    </w:p>
    <w:p w:rsidR="00BC03CC" w:rsidRPr="009F1653" w:rsidRDefault="00BC03CC" w:rsidP="00BC03CC">
      <w:pPr>
        <w:pStyle w:val="Cover24"/>
        <w:ind w:left="0"/>
      </w:pPr>
      <w:r>
        <w:rPr>
          <w:rStyle w:val="HideTWBExt"/>
          <w:noProof w:val="0"/>
        </w:rPr>
        <w:t>&lt;DocRef&gt;</w:t>
      </w:r>
      <w:r>
        <w:t>(10975/2016 – C8-0438/2016 – 2016/0205(NLE))</w:t>
      </w:r>
      <w:r>
        <w:rPr>
          <w:rStyle w:val="HideTWBExt"/>
          <w:noProof w:val="0"/>
        </w:rPr>
        <w:t>&lt;/DocRef&gt;</w:t>
      </w:r>
    </w:p>
    <w:p w:rsidR="00BC03CC" w:rsidRPr="009B3717" w:rsidRDefault="00BC03CC" w:rsidP="00BC03CC">
      <w:pPr>
        <w:pStyle w:val="Cover24"/>
        <w:ind w:left="0"/>
      </w:pPr>
      <w:r>
        <w:t xml:space="preserve">Atzinuma sagatavotājs: </w:t>
      </w:r>
      <w:r>
        <w:rPr>
          <w:rStyle w:val="HideTWBExt"/>
          <w:noProof w:val="0"/>
        </w:rPr>
        <w:t>&lt;Depute&gt;</w:t>
      </w:r>
      <w:r>
        <w:rPr>
          <w:i/>
        </w:rPr>
        <w:t>Bart Staes</w:t>
      </w:r>
      <w:r>
        <w:rPr>
          <w:rStyle w:val="HideTWBExt"/>
          <w:noProof w:val="0"/>
        </w:rPr>
        <w:t>&lt;/Depute&gt;</w:t>
      </w:r>
    </w:p>
    <w:p w:rsidR="00BC03CC" w:rsidRPr="009B3717" w:rsidRDefault="00BC03CC" w:rsidP="00BC03CC">
      <w:pPr>
        <w:pStyle w:val="CoverNormal"/>
        <w:ind w:left="0"/>
      </w:pPr>
    </w:p>
    <w:p w:rsidR="00BC03CC" w:rsidRPr="009B3717" w:rsidRDefault="00BC03CC" w:rsidP="00BC03CC">
      <w:pPr>
        <w:widowControl/>
        <w:tabs>
          <w:tab w:val="center" w:pos="4677"/>
        </w:tabs>
      </w:pPr>
    </w:p>
    <w:p w:rsidR="00BC03CC" w:rsidRPr="009B3717" w:rsidRDefault="00BC03CC" w:rsidP="00BC03CC">
      <w:pPr>
        <w:pStyle w:val="PageHeadingNotTOC"/>
      </w:pPr>
    </w:p>
    <w:p w:rsidR="00BC03CC" w:rsidRPr="00581A93" w:rsidRDefault="00BC03CC" w:rsidP="00BC03CC">
      <w:pPr>
        <w:jc w:val="both"/>
        <w:rPr>
          <w:szCs w:val="24"/>
        </w:rPr>
      </w:pPr>
      <w:r>
        <w:t>Vides, sabiedrības veselības un pārtikas nekaitīguma komiteja aicina par jautājumu atbildīgo Starptautiskās tirdzniecības komiteju ieteikt Parlamentam sniegt piekrišanu priekšlikumam Padomes lēmumam par to, lai Eiropas Savienības vārdā noslēgtu Visaptverošu ekonomikas un tirdzniecības nolīgumu (</w:t>
      </w:r>
      <w:r>
        <w:rPr>
          <w:i/>
        </w:rPr>
        <w:t>CETA</w:t>
      </w:r>
      <w:r>
        <w:t xml:space="preserve">) starp Kanādu, no vienas puses, un Eiropas Savienību un tās dalībvalstīm, no otras puses. </w:t>
      </w:r>
    </w:p>
    <w:p w:rsidR="00BC03CC" w:rsidRPr="00EF1148" w:rsidRDefault="00BC03CC" w:rsidP="00BC03CC">
      <w:pPr>
        <w:pStyle w:val="Normal12"/>
      </w:pPr>
    </w:p>
    <w:p w:rsidR="00BC03CC" w:rsidRDefault="00BC03CC" w:rsidP="00BC03CC">
      <w:pPr>
        <w:pStyle w:val="PageHeadingNotTOC"/>
      </w:pPr>
      <w:r>
        <w:br w:type="page"/>
        <w:t>ATZINUMU SNIEDZOŠĀS KOMITEJAS PROCEDŪRA</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BC03CC" w:rsidTr="00DF6FD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C03CC" w:rsidRDefault="00BC03CC" w:rsidP="00DF6FD7">
            <w:pPr>
              <w:autoSpaceDE w:val="0"/>
              <w:autoSpaceDN w:val="0"/>
              <w:adjustRightInd w:val="0"/>
              <w:rPr>
                <w:b/>
                <w:bCs/>
                <w:color w:val="000000"/>
                <w:sz w:val="20"/>
              </w:rPr>
            </w:pPr>
            <w:r>
              <w:rPr>
                <w:b/>
                <w:color w:val="000000"/>
                <w:sz w:val="20"/>
              </w:rPr>
              <w:t>Virsraksts</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C03CC" w:rsidRDefault="00BC03CC" w:rsidP="00DF6FD7">
            <w:pPr>
              <w:autoSpaceDE w:val="0"/>
              <w:autoSpaceDN w:val="0"/>
              <w:adjustRightInd w:val="0"/>
              <w:rPr>
                <w:color w:val="000000"/>
                <w:sz w:val="20"/>
              </w:rPr>
            </w:pPr>
            <w:r>
              <w:rPr>
                <w:color w:val="000000"/>
                <w:sz w:val="20"/>
              </w:rPr>
              <w:t>Visaptveroša ekonomikas un tirdzniecības nolīguma noslēgšana starp Kanādu, no vienas puses, un Eiropas Savienību un tās dalībvalstīm, no otras puses</w:t>
            </w:r>
          </w:p>
        </w:tc>
      </w:tr>
      <w:tr w:rsidR="00BC03CC" w:rsidTr="00DF6FD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C03CC" w:rsidRDefault="00BC03CC" w:rsidP="00DF6FD7">
            <w:pPr>
              <w:autoSpaceDE w:val="0"/>
              <w:autoSpaceDN w:val="0"/>
              <w:adjustRightInd w:val="0"/>
              <w:rPr>
                <w:b/>
                <w:bCs/>
                <w:color w:val="000000"/>
                <w:sz w:val="20"/>
              </w:rPr>
            </w:pPr>
            <w:r>
              <w:rPr>
                <w:b/>
                <w:color w:val="000000"/>
                <w:sz w:val="20"/>
              </w:rPr>
              <w:t>Atsauces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C03CC" w:rsidRDefault="00BC03CC" w:rsidP="00DF6FD7">
            <w:pPr>
              <w:autoSpaceDE w:val="0"/>
              <w:autoSpaceDN w:val="0"/>
              <w:adjustRightInd w:val="0"/>
              <w:rPr>
                <w:color w:val="000000"/>
                <w:sz w:val="20"/>
              </w:rPr>
            </w:pPr>
            <w:r>
              <w:rPr>
                <w:color w:val="000000"/>
                <w:sz w:val="20"/>
              </w:rPr>
              <w:t>10975/2016 – C8-0438/2016 – COM(2016)0443 – 2016/0205(NLE)</w:t>
            </w:r>
          </w:p>
        </w:tc>
      </w:tr>
      <w:tr w:rsidR="00BC03CC" w:rsidTr="00DF6FD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C03CC" w:rsidRDefault="00BC03CC" w:rsidP="00DF6FD7">
            <w:pPr>
              <w:autoSpaceDE w:val="0"/>
              <w:autoSpaceDN w:val="0"/>
              <w:adjustRightInd w:val="0"/>
              <w:rPr>
                <w:b/>
                <w:bCs/>
                <w:color w:val="000000"/>
                <w:sz w:val="20"/>
              </w:rPr>
            </w:pPr>
            <w:r>
              <w:rPr>
                <w:b/>
                <w:color w:val="000000"/>
                <w:sz w:val="20"/>
              </w:rPr>
              <w:t>Atbildīgā komiteja</w:t>
            </w:r>
          </w:p>
          <w:p w:rsidR="00BC03CC" w:rsidRDefault="00BC03CC" w:rsidP="00DF6FD7">
            <w:pPr>
              <w:autoSpaceDE w:val="0"/>
              <w:autoSpaceDN w:val="0"/>
              <w:adjustRightInd w:val="0"/>
              <w:rPr>
                <w:color w:val="000000"/>
                <w:sz w:val="20"/>
              </w:rPr>
            </w:pP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C03CC" w:rsidRDefault="00BC03CC" w:rsidP="00DF6FD7">
            <w:pPr>
              <w:autoSpaceDE w:val="0"/>
              <w:autoSpaceDN w:val="0"/>
              <w:adjustRightInd w:val="0"/>
              <w:rPr>
                <w:color w:val="000000"/>
                <w:sz w:val="20"/>
              </w:rPr>
            </w:pPr>
            <w:r>
              <w:rPr>
                <w:color w:val="000000"/>
                <w:sz w:val="20"/>
              </w:rPr>
              <w:t>INTA</w:t>
            </w:r>
          </w:p>
          <w:p w:rsidR="00BC03CC" w:rsidRDefault="00BC03CC" w:rsidP="00DF6FD7">
            <w:pPr>
              <w:autoSpaceDE w:val="0"/>
              <w:autoSpaceDN w:val="0"/>
              <w:adjustRightInd w:val="0"/>
              <w:rPr>
                <w:color w:val="000000"/>
                <w:sz w:val="2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C03CC" w:rsidRDefault="00BC03CC" w:rsidP="00DF6FD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C03CC" w:rsidRDefault="00BC03CC" w:rsidP="00DF6FD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C03CC" w:rsidRDefault="00BC03CC" w:rsidP="00DF6FD7">
            <w:pPr>
              <w:autoSpaceDE w:val="0"/>
              <w:autoSpaceDN w:val="0"/>
              <w:adjustRightInd w:val="0"/>
              <w:rPr>
                <w:rFonts w:ascii="sans-serif" w:hAnsi="sans-serif" w:cs="sans-serif"/>
                <w:color w:val="000000"/>
                <w:szCs w:val="24"/>
              </w:rPr>
            </w:pPr>
          </w:p>
        </w:tc>
      </w:tr>
      <w:tr w:rsidR="00BC03CC" w:rsidTr="00DF6FD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C03CC" w:rsidRDefault="00BC03CC" w:rsidP="00DF6FD7">
            <w:pPr>
              <w:autoSpaceDE w:val="0"/>
              <w:autoSpaceDN w:val="0"/>
              <w:adjustRightInd w:val="0"/>
              <w:rPr>
                <w:b/>
                <w:bCs/>
                <w:color w:val="000000"/>
                <w:sz w:val="20"/>
              </w:rPr>
            </w:pPr>
            <w:r>
              <w:rPr>
                <w:b/>
                <w:color w:val="000000"/>
                <w:sz w:val="20"/>
              </w:rPr>
              <w:t>Atzinumu sniedza</w:t>
            </w:r>
          </w:p>
          <w:p w:rsidR="00BC03CC" w:rsidRDefault="00BC03CC" w:rsidP="00DF6FD7">
            <w:pPr>
              <w:autoSpaceDE w:val="0"/>
              <w:autoSpaceDN w:val="0"/>
              <w:adjustRightInd w:val="0"/>
              <w:rPr>
                <w:color w:val="000000"/>
                <w:sz w:val="20"/>
              </w:rPr>
            </w:pPr>
            <w:r>
              <w:rPr>
                <w:color w:val="000000"/>
                <w:sz w:val="20"/>
              </w:rPr>
              <w:t>       Datums, kad paziņoja plenārsēdē</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C03CC" w:rsidRDefault="00BC03CC" w:rsidP="00DF6FD7">
            <w:pPr>
              <w:autoSpaceDE w:val="0"/>
              <w:autoSpaceDN w:val="0"/>
              <w:adjustRightInd w:val="0"/>
              <w:rPr>
                <w:color w:val="000000"/>
                <w:sz w:val="20"/>
              </w:rPr>
            </w:pPr>
            <w:r>
              <w:rPr>
                <w:color w:val="000000"/>
                <w:sz w:val="20"/>
              </w:rPr>
              <w:t>ENVI</w:t>
            </w:r>
          </w:p>
          <w:p w:rsidR="00BC03CC" w:rsidRDefault="00BC03CC" w:rsidP="00DF6FD7">
            <w:pPr>
              <w:autoSpaceDE w:val="0"/>
              <w:autoSpaceDN w:val="0"/>
              <w:adjustRightInd w:val="0"/>
              <w:rPr>
                <w:color w:val="000000"/>
                <w:sz w:val="20"/>
              </w:rPr>
            </w:pPr>
            <w:r>
              <w:rPr>
                <w:color w:val="000000"/>
                <w:sz w:val="20"/>
              </w:rPr>
              <w:t>24.11.2016</w:t>
            </w:r>
          </w:p>
        </w:tc>
      </w:tr>
      <w:tr w:rsidR="00BC03CC" w:rsidTr="00DF6FD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C03CC" w:rsidRDefault="00BC03CC" w:rsidP="00DF6FD7">
            <w:pPr>
              <w:autoSpaceDE w:val="0"/>
              <w:autoSpaceDN w:val="0"/>
              <w:adjustRightInd w:val="0"/>
              <w:rPr>
                <w:b/>
                <w:bCs/>
                <w:color w:val="000000"/>
                <w:sz w:val="20"/>
              </w:rPr>
            </w:pPr>
            <w:r>
              <w:rPr>
                <w:b/>
                <w:color w:val="000000"/>
                <w:sz w:val="20"/>
              </w:rPr>
              <w:t>Atzinumu sagatavoja</w:t>
            </w:r>
          </w:p>
          <w:p w:rsidR="00BC03CC" w:rsidRDefault="00BC03CC" w:rsidP="00DF6FD7">
            <w:pPr>
              <w:autoSpaceDE w:val="0"/>
              <w:autoSpaceDN w:val="0"/>
              <w:adjustRightInd w:val="0"/>
              <w:rPr>
                <w:color w:val="000000"/>
                <w:sz w:val="20"/>
              </w:rPr>
            </w:pPr>
            <w:r>
              <w:rPr>
                <w:color w:val="000000"/>
                <w:sz w:val="20"/>
              </w:rPr>
              <w:t>       Iecelšanas datums</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C03CC" w:rsidRDefault="00BC03CC" w:rsidP="00DF6FD7">
            <w:pPr>
              <w:autoSpaceDE w:val="0"/>
              <w:autoSpaceDN w:val="0"/>
              <w:adjustRightInd w:val="0"/>
              <w:rPr>
                <w:color w:val="000000"/>
                <w:sz w:val="20"/>
              </w:rPr>
            </w:pPr>
            <w:r>
              <w:rPr>
                <w:color w:val="000000"/>
                <w:sz w:val="20"/>
              </w:rPr>
              <w:t>Bart Staes</w:t>
            </w:r>
          </w:p>
          <w:p w:rsidR="00BC03CC" w:rsidRDefault="00BC03CC" w:rsidP="00DF6FD7">
            <w:pPr>
              <w:autoSpaceDE w:val="0"/>
              <w:autoSpaceDN w:val="0"/>
              <w:adjustRightInd w:val="0"/>
              <w:rPr>
                <w:color w:val="000000"/>
                <w:sz w:val="20"/>
              </w:rPr>
            </w:pPr>
            <w:r>
              <w:rPr>
                <w:color w:val="000000"/>
                <w:sz w:val="20"/>
              </w:rPr>
              <w:t>10.11.2016</w:t>
            </w:r>
          </w:p>
        </w:tc>
      </w:tr>
      <w:tr w:rsidR="00BC03CC" w:rsidTr="00DF6FD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C03CC" w:rsidRDefault="00BC03CC" w:rsidP="00DF6FD7">
            <w:pPr>
              <w:autoSpaceDE w:val="0"/>
              <w:autoSpaceDN w:val="0"/>
              <w:adjustRightInd w:val="0"/>
              <w:rPr>
                <w:b/>
                <w:bCs/>
                <w:color w:val="000000"/>
                <w:sz w:val="20"/>
              </w:rPr>
            </w:pPr>
            <w:r>
              <w:rPr>
                <w:b/>
                <w:color w:val="000000"/>
                <w:sz w:val="20"/>
              </w:rPr>
              <w:t>Pieņemšanas datums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C03CC" w:rsidRDefault="00BC03CC" w:rsidP="00DF6FD7">
            <w:pPr>
              <w:autoSpaceDE w:val="0"/>
              <w:autoSpaceDN w:val="0"/>
              <w:adjustRightInd w:val="0"/>
              <w:rPr>
                <w:color w:val="000000"/>
                <w:sz w:val="20"/>
              </w:rPr>
            </w:pPr>
            <w:r>
              <w:rPr>
                <w:color w:val="000000"/>
                <w:sz w:val="20"/>
              </w:rPr>
              <w:t>12.1.2017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C03CC" w:rsidRDefault="00BC03CC" w:rsidP="00DF6FD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C03CC" w:rsidRDefault="00BC03CC" w:rsidP="00DF6FD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C03CC" w:rsidRDefault="00BC03CC" w:rsidP="00DF6FD7">
            <w:pPr>
              <w:autoSpaceDE w:val="0"/>
              <w:autoSpaceDN w:val="0"/>
              <w:adjustRightInd w:val="0"/>
              <w:rPr>
                <w:rFonts w:ascii="sans-serif" w:hAnsi="sans-serif" w:cs="sans-serif"/>
                <w:color w:val="000000"/>
                <w:szCs w:val="24"/>
              </w:rPr>
            </w:pPr>
          </w:p>
        </w:tc>
      </w:tr>
      <w:tr w:rsidR="00BC03CC" w:rsidTr="00DF6FD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C03CC" w:rsidRDefault="00BC03CC" w:rsidP="00DF6FD7">
            <w:pPr>
              <w:autoSpaceDE w:val="0"/>
              <w:autoSpaceDN w:val="0"/>
              <w:adjustRightInd w:val="0"/>
              <w:rPr>
                <w:b/>
                <w:bCs/>
                <w:color w:val="000000"/>
                <w:sz w:val="20"/>
              </w:rPr>
            </w:pPr>
            <w:r>
              <w:rPr>
                <w:b/>
                <w:color w:val="000000"/>
                <w:sz w:val="20"/>
              </w:rPr>
              <w:t>Galīgais balsojums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C03CC" w:rsidRDefault="00BC03CC" w:rsidP="00DF6FD7">
            <w:pPr>
              <w:autoSpaceDE w:val="0"/>
              <w:autoSpaceDN w:val="0"/>
              <w:adjustRightInd w:val="0"/>
              <w:rPr>
                <w:color w:val="000000"/>
                <w:sz w:val="20"/>
              </w:rPr>
            </w:pPr>
            <w:r>
              <w:rPr>
                <w:color w:val="000000"/>
                <w:sz w:val="20"/>
              </w:rPr>
              <w:t>+:</w:t>
            </w:r>
          </w:p>
          <w:p w:rsidR="00BC03CC" w:rsidRDefault="00BC03CC" w:rsidP="00DF6FD7">
            <w:pPr>
              <w:autoSpaceDE w:val="0"/>
              <w:autoSpaceDN w:val="0"/>
              <w:adjustRightInd w:val="0"/>
              <w:rPr>
                <w:color w:val="000000"/>
                <w:sz w:val="20"/>
              </w:rPr>
            </w:pPr>
            <w:r>
              <w:rPr>
                <w:color w:val="000000"/>
                <w:sz w:val="20"/>
              </w:rPr>
              <w:t>–:</w:t>
            </w:r>
          </w:p>
          <w:p w:rsidR="00BC03CC" w:rsidRDefault="00BC03CC" w:rsidP="00DF6FD7">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C03CC" w:rsidRDefault="00BC03CC" w:rsidP="00DF6FD7">
            <w:pPr>
              <w:autoSpaceDE w:val="0"/>
              <w:autoSpaceDN w:val="0"/>
              <w:adjustRightInd w:val="0"/>
              <w:rPr>
                <w:color w:val="000000"/>
                <w:sz w:val="20"/>
              </w:rPr>
            </w:pPr>
            <w:r>
              <w:rPr>
                <w:color w:val="000000"/>
                <w:sz w:val="20"/>
              </w:rPr>
              <w:t>40</w:t>
            </w:r>
          </w:p>
          <w:p w:rsidR="00BC03CC" w:rsidRDefault="00BC03CC" w:rsidP="00DF6FD7">
            <w:pPr>
              <w:autoSpaceDE w:val="0"/>
              <w:autoSpaceDN w:val="0"/>
              <w:adjustRightInd w:val="0"/>
              <w:rPr>
                <w:color w:val="000000"/>
                <w:sz w:val="20"/>
              </w:rPr>
            </w:pPr>
            <w:r>
              <w:rPr>
                <w:color w:val="000000"/>
                <w:sz w:val="20"/>
              </w:rPr>
              <w:t>24</w:t>
            </w:r>
          </w:p>
          <w:p w:rsidR="00BC03CC" w:rsidRDefault="00BC03CC" w:rsidP="00DF6FD7">
            <w:pPr>
              <w:autoSpaceDE w:val="0"/>
              <w:autoSpaceDN w:val="0"/>
              <w:adjustRightInd w:val="0"/>
              <w:rPr>
                <w:color w:val="000000"/>
                <w:sz w:val="20"/>
              </w:rPr>
            </w:pPr>
            <w:r>
              <w:rPr>
                <w:color w:val="000000"/>
                <w:sz w:val="20"/>
              </w:rPr>
              <w:t>1</w:t>
            </w:r>
          </w:p>
        </w:tc>
      </w:tr>
      <w:tr w:rsidR="00BC03CC" w:rsidTr="00DF6FD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C03CC" w:rsidRDefault="00BC03CC" w:rsidP="00DF6FD7">
            <w:pPr>
              <w:autoSpaceDE w:val="0"/>
              <w:autoSpaceDN w:val="0"/>
              <w:adjustRightInd w:val="0"/>
              <w:rPr>
                <w:b/>
                <w:bCs/>
                <w:color w:val="000000"/>
                <w:sz w:val="20"/>
              </w:rPr>
            </w:pPr>
            <w:r>
              <w:rPr>
                <w:b/>
                <w:color w:val="000000"/>
                <w:sz w:val="20"/>
              </w:rPr>
              <w:t>Komitejas locekļi, kas bija klāt galīgajā balsošanā</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C03CC" w:rsidRDefault="00BC03CC" w:rsidP="00DF6FD7">
            <w:pPr>
              <w:autoSpaceDE w:val="0"/>
              <w:autoSpaceDN w:val="0"/>
              <w:adjustRightInd w:val="0"/>
              <w:rPr>
                <w:color w:val="000000"/>
                <w:sz w:val="20"/>
              </w:rPr>
            </w:pPr>
            <w:r>
              <w:rPr>
                <w:color w:val="000000"/>
                <w:sz w:val="20"/>
              </w:rPr>
              <w:t>Margrete Auken, Pilar Ayuso, Zoltán Balczó, Ivo Belet, Simona Bonafè, Biljana Borzan, Lynn Boylan, Birgit Collin-Langen, Mireille D’Ornano, Miriam Dalli, Angélique Delahaye, Jørn Dohrmann, Ian Duncan, Stefan Eck, Bas Eickhout, Francesc Gambús, Elisabetta Gardini, Gerben-Jan Gerbrandy, Julie Girling, Sylvie Goddyn, Françoise Grossetête, György Hölvényi, Anneli Jäätteenmäki, Jean-François Jalkh, Benedek Jávor, Kateřina Konečná, Giovanni La Via, Peter Liese, Norbert Lins, Valentinas Mazuronis, Miroslav Mikolášik, Massimo Paolucci, Gilles Pargneaux, Bolesław G. Piecha, Pavel Poc, Frédérique Ries, Michèle Rivasi, Annie Schreijer-Pierik, Claudiu Ciprian Tănăsescu, Ivica Tolić, Nils Torvalds, Tiemo Wölken, Damiano Zoffoli</w:t>
            </w:r>
          </w:p>
        </w:tc>
      </w:tr>
      <w:tr w:rsidR="00BC03CC" w:rsidTr="00DF6FD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C03CC" w:rsidRDefault="00BC03CC" w:rsidP="00DF6FD7">
            <w:pPr>
              <w:autoSpaceDE w:val="0"/>
              <w:autoSpaceDN w:val="0"/>
              <w:adjustRightInd w:val="0"/>
              <w:rPr>
                <w:b/>
                <w:bCs/>
                <w:color w:val="000000"/>
                <w:sz w:val="20"/>
              </w:rPr>
            </w:pPr>
            <w:r>
              <w:rPr>
                <w:b/>
                <w:color w:val="000000"/>
                <w:sz w:val="20"/>
              </w:rPr>
              <w:t>Aizstājēji, kas bija klāt galīgajā balsošanā</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C03CC" w:rsidRDefault="00BC03CC" w:rsidP="00DF6FD7">
            <w:pPr>
              <w:autoSpaceDE w:val="0"/>
              <w:autoSpaceDN w:val="0"/>
              <w:adjustRightInd w:val="0"/>
              <w:rPr>
                <w:color w:val="000000"/>
                <w:sz w:val="20"/>
              </w:rPr>
            </w:pPr>
            <w:r>
              <w:rPr>
                <w:color w:val="000000"/>
                <w:sz w:val="20"/>
              </w:rPr>
              <w:t>Guillaume Balas, Nicola Caputo, Albert Deß, Herbert Dorfmann, Anne-Marie Mineur, Gabriele Preuß, Jasenko Selimovic, Bart Staes, Tibor Szanyi, Mihai Ţurcanu, Tom Vandenkendelaere</w:t>
            </w:r>
          </w:p>
        </w:tc>
      </w:tr>
      <w:tr w:rsidR="00BC03CC" w:rsidTr="00DF6FD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C03CC" w:rsidRDefault="00BC03CC" w:rsidP="00DF6FD7">
            <w:pPr>
              <w:autoSpaceDE w:val="0"/>
              <w:autoSpaceDN w:val="0"/>
              <w:adjustRightInd w:val="0"/>
              <w:rPr>
                <w:b/>
                <w:bCs/>
                <w:color w:val="000000"/>
                <w:sz w:val="20"/>
              </w:rPr>
            </w:pPr>
            <w:r>
              <w:rPr>
                <w:b/>
                <w:color w:val="000000"/>
                <w:sz w:val="20"/>
              </w:rPr>
              <w:t>Aizstājēji (200. panta 2. punkts), kas bija klāt galīgajā balsošanā</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C03CC" w:rsidRDefault="00BC03CC" w:rsidP="00DF6FD7">
            <w:pPr>
              <w:autoSpaceDE w:val="0"/>
              <w:autoSpaceDN w:val="0"/>
              <w:adjustRightInd w:val="0"/>
              <w:rPr>
                <w:color w:val="000000"/>
                <w:sz w:val="20"/>
              </w:rPr>
            </w:pPr>
            <w:r>
              <w:rPr>
                <w:color w:val="000000"/>
                <w:sz w:val="20"/>
              </w:rPr>
              <w:t>Burkhard Balz, Paul Brannen, Soledad Cabezón Ruiz, Nessa Childers, Jussi Halla-aho, Heidi Hautala, Anja Hazekamp, Sajjad Karim, Sorin Moisă, Evelyn Regner, Jana Žitňanská</w:t>
            </w:r>
          </w:p>
        </w:tc>
      </w:tr>
    </w:tbl>
    <w:p w:rsidR="00BC03CC" w:rsidRPr="00EF1148" w:rsidRDefault="00BC03CC" w:rsidP="00BC03CC"/>
    <w:p w:rsidR="00BC03CC" w:rsidRPr="00E27849" w:rsidRDefault="00BC03CC" w:rsidP="00BC03CC">
      <w:r>
        <w:br w:type="page"/>
      </w:r>
    </w:p>
    <w:p w:rsidR="005E7C81" w:rsidRDefault="005E7C81" w:rsidP="005E7C81">
      <w:pPr>
        <w:pStyle w:val="PageHeading"/>
      </w:pPr>
      <w:bookmarkStart w:id="20" w:name="_Toc473623001"/>
      <w:bookmarkStart w:id="21" w:name="_Toc474432001"/>
      <w:r>
        <w:t>ATBILDĪGĀS KOMITEJAS PROCEDŪRA</w:t>
      </w:r>
      <w:bookmarkEnd w:id="20"/>
      <w:bookmarkEnd w:id="21"/>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5E7C8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E7C81" w:rsidRDefault="005E7C81">
            <w:pPr>
              <w:autoSpaceDE w:val="0"/>
              <w:autoSpaceDN w:val="0"/>
              <w:adjustRightInd w:val="0"/>
              <w:rPr>
                <w:b/>
                <w:bCs/>
                <w:color w:val="000000"/>
                <w:sz w:val="20"/>
              </w:rPr>
            </w:pPr>
            <w:r>
              <w:rPr>
                <w:b/>
                <w:color w:val="000000"/>
                <w:sz w:val="20"/>
              </w:rPr>
              <w:t>Virsraksts</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E7C81" w:rsidRDefault="005E7C81">
            <w:pPr>
              <w:autoSpaceDE w:val="0"/>
              <w:autoSpaceDN w:val="0"/>
              <w:adjustRightInd w:val="0"/>
              <w:rPr>
                <w:color w:val="000000"/>
                <w:sz w:val="20"/>
              </w:rPr>
            </w:pPr>
            <w:r>
              <w:rPr>
                <w:color w:val="000000"/>
                <w:sz w:val="20"/>
              </w:rPr>
              <w:t>Visaptveroša ekonomikas un tirdzniecības nolīguma noslēgšana starp Kanādu, no vienas puses, un Eiropas Savienību un tās dalībvalstīm, no otras puses</w:t>
            </w:r>
          </w:p>
        </w:tc>
      </w:tr>
      <w:tr w:rsidR="005E7C8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E7C81" w:rsidRDefault="005E7C81">
            <w:pPr>
              <w:autoSpaceDE w:val="0"/>
              <w:autoSpaceDN w:val="0"/>
              <w:adjustRightInd w:val="0"/>
              <w:rPr>
                <w:b/>
                <w:bCs/>
                <w:color w:val="000000"/>
                <w:sz w:val="20"/>
              </w:rPr>
            </w:pPr>
            <w:r>
              <w:rPr>
                <w:b/>
                <w:color w:val="000000"/>
                <w:sz w:val="20"/>
              </w:rPr>
              <w:t>Atsauces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E7C81" w:rsidRDefault="005E7C81">
            <w:pPr>
              <w:autoSpaceDE w:val="0"/>
              <w:autoSpaceDN w:val="0"/>
              <w:adjustRightInd w:val="0"/>
              <w:rPr>
                <w:color w:val="000000"/>
                <w:sz w:val="20"/>
              </w:rPr>
            </w:pPr>
            <w:r>
              <w:rPr>
                <w:color w:val="000000"/>
                <w:sz w:val="20"/>
              </w:rPr>
              <w:t>10975/2016 – C8-0438/2016 – COM(2016)0443 – 2016/0205(NLE)</w:t>
            </w:r>
          </w:p>
        </w:tc>
      </w:tr>
      <w:tr w:rsidR="005E7C8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E7C81" w:rsidRDefault="005E7C81">
            <w:pPr>
              <w:autoSpaceDE w:val="0"/>
              <w:autoSpaceDN w:val="0"/>
              <w:adjustRightInd w:val="0"/>
              <w:rPr>
                <w:b/>
                <w:bCs/>
                <w:color w:val="000000"/>
                <w:sz w:val="20"/>
              </w:rPr>
            </w:pPr>
            <w:r>
              <w:rPr>
                <w:b/>
                <w:color w:val="000000"/>
                <w:sz w:val="20"/>
              </w:rPr>
              <w:t>Apspriešanās / piekrišanas pieprasījuma datums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E7C81" w:rsidRDefault="005E7C81">
            <w:pPr>
              <w:autoSpaceDE w:val="0"/>
              <w:autoSpaceDN w:val="0"/>
              <w:adjustRightInd w:val="0"/>
              <w:rPr>
                <w:color w:val="000000"/>
                <w:sz w:val="20"/>
              </w:rPr>
            </w:pPr>
            <w:r>
              <w:rPr>
                <w:color w:val="000000"/>
                <w:sz w:val="20"/>
              </w:rPr>
              <w:t>31.10.2016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E7C81" w:rsidRDefault="005E7C8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E7C81" w:rsidRDefault="005E7C8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E7C81" w:rsidRDefault="005E7C81">
            <w:pPr>
              <w:autoSpaceDE w:val="0"/>
              <w:autoSpaceDN w:val="0"/>
              <w:adjustRightInd w:val="0"/>
              <w:rPr>
                <w:rFonts w:ascii="sans-serif" w:hAnsi="sans-serif" w:cs="sans-serif"/>
                <w:color w:val="000000"/>
                <w:szCs w:val="24"/>
              </w:rPr>
            </w:pPr>
          </w:p>
        </w:tc>
      </w:tr>
      <w:tr w:rsidR="005E7C8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E7C81" w:rsidRDefault="005E7C81">
            <w:pPr>
              <w:autoSpaceDE w:val="0"/>
              <w:autoSpaceDN w:val="0"/>
              <w:adjustRightInd w:val="0"/>
              <w:rPr>
                <w:b/>
                <w:bCs/>
                <w:color w:val="000000"/>
                <w:sz w:val="20"/>
              </w:rPr>
            </w:pPr>
            <w:r>
              <w:rPr>
                <w:b/>
                <w:color w:val="000000"/>
                <w:sz w:val="20"/>
              </w:rPr>
              <w:t>Atbildīgā komiteja</w:t>
            </w:r>
          </w:p>
          <w:p w:rsidR="005E7C81" w:rsidRDefault="005E7C81">
            <w:pPr>
              <w:autoSpaceDE w:val="0"/>
              <w:autoSpaceDN w:val="0"/>
              <w:adjustRightInd w:val="0"/>
              <w:rPr>
                <w:color w:val="000000"/>
                <w:sz w:val="20"/>
              </w:rPr>
            </w:pPr>
            <w:r>
              <w:rPr>
                <w:color w:val="000000"/>
                <w:sz w:val="20"/>
              </w:rPr>
              <w:t>       Datums, kad paziņoja plenārsēdē</w:t>
            </w:r>
          </w:p>
        </w:tc>
        <w:tc>
          <w:tcPr>
            <w:tcW w:w="1530" w:type="dxa"/>
            <w:tcBorders>
              <w:top w:val="nil"/>
              <w:left w:val="nil"/>
              <w:bottom w:val="single" w:sz="8" w:space="0" w:color="000000"/>
              <w:right w:val="nil"/>
            </w:tcBorders>
            <w:tcMar>
              <w:top w:w="79" w:type="dxa"/>
              <w:left w:w="79" w:type="dxa"/>
              <w:bottom w:w="79" w:type="dxa"/>
              <w:right w:w="79" w:type="dxa"/>
            </w:tcMar>
          </w:tcPr>
          <w:p w:rsidR="005E7C81" w:rsidRDefault="005E7C81">
            <w:pPr>
              <w:autoSpaceDE w:val="0"/>
              <w:autoSpaceDN w:val="0"/>
              <w:adjustRightInd w:val="0"/>
              <w:rPr>
                <w:color w:val="000000"/>
                <w:sz w:val="20"/>
              </w:rPr>
            </w:pPr>
            <w:r>
              <w:rPr>
                <w:color w:val="000000"/>
                <w:sz w:val="20"/>
              </w:rPr>
              <w:t>INTA</w:t>
            </w:r>
          </w:p>
          <w:p w:rsidR="005E7C81" w:rsidRDefault="005E7C81">
            <w:pPr>
              <w:autoSpaceDE w:val="0"/>
              <w:autoSpaceDN w:val="0"/>
              <w:adjustRightInd w:val="0"/>
              <w:rPr>
                <w:color w:val="000000"/>
                <w:sz w:val="20"/>
              </w:rPr>
            </w:pPr>
            <w:r>
              <w:rPr>
                <w:color w:val="000000"/>
                <w:sz w:val="20"/>
              </w:rPr>
              <w:t>21.11.2016</w:t>
            </w:r>
          </w:p>
        </w:tc>
        <w:tc>
          <w:tcPr>
            <w:tcW w:w="1474" w:type="dxa"/>
            <w:tcBorders>
              <w:top w:val="nil"/>
              <w:left w:val="nil"/>
              <w:bottom w:val="single" w:sz="8" w:space="0" w:color="000000"/>
              <w:right w:val="nil"/>
            </w:tcBorders>
            <w:tcMar>
              <w:top w:w="79" w:type="dxa"/>
              <w:left w:w="79" w:type="dxa"/>
              <w:bottom w:w="79" w:type="dxa"/>
              <w:right w:w="79" w:type="dxa"/>
            </w:tcMar>
          </w:tcPr>
          <w:p w:rsidR="005E7C81" w:rsidRDefault="005E7C81">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5E7C81" w:rsidRDefault="005E7C81">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5E7C81" w:rsidRDefault="005E7C81">
            <w:pPr>
              <w:autoSpaceDE w:val="0"/>
              <w:autoSpaceDN w:val="0"/>
              <w:adjustRightInd w:val="0"/>
              <w:rPr>
                <w:rFonts w:ascii="sans-serif" w:hAnsi="sans-serif" w:cs="sans-serif"/>
                <w:color w:val="000000"/>
                <w:szCs w:val="24"/>
              </w:rPr>
            </w:pPr>
          </w:p>
        </w:tc>
      </w:tr>
      <w:tr w:rsidR="005E7C8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E7C81" w:rsidRDefault="005E7C81">
            <w:pPr>
              <w:autoSpaceDE w:val="0"/>
              <w:autoSpaceDN w:val="0"/>
              <w:adjustRightInd w:val="0"/>
              <w:rPr>
                <w:b/>
                <w:bCs/>
                <w:color w:val="000000"/>
                <w:sz w:val="20"/>
              </w:rPr>
            </w:pPr>
            <w:r>
              <w:rPr>
                <w:b/>
                <w:color w:val="000000"/>
                <w:sz w:val="20"/>
              </w:rPr>
              <w:t>Komitejas, kurām lūgts sniegt atzinumu</w:t>
            </w:r>
          </w:p>
          <w:p w:rsidR="005E7C81" w:rsidRDefault="005E7C81">
            <w:pPr>
              <w:autoSpaceDE w:val="0"/>
              <w:autoSpaceDN w:val="0"/>
              <w:adjustRightInd w:val="0"/>
              <w:rPr>
                <w:color w:val="000000"/>
                <w:sz w:val="20"/>
              </w:rPr>
            </w:pPr>
            <w:r>
              <w:rPr>
                <w:color w:val="000000"/>
                <w:sz w:val="20"/>
              </w:rPr>
              <w:t>       Datums, kad paziņoja plenārsēdē</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E7C81" w:rsidRDefault="005E7C81">
            <w:pPr>
              <w:autoSpaceDE w:val="0"/>
              <w:autoSpaceDN w:val="0"/>
              <w:adjustRightInd w:val="0"/>
              <w:rPr>
                <w:color w:val="000000"/>
                <w:sz w:val="20"/>
              </w:rPr>
            </w:pPr>
            <w:r>
              <w:rPr>
                <w:color w:val="000000"/>
                <w:sz w:val="20"/>
              </w:rPr>
              <w:t>AFET</w:t>
            </w:r>
          </w:p>
          <w:p w:rsidR="005E7C81" w:rsidRDefault="005E7C81">
            <w:pPr>
              <w:autoSpaceDE w:val="0"/>
              <w:autoSpaceDN w:val="0"/>
              <w:adjustRightInd w:val="0"/>
              <w:rPr>
                <w:color w:val="000000"/>
                <w:sz w:val="20"/>
              </w:rPr>
            </w:pPr>
            <w:r>
              <w:rPr>
                <w:color w:val="000000"/>
                <w:sz w:val="20"/>
              </w:rPr>
              <w:t>21.11.2016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E7C81" w:rsidRDefault="005E7C81">
            <w:pPr>
              <w:autoSpaceDE w:val="0"/>
              <w:autoSpaceDN w:val="0"/>
              <w:adjustRightInd w:val="0"/>
              <w:rPr>
                <w:color w:val="000000"/>
                <w:sz w:val="20"/>
              </w:rPr>
            </w:pPr>
            <w:r>
              <w:rPr>
                <w:color w:val="000000"/>
                <w:sz w:val="20"/>
              </w:rPr>
              <w:t>EMPL</w:t>
            </w:r>
          </w:p>
          <w:p w:rsidR="005E7C81" w:rsidRDefault="005E7C81">
            <w:pPr>
              <w:autoSpaceDE w:val="0"/>
              <w:autoSpaceDN w:val="0"/>
              <w:adjustRightInd w:val="0"/>
              <w:rPr>
                <w:color w:val="000000"/>
                <w:sz w:val="20"/>
              </w:rPr>
            </w:pPr>
            <w:r>
              <w:rPr>
                <w:color w:val="000000"/>
                <w:sz w:val="20"/>
              </w:rPr>
              <w:t>24.11.2016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E7C81" w:rsidRDefault="005E7C81">
            <w:pPr>
              <w:autoSpaceDE w:val="0"/>
              <w:autoSpaceDN w:val="0"/>
              <w:adjustRightInd w:val="0"/>
              <w:rPr>
                <w:color w:val="000000"/>
                <w:sz w:val="20"/>
              </w:rPr>
            </w:pPr>
            <w:r>
              <w:rPr>
                <w:color w:val="000000"/>
                <w:sz w:val="20"/>
              </w:rPr>
              <w:t>ENVI</w:t>
            </w:r>
          </w:p>
          <w:p w:rsidR="005E7C81" w:rsidRDefault="005E7C81">
            <w:pPr>
              <w:autoSpaceDE w:val="0"/>
              <w:autoSpaceDN w:val="0"/>
              <w:adjustRightInd w:val="0"/>
              <w:rPr>
                <w:color w:val="000000"/>
                <w:sz w:val="20"/>
              </w:rPr>
            </w:pPr>
            <w:r>
              <w:rPr>
                <w:color w:val="000000"/>
                <w:sz w:val="20"/>
              </w:rPr>
              <w:t>24.11.2016</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E7C81" w:rsidRDefault="005E7C81">
            <w:pPr>
              <w:autoSpaceDE w:val="0"/>
              <w:autoSpaceDN w:val="0"/>
              <w:adjustRightInd w:val="0"/>
              <w:rPr>
                <w:rFonts w:ascii="sans-serif" w:hAnsi="sans-serif" w:cs="sans-serif"/>
                <w:color w:val="000000"/>
                <w:szCs w:val="24"/>
              </w:rPr>
            </w:pPr>
          </w:p>
        </w:tc>
      </w:tr>
      <w:tr w:rsidR="005E7C8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E7C81" w:rsidRDefault="005E7C81">
            <w:pPr>
              <w:autoSpaceDE w:val="0"/>
              <w:autoSpaceDN w:val="0"/>
              <w:adjustRightInd w:val="0"/>
              <w:rPr>
                <w:b/>
                <w:bCs/>
                <w:color w:val="000000"/>
                <w:sz w:val="20"/>
              </w:rPr>
            </w:pPr>
            <w:r>
              <w:rPr>
                <w:b/>
                <w:color w:val="000000"/>
                <w:sz w:val="20"/>
              </w:rPr>
              <w:t>Referenti</w:t>
            </w:r>
          </w:p>
          <w:p w:rsidR="005E7C81" w:rsidRDefault="005E7C81">
            <w:pPr>
              <w:autoSpaceDE w:val="0"/>
              <w:autoSpaceDN w:val="0"/>
              <w:adjustRightInd w:val="0"/>
              <w:rPr>
                <w:color w:val="000000"/>
                <w:sz w:val="20"/>
              </w:rPr>
            </w:pPr>
            <w:r>
              <w:rPr>
                <w:color w:val="000000"/>
                <w:sz w:val="20"/>
              </w:rPr>
              <w:t>       Iecelšanas datums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E7C81" w:rsidRDefault="005E7C81">
            <w:pPr>
              <w:autoSpaceDE w:val="0"/>
              <w:autoSpaceDN w:val="0"/>
              <w:adjustRightInd w:val="0"/>
              <w:rPr>
                <w:color w:val="000000"/>
                <w:sz w:val="20"/>
              </w:rPr>
            </w:pPr>
            <w:r>
              <w:rPr>
                <w:color w:val="000000"/>
                <w:sz w:val="20"/>
              </w:rPr>
              <w:t>Artis Pabriks</w:t>
            </w:r>
          </w:p>
          <w:p w:rsidR="005E7C81" w:rsidRDefault="005E7C81">
            <w:pPr>
              <w:autoSpaceDE w:val="0"/>
              <w:autoSpaceDN w:val="0"/>
              <w:adjustRightInd w:val="0"/>
              <w:rPr>
                <w:color w:val="000000"/>
                <w:sz w:val="20"/>
              </w:rPr>
            </w:pPr>
            <w:r>
              <w:rPr>
                <w:color w:val="000000"/>
                <w:sz w:val="20"/>
              </w:rPr>
              <w:t>13.7.2016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E7C81" w:rsidRDefault="005E7C8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E7C81" w:rsidRDefault="005E7C8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E7C81" w:rsidRDefault="005E7C81">
            <w:pPr>
              <w:autoSpaceDE w:val="0"/>
              <w:autoSpaceDN w:val="0"/>
              <w:adjustRightInd w:val="0"/>
              <w:rPr>
                <w:rFonts w:ascii="sans-serif" w:hAnsi="sans-serif" w:cs="sans-serif"/>
                <w:color w:val="000000"/>
                <w:szCs w:val="24"/>
              </w:rPr>
            </w:pPr>
          </w:p>
        </w:tc>
      </w:tr>
      <w:tr w:rsidR="005E7C8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E7C81" w:rsidRDefault="005E7C81">
            <w:pPr>
              <w:autoSpaceDE w:val="0"/>
              <w:autoSpaceDN w:val="0"/>
              <w:adjustRightInd w:val="0"/>
              <w:rPr>
                <w:b/>
                <w:bCs/>
                <w:color w:val="000000"/>
                <w:sz w:val="20"/>
              </w:rPr>
            </w:pPr>
            <w:r>
              <w:rPr>
                <w:b/>
                <w:color w:val="000000"/>
                <w:sz w:val="20"/>
              </w:rPr>
              <w:t>Izskatīšana komitejā</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E7C81" w:rsidRDefault="005E7C81">
            <w:pPr>
              <w:autoSpaceDE w:val="0"/>
              <w:autoSpaceDN w:val="0"/>
              <w:adjustRightInd w:val="0"/>
              <w:rPr>
                <w:color w:val="000000"/>
                <w:sz w:val="20"/>
              </w:rPr>
            </w:pPr>
            <w:r>
              <w:rPr>
                <w:color w:val="000000"/>
                <w:sz w:val="20"/>
              </w:rPr>
              <w:t>31.8.2016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E7C81" w:rsidRDefault="005E7C81">
            <w:pPr>
              <w:autoSpaceDE w:val="0"/>
              <w:autoSpaceDN w:val="0"/>
              <w:adjustRightInd w:val="0"/>
              <w:rPr>
                <w:color w:val="000000"/>
                <w:sz w:val="20"/>
              </w:rPr>
            </w:pPr>
            <w:r>
              <w:rPr>
                <w:color w:val="000000"/>
                <w:sz w:val="20"/>
              </w:rPr>
              <w:t>12.10.2016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5E7C81" w:rsidRDefault="005E7C81">
            <w:pPr>
              <w:autoSpaceDE w:val="0"/>
              <w:autoSpaceDN w:val="0"/>
              <w:adjustRightInd w:val="0"/>
              <w:rPr>
                <w:color w:val="000000"/>
                <w:sz w:val="20"/>
              </w:rPr>
            </w:pPr>
            <w:r>
              <w:rPr>
                <w:color w:val="000000"/>
                <w:sz w:val="20"/>
              </w:rPr>
              <w:t>10.11.2016</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E7C81" w:rsidRDefault="005E7C81">
            <w:pPr>
              <w:autoSpaceDE w:val="0"/>
              <w:autoSpaceDN w:val="0"/>
              <w:adjustRightInd w:val="0"/>
              <w:rPr>
                <w:color w:val="000000"/>
                <w:sz w:val="20"/>
              </w:rPr>
            </w:pPr>
            <w:r>
              <w:rPr>
                <w:color w:val="000000"/>
                <w:sz w:val="20"/>
              </w:rPr>
              <w:t>29.11.2016</w:t>
            </w:r>
          </w:p>
        </w:tc>
      </w:tr>
      <w:tr w:rsidR="005E7C8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E7C81" w:rsidRDefault="005E7C81">
            <w:pPr>
              <w:autoSpaceDE w:val="0"/>
              <w:autoSpaceDN w:val="0"/>
              <w:adjustRightInd w:val="0"/>
              <w:rPr>
                <w:rFonts w:ascii="sans-serif" w:hAnsi="sans-serif" w:cs="sans-serif"/>
                <w:color w:val="000000"/>
                <w:szCs w:val="24"/>
              </w:rPr>
            </w:pPr>
          </w:p>
        </w:tc>
        <w:tc>
          <w:tcPr>
            <w:tcW w:w="1530" w:type="dxa"/>
            <w:tcBorders>
              <w:top w:val="nil"/>
              <w:left w:val="nil"/>
              <w:bottom w:val="single" w:sz="8" w:space="0" w:color="000000"/>
              <w:right w:val="nil"/>
            </w:tcBorders>
            <w:tcMar>
              <w:top w:w="79" w:type="dxa"/>
              <w:left w:w="79" w:type="dxa"/>
              <w:bottom w:w="79" w:type="dxa"/>
              <w:right w:w="79" w:type="dxa"/>
            </w:tcMar>
          </w:tcPr>
          <w:p w:rsidR="005E7C81" w:rsidRDefault="005E7C81">
            <w:pPr>
              <w:autoSpaceDE w:val="0"/>
              <w:autoSpaceDN w:val="0"/>
              <w:adjustRightInd w:val="0"/>
              <w:rPr>
                <w:color w:val="000000"/>
                <w:sz w:val="20"/>
              </w:rPr>
            </w:pPr>
            <w:r>
              <w:rPr>
                <w:color w:val="000000"/>
                <w:sz w:val="20"/>
              </w:rPr>
              <w:t>23.1.2017</w:t>
            </w:r>
          </w:p>
        </w:tc>
        <w:tc>
          <w:tcPr>
            <w:tcW w:w="1474" w:type="dxa"/>
            <w:tcBorders>
              <w:top w:val="nil"/>
              <w:left w:val="nil"/>
              <w:bottom w:val="single" w:sz="8" w:space="0" w:color="000000"/>
              <w:right w:val="nil"/>
            </w:tcBorders>
            <w:tcMar>
              <w:top w:w="79" w:type="dxa"/>
              <w:left w:w="79" w:type="dxa"/>
              <w:bottom w:w="79" w:type="dxa"/>
              <w:right w:w="79" w:type="dxa"/>
            </w:tcMar>
          </w:tcPr>
          <w:p w:rsidR="005E7C81" w:rsidRDefault="005E7C81">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5E7C81" w:rsidRDefault="005E7C81">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5E7C81" w:rsidRDefault="005E7C81">
            <w:pPr>
              <w:autoSpaceDE w:val="0"/>
              <w:autoSpaceDN w:val="0"/>
              <w:adjustRightInd w:val="0"/>
              <w:rPr>
                <w:rFonts w:ascii="sans-serif" w:hAnsi="sans-serif" w:cs="sans-serif"/>
                <w:color w:val="000000"/>
                <w:szCs w:val="24"/>
              </w:rPr>
            </w:pPr>
          </w:p>
        </w:tc>
      </w:tr>
      <w:tr w:rsidR="005E7C8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E7C81" w:rsidRDefault="005E7C81">
            <w:pPr>
              <w:autoSpaceDE w:val="0"/>
              <w:autoSpaceDN w:val="0"/>
              <w:adjustRightInd w:val="0"/>
              <w:rPr>
                <w:b/>
                <w:bCs/>
                <w:color w:val="000000"/>
                <w:sz w:val="20"/>
              </w:rPr>
            </w:pPr>
            <w:r>
              <w:rPr>
                <w:b/>
                <w:color w:val="000000"/>
                <w:sz w:val="20"/>
              </w:rPr>
              <w:t>Pieņemšanas datums</w:t>
            </w:r>
          </w:p>
        </w:tc>
        <w:tc>
          <w:tcPr>
            <w:tcW w:w="1530" w:type="dxa"/>
            <w:tcBorders>
              <w:top w:val="nil"/>
              <w:left w:val="nil"/>
              <w:bottom w:val="single" w:sz="8" w:space="0" w:color="000000"/>
              <w:right w:val="nil"/>
            </w:tcBorders>
            <w:tcMar>
              <w:top w:w="79" w:type="dxa"/>
              <w:left w:w="79" w:type="dxa"/>
              <w:bottom w:w="79" w:type="dxa"/>
              <w:right w:w="79" w:type="dxa"/>
            </w:tcMar>
          </w:tcPr>
          <w:p w:rsidR="005E7C81" w:rsidRDefault="005E7C81">
            <w:pPr>
              <w:autoSpaceDE w:val="0"/>
              <w:autoSpaceDN w:val="0"/>
              <w:adjustRightInd w:val="0"/>
              <w:rPr>
                <w:color w:val="000000"/>
                <w:sz w:val="20"/>
              </w:rPr>
            </w:pPr>
            <w:r>
              <w:rPr>
                <w:color w:val="000000"/>
                <w:sz w:val="20"/>
              </w:rPr>
              <w:t>24.1.2017</w:t>
            </w:r>
          </w:p>
        </w:tc>
        <w:tc>
          <w:tcPr>
            <w:tcW w:w="1474" w:type="dxa"/>
            <w:tcBorders>
              <w:top w:val="nil"/>
              <w:left w:val="nil"/>
              <w:bottom w:val="single" w:sz="8" w:space="0" w:color="000000"/>
              <w:right w:val="nil"/>
            </w:tcBorders>
            <w:tcMar>
              <w:top w:w="79" w:type="dxa"/>
              <w:left w:w="79" w:type="dxa"/>
              <w:bottom w:w="79" w:type="dxa"/>
              <w:right w:w="79" w:type="dxa"/>
            </w:tcMar>
          </w:tcPr>
          <w:p w:rsidR="005E7C81" w:rsidRDefault="005E7C81">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5E7C81" w:rsidRDefault="005E7C81">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5E7C81" w:rsidRDefault="005E7C81">
            <w:pPr>
              <w:autoSpaceDE w:val="0"/>
              <w:autoSpaceDN w:val="0"/>
              <w:adjustRightInd w:val="0"/>
              <w:rPr>
                <w:rFonts w:ascii="sans-serif" w:hAnsi="sans-serif" w:cs="sans-serif"/>
                <w:color w:val="000000"/>
                <w:szCs w:val="24"/>
              </w:rPr>
            </w:pPr>
          </w:p>
        </w:tc>
      </w:tr>
      <w:tr w:rsidR="005E7C8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E7C81" w:rsidRDefault="005E7C81">
            <w:pPr>
              <w:autoSpaceDE w:val="0"/>
              <w:autoSpaceDN w:val="0"/>
              <w:adjustRightInd w:val="0"/>
              <w:rPr>
                <w:b/>
                <w:bCs/>
                <w:color w:val="000000"/>
                <w:sz w:val="20"/>
              </w:rPr>
            </w:pPr>
            <w:r>
              <w:rPr>
                <w:b/>
                <w:color w:val="000000"/>
                <w:sz w:val="20"/>
              </w:rPr>
              <w:t>Galīgais balsojums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5E7C81" w:rsidRDefault="005E7C81">
            <w:pPr>
              <w:autoSpaceDE w:val="0"/>
              <w:autoSpaceDN w:val="0"/>
              <w:adjustRightInd w:val="0"/>
              <w:rPr>
                <w:color w:val="000000"/>
                <w:sz w:val="20"/>
              </w:rPr>
            </w:pPr>
            <w:r>
              <w:rPr>
                <w:color w:val="000000"/>
                <w:sz w:val="20"/>
              </w:rPr>
              <w:t>+:</w:t>
            </w:r>
          </w:p>
          <w:p w:rsidR="005E7C81" w:rsidRDefault="005E7C81">
            <w:pPr>
              <w:autoSpaceDE w:val="0"/>
              <w:autoSpaceDN w:val="0"/>
              <w:adjustRightInd w:val="0"/>
              <w:rPr>
                <w:color w:val="000000"/>
                <w:sz w:val="20"/>
              </w:rPr>
            </w:pPr>
            <w:r>
              <w:rPr>
                <w:color w:val="000000"/>
                <w:sz w:val="20"/>
              </w:rPr>
              <w:t>–:</w:t>
            </w:r>
          </w:p>
          <w:p w:rsidR="005E7C81" w:rsidRDefault="005E7C81">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E7C81" w:rsidRDefault="005E7C81">
            <w:pPr>
              <w:autoSpaceDE w:val="0"/>
              <w:autoSpaceDN w:val="0"/>
              <w:adjustRightInd w:val="0"/>
              <w:rPr>
                <w:color w:val="000000"/>
                <w:sz w:val="20"/>
              </w:rPr>
            </w:pPr>
            <w:r>
              <w:rPr>
                <w:color w:val="000000"/>
                <w:sz w:val="20"/>
              </w:rPr>
              <w:t>25</w:t>
            </w:r>
          </w:p>
          <w:p w:rsidR="005E7C81" w:rsidRDefault="005E7C81">
            <w:pPr>
              <w:autoSpaceDE w:val="0"/>
              <w:autoSpaceDN w:val="0"/>
              <w:adjustRightInd w:val="0"/>
              <w:rPr>
                <w:color w:val="000000"/>
                <w:sz w:val="20"/>
              </w:rPr>
            </w:pPr>
            <w:r>
              <w:rPr>
                <w:color w:val="000000"/>
                <w:sz w:val="20"/>
              </w:rPr>
              <w:t>15</w:t>
            </w:r>
          </w:p>
          <w:p w:rsidR="005E7C81" w:rsidRDefault="005E7C81">
            <w:pPr>
              <w:autoSpaceDE w:val="0"/>
              <w:autoSpaceDN w:val="0"/>
              <w:adjustRightInd w:val="0"/>
              <w:rPr>
                <w:color w:val="000000"/>
                <w:sz w:val="20"/>
              </w:rPr>
            </w:pPr>
            <w:r>
              <w:rPr>
                <w:color w:val="000000"/>
                <w:sz w:val="20"/>
              </w:rPr>
              <w:t>1</w:t>
            </w:r>
          </w:p>
        </w:tc>
      </w:tr>
      <w:tr w:rsidR="005E7C8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5E7C81" w:rsidRDefault="005E7C81">
            <w:pPr>
              <w:autoSpaceDE w:val="0"/>
              <w:autoSpaceDN w:val="0"/>
              <w:adjustRightInd w:val="0"/>
              <w:rPr>
                <w:b/>
                <w:bCs/>
                <w:color w:val="000000"/>
                <w:sz w:val="20"/>
              </w:rPr>
            </w:pPr>
            <w:r>
              <w:rPr>
                <w:b/>
                <w:color w:val="000000"/>
                <w:sz w:val="20"/>
              </w:rPr>
              <w:t>Komitejas locekļi, kas bija klāt galīgajā balsošanā</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5E7C81" w:rsidRDefault="005E7C81">
            <w:pPr>
              <w:autoSpaceDE w:val="0"/>
              <w:autoSpaceDN w:val="0"/>
              <w:adjustRightInd w:val="0"/>
              <w:rPr>
                <w:color w:val="000000"/>
                <w:sz w:val="20"/>
              </w:rPr>
            </w:pPr>
            <w:r>
              <w:rPr>
                <w:color w:val="000000"/>
                <w:sz w:val="20"/>
              </w:rPr>
              <w:t>Laima Liucija Andrikienė, Maria Arena, Tiziana Beghin, David Borrelli, David Campbell Bannerman, Salvatore Cicu, Marielle de Sarnez, Santiago Fisas Ayxelà, Christofer Fjellner, Eleonora Forenza, Karoline Graswander-Hainz, Heidi Hautala, Yannick Jadot, Bernd Lange, David Martin, Emmanuel Maurel, Emma McClarkin, Anne-Marie Mineur, Sorin Moisă, Alessia Maria Mosca, Franz Obermayr, Artis Pabriks, Franck Proust, Godelieve Quisthoudt-Rowohl, Inmaculada Rodríguez-Piñero Fernández, Tokia Saïfi, Matteo Salvini, Marietje Schaake, Helmut Scholz, Joachim Schuster, Joachim Starbatty, Adam Szejnfeld, Hannu Takkula, Iuliu Winkler, Jan Zahradil</w:t>
            </w:r>
          </w:p>
        </w:tc>
      </w:tr>
      <w:tr w:rsidR="005E7C8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E7C81" w:rsidRDefault="005E7C81">
            <w:pPr>
              <w:autoSpaceDE w:val="0"/>
              <w:autoSpaceDN w:val="0"/>
              <w:adjustRightInd w:val="0"/>
              <w:rPr>
                <w:b/>
                <w:bCs/>
                <w:color w:val="000000"/>
                <w:sz w:val="20"/>
              </w:rPr>
            </w:pPr>
            <w:r>
              <w:rPr>
                <w:b/>
                <w:color w:val="000000"/>
                <w:sz w:val="20"/>
              </w:rPr>
              <w:t>Aizstājēji, kas bija klāt galīgajā balsošanā</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E7C81" w:rsidRDefault="005E7C81">
            <w:pPr>
              <w:autoSpaceDE w:val="0"/>
              <w:autoSpaceDN w:val="0"/>
              <w:adjustRightInd w:val="0"/>
              <w:rPr>
                <w:color w:val="000000"/>
                <w:sz w:val="20"/>
              </w:rPr>
            </w:pPr>
            <w:r>
              <w:rPr>
                <w:color w:val="000000"/>
                <w:sz w:val="20"/>
              </w:rPr>
              <w:t>Eric Andrieu, Bendt Bendtsen, Edouard Ferrand, Seán Kelly, Ramon Tremosa i Balcells</w:t>
            </w:r>
          </w:p>
        </w:tc>
      </w:tr>
      <w:tr w:rsidR="005E7C8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E7C81" w:rsidRDefault="005E7C81">
            <w:pPr>
              <w:autoSpaceDE w:val="0"/>
              <w:autoSpaceDN w:val="0"/>
              <w:adjustRightInd w:val="0"/>
              <w:rPr>
                <w:b/>
                <w:bCs/>
                <w:color w:val="000000"/>
                <w:sz w:val="20"/>
              </w:rPr>
            </w:pPr>
            <w:r>
              <w:rPr>
                <w:b/>
                <w:color w:val="000000"/>
                <w:sz w:val="20"/>
              </w:rPr>
              <w:t>Aizstājēji (200. panta 2. punkts), kas bija klāt galīgajā balsošanā</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E7C81" w:rsidRDefault="005E7C81">
            <w:pPr>
              <w:autoSpaceDE w:val="0"/>
              <w:autoSpaceDN w:val="0"/>
              <w:adjustRightInd w:val="0"/>
              <w:rPr>
                <w:color w:val="000000"/>
                <w:sz w:val="20"/>
              </w:rPr>
            </w:pPr>
            <w:r>
              <w:rPr>
                <w:color w:val="000000"/>
                <w:sz w:val="20"/>
              </w:rPr>
              <w:t>Laura Agea</w:t>
            </w:r>
          </w:p>
        </w:tc>
      </w:tr>
      <w:tr w:rsidR="005E7C8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5E7C81" w:rsidRDefault="005E7C81">
            <w:pPr>
              <w:autoSpaceDE w:val="0"/>
              <w:autoSpaceDN w:val="0"/>
              <w:adjustRightInd w:val="0"/>
              <w:rPr>
                <w:b/>
                <w:bCs/>
                <w:color w:val="000000"/>
                <w:sz w:val="20"/>
              </w:rPr>
            </w:pPr>
            <w:r>
              <w:rPr>
                <w:b/>
                <w:color w:val="000000"/>
                <w:sz w:val="20"/>
              </w:rPr>
              <w:t>Iesniegšanas datums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5E7C81" w:rsidRDefault="005E7C81">
            <w:pPr>
              <w:autoSpaceDE w:val="0"/>
              <w:autoSpaceDN w:val="0"/>
              <w:adjustRightInd w:val="0"/>
              <w:rPr>
                <w:color w:val="000000"/>
                <w:sz w:val="20"/>
              </w:rPr>
            </w:pPr>
            <w:r>
              <w:rPr>
                <w:color w:val="000000"/>
                <w:sz w:val="20"/>
              </w:rPr>
              <w:t>30.1.2017</w:t>
            </w:r>
          </w:p>
        </w:tc>
      </w:tr>
      <w:bookmarkEnd w:id="16"/>
    </w:tbl>
    <w:p w:rsidR="00BC03CC" w:rsidRPr="00BC03CC" w:rsidRDefault="00BC03CC" w:rsidP="00BC03CC"/>
    <w:p w:rsidR="00BC03CC" w:rsidRDefault="00BC03CC" w:rsidP="00AD5932">
      <w:pPr>
        <w:pStyle w:val="PageHeading"/>
        <w:rPr>
          <w:szCs w:val="24"/>
        </w:rPr>
      </w:pPr>
      <w:r>
        <w:br w:type="page"/>
      </w:r>
      <w:bookmarkStart w:id="22" w:name="_Toc473623002"/>
      <w:bookmarkStart w:id="23" w:name="RollCallPageRR"/>
      <w:bookmarkStart w:id="24" w:name="_Toc474432002"/>
      <w:r>
        <w:t>ATBILDĪGĀS KOMITEJAS</w:t>
      </w:r>
      <w:r>
        <w:br/>
        <w:t>GALĪGAIS BALSOJUMS PĒC SARAKSTA</w:t>
      </w:r>
      <w:bookmarkEnd w:id="22"/>
      <w:bookmarkEnd w:id="24"/>
    </w:p>
    <w:p w:rsidR="00BC03CC" w:rsidRPr="001E7F5C" w:rsidRDefault="00BC03CC" w:rsidP="00BC03CC">
      <w:pPr>
        <w:pStyle w:val="RollCallSubtitle"/>
      </w:pPr>
    </w:p>
    <w:tbl>
      <w:tblPr>
        <w:tblW w:w="9075"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2"/>
        <w:gridCol w:w="7373"/>
      </w:tblGrid>
      <w:tr w:rsidR="00BC03CC" w:rsidRPr="001E7F5C" w:rsidTr="00DF6FD7">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BC03CC" w:rsidRPr="001E7F5C" w:rsidRDefault="00BC03CC" w:rsidP="00DF6FD7">
            <w:pPr>
              <w:spacing w:before="120" w:after="120"/>
              <w:jc w:val="center"/>
              <w:rPr>
                <w:b/>
                <w:snapToGrid w:val="0"/>
                <w:sz w:val="16"/>
                <w:szCs w:val="16"/>
              </w:rPr>
            </w:pPr>
            <w:r>
              <w:rPr>
                <w:b/>
                <w:snapToGrid w:val="0"/>
                <w:sz w:val="16"/>
              </w:rPr>
              <w:t>25</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BC03CC" w:rsidRPr="001E7F5C" w:rsidRDefault="00BC03CC" w:rsidP="00DF6FD7">
            <w:pPr>
              <w:spacing w:before="120" w:after="120"/>
              <w:jc w:val="center"/>
              <w:rPr>
                <w:b/>
                <w:snapToGrid w:val="0"/>
                <w:sz w:val="16"/>
                <w:szCs w:val="16"/>
              </w:rPr>
            </w:pPr>
            <w:r>
              <w:rPr>
                <w:b/>
                <w:snapToGrid w:val="0"/>
                <w:sz w:val="16"/>
              </w:rPr>
              <w:t>+</w:t>
            </w:r>
          </w:p>
        </w:tc>
      </w:tr>
      <w:tr w:rsidR="00BC03CC" w:rsidRPr="001E7F5C" w:rsidTr="00DF6FD7">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vAlign w:val="center"/>
            <w:hideMark/>
          </w:tcPr>
          <w:p w:rsidR="00BC03CC" w:rsidRPr="001E7F5C" w:rsidRDefault="00BC03CC" w:rsidP="00DF6FD7">
            <w:pPr>
              <w:spacing w:before="120" w:after="120"/>
              <w:rPr>
                <w:snapToGrid w:val="0"/>
                <w:sz w:val="16"/>
                <w:szCs w:val="16"/>
              </w:rPr>
            </w:pPr>
            <w:r>
              <w:rPr>
                <w:snapToGrid w:val="0"/>
                <w:sz w:val="16"/>
              </w:rPr>
              <w:t>ALDE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BC03CC" w:rsidRPr="001E7F5C" w:rsidRDefault="00BC03CC" w:rsidP="00DF6FD7">
            <w:pPr>
              <w:spacing w:before="120" w:after="120"/>
              <w:rPr>
                <w:snapToGrid w:val="0"/>
                <w:sz w:val="16"/>
                <w:szCs w:val="16"/>
              </w:rPr>
            </w:pPr>
            <w:r>
              <w:rPr>
                <w:snapToGrid w:val="0"/>
                <w:sz w:val="16"/>
              </w:rPr>
              <w:t>Marietje Schaake, Hannu Takkula, Ramon Tremosa i Balcells</w:t>
            </w:r>
          </w:p>
        </w:tc>
      </w:tr>
      <w:tr w:rsidR="00BC03CC" w:rsidRPr="001E7F5C" w:rsidTr="00DF6FD7">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vAlign w:val="center"/>
            <w:hideMark/>
          </w:tcPr>
          <w:p w:rsidR="00BC03CC" w:rsidRPr="001E7F5C" w:rsidRDefault="00BC03CC" w:rsidP="00DF6FD7">
            <w:pPr>
              <w:spacing w:before="120" w:after="120"/>
              <w:rPr>
                <w:snapToGrid w:val="0"/>
                <w:sz w:val="16"/>
                <w:szCs w:val="16"/>
              </w:rPr>
            </w:pPr>
            <w:r>
              <w:rPr>
                <w:snapToGrid w:val="0"/>
                <w:sz w:val="16"/>
              </w:rPr>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BC03CC" w:rsidRPr="001E7F5C" w:rsidRDefault="00BC03CC" w:rsidP="00DF6FD7">
            <w:pPr>
              <w:spacing w:before="120" w:after="120"/>
              <w:rPr>
                <w:snapToGrid w:val="0"/>
                <w:sz w:val="16"/>
                <w:szCs w:val="16"/>
              </w:rPr>
            </w:pPr>
            <w:r>
              <w:rPr>
                <w:snapToGrid w:val="0"/>
                <w:sz w:val="16"/>
              </w:rPr>
              <w:t>David Campbell Bannerman, Emma McClarkin, Joachim Starbatty, Jan Zahradil</w:t>
            </w:r>
          </w:p>
        </w:tc>
      </w:tr>
      <w:tr w:rsidR="00BC03CC" w:rsidRPr="001E7F5C" w:rsidTr="00DF6FD7">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vAlign w:val="center"/>
            <w:hideMark/>
          </w:tcPr>
          <w:p w:rsidR="00BC03CC" w:rsidRPr="001E7F5C" w:rsidRDefault="00BC03CC" w:rsidP="00DF6FD7">
            <w:pPr>
              <w:spacing w:before="120" w:after="120"/>
              <w:rPr>
                <w:snapToGrid w:val="0"/>
                <w:sz w:val="16"/>
                <w:szCs w:val="16"/>
              </w:rPr>
            </w:pPr>
            <w:r>
              <w:rPr>
                <w:snapToGrid w:val="0"/>
                <w:sz w:val="16"/>
              </w:rPr>
              <w:t>ENF</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BC03CC" w:rsidRPr="001E7F5C" w:rsidRDefault="00BC03CC" w:rsidP="00DF6FD7">
            <w:pPr>
              <w:spacing w:before="120" w:after="120"/>
              <w:rPr>
                <w:snapToGrid w:val="0"/>
                <w:sz w:val="16"/>
                <w:szCs w:val="16"/>
              </w:rPr>
            </w:pPr>
            <w:r>
              <w:rPr>
                <w:snapToGrid w:val="0"/>
                <w:sz w:val="16"/>
              </w:rPr>
              <w:t>Franz Obermayr</w:t>
            </w:r>
          </w:p>
        </w:tc>
      </w:tr>
      <w:tr w:rsidR="00BC03CC" w:rsidRPr="001E7F5C" w:rsidTr="00DF6FD7">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vAlign w:val="center"/>
            <w:hideMark/>
          </w:tcPr>
          <w:p w:rsidR="00BC03CC" w:rsidRPr="001E7F5C" w:rsidRDefault="00BC03CC" w:rsidP="00DF6FD7">
            <w:pPr>
              <w:spacing w:before="120" w:after="120"/>
              <w:rPr>
                <w:snapToGrid w:val="0"/>
                <w:sz w:val="16"/>
                <w:szCs w:val="16"/>
              </w:rPr>
            </w:pPr>
            <w:r>
              <w:rPr>
                <w:snapToGrid w:val="0"/>
                <w:sz w:val="16"/>
              </w:rPr>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BC03CC" w:rsidRPr="001E7F5C" w:rsidRDefault="00BC03CC" w:rsidP="00DF6FD7">
            <w:pPr>
              <w:spacing w:before="120" w:after="120"/>
              <w:rPr>
                <w:snapToGrid w:val="0"/>
                <w:sz w:val="16"/>
                <w:szCs w:val="16"/>
              </w:rPr>
            </w:pPr>
            <w:r>
              <w:rPr>
                <w:snapToGrid w:val="0"/>
                <w:sz w:val="16"/>
              </w:rPr>
              <w:t>Laima Liucija Andrikienė, Bendt Bendtsen, Salvatore Cicu, Santiago Fisas Ayxelà, Christofer Fjellner, Seán Kelly, Artis Pabriks, Franck Proust, Godelieve Quisthoudt-Rowohl, Tokia Saïfi, Adam Szejnfeld, Iuliu Winkler</w:t>
            </w:r>
          </w:p>
        </w:tc>
      </w:tr>
      <w:tr w:rsidR="00BC03CC" w:rsidRPr="001E7F5C" w:rsidTr="00DF6FD7">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vAlign w:val="center"/>
            <w:hideMark/>
          </w:tcPr>
          <w:p w:rsidR="00BC03CC" w:rsidRPr="001E7F5C" w:rsidRDefault="00BC03CC" w:rsidP="00DF6FD7">
            <w:pPr>
              <w:spacing w:before="120" w:after="120"/>
              <w:rPr>
                <w:snapToGrid w:val="0"/>
                <w:sz w:val="16"/>
                <w:szCs w:val="16"/>
              </w:rPr>
            </w:pPr>
            <w:r>
              <w:rPr>
                <w:snapToGrid w:val="0"/>
                <w:sz w:val="16"/>
              </w:rPr>
              <w:t>S&amp;D</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BC03CC" w:rsidRPr="001E7F5C" w:rsidRDefault="00BC03CC" w:rsidP="00DF6FD7">
            <w:pPr>
              <w:spacing w:before="120" w:after="120"/>
              <w:rPr>
                <w:snapToGrid w:val="0"/>
                <w:sz w:val="16"/>
                <w:szCs w:val="16"/>
              </w:rPr>
            </w:pPr>
            <w:r>
              <w:rPr>
                <w:snapToGrid w:val="0"/>
                <w:sz w:val="16"/>
              </w:rPr>
              <w:t>Bernd Lange, David Martin, Sorin Moisă, Alessia Maria Mosca, Inmaculada Rodríguez-Piñero Fernández</w:t>
            </w:r>
          </w:p>
        </w:tc>
      </w:tr>
    </w:tbl>
    <w:p w:rsidR="00BC03CC" w:rsidRPr="001E7F5C" w:rsidRDefault="00BC03CC" w:rsidP="00BC03CC">
      <w:pPr>
        <w:rPr>
          <w:snapToGrid w:val="0"/>
          <w:sz w:val="16"/>
          <w:szCs w:val="16"/>
        </w:rPr>
      </w:pPr>
    </w:p>
    <w:tbl>
      <w:tblPr>
        <w:tblW w:w="9075"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2"/>
        <w:gridCol w:w="7373"/>
      </w:tblGrid>
      <w:tr w:rsidR="00BC03CC" w:rsidRPr="001E7F5C" w:rsidTr="00DF6FD7">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BC03CC" w:rsidRPr="001E7F5C" w:rsidRDefault="00BC03CC" w:rsidP="00DF6FD7">
            <w:pPr>
              <w:spacing w:before="120" w:after="120"/>
              <w:jc w:val="center"/>
              <w:rPr>
                <w:b/>
                <w:snapToGrid w:val="0"/>
                <w:sz w:val="16"/>
                <w:szCs w:val="16"/>
              </w:rPr>
            </w:pPr>
            <w:r>
              <w:rPr>
                <w:b/>
                <w:snapToGrid w:val="0"/>
                <w:sz w:val="16"/>
              </w:rPr>
              <w:t>15</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BC03CC" w:rsidRPr="001E7F5C" w:rsidRDefault="00BC03CC" w:rsidP="00DF6FD7">
            <w:pPr>
              <w:spacing w:before="120" w:after="120"/>
              <w:jc w:val="center"/>
              <w:rPr>
                <w:snapToGrid w:val="0"/>
                <w:sz w:val="16"/>
                <w:szCs w:val="16"/>
              </w:rPr>
            </w:pPr>
            <w:r>
              <w:rPr>
                <w:b/>
                <w:snapToGrid w:val="0"/>
                <w:sz w:val="16"/>
              </w:rPr>
              <w:t>–</w:t>
            </w:r>
          </w:p>
        </w:tc>
      </w:tr>
      <w:tr w:rsidR="00BC03CC" w:rsidRPr="0025630D" w:rsidTr="00DF6FD7">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vAlign w:val="center"/>
            <w:hideMark/>
          </w:tcPr>
          <w:p w:rsidR="00BC03CC" w:rsidRPr="001E7F5C" w:rsidRDefault="00BC03CC" w:rsidP="00DF6FD7">
            <w:pPr>
              <w:spacing w:before="120" w:after="120"/>
              <w:rPr>
                <w:snapToGrid w:val="0"/>
                <w:sz w:val="16"/>
                <w:szCs w:val="16"/>
              </w:rPr>
            </w:pPr>
            <w:r>
              <w:rPr>
                <w:snapToGrid w:val="0"/>
                <w:sz w:val="16"/>
              </w:rPr>
              <w:t>EFDD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BC03CC" w:rsidRPr="00A15CA8" w:rsidRDefault="00BC03CC" w:rsidP="00DF6FD7">
            <w:pPr>
              <w:spacing w:before="120" w:after="120"/>
              <w:rPr>
                <w:snapToGrid w:val="0"/>
                <w:sz w:val="16"/>
                <w:szCs w:val="16"/>
              </w:rPr>
            </w:pPr>
            <w:r>
              <w:rPr>
                <w:snapToGrid w:val="0"/>
                <w:sz w:val="16"/>
              </w:rPr>
              <w:t>Laura Agea, Tiziana Beghin, David Borrelli</w:t>
            </w:r>
          </w:p>
        </w:tc>
      </w:tr>
      <w:tr w:rsidR="00BC03CC" w:rsidRPr="001E7F5C" w:rsidTr="00DF6FD7">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vAlign w:val="center"/>
            <w:hideMark/>
          </w:tcPr>
          <w:p w:rsidR="00BC03CC" w:rsidRPr="001E7F5C" w:rsidRDefault="00BC03CC" w:rsidP="00DF6FD7">
            <w:pPr>
              <w:spacing w:before="120" w:after="120"/>
              <w:rPr>
                <w:snapToGrid w:val="0"/>
                <w:sz w:val="16"/>
                <w:szCs w:val="16"/>
              </w:rPr>
            </w:pPr>
            <w:r>
              <w:rPr>
                <w:snapToGrid w:val="0"/>
                <w:sz w:val="16"/>
              </w:rPr>
              <w:t>ENF</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BC03CC" w:rsidRPr="001E7F5C" w:rsidRDefault="00BC03CC" w:rsidP="00DF6FD7">
            <w:pPr>
              <w:spacing w:before="120" w:after="120"/>
              <w:rPr>
                <w:snapToGrid w:val="0"/>
                <w:sz w:val="16"/>
                <w:szCs w:val="16"/>
              </w:rPr>
            </w:pPr>
            <w:r>
              <w:rPr>
                <w:snapToGrid w:val="0"/>
                <w:sz w:val="16"/>
              </w:rPr>
              <w:t>Edouard Ferrand, Matteo Salvini</w:t>
            </w:r>
          </w:p>
        </w:tc>
      </w:tr>
      <w:tr w:rsidR="00BC03CC" w:rsidRPr="0025630D" w:rsidTr="00DF6FD7">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vAlign w:val="center"/>
            <w:hideMark/>
          </w:tcPr>
          <w:p w:rsidR="00BC03CC" w:rsidRPr="001E7F5C" w:rsidRDefault="00BC03CC" w:rsidP="00DF6FD7">
            <w:pPr>
              <w:spacing w:before="120" w:after="120"/>
              <w:rPr>
                <w:snapToGrid w:val="0"/>
                <w:sz w:val="16"/>
                <w:szCs w:val="16"/>
              </w:rPr>
            </w:pPr>
            <w:r>
              <w:rPr>
                <w:snapToGrid w:val="0"/>
                <w:sz w:val="16"/>
              </w:rPr>
              <w:t>GUE/NGL</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BC03CC" w:rsidRPr="00A15CA8" w:rsidRDefault="00BC03CC" w:rsidP="00DF6FD7">
            <w:pPr>
              <w:spacing w:before="120" w:after="120"/>
              <w:rPr>
                <w:snapToGrid w:val="0"/>
                <w:sz w:val="16"/>
                <w:szCs w:val="16"/>
              </w:rPr>
            </w:pPr>
            <w:r>
              <w:rPr>
                <w:snapToGrid w:val="0"/>
                <w:sz w:val="16"/>
              </w:rPr>
              <w:t>Eleonora Forenza, Anne-Marie Mineur, Helmut Scholz</w:t>
            </w:r>
          </w:p>
        </w:tc>
      </w:tr>
      <w:tr w:rsidR="00BC03CC" w:rsidRPr="001E7F5C" w:rsidTr="00DF6FD7">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vAlign w:val="center"/>
            <w:hideMark/>
          </w:tcPr>
          <w:p w:rsidR="00BC03CC" w:rsidRPr="001E7F5C" w:rsidRDefault="00BC03CC" w:rsidP="00DF6FD7">
            <w:pPr>
              <w:spacing w:before="120" w:after="120"/>
              <w:rPr>
                <w:snapToGrid w:val="0"/>
                <w:sz w:val="16"/>
                <w:szCs w:val="16"/>
              </w:rPr>
            </w:pPr>
            <w:r>
              <w:rPr>
                <w:snapToGrid w:val="0"/>
                <w:sz w:val="16"/>
              </w:rPr>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BC03CC" w:rsidRPr="001E7F5C" w:rsidRDefault="00BC03CC" w:rsidP="00DF6FD7">
            <w:pPr>
              <w:spacing w:before="120" w:after="120"/>
              <w:rPr>
                <w:snapToGrid w:val="0"/>
                <w:sz w:val="16"/>
                <w:szCs w:val="16"/>
              </w:rPr>
            </w:pPr>
            <w:r>
              <w:rPr>
                <w:snapToGrid w:val="0"/>
                <w:sz w:val="16"/>
              </w:rPr>
              <w:t>Eric Andrieu, Maria Arena, Karoline Graswander-Hainz, Emmanuel Maurel, Joachim Schuster</w:t>
            </w:r>
          </w:p>
        </w:tc>
      </w:tr>
      <w:tr w:rsidR="00BC03CC" w:rsidRPr="001E7F5C" w:rsidTr="00DF6FD7">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vAlign w:val="center"/>
            <w:hideMark/>
          </w:tcPr>
          <w:p w:rsidR="00BC03CC" w:rsidRPr="001E7F5C" w:rsidRDefault="00BC03CC" w:rsidP="00DF6FD7">
            <w:pPr>
              <w:spacing w:before="120" w:after="120"/>
              <w:rPr>
                <w:snapToGrid w:val="0"/>
                <w:sz w:val="16"/>
                <w:szCs w:val="16"/>
              </w:rPr>
            </w:pPr>
            <w:r>
              <w:rPr>
                <w:snapToGrid w:val="0"/>
                <w:sz w:val="16"/>
              </w:rPr>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BC03CC" w:rsidRPr="001E7F5C" w:rsidRDefault="00BC03CC" w:rsidP="00DF6FD7">
            <w:pPr>
              <w:spacing w:before="120" w:after="120"/>
              <w:rPr>
                <w:snapToGrid w:val="0"/>
                <w:sz w:val="16"/>
                <w:szCs w:val="16"/>
              </w:rPr>
            </w:pPr>
            <w:r>
              <w:rPr>
                <w:snapToGrid w:val="0"/>
                <w:sz w:val="16"/>
              </w:rPr>
              <w:t>Heidi Hautala, Yannick Jadot</w:t>
            </w:r>
          </w:p>
        </w:tc>
      </w:tr>
    </w:tbl>
    <w:p w:rsidR="00BC03CC" w:rsidRPr="001E7F5C" w:rsidRDefault="00BC03CC" w:rsidP="00BC03CC">
      <w:pPr>
        <w:rPr>
          <w:snapToGrid w:val="0"/>
          <w:sz w:val="16"/>
          <w:szCs w:val="16"/>
        </w:rPr>
      </w:pPr>
    </w:p>
    <w:tbl>
      <w:tblPr>
        <w:tblW w:w="9075"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2"/>
        <w:gridCol w:w="7373"/>
      </w:tblGrid>
      <w:tr w:rsidR="00BC03CC" w:rsidRPr="001E7F5C" w:rsidTr="00DF6FD7">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BC03CC" w:rsidRPr="001E7F5C" w:rsidRDefault="00BC03CC" w:rsidP="00DF6FD7">
            <w:pPr>
              <w:spacing w:before="120" w:after="120"/>
              <w:jc w:val="center"/>
              <w:rPr>
                <w:b/>
                <w:snapToGrid w:val="0"/>
                <w:sz w:val="16"/>
                <w:szCs w:val="16"/>
              </w:rPr>
            </w:pPr>
            <w:r>
              <w:rPr>
                <w:b/>
                <w:snapToGrid w:val="0"/>
                <w:sz w:val="16"/>
              </w:rPr>
              <w:t>1</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BC03CC" w:rsidRPr="001E7F5C" w:rsidRDefault="00BC03CC" w:rsidP="00DF6FD7">
            <w:pPr>
              <w:spacing w:before="120" w:after="120"/>
              <w:jc w:val="center"/>
              <w:rPr>
                <w:snapToGrid w:val="0"/>
                <w:sz w:val="16"/>
                <w:szCs w:val="16"/>
              </w:rPr>
            </w:pPr>
            <w:r>
              <w:rPr>
                <w:b/>
                <w:snapToGrid w:val="0"/>
                <w:sz w:val="16"/>
              </w:rPr>
              <w:t>0</w:t>
            </w:r>
          </w:p>
        </w:tc>
      </w:tr>
      <w:tr w:rsidR="00BC03CC" w:rsidRPr="001E7F5C" w:rsidTr="00DF6FD7">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vAlign w:val="center"/>
            <w:hideMark/>
          </w:tcPr>
          <w:p w:rsidR="00BC03CC" w:rsidRPr="001E7F5C" w:rsidRDefault="00BC03CC" w:rsidP="00DF6FD7">
            <w:pPr>
              <w:spacing w:before="120" w:after="120"/>
              <w:rPr>
                <w:snapToGrid w:val="0"/>
                <w:sz w:val="16"/>
                <w:szCs w:val="16"/>
              </w:rPr>
            </w:pPr>
            <w:r>
              <w:rPr>
                <w:snapToGrid w:val="0"/>
                <w:sz w:val="16"/>
              </w:rPr>
              <w:t>ALDE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BC03CC" w:rsidRPr="001E7F5C" w:rsidRDefault="00BC03CC" w:rsidP="00DF6FD7">
            <w:pPr>
              <w:spacing w:before="120" w:after="120"/>
              <w:rPr>
                <w:snapToGrid w:val="0"/>
                <w:sz w:val="16"/>
                <w:szCs w:val="16"/>
              </w:rPr>
            </w:pPr>
            <w:r>
              <w:rPr>
                <w:snapToGrid w:val="0"/>
                <w:sz w:val="16"/>
              </w:rPr>
              <w:t>Marielle de Sarnez</w:t>
            </w:r>
          </w:p>
        </w:tc>
      </w:tr>
    </w:tbl>
    <w:p w:rsidR="00BC03CC" w:rsidRPr="001E7F5C" w:rsidRDefault="00BC03CC" w:rsidP="00BC03CC">
      <w:pPr>
        <w:rPr>
          <w:snapToGrid w:val="0"/>
          <w:sz w:val="16"/>
          <w:szCs w:val="16"/>
        </w:rPr>
      </w:pPr>
    </w:p>
    <w:tbl>
      <w:tblPr>
        <w:tblW w:w="9075"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2"/>
        <w:gridCol w:w="7373"/>
      </w:tblGrid>
      <w:tr w:rsidR="00BC03CC" w:rsidRPr="001E7F5C" w:rsidTr="00DF6FD7">
        <w:trPr>
          <w:cantSplit/>
        </w:trPr>
        <w:tc>
          <w:tcPr>
            <w:tcW w:w="9072" w:type="dxa"/>
            <w:gridSpan w:val="2"/>
            <w:tcBorders>
              <w:top w:val="double" w:sz="2" w:space="0" w:color="000000"/>
              <w:left w:val="double" w:sz="2" w:space="0" w:color="000000"/>
              <w:bottom w:val="single" w:sz="2" w:space="0" w:color="000000"/>
              <w:right w:val="double" w:sz="2" w:space="0" w:color="000000"/>
            </w:tcBorders>
            <w:shd w:val="pct10" w:color="000000" w:fill="FFFFFF"/>
            <w:vAlign w:val="center"/>
            <w:hideMark/>
          </w:tcPr>
          <w:p w:rsidR="00BC03CC" w:rsidRPr="001E7F5C" w:rsidRDefault="00BC03CC" w:rsidP="00DF6FD7">
            <w:pPr>
              <w:spacing w:before="120" w:after="120"/>
              <w:jc w:val="center"/>
              <w:rPr>
                <w:snapToGrid w:val="0"/>
                <w:sz w:val="16"/>
                <w:szCs w:val="16"/>
              </w:rPr>
            </w:pPr>
            <w:r>
              <w:rPr>
                <w:b/>
                <w:snapToGrid w:val="0"/>
                <w:sz w:val="16"/>
              </w:rPr>
              <w:t xml:space="preserve">BALSOJUMU LABOJUMI UN NODOMI BALSOT </w:t>
            </w:r>
          </w:p>
        </w:tc>
      </w:tr>
      <w:tr w:rsidR="00BC03CC" w:rsidRPr="001E7F5C" w:rsidTr="00DF6FD7">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vAlign w:val="center"/>
            <w:hideMark/>
          </w:tcPr>
          <w:p w:rsidR="00BC03CC" w:rsidRPr="001E7F5C" w:rsidRDefault="00BC03CC" w:rsidP="00DF6FD7">
            <w:pPr>
              <w:spacing w:before="120" w:after="120"/>
              <w:jc w:val="center"/>
              <w:rPr>
                <w:snapToGrid w:val="0"/>
                <w:sz w:val="16"/>
                <w:szCs w:val="16"/>
              </w:rPr>
            </w:pPr>
            <w:r>
              <w:rPr>
                <w:snapToGrid w:val="0"/>
                <w:sz w:val="16"/>
              </w:rPr>
              <w:t>–</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BC03CC" w:rsidRPr="001E7F5C" w:rsidRDefault="00BC03CC" w:rsidP="00DF6FD7">
            <w:pPr>
              <w:spacing w:before="120" w:after="120"/>
              <w:rPr>
                <w:snapToGrid w:val="0"/>
                <w:sz w:val="16"/>
                <w:szCs w:val="16"/>
              </w:rPr>
            </w:pPr>
            <w:r>
              <w:rPr>
                <w:snapToGrid w:val="0"/>
                <w:sz w:val="16"/>
              </w:rPr>
              <w:t>Franz Obermayr</w:t>
            </w:r>
          </w:p>
        </w:tc>
      </w:tr>
    </w:tbl>
    <w:p w:rsidR="00BC03CC" w:rsidRPr="0025630D" w:rsidRDefault="00BC03CC" w:rsidP="00BC03CC">
      <w:pPr>
        <w:pStyle w:val="Normal12"/>
      </w:pPr>
    </w:p>
    <w:p w:rsidR="00BC03CC" w:rsidRDefault="00BC03CC" w:rsidP="00B735E3">
      <w:r>
        <w:t>Izmantoto apzīmējumu skaidrojums:</w:t>
      </w:r>
    </w:p>
    <w:p w:rsidR="00BC03CC" w:rsidRDefault="00BC03CC" w:rsidP="00B735E3">
      <w:pPr>
        <w:pStyle w:val="NormalTabs"/>
      </w:pPr>
      <w:r>
        <w:t>+</w:t>
      </w:r>
      <w:r>
        <w:tab/>
        <w:t>:</w:t>
      </w:r>
      <w:r>
        <w:tab/>
        <w:t>par</w:t>
      </w:r>
    </w:p>
    <w:p w:rsidR="00BC03CC" w:rsidRDefault="00BC03CC" w:rsidP="00B735E3">
      <w:pPr>
        <w:pStyle w:val="NormalTabs"/>
      </w:pPr>
      <w:r>
        <w:t>-</w:t>
      </w:r>
      <w:r>
        <w:tab/>
        <w:t>:</w:t>
      </w:r>
      <w:r>
        <w:tab/>
        <w:t>pret</w:t>
      </w:r>
    </w:p>
    <w:p w:rsidR="00363B94" w:rsidRPr="00BC03CC" w:rsidRDefault="00BC03CC" w:rsidP="00BC03CC">
      <w:pPr>
        <w:pStyle w:val="NormalTabs"/>
      </w:pPr>
      <w:r>
        <w:t>0</w:t>
      </w:r>
      <w:r>
        <w:tab/>
        <w:t>:</w:t>
      </w:r>
      <w:r>
        <w:tab/>
        <w:t>atturas</w:t>
      </w:r>
      <w:bookmarkEnd w:id="23"/>
    </w:p>
    <w:sectPr w:rsidR="00363B94" w:rsidRPr="00BC03CC" w:rsidSect="00613F2E">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FFD" w:rsidRPr="00DF5FFD" w:rsidRDefault="00DF5FFD">
      <w:r w:rsidRPr="00DF5FFD">
        <w:separator/>
      </w:r>
    </w:p>
  </w:endnote>
  <w:endnote w:type="continuationSeparator" w:id="0">
    <w:p w:rsidR="00DF5FFD" w:rsidRPr="00DF5FFD" w:rsidRDefault="00DF5FFD">
      <w:r w:rsidRPr="00DF5FF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C81" w:rsidRDefault="005E7C81" w:rsidP="005E7C81">
    <w:pPr>
      <w:pStyle w:val="Footer"/>
    </w:pPr>
    <w:r>
      <w:t>PE</w:t>
    </w:r>
    <w:r>
      <w:rPr>
        <w:rStyle w:val="HideTWBExt"/>
      </w:rPr>
      <w:t>&lt;NoPE&gt;</w:t>
    </w:r>
    <w:r>
      <w:t>593.835</w:t>
    </w:r>
    <w:r>
      <w:rPr>
        <w:rStyle w:val="HideTWBExt"/>
      </w:rPr>
      <w:t>&lt;/NoPE&gt;&lt;Version&gt;</w:t>
    </w:r>
    <w:r>
      <w:t>v02-00</w:t>
    </w:r>
    <w:r>
      <w:rPr>
        <w:rStyle w:val="HideTWBExt"/>
      </w:rPr>
      <w:t>&lt;/Version&gt;</w:t>
    </w:r>
    <w:r>
      <w:tab/>
    </w:r>
    <w:r>
      <w:fldChar w:fldCharType="begin"/>
    </w:r>
    <w:r>
      <w:instrText xml:space="preserve"> PAGE  \* MERGEFORMAT </w:instrText>
    </w:r>
    <w:r>
      <w:fldChar w:fldCharType="separate"/>
    </w:r>
    <w:r w:rsidR="00D658DA">
      <w:rPr>
        <w:noProof/>
      </w:rPr>
      <w:t>12</w:t>
    </w:r>
    <w:r>
      <w:fldChar w:fldCharType="end"/>
    </w:r>
    <w:r>
      <w:t>/</w:t>
    </w:r>
    <w:r w:rsidR="00D658DA">
      <w:fldChar w:fldCharType="begin"/>
    </w:r>
    <w:r w:rsidR="00D658DA">
      <w:instrText xml:space="preserve"> NUMPAGES  \* MERGEFORMAT </w:instrText>
    </w:r>
    <w:r w:rsidR="00D658DA">
      <w:fldChar w:fldCharType="separate"/>
    </w:r>
    <w:r w:rsidR="00D658DA">
      <w:rPr>
        <w:noProof/>
      </w:rPr>
      <w:t>18</w:t>
    </w:r>
    <w:r w:rsidR="00D658DA">
      <w:rPr>
        <w:noProof/>
      </w:rPr>
      <w:fldChar w:fldCharType="end"/>
    </w:r>
    <w:r>
      <w:tab/>
    </w:r>
    <w:r>
      <w:rPr>
        <w:rStyle w:val="HideTWBExt"/>
      </w:rPr>
      <w:t>&lt;PathFdR&gt;</w:t>
    </w:r>
    <w:r>
      <w:t>RR\1115655LV.docx</w:t>
    </w:r>
    <w:r>
      <w:rPr>
        <w:rStyle w:val="HideTWBExt"/>
      </w:rPr>
      <w:t>&lt;/PathFdR&gt;</w:t>
    </w:r>
  </w:p>
  <w:p w:rsidR="0085501C" w:rsidRPr="00DF5FFD" w:rsidRDefault="005E7C81" w:rsidP="005E7C81">
    <w:pPr>
      <w:pStyle w:val="Footer2"/>
    </w:pPr>
    <w:r>
      <w:t>LV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C81" w:rsidRDefault="005E7C81" w:rsidP="005E7C81">
    <w:pPr>
      <w:pStyle w:val="Footer"/>
    </w:pPr>
    <w:r>
      <w:rPr>
        <w:rStyle w:val="HideTWBExt"/>
      </w:rPr>
      <w:t>&lt;PathFdR&gt;</w:t>
    </w:r>
    <w:r>
      <w:t>RR\1115655LV.docx</w:t>
    </w:r>
    <w:r>
      <w:rPr>
        <w:rStyle w:val="HideTWBExt"/>
      </w:rPr>
      <w:t>&lt;/PathFdR&gt;</w:t>
    </w:r>
    <w:r>
      <w:tab/>
    </w:r>
    <w:r>
      <w:fldChar w:fldCharType="begin"/>
    </w:r>
    <w:r>
      <w:instrText xml:space="preserve"> PAGE  \* MERGEFORMAT </w:instrText>
    </w:r>
    <w:r>
      <w:fldChar w:fldCharType="separate"/>
    </w:r>
    <w:r w:rsidR="00D658DA">
      <w:rPr>
        <w:noProof/>
      </w:rPr>
      <w:t>11</w:t>
    </w:r>
    <w:r>
      <w:fldChar w:fldCharType="end"/>
    </w:r>
    <w:r>
      <w:t>/</w:t>
    </w:r>
    <w:r w:rsidR="00D658DA">
      <w:fldChar w:fldCharType="begin"/>
    </w:r>
    <w:r w:rsidR="00D658DA">
      <w:instrText xml:space="preserve"> NUMPAGES  \* MERGEFORMAT </w:instrText>
    </w:r>
    <w:r w:rsidR="00D658DA">
      <w:fldChar w:fldCharType="separate"/>
    </w:r>
    <w:r w:rsidR="00D658DA">
      <w:rPr>
        <w:noProof/>
      </w:rPr>
      <w:t>18</w:t>
    </w:r>
    <w:r w:rsidR="00D658DA">
      <w:rPr>
        <w:noProof/>
      </w:rPr>
      <w:fldChar w:fldCharType="end"/>
    </w:r>
    <w:r>
      <w:tab/>
      <w:t>PE</w:t>
    </w:r>
    <w:r>
      <w:rPr>
        <w:rStyle w:val="HideTWBExt"/>
      </w:rPr>
      <w:t>&lt;NoPE&gt;</w:t>
    </w:r>
    <w:r>
      <w:t>593.835</w:t>
    </w:r>
    <w:r>
      <w:rPr>
        <w:rStyle w:val="HideTWBExt"/>
      </w:rPr>
      <w:t>&lt;/NoPE&gt;&lt;Version&gt;</w:t>
    </w:r>
    <w:r>
      <w:t>v02-00</w:t>
    </w:r>
    <w:r>
      <w:rPr>
        <w:rStyle w:val="HideTWBExt"/>
      </w:rPr>
      <w:t>&lt;/Version&gt;</w:t>
    </w:r>
  </w:p>
  <w:p w:rsidR="0085501C" w:rsidRPr="00DF5FFD" w:rsidRDefault="005E7C81" w:rsidP="005E7C81">
    <w:pPr>
      <w:pStyle w:val="Footer2"/>
    </w:pPr>
    <w:r>
      <w:tab/>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C81" w:rsidRDefault="005E7C81" w:rsidP="005E7C81">
    <w:pPr>
      <w:pStyle w:val="Footer"/>
    </w:pPr>
    <w:r>
      <w:rPr>
        <w:rStyle w:val="HideTWBExt"/>
      </w:rPr>
      <w:t>&lt;PathFdR&gt;</w:t>
    </w:r>
    <w:r>
      <w:t>RR\1115655LV.docx</w:t>
    </w:r>
    <w:r>
      <w:rPr>
        <w:rStyle w:val="HideTWBExt"/>
      </w:rPr>
      <w:t>&lt;/PathFdR&gt;</w:t>
    </w:r>
    <w:r>
      <w:tab/>
    </w:r>
    <w:r>
      <w:tab/>
      <w:t>PE</w:t>
    </w:r>
    <w:r>
      <w:rPr>
        <w:rStyle w:val="HideTWBExt"/>
      </w:rPr>
      <w:t>&lt;NoPE&gt;</w:t>
    </w:r>
    <w:r>
      <w:t>593.835</w:t>
    </w:r>
    <w:r>
      <w:rPr>
        <w:rStyle w:val="HideTWBExt"/>
      </w:rPr>
      <w:t>&lt;/NoPE&gt;&lt;Version&gt;</w:t>
    </w:r>
    <w:r>
      <w:t>v02-00</w:t>
    </w:r>
    <w:r>
      <w:rPr>
        <w:rStyle w:val="HideTWBExt"/>
      </w:rPr>
      <w:t>&lt;/Version&gt;</w:t>
    </w:r>
  </w:p>
  <w:p w:rsidR="0085501C" w:rsidRPr="00DF5FFD" w:rsidRDefault="005E7C81" w:rsidP="005E7C81">
    <w:pPr>
      <w:pStyle w:val="Footer2"/>
      <w:tabs>
        <w:tab w:val="center" w:pos="4535"/>
      </w:tabs>
    </w:pPr>
    <w:r>
      <w:t>LV</w:t>
    </w:r>
    <w:r>
      <w:tab/>
    </w:r>
    <w:r>
      <w:rPr>
        <w:b w:val="0"/>
        <w:i/>
        <w:color w:val="C0C0C0"/>
        <w:sz w:val="22"/>
      </w:rPr>
      <w:t>Vienoti daudzveidībā</w:t>
    </w:r>
    <w:r>
      <w:tab/>
      <w:t>LV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FFD" w:rsidRPr="00DF5FFD" w:rsidRDefault="00DF5FFD">
      <w:r w:rsidRPr="00DF5FFD">
        <w:separator/>
      </w:r>
    </w:p>
  </w:footnote>
  <w:footnote w:type="continuationSeparator" w:id="0">
    <w:p w:rsidR="00DF5FFD" w:rsidRPr="00DF5FFD" w:rsidRDefault="00DF5FFD">
      <w:r w:rsidRPr="00DF5FFD">
        <w:continuationSeparator/>
      </w:r>
    </w:p>
  </w:footnote>
  <w:footnote w:id="1">
    <w:p w:rsidR="00AC5AB9" w:rsidRDefault="00AC5AB9" w:rsidP="00AC5AB9">
      <w:pPr>
        <w:pStyle w:val="FootnoteText"/>
      </w:pPr>
      <w:r>
        <w:rPr>
          <w:rStyle w:val="FootnoteReference"/>
        </w:rPr>
        <w:footnoteRef/>
      </w:r>
      <w:r>
        <w:t xml:space="preserve"> Eiropas Parlamenta 2011. gada 8. jūnija rezolūcija.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8DA" w:rsidRDefault="00D658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8DA" w:rsidRDefault="00D658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8DA" w:rsidRDefault="00D658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KEY" w:val="INTA"/>
    <w:docVar w:name="CopyToNetwork" w:val="-1"/>
    <w:docVar w:name="LastEditedSection" w:val=" 1"/>
    <w:docVar w:name="strDocTypeID" w:val="PR_NLE-AP_Agreement"/>
    <w:docVar w:name="strSubDir" w:val="1115"/>
    <w:docVar w:name="TITLEMNU" w:val=" 1"/>
    <w:docVar w:name="TXTAUTHOR" w:val=" Artis Pabriks "/>
    <w:docVar w:name="TXTLANGUE" w:val="LV"/>
    <w:docVar w:name="TXTLANGUEMIN" w:val="lv"/>
    <w:docVar w:name="TXTNRNLE" w:val="2016/0205"/>
    <w:docVar w:name="TXTNRPE" w:val="593.835"/>
    <w:docVar w:name="TXTPEorAP" w:val="PE"/>
    <w:docVar w:name="TXTROUTE" w:val="RR\1115655LV.docx"/>
    <w:docVar w:name="TXTVERSION" w:val="02-00"/>
  </w:docVars>
  <w:rsids>
    <w:rsidRoot w:val="00DF5FFD"/>
    <w:rsid w:val="000001B7"/>
    <w:rsid w:val="00001D52"/>
    <w:rsid w:val="0000443F"/>
    <w:rsid w:val="000C123D"/>
    <w:rsid w:val="00180664"/>
    <w:rsid w:val="001D02E3"/>
    <w:rsid w:val="00250FA4"/>
    <w:rsid w:val="002E2E20"/>
    <w:rsid w:val="003072BE"/>
    <w:rsid w:val="00321F58"/>
    <w:rsid w:val="00363B94"/>
    <w:rsid w:val="004174FC"/>
    <w:rsid w:val="00460BD6"/>
    <w:rsid w:val="004859B3"/>
    <w:rsid w:val="004E1650"/>
    <w:rsid w:val="005D0B97"/>
    <w:rsid w:val="005E7C81"/>
    <w:rsid w:val="005F5D6C"/>
    <w:rsid w:val="006132CE"/>
    <w:rsid w:val="00613F2E"/>
    <w:rsid w:val="006A2CF5"/>
    <w:rsid w:val="007D5D9B"/>
    <w:rsid w:val="007F36FF"/>
    <w:rsid w:val="0080122F"/>
    <w:rsid w:val="00830ADD"/>
    <w:rsid w:val="008368CB"/>
    <w:rsid w:val="0085501C"/>
    <w:rsid w:val="008D3030"/>
    <w:rsid w:val="00924EE0"/>
    <w:rsid w:val="009612AA"/>
    <w:rsid w:val="00A86E88"/>
    <w:rsid w:val="00AC5AB9"/>
    <w:rsid w:val="00B31D18"/>
    <w:rsid w:val="00B42885"/>
    <w:rsid w:val="00B50C20"/>
    <w:rsid w:val="00BB41C8"/>
    <w:rsid w:val="00BC03CC"/>
    <w:rsid w:val="00BE5E72"/>
    <w:rsid w:val="00BF0A0F"/>
    <w:rsid w:val="00BF2E15"/>
    <w:rsid w:val="00BF7F55"/>
    <w:rsid w:val="00C15447"/>
    <w:rsid w:val="00CF44DF"/>
    <w:rsid w:val="00D04E0B"/>
    <w:rsid w:val="00D62DA0"/>
    <w:rsid w:val="00D658DA"/>
    <w:rsid w:val="00DF594D"/>
    <w:rsid w:val="00DF5FFD"/>
    <w:rsid w:val="00E14FEE"/>
    <w:rsid w:val="00E71368"/>
    <w:rsid w:val="00E80236"/>
    <w:rsid w:val="00E93816"/>
    <w:rsid w:val="00EF48F2"/>
    <w:rsid w:val="00EF7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E2433E33-2C7C-4320-9A56-F13D4F1ED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lv-LV"/>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80122F"/>
    <w:pPr>
      <w:tabs>
        <w:tab w:val="center" w:pos="4536"/>
        <w:tab w:val="right" w:pos="9072"/>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613F2E"/>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BF2E15"/>
    <w:pPr>
      <w:tabs>
        <w:tab w:val="left" w:pos="567"/>
      </w:tabs>
    </w:pPr>
  </w:style>
  <w:style w:type="paragraph" w:customStyle="1" w:styleId="RefProc">
    <w:name w:val="RefProc"/>
    <w:basedOn w:val="Normal"/>
    <w:rsid w:val="00363B94"/>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320"/>
        <w:tab w:val="right" w:pos="8640"/>
      </w:tabs>
    </w:pPr>
  </w:style>
  <w:style w:type="table" w:styleId="TableGrid">
    <w:name w:val="Table Grid"/>
    <w:basedOn w:val="TableNormal"/>
    <w:rsid w:val="00961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9612AA"/>
    <w:pPr>
      <w:jc w:val="center"/>
    </w:pPr>
    <w:rPr>
      <w:rFonts w:ascii="Arial" w:hAnsi="Arial" w:cs="Arial"/>
      <w:i/>
      <w:sz w:val="22"/>
      <w:szCs w:val="22"/>
    </w:rPr>
  </w:style>
  <w:style w:type="paragraph" w:customStyle="1" w:styleId="LineTop">
    <w:name w:val="LineTop"/>
    <w:basedOn w:val="Normal"/>
    <w:next w:val="ZCommittee"/>
    <w:rsid w:val="009612AA"/>
    <w:pPr>
      <w:pBdr>
        <w:top w:val="single" w:sz="4" w:space="1" w:color="auto"/>
      </w:pBdr>
      <w:jc w:val="center"/>
    </w:pPr>
    <w:rPr>
      <w:rFonts w:ascii="Arial" w:hAnsi="Arial"/>
      <w:sz w:val="16"/>
      <w:szCs w:val="16"/>
    </w:rPr>
  </w:style>
  <w:style w:type="paragraph" w:customStyle="1" w:styleId="LineBottom">
    <w:name w:val="LineBottom"/>
    <w:basedOn w:val="Normal"/>
    <w:next w:val="Normal"/>
    <w:rsid w:val="009612AA"/>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13F2E"/>
    <w:pPr>
      <w:spacing w:after="80"/>
    </w:pPr>
    <w:rPr>
      <w:rFonts w:ascii="Arial" w:hAnsi="Arial" w:cs="Arial"/>
      <w:sz w:val="20"/>
      <w:szCs w:val="22"/>
    </w:rPr>
  </w:style>
  <w:style w:type="paragraph" w:customStyle="1" w:styleId="EPLogo">
    <w:name w:val="EPLogo"/>
    <w:basedOn w:val="Normal"/>
    <w:qFormat/>
    <w:rsid w:val="00613F2E"/>
    <w:pPr>
      <w:jc w:val="right"/>
    </w:pPr>
  </w:style>
  <w:style w:type="paragraph" w:customStyle="1" w:styleId="Lgendesigne">
    <w:name w:val="Légende signe"/>
    <w:basedOn w:val="Normal"/>
    <w:rsid w:val="00AC5AB9"/>
    <w:pPr>
      <w:tabs>
        <w:tab w:val="right" w:pos="454"/>
        <w:tab w:val="left" w:pos="737"/>
      </w:tabs>
      <w:ind w:left="737" w:hanging="737"/>
    </w:pPr>
    <w:rPr>
      <w:snapToGrid w:val="0"/>
      <w:sz w:val="18"/>
    </w:rPr>
  </w:style>
  <w:style w:type="paragraph" w:customStyle="1" w:styleId="Lgendetitre">
    <w:name w:val="Légende titre"/>
    <w:basedOn w:val="Normal"/>
    <w:rsid w:val="00AC5AB9"/>
    <w:pPr>
      <w:spacing w:before="240" w:after="240"/>
    </w:pPr>
    <w:rPr>
      <w:b/>
      <w:i/>
      <w:snapToGrid w:val="0"/>
    </w:rPr>
  </w:style>
  <w:style w:type="paragraph" w:customStyle="1" w:styleId="Lgendestandard">
    <w:name w:val="Légende standard"/>
    <w:basedOn w:val="Lgendesigne"/>
    <w:rsid w:val="00AC5AB9"/>
    <w:pPr>
      <w:ind w:left="0" w:firstLine="0"/>
    </w:pPr>
  </w:style>
  <w:style w:type="paragraph" w:styleId="FootnoteText">
    <w:name w:val="footnote text"/>
    <w:basedOn w:val="Normal"/>
    <w:link w:val="FootnoteTextChar"/>
    <w:uiPriority w:val="99"/>
    <w:unhideWhenUsed/>
    <w:rsid w:val="00AC5AB9"/>
    <w:pPr>
      <w:widowControl/>
      <w:jc w:val="both"/>
    </w:pPr>
    <w:rPr>
      <w:rFonts w:eastAsia="Calibri"/>
      <w:sz w:val="20"/>
    </w:rPr>
  </w:style>
  <w:style w:type="character" w:customStyle="1" w:styleId="FootnoteTextChar">
    <w:name w:val="Footnote Text Char"/>
    <w:basedOn w:val="DefaultParagraphFont"/>
    <w:link w:val="FootnoteText"/>
    <w:uiPriority w:val="99"/>
    <w:rsid w:val="00AC5AB9"/>
    <w:rPr>
      <w:rFonts w:eastAsia="Calibri"/>
      <w:lang w:eastAsia="lv-LV"/>
    </w:rPr>
  </w:style>
  <w:style w:type="character" w:styleId="FootnoteReference">
    <w:name w:val="footnote reference"/>
    <w:uiPriority w:val="99"/>
    <w:unhideWhenUsed/>
    <w:rsid w:val="00AC5AB9"/>
    <w:rPr>
      <w:vertAlign w:val="superscript"/>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 w:type="paragraph" w:customStyle="1" w:styleId="NormalTabs">
    <w:name w:val="NormalTabs"/>
    <w:basedOn w:val="Normal"/>
    <w:qFormat/>
    <w:rsid w:val="00BC03CC"/>
    <w:pPr>
      <w:tabs>
        <w:tab w:val="center" w:pos="284"/>
        <w:tab w:val="left" w:pos="426"/>
      </w:tabs>
    </w:pPr>
    <w:rPr>
      <w:snapToGrid w:val="0"/>
    </w:rPr>
  </w:style>
  <w:style w:type="paragraph" w:customStyle="1" w:styleId="RollCallSubtitle">
    <w:name w:val="RollCallSubtitle"/>
    <w:basedOn w:val="Normal"/>
    <w:qFormat/>
    <w:rsid w:val="00BC03CC"/>
    <w:pPr>
      <w:snapToGrid w:val="0"/>
      <w:spacing w:after="240"/>
    </w:pPr>
  </w:style>
  <w:style w:type="paragraph" w:customStyle="1" w:styleId="PageHeadingNotTOC">
    <w:name w:val="PageHeadingNotTOC"/>
    <w:basedOn w:val="Normal12a12b"/>
    <w:rsid w:val="00BC03CC"/>
    <w:pPr>
      <w:keepNext/>
      <w:jc w:val="center"/>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68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B5727-7A64-40D3-AB81-33F6D47DB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3948</Words>
  <Characters>22507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PR_NLE-AP_Agreement</vt:lpstr>
    </vt:vector>
  </TitlesOfParts>
  <Company>European Parliament</Company>
  <LinksUpToDate>false</LinksUpToDate>
  <CharactersWithSpaces>26403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PR_NLE-AP_Agreement</dc:title>
  <dc:subject/>
  <dc:creator>SMITE Agita</dc:creator>
  <cp:keywords/>
  <cp:lastModifiedBy>ADAMSONE Elina</cp:lastModifiedBy>
  <cp:revision>2</cp:revision>
  <cp:lastPrinted>2002-12-11T09:25:00Z</cp:lastPrinted>
  <dcterms:created xsi:type="dcterms:W3CDTF">2017-02-09T18:31:00Z</dcterms:created>
  <dcterms:modified xsi:type="dcterms:W3CDTF">2017-02-09T18:31:00Z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8.5.0 Build [20151002]</vt:lpwstr>
  </property>
  <property fmtid="{D5CDD505-2E9C-101B-9397-08002B2CF9AE}" pid="4" name="&lt;FdR&gt;">
    <vt:lpwstr>1115655</vt:lpwstr>
  </property>
  <property fmtid="{D5CDD505-2E9C-101B-9397-08002B2CF9AE}" pid="5" name="&lt;Type&gt;">
    <vt:lpwstr>RR</vt:lpwstr>
  </property>
  <property fmtid="{D5CDD505-2E9C-101B-9397-08002B2CF9AE}" pid="6" name="&lt;ModelCod&gt;">
    <vt:lpwstr>\\eiciLUXpr1\pdocep$\DocEP\DOCS\General\PR\PR_Leg\NLE\PR_NLE-AP_Agreement.dot(17/02/2016 10:44:32)</vt:lpwstr>
  </property>
  <property fmtid="{D5CDD505-2E9C-101B-9397-08002B2CF9AE}" pid="7" name="&lt;ModelTra&gt;">
    <vt:lpwstr>\\eiciLUXpr1\pdocep$\DocEP\TRANSFIL\LV\PR_NLE-AP_Agreement.LV(22/09/2016 08:07:35)</vt:lpwstr>
  </property>
  <property fmtid="{D5CDD505-2E9C-101B-9397-08002B2CF9AE}" pid="8" name="&lt;Model&gt;">
    <vt:lpwstr>PR_NLE-AP_Agreement</vt:lpwstr>
  </property>
  <property fmtid="{D5CDD505-2E9C-101B-9397-08002B2CF9AE}" pid="9" name="FooterPath">
    <vt:lpwstr>RR\1115655LV.docx</vt:lpwstr>
  </property>
  <property fmtid="{D5CDD505-2E9C-101B-9397-08002B2CF9AE}" pid="10" name="PE Number">
    <vt:lpwstr>593.835</vt:lpwstr>
  </property>
  <property fmtid="{D5CDD505-2E9C-101B-9397-08002B2CF9AE}" pid="11" name="Bookout">
    <vt:lpwstr>OK - 2017/02/09 19:31</vt:lpwstr>
  </property>
  <property fmtid="{D5CDD505-2E9C-101B-9397-08002B2CF9AE}" pid="12" name="SubscribeElise">
    <vt:lpwstr/>
  </property>
  <property fmtid="{D5CDD505-2E9C-101B-9397-08002B2CF9AE}" pid="13" name="SDLStudio">
    <vt:lpwstr>YES</vt:lpwstr>
  </property>
  <property fmtid="{D5CDD505-2E9C-101B-9397-08002B2CF9AE}" pid="14" name="&lt;Extension&gt;">
    <vt:lpwstr>LV</vt:lpwstr>
  </property>
</Properties>
</file>