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771F6E" w14:paraId="70913F5B" w14:textId="77777777" w:rsidTr="00947D32">
        <w:trPr>
          <w:trHeight w:hRule="exact" w:val="1418"/>
        </w:trPr>
        <w:tc>
          <w:tcPr>
            <w:tcW w:w="6804" w:type="dxa"/>
            <w:shd w:val="clear" w:color="auto" w:fill="auto"/>
            <w:vAlign w:val="center"/>
          </w:tcPr>
          <w:p w14:paraId="16134E82" w14:textId="77777777" w:rsidR="00D46466" w:rsidRPr="00771F6E" w:rsidRDefault="0034738B" w:rsidP="00947D32">
            <w:pPr>
              <w:pStyle w:val="EPName"/>
            </w:pPr>
            <w:bookmarkStart w:id="0" w:name="_GoBack"/>
            <w:bookmarkEnd w:id="0"/>
            <w:r w:rsidRPr="00771F6E">
              <w:t>Europa-Parlamentet</w:t>
            </w:r>
          </w:p>
          <w:p w14:paraId="7DB78812" w14:textId="77777777" w:rsidR="00D46466" w:rsidRPr="00771F6E" w:rsidRDefault="0010796E" w:rsidP="0010796E">
            <w:pPr>
              <w:pStyle w:val="EPTerm"/>
              <w:rPr>
                <w:rStyle w:val="HideTWBExt"/>
                <w:noProof w:val="0"/>
                <w:vanish w:val="0"/>
                <w:color w:val="auto"/>
              </w:rPr>
            </w:pPr>
            <w:r w:rsidRPr="00771F6E">
              <w:t>2014-2019</w:t>
            </w:r>
          </w:p>
        </w:tc>
        <w:tc>
          <w:tcPr>
            <w:tcW w:w="2268" w:type="dxa"/>
            <w:shd w:val="clear" w:color="auto" w:fill="auto"/>
          </w:tcPr>
          <w:p w14:paraId="04EC193F" w14:textId="77777777" w:rsidR="00D46466" w:rsidRPr="00771F6E" w:rsidRDefault="001C23DD" w:rsidP="00947D32">
            <w:pPr>
              <w:pStyle w:val="EPLogo"/>
            </w:pPr>
            <w:r>
              <w:pict w14:anchorId="1E547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0F386C1D" w14:textId="77777777" w:rsidR="00390068" w:rsidRPr="00771F6E" w:rsidRDefault="00390068" w:rsidP="00390068">
      <w:pPr>
        <w:pStyle w:val="LineTop"/>
      </w:pPr>
    </w:p>
    <w:p w14:paraId="0298574D" w14:textId="2CE5E80F" w:rsidR="00390068" w:rsidRPr="00771F6E" w:rsidRDefault="00FD7FC6" w:rsidP="00390068">
      <w:pPr>
        <w:pStyle w:val="ZCommittee"/>
      </w:pPr>
      <w:r w:rsidRPr="00771F6E">
        <w:t>Mødedokument</w:t>
      </w:r>
    </w:p>
    <w:p w14:paraId="2959D262" w14:textId="77777777" w:rsidR="00390068" w:rsidRPr="00771F6E" w:rsidRDefault="00390068" w:rsidP="00390068">
      <w:pPr>
        <w:pStyle w:val="LineBottom"/>
      </w:pPr>
    </w:p>
    <w:p w14:paraId="75E8AFED" w14:textId="716C7002" w:rsidR="00C1531C" w:rsidRPr="00771F6E" w:rsidRDefault="00FD7FC6">
      <w:pPr>
        <w:pStyle w:val="RefProc"/>
      </w:pPr>
      <w:r w:rsidRPr="00771F6E">
        <w:rPr>
          <w:rStyle w:val="HideTWBExt"/>
          <w:noProof w:val="0"/>
        </w:rPr>
        <w:t>&lt;NoDocSe&gt;</w:t>
      </w:r>
      <w:r w:rsidRPr="00771F6E">
        <w:t>A8-0126/2017</w:t>
      </w:r>
      <w:r w:rsidRPr="00771F6E">
        <w:rPr>
          <w:rStyle w:val="HideTWBExt"/>
          <w:noProof w:val="0"/>
        </w:rPr>
        <w:t>&lt;/NoDocSe&gt;</w:t>
      </w:r>
    </w:p>
    <w:p w14:paraId="7AB1FC06" w14:textId="77ECEEE5" w:rsidR="00C1531C" w:rsidRPr="00771F6E" w:rsidRDefault="00C1531C">
      <w:pPr>
        <w:pStyle w:val="ZDate"/>
      </w:pPr>
      <w:r w:rsidRPr="00771F6E">
        <w:rPr>
          <w:rStyle w:val="HideTWBExt"/>
          <w:noProof w:val="0"/>
        </w:rPr>
        <w:t>&lt;Date&gt;</w:t>
      </w:r>
      <w:r w:rsidRPr="00771F6E">
        <w:rPr>
          <w:rStyle w:val="HideTWBInt"/>
        </w:rPr>
        <w:t>{30/03/2017}</w:t>
      </w:r>
      <w:r w:rsidRPr="00771F6E">
        <w:t>30.3.2017</w:t>
      </w:r>
      <w:r w:rsidRPr="00771F6E">
        <w:rPr>
          <w:rStyle w:val="HideTWBExt"/>
          <w:noProof w:val="0"/>
        </w:rPr>
        <w:t>&lt;/Date&gt;</w:t>
      </w:r>
    </w:p>
    <w:p w14:paraId="191E65CC" w14:textId="12D1416C" w:rsidR="00C1531C" w:rsidRPr="00771F6E" w:rsidRDefault="00C1531C">
      <w:pPr>
        <w:pStyle w:val="TypeDoc"/>
      </w:pPr>
      <w:r w:rsidRPr="00771F6E">
        <w:rPr>
          <w:rStyle w:val="HideTWBExt"/>
          <w:b w:val="0"/>
          <w:noProof w:val="0"/>
        </w:rPr>
        <w:t>&lt;TitreType&gt;</w:t>
      </w:r>
      <w:r w:rsidRPr="00771F6E">
        <w:t>BETÆNKNING</w:t>
      </w:r>
      <w:r w:rsidRPr="00771F6E">
        <w:rPr>
          <w:rStyle w:val="HideTWBExt"/>
          <w:b w:val="0"/>
          <w:noProof w:val="0"/>
        </w:rPr>
        <w:t>&lt;/TitreType&gt;</w:t>
      </w:r>
    </w:p>
    <w:p w14:paraId="3E340113" w14:textId="77777777" w:rsidR="00C1531C" w:rsidRPr="00771F6E" w:rsidRDefault="00C1531C">
      <w:pPr>
        <w:pStyle w:val="CoverNormal"/>
      </w:pPr>
      <w:r w:rsidRPr="00771F6E">
        <w:rPr>
          <w:rStyle w:val="HideTWBExt"/>
          <w:noProof w:val="0"/>
        </w:rPr>
        <w:t>&lt;Titre&gt;</w:t>
      </w:r>
      <w:r w:rsidRPr="00771F6E">
        <w:t>om decharge for gennemførelsen af budgettet for Euratoms Forsyningsagentur for regnskabsåret 2015</w:t>
      </w:r>
      <w:r w:rsidRPr="00771F6E">
        <w:rPr>
          <w:rStyle w:val="HideTWBExt"/>
          <w:noProof w:val="0"/>
        </w:rPr>
        <w:t>&lt;/Titre&gt;</w:t>
      </w:r>
    </w:p>
    <w:p w14:paraId="6C1A180E" w14:textId="77777777" w:rsidR="00C1531C" w:rsidRPr="00771F6E" w:rsidRDefault="005C689E">
      <w:pPr>
        <w:pStyle w:val="Cover24"/>
      </w:pPr>
      <w:r w:rsidRPr="00771F6E">
        <w:rPr>
          <w:rStyle w:val="HideTWBExt"/>
          <w:noProof w:val="0"/>
        </w:rPr>
        <w:t>&lt;DocRef&gt;</w:t>
      </w:r>
      <w:r w:rsidRPr="00771F6E">
        <w:t>(2016/2183(DEC))</w:t>
      </w:r>
      <w:r w:rsidRPr="00771F6E">
        <w:rPr>
          <w:rStyle w:val="HideTWBExt"/>
          <w:noProof w:val="0"/>
        </w:rPr>
        <w:t>&lt;/DocRef&gt;</w:t>
      </w:r>
    </w:p>
    <w:p w14:paraId="4019CF57" w14:textId="77777777" w:rsidR="00C1531C" w:rsidRPr="00771F6E" w:rsidRDefault="00C1531C">
      <w:pPr>
        <w:pStyle w:val="Cover24"/>
      </w:pPr>
      <w:r w:rsidRPr="00771F6E">
        <w:rPr>
          <w:rStyle w:val="HideTWBExt"/>
          <w:noProof w:val="0"/>
        </w:rPr>
        <w:t>&lt;Commission&gt;</w:t>
      </w:r>
      <w:r w:rsidRPr="00771F6E">
        <w:rPr>
          <w:rStyle w:val="HideTWBInt"/>
        </w:rPr>
        <w:t>{CONT}</w:t>
      </w:r>
      <w:r w:rsidRPr="00771F6E">
        <w:t>Budgetkontroludvalget</w:t>
      </w:r>
      <w:r w:rsidRPr="00771F6E">
        <w:rPr>
          <w:rStyle w:val="HideTWBExt"/>
          <w:noProof w:val="0"/>
        </w:rPr>
        <w:t>&lt;/Commission&gt;</w:t>
      </w:r>
    </w:p>
    <w:p w14:paraId="393418FE" w14:textId="77777777" w:rsidR="00C1531C" w:rsidRPr="00771F6E" w:rsidRDefault="0034738B">
      <w:pPr>
        <w:pStyle w:val="Cover24"/>
        <w:rPr>
          <w:rStyle w:val="HideTWBExt"/>
          <w:noProof w:val="0"/>
        </w:rPr>
      </w:pPr>
      <w:r w:rsidRPr="00771F6E">
        <w:t xml:space="preserve">Ordfører: </w:t>
      </w:r>
      <w:r w:rsidRPr="00771F6E">
        <w:rPr>
          <w:rStyle w:val="HideTWBExt"/>
          <w:noProof w:val="0"/>
        </w:rPr>
        <w:t>&lt;Depute&gt;</w:t>
      </w:r>
      <w:r w:rsidRPr="00771F6E">
        <w:t>Inés Ayala Sender</w:t>
      </w:r>
      <w:r w:rsidRPr="00771F6E">
        <w:rPr>
          <w:rStyle w:val="HideTWBExt"/>
          <w:noProof w:val="0"/>
        </w:rPr>
        <w:t>&lt;/Depute&gt;</w:t>
      </w:r>
    </w:p>
    <w:p w14:paraId="52B466AA" w14:textId="28060C57" w:rsidR="00C1531C" w:rsidRPr="00771F6E" w:rsidRDefault="00C1531C" w:rsidP="0070740B">
      <w:pPr>
        <w:pStyle w:val="Cover24"/>
        <w:ind w:left="0"/>
      </w:pPr>
      <w:r w:rsidRPr="00771F6E">
        <w:br w:type="page"/>
      </w:r>
      <w:r w:rsidRPr="00771F6E">
        <w:lastRenderedPageBreak/>
        <w:t>PR_DEC_Agencies</w:t>
      </w:r>
    </w:p>
    <w:p w14:paraId="6DD362B8" w14:textId="77777777" w:rsidR="00C1531C" w:rsidRPr="00771F6E" w:rsidRDefault="0034738B">
      <w:pPr>
        <w:pStyle w:val="TOCHeading"/>
      </w:pPr>
      <w:r w:rsidRPr="00771F6E">
        <w:t>INDHOLD</w:t>
      </w:r>
    </w:p>
    <w:p w14:paraId="1703015E" w14:textId="77777777" w:rsidR="001C23DD" w:rsidRDefault="0034738B" w:rsidP="000B47E5">
      <w:pPr>
        <w:pStyle w:val="TOCPage"/>
        <w:rPr>
          <w:noProof/>
        </w:rPr>
      </w:pPr>
      <w:r w:rsidRPr="00771F6E">
        <w:t>Side</w:t>
      </w:r>
      <w:r w:rsidRPr="00771F6E">
        <w:fldChar w:fldCharType="begin"/>
      </w:r>
      <w:r w:rsidR="00C1531C" w:rsidRPr="00771F6E">
        <w:instrText xml:space="preserve"> TOC \t "PageHeading</w:instrText>
      </w:r>
      <w:r w:rsidR="000700E4" w:rsidRPr="00771F6E">
        <w:instrText>;</w:instrText>
      </w:r>
      <w:r w:rsidR="00FD18F9" w:rsidRPr="00771F6E">
        <w:instrText>3</w:instrText>
      </w:r>
      <w:r w:rsidR="00C1531C" w:rsidRPr="00771F6E">
        <w:instrText xml:space="preserve">" </w:instrText>
      </w:r>
      <w:r w:rsidRPr="00771F6E">
        <w:fldChar w:fldCharType="separate"/>
      </w:r>
    </w:p>
    <w:p w14:paraId="69583F20" w14:textId="77777777" w:rsidR="001C23DD" w:rsidRDefault="001C23D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1. FORSLAG TIL EUROPA-PARLAMENTETS AFGØRELSE</w:t>
      </w:r>
      <w:r>
        <w:rPr>
          <w:noProof/>
        </w:rPr>
        <w:tab/>
      </w:r>
      <w:r>
        <w:rPr>
          <w:noProof/>
        </w:rPr>
        <w:fldChar w:fldCharType="begin"/>
      </w:r>
      <w:r>
        <w:rPr>
          <w:noProof/>
        </w:rPr>
        <w:instrText xml:space="preserve"> PAGEREF _Toc480472059 \h </w:instrText>
      </w:r>
      <w:r>
        <w:rPr>
          <w:noProof/>
        </w:rPr>
      </w:r>
      <w:r>
        <w:rPr>
          <w:noProof/>
        </w:rPr>
        <w:fldChar w:fldCharType="separate"/>
      </w:r>
      <w:r>
        <w:rPr>
          <w:noProof/>
        </w:rPr>
        <w:t>3</w:t>
      </w:r>
      <w:r>
        <w:rPr>
          <w:noProof/>
        </w:rPr>
        <w:fldChar w:fldCharType="end"/>
      </w:r>
    </w:p>
    <w:p w14:paraId="797A8F81" w14:textId="77777777" w:rsidR="001C23DD" w:rsidRDefault="001C23D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2. FORSLAG TIL EUROPA-PARLAMENTETS AFGØRELSE</w:t>
      </w:r>
      <w:r>
        <w:rPr>
          <w:noProof/>
        </w:rPr>
        <w:tab/>
      </w:r>
      <w:r>
        <w:rPr>
          <w:noProof/>
        </w:rPr>
        <w:fldChar w:fldCharType="begin"/>
      </w:r>
      <w:r>
        <w:rPr>
          <w:noProof/>
        </w:rPr>
        <w:instrText xml:space="preserve"> PAGEREF _Toc480472060 \h </w:instrText>
      </w:r>
      <w:r>
        <w:rPr>
          <w:noProof/>
        </w:rPr>
      </w:r>
      <w:r>
        <w:rPr>
          <w:noProof/>
        </w:rPr>
        <w:fldChar w:fldCharType="separate"/>
      </w:r>
      <w:r>
        <w:rPr>
          <w:noProof/>
        </w:rPr>
        <w:t>5</w:t>
      </w:r>
      <w:r>
        <w:rPr>
          <w:noProof/>
        </w:rPr>
        <w:fldChar w:fldCharType="end"/>
      </w:r>
    </w:p>
    <w:p w14:paraId="6DE042BE" w14:textId="77777777" w:rsidR="001C23DD" w:rsidRDefault="001C23D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3. FORSLAG TIL EUROPA-PARLAMENTETS BESLUTNING</w:t>
      </w:r>
      <w:r>
        <w:rPr>
          <w:noProof/>
        </w:rPr>
        <w:tab/>
      </w:r>
      <w:r>
        <w:rPr>
          <w:noProof/>
        </w:rPr>
        <w:fldChar w:fldCharType="begin"/>
      </w:r>
      <w:r>
        <w:rPr>
          <w:noProof/>
        </w:rPr>
        <w:instrText xml:space="preserve"> PAGEREF _Toc480472061 \h </w:instrText>
      </w:r>
      <w:r>
        <w:rPr>
          <w:noProof/>
        </w:rPr>
      </w:r>
      <w:r>
        <w:rPr>
          <w:noProof/>
        </w:rPr>
        <w:fldChar w:fldCharType="separate"/>
      </w:r>
      <w:r>
        <w:rPr>
          <w:noProof/>
        </w:rPr>
        <w:t>6</w:t>
      </w:r>
      <w:r>
        <w:rPr>
          <w:noProof/>
        </w:rPr>
        <w:fldChar w:fldCharType="end"/>
      </w:r>
    </w:p>
    <w:p w14:paraId="4F6D6F07" w14:textId="77777777" w:rsidR="001C23DD" w:rsidRDefault="001C23D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OPLYSNINGER OM VEDTAGELSEN I KORRESPONDERENDE UDVALG</w:t>
      </w:r>
      <w:r>
        <w:rPr>
          <w:noProof/>
        </w:rPr>
        <w:tab/>
      </w:r>
      <w:r>
        <w:rPr>
          <w:noProof/>
        </w:rPr>
        <w:fldChar w:fldCharType="begin"/>
      </w:r>
      <w:r>
        <w:rPr>
          <w:noProof/>
        </w:rPr>
        <w:instrText xml:space="preserve"> PAGEREF _Toc480472062 \h </w:instrText>
      </w:r>
      <w:r>
        <w:rPr>
          <w:noProof/>
        </w:rPr>
      </w:r>
      <w:r>
        <w:rPr>
          <w:noProof/>
        </w:rPr>
        <w:fldChar w:fldCharType="separate"/>
      </w:r>
      <w:r>
        <w:rPr>
          <w:noProof/>
        </w:rPr>
        <w:t>8</w:t>
      </w:r>
      <w:r>
        <w:rPr>
          <w:noProof/>
        </w:rPr>
        <w:fldChar w:fldCharType="end"/>
      </w:r>
    </w:p>
    <w:p w14:paraId="3449510F" w14:textId="77777777" w:rsidR="001C23DD" w:rsidRDefault="001C23DD">
      <w:pPr>
        <w:pStyle w:val="TOC3"/>
        <w:tabs>
          <w:tab w:val="right" w:leader="dot" w:pos="9060"/>
        </w:tabs>
        <w:rPr>
          <w:rFonts w:asciiTheme="minorHAnsi" w:eastAsiaTheme="minorEastAsia" w:hAnsiTheme="minorHAnsi" w:cstheme="minorBidi"/>
          <w:noProof/>
          <w:sz w:val="22"/>
          <w:szCs w:val="22"/>
          <w:lang w:val="en-GB" w:eastAsia="en-GB" w:bidi="ar-SA"/>
        </w:rPr>
      </w:pPr>
      <w:r>
        <w:rPr>
          <w:noProof/>
        </w:rPr>
        <w:t>ENDELIG AFSTEMNING VED NAVNEOPRÅB I KORRESPONDERENDE UDVALG</w:t>
      </w:r>
      <w:r>
        <w:rPr>
          <w:noProof/>
        </w:rPr>
        <w:tab/>
      </w:r>
      <w:r>
        <w:rPr>
          <w:noProof/>
        </w:rPr>
        <w:fldChar w:fldCharType="begin"/>
      </w:r>
      <w:r>
        <w:rPr>
          <w:noProof/>
        </w:rPr>
        <w:instrText xml:space="preserve"> PAGEREF _Toc480472063 \h </w:instrText>
      </w:r>
      <w:r>
        <w:rPr>
          <w:noProof/>
        </w:rPr>
      </w:r>
      <w:r>
        <w:rPr>
          <w:noProof/>
        </w:rPr>
        <w:fldChar w:fldCharType="separate"/>
      </w:r>
      <w:r>
        <w:rPr>
          <w:noProof/>
        </w:rPr>
        <w:t>9</w:t>
      </w:r>
      <w:r>
        <w:rPr>
          <w:noProof/>
        </w:rPr>
        <w:fldChar w:fldCharType="end"/>
      </w:r>
    </w:p>
    <w:p w14:paraId="09E5397F" w14:textId="77777777" w:rsidR="00E35EEC" w:rsidRPr="00771F6E" w:rsidRDefault="0034738B" w:rsidP="000B47E5">
      <w:pPr>
        <w:pStyle w:val="TOCPage"/>
      </w:pPr>
      <w:r w:rsidRPr="00771F6E">
        <w:rPr>
          <w:rFonts w:ascii="Times New Roman" w:hAnsi="Times New Roman"/>
        </w:rPr>
        <w:fldChar w:fldCharType="end"/>
      </w:r>
    </w:p>
    <w:p w14:paraId="021BD9D3" w14:textId="77777777" w:rsidR="00C1531C" w:rsidRPr="00771F6E" w:rsidRDefault="00C1531C" w:rsidP="004D13BA">
      <w:pPr>
        <w:pStyle w:val="PageHeading"/>
      </w:pPr>
      <w:r w:rsidRPr="00771F6E">
        <w:br w:type="page"/>
      </w:r>
      <w:bookmarkStart w:id="1" w:name="_Toc478641111"/>
      <w:bookmarkStart w:id="2" w:name="Decision1"/>
      <w:bookmarkStart w:id="3" w:name="_Toc26759888"/>
      <w:bookmarkStart w:id="4" w:name="_Toc86200285"/>
      <w:bookmarkStart w:id="5" w:name="_Toc480472059"/>
      <w:r w:rsidRPr="00771F6E">
        <w:lastRenderedPageBreak/>
        <w:t>1. FORSLAG TIL EUROPA-PARLAMENTETS AFGØRELSE</w:t>
      </w:r>
      <w:bookmarkEnd w:id="1"/>
      <w:bookmarkEnd w:id="5"/>
    </w:p>
    <w:p w14:paraId="0180147A" w14:textId="77777777" w:rsidR="00E356E7" w:rsidRPr="00771F6E" w:rsidRDefault="00E356E7" w:rsidP="00E356E7">
      <w:pPr>
        <w:pStyle w:val="NormalBold"/>
      </w:pPr>
      <w:bookmarkStart w:id="6" w:name="DecisionTitle1"/>
      <w:bookmarkEnd w:id="2"/>
      <w:bookmarkEnd w:id="3"/>
      <w:bookmarkEnd w:id="4"/>
      <w:r w:rsidRPr="00771F6E">
        <w:t>om decharge for gennemførelsen af budgettet for Euratoms Forsyningsagentur for regnskabsåret 2015</w:t>
      </w:r>
    </w:p>
    <w:bookmarkEnd w:id="6"/>
    <w:p w14:paraId="299E2EDE" w14:textId="77777777" w:rsidR="00E356E7" w:rsidRPr="00771F6E" w:rsidRDefault="00E356E7" w:rsidP="00E356E7">
      <w:pPr>
        <w:pStyle w:val="Normal12Bold"/>
      </w:pPr>
      <w:r w:rsidRPr="00771F6E">
        <w:t>(2016/2183(DEC))</w:t>
      </w:r>
    </w:p>
    <w:p w14:paraId="3478BB02" w14:textId="77777777" w:rsidR="00E356E7" w:rsidRPr="00771F6E" w:rsidRDefault="00E356E7" w:rsidP="00E356E7">
      <w:pPr>
        <w:pStyle w:val="Normal12"/>
      </w:pPr>
      <w:r w:rsidRPr="00771F6E">
        <w:rPr>
          <w:i/>
        </w:rPr>
        <w:t>Europa-Parlamentet</w:t>
      </w:r>
      <w:r w:rsidRPr="00771F6E">
        <w:t>,</w:t>
      </w:r>
    </w:p>
    <w:p w14:paraId="16AB038C" w14:textId="77777777" w:rsidR="00E356E7" w:rsidRPr="00771F6E" w:rsidRDefault="00E356E7" w:rsidP="00E356E7">
      <w:pPr>
        <w:pStyle w:val="Normal12Hanging"/>
      </w:pPr>
      <w:r w:rsidRPr="00771F6E">
        <w:t>–</w:t>
      </w:r>
      <w:r w:rsidRPr="00771F6E">
        <w:tab/>
        <w:t>der henviser til det endelige årsregnskab for Euratoms Forsyningsagentur for regnskabsåret 2015,</w:t>
      </w:r>
    </w:p>
    <w:p w14:paraId="39B3DC74" w14:textId="77777777" w:rsidR="00E356E7" w:rsidRPr="00771F6E" w:rsidRDefault="00E356E7" w:rsidP="00E356E7">
      <w:pPr>
        <w:pStyle w:val="Normal12Hanging"/>
      </w:pPr>
      <w:r w:rsidRPr="00771F6E">
        <w:t>–</w:t>
      </w:r>
      <w:r w:rsidRPr="00771F6E">
        <w:tab/>
        <w:t>der henviser til Revisionsrettens beretning om årsregnskabet for Euratoms Forsyningsagentur for regnskabsåret 2015 med agenturets svar</w:t>
      </w:r>
      <w:r w:rsidRPr="00771F6E">
        <w:rPr>
          <w:rStyle w:val="FootnoteReference"/>
        </w:rPr>
        <w:footnoteReference w:id="1"/>
      </w:r>
      <w:r w:rsidRPr="00771F6E">
        <w:t>,</w:t>
      </w:r>
    </w:p>
    <w:p w14:paraId="441D0E04" w14:textId="77777777" w:rsidR="00E356E7" w:rsidRPr="00771F6E" w:rsidRDefault="00E356E7" w:rsidP="00E356E7">
      <w:pPr>
        <w:pStyle w:val="Normal12Hanging"/>
      </w:pPr>
      <w:r w:rsidRPr="00771F6E">
        <w:t>–</w:t>
      </w:r>
      <w:r w:rsidRPr="00771F6E">
        <w:tab/>
        <w:t>der henviser til Revisionsrettens erklæring</w:t>
      </w:r>
      <w:r w:rsidRPr="00771F6E">
        <w:rPr>
          <w:rStyle w:val="FootnoteReference"/>
        </w:rPr>
        <w:footnoteReference w:id="2"/>
      </w:r>
      <w:r w:rsidRPr="00771F6E">
        <w:t xml:space="preserve"> for regnskabsåret 2015 om regnskabernes rigtighed og de underliggende transaktioners lovlighed og formelle rigtighed, jf. artikel 287 i traktaten om Den Europæiske Unions funktionsmåde,</w:t>
      </w:r>
    </w:p>
    <w:p w14:paraId="29AF96B5" w14:textId="3AC0D70F" w:rsidR="00E356E7" w:rsidRPr="00771F6E" w:rsidRDefault="00E356E7" w:rsidP="00E356E7">
      <w:pPr>
        <w:pStyle w:val="Normal12Hanging"/>
      </w:pPr>
      <w:r w:rsidRPr="00771F6E">
        <w:t>–</w:t>
      </w:r>
      <w:r w:rsidRPr="00771F6E">
        <w:tab/>
        <w:t>der henviser til Rådets henstilling af 21. februar 2017 om decharge til agenturet for gennemførelsen af budgettet for regnskabsåret 2015 (05873/2017 – C8-0069/2017),</w:t>
      </w:r>
    </w:p>
    <w:p w14:paraId="50355CC5" w14:textId="77777777" w:rsidR="00E356E7" w:rsidRPr="00771F6E" w:rsidRDefault="00E356E7" w:rsidP="00E356E7">
      <w:pPr>
        <w:pStyle w:val="Normal12Hanging"/>
      </w:pPr>
      <w:r w:rsidRPr="00771F6E">
        <w:t>–</w:t>
      </w:r>
      <w:r w:rsidRPr="00771F6E">
        <w:tab/>
        <w:t>der henviser til artikel 319 i traktaten om Den Europæiske Unions funktionsmåde,</w:t>
      </w:r>
    </w:p>
    <w:p w14:paraId="2A34C231" w14:textId="77777777" w:rsidR="00E356E7" w:rsidRPr="00771F6E" w:rsidRDefault="00E356E7" w:rsidP="00E356E7">
      <w:pPr>
        <w:pStyle w:val="Normal12Hanging"/>
      </w:pPr>
      <w:r w:rsidRPr="00771F6E">
        <w:t>–</w:t>
      </w:r>
      <w:r w:rsidRPr="00771F6E">
        <w:tab/>
        <w:t>der henviser til artikel 106A i traktaten om oprettelse af Det Europæiske Atomenergifællesskab,</w:t>
      </w:r>
    </w:p>
    <w:p w14:paraId="450A965C" w14:textId="77777777" w:rsidR="00E356E7" w:rsidRPr="00771F6E" w:rsidRDefault="00E356E7" w:rsidP="00E356E7">
      <w:pPr>
        <w:pStyle w:val="Normal12Hanging"/>
      </w:pPr>
      <w:r w:rsidRPr="00771F6E">
        <w:t>–</w:t>
      </w:r>
      <w:r w:rsidRPr="00771F6E">
        <w:tab/>
        <w:t>der henviser til Europa-Parlamentets og Rådets forordning (EU, Euratom) nr. 966/2012 af 25. oktober 2012 om de finansielle regler vedrørende Unionens almindelige budget og om ophævelse af Rådets forordning (EF, Euratom) nr. 1605/2002</w:t>
      </w:r>
      <w:r w:rsidRPr="00771F6E">
        <w:rPr>
          <w:rStyle w:val="FootnoteReference"/>
        </w:rPr>
        <w:footnoteReference w:id="3"/>
      </w:r>
      <w:r w:rsidRPr="00771F6E">
        <w:t>, særlig artikel 1, stk. 2,</w:t>
      </w:r>
    </w:p>
    <w:p w14:paraId="423728FB" w14:textId="77777777" w:rsidR="00E356E7" w:rsidRPr="00771F6E" w:rsidRDefault="00E356E7" w:rsidP="00E356E7">
      <w:pPr>
        <w:pStyle w:val="Normal12Hanging"/>
      </w:pPr>
      <w:r w:rsidRPr="00771F6E">
        <w:t>–</w:t>
      </w:r>
      <w:r w:rsidRPr="00771F6E">
        <w:tab/>
        <w:t>der henviser til Rådets afgørelse 2008/114/EF, Euratom af 12. februar 2008 om fastsættelse af vedtægterne for Euratoms Forsyningsagentur</w:t>
      </w:r>
      <w:r w:rsidRPr="00771F6E">
        <w:rPr>
          <w:rStyle w:val="FootnoteReference"/>
        </w:rPr>
        <w:footnoteReference w:id="4"/>
      </w:r>
      <w:r w:rsidRPr="00771F6E">
        <w:t>, særlig artikel 8 i bilaget,</w:t>
      </w:r>
    </w:p>
    <w:p w14:paraId="592BEBB1" w14:textId="77777777" w:rsidR="00E356E7" w:rsidRPr="00771F6E" w:rsidRDefault="00E356E7" w:rsidP="00E356E7">
      <w:pPr>
        <w:pStyle w:val="Normal12Hanging"/>
      </w:pPr>
      <w:r w:rsidRPr="00771F6E">
        <w:t>–</w:t>
      </w:r>
      <w:r w:rsidRPr="00771F6E">
        <w:tab/>
        <w:t>der henviser til forretningsordenens artikel 94 og bilag IV,</w:t>
      </w:r>
    </w:p>
    <w:p w14:paraId="04FDBC39" w14:textId="11D3EE3C" w:rsidR="00E356E7" w:rsidRPr="00771F6E" w:rsidRDefault="00E356E7" w:rsidP="00E356E7">
      <w:pPr>
        <w:pStyle w:val="Normal12Hanging"/>
      </w:pPr>
      <w:r w:rsidRPr="00771F6E">
        <w:t>–</w:t>
      </w:r>
      <w:r w:rsidRPr="00771F6E">
        <w:tab/>
        <w:t>der henviser til betænkning fra Budgetkontroludvalget (A8-0126/2017),</w:t>
      </w:r>
    </w:p>
    <w:p w14:paraId="548D72BA" w14:textId="77777777" w:rsidR="00BE0360" w:rsidRPr="00771F6E" w:rsidRDefault="00BE0360" w:rsidP="00BE0360">
      <w:pPr>
        <w:pStyle w:val="Normal12Hanging"/>
      </w:pPr>
      <w:r w:rsidRPr="00771F6E">
        <w:t>1.</w:t>
      </w:r>
      <w:r w:rsidRPr="00771F6E">
        <w:tab/>
        <w:t>meddeler generaldirektøren for Euratoms Forsyningsagentur decharge for gennemførelsen af agenturets budget for regnskabsåret 2015;</w:t>
      </w:r>
    </w:p>
    <w:p w14:paraId="1A4F1268" w14:textId="77777777" w:rsidR="00E356E7" w:rsidRPr="00771F6E" w:rsidRDefault="00E356E7" w:rsidP="00E356E7">
      <w:pPr>
        <w:pStyle w:val="Normal12Hanging"/>
      </w:pPr>
      <w:r w:rsidRPr="00771F6E">
        <w:t>2.</w:t>
      </w:r>
      <w:r w:rsidRPr="00771F6E">
        <w:tab/>
        <w:t>fremsætter sine bemærkninger i nedenstående beslutning;</w:t>
      </w:r>
    </w:p>
    <w:p w14:paraId="6681DF65" w14:textId="77777777" w:rsidR="00E356E7" w:rsidRPr="00771F6E" w:rsidRDefault="00E356E7" w:rsidP="00E356E7">
      <w:pPr>
        <w:pStyle w:val="Normal12Hanging"/>
      </w:pPr>
      <w:r w:rsidRPr="00771F6E">
        <w:t>3.</w:t>
      </w:r>
      <w:r w:rsidRPr="00771F6E">
        <w:tab/>
        <w:t xml:space="preserve">pålægger sin formand at sende denne afgørelse og beslutningen, der er en integrerende del heraf, til generaldirektøren for Euratoms Forsyningsagentur, Rådet, Kommissionen og Revisionsretten og drage omsorg for, at de offentliggøres i </w:t>
      </w:r>
      <w:r w:rsidRPr="00771F6E">
        <w:rPr>
          <w:i/>
        </w:rPr>
        <w:t xml:space="preserve">Den Europæiske Unions </w:t>
      </w:r>
      <w:r w:rsidRPr="00771F6E">
        <w:rPr>
          <w:i/>
        </w:rPr>
        <w:lastRenderedPageBreak/>
        <w:t>Tidende</w:t>
      </w:r>
      <w:r w:rsidRPr="00771F6E">
        <w:t xml:space="preserve"> (L-udgaven).</w:t>
      </w:r>
    </w:p>
    <w:p w14:paraId="1F6407B3" w14:textId="77777777" w:rsidR="00E356E7" w:rsidRPr="00771F6E" w:rsidRDefault="00E356E7" w:rsidP="00E356E7">
      <w:pPr>
        <w:pStyle w:val="PageHeading"/>
      </w:pPr>
      <w:r w:rsidRPr="00771F6E">
        <w:br w:type="page"/>
      </w:r>
      <w:bookmarkStart w:id="7" w:name="_Toc478641112"/>
      <w:bookmarkStart w:id="8" w:name="Decision2"/>
      <w:bookmarkStart w:id="9" w:name="_Toc480472060"/>
      <w:r w:rsidRPr="00771F6E">
        <w:lastRenderedPageBreak/>
        <w:t>2. FORSLAG TIL EUROPA-PARLAMENTETS AFGØRELSE</w:t>
      </w:r>
      <w:bookmarkEnd w:id="7"/>
      <w:bookmarkEnd w:id="9"/>
    </w:p>
    <w:p w14:paraId="5B8827FB" w14:textId="77777777" w:rsidR="00E356E7" w:rsidRPr="00771F6E" w:rsidRDefault="00E356E7" w:rsidP="00E356E7">
      <w:pPr>
        <w:pStyle w:val="NormalBold"/>
      </w:pPr>
      <w:bookmarkStart w:id="10" w:name="DecisionTitle2"/>
      <w:bookmarkEnd w:id="8"/>
      <w:r w:rsidRPr="00771F6E">
        <w:t>om afslutning af regnskaberne for Euratoms Forsyningsagentur for regnskabsåret 2015</w:t>
      </w:r>
    </w:p>
    <w:bookmarkEnd w:id="10"/>
    <w:p w14:paraId="1172ACBE" w14:textId="77777777" w:rsidR="00E356E7" w:rsidRPr="00771F6E" w:rsidRDefault="00E356E7" w:rsidP="00E356E7">
      <w:pPr>
        <w:pStyle w:val="Normal12Bold"/>
      </w:pPr>
      <w:r w:rsidRPr="00771F6E">
        <w:t>(2016/2183(DEC))</w:t>
      </w:r>
    </w:p>
    <w:p w14:paraId="77599F5B" w14:textId="77777777" w:rsidR="00E356E7" w:rsidRPr="00771F6E" w:rsidRDefault="00E356E7" w:rsidP="00E356E7">
      <w:pPr>
        <w:pStyle w:val="Normal12"/>
      </w:pPr>
      <w:r w:rsidRPr="00771F6E">
        <w:rPr>
          <w:i/>
        </w:rPr>
        <w:t>Europa-Parlamentet</w:t>
      </w:r>
      <w:r w:rsidRPr="00771F6E">
        <w:t>,</w:t>
      </w:r>
    </w:p>
    <w:p w14:paraId="444357F3" w14:textId="77777777" w:rsidR="00E356E7" w:rsidRPr="00771F6E" w:rsidRDefault="00E356E7" w:rsidP="00E356E7">
      <w:pPr>
        <w:pStyle w:val="Normal12Hanging"/>
      </w:pPr>
      <w:r w:rsidRPr="00771F6E">
        <w:t>–</w:t>
      </w:r>
      <w:r w:rsidRPr="00771F6E">
        <w:tab/>
        <w:t>der henviser til det endelige årsregnskab for Euratoms Forsyningsagentur for regnskabsåret 2015,</w:t>
      </w:r>
    </w:p>
    <w:p w14:paraId="6691E2B6" w14:textId="77777777" w:rsidR="00E356E7" w:rsidRPr="00771F6E" w:rsidRDefault="00E356E7" w:rsidP="00E356E7">
      <w:pPr>
        <w:pStyle w:val="Normal12Hanging"/>
      </w:pPr>
      <w:r w:rsidRPr="00771F6E">
        <w:t>–</w:t>
      </w:r>
      <w:r w:rsidRPr="00771F6E">
        <w:tab/>
        <w:t>der henviser til Revisionsrettens beretning om årsregnskabet for Euratoms Forsyningsagentur for regnskabsåret 2015 med agenturets svar</w:t>
      </w:r>
      <w:r w:rsidRPr="00771F6E">
        <w:rPr>
          <w:rStyle w:val="FootnoteReference"/>
        </w:rPr>
        <w:footnoteReference w:id="5"/>
      </w:r>
      <w:r w:rsidRPr="00771F6E">
        <w:t>,</w:t>
      </w:r>
    </w:p>
    <w:p w14:paraId="05B34D5E" w14:textId="77777777" w:rsidR="00E356E7" w:rsidRPr="00771F6E" w:rsidRDefault="00E356E7" w:rsidP="00E356E7">
      <w:pPr>
        <w:pStyle w:val="Normal12Hanging"/>
      </w:pPr>
      <w:r w:rsidRPr="00771F6E">
        <w:t>–</w:t>
      </w:r>
      <w:r w:rsidRPr="00771F6E">
        <w:tab/>
        <w:t>der henviser til Revisionsrettens erklæring</w:t>
      </w:r>
      <w:r w:rsidRPr="00771F6E">
        <w:rPr>
          <w:rStyle w:val="FootnoteReference"/>
        </w:rPr>
        <w:footnoteReference w:id="6"/>
      </w:r>
      <w:r w:rsidRPr="00771F6E">
        <w:t xml:space="preserve"> for regnskabsåret 2015 om regnskabernes rigtighed og de underliggende transaktioners lovlighed og formelle rigtighed, jf. artikel 287 i traktaten om Den Europæiske Unions funktionsmåde,</w:t>
      </w:r>
    </w:p>
    <w:p w14:paraId="4AABBC2E" w14:textId="2A0FDC7F" w:rsidR="00E356E7" w:rsidRPr="00771F6E" w:rsidRDefault="00E356E7" w:rsidP="00E356E7">
      <w:pPr>
        <w:pStyle w:val="Normal12Hanging"/>
      </w:pPr>
      <w:r w:rsidRPr="00771F6E">
        <w:t>–</w:t>
      </w:r>
      <w:r w:rsidRPr="00771F6E">
        <w:tab/>
        <w:t>der henviser til Rådets henstilling af 21. februar 2017 om decharge til agenturet for gennemførelsen af budgettet for regnskabsåret 2015 (05873/2017 – C8-0069/2017),</w:t>
      </w:r>
    </w:p>
    <w:p w14:paraId="395F10EB" w14:textId="77777777" w:rsidR="00E356E7" w:rsidRPr="00771F6E" w:rsidRDefault="00E356E7" w:rsidP="00E356E7">
      <w:pPr>
        <w:pStyle w:val="Normal12Hanging"/>
      </w:pPr>
      <w:r w:rsidRPr="00771F6E">
        <w:t>–</w:t>
      </w:r>
      <w:r w:rsidRPr="00771F6E">
        <w:tab/>
        <w:t>der henviser til artikel 319 i traktaten om Den Europæiske Unions funktionsmåde,</w:t>
      </w:r>
    </w:p>
    <w:p w14:paraId="0F18E9E8" w14:textId="77777777" w:rsidR="00E356E7" w:rsidRPr="00771F6E" w:rsidRDefault="00E356E7" w:rsidP="00E356E7">
      <w:pPr>
        <w:pStyle w:val="Normal12Hanging"/>
      </w:pPr>
      <w:r w:rsidRPr="00771F6E">
        <w:t>–</w:t>
      </w:r>
      <w:r w:rsidRPr="00771F6E">
        <w:tab/>
        <w:t>der henviser til artikel 106A i traktaten om oprettelse af Det Europæiske Atomenergifællesskab,</w:t>
      </w:r>
    </w:p>
    <w:p w14:paraId="49D21749" w14:textId="77777777" w:rsidR="00E356E7" w:rsidRPr="00771F6E" w:rsidRDefault="00E356E7" w:rsidP="00E356E7">
      <w:pPr>
        <w:pStyle w:val="Normal12Hanging"/>
      </w:pPr>
      <w:r w:rsidRPr="00771F6E">
        <w:t>–</w:t>
      </w:r>
      <w:r w:rsidRPr="00771F6E">
        <w:tab/>
        <w:t>der henviser til Europa-Parlamentets og Rådets forordning (EU, Euratom) nr. 966/2012 af 25. oktober 2012 om de finansielle regler vedrørende Unionens almindelige budget og om ophævelse af Rådets forordning (EF, Euratom) nr. 1605/2002</w:t>
      </w:r>
      <w:r w:rsidRPr="00771F6E">
        <w:rPr>
          <w:rStyle w:val="FootnoteReference"/>
        </w:rPr>
        <w:footnoteReference w:id="7"/>
      </w:r>
      <w:r w:rsidRPr="00771F6E">
        <w:t>, særlig artikel 1, stk. 2,</w:t>
      </w:r>
    </w:p>
    <w:p w14:paraId="1BD43997" w14:textId="77777777" w:rsidR="00E356E7" w:rsidRPr="00771F6E" w:rsidRDefault="00E356E7" w:rsidP="00E356E7">
      <w:pPr>
        <w:pStyle w:val="Normal12Hanging"/>
      </w:pPr>
      <w:r w:rsidRPr="00771F6E">
        <w:t>–</w:t>
      </w:r>
      <w:r w:rsidRPr="00771F6E">
        <w:tab/>
        <w:t>der henviser til Rådets afgørelse 2008/114/EF, Euratom af 12. februar 2008 om fastsættelse af vedtægterne for Euratoms Forsyningsagentur</w:t>
      </w:r>
      <w:r w:rsidRPr="00771F6E">
        <w:rPr>
          <w:rStyle w:val="FootnoteReference"/>
        </w:rPr>
        <w:footnoteReference w:id="8"/>
      </w:r>
      <w:r w:rsidRPr="00771F6E">
        <w:t>, særlig artikel 8 i bilaget,</w:t>
      </w:r>
    </w:p>
    <w:p w14:paraId="37B2292D" w14:textId="77777777" w:rsidR="00E356E7" w:rsidRPr="00771F6E" w:rsidRDefault="00E356E7" w:rsidP="00E356E7">
      <w:pPr>
        <w:pStyle w:val="Normal12Hanging"/>
      </w:pPr>
      <w:r w:rsidRPr="00771F6E">
        <w:t>–</w:t>
      </w:r>
      <w:r w:rsidRPr="00771F6E">
        <w:tab/>
        <w:t>der henviser til forretningsordenens artikel 94 og bilag IV,</w:t>
      </w:r>
    </w:p>
    <w:p w14:paraId="48E27C96" w14:textId="01DAAFA3" w:rsidR="00E356E7" w:rsidRPr="00771F6E" w:rsidRDefault="00E356E7" w:rsidP="00E356E7">
      <w:pPr>
        <w:pStyle w:val="Normal12Hanging"/>
      </w:pPr>
      <w:r w:rsidRPr="00771F6E">
        <w:t>–</w:t>
      </w:r>
      <w:r w:rsidRPr="00771F6E">
        <w:tab/>
        <w:t>der henviser til betænkning fra Budgetkontroludvalget (A8-0126/2017),</w:t>
      </w:r>
    </w:p>
    <w:p w14:paraId="068D337C" w14:textId="77777777" w:rsidR="00BE0360" w:rsidRPr="00771F6E" w:rsidRDefault="00BE0360" w:rsidP="00BE0360">
      <w:pPr>
        <w:pStyle w:val="Normal12Hanging"/>
      </w:pPr>
      <w:r w:rsidRPr="00771F6E">
        <w:t>1.</w:t>
      </w:r>
      <w:r w:rsidRPr="00771F6E">
        <w:tab/>
        <w:t>godkender afslutningen af regnskaberne for Euratoms Forsyningsagentur for regnskabsåret 2015;</w:t>
      </w:r>
    </w:p>
    <w:p w14:paraId="2AB1F870" w14:textId="77777777" w:rsidR="00E356E7" w:rsidRPr="00771F6E" w:rsidRDefault="00E356E7" w:rsidP="00E356E7">
      <w:pPr>
        <w:pStyle w:val="Normal12Hanging"/>
      </w:pPr>
      <w:r w:rsidRPr="00771F6E">
        <w:t>2.</w:t>
      </w:r>
      <w:r w:rsidRPr="00771F6E">
        <w:tab/>
        <w:t xml:space="preserve">pålægger sin formand at sende denne afgørelse til generaldirektøren for Euratoms Forsyningsagentur, Rådet, Kommissionen og Revisionsretten og drage omsorg for, at den offentliggøres i </w:t>
      </w:r>
      <w:r w:rsidRPr="00771F6E">
        <w:rPr>
          <w:i/>
        </w:rPr>
        <w:t>Den Europæiske Unions Tidende</w:t>
      </w:r>
      <w:r w:rsidRPr="00771F6E">
        <w:t xml:space="preserve"> (L-udgaven).</w:t>
      </w:r>
    </w:p>
    <w:p w14:paraId="0894ABEB" w14:textId="77777777" w:rsidR="00E356E7" w:rsidRPr="00771F6E" w:rsidRDefault="00E356E7" w:rsidP="00E356E7">
      <w:pPr>
        <w:pStyle w:val="PageHeading"/>
      </w:pPr>
      <w:r w:rsidRPr="00771F6E">
        <w:br w:type="page"/>
      </w:r>
      <w:bookmarkStart w:id="11" w:name="_Toc478641113"/>
      <w:bookmarkStart w:id="12" w:name="Resolution"/>
      <w:bookmarkStart w:id="13" w:name="_Toc480472061"/>
      <w:r w:rsidRPr="00771F6E">
        <w:lastRenderedPageBreak/>
        <w:t>3. FORSLAG TIL EUROPA-PARLAMENTETS BESLUTNING</w:t>
      </w:r>
      <w:bookmarkEnd w:id="11"/>
      <w:bookmarkEnd w:id="13"/>
    </w:p>
    <w:p w14:paraId="4A9417EF" w14:textId="77777777" w:rsidR="00E356E7" w:rsidRPr="00771F6E" w:rsidRDefault="00E356E7" w:rsidP="00E356E7">
      <w:pPr>
        <w:pStyle w:val="NormalBold"/>
      </w:pPr>
      <w:bookmarkStart w:id="14" w:name="ResolutionTitle"/>
      <w:bookmarkEnd w:id="12"/>
      <w:r w:rsidRPr="00771F6E">
        <w:t>med bemærkningerne, der er en integrerende del af afgørelsen om decharge for gennemførelsen af budgettet for Euratoms Forsyningsagentur for regnskabsåret 2015</w:t>
      </w:r>
    </w:p>
    <w:bookmarkEnd w:id="14"/>
    <w:p w14:paraId="2E670331" w14:textId="77777777" w:rsidR="00E356E7" w:rsidRPr="00771F6E" w:rsidRDefault="00E356E7" w:rsidP="00E356E7">
      <w:pPr>
        <w:pStyle w:val="Normal12Bold"/>
      </w:pPr>
      <w:r w:rsidRPr="00771F6E">
        <w:t>(2016/2183(DEC))</w:t>
      </w:r>
    </w:p>
    <w:p w14:paraId="057BC808" w14:textId="77777777" w:rsidR="004C3287" w:rsidRPr="00771F6E" w:rsidRDefault="004C3287" w:rsidP="004C3287">
      <w:pPr>
        <w:pStyle w:val="Normal12"/>
      </w:pPr>
      <w:r w:rsidRPr="00771F6E">
        <w:rPr>
          <w:i/>
        </w:rPr>
        <w:t>Europa-Parlamentet</w:t>
      </w:r>
      <w:r w:rsidRPr="00771F6E">
        <w:t>,</w:t>
      </w:r>
    </w:p>
    <w:p w14:paraId="78B58EFA" w14:textId="77777777" w:rsidR="004C3287" w:rsidRPr="00771F6E" w:rsidRDefault="004C3287" w:rsidP="004C3287">
      <w:pPr>
        <w:pStyle w:val="Normal12Hanging"/>
      </w:pPr>
      <w:r w:rsidRPr="00771F6E">
        <w:t>–</w:t>
      </w:r>
      <w:r w:rsidRPr="00771F6E">
        <w:tab/>
        <w:t>der henviser til sin afgørelse om decharge for gennemførelsen af budgettet for Euratoms Forsyningsagentur</w:t>
      </w:r>
      <w:bookmarkStart w:id="15" w:name="DocEPTmp2"/>
      <w:bookmarkEnd w:id="15"/>
      <w:r w:rsidRPr="00771F6E">
        <w:t xml:space="preserve"> for regnskabsåret 2015,</w:t>
      </w:r>
    </w:p>
    <w:p w14:paraId="683B163D" w14:textId="77777777" w:rsidR="004C3287" w:rsidRPr="00771F6E" w:rsidRDefault="004C3287" w:rsidP="004C3287">
      <w:pPr>
        <w:pStyle w:val="Normal12Hanging"/>
      </w:pPr>
      <w:r w:rsidRPr="00771F6E">
        <w:t>–</w:t>
      </w:r>
      <w:r w:rsidRPr="00771F6E">
        <w:tab/>
        <w:t>der henviser til forretningsordenens artikel 94 og bilag IV,</w:t>
      </w:r>
    </w:p>
    <w:p w14:paraId="3DD10118" w14:textId="7494F019" w:rsidR="004C3287" w:rsidRPr="00771F6E" w:rsidRDefault="004C3287" w:rsidP="004C3287">
      <w:pPr>
        <w:pStyle w:val="Normal12Hanging"/>
      </w:pPr>
      <w:r w:rsidRPr="00771F6E">
        <w:t>–</w:t>
      </w:r>
      <w:r w:rsidRPr="00771F6E">
        <w:tab/>
        <w:t>der henviser til betænkning fra Budgetkontroludvalget (A8-0126/2017),</w:t>
      </w:r>
    </w:p>
    <w:p w14:paraId="1623D4E1" w14:textId="77777777" w:rsidR="004C3287" w:rsidRPr="00771F6E" w:rsidRDefault="004C3287" w:rsidP="004C3287">
      <w:pPr>
        <w:pStyle w:val="Normal12Hanging"/>
      </w:pPr>
      <w:r w:rsidRPr="00771F6E">
        <w:t>A.</w:t>
      </w:r>
      <w:r w:rsidRPr="00771F6E">
        <w:tab/>
        <w:t>der henviser til, at det endelige budget for Euratoms Forsyningsagentur (i det følgende benævnt "agenturet") for regnskabsåret 2015 ifølge dets årsregnskab var på 125 000 EUR, hvilket svarer til en stigning på 20,19 % sammenlignet med 2014; der henviser til, at 119 000 EUR (95,2 %) af agenturets budget hidrører fra Unionens budget, og 6 000 EUR (4,8 %) fra dets egne indtægter (bankrente på indbetalt kapital);</w:t>
      </w:r>
    </w:p>
    <w:p w14:paraId="77AA8970" w14:textId="19D3988C" w:rsidR="004C3287" w:rsidRPr="00771F6E" w:rsidRDefault="004C3287" w:rsidP="004C3287">
      <w:pPr>
        <w:pStyle w:val="Normal12Hanging"/>
      </w:pPr>
      <w:r w:rsidRPr="00771F6E">
        <w:t>B.</w:t>
      </w:r>
      <w:r w:rsidRPr="00771F6E">
        <w:tab/>
        <w:t>der henviser til, at Revisionsretten i sin beretning om agenturets årsregnskab for regnskabsåret 2015 (i det følgende benævnt "Revisionsrettens beretning") har fastslået, at den har fået rimelig sikkerhed for, at årsregnskabet for regnskabsåret 2015 er rigtigt, og at de underliggende transaktioner er lovlige og formelt rigtige;</w:t>
      </w:r>
    </w:p>
    <w:p w14:paraId="700F3FC9" w14:textId="42E325D9" w:rsidR="004C3287" w:rsidRPr="00771F6E" w:rsidRDefault="004C3287" w:rsidP="004C3287">
      <w:pPr>
        <w:pStyle w:val="Normal12Hanging"/>
      </w:pPr>
      <w:r w:rsidRPr="00771F6E">
        <w:t>C.</w:t>
      </w:r>
      <w:r w:rsidRPr="00771F6E">
        <w:tab/>
        <w:t>der henviser til, at dechargemyndigheden inden for rammerne af dechargeproceduren understreger den særlige betydning af at styrke EU-institutionernes demokratiske legitimitet yderligere ved at forbedre gennemsigtigheden og ansvarligheden, gennemføre begrebet resultatbaseret budgettering og sørge for god forvaltning af menneskelige ressourcer;</w:t>
      </w:r>
    </w:p>
    <w:p w14:paraId="140F06A5" w14:textId="77777777" w:rsidR="004C3287" w:rsidRPr="00771F6E" w:rsidRDefault="004C3287" w:rsidP="004C3287">
      <w:pPr>
        <w:pStyle w:val="Normal12Hanging"/>
        <w:rPr>
          <w:b/>
          <w:i/>
        </w:rPr>
      </w:pPr>
      <w:r w:rsidRPr="00771F6E">
        <w:rPr>
          <w:b/>
          <w:i/>
        </w:rPr>
        <w:t>Budgetmæssig og økonomisk forvaltning</w:t>
      </w:r>
    </w:p>
    <w:p w14:paraId="5A0887EB" w14:textId="77777777" w:rsidR="004C3287" w:rsidRPr="00771F6E" w:rsidRDefault="004C3287" w:rsidP="004C3287">
      <w:pPr>
        <w:pStyle w:val="Normal12Hanging"/>
      </w:pPr>
      <w:r w:rsidRPr="00771F6E">
        <w:t>1.</w:t>
      </w:r>
      <w:r w:rsidRPr="00771F6E">
        <w:tab/>
        <w:t>bemærker, at budgetovervågningsindsatsen i regnskabsåret 2015 resulterede i en gennemførelsesgrad for forpligtelsesbevillinger på 98,92 %, hvilket er en stigning på 7,84 % i forhold til 2014; konstaterer, at udnyttelsesgraden for betalingsbevillinger var på 62,86 %, hvilket er et fald på 18,27 % i forhold til 2014; opfordrer indtrængende agenturet til så vidt muligt at overholde princippet om etårighed i fremtiden;</w:t>
      </w:r>
    </w:p>
    <w:p w14:paraId="14531E76" w14:textId="77777777" w:rsidR="004C3287" w:rsidRPr="00771F6E" w:rsidRDefault="004C3287" w:rsidP="004C3287">
      <w:pPr>
        <w:pStyle w:val="Normal12Hanging"/>
      </w:pPr>
      <w:r w:rsidRPr="00771F6E">
        <w:t>2.</w:t>
      </w:r>
      <w:r w:rsidRPr="00771F6E">
        <w:tab/>
        <w:t>bemærker på baggrund af Revisionsrettens beretning, at niveauet for fremførsel af forpligtede bevillinger var på 41 482 EUR (50,5 %) for afsnit II (administrationsudgifter) i forhold til 8 970 EUR i 2014 (14,9 %); bemærker, at disse fremførsler for agenturet havde forbindelse med indkøbet af IT-hardware og rådgivningstjenester, som var bestilt i fjerde kvartal af 2015, og som rakte ind i det nye år, hovedsagelig på grund af forsinket beslutningstagning i forbindelse med muligheden for at bruge Kommissionens DIGIT-rammekontrakter;</w:t>
      </w:r>
    </w:p>
    <w:p w14:paraId="53C45169" w14:textId="77777777" w:rsidR="004C3287" w:rsidRPr="00771F6E" w:rsidRDefault="004C3287" w:rsidP="004C3287">
      <w:pPr>
        <w:pStyle w:val="Normal12Hanging"/>
        <w:rPr>
          <w:b/>
          <w:i/>
          <w:szCs w:val="24"/>
        </w:rPr>
      </w:pPr>
      <w:r w:rsidRPr="00771F6E">
        <w:rPr>
          <w:b/>
          <w:i/>
        </w:rPr>
        <w:t>Udbuds- og ansættelsesprocedurer</w:t>
      </w:r>
    </w:p>
    <w:p w14:paraId="2D73F9FE" w14:textId="7B87192A" w:rsidR="004C3287" w:rsidRPr="00771F6E" w:rsidRDefault="004C3287" w:rsidP="004C3287">
      <w:pPr>
        <w:pStyle w:val="Normal12Hanging"/>
      </w:pPr>
      <w:r w:rsidRPr="00771F6E">
        <w:lastRenderedPageBreak/>
        <w:t>3.</w:t>
      </w:r>
      <w:r w:rsidRPr="00771F6E">
        <w:tab/>
        <w:t>bemærker, at agenturet havde 17 ansatte ved udgangen af 2015, som alle var tjenestemænd i Kommissionen; bemærker endvidere, at en kontraktansat ikke blev erstattet, efter at den pågældende var fratrådt stillingen;</w:t>
      </w:r>
    </w:p>
    <w:p w14:paraId="554A5EBD" w14:textId="77777777" w:rsidR="004C3287" w:rsidRPr="00771F6E" w:rsidRDefault="004C3287" w:rsidP="004C3287">
      <w:pPr>
        <w:pStyle w:val="Normal12Hanging"/>
        <w:rPr>
          <w:b/>
          <w:i/>
        </w:rPr>
      </w:pPr>
      <w:r w:rsidRPr="00771F6E">
        <w:rPr>
          <w:b/>
          <w:i/>
        </w:rPr>
        <w:t>Andre bemærkninger</w:t>
      </w:r>
    </w:p>
    <w:p w14:paraId="21214DDB" w14:textId="0FF43792" w:rsidR="004C3287" w:rsidRPr="00771F6E" w:rsidRDefault="004C3287" w:rsidP="004C3287">
      <w:pPr>
        <w:pStyle w:val="Normal12Hanging"/>
      </w:pPr>
      <w:r w:rsidRPr="00771F6E">
        <w:t>4.</w:t>
      </w:r>
      <w:r w:rsidRPr="00771F6E">
        <w:tab/>
        <w:t>bemærker, at agenturet ifølge eget udsagn i 2015 gennemførte 375 transaktioner, herunder kontrakter, ændringer og meddelelser om front-end-aktiviteter for at sikre forsyningssikkerheden for nukleare materialer;</w:t>
      </w:r>
    </w:p>
    <w:p w14:paraId="15B49231" w14:textId="270494D6" w:rsidR="004C3287" w:rsidRPr="00771F6E" w:rsidRDefault="004C3287" w:rsidP="004C3287">
      <w:pPr>
        <w:pStyle w:val="Normal12Hanging"/>
      </w:pPr>
      <w:r w:rsidRPr="00771F6E">
        <w:t>5.</w:t>
      </w:r>
      <w:r w:rsidRPr="00771F6E">
        <w:tab/>
        <w:t>bemærker, at agenturet i 2015 udarbejdede og forelagde sit rådgivende udvalg et udkast til forslag om at ændre dets regler for at bringe dem i overensstemmelse med almindelig markedspraksis; bemærker endvidere, at dette, hvis det vedtages, vil være den første revision af reglerne siden 1975; opfordrer agenturet til at underrette dechargemyndigheden om den videre udvikling hvad ændringen af dets regler angår;</w:t>
      </w:r>
    </w:p>
    <w:p w14:paraId="4B592E27" w14:textId="77777777" w:rsidR="004C3287" w:rsidRPr="00771F6E" w:rsidRDefault="004C3287" w:rsidP="004C3287">
      <w:pPr>
        <w:pStyle w:val="Visa"/>
        <w:tabs>
          <w:tab w:val="clear" w:pos="357"/>
          <w:tab w:val="left" w:pos="567"/>
        </w:tabs>
        <w:ind w:left="567" w:hanging="567"/>
        <w:jc w:val="center"/>
      </w:pPr>
      <w:r w:rsidRPr="00771F6E">
        <w:t>°</w:t>
      </w:r>
    </w:p>
    <w:p w14:paraId="374C6B88" w14:textId="77777777" w:rsidR="004C3287" w:rsidRPr="00771F6E" w:rsidRDefault="004C3287" w:rsidP="004C3287">
      <w:pPr>
        <w:pStyle w:val="Visa"/>
        <w:tabs>
          <w:tab w:val="clear" w:pos="357"/>
          <w:tab w:val="left" w:pos="567"/>
        </w:tabs>
        <w:ind w:left="567" w:hanging="567"/>
        <w:jc w:val="center"/>
      </w:pPr>
      <w:r w:rsidRPr="00771F6E">
        <w:t>°</w:t>
      </w:r>
      <w:r w:rsidRPr="00771F6E">
        <w:tab/>
        <w:t>°</w:t>
      </w:r>
    </w:p>
    <w:p w14:paraId="09C60053" w14:textId="77777777" w:rsidR="004C3287" w:rsidRPr="00771F6E" w:rsidRDefault="004C3287" w:rsidP="004C3287">
      <w:pPr>
        <w:pStyle w:val="CM1"/>
        <w:ind w:left="567" w:hanging="567"/>
      </w:pPr>
      <w:r w:rsidRPr="00771F6E">
        <w:t>6.</w:t>
      </w:r>
      <w:r w:rsidRPr="00771F6E">
        <w:tab/>
        <w:t>henviser med hensyn til de øvrige bemærkninger, der ledsager dechargeafgørelsen, og som er af horisontal karakter, til sin beslutning af [xx xxxx 2017]</w:t>
      </w:r>
      <w:r w:rsidRPr="00771F6E">
        <w:rPr>
          <w:rStyle w:val="FootnoteReference"/>
          <w:rFonts w:ascii="Times New Roman" w:hAnsi="Times New Roman"/>
        </w:rPr>
        <w:footnoteReference w:id="9"/>
      </w:r>
      <w:r w:rsidRPr="00771F6E">
        <w:t xml:space="preserve"> [om resultater, økonomisk forvaltning og kontrol med agenturer].).</w:t>
      </w:r>
    </w:p>
    <w:p w14:paraId="7291DB3E" w14:textId="10CBF847" w:rsidR="006450F5" w:rsidRPr="00771F6E" w:rsidRDefault="006450F5" w:rsidP="00CA44A5">
      <w:pPr>
        <w:pStyle w:val="PageHeading"/>
      </w:pPr>
      <w:r w:rsidRPr="00771F6E">
        <w:br w:type="page"/>
      </w:r>
    </w:p>
    <w:p w14:paraId="079C7269" w14:textId="205A54D4" w:rsidR="00CA44A5" w:rsidRPr="00771F6E" w:rsidRDefault="00CA44A5" w:rsidP="00CA44A5">
      <w:pPr>
        <w:pStyle w:val="PageHeading"/>
      </w:pPr>
      <w:bookmarkStart w:id="16" w:name="_Toc478641114"/>
      <w:bookmarkStart w:id="17" w:name="ProcPageRR"/>
      <w:bookmarkStart w:id="18" w:name="_Toc480472062"/>
      <w:r w:rsidRPr="00771F6E">
        <w:t>OPLYSNINGER OM VEDTAGELSEN I KORRESPONDERENDE UDVALG</w:t>
      </w:r>
      <w:bookmarkEnd w:id="16"/>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A44A5" w:rsidRPr="00771F6E" w14:paraId="6686D96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DDE7DC" w14:textId="77777777" w:rsidR="00CA44A5" w:rsidRPr="00771F6E" w:rsidRDefault="00CA44A5">
            <w:pPr>
              <w:autoSpaceDE w:val="0"/>
              <w:autoSpaceDN w:val="0"/>
              <w:adjustRightInd w:val="0"/>
              <w:rPr>
                <w:b/>
                <w:bCs/>
                <w:color w:val="000000"/>
                <w:sz w:val="20"/>
              </w:rPr>
            </w:pPr>
            <w:r w:rsidRPr="00771F6E">
              <w:rPr>
                <w:b/>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14A1DD" w14:textId="77777777" w:rsidR="00CA44A5" w:rsidRPr="00771F6E" w:rsidRDefault="00CA44A5">
            <w:pPr>
              <w:autoSpaceDE w:val="0"/>
              <w:autoSpaceDN w:val="0"/>
              <w:adjustRightInd w:val="0"/>
              <w:rPr>
                <w:color w:val="000000"/>
                <w:sz w:val="20"/>
              </w:rPr>
            </w:pPr>
            <w:r w:rsidRPr="00771F6E">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9264F1" w14:textId="77777777" w:rsidR="00CA44A5" w:rsidRPr="00771F6E" w:rsidRDefault="00CA44A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373A3B" w14:textId="77777777" w:rsidR="00CA44A5" w:rsidRPr="00771F6E" w:rsidRDefault="00CA44A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C1CA9E" w14:textId="77777777" w:rsidR="00CA44A5" w:rsidRPr="00771F6E" w:rsidRDefault="00CA44A5">
            <w:pPr>
              <w:autoSpaceDE w:val="0"/>
              <w:autoSpaceDN w:val="0"/>
              <w:adjustRightInd w:val="0"/>
              <w:rPr>
                <w:rFonts w:ascii="sans-serif" w:hAnsi="sans-serif" w:cs="sans-serif"/>
                <w:color w:val="000000"/>
                <w:szCs w:val="24"/>
              </w:rPr>
            </w:pPr>
          </w:p>
        </w:tc>
      </w:tr>
      <w:tr w:rsidR="00CA44A5" w:rsidRPr="00771F6E" w14:paraId="2252847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50161E" w14:textId="77777777" w:rsidR="00CA44A5" w:rsidRPr="00771F6E" w:rsidRDefault="00CA44A5">
            <w:pPr>
              <w:autoSpaceDE w:val="0"/>
              <w:autoSpaceDN w:val="0"/>
              <w:adjustRightInd w:val="0"/>
              <w:rPr>
                <w:b/>
                <w:bCs/>
                <w:color w:val="000000"/>
                <w:sz w:val="20"/>
              </w:rPr>
            </w:pPr>
            <w:r w:rsidRPr="00771F6E">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6D6FD7" w14:textId="77777777" w:rsidR="00CA44A5" w:rsidRPr="00771F6E" w:rsidRDefault="00CA44A5">
            <w:pPr>
              <w:autoSpaceDE w:val="0"/>
              <w:autoSpaceDN w:val="0"/>
              <w:adjustRightInd w:val="0"/>
              <w:rPr>
                <w:color w:val="000000"/>
                <w:sz w:val="20"/>
              </w:rPr>
            </w:pPr>
            <w:r w:rsidRPr="00771F6E">
              <w:rPr>
                <w:color w:val="000000"/>
                <w:sz w:val="20"/>
              </w:rPr>
              <w:t>+:</w:t>
            </w:r>
          </w:p>
          <w:p w14:paraId="1E685703" w14:textId="77777777" w:rsidR="00CA44A5" w:rsidRPr="00771F6E" w:rsidRDefault="00CA44A5">
            <w:pPr>
              <w:autoSpaceDE w:val="0"/>
              <w:autoSpaceDN w:val="0"/>
              <w:adjustRightInd w:val="0"/>
              <w:rPr>
                <w:color w:val="000000"/>
                <w:sz w:val="20"/>
              </w:rPr>
            </w:pPr>
            <w:r w:rsidRPr="00771F6E">
              <w:rPr>
                <w:color w:val="000000"/>
                <w:sz w:val="20"/>
              </w:rPr>
              <w:t>–:</w:t>
            </w:r>
          </w:p>
          <w:p w14:paraId="23DEC1A4" w14:textId="77777777" w:rsidR="00CA44A5" w:rsidRPr="00771F6E" w:rsidRDefault="00CA44A5">
            <w:pPr>
              <w:autoSpaceDE w:val="0"/>
              <w:autoSpaceDN w:val="0"/>
              <w:adjustRightInd w:val="0"/>
              <w:rPr>
                <w:color w:val="000000"/>
                <w:sz w:val="20"/>
              </w:rPr>
            </w:pPr>
            <w:r w:rsidRPr="00771F6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B78938" w14:textId="77777777" w:rsidR="00CA44A5" w:rsidRPr="00771F6E" w:rsidRDefault="00CA44A5">
            <w:pPr>
              <w:autoSpaceDE w:val="0"/>
              <w:autoSpaceDN w:val="0"/>
              <w:adjustRightInd w:val="0"/>
              <w:rPr>
                <w:color w:val="000000"/>
                <w:sz w:val="20"/>
              </w:rPr>
            </w:pPr>
            <w:r w:rsidRPr="00771F6E">
              <w:rPr>
                <w:color w:val="000000"/>
                <w:sz w:val="20"/>
              </w:rPr>
              <w:t>24</w:t>
            </w:r>
          </w:p>
          <w:p w14:paraId="2317FE9D" w14:textId="77777777" w:rsidR="00CA44A5" w:rsidRPr="00771F6E" w:rsidRDefault="00CA44A5">
            <w:pPr>
              <w:autoSpaceDE w:val="0"/>
              <w:autoSpaceDN w:val="0"/>
              <w:adjustRightInd w:val="0"/>
              <w:rPr>
                <w:color w:val="000000"/>
                <w:sz w:val="20"/>
              </w:rPr>
            </w:pPr>
            <w:r w:rsidRPr="00771F6E">
              <w:rPr>
                <w:color w:val="000000"/>
                <w:sz w:val="20"/>
              </w:rPr>
              <w:t>5</w:t>
            </w:r>
          </w:p>
          <w:p w14:paraId="6A8F9BA2" w14:textId="77777777" w:rsidR="00CA44A5" w:rsidRPr="00771F6E" w:rsidRDefault="00CA44A5">
            <w:pPr>
              <w:autoSpaceDE w:val="0"/>
              <w:autoSpaceDN w:val="0"/>
              <w:adjustRightInd w:val="0"/>
              <w:rPr>
                <w:color w:val="000000"/>
                <w:sz w:val="20"/>
              </w:rPr>
            </w:pPr>
            <w:r w:rsidRPr="00771F6E">
              <w:rPr>
                <w:color w:val="000000"/>
                <w:sz w:val="20"/>
              </w:rPr>
              <w:t>0</w:t>
            </w:r>
          </w:p>
        </w:tc>
      </w:tr>
      <w:tr w:rsidR="00CA44A5" w:rsidRPr="00771F6E" w14:paraId="55817A3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AFE726" w14:textId="77777777" w:rsidR="00CA44A5" w:rsidRPr="00771F6E" w:rsidRDefault="00CA44A5">
            <w:pPr>
              <w:autoSpaceDE w:val="0"/>
              <w:autoSpaceDN w:val="0"/>
              <w:adjustRightInd w:val="0"/>
              <w:rPr>
                <w:b/>
                <w:bCs/>
                <w:color w:val="000000"/>
                <w:sz w:val="20"/>
              </w:rPr>
            </w:pPr>
            <w:r w:rsidRPr="00771F6E">
              <w:rPr>
                <w:b/>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437F8F" w14:textId="77777777" w:rsidR="00CA44A5" w:rsidRPr="00771F6E" w:rsidRDefault="00CA44A5">
            <w:pPr>
              <w:autoSpaceDE w:val="0"/>
              <w:autoSpaceDN w:val="0"/>
              <w:adjustRightInd w:val="0"/>
              <w:rPr>
                <w:color w:val="000000"/>
                <w:sz w:val="20"/>
              </w:rPr>
            </w:pPr>
            <w:r w:rsidRPr="00771F6E">
              <w:rPr>
                <w:color w:val="000000"/>
                <w:sz w:val="20"/>
              </w:rPr>
              <w:t>Inés Ayala Sender, Dennis de Jong, Tamás Deutsch, Martina Dlabajová, Luke Ming Flanagan, Ingeborg Gräßle, Cătălin Sorin Ivan, Jean-François Jalkh, Bogusław Liberadzki, Monica Macovei, Notis Marias, José Ignacio Salafranca Sánchez-Neyra, Petri Sarvamaa, Claudia Schmidt, Bart Staes, Hannu Takkula, Derek Vaughan, Joachim Zeller</w:t>
            </w:r>
          </w:p>
        </w:tc>
      </w:tr>
      <w:tr w:rsidR="00CA44A5" w:rsidRPr="00771F6E" w14:paraId="4108AB5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3ABE69" w14:textId="77777777" w:rsidR="00CA44A5" w:rsidRPr="00771F6E" w:rsidRDefault="00CA44A5">
            <w:pPr>
              <w:autoSpaceDE w:val="0"/>
              <w:autoSpaceDN w:val="0"/>
              <w:adjustRightInd w:val="0"/>
              <w:rPr>
                <w:b/>
                <w:bCs/>
                <w:color w:val="000000"/>
                <w:sz w:val="20"/>
              </w:rPr>
            </w:pPr>
            <w:r w:rsidRPr="00771F6E">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A7BCF3" w14:textId="77777777" w:rsidR="00CA44A5" w:rsidRPr="00771F6E" w:rsidRDefault="00CA44A5">
            <w:pPr>
              <w:autoSpaceDE w:val="0"/>
              <w:autoSpaceDN w:val="0"/>
              <w:adjustRightInd w:val="0"/>
              <w:rPr>
                <w:color w:val="000000"/>
                <w:sz w:val="20"/>
              </w:rPr>
            </w:pPr>
            <w:r w:rsidRPr="00771F6E">
              <w:rPr>
                <w:color w:val="000000"/>
                <w:sz w:val="20"/>
              </w:rPr>
              <w:t>Richard Ashworth, Gerben-Jan Gerbrandy, Benedek Jávor, Karin Kadenbach, Julia Pitera, Patricija Šulin</w:t>
            </w:r>
          </w:p>
        </w:tc>
      </w:tr>
      <w:tr w:rsidR="00CA44A5" w:rsidRPr="00771F6E" w14:paraId="29DF35C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4A111A1" w14:textId="77777777" w:rsidR="00CA44A5" w:rsidRPr="00771F6E" w:rsidRDefault="00CA44A5">
            <w:pPr>
              <w:autoSpaceDE w:val="0"/>
              <w:autoSpaceDN w:val="0"/>
              <w:adjustRightInd w:val="0"/>
              <w:rPr>
                <w:b/>
                <w:bCs/>
                <w:color w:val="000000"/>
                <w:sz w:val="20"/>
              </w:rPr>
            </w:pPr>
            <w:r w:rsidRPr="00771F6E">
              <w:rPr>
                <w:b/>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2E00BE" w14:textId="77777777" w:rsidR="00CA44A5" w:rsidRPr="00771F6E" w:rsidRDefault="00CA44A5">
            <w:pPr>
              <w:autoSpaceDE w:val="0"/>
              <w:autoSpaceDN w:val="0"/>
              <w:adjustRightInd w:val="0"/>
              <w:rPr>
                <w:color w:val="000000"/>
                <w:sz w:val="20"/>
              </w:rPr>
            </w:pPr>
            <w:r w:rsidRPr="00771F6E">
              <w:rPr>
                <w:color w:val="000000"/>
                <w:sz w:val="20"/>
              </w:rPr>
              <w:t>Raymond Finch, Jens Geier, Susanne Melior, Piernicola Pedicini, Janusz Zemke</w:t>
            </w:r>
          </w:p>
        </w:tc>
      </w:tr>
    </w:tbl>
    <w:p w14:paraId="731F6C22" w14:textId="77777777" w:rsidR="00CA44A5" w:rsidRPr="00771F6E" w:rsidRDefault="00CA44A5">
      <w:pPr>
        <w:autoSpaceDE w:val="0"/>
        <w:autoSpaceDN w:val="0"/>
        <w:adjustRightInd w:val="0"/>
        <w:rPr>
          <w:rFonts w:ascii="Arial" w:hAnsi="Arial" w:cs="Arial"/>
          <w:szCs w:val="24"/>
        </w:rPr>
      </w:pPr>
    </w:p>
    <w:bookmarkEnd w:id="17"/>
    <w:p w14:paraId="65A044AF" w14:textId="48C3F351" w:rsidR="000700E4" w:rsidRPr="00771F6E" w:rsidRDefault="000700E4" w:rsidP="00CA44A5">
      <w:pPr>
        <w:pStyle w:val="PageHeading"/>
      </w:pPr>
      <w:r w:rsidRPr="00771F6E">
        <w:br w:type="page"/>
      </w:r>
      <w:bookmarkStart w:id="19" w:name="_Toc478641115"/>
      <w:bookmarkStart w:id="20" w:name="RollCallPageRR"/>
      <w:bookmarkStart w:id="21" w:name="_Toc480472063"/>
      <w:r w:rsidRPr="00771F6E">
        <w:lastRenderedPageBreak/>
        <w:t>ENDELIG AFSTEMNING VED NAVNEOPRÅB I KORRESPONDERENDE UDVALG</w:t>
      </w:r>
      <w:bookmarkEnd w:id="19"/>
      <w:bookmarkEnd w:id="2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700E4" w:rsidRPr="00771F6E" w14:paraId="73321B3B" w14:textId="77777777" w:rsidTr="008920AC">
        <w:trPr>
          <w:cantSplit/>
        </w:trPr>
        <w:tc>
          <w:tcPr>
            <w:tcW w:w="1701" w:type="dxa"/>
            <w:shd w:val="pct10" w:color="000000" w:fill="FFFFFF"/>
            <w:vAlign w:val="center"/>
          </w:tcPr>
          <w:p w14:paraId="5077D666" w14:textId="4C677F9B" w:rsidR="000700E4" w:rsidRPr="00771F6E" w:rsidRDefault="000700E4" w:rsidP="008920AC">
            <w:pPr>
              <w:spacing w:before="120" w:after="120"/>
              <w:jc w:val="center"/>
              <w:rPr>
                <w:b/>
                <w:sz w:val="16"/>
              </w:rPr>
            </w:pPr>
            <w:r w:rsidRPr="00771F6E">
              <w:rPr>
                <w:b/>
                <w:sz w:val="16"/>
              </w:rPr>
              <w:t>24</w:t>
            </w:r>
          </w:p>
        </w:tc>
        <w:tc>
          <w:tcPr>
            <w:tcW w:w="7371" w:type="dxa"/>
            <w:shd w:val="pct10" w:color="000000" w:fill="FFFFFF"/>
          </w:tcPr>
          <w:p w14:paraId="2068E551" w14:textId="77777777" w:rsidR="000700E4" w:rsidRPr="00771F6E" w:rsidRDefault="000700E4" w:rsidP="008920AC">
            <w:pPr>
              <w:spacing w:before="120" w:after="120"/>
              <w:jc w:val="center"/>
              <w:rPr>
                <w:rFonts w:ascii="Arial" w:hAnsi="Arial" w:cs="Arial"/>
                <w:b/>
                <w:sz w:val="28"/>
                <w:szCs w:val="28"/>
              </w:rPr>
            </w:pPr>
            <w:r w:rsidRPr="00771F6E">
              <w:rPr>
                <w:rFonts w:ascii="Arial" w:hAnsi="Arial"/>
                <w:b/>
                <w:sz w:val="28"/>
              </w:rPr>
              <w:t>+</w:t>
            </w:r>
          </w:p>
        </w:tc>
      </w:tr>
      <w:tr w:rsidR="000700E4" w:rsidRPr="00771F6E" w14:paraId="56A1AF6D" w14:textId="77777777" w:rsidTr="008920AC">
        <w:trPr>
          <w:cantSplit/>
        </w:trPr>
        <w:tc>
          <w:tcPr>
            <w:tcW w:w="1701" w:type="dxa"/>
            <w:shd w:val="clear" w:color="auto" w:fill="FFFFFF"/>
          </w:tcPr>
          <w:p w14:paraId="59982C19" w14:textId="77777777" w:rsidR="000700E4" w:rsidRPr="001C23DD" w:rsidRDefault="000700E4" w:rsidP="000700E4">
            <w:pPr>
              <w:spacing w:before="120" w:after="120"/>
              <w:rPr>
                <w:sz w:val="16"/>
                <w:lang w:val="pt-PT"/>
              </w:rPr>
            </w:pPr>
            <w:r w:rsidRPr="001C23DD">
              <w:rPr>
                <w:sz w:val="16"/>
                <w:lang w:val="pt-PT"/>
              </w:rPr>
              <w:t>ALDE</w:t>
            </w:r>
          </w:p>
          <w:p w14:paraId="3DE0A27C" w14:textId="77777777" w:rsidR="000700E4" w:rsidRPr="001C23DD" w:rsidRDefault="000700E4" w:rsidP="000700E4">
            <w:pPr>
              <w:spacing w:before="120" w:after="120"/>
              <w:rPr>
                <w:sz w:val="16"/>
                <w:lang w:val="pt-PT"/>
              </w:rPr>
            </w:pPr>
            <w:r w:rsidRPr="001C23DD">
              <w:rPr>
                <w:sz w:val="16"/>
                <w:lang w:val="pt-PT"/>
              </w:rPr>
              <w:t>ECR</w:t>
            </w:r>
          </w:p>
          <w:p w14:paraId="6DC63BFF" w14:textId="77777777" w:rsidR="000700E4" w:rsidRPr="001C23DD" w:rsidRDefault="000700E4" w:rsidP="000700E4">
            <w:pPr>
              <w:spacing w:before="120" w:after="120"/>
              <w:rPr>
                <w:sz w:val="16"/>
                <w:lang w:val="pt-PT"/>
              </w:rPr>
            </w:pPr>
            <w:r w:rsidRPr="001C23DD">
              <w:rPr>
                <w:sz w:val="16"/>
                <w:lang w:val="pt-PT"/>
              </w:rPr>
              <w:t>GUE/NGL</w:t>
            </w:r>
          </w:p>
          <w:p w14:paraId="68F89461" w14:textId="77777777" w:rsidR="000700E4" w:rsidRPr="001C23DD" w:rsidRDefault="000700E4" w:rsidP="000700E4">
            <w:pPr>
              <w:spacing w:before="120" w:after="120"/>
              <w:rPr>
                <w:sz w:val="16"/>
                <w:lang w:val="pt-PT"/>
              </w:rPr>
            </w:pPr>
            <w:r w:rsidRPr="001C23DD">
              <w:rPr>
                <w:sz w:val="16"/>
                <w:lang w:val="pt-PT"/>
              </w:rPr>
              <w:t>PPE</w:t>
            </w:r>
          </w:p>
          <w:p w14:paraId="23613910" w14:textId="77777777" w:rsidR="000700E4" w:rsidRPr="001C23DD" w:rsidRDefault="000700E4" w:rsidP="000700E4">
            <w:pPr>
              <w:spacing w:before="360" w:after="120"/>
              <w:rPr>
                <w:sz w:val="16"/>
                <w:lang w:val="pt-PT"/>
              </w:rPr>
            </w:pPr>
            <w:r w:rsidRPr="001C23DD">
              <w:rPr>
                <w:sz w:val="16"/>
                <w:lang w:val="pt-PT"/>
              </w:rPr>
              <w:t>S&amp;D</w:t>
            </w:r>
          </w:p>
          <w:p w14:paraId="644B9939" w14:textId="63D6DCE6" w:rsidR="000700E4" w:rsidRPr="00771F6E" w:rsidRDefault="000700E4" w:rsidP="000700E4">
            <w:pPr>
              <w:spacing w:before="120" w:after="120"/>
              <w:rPr>
                <w:sz w:val="16"/>
              </w:rPr>
            </w:pPr>
            <w:r w:rsidRPr="00771F6E">
              <w:rPr>
                <w:sz w:val="16"/>
              </w:rPr>
              <w:t>VERTS/ALE</w:t>
            </w:r>
          </w:p>
        </w:tc>
        <w:tc>
          <w:tcPr>
            <w:tcW w:w="7371" w:type="dxa"/>
            <w:shd w:val="clear" w:color="auto" w:fill="FFFFFF"/>
          </w:tcPr>
          <w:p w14:paraId="195A9AE8" w14:textId="77777777" w:rsidR="000700E4" w:rsidRPr="00771F6E" w:rsidRDefault="000700E4" w:rsidP="000700E4">
            <w:pPr>
              <w:spacing w:before="120" w:after="120"/>
              <w:rPr>
                <w:sz w:val="16"/>
              </w:rPr>
            </w:pPr>
            <w:r w:rsidRPr="00771F6E">
              <w:rPr>
                <w:sz w:val="16"/>
              </w:rPr>
              <w:t>Martina Dlabajová, Gerben-Jan Gerbrandy, Hannu Takkula</w:t>
            </w:r>
          </w:p>
          <w:p w14:paraId="43F56D81" w14:textId="77777777" w:rsidR="000700E4" w:rsidRPr="00771F6E" w:rsidRDefault="000700E4" w:rsidP="000700E4">
            <w:pPr>
              <w:spacing w:before="120" w:after="120"/>
              <w:rPr>
                <w:sz w:val="16"/>
              </w:rPr>
            </w:pPr>
            <w:r w:rsidRPr="00771F6E">
              <w:rPr>
                <w:sz w:val="16"/>
              </w:rPr>
              <w:t>Monica Macovei</w:t>
            </w:r>
          </w:p>
          <w:p w14:paraId="3976C2AF" w14:textId="77777777" w:rsidR="000700E4" w:rsidRPr="00771F6E" w:rsidRDefault="000700E4" w:rsidP="000700E4">
            <w:pPr>
              <w:spacing w:before="120" w:after="120"/>
              <w:rPr>
                <w:sz w:val="16"/>
              </w:rPr>
            </w:pPr>
            <w:r w:rsidRPr="00771F6E">
              <w:rPr>
                <w:sz w:val="16"/>
              </w:rPr>
              <w:t>Luke Ming Flanagan, Dennis de Jong</w:t>
            </w:r>
          </w:p>
          <w:p w14:paraId="1C177EBB" w14:textId="77777777" w:rsidR="000700E4" w:rsidRPr="00771F6E" w:rsidRDefault="000700E4" w:rsidP="000700E4">
            <w:pPr>
              <w:spacing w:before="120" w:after="120"/>
              <w:rPr>
                <w:sz w:val="16"/>
              </w:rPr>
            </w:pPr>
            <w:r w:rsidRPr="00771F6E">
              <w:rPr>
                <w:sz w:val="16"/>
              </w:rPr>
              <w:t>Tamás Deutsch, Ingeborg Gräßle, Julia Pitera, José Ignacio Salafranca Sánchez-Neyra, Petri Sarvamaa, Claudia Schmidt, Joachim Zeller, Patricija Šulin</w:t>
            </w:r>
          </w:p>
          <w:p w14:paraId="4C658687" w14:textId="77777777" w:rsidR="000700E4" w:rsidRPr="00771F6E" w:rsidRDefault="000700E4" w:rsidP="000700E4">
            <w:pPr>
              <w:spacing w:before="120" w:after="120"/>
              <w:rPr>
                <w:sz w:val="16"/>
              </w:rPr>
            </w:pPr>
            <w:r w:rsidRPr="00771F6E">
              <w:rPr>
                <w:sz w:val="16"/>
              </w:rPr>
              <w:t>Inés Ayala Sender, Jens Geier, Cătălin Sorin Ivan, Karin Kadenbach, Bogusław Liberadzki, Susanne Melior, Derek Vaughan, Janusz Zemke</w:t>
            </w:r>
          </w:p>
          <w:p w14:paraId="43420409" w14:textId="6DE6C487" w:rsidR="000700E4" w:rsidRPr="00771F6E" w:rsidRDefault="000700E4" w:rsidP="000700E4">
            <w:pPr>
              <w:spacing w:before="120" w:after="120"/>
              <w:rPr>
                <w:sz w:val="16"/>
              </w:rPr>
            </w:pPr>
            <w:r w:rsidRPr="00771F6E">
              <w:rPr>
                <w:sz w:val="16"/>
              </w:rPr>
              <w:t>Benedek Jávor, Bart Staes</w:t>
            </w:r>
          </w:p>
        </w:tc>
      </w:tr>
    </w:tbl>
    <w:p w14:paraId="13D3C07E" w14:textId="77777777" w:rsidR="000700E4" w:rsidRPr="00771F6E" w:rsidRDefault="000700E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700E4" w:rsidRPr="00771F6E" w14:paraId="55C76284" w14:textId="77777777" w:rsidTr="008920AC">
        <w:trPr>
          <w:cantSplit/>
        </w:trPr>
        <w:tc>
          <w:tcPr>
            <w:tcW w:w="1701" w:type="dxa"/>
            <w:shd w:val="pct10" w:color="000000" w:fill="FFFFFF"/>
            <w:vAlign w:val="center"/>
          </w:tcPr>
          <w:p w14:paraId="3D8C57B9" w14:textId="488F83EA" w:rsidR="000700E4" w:rsidRPr="00771F6E" w:rsidRDefault="000700E4" w:rsidP="008920AC">
            <w:pPr>
              <w:spacing w:before="120" w:after="120"/>
              <w:jc w:val="center"/>
              <w:rPr>
                <w:b/>
                <w:sz w:val="16"/>
              </w:rPr>
            </w:pPr>
            <w:r w:rsidRPr="00771F6E">
              <w:rPr>
                <w:b/>
                <w:sz w:val="16"/>
              </w:rPr>
              <w:t>5</w:t>
            </w:r>
          </w:p>
        </w:tc>
        <w:tc>
          <w:tcPr>
            <w:tcW w:w="7371" w:type="dxa"/>
            <w:shd w:val="pct10" w:color="000000" w:fill="FFFFFF"/>
          </w:tcPr>
          <w:p w14:paraId="4C0E25A7" w14:textId="77777777" w:rsidR="000700E4" w:rsidRPr="00771F6E" w:rsidRDefault="000700E4" w:rsidP="008920AC">
            <w:pPr>
              <w:spacing w:before="120" w:after="120"/>
              <w:jc w:val="center"/>
              <w:rPr>
                <w:sz w:val="28"/>
                <w:szCs w:val="28"/>
              </w:rPr>
            </w:pPr>
            <w:r w:rsidRPr="00771F6E">
              <w:rPr>
                <w:rFonts w:ascii="Arial" w:hAnsi="Arial"/>
                <w:b/>
                <w:sz w:val="28"/>
              </w:rPr>
              <w:t>-</w:t>
            </w:r>
          </w:p>
        </w:tc>
      </w:tr>
      <w:tr w:rsidR="000700E4" w:rsidRPr="00771F6E" w14:paraId="6D90812A" w14:textId="77777777" w:rsidTr="008920AC">
        <w:trPr>
          <w:cantSplit/>
        </w:trPr>
        <w:tc>
          <w:tcPr>
            <w:tcW w:w="1701" w:type="dxa"/>
            <w:shd w:val="clear" w:color="auto" w:fill="FFFFFF"/>
          </w:tcPr>
          <w:p w14:paraId="584EB608" w14:textId="77777777" w:rsidR="000700E4" w:rsidRPr="00771F6E" w:rsidRDefault="000700E4" w:rsidP="000700E4">
            <w:pPr>
              <w:spacing w:before="120" w:after="120"/>
              <w:rPr>
                <w:sz w:val="16"/>
              </w:rPr>
            </w:pPr>
            <w:r w:rsidRPr="00771F6E">
              <w:rPr>
                <w:sz w:val="16"/>
              </w:rPr>
              <w:t>ECR</w:t>
            </w:r>
          </w:p>
          <w:p w14:paraId="5EAA244D" w14:textId="77777777" w:rsidR="000700E4" w:rsidRPr="00771F6E" w:rsidRDefault="000700E4" w:rsidP="000700E4">
            <w:pPr>
              <w:spacing w:before="120" w:after="120"/>
              <w:rPr>
                <w:sz w:val="16"/>
              </w:rPr>
            </w:pPr>
            <w:r w:rsidRPr="00771F6E">
              <w:rPr>
                <w:sz w:val="16"/>
              </w:rPr>
              <w:t>EFDD</w:t>
            </w:r>
          </w:p>
          <w:p w14:paraId="5D1B3C8A" w14:textId="403F7E2E" w:rsidR="000700E4" w:rsidRPr="00771F6E" w:rsidRDefault="000700E4" w:rsidP="000700E4">
            <w:pPr>
              <w:spacing w:before="120" w:after="120"/>
              <w:rPr>
                <w:sz w:val="16"/>
              </w:rPr>
            </w:pPr>
            <w:r w:rsidRPr="00771F6E">
              <w:rPr>
                <w:sz w:val="16"/>
              </w:rPr>
              <w:t>ENF</w:t>
            </w:r>
          </w:p>
        </w:tc>
        <w:tc>
          <w:tcPr>
            <w:tcW w:w="7371" w:type="dxa"/>
            <w:shd w:val="clear" w:color="auto" w:fill="FFFFFF"/>
          </w:tcPr>
          <w:p w14:paraId="4CF26CAC" w14:textId="77777777" w:rsidR="000700E4" w:rsidRPr="001C23DD" w:rsidRDefault="000700E4" w:rsidP="000700E4">
            <w:pPr>
              <w:spacing w:before="120" w:after="120"/>
              <w:rPr>
                <w:sz w:val="16"/>
                <w:lang w:val="en-GB"/>
              </w:rPr>
            </w:pPr>
            <w:r w:rsidRPr="001C23DD">
              <w:rPr>
                <w:sz w:val="16"/>
                <w:lang w:val="en-GB"/>
              </w:rPr>
              <w:t>Richard Ashworth, Notis Marias</w:t>
            </w:r>
          </w:p>
          <w:p w14:paraId="0B3FD489" w14:textId="77777777" w:rsidR="000700E4" w:rsidRPr="001C23DD" w:rsidRDefault="000700E4" w:rsidP="000700E4">
            <w:pPr>
              <w:spacing w:before="120" w:after="120"/>
              <w:rPr>
                <w:sz w:val="16"/>
                <w:lang w:val="en-GB"/>
              </w:rPr>
            </w:pPr>
            <w:r w:rsidRPr="001C23DD">
              <w:rPr>
                <w:sz w:val="16"/>
                <w:lang w:val="en-GB"/>
              </w:rPr>
              <w:t>Raymond Finch, Piernicola Pedicini</w:t>
            </w:r>
          </w:p>
          <w:p w14:paraId="78EE6B1F" w14:textId="2AC93B47" w:rsidR="000700E4" w:rsidRPr="00771F6E" w:rsidRDefault="000700E4" w:rsidP="000700E4">
            <w:pPr>
              <w:spacing w:before="120" w:after="120"/>
              <w:rPr>
                <w:sz w:val="16"/>
              </w:rPr>
            </w:pPr>
            <w:r w:rsidRPr="00771F6E">
              <w:rPr>
                <w:sz w:val="16"/>
              </w:rPr>
              <w:t>Jean-François Jalkh</w:t>
            </w:r>
          </w:p>
        </w:tc>
      </w:tr>
    </w:tbl>
    <w:p w14:paraId="5BB820AB" w14:textId="77777777" w:rsidR="000700E4" w:rsidRPr="00771F6E" w:rsidRDefault="000700E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700E4" w:rsidRPr="00771F6E" w14:paraId="78EA0AB4" w14:textId="77777777" w:rsidTr="008920AC">
        <w:trPr>
          <w:cantSplit/>
        </w:trPr>
        <w:tc>
          <w:tcPr>
            <w:tcW w:w="1701" w:type="dxa"/>
            <w:shd w:val="pct10" w:color="000000" w:fill="FFFFFF"/>
            <w:vAlign w:val="center"/>
          </w:tcPr>
          <w:p w14:paraId="41CA1610" w14:textId="17F5CC23" w:rsidR="000700E4" w:rsidRPr="00771F6E" w:rsidRDefault="000700E4" w:rsidP="008920AC">
            <w:pPr>
              <w:spacing w:before="120" w:after="120"/>
              <w:jc w:val="center"/>
              <w:rPr>
                <w:b/>
                <w:sz w:val="16"/>
              </w:rPr>
            </w:pPr>
            <w:r w:rsidRPr="00771F6E">
              <w:rPr>
                <w:b/>
                <w:sz w:val="16"/>
              </w:rPr>
              <w:t>0</w:t>
            </w:r>
          </w:p>
        </w:tc>
        <w:tc>
          <w:tcPr>
            <w:tcW w:w="7371" w:type="dxa"/>
            <w:shd w:val="pct10" w:color="000000" w:fill="FFFFFF"/>
          </w:tcPr>
          <w:p w14:paraId="00BD4AC5" w14:textId="77777777" w:rsidR="000700E4" w:rsidRPr="00771F6E" w:rsidRDefault="000700E4" w:rsidP="008920AC">
            <w:pPr>
              <w:spacing w:before="120" w:after="120"/>
              <w:jc w:val="center"/>
              <w:rPr>
                <w:sz w:val="28"/>
                <w:szCs w:val="28"/>
              </w:rPr>
            </w:pPr>
            <w:r w:rsidRPr="00771F6E">
              <w:rPr>
                <w:rFonts w:ascii="Arial" w:hAnsi="Arial"/>
                <w:b/>
                <w:sz w:val="28"/>
              </w:rPr>
              <w:t>0</w:t>
            </w:r>
          </w:p>
        </w:tc>
      </w:tr>
      <w:tr w:rsidR="000700E4" w:rsidRPr="00771F6E" w14:paraId="18AFBAB3" w14:textId="77777777" w:rsidTr="008920AC">
        <w:trPr>
          <w:cantSplit/>
        </w:trPr>
        <w:tc>
          <w:tcPr>
            <w:tcW w:w="1701" w:type="dxa"/>
            <w:shd w:val="clear" w:color="auto" w:fill="FFFFFF"/>
          </w:tcPr>
          <w:p w14:paraId="45A9A2DD" w14:textId="29DDDD65" w:rsidR="000700E4" w:rsidRPr="00771F6E" w:rsidRDefault="000700E4" w:rsidP="008920AC">
            <w:pPr>
              <w:spacing w:before="120" w:after="120"/>
              <w:rPr>
                <w:sz w:val="16"/>
              </w:rPr>
            </w:pPr>
            <w:r w:rsidRPr="00771F6E">
              <w:rPr>
                <w:sz w:val="16"/>
              </w:rPr>
              <w:t xml:space="preserve"> </w:t>
            </w:r>
          </w:p>
        </w:tc>
        <w:tc>
          <w:tcPr>
            <w:tcW w:w="7371" w:type="dxa"/>
            <w:shd w:val="clear" w:color="auto" w:fill="FFFFFF"/>
          </w:tcPr>
          <w:p w14:paraId="17D9C6E3" w14:textId="05647EF3" w:rsidR="000700E4" w:rsidRPr="00771F6E" w:rsidRDefault="000700E4" w:rsidP="008920AC">
            <w:pPr>
              <w:spacing w:before="120" w:after="120"/>
              <w:rPr>
                <w:sz w:val="16"/>
              </w:rPr>
            </w:pPr>
            <w:r w:rsidRPr="00771F6E">
              <w:rPr>
                <w:sz w:val="16"/>
              </w:rPr>
              <w:t xml:space="preserve"> </w:t>
            </w:r>
          </w:p>
        </w:tc>
      </w:tr>
    </w:tbl>
    <w:p w14:paraId="289A1C67" w14:textId="77777777" w:rsidR="000700E4" w:rsidRPr="00771F6E" w:rsidRDefault="000700E4" w:rsidP="00147FBF">
      <w:pPr>
        <w:pStyle w:val="Normal12"/>
      </w:pPr>
    </w:p>
    <w:p w14:paraId="3B4057D0" w14:textId="253594CC" w:rsidR="000700E4" w:rsidRPr="00771F6E" w:rsidRDefault="000700E4" w:rsidP="00B735E3">
      <w:r w:rsidRPr="00771F6E">
        <w:t>Tegnforklaring</w:t>
      </w:r>
    </w:p>
    <w:p w14:paraId="2E75897A" w14:textId="19403C37" w:rsidR="000700E4" w:rsidRPr="00771F6E" w:rsidRDefault="000700E4" w:rsidP="00B735E3">
      <w:pPr>
        <w:pStyle w:val="NormalTabs"/>
      </w:pPr>
      <w:r w:rsidRPr="00771F6E">
        <w:t>+</w:t>
      </w:r>
      <w:r w:rsidRPr="00771F6E">
        <w:tab/>
        <w:t>:</w:t>
      </w:r>
      <w:r w:rsidRPr="00771F6E">
        <w:tab/>
        <w:t>for</w:t>
      </w:r>
    </w:p>
    <w:p w14:paraId="6E27C8A9" w14:textId="14995C62" w:rsidR="000700E4" w:rsidRPr="00771F6E" w:rsidRDefault="000700E4" w:rsidP="00B735E3">
      <w:pPr>
        <w:pStyle w:val="NormalTabs"/>
      </w:pPr>
      <w:r w:rsidRPr="00771F6E">
        <w:t>-</w:t>
      </w:r>
      <w:r w:rsidRPr="00771F6E">
        <w:tab/>
        <w:t>:</w:t>
      </w:r>
      <w:r w:rsidRPr="00771F6E">
        <w:tab/>
        <w:t>imod</w:t>
      </w:r>
    </w:p>
    <w:p w14:paraId="0749F635" w14:textId="0CAB53B8" w:rsidR="000700E4" w:rsidRPr="00771F6E" w:rsidRDefault="000700E4" w:rsidP="00B735E3">
      <w:pPr>
        <w:pStyle w:val="NormalTabs"/>
      </w:pPr>
      <w:r w:rsidRPr="00771F6E">
        <w:t>0</w:t>
      </w:r>
      <w:r w:rsidRPr="00771F6E">
        <w:tab/>
        <w:t>:</w:t>
      </w:r>
      <w:r w:rsidRPr="00771F6E">
        <w:tab/>
        <w:t>hverken/eller</w:t>
      </w:r>
    </w:p>
    <w:p w14:paraId="3B76F7A4" w14:textId="77777777" w:rsidR="000700E4" w:rsidRPr="00771F6E" w:rsidRDefault="000700E4" w:rsidP="00AD5932"/>
    <w:bookmarkEnd w:id="20"/>
    <w:p w14:paraId="61569AFB" w14:textId="5795CFC9" w:rsidR="00E356E7" w:rsidRPr="00771F6E" w:rsidRDefault="00E356E7" w:rsidP="006450F5"/>
    <w:sectPr w:rsidR="00E356E7" w:rsidRPr="00771F6E" w:rsidSect="00771F6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3302" w14:textId="77777777" w:rsidR="0034738B" w:rsidRPr="00771F6E" w:rsidRDefault="0034738B">
      <w:r w:rsidRPr="00771F6E">
        <w:separator/>
      </w:r>
    </w:p>
  </w:endnote>
  <w:endnote w:type="continuationSeparator" w:id="0">
    <w:p w14:paraId="087AFEC1" w14:textId="77777777" w:rsidR="0034738B" w:rsidRPr="00771F6E" w:rsidRDefault="0034738B">
      <w:r w:rsidRPr="00771F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86AC6" w14:textId="77777777" w:rsidR="00771F6E" w:rsidRPr="00771F6E" w:rsidRDefault="00771F6E" w:rsidP="00771F6E">
    <w:pPr>
      <w:pStyle w:val="Footer"/>
    </w:pPr>
    <w:r w:rsidRPr="00771F6E">
      <w:t>PE</w:t>
    </w:r>
    <w:r w:rsidRPr="00771F6E">
      <w:rPr>
        <w:rStyle w:val="HideTWBExt"/>
        <w:noProof w:val="0"/>
      </w:rPr>
      <w:t>&lt;NoPE&gt;</w:t>
    </w:r>
    <w:r w:rsidRPr="00771F6E">
      <w:t>593.857</w:t>
    </w:r>
    <w:r w:rsidRPr="00771F6E">
      <w:rPr>
        <w:rStyle w:val="HideTWBExt"/>
        <w:noProof w:val="0"/>
      </w:rPr>
      <w:t>&lt;/NoPE&gt;&lt;Version&gt;</w:t>
    </w:r>
    <w:r w:rsidRPr="00771F6E">
      <w:t>v02-00</w:t>
    </w:r>
    <w:r w:rsidRPr="00771F6E">
      <w:rPr>
        <w:rStyle w:val="HideTWBExt"/>
        <w:noProof w:val="0"/>
      </w:rPr>
      <w:t>&lt;/Version&gt;</w:t>
    </w:r>
    <w:r w:rsidRPr="00771F6E">
      <w:tab/>
    </w:r>
    <w:r w:rsidRPr="00771F6E">
      <w:fldChar w:fldCharType="begin"/>
    </w:r>
    <w:r w:rsidRPr="00771F6E">
      <w:instrText xml:space="preserve"> PAGE  \* MERGEFORMAT </w:instrText>
    </w:r>
    <w:r w:rsidRPr="00771F6E">
      <w:fldChar w:fldCharType="separate"/>
    </w:r>
    <w:r w:rsidR="001C23DD">
      <w:rPr>
        <w:noProof/>
      </w:rPr>
      <w:t>2</w:t>
    </w:r>
    <w:r w:rsidRPr="00771F6E">
      <w:fldChar w:fldCharType="end"/>
    </w:r>
    <w:r w:rsidRPr="00771F6E">
      <w:t>/</w:t>
    </w:r>
    <w:r w:rsidR="001C23DD">
      <w:fldChar w:fldCharType="begin"/>
    </w:r>
    <w:r w:rsidR="001C23DD">
      <w:instrText xml:space="preserve"> NUMPAGES  \* MERGEFORMAT </w:instrText>
    </w:r>
    <w:r w:rsidR="001C23DD">
      <w:fldChar w:fldCharType="separate"/>
    </w:r>
    <w:r w:rsidR="001C23DD">
      <w:rPr>
        <w:noProof/>
      </w:rPr>
      <w:t>9</w:t>
    </w:r>
    <w:r w:rsidR="001C23DD">
      <w:fldChar w:fldCharType="end"/>
    </w:r>
    <w:r w:rsidRPr="00771F6E">
      <w:tab/>
    </w:r>
    <w:r w:rsidRPr="00771F6E">
      <w:rPr>
        <w:rStyle w:val="HideTWBExt"/>
        <w:noProof w:val="0"/>
      </w:rPr>
      <w:t>&lt;PathFdR&gt;</w:t>
    </w:r>
    <w:r w:rsidRPr="00771F6E">
      <w:t>RR\1121999DA.docx</w:t>
    </w:r>
    <w:r w:rsidRPr="00771F6E">
      <w:rPr>
        <w:rStyle w:val="HideTWBExt"/>
        <w:noProof w:val="0"/>
      </w:rPr>
      <w:t>&lt;/PathFdR&gt;</w:t>
    </w:r>
  </w:p>
  <w:p w14:paraId="719F40F8" w14:textId="14AA609E" w:rsidR="00390068" w:rsidRPr="00771F6E" w:rsidRDefault="00771F6E" w:rsidP="00771F6E">
    <w:pPr>
      <w:pStyle w:val="Footer2"/>
    </w:pPr>
    <w:r w:rsidRPr="00771F6E">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D54E6" w14:textId="77777777" w:rsidR="00771F6E" w:rsidRPr="00771F6E" w:rsidRDefault="00771F6E" w:rsidP="00771F6E">
    <w:pPr>
      <w:pStyle w:val="Footer"/>
    </w:pPr>
    <w:r w:rsidRPr="00771F6E">
      <w:rPr>
        <w:rStyle w:val="HideTWBExt"/>
        <w:noProof w:val="0"/>
      </w:rPr>
      <w:t>&lt;PathFdR&gt;</w:t>
    </w:r>
    <w:r w:rsidRPr="00771F6E">
      <w:t>RR\1121999DA.docx</w:t>
    </w:r>
    <w:r w:rsidRPr="00771F6E">
      <w:rPr>
        <w:rStyle w:val="HideTWBExt"/>
        <w:noProof w:val="0"/>
      </w:rPr>
      <w:t>&lt;/PathFdR&gt;</w:t>
    </w:r>
    <w:r w:rsidRPr="00771F6E">
      <w:tab/>
    </w:r>
    <w:r w:rsidRPr="00771F6E">
      <w:fldChar w:fldCharType="begin"/>
    </w:r>
    <w:r w:rsidRPr="00771F6E">
      <w:instrText xml:space="preserve"> PAGE  \* MERGEFORMAT </w:instrText>
    </w:r>
    <w:r w:rsidRPr="00771F6E">
      <w:fldChar w:fldCharType="separate"/>
    </w:r>
    <w:r w:rsidR="001C23DD">
      <w:rPr>
        <w:noProof/>
      </w:rPr>
      <w:t>9</w:t>
    </w:r>
    <w:r w:rsidRPr="00771F6E">
      <w:fldChar w:fldCharType="end"/>
    </w:r>
    <w:r w:rsidRPr="00771F6E">
      <w:t>/</w:t>
    </w:r>
    <w:r w:rsidR="001C23DD">
      <w:fldChar w:fldCharType="begin"/>
    </w:r>
    <w:r w:rsidR="001C23DD">
      <w:instrText xml:space="preserve"> NUMPAGES  \* MERGEFORMAT </w:instrText>
    </w:r>
    <w:r w:rsidR="001C23DD">
      <w:fldChar w:fldCharType="separate"/>
    </w:r>
    <w:r w:rsidR="001C23DD">
      <w:rPr>
        <w:noProof/>
      </w:rPr>
      <w:t>9</w:t>
    </w:r>
    <w:r w:rsidR="001C23DD">
      <w:fldChar w:fldCharType="end"/>
    </w:r>
    <w:r w:rsidRPr="00771F6E">
      <w:tab/>
      <w:t>PE</w:t>
    </w:r>
    <w:r w:rsidRPr="00771F6E">
      <w:rPr>
        <w:rStyle w:val="HideTWBExt"/>
        <w:noProof w:val="0"/>
      </w:rPr>
      <w:t>&lt;NoPE&gt;</w:t>
    </w:r>
    <w:r w:rsidRPr="00771F6E">
      <w:t>593.857</w:t>
    </w:r>
    <w:r w:rsidRPr="00771F6E">
      <w:rPr>
        <w:rStyle w:val="HideTWBExt"/>
        <w:noProof w:val="0"/>
      </w:rPr>
      <w:t>&lt;/NoPE&gt;&lt;Version&gt;</w:t>
    </w:r>
    <w:r w:rsidRPr="00771F6E">
      <w:t>v02-00</w:t>
    </w:r>
    <w:r w:rsidRPr="00771F6E">
      <w:rPr>
        <w:rStyle w:val="HideTWBExt"/>
        <w:noProof w:val="0"/>
      </w:rPr>
      <w:t>&lt;/Version&gt;</w:t>
    </w:r>
  </w:p>
  <w:p w14:paraId="6FB0AC52" w14:textId="67A5F385" w:rsidR="00390068" w:rsidRPr="00771F6E" w:rsidRDefault="00771F6E" w:rsidP="00771F6E">
    <w:pPr>
      <w:pStyle w:val="Footer2"/>
    </w:pPr>
    <w:r w:rsidRPr="00771F6E">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87DA" w14:textId="77777777" w:rsidR="00771F6E" w:rsidRPr="00771F6E" w:rsidRDefault="00771F6E" w:rsidP="00771F6E">
    <w:pPr>
      <w:pStyle w:val="Footer"/>
    </w:pPr>
    <w:r w:rsidRPr="00771F6E">
      <w:rPr>
        <w:rStyle w:val="HideTWBExt"/>
        <w:noProof w:val="0"/>
      </w:rPr>
      <w:t>&lt;PathFdR&gt;</w:t>
    </w:r>
    <w:r w:rsidRPr="00771F6E">
      <w:t>RR\1121999DA.docx</w:t>
    </w:r>
    <w:r w:rsidRPr="00771F6E">
      <w:rPr>
        <w:rStyle w:val="HideTWBExt"/>
        <w:noProof w:val="0"/>
      </w:rPr>
      <w:t>&lt;/PathFdR&gt;</w:t>
    </w:r>
    <w:r w:rsidRPr="00771F6E">
      <w:tab/>
    </w:r>
    <w:r w:rsidRPr="00771F6E">
      <w:tab/>
      <w:t>PE</w:t>
    </w:r>
    <w:r w:rsidRPr="00771F6E">
      <w:rPr>
        <w:rStyle w:val="HideTWBExt"/>
        <w:noProof w:val="0"/>
      </w:rPr>
      <w:t>&lt;NoPE&gt;</w:t>
    </w:r>
    <w:r w:rsidRPr="00771F6E">
      <w:t>593.857</w:t>
    </w:r>
    <w:r w:rsidRPr="00771F6E">
      <w:rPr>
        <w:rStyle w:val="HideTWBExt"/>
        <w:noProof w:val="0"/>
      </w:rPr>
      <w:t>&lt;/NoPE&gt;&lt;Version&gt;</w:t>
    </w:r>
    <w:r w:rsidRPr="00771F6E">
      <w:t>v02-00</w:t>
    </w:r>
    <w:r w:rsidRPr="00771F6E">
      <w:rPr>
        <w:rStyle w:val="HideTWBExt"/>
        <w:noProof w:val="0"/>
      </w:rPr>
      <w:t>&lt;/Version&gt;</w:t>
    </w:r>
  </w:p>
  <w:p w14:paraId="36D8FC2B" w14:textId="79384B5C" w:rsidR="00390068" w:rsidRPr="00771F6E" w:rsidRDefault="00771F6E" w:rsidP="00771F6E">
    <w:pPr>
      <w:pStyle w:val="Footer2"/>
      <w:tabs>
        <w:tab w:val="center" w:pos="4535"/>
      </w:tabs>
    </w:pPr>
    <w:r w:rsidRPr="00771F6E">
      <w:t>DA</w:t>
    </w:r>
    <w:r w:rsidRPr="00771F6E">
      <w:tab/>
    </w:r>
    <w:r w:rsidRPr="00771F6E">
      <w:rPr>
        <w:b w:val="0"/>
        <w:i/>
        <w:color w:val="C0C0C0"/>
        <w:sz w:val="22"/>
      </w:rPr>
      <w:t>Forenet i mangfoldighed</w:t>
    </w:r>
    <w:r w:rsidRPr="00771F6E">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4398C" w14:textId="77777777" w:rsidR="0034738B" w:rsidRPr="00771F6E" w:rsidRDefault="0034738B">
      <w:r w:rsidRPr="00771F6E">
        <w:separator/>
      </w:r>
    </w:p>
  </w:footnote>
  <w:footnote w:type="continuationSeparator" w:id="0">
    <w:p w14:paraId="5224B336" w14:textId="77777777" w:rsidR="0034738B" w:rsidRPr="00771F6E" w:rsidRDefault="0034738B">
      <w:r w:rsidRPr="00771F6E">
        <w:continuationSeparator/>
      </w:r>
    </w:p>
  </w:footnote>
  <w:footnote w:id="1">
    <w:p w14:paraId="58AF727C" w14:textId="77777777" w:rsidR="00E356E7" w:rsidRPr="00771F6E" w:rsidRDefault="00E356E7" w:rsidP="00E356E7">
      <w:pPr>
        <w:pStyle w:val="FootnoteText"/>
      </w:pPr>
      <w:r w:rsidRPr="00771F6E">
        <w:rPr>
          <w:rStyle w:val="FootnoteReference"/>
        </w:rPr>
        <w:footnoteRef/>
      </w:r>
      <w:r w:rsidRPr="00771F6E">
        <w:t xml:space="preserve"> EUT C 449 af 1.12.2016, s. 184.</w:t>
      </w:r>
    </w:p>
  </w:footnote>
  <w:footnote w:id="2">
    <w:p w14:paraId="5DC7E34D" w14:textId="77777777" w:rsidR="00E356E7" w:rsidRPr="00771F6E" w:rsidRDefault="00E356E7" w:rsidP="00E356E7">
      <w:pPr>
        <w:pStyle w:val="FootnoteText"/>
      </w:pPr>
      <w:r w:rsidRPr="00771F6E">
        <w:rPr>
          <w:rStyle w:val="FootnoteReference"/>
        </w:rPr>
        <w:footnoteRef/>
      </w:r>
      <w:r w:rsidRPr="00771F6E">
        <w:t xml:space="preserve"> EUT C 449 af 1.12.2016, s. 184.</w:t>
      </w:r>
    </w:p>
  </w:footnote>
  <w:footnote w:id="3">
    <w:p w14:paraId="5867DC29" w14:textId="77777777" w:rsidR="00E356E7" w:rsidRPr="00771F6E" w:rsidRDefault="00E356E7" w:rsidP="00E356E7">
      <w:pPr>
        <w:pStyle w:val="FootnoteText"/>
      </w:pPr>
      <w:r w:rsidRPr="00771F6E">
        <w:rPr>
          <w:rStyle w:val="FootnoteReference"/>
        </w:rPr>
        <w:footnoteRef/>
      </w:r>
      <w:r w:rsidRPr="00771F6E">
        <w:t xml:space="preserve"> EUT L 298 af 26.10.2012, s. 1.</w:t>
      </w:r>
    </w:p>
  </w:footnote>
  <w:footnote w:id="4">
    <w:p w14:paraId="2375ECE9" w14:textId="77777777" w:rsidR="00E356E7" w:rsidRPr="00771F6E" w:rsidRDefault="00E356E7" w:rsidP="00E356E7">
      <w:pPr>
        <w:pStyle w:val="FootnoteText"/>
      </w:pPr>
      <w:r w:rsidRPr="00771F6E">
        <w:rPr>
          <w:rStyle w:val="FootnoteReference"/>
        </w:rPr>
        <w:footnoteRef/>
      </w:r>
      <w:r w:rsidRPr="00771F6E">
        <w:t xml:space="preserve"> EUT L 41 af 15.2.2008, s. 15.</w:t>
      </w:r>
    </w:p>
  </w:footnote>
  <w:footnote w:id="5">
    <w:p w14:paraId="7E0E5C37" w14:textId="77777777" w:rsidR="00E356E7" w:rsidRPr="00771F6E" w:rsidRDefault="00E356E7" w:rsidP="00E356E7">
      <w:pPr>
        <w:pStyle w:val="FootnoteText"/>
      </w:pPr>
      <w:r w:rsidRPr="00771F6E">
        <w:rPr>
          <w:rStyle w:val="FootnoteReference"/>
        </w:rPr>
        <w:footnoteRef/>
      </w:r>
      <w:r w:rsidRPr="00771F6E">
        <w:t xml:space="preserve"> EUT C 449 af 1.12.2016, s. 184.</w:t>
      </w:r>
    </w:p>
  </w:footnote>
  <w:footnote w:id="6">
    <w:p w14:paraId="07F4A551" w14:textId="77777777" w:rsidR="00E356E7" w:rsidRPr="00771F6E" w:rsidRDefault="00E356E7" w:rsidP="00E356E7">
      <w:pPr>
        <w:pStyle w:val="FootnoteText"/>
      </w:pPr>
      <w:r w:rsidRPr="00771F6E">
        <w:rPr>
          <w:rStyle w:val="FootnoteReference"/>
        </w:rPr>
        <w:footnoteRef/>
      </w:r>
      <w:r w:rsidRPr="00771F6E">
        <w:t xml:space="preserve"> EUT C 449 af 1.12.2016, s. 184.</w:t>
      </w:r>
    </w:p>
  </w:footnote>
  <w:footnote w:id="7">
    <w:p w14:paraId="4F76C74D" w14:textId="77777777" w:rsidR="00E356E7" w:rsidRPr="00771F6E" w:rsidRDefault="00E356E7" w:rsidP="00E356E7">
      <w:pPr>
        <w:pStyle w:val="FootnoteText"/>
      </w:pPr>
      <w:r w:rsidRPr="00771F6E">
        <w:rPr>
          <w:rStyle w:val="FootnoteReference"/>
        </w:rPr>
        <w:footnoteRef/>
      </w:r>
      <w:r w:rsidRPr="00771F6E">
        <w:t xml:space="preserve"> EUT L 298 af 26.10.2012, s. 1.</w:t>
      </w:r>
    </w:p>
  </w:footnote>
  <w:footnote w:id="8">
    <w:p w14:paraId="1AC8BBA1" w14:textId="77777777" w:rsidR="00E356E7" w:rsidRPr="00771F6E" w:rsidRDefault="00E356E7" w:rsidP="00E356E7">
      <w:pPr>
        <w:pStyle w:val="FootnoteText"/>
      </w:pPr>
      <w:r w:rsidRPr="00771F6E">
        <w:rPr>
          <w:rStyle w:val="FootnoteReference"/>
        </w:rPr>
        <w:footnoteRef/>
      </w:r>
      <w:r w:rsidRPr="00771F6E">
        <w:t xml:space="preserve"> EUT L 41 af 15.2.2008, s. 15.</w:t>
      </w:r>
    </w:p>
  </w:footnote>
  <w:footnote w:id="9">
    <w:p w14:paraId="08958D2C" w14:textId="77777777" w:rsidR="004C3287" w:rsidRPr="00771F6E" w:rsidRDefault="004C3287" w:rsidP="004C3287">
      <w:pPr>
        <w:pStyle w:val="FootnoteText"/>
      </w:pPr>
      <w:r w:rsidRPr="00771F6E">
        <w:rPr>
          <w:rStyle w:val="FootnoteReference"/>
        </w:rPr>
        <w:footnoteRef/>
      </w:r>
      <w:r w:rsidRPr="00771F6E">
        <w:t xml:space="preserve"> Vedtagne tekster af denne dato, P[8_TA(-PROV)(2017)0000].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E708" w14:textId="77777777" w:rsidR="001C23DD" w:rsidRDefault="001C2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387A" w14:textId="77777777" w:rsidR="001C23DD" w:rsidRDefault="001C2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C36DD" w14:textId="77777777" w:rsidR="001C23DD" w:rsidRDefault="001C2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D6F1E"/>
    <w:multiLevelType w:val="hybridMultilevel"/>
    <w:tmpl w:val="73D636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9091318"/>
    <w:multiLevelType w:val="hybridMultilevel"/>
    <w:tmpl w:val="143224D2"/>
    <w:lvl w:ilvl="0" w:tplc="59FA21A4">
      <w:start w:val="1"/>
      <w:numFmt w:val="upperLetter"/>
      <w:lvlText w:val="%1."/>
      <w:lvlJc w:val="left"/>
      <w:pPr>
        <w:tabs>
          <w:tab w:val="num" w:pos="360"/>
        </w:tabs>
        <w:ind w:left="360" w:hanging="360"/>
      </w:pPr>
      <w:rPr>
        <w:rFonts w:hint="default"/>
      </w:rPr>
    </w:lvl>
    <w:lvl w:ilvl="1" w:tplc="EF5E8190" w:tentative="1">
      <w:start w:val="1"/>
      <w:numFmt w:val="lowerLetter"/>
      <w:lvlText w:val="%2."/>
      <w:lvlJc w:val="left"/>
      <w:pPr>
        <w:tabs>
          <w:tab w:val="num" w:pos="1080"/>
        </w:tabs>
        <w:ind w:left="1080" w:hanging="360"/>
      </w:pPr>
    </w:lvl>
    <w:lvl w:ilvl="2" w:tplc="DAA0CE72" w:tentative="1">
      <w:start w:val="1"/>
      <w:numFmt w:val="lowerRoman"/>
      <w:lvlText w:val="%3."/>
      <w:lvlJc w:val="right"/>
      <w:pPr>
        <w:tabs>
          <w:tab w:val="num" w:pos="1800"/>
        </w:tabs>
        <w:ind w:left="1800" w:hanging="180"/>
      </w:pPr>
    </w:lvl>
    <w:lvl w:ilvl="3" w:tplc="83A48A68" w:tentative="1">
      <w:start w:val="1"/>
      <w:numFmt w:val="decimal"/>
      <w:lvlText w:val="%4."/>
      <w:lvlJc w:val="left"/>
      <w:pPr>
        <w:tabs>
          <w:tab w:val="num" w:pos="2520"/>
        </w:tabs>
        <w:ind w:left="2520" w:hanging="360"/>
      </w:pPr>
    </w:lvl>
    <w:lvl w:ilvl="4" w:tplc="2182FDC2" w:tentative="1">
      <w:start w:val="1"/>
      <w:numFmt w:val="lowerLetter"/>
      <w:lvlText w:val="%5."/>
      <w:lvlJc w:val="left"/>
      <w:pPr>
        <w:tabs>
          <w:tab w:val="num" w:pos="3240"/>
        </w:tabs>
        <w:ind w:left="3240" w:hanging="360"/>
      </w:pPr>
    </w:lvl>
    <w:lvl w:ilvl="5" w:tplc="B3E869D6" w:tentative="1">
      <w:start w:val="1"/>
      <w:numFmt w:val="lowerRoman"/>
      <w:lvlText w:val="%6."/>
      <w:lvlJc w:val="right"/>
      <w:pPr>
        <w:tabs>
          <w:tab w:val="num" w:pos="3960"/>
        </w:tabs>
        <w:ind w:left="3960" w:hanging="180"/>
      </w:pPr>
    </w:lvl>
    <w:lvl w:ilvl="6" w:tplc="C9A0A5DC" w:tentative="1">
      <w:start w:val="1"/>
      <w:numFmt w:val="decimal"/>
      <w:lvlText w:val="%7."/>
      <w:lvlJc w:val="left"/>
      <w:pPr>
        <w:tabs>
          <w:tab w:val="num" w:pos="4680"/>
        </w:tabs>
        <w:ind w:left="4680" w:hanging="360"/>
      </w:pPr>
    </w:lvl>
    <w:lvl w:ilvl="7" w:tplc="81808C40" w:tentative="1">
      <w:start w:val="1"/>
      <w:numFmt w:val="lowerLetter"/>
      <w:lvlText w:val="%8."/>
      <w:lvlJc w:val="left"/>
      <w:pPr>
        <w:tabs>
          <w:tab w:val="num" w:pos="5400"/>
        </w:tabs>
        <w:ind w:left="5400" w:hanging="360"/>
      </w:pPr>
    </w:lvl>
    <w:lvl w:ilvl="8" w:tplc="DA42C8EA" w:tentative="1">
      <w:start w:val="1"/>
      <w:numFmt w:val="lowerRoman"/>
      <w:lvlText w:val="%9."/>
      <w:lvlJc w:val="right"/>
      <w:pPr>
        <w:tabs>
          <w:tab w:val="num" w:pos="6120"/>
        </w:tabs>
        <w:ind w:left="6120" w:hanging="180"/>
      </w:pPr>
    </w:lvl>
  </w:abstractNum>
  <w:abstractNum w:abstractNumId="12" w15:restartNumberingAfterBreak="0">
    <w:nsid w:val="462D6E49"/>
    <w:multiLevelType w:val="hybridMultilevel"/>
    <w:tmpl w:val="78B8CEFC"/>
    <w:lvl w:ilvl="0" w:tplc="501217B0">
      <w:start w:val="1"/>
      <w:numFmt w:val="decimal"/>
      <w:lvlText w:val="%1."/>
      <w:lvlJc w:val="left"/>
      <w:pPr>
        <w:tabs>
          <w:tab w:val="num" w:pos="720"/>
        </w:tabs>
        <w:ind w:left="720" w:hanging="360"/>
      </w:pPr>
    </w:lvl>
    <w:lvl w:ilvl="1" w:tplc="1EC0368E" w:tentative="1">
      <w:start w:val="1"/>
      <w:numFmt w:val="lowerLetter"/>
      <w:lvlText w:val="%2."/>
      <w:lvlJc w:val="left"/>
      <w:pPr>
        <w:tabs>
          <w:tab w:val="num" w:pos="1440"/>
        </w:tabs>
        <w:ind w:left="1440" w:hanging="360"/>
      </w:pPr>
    </w:lvl>
    <w:lvl w:ilvl="2" w:tplc="4E3A6BF2" w:tentative="1">
      <w:start w:val="1"/>
      <w:numFmt w:val="lowerRoman"/>
      <w:lvlText w:val="%3."/>
      <w:lvlJc w:val="right"/>
      <w:pPr>
        <w:tabs>
          <w:tab w:val="num" w:pos="2160"/>
        </w:tabs>
        <w:ind w:left="2160" w:hanging="180"/>
      </w:pPr>
    </w:lvl>
    <w:lvl w:ilvl="3" w:tplc="86CE1CFC" w:tentative="1">
      <w:start w:val="1"/>
      <w:numFmt w:val="decimal"/>
      <w:lvlText w:val="%4."/>
      <w:lvlJc w:val="left"/>
      <w:pPr>
        <w:tabs>
          <w:tab w:val="num" w:pos="2880"/>
        </w:tabs>
        <w:ind w:left="2880" w:hanging="360"/>
      </w:pPr>
    </w:lvl>
    <w:lvl w:ilvl="4" w:tplc="61603B68" w:tentative="1">
      <w:start w:val="1"/>
      <w:numFmt w:val="lowerLetter"/>
      <w:lvlText w:val="%5."/>
      <w:lvlJc w:val="left"/>
      <w:pPr>
        <w:tabs>
          <w:tab w:val="num" w:pos="3600"/>
        </w:tabs>
        <w:ind w:left="3600" w:hanging="360"/>
      </w:pPr>
    </w:lvl>
    <w:lvl w:ilvl="5" w:tplc="8F08955C" w:tentative="1">
      <w:start w:val="1"/>
      <w:numFmt w:val="lowerRoman"/>
      <w:lvlText w:val="%6."/>
      <w:lvlJc w:val="right"/>
      <w:pPr>
        <w:tabs>
          <w:tab w:val="num" w:pos="4320"/>
        </w:tabs>
        <w:ind w:left="4320" w:hanging="180"/>
      </w:pPr>
    </w:lvl>
    <w:lvl w:ilvl="6" w:tplc="8A2AF630" w:tentative="1">
      <w:start w:val="1"/>
      <w:numFmt w:val="decimal"/>
      <w:lvlText w:val="%7."/>
      <w:lvlJc w:val="left"/>
      <w:pPr>
        <w:tabs>
          <w:tab w:val="num" w:pos="5040"/>
        </w:tabs>
        <w:ind w:left="5040" w:hanging="360"/>
      </w:pPr>
    </w:lvl>
    <w:lvl w:ilvl="7" w:tplc="2C68E836" w:tentative="1">
      <w:start w:val="1"/>
      <w:numFmt w:val="lowerLetter"/>
      <w:lvlText w:val="%8."/>
      <w:lvlJc w:val="left"/>
      <w:pPr>
        <w:tabs>
          <w:tab w:val="num" w:pos="5760"/>
        </w:tabs>
        <w:ind w:left="5760" w:hanging="360"/>
      </w:pPr>
    </w:lvl>
    <w:lvl w:ilvl="8" w:tplc="DF04491A"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ECISIONMNU" w:val=" 3"/>
    <w:docVar w:name="DOCDT" w:val="30/03/2017"/>
    <w:docVar w:name="FN1DT" w:val="11/11/2016"/>
    <w:docVar w:name="FN2DT" w:val="11/11/2016"/>
    <w:docVar w:name="LastEditedSection" w:val=" 1"/>
    <w:docVar w:name="OPINMNU" w:val=" 1"/>
    <w:docVar w:name="STOREDT" w:val="11/11/2016"/>
    <w:docVar w:name="strSubDir" w:val="593"/>
    <w:docVar w:name="TITLEMNU" w:val=" 3"/>
    <w:docVar w:name="TXTBUDYEAR" w:val="2015"/>
    <w:docVar w:name="TXTFN1" w:val=" "/>
    <w:docVar w:name="TXTFN2" w:val=" "/>
    <w:docVar w:name="TXTLANGUE" w:val="EN"/>
    <w:docVar w:name="TXTLANGUEMIN" w:val="en"/>
    <w:docVar w:name="TXTNRC" w:val=" "/>
    <w:docVar w:name="TXTNRCOUNC" w:val=" "/>
    <w:docVar w:name="TXTNRDEC" w:val="2016/2183"/>
    <w:docVar w:name="TXTNRPE" w:val="593.857"/>
    <w:docVar w:name="TXTPEorAP" w:val="PE"/>
    <w:docVar w:name="TXTPG1" w:val=" "/>
    <w:docVar w:name="TXTPG2" w:val=" "/>
    <w:docVar w:name="TXTROUTE" w:val="RR\593857EN.docx"/>
    <w:docVar w:name="TXTVERSION" w:val="02-00"/>
  </w:docVars>
  <w:rsids>
    <w:rsidRoot w:val="0034738B"/>
    <w:rsid w:val="00002C51"/>
    <w:rsid w:val="0005552C"/>
    <w:rsid w:val="000700E4"/>
    <w:rsid w:val="00074082"/>
    <w:rsid w:val="00090E0B"/>
    <w:rsid w:val="000A05D5"/>
    <w:rsid w:val="000B47E5"/>
    <w:rsid w:val="00104CB9"/>
    <w:rsid w:val="0010796E"/>
    <w:rsid w:val="00116CB4"/>
    <w:rsid w:val="00137941"/>
    <w:rsid w:val="00150EC1"/>
    <w:rsid w:val="00152CA4"/>
    <w:rsid w:val="00172C60"/>
    <w:rsid w:val="0017746B"/>
    <w:rsid w:val="001930E8"/>
    <w:rsid w:val="001B4494"/>
    <w:rsid w:val="001C1646"/>
    <w:rsid w:val="001C23DD"/>
    <w:rsid w:val="001E1032"/>
    <w:rsid w:val="00202D84"/>
    <w:rsid w:val="00253648"/>
    <w:rsid w:val="00262FB6"/>
    <w:rsid w:val="00276092"/>
    <w:rsid w:val="00277E04"/>
    <w:rsid w:val="002A07DD"/>
    <w:rsid w:val="002C6449"/>
    <w:rsid w:val="002D6EA9"/>
    <w:rsid w:val="0034738B"/>
    <w:rsid w:val="00381864"/>
    <w:rsid w:val="00390068"/>
    <w:rsid w:val="003A05DF"/>
    <w:rsid w:val="003A1053"/>
    <w:rsid w:val="003C6DA8"/>
    <w:rsid w:val="003D353C"/>
    <w:rsid w:val="003E25A9"/>
    <w:rsid w:val="003E735B"/>
    <w:rsid w:val="003F0E64"/>
    <w:rsid w:val="00413713"/>
    <w:rsid w:val="004367AB"/>
    <w:rsid w:val="004651E1"/>
    <w:rsid w:val="004A34BF"/>
    <w:rsid w:val="004A480C"/>
    <w:rsid w:val="004B5AF9"/>
    <w:rsid w:val="004C3287"/>
    <w:rsid w:val="004D13BA"/>
    <w:rsid w:val="00564DB0"/>
    <w:rsid w:val="00584E48"/>
    <w:rsid w:val="00596D92"/>
    <w:rsid w:val="005A3D7F"/>
    <w:rsid w:val="005A6CAE"/>
    <w:rsid w:val="005B2950"/>
    <w:rsid w:val="005C689E"/>
    <w:rsid w:val="005D3E9F"/>
    <w:rsid w:val="005D4018"/>
    <w:rsid w:val="0063324A"/>
    <w:rsid w:val="00643EBE"/>
    <w:rsid w:val="006450F5"/>
    <w:rsid w:val="0066045F"/>
    <w:rsid w:val="006835EB"/>
    <w:rsid w:val="006B0ED0"/>
    <w:rsid w:val="006C7ED9"/>
    <w:rsid w:val="006D37D7"/>
    <w:rsid w:val="006D5743"/>
    <w:rsid w:val="0070740B"/>
    <w:rsid w:val="007369AC"/>
    <w:rsid w:val="0074734C"/>
    <w:rsid w:val="00754EEA"/>
    <w:rsid w:val="00771F6E"/>
    <w:rsid w:val="007C3B7E"/>
    <w:rsid w:val="007D1E61"/>
    <w:rsid w:val="007E2834"/>
    <w:rsid w:val="0081446A"/>
    <w:rsid w:val="00841D8C"/>
    <w:rsid w:val="00895F7F"/>
    <w:rsid w:val="008A23A3"/>
    <w:rsid w:val="008D2063"/>
    <w:rsid w:val="008E3486"/>
    <w:rsid w:val="00916826"/>
    <w:rsid w:val="00947D32"/>
    <w:rsid w:val="009569BB"/>
    <w:rsid w:val="0096221F"/>
    <w:rsid w:val="00970EFE"/>
    <w:rsid w:val="009807D1"/>
    <w:rsid w:val="00984F05"/>
    <w:rsid w:val="009A1AE4"/>
    <w:rsid w:val="009B566F"/>
    <w:rsid w:val="00A10BBE"/>
    <w:rsid w:val="00A273FA"/>
    <w:rsid w:val="00A35902"/>
    <w:rsid w:val="00A84FF1"/>
    <w:rsid w:val="00A95064"/>
    <w:rsid w:val="00AB4789"/>
    <w:rsid w:val="00AB68E0"/>
    <w:rsid w:val="00B04898"/>
    <w:rsid w:val="00B24F0B"/>
    <w:rsid w:val="00B6540D"/>
    <w:rsid w:val="00B75AA6"/>
    <w:rsid w:val="00BA46FB"/>
    <w:rsid w:val="00BB710D"/>
    <w:rsid w:val="00BD13C4"/>
    <w:rsid w:val="00BE0360"/>
    <w:rsid w:val="00BE0DC4"/>
    <w:rsid w:val="00BF0771"/>
    <w:rsid w:val="00C1531C"/>
    <w:rsid w:val="00C56953"/>
    <w:rsid w:val="00C607B5"/>
    <w:rsid w:val="00C63401"/>
    <w:rsid w:val="00CA44A5"/>
    <w:rsid w:val="00CB0CB3"/>
    <w:rsid w:val="00CB6B29"/>
    <w:rsid w:val="00CE4330"/>
    <w:rsid w:val="00CF07EC"/>
    <w:rsid w:val="00D05CBA"/>
    <w:rsid w:val="00D248C7"/>
    <w:rsid w:val="00D3194D"/>
    <w:rsid w:val="00D46466"/>
    <w:rsid w:val="00D74CC3"/>
    <w:rsid w:val="00DB009D"/>
    <w:rsid w:val="00DE588D"/>
    <w:rsid w:val="00DF3E3E"/>
    <w:rsid w:val="00DF7BA5"/>
    <w:rsid w:val="00E356E7"/>
    <w:rsid w:val="00E35EEC"/>
    <w:rsid w:val="00E44A07"/>
    <w:rsid w:val="00E50576"/>
    <w:rsid w:val="00EE3A01"/>
    <w:rsid w:val="00F0381D"/>
    <w:rsid w:val="00F21C7F"/>
    <w:rsid w:val="00F31B44"/>
    <w:rsid w:val="00F71101"/>
    <w:rsid w:val="00F824A8"/>
    <w:rsid w:val="00F9531F"/>
    <w:rsid w:val="00FB45F2"/>
    <w:rsid w:val="00FD18F9"/>
    <w:rsid w:val="00FD7FC6"/>
    <w:rsid w:val="00FF42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353C93"/>
  <w15:chartTrackingRefBased/>
  <w15:docId w15:val="{85719B0D-25C7-4B08-B5B3-86ACDCF2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10796E"/>
    <w:rPr>
      <w:sz w:val="20"/>
    </w:rPr>
  </w:style>
  <w:style w:type="character" w:customStyle="1" w:styleId="FootnoteTextChar">
    <w:name w:val="Footnote Text Char"/>
    <w:basedOn w:val="DefaultParagraphFont"/>
    <w:link w:val="FootnoteText"/>
    <w:rsid w:val="0010796E"/>
  </w:style>
  <w:style w:type="character" w:styleId="FootnoteReference">
    <w:name w:val="footnote reference"/>
    <w:basedOn w:val="DefaultParagraphFont"/>
    <w:rsid w:val="0010796E"/>
    <w:rPr>
      <w:vertAlign w:val="superscript"/>
    </w:rPr>
  </w:style>
  <w:style w:type="paragraph" w:customStyle="1" w:styleId="Visa">
    <w:name w:val="Visa"/>
    <w:basedOn w:val="Normal"/>
    <w:rsid w:val="00E356E7"/>
    <w:pPr>
      <w:tabs>
        <w:tab w:val="left" w:pos="357"/>
      </w:tabs>
      <w:spacing w:after="240"/>
      <w:ind w:left="357" w:hanging="357"/>
    </w:pPr>
  </w:style>
  <w:style w:type="paragraph" w:customStyle="1" w:styleId="CM1">
    <w:name w:val="CM1"/>
    <w:basedOn w:val="Normal"/>
    <w:next w:val="Normal"/>
    <w:uiPriority w:val="99"/>
    <w:rsid w:val="00E356E7"/>
    <w:pPr>
      <w:widowControl/>
      <w:autoSpaceDE w:val="0"/>
      <w:autoSpaceDN w:val="0"/>
      <w:adjustRightInd w:val="0"/>
    </w:pPr>
    <w:rPr>
      <w:rFonts w:ascii="EUAlbertina" w:hAnsi="EUAlbertina"/>
      <w:szCs w:val="24"/>
    </w:rPr>
  </w:style>
  <w:style w:type="character" w:customStyle="1" w:styleId="cwcot">
    <w:name w:val="cwcot"/>
    <w:rsid w:val="00E356E7"/>
  </w:style>
  <w:style w:type="paragraph" w:styleId="BalloonText">
    <w:name w:val="Balloon Text"/>
    <w:basedOn w:val="Normal"/>
    <w:link w:val="BalloonTextChar"/>
    <w:rsid w:val="007369AC"/>
    <w:rPr>
      <w:rFonts w:ascii="Segoe UI" w:hAnsi="Segoe UI" w:cs="Segoe UI"/>
      <w:sz w:val="18"/>
      <w:szCs w:val="18"/>
    </w:rPr>
  </w:style>
  <w:style w:type="character" w:customStyle="1" w:styleId="BalloonTextChar">
    <w:name w:val="Balloon Text Char"/>
    <w:basedOn w:val="DefaultParagraphFont"/>
    <w:link w:val="BalloonText"/>
    <w:rsid w:val="007369AC"/>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BB710D"/>
  </w:style>
  <w:style w:type="paragraph" w:styleId="CommentSubject">
    <w:name w:val="annotation subject"/>
    <w:basedOn w:val="CommentText"/>
    <w:next w:val="CommentText"/>
    <w:link w:val="CommentSubjectChar"/>
    <w:rsid w:val="00BB710D"/>
    <w:rPr>
      <w:b/>
      <w:bCs/>
    </w:rPr>
  </w:style>
  <w:style w:type="character" w:customStyle="1" w:styleId="CommentSubjectChar">
    <w:name w:val="Comment Subject Char"/>
    <w:basedOn w:val="CommentTextChar"/>
    <w:link w:val="CommentSubject"/>
    <w:rsid w:val="00BB710D"/>
    <w:rPr>
      <w:b/>
      <w:bCs/>
    </w:rPr>
  </w:style>
  <w:style w:type="character" w:customStyle="1" w:styleId="Normal12HangingChar">
    <w:name w:val="Normal12Hanging Char"/>
    <w:link w:val="Normal12Hanging"/>
    <w:rsid w:val="00BE0360"/>
    <w:rPr>
      <w:sz w:val="24"/>
    </w:rPr>
  </w:style>
  <w:style w:type="paragraph" w:customStyle="1" w:styleId="NormalTabs">
    <w:name w:val="NormalTabs"/>
    <w:basedOn w:val="Normal"/>
    <w:qFormat/>
    <w:rsid w:val="006450F5"/>
    <w:pPr>
      <w:tabs>
        <w:tab w:val="center" w:pos="284"/>
        <w:tab w:val="left" w:pos="4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7910">
      <w:bodyDiv w:val="1"/>
      <w:marLeft w:val="0"/>
      <w:marRight w:val="0"/>
      <w:marTop w:val="0"/>
      <w:marBottom w:val="0"/>
      <w:divBdr>
        <w:top w:val="none" w:sz="0" w:space="0" w:color="auto"/>
        <w:left w:val="none" w:sz="0" w:space="0" w:color="auto"/>
        <w:bottom w:val="none" w:sz="0" w:space="0" w:color="auto"/>
        <w:right w:val="none" w:sz="0" w:space="0" w:color="auto"/>
      </w:divBdr>
    </w:div>
    <w:div w:id="934288738">
      <w:bodyDiv w:val="1"/>
      <w:marLeft w:val="0"/>
      <w:marRight w:val="0"/>
      <w:marTop w:val="0"/>
      <w:marBottom w:val="0"/>
      <w:divBdr>
        <w:top w:val="none" w:sz="0" w:space="0" w:color="auto"/>
        <w:left w:val="none" w:sz="0" w:space="0" w:color="auto"/>
        <w:bottom w:val="none" w:sz="0" w:space="0" w:color="auto"/>
        <w:right w:val="none" w:sz="0" w:space="0" w:color="auto"/>
      </w:divBdr>
    </w:div>
    <w:div w:id="1170944705">
      <w:bodyDiv w:val="1"/>
      <w:marLeft w:val="0"/>
      <w:marRight w:val="0"/>
      <w:marTop w:val="0"/>
      <w:marBottom w:val="0"/>
      <w:divBdr>
        <w:top w:val="none" w:sz="0" w:space="0" w:color="auto"/>
        <w:left w:val="none" w:sz="0" w:space="0" w:color="auto"/>
        <w:bottom w:val="none" w:sz="0" w:space="0" w:color="auto"/>
        <w:right w:val="none" w:sz="0" w:space="0" w:color="auto"/>
      </w:divBdr>
    </w:div>
    <w:div w:id="1178040962">
      <w:bodyDiv w:val="1"/>
      <w:marLeft w:val="0"/>
      <w:marRight w:val="0"/>
      <w:marTop w:val="0"/>
      <w:marBottom w:val="0"/>
      <w:divBdr>
        <w:top w:val="none" w:sz="0" w:space="0" w:color="auto"/>
        <w:left w:val="none" w:sz="0" w:space="0" w:color="auto"/>
        <w:bottom w:val="none" w:sz="0" w:space="0" w:color="auto"/>
        <w:right w:val="none" w:sz="0" w:space="0" w:color="auto"/>
      </w:divBdr>
    </w:div>
    <w:div w:id="1544975562">
      <w:bodyDiv w:val="1"/>
      <w:marLeft w:val="0"/>
      <w:marRight w:val="0"/>
      <w:marTop w:val="0"/>
      <w:marBottom w:val="0"/>
      <w:divBdr>
        <w:top w:val="none" w:sz="0" w:space="0" w:color="auto"/>
        <w:left w:val="none" w:sz="0" w:space="0" w:color="auto"/>
        <w:bottom w:val="none" w:sz="0" w:space="0" w:color="auto"/>
        <w:right w:val="none" w:sz="0" w:space="0" w:color="auto"/>
      </w:divBdr>
    </w:div>
    <w:div w:id="1851336970">
      <w:bodyDiv w:val="1"/>
      <w:marLeft w:val="0"/>
      <w:marRight w:val="0"/>
      <w:marTop w:val="0"/>
      <w:marBottom w:val="0"/>
      <w:divBdr>
        <w:top w:val="none" w:sz="0" w:space="0" w:color="auto"/>
        <w:left w:val="none" w:sz="0" w:space="0" w:color="auto"/>
        <w:bottom w:val="none" w:sz="0" w:space="0" w:color="auto"/>
        <w:right w:val="none" w:sz="0" w:space="0" w:color="auto"/>
      </w:divBdr>
    </w:div>
    <w:div w:id="19367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397380C2.dotm</Template>
  <TotalTime>0</TotalTime>
  <Pages>9</Pages>
  <Words>1349</Words>
  <Characters>8706</Characters>
  <Application>Microsoft Office Word</Application>
  <DocSecurity>0</DocSecurity>
  <Lines>223</Lines>
  <Paragraphs>137</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DULHAUSTE Karelle</dc:creator>
  <cp:keywords/>
  <dc:description/>
  <cp:lastModifiedBy>McLELLAN Fiona</cp:lastModifiedBy>
  <cp:revision>2</cp:revision>
  <cp:lastPrinted>2017-03-30T10:29:00Z</cp:lastPrinted>
  <dcterms:created xsi:type="dcterms:W3CDTF">2017-04-20T15:18:00Z</dcterms:created>
  <dcterms:modified xsi:type="dcterms:W3CDTF">2017-04-20T15:18:00Z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[20170325]</vt:lpwstr>
  </property>
  <property fmtid="{D5CDD505-2E9C-101B-9397-08002B2CF9AE}" pid="4" name="&lt;FdR&gt;">
    <vt:lpwstr>1121999</vt:lpwstr>
  </property>
  <property fmtid="{D5CDD505-2E9C-101B-9397-08002B2CF9AE}" pid="5" name="&lt;Type&gt;">
    <vt:lpwstr>RR</vt:lpwstr>
  </property>
  <property fmtid="{D5CDD505-2E9C-101B-9397-08002B2CF9AE}" pid="6" name="&lt;ModelCod&gt;">
    <vt:lpwstr>\\eiciBRUpr1\pdocep$\DocEP\DOCS\General\PR\PR_BUD\DEC\PR_DEC_Agencies.dot(17/02/2016 10:44:27)</vt:lpwstr>
  </property>
  <property fmtid="{D5CDD505-2E9C-101B-9397-08002B2CF9AE}" pid="7" name="&lt;ModelTra&gt;">
    <vt:lpwstr>\\eiciBRUpr1\pdocep$\DocEP\TRANSFIL\EN\PR_DEC_Agencies.EN(22/09/2016 14:22:19)</vt:lpwstr>
  </property>
  <property fmtid="{D5CDD505-2E9C-101B-9397-08002B2CF9AE}" pid="8" name="&lt;Model&gt;">
    <vt:lpwstr>PR_DEC_Agencies</vt:lpwstr>
  </property>
  <property fmtid="{D5CDD505-2E9C-101B-9397-08002B2CF9AE}" pid="9" name="FooterPath">
    <vt:lpwstr>RR\1121999DA.docx</vt:lpwstr>
  </property>
  <property fmtid="{D5CDD505-2E9C-101B-9397-08002B2CF9AE}" pid="10" name="PE Number">
    <vt:lpwstr>593.857</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DA</vt:lpwstr>
  </property>
  <property fmtid="{D5CDD505-2E9C-101B-9397-08002B2CF9AE}" pid="15" name="Bookout">
    <vt:lpwstr>OK - 2017/04/20 17:18</vt:lpwstr>
  </property>
</Properties>
</file>