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82" w:rsidRDefault="00AE4782" w:rsidP="00AE4782">
      <w:pPr>
        <w:tabs>
          <w:tab w:val="right" w:pos="9184"/>
        </w:tabs>
      </w:pPr>
    </w:p>
    <w:p w:rsidR="00AE4782" w:rsidRDefault="00AE4782" w:rsidP="00AE4782">
      <w:pPr>
        <w:tabs>
          <w:tab w:val="right" w:pos="9184"/>
        </w:tabs>
      </w:pPr>
    </w:p>
    <w:p w:rsidR="00AE4782" w:rsidRDefault="00AE4782" w:rsidP="00AE4782">
      <w:pPr>
        <w:tabs>
          <w:tab w:val="right" w:pos="9184"/>
        </w:tabs>
      </w:pPr>
    </w:p>
    <w:p w:rsidR="00AE4782" w:rsidRDefault="00AE4782" w:rsidP="00AE4782">
      <w:pPr>
        <w:tabs>
          <w:tab w:val="right" w:pos="9184"/>
        </w:tabs>
      </w:pPr>
    </w:p>
    <w:p w:rsidR="00AE4782" w:rsidRDefault="00AE4782" w:rsidP="00AE4782">
      <w:pPr>
        <w:tabs>
          <w:tab w:val="right" w:pos="9184"/>
        </w:tabs>
      </w:pPr>
      <w:r w:rsidRPr="00AE4782">
        <w:rPr>
          <w:rStyle w:val="HideTWBExt"/>
        </w:rPr>
        <w:t>&lt;Date&gt;</w:t>
      </w:r>
      <w:r>
        <w:t>1.2.2018</w:t>
      </w:r>
      <w:r w:rsidRPr="00AE4782">
        <w:rPr>
          <w:rStyle w:val="HideTWBExt"/>
        </w:rPr>
        <w:t>&lt;/Date&gt;</w:t>
      </w:r>
      <w:r>
        <w:tab/>
        <w:t xml:space="preserve">A8-0135/ </w:t>
      </w:r>
      <w:r w:rsidRPr="00AE4782">
        <w:rPr>
          <w:rStyle w:val="HideTWBExt"/>
        </w:rPr>
        <w:t>&lt;NumOfAM&gt;</w:t>
      </w:r>
      <w:r>
        <w:t>001-063</w:t>
      </w:r>
      <w:bookmarkStart w:id="0" w:name="_GoBack"/>
      <w:bookmarkEnd w:id="0"/>
      <w:r w:rsidRPr="00AE4782">
        <w:rPr>
          <w:rStyle w:val="HideTWBExt"/>
        </w:rPr>
        <w:t>&lt;/NumOfAM&gt;</w:t>
      </w:r>
    </w:p>
    <w:p w:rsidR="00AE4782" w:rsidRDefault="00AE4782" w:rsidP="00AE4782">
      <w:pPr>
        <w:tabs>
          <w:tab w:val="right" w:pos="9184"/>
        </w:tabs>
      </w:pPr>
    </w:p>
    <w:p w:rsidR="00AE4782" w:rsidRDefault="00AE4782" w:rsidP="00AE4782">
      <w:pPr>
        <w:tabs>
          <w:tab w:val="right" w:pos="9184"/>
        </w:tabs>
      </w:pPr>
    </w:p>
    <w:p w:rsidR="00AE4782" w:rsidRDefault="00AE4782" w:rsidP="00AE4782">
      <w:pPr>
        <w:tabs>
          <w:tab w:val="right" w:pos="9184"/>
        </w:tabs>
      </w:pPr>
      <w:r>
        <w:rPr>
          <w:b/>
        </w:rPr>
        <w:t xml:space="preserve">AMENDEMENTEN 001-063 </w:t>
      </w:r>
    </w:p>
    <w:p w:rsidR="00AE4782" w:rsidRDefault="00AE4782" w:rsidP="00AE4782">
      <w:pPr>
        <w:tabs>
          <w:tab w:val="right" w:pos="9184"/>
        </w:tabs>
      </w:pPr>
      <w:r>
        <w:t xml:space="preserve">ingediend door de </w:t>
      </w:r>
      <w:r w:rsidRPr="00AE4782">
        <w:rPr>
          <w:rStyle w:val="HideTWBExt"/>
        </w:rPr>
        <w:t>&lt;Committee&gt;</w:t>
      </w:r>
      <w:r>
        <w:t>Begrotingscommissie</w:t>
      </w:r>
      <w:r w:rsidRPr="00AE4782">
        <w:rPr>
          <w:rStyle w:val="HideTWBExt"/>
        </w:rPr>
        <w:t>&lt;/Committee&gt;</w:t>
      </w:r>
    </w:p>
    <w:p w:rsidR="00AE4782" w:rsidRDefault="00AE4782" w:rsidP="00AE4782">
      <w:pPr>
        <w:tabs>
          <w:tab w:val="right" w:pos="9184"/>
        </w:tabs>
      </w:pPr>
    </w:p>
    <w:p w:rsidR="00AE4782" w:rsidRPr="008E53C5" w:rsidRDefault="00AE4782" w:rsidP="00AE4782">
      <w:pPr>
        <w:tabs>
          <w:tab w:val="right" w:pos="9184"/>
        </w:tabs>
        <w:rPr>
          <w:b/>
          <w:lang w:val="pt-PT"/>
        </w:rPr>
      </w:pPr>
      <w:r w:rsidRPr="008E53C5">
        <w:rPr>
          <w:b/>
          <w:lang w:val="pt-PT"/>
        </w:rPr>
        <w:t>Verslag</w:t>
      </w:r>
    </w:p>
    <w:p w:rsidR="00AE4782" w:rsidRPr="008E53C5" w:rsidRDefault="00AE4782" w:rsidP="00AE4782">
      <w:pPr>
        <w:tabs>
          <w:tab w:val="right" w:pos="9184"/>
        </w:tabs>
        <w:rPr>
          <w:b/>
          <w:lang w:val="pt-PT"/>
        </w:rPr>
      </w:pPr>
      <w:r w:rsidRPr="008E53C5">
        <w:rPr>
          <w:rStyle w:val="HideTWBExt"/>
          <w:lang w:val="pt-PT"/>
        </w:rPr>
        <w:t>&lt;Chairman&gt;</w:t>
      </w:r>
      <w:r w:rsidRPr="008E53C5">
        <w:rPr>
          <w:b/>
          <w:lang w:val="pt-PT"/>
        </w:rPr>
        <w:t>Eider Gardiazabal Rubial</w:t>
      </w:r>
      <w:r w:rsidRPr="008E53C5">
        <w:rPr>
          <w:rStyle w:val="HideTWBExt"/>
          <w:lang w:val="pt-PT"/>
        </w:rPr>
        <w:t>&lt;/Chairman&gt;</w:t>
      </w:r>
      <w:r w:rsidRPr="008E53C5">
        <w:rPr>
          <w:b/>
          <w:lang w:val="pt-PT"/>
        </w:rPr>
        <w:tab/>
      </w:r>
      <w:r w:rsidRPr="008E53C5">
        <w:rPr>
          <w:rStyle w:val="HideTWBExt"/>
          <w:lang w:val="pt-PT"/>
        </w:rPr>
        <w:t>&lt;A5Nr&gt;</w:t>
      </w:r>
      <w:r w:rsidRPr="008E53C5">
        <w:rPr>
          <w:b/>
          <w:lang w:val="pt-PT"/>
        </w:rPr>
        <w:t>A8-0135/2017</w:t>
      </w:r>
      <w:r w:rsidRPr="008E53C5">
        <w:rPr>
          <w:rStyle w:val="HideTWBExt"/>
          <w:lang w:val="pt-PT"/>
        </w:rPr>
        <w:t>&lt;/A5Nr&gt;</w:t>
      </w:r>
    </w:p>
    <w:p w:rsidR="00AE4782" w:rsidRDefault="00AE4782" w:rsidP="00AE4782">
      <w:pPr>
        <w:tabs>
          <w:tab w:val="right" w:pos="9184"/>
        </w:tabs>
      </w:pPr>
      <w:r w:rsidRPr="00AE4782">
        <w:rPr>
          <w:rStyle w:val="HideTWBExt"/>
        </w:rPr>
        <w:t>&lt;ShortTitel&gt;</w:t>
      </w:r>
      <w:r>
        <w:t>EU-garantie voor verliezen van de Europese Investeringsbank op financieringsverrichtingen van projecten buiten de Unie</w:t>
      </w:r>
      <w:r w:rsidRPr="00AE4782">
        <w:rPr>
          <w:rStyle w:val="HideTWBExt"/>
        </w:rPr>
        <w:t>&lt;/ShortTitel&gt;</w:t>
      </w:r>
    </w:p>
    <w:p w:rsidR="00AE4782" w:rsidRDefault="00AE4782" w:rsidP="00AE4782">
      <w:pPr>
        <w:tabs>
          <w:tab w:val="right" w:pos="9184"/>
        </w:tabs>
      </w:pPr>
    </w:p>
    <w:p w:rsidR="00AE4782" w:rsidRDefault="00AE4782" w:rsidP="00AE4782">
      <w:pPr>
        <w:tabs>
          <w:tab w:val="right" w:pos="9184"/>
        </w:tabs>
      </w:pPr>
      <w:r w:rsidRPr="00AE4782">
        <w:rPr>
          <w:rStyle w:val="HideTWBExt"/>
        </w:rPr>
        <w:t>&lt;Procedure&gt;</w:t>
      </w:r>
      <w:r>
        <w:t>Voorstel voor een besluit</w:t>
      </w:r>
      <w:r w:rsidRPr="00AE4782">
        <w:rPr>
          <w:rStyle w:val="HideTWBExt"/>
        </w:rPr>
        <w:t>&lt;/Procedure&gt;</w:t>
      </w:r>
      <w:r>
        <w:t xml:space="preserve"> </w:t>
      </w:r>
      <w:r w:rsidRPr="00AE4782">
        <w:rPr>
          <w:rStyle w:val="HideTWBExt"/>
        </w:rPr>
        <w:t>&lt;ReferenceNo&gt;</w:t>
      </w:r>
      <w:r>
        <w:t>(COM(2016)0583 – C8-0376/2016 – 2016/0275(COD))</w:t>
      </w:r>
      <w:r w:rsidRPr="00AE4782">
        <w:rPr>
          <w:rStyle w:val="HideTWBExt"/>
        </w:rPr>
        <w:t>&lt;/ReferenceNo&gt;</w:t>
      </w:r>
    </w:p>
    <w:p w:rsidR="00AE4782" w:rsidRDefault="00AE4782" w:rsidP="00AE4782">
      <w:pPr>
        <w:tabs>
          <w:tab w:val="right" w:pos="9184"/>
        </w:tabs>
      </w:pPr>
    </w:p>
    <w:p w:rsidR="00AE4782" w:rsidRDefault="00AE4782" w:rsidP="00AE4782">
      <w:pPr>
        <w:tabs>
          <w:tab w:val="right" w:pos="9184"/>
        </w:tabs>
      </w:pPr>
    </w:p>
    <w:p w:rsidR="00AE4782" w:rsidRDefault="00AE4782" w:rsidP="00AE4782">
      <w:pPr>
        <w:tabs>
          <w:tab w:val="right" w:pos="9184"/>
        </w:tabs>
      </w:pPr>
    </w:p>
    <w:p w:rsidR="00AE4782" w:rsidRDefault="00AE4782" w:rsidP="00AE4782">
      <w:pPr>
        <w:tabs>
          <w:tab w:val="right" w:pos="9184"/>
        </w:tabs>
        <w:jc w:val="center"/>
      </w:pPr>
      <w:r>
        <w:t>_____________________________________________________________</w:t>
      </w:r>
    </w:p>
    <w:p w:rsidR="00AE4782" w:rsidRDefault="00AE4782" w:rsidP="00AE4782">
      <w:pPr>
        <w:tabs>
          <w:tab w:val="right" w:pos="9184"/>
        </w:tabs>
        <w:jc w:val="center"/>
      </w:pPr>
    </w:p>
    <w:p w:rsidR="0013590E" w:rsidRPr="00AE4782" w:rsidRDefault="0013590E" w:rsidP="00AE4782">
      <w:pPr>
        <w:pStyle w:val="AMNumberTabs"/>
      </w:pPr>
      <w:r w:rsidRPr="00AE4782">
        <w:t xml:space="preserve">Amendement </w:t>
      </w:r>
      <w:r w:rsidRPr="00AE4782">
        <w:tab/>
      </w:r>
      <w:r w:rsidRPr="00AE4782">
        <w:tab/>
        <w:t>1</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(1)</w:t>
            </w:r>
            <w:r w:rsidRPr="00AE4782">
              <w:tab/>
              <w:t xml:space="preserve">De internationale gemeenschap wordt geconfronteerd met een vluchtelingencrisis zonder weerga die solidariteit vergt, doelmatige inzet van financiële middelen en de noodzaak om in onderling overleg de bestaande risico's en bedreigingen het hoofd te bieden en te overwinnen. Alle spelers moeten samenwerken om door volgehouden beleid op middellange en lange termijn en doelmatig gebruik van bestaande </w:t>
            </w:r>
            <w:r w:rsidRPr="00AE4782">
              <w:rPr>
                <w:b/>
                <w:i/>
              </w:rPr>
              <w:t xml:space="preserve">processen en </w:t>
            </w:r>
            <w:r w:rsidRPr="00AE4782">
              <w:t xml:space="preserve">programma's initiatieven te steunen die bijdragen tot het aanpakken van onderliggende oorzaken van </w:t>
            </w:r>
            <w:r w:rsidRPr="00AE4782">
              <w:rPr>
                <w:b/>
                <w:i/>
              </w:rPr>
              <w:t>migratie</w:t>
            </w:r>
            <w:r w:rsidRPr="00AE4782">
              <w:t>.</w:t>
            </w:r>
          </w:p>
        </w:tc>
        <w:tc>
          <w:tcPr>
            <w:tcW w:w="4876" w:type="dxa"/>
            <w:hideMark/>
          </w:tcPr>
          <w:p w:rsidR="0013590E" w:rsidRPr="00AE4782" w:rsidRDefault="0013590E" w:rsidP="00601331">
            <w:pPr>
              <w:pStyle w:val="Normal6"/>
            </w:pPr>
            <w:r w:rsidRPr="00AE4782">
              <w:t>(1)</w:t>
            </w:r>
            <w:r w:rsidRPr="00AE4782">
              <w:tab/>
              <w:t xml:space="preserve">De internationale gemeenschap wordt geconfronteerd met een </w:t>
            </w:r>
            <w:r w:rsidRPr="00AE4782">
              <w:rPr>
                <w:b/>
                <w:i/>
              </w:rPr>
              <w:t xml:space="preserve">migratie- en </w:t>
            </w:r>
            <w:r w:rsidRPr="00AE4782">
              <w:t>vluchtelingencrisis zonder weerga die solidariteit vergt, doelmatige inzet van financiële middelen en de noodzaak om in onderling overleg de bestaande risico's en bedreigingen het hoofd te bieden en te overwinnen. Alle spelers moeten samenwerken om door volgehouden beleid op middellange en lange termijn en doelmatig gebruik van bestaande programma's initiatieven</w:t>
            </w:r>
            <w:r w:rsidRPr="00AE4782">
              <w:rPr>
                <w:b/>
                <w:i/>
              </w:rPr>
              <w:t xml:space="preserve"> te ontwerpen en</w:t>
            </w:r>
            <w:r w:rsidRPr="00AE4782">
              <w:t xml:space="preserve"> te steunen die bijdragen tot het </w:t>
            </w:r>
            <w:r w:rsidRPr="00AE4782">
              <w:rPr>
                <w:b/>
                <w:i/>
              </w:rPr>
              <w:t xml:space="preserve">realiseren van de doelstellingen inzake duurzame ontwikkeling en het </w:t>
            </w:r>
            <w:r w:rsidRPr="00AE4782">
              <w:t xml:space="preserve">aanpakken van onderliggende oorzaken van </w:t>
            </w:r>
            <w:r w:rsidRPr="00AE4782">
              <w:rPr>
                <w:b/>
                <w:i/>
              </w:rPr>
              <w:t xml:space="preserve">migratiedruk als gevolg van armoede, ongelijkheid, bevolkingsaangroei, gebrek aan mogelijkheden op het gebied van banen en op economisch gebied, klimaatverandering en de </w:t>
            </w:r>
            <w:r w:rsidRPr="00AE4782">
              <w:rPr>
                <w:b/>
                <w:i/>
              </w:rPr>
              <w:lastRenderedPageBreak/>
              <w:t>langetermijngevolgen van gedwongen ontheemding</w:t>
            </w:r>
            <w:r w:rsidRPr="00AE4782">
              <w:t>.</w:t>
            </w:r>
          </w:p>
        </w:tc>
      </w:tr>
    </w:tbl>
    <w:p w:rsidR="0013590E" w:rsidRPr="00AE4782" w:rsidRDefault="0013590E" w:rsidP="0013590E">
      <w:pPr>
        <w:pStyle w:val="AMNumberTabs"/>
      </w:pPr>
      <w:r w:rsidRPr="00AE4782">
        <w:lastRenderedPageBreak/>
        <w:t xml:space="preserve">Amendement </w:t>
      </w:r>
      <w:r w:rsidRPr="00AE4782">
        <w:tab/>
      </w:r>
      <w:r w:rsidRPr="00AE4782">
        <w:tab/>
        <w:t>2</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(1 bis)</w:t>
            </w:r>
            <w:r w:rsidRPr="00AE4782">
              <w:tab/>
            </w:r>
            <w:r w:rsidRPr="00AE4782">
              <w:rPr>
                <w:b/>
                <w:i/>
              </w:rPr>
              <w:t>Alle pogingen om ontwikkelingsfinanciering te koppelen aan grenscontrole, het beheer van migratiestromen of overnameovereenkomsten moeten worden vermeden.</w:t>
            </w:r>
          </w:p>
        </w:tc>
      </w:tr>
    </w:tbl>
    <w:p w:rsidR="0013590E" w:rsidRPr="00AE4782" w:rsidRDefault="0013590E" w:rsidP="0013590E">
      <w:pPr>
        <w:pStyle w:val="AMNumberTabs"/>
        <w:keepNext/>
      </w:pPr>
      <w:r w:rsidRPr="00AE4782">
        <w:t>Amendement</w:t>
      </w:r>
      <w:r w:rsidRPr="00AE4782">
        <w:tab/>
      </w:r>
      <w:r w:rsidRPr="00AE4782">
        <w:tab/>
        <w:t>3</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keepNext/>
      </w:pPr>
      <w:r w:rsidRPr="00AE4782">
        <w:t>Overweging 2</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(2)</w:t>
            </w:r>
            <w:r w:rsidRPr="00AE4782">
              <w:tab/>
              <w:t>Een nieuw resultaatgericht partnerschapskader met derde landen, dat met alle Uniebeleidslijnen en -instrumenten rekening houdt, dient te worden uitgewerkt. In het kader van dat nieuwe partnerschapskader dient het plan voor externe investeringen (hierna "EIP" genoemd) te worden opgezet om investeringen in regio's buiten de Unie te ondersteunen, en tegelijk bij te dragen aan het behalen van de doelstelling van duurzame ontwikkeling. Ook dienen hiermee de doelstellingen van de Agenda 2030 voor duurzame ontwikkeling te worden behaald, alsmede de doelstellingen die met andere financieringsinstrumenten voor extern optreden worden nagestreefd.</w:t>
            </w:r>
          </w:p>
        </w:tc>
        <w:tc>
          <w:tcPr>
            <w:tcW w:w="4876" w:type="dxa"/>
            <w:hideMark/>
          </w:tcPr>
          <w:p w:rsidR="0013590E" w:rsidRPr="00AE4782" w:rsidRDefault="0013590E" w:rsidP="00601331">
            <w:pPr>
              <w:pStyle w:val="Normal6"/>
            </w:pPr>
            <w:r w:rsidRPr="00AE4782">
              <w:t>(2)</w:t>
            </w:r>
            <w:r w:rsidRPr="00AE4782">
              <w:tab/>
              <w:t xml:space="preserve">Een nieuw resultaatgericht partnerschapskader met derde landen, dat met alle Uniebeleidslijnen en -instrumenten rekening houdt, dient te worden uitgewerkt. In het kader van dat nieuwe partnerschapskader dient het plan voor externe investeringen (hierna "EIP" genoemd) te worden opgezet om investeringen in regio's buiten de Unie te ondersteunen, en tegelijk bij te dragen aan het behalen van de doelstelling van duurzame ontwikkeling. Ook dienen hiermee de doelstellingen van de Agenda 2030 voor duurzame ontwikkeling te worden behaald, alsmede de doelstellingen </w:t>
            </w:r>
            <w:r w:rsidRPr="00AE4782">
              <w:rPr>
                <w:b/>
                <w:i/>
              </w:rPr>
              <w:t xml:space="preserve">van de Overeenkomst van Parijs, die is aangenomen in het kader van het Raamverdrag van de Verenigde Naties inzake klimaatverandering, en de doelstellingen </w:t>
            </w:r>
            <w:r w:rsidRPr="00AE4782">
              <w:t>die met andere financieringsinstrumenten voor extern optreden worden nagestreefd.</w:t>
            </w:r>
          </w:p>
        </w:tc>
      </w:tr>
    </w:tbl>
    <w:p w:rsidR="0013590E" w:rsidRPr="00AE4782" w:rsidRDefault="0013590E" w:rsidP="0013590E">
      <w:pPr>
        <w:pStyle w:val="JustificationTitle"/>
      </w:pPr>
      <w:r w:rsidRPr="00AE4782">
        <w:t>Motivering</w:t>
      </w:r>
    </w:p>
    <w:p w:rsidR="0013590E" w:rsidRPr="00AE4782" w:rsidRDefault="0013590E" w:rsidP="0013590E">
      <w:pPr>
        <w:pStyle w:val="Normal12Italic"/>
      </w:pPr>
      <w:r w:rsidRPr="00AE4782">
        <w:t xml:space="preserve">Met de klimaatovereenkomst van Parijs zijn de regeringen overeengekomen de opwarming </w:t>
      </w:r>
      <w:r w:rsidRPr="00AE4782">
        <w:lastRenderedPageBreak/>
        <w:t>van de aarde te beperken tot ruim onder 2°C boven het pre-industriële niveau en daarom snelle verminderingen te realiseren van de broekasgasemissies met de beste technieken die beschikbaar zijn. Zij hebben zich er ook toe verplicht de ontwikkelingslanden te helpen bij hun inspanning om zich aan de klimaatverandering aan te passen.</w:t>
      </w:r>
    </w:p>
    <w:p w:rsidR="0013590E" w:rsidRPr="00AE4782" w:rsidRDefault="0013590E" w:rsidP="0013590E">
      <w:pPr>
        <w:pStyle w:val="AMNumberTabs"/>
      </w:pPr>
      <w:r w:rsidRPr="00AE4782">
        <w:t xml:space="preserve">Amendement </w:t>
      </w:r>
      <w:r w:rsidRPr="00AE4782">
        <w:tab/>
      </w:r>
      <w:r w:rsidRPr="00AE4782">
        <w:tab/>
        <w:t>4</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r w:rsidRPr="00AE4782">
              <w:t>(4)</w:t>
            </w:r>
            <w:r w:rsidRPr="00AE4782">
              <w:tab/>
              <w:t>Een cruciaal onderdeel van dit EIB-weerbaarheidsinitiatief is de uitbreiding, zowel kwantitatief als kwalitatief, van het externe mandaat van de EIB. Dit zou de EIB in staat moeten stellen om snel bij te dragen aan de EIP-doelstellingen, met name door additionele financiering te verschaffen aan begunstigden uit de particuliere sector.</w:t>
            </w:r>
          </w:p>
        </w:tc>
        <w:tc>
          <w:tcPr>
            <w:tcW w:w="4876" w:type="dxa"/>
          </w:tcPr>
          <w:p w:rsidR="0013590E" w:rsidRPr="00AE4782" w:rsidRDefault="0013590E" w:rsidP="00601331">
            <w:pPr>
              <w:pStyle w:val="Normal6"/>
            </w:pPr>
            <w:r w:rsidRPr="00AE4782">
              <w:t>(4)</w:t>
            </w:r>
            <w:r w:rsidRPr="00AE4782">
              <w:tab/>
              <w:t>Een cruciaal onderdeel van dit EIB-weerbaarheidsinitiatief is de uitbreiding, zowel kwantitatief als kwalitatief, van het externe mandaat van de EIB. Dit zou de EIB in staat moeten stellen om snel bij te dragen aan de EIP-doelstellingen, met name door additionele financiering te verschaffen aan begunstigden uit de particuliere sector</w:t>
            </w:r>
            <w:r w:rsidRPr="00AE4782">
              <w:rPr>
                <w:b/>
                <w:i/>
              </w:rPr>
              <w:t xml:space="preserve"> teneinde langetermijninvesteringen te stimuleren</w:t>
            </w:r>
            <w:r w:rsidRPr="00AE4782">
              <w:t>.</w:t>
            </w:r>
          </w:p>
        </w:tc>
      </w:tr>
    </w:tbl>
    <w:p w:rsidR="0013590E" w:rsidRPr="00AE4782" w:rsidRDefault="0013590E" w:rsidP="0013590E">
      <w:pPr>
        <w:pStyle w:val="AMNumberTabs"/>
      </w:pPr>
      <w:r w:rsidRPr="00AE4782">
        <w:t xml:space="preserve">Amendement </w:t>
      </w:r>
      <w:r w:rsidRPr="00AE4782">
        <w:tab/>
      </w:r>
      <w:r w:rsidRPr="00AE4782">
        <w:tab/>
        <w:t>5</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(9)</w:t>
            </w:r>
            <w:r w:rsidRPr="00AE4782">
              <w:tab/>
              <w:t xml:space="preserve">Om met het externe mandaat te kunnen inspelen op potentiële uitdagingen en Unieprioriteiten die zich aandienen, maar ook een strategisch antwoord te bieden voor het aanpakken van onderliggende oorzaken van </w:t>
            </w:r>
            <w:r w:rsidRPr="00AE4782">
              <w:rPr>
                <w:b/>
                <w:i/>
              </w:rPr>
              <w:t>migratie</w:t>
            </w:r>
            <w:r w:rsidRPr="00AE4782">
              <w:t xml:space="preserve">, dient het maximumplafond voor de EIB-financieringsverrichtingen onder de EU-garantie te worden opgetrokken tot </w:t>
            </w:r>
            <w:r w:rsidRPr="00AE4782">
              <w:rPr>
                <w:b/>
                <w:i/>
              </w:rPr>
              <w:t>32 300 000 000 EUR door het optionele aanvullende bedrag van 3 000</w:t>
            </w:r>
            <w:r w:rsidRPr="00AE4782">
              <w:t xml:space="preserve"> 000 000 EUR</w:t>
            </w:r>
            <w:r w:rsidRPr="00AE4782">
              <w:rPr>
                <w:b/>
                <w:i/>
              </w:rPr>
              <w:t xml:space="preserve"> vrij te geven</w:t>
            </w:r>
            <w:r w:rsidRPr="00AE4782">
              <w:t xml:space="preserve">. Onder het algemene mandaat dient het bedrag van 1 400 000 000 EUR te worden geoormerkt voor projecten in de publieke sector die zijn gericht op </w:t>
            </w:r>
            <w:r w:rsidRPr="00AE4782">
              <w:rPr>
                <w:b/>
                <w:i/>
              </w:rPr>
              <w:t>vluchtelingen</w:t>
            </w:r>
            <w:r w:rsidRPr="00AE4782">
              <w:t xml:space="preserve"> en gastgemeenschappen</w:t>
            </w:r>
            <w:r w:rsidRPr="00AE4782">
              <w:rPr>
                <w:b/>
                <w:i/>
              </w:rPr>
              <w:t xml:space="preserve"> in crisisgebieden</w:t>
            </w:r>
            <w:r w:rsidRPr="00AE4782">
              <w:t>.</w:t>
            </w:r>
          </w:p>
        </w:tc>
        <w:tc>
          <w:tcPr>
            <w:tcW w:w="4876" w:type="dxa"/>
            <w:hideMark/>
          </w:tcPr>
          <w:p w:rsidR="0013590E" w:rsidRPr="00AE4782" w:rsidRDefault="0013590E" w:rsidP="00601331">
            <w:pPr>
              <w:pStyle w:val="Normal6"/>
            </w:pPr>
            <w:r w:rsidRPr="00AE4782">
              <w:t>(9)</w:t>
            </w:r>
            <w:r w:rsidRPr="00AE4782">
              <w:tab/>
              <w:t xml:space="preserve">Om met het externe mandaat te kunnen inspelen op potentiële uitdagingen en Unieprioriteiten die zich aandienen, maar ook een strategisch antwoord te bieden voor het aanpakken van onderliggende oorzaken van </w:t>
            </w:r>
            <w:r w:rsidRPr="00AE4782">
              <w:rPr>
                <w:b/>
                <w:i/>
              </w:rPr>
              <w:t>migratiedruk als gevolg van armoede, ongelijkheid, bevolkingsaangroei, gebrek aan mogelijkheden op het gebied van banen en op economisch gebied en klimaatverandering</w:t>
            </w:r>
            <w:r w:rsidRPr="00AE4782">
              <w:t xml:space="preserve">, dient het maximumplafond voor de EIB-financieringsverrichtingen onder de EU-garantie te worden opgetrokken tot </w:t>
            </w:r>
            <w:r w:rsidRPr="00AE4782">
              <w:rPr>
                <w:b/>
                <w:i/>
              </w:rPr>
              <w:t>38 470</w:t>
            </w:r>
            <w:r w:rsidRPr="00AE4782">
              <w:t xml:space="preserve"> 000 000 EUR. Onder het algemene mandaat dient het bedrag van 1 400 000 000 EUR te worden geoormerkt voor projecten in de publieke sector die zijn gericht op </w:t>
            </w:r>
            <w:r w:rsidRPr="00AE4782">
              <w:rPr>
                <w:b/>
                <w:i/>
              </w:rPr>
              <w:t>de ontwikkeling van economische en sociale infrastructuur in partnerlanden en transit-</w:t>
            </w:r>
            <w:r w:rsidRPr="00AE4782">
              <w:t xml:space="preserve"> en </w:t>
            </w:r>
            <w:r w:rsidRPr="00AE4782">
              <w:lastRenderedPageBreak/>
              <w:t>gastgemeenschappen</w:t>
            </w:r>
            <w:r w:rsidRPr="00AE4782">
              <w:rPr>
                <w:b/>
                <w:i/>
              </w:rPr>
              <w:t>, met focus op banencreatie en duurzaamheid</w:t>
            </w:r>
            <w:r w:rsidRPr="00AE4782">
              <w:t>.</w:t>
            </w:r>
          </w:p>
        </w:tc>
      </w:tr>
    </w:tbl>
    <w:p w:rsidR="0013590E" w:rsidRPr="00AE4782" w:rsidRDefault="0013590E" w:rsidP="0013590E">
      <w:pPr>
        <w:pStyle w:val="AMNumberTabs"/>
        <w:keepNext/>
      </w:pPr>
      <w:r w:rsidRPr="00AE4782">
        <w:lastRenderedPageBreak/>
        <w:t xml:space="preserve">Amendement </w:t>
      </w:r>
      <w:r w:rsidRPr="00AE4782">
        <w:tab/>
      </w:r>
      <w:r w:rsidRPr="00AE4782">
        <w:tab/>
        <w:t>6</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Overweging 9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(9 bis)</w:t>
            </w:r>
            <w:r w:rsidRPr="00AE4782">
              <w:tab/>
            </w:r>
            <w:r w:rsidRPr="00AE4782">
              <w:rPr>
                <w:b/>
                <w:i/>
              </w:rPr>
              <w:t>Hoewel het aanpakken van de onderliggende oorzaken van de migratie- en vluchtelingencrisis van het grootste belang is, mag dit niet ten koste gaan van beleid op andere terreinen die een essentiële strategische prioriteit zijn, overeenkomstig de integrale EU-strategie.</w:t>
            </w:r>
          </w:p>
        </w:tc>
      </w:tr>
    </w:tbl>
    <w:p w:rsidR="0013590E" w:rsidRPr="00AE4782" w:rsidRDefault="0013590E" w:rsidP="0013590E">
      <w:pPr>
        <w:pStyle w:val="AMNumberTabs"/>
        <w:keepNext/>
      </w:pPr>
      <w:r w:rsidRPr="00AE4782">
        <w:t>Amendement</w:t>
      </w:r>
      <w:r w:rsidRPr="00AE4782">
        <w:tab/>
      </w:r>
      <w:r w:rsidRPr="00AE4782">
        <w:tab/>
        <w:t>7</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(10)</w:t>
            </w:r>
            <w:r w:rsidRPr="00AE4782">
              <w:tab/>
              <w:t>Onder het nieuwe mandaat voor leningen aan de particuliere sector dient het maximumbedrag van 2 300 000 000 EUR te worden bestemd voor projecten die onderliggende oorzaken van migratie aanpakken binnen het maximale verhoogde plafond en dient dit de alomvattende garantie van de Unie te genieten.</w:t>
            </w:r>
          </w:p>
        </w:tc>
        <w:tc>
          <w:tcPr>
            <w:tcW w:w="4876" w:type="dxa"/>
            <w:hideMark/>
          </w:tcPr>
          <w:p w:rsidR="0013590E" w:rsidRPr="00AE4782" w:rsidRDefault="0013590E" w:rsidP="00601331">
            <w:pPr>
              <w:pStyle w:val="Normal6"/>
              <w:rPr>
                <w:szCs w:val="24"/>
              </w:rPr>
            </w:pPr>
            <w:r w:rsidRPr="00AE4782">
              <w:t>(10)</w:t>
            </w:r>
            <w:r w:rsidRPr="00AE4782">
              <w:tab/>
              <w:t xml:space="preserve">Onder het nieuwe mandaat voor leningen aan de particuliere sector dient het maximumbedrag van 2 300 000 000 EUR te worden bestemd voor projecten die onderliggende oorzaken van migratie aanpakken </w:t>
            </w:r>
            <w:r w:rsidRPr="00AE4782">
              <w:rPr>
                <w:b/>
                <w:i/>
              </w:rPr>
              <w:t xml:space="preserve">en bijdragen tot de economische veerkracht op lange termijn van vluchtelingen, migranten en gast- en transitgemeenschappen </w:t>
            </w:r>
            <w:r w:rsidRPr="00AE4782">
              <w:t>binnen het maximale verhoogde plafond en dient dit de alomvattende garantie van de Unie te genieten.</w:t>
            </w:r>
          </w:p>
        </w:tc>
      </w:tr>
    </w:tbl>
    <w:p w:rsidR="0013590E" w:rsidRPr="00AE4782" w:rsidRDefault="0013590E" w:rsidP="0013590E">
      <w:pPr>
        <w:pStyle w:val="AMNumberTabs"/>
      </w:pPr>
      <w:r w:rsidRPr="00AE4782">
        <w:t xml:space="preserve">Amendement </w:t>
      </w:r>
      <w:r w:rsidRPr="00AE4782">
        <w:tab/>
      </w:r>
      <w:r w:rsidRPr="00AE4782">
        <w:tab/>
        <w:t>8</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10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(10 bis)</w:t>
            </w:r>
            <w:r w:rsidRPr="00AE4782">
              <w:tab/>
            </w:r>
            <w:r w:rsidRPr="00AE4782">
              <w:rPr>
                <w:b/>
                <w:i/>
              </w:rPr>
              <w:t xml:space="preserve">Als een van de voornaamste doelstellingen van de EIB in het kader van het ELM heeft steun aan  micro-, kleine en middelgrote ondernemingen (mkmo's) en de plaatselijke particuliere </w:t>
            </w:r>
            <w:r w:rsidRPr="00AE4782">
              <w:rPr>
                <w:b/>
                <w:i/>
              </w:rPr>
              <w:lastRenderedPageBreak/>
              <w:t>sector behoefte aan een gezamenlijke inspanning zodat de operaties van de EIB gericht zijn op de verbetering van de toegang van mkmo's tot financiering en krediet, de verstrekking van technische bijstand, de bevordering van ondernemerschap en de garantie van de gepaste verstrekking van financiële diensten aan huishoudens en bedrijven, zodat de overgang van mkmo's van de onstabiele informele economie naar de formele economie vergemakkelijkt wordt. De EIB-financieringsverrichtingen dienen ook te streven naar de krachtige ondersteuning van kleine, door mkmo's gerunde investeringsprojecten, waardoor de internationalisering van mkmo's verder wordt gefaciliteerd, voornamelijk in afgelegen plattelandsgebieden en in het bijzonder op het gebied van de behandeling van drinkwater, de verwijdering van afvalwater alsmede hernieuwbare energie.</w:t>
            </w:r>
          </w:p>
        </w:tc>
      </w:tr>
    </w:tbl>
    <w:p w:rsidR="0013590E" w:rsidRPr="00AE4782" w:rsidRDefault="0013590E" w:rsidP="0013590E">
      <w:pPr>
        <w:pStyle w:val="AMNumberTabs"/>
      </w:pPr>
      <w:r w:rsidRPr="00AE4782">
        <w:lastRenderedPageBreak/>
        <w:t xml:space="preserve">Amendement </w:t>
      </w:r>
      <w:r w:rsidRPr="00AE4782">
        <w:tab/>
      </w:r>
      <w:r w:rsidRPr="00AE4782">
        <w:tab/>
        <w:t>9</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(11)</w:t>
            </w:r>
            <w:r w:rsidRPr="00AE4782">
              <w:tab/>
            </w:r>
            <w:r w:rsidRPr="00AE4782">
              <w:rPr>
                <w:b/>
                <w:i/>
              </w:rPr>
              <w:t>Het</w:t>
            </w:r>
            <w:r w:rsidRPr="00AE4782">
              <w:t xml:space="preserve"> aanpakken van onderliggende oorzaken van migratie dient als een nieuwe doelstelling aan het mandaat te worden toegevoegd.</w:t>
            </w:r>
          </w:p>
        </w:tc>
        <w:tc>
          <w:tcPr>
            <w:tcW w:w="4876" w:type="dxa"/>
            <w:hideMark/>
          </w:tcPr>
          <w:p w:rsidR="0013590E" w:rsidRPr="00AE4782" w:rsidRDefault="0013590E" w:rsidP="00601331">
            <w:pPr>
              <w:pStyle w:val="Normal6"/>
            </w:pPr>
            <w:r w:rsidRPr="00AE4782">
              <w:t>(11)</w:t>
            </w:r>
            <w:r w:rsidRPr="00AE4782">
              <w:tab/>
            </w:r>
            <w:r w:rsidRPr="00AE4782">
              <w:rPr>
                <w:b/>
                <w:i/>
              </w:rPr>
              <w:t>De economische veerkracht van vluchtelingen, migranten en gast- en transitgemeenschappen op lange termijn als strategisch antwoord op het</w:t>
            </w:r>
            <w:r w:rsidRPr="00AE4782">
              <w:t xml:space="preserve"> aanpakken van onderliggende oorzaken van migratie</w:t>
            </w:r>
            <w:r w:rsidRPr="00AE4782">
              <w:rPr>
                <w:b/>
                <w:i/>
              </w:rPr>
              <w:t>, onder andere, maar niet uitsluitend, armoede, ongelijkheid, demografische groei, gebrek aan economische en arbeidskansen en klimaatverandering,</w:t>
            </w:r>
            <w:r w:rsidRPr="00AE4782">
              <w:t xml:space="preserve"> dient als een nieuwe doelstelling aan het mandaat te worden toegevoegd</w:t>
            </w:r>
            <w:r w:rsidRPr="00AE4782">
              <w:rPr>
                <w:b/>
                <w:i/>
              </w:rPr>
              <w:t>;</w:t>
            </w:r>
            <w:r w:rsidRPr="00AE4782">
              <w:t xml:space="preserve"> </w:t>
            </w:r>
            <w:r w:rsidRPr="00AE4782">
              <w:rPr>
                <w:b/>
                <w:i/>
              </w:rPr>
              <w:t xml:space="preserve">projecten die in het kader van deze nieuwe doelstelling worden gefinancierd, moeten voldoen aan de door de Commissie voor ontwikkelingsbijstand van de Organisatie voor Economische Samenwerking en Ontwikkeling vastgestelde criteria voor officiële ontwikkelingshulp (ODA) en moeten in overeenstemming zijn met </w:t>
            </w:r>
            <w:r w:rsidRPr="00AE4782">
              <w:rPr>
                <w:b/>
                <w:i/>
              </w:rPr>
              <w:lastRenderedPageBreak/>
              <w:t>artikel 208 van het Verdrag betreffende de werking van de Europese Unie en met de leidende beginselen inzake bedrijfsleven en mensenrechten van de Verenigde Naties.</w:t>
            </w:r>
          </w:p>
        </w:tc>
      </w:tr>
    </w:tbl>
    <w:p w:rsidR="0013590E" w:rsidRPr="00AE4782" w:rsidRDefault="0013590E" w:rsidP="0013590E">
      <w:pPr>
        <w:pStyle w:val="AMNumberTabs"/>
      </w:pPr>
      <w:r w:rsidRPr="00AE4782">
        <w:lastRenderedPageBreak/>
        <w:t xml:space="preserve">Amendement </w:t>
      </w:r>
      <w:r w:rsidRPr="00AE4782">
        <w:tab/>
      </w:r>
      <w:r w:rsidRPr="00AE4782">
        <w:tab/>
        <w:t>10</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(13)</w:t>
            </w:r>
            <w:r w:rsidRPr="00AE4782">
              <w:tab/>
              <w:t>Na de Overeenkomst van Parijs die is aangenomen in het kader van het Raamverdrag van de Verenigde Naties inzake klimaatverandering</w:t>
            </w:r>
            <w:r w:rsidRPr="00AE4782">
              <w:rPr>
                <w:rStyle w:val="Sup"/>
              </w:rPr>
              <w:t>4</w:t>
            </w:r>
            <w:r w:rsidRPr="00AE4782">
              <w:t xml:space="preserve">, dient de EIB in te zetten op het </w:t>
            </w:r>
            <w:r w:rsidRPr="00AE4782">
              <w:rPr>
                <w:b/>
                <w:i/>
              </w:rPr>
              <w:t>aanhouden</w:t>
            </w:r>
            <w:r w:rsidRPr="00AE4782">
              <w:t xml:space="preserve"> van </w:t>
            </w:r>
            <w:r w:rsidRPr="00AE4782">
              <w:rPr>
                <w:b/>
                <w:i/>
              </w:rPr>
              <w:t>een hoog</w:t>
            </w:r>
            <w:r w:rsidRPr="00AE4782">
              <w:t xml:space="preserve"> niveau klimaatrelevante uitgaven in het kader van haar externe mandaat, om zo haar klimaatinvesteringen in ontwikkelingslanden tegen 2020 op te trekken van 25% naar 35%.</w:t>
            </w:r>
          </w:p>
        </w:tc>
        <w:tc>
          <w:tcPr>
            <w:tcW w:w="4876" w:type="dxa"/>
            <w:hideMark/>
          </w:tcPr>
          <w:p w:rsidR="0013590E" w:rsidRPr="00AE4782" w:rsidRDefault="0013590E" w:rsidP="00601331">
            <w:pPr>
              <w:pStyle w:val="Normal6"/>
            </w:pPr>
            <w:r w:rsidRPr="00AE4782">
              <w:t>(13)</w:t>
            </w:r>
            <w:r w:rsidRPr="00AE4782">
              <w:tab/>
              <w:t>Na de Overeenkomst van Parijs die is aangenomen in het kader van het Raamverdrag van de Verenigde Naties inzake klimaatverandering</w:t>
            </w:r>
            <w:r w:rsidRPr="00AE4782">
              <w:rPr>
                <w:vertAlign w:val="superscript"/>
              </w:rPr>
              <w:t>4</w:t>
            </w:r>
            <w:r w:rsidRPr="00AE4782">
              <w:t xml:space="preserve">, dient de EIB in te zetten op het </w:t>
            </w:r>
            <w:r w:rsidRPr="00AE4782">
              <w:rPr>
                <w:b/>
                <w:i/>
              </w:rPr>
              <w:t>verder verhogen</w:t>
            </w:r>
            <w:r w:rsidRPr="00AE4782">
              <w:t xml:space="preserve"> van </w:t>
            </w:r>
            <w:r w:rsidRPr="00AE4782">
              <w:rPr>
                <w:b/>
                <w:i/>
              </w:rPr>
              <w:t>het huidige hoge</w:t>
            </w:r>
            <w:r w:rsidRPr="00AE4782">
              <w:t xml:space="preserve"> niveau</w:t>
            </w:r>
            <w:r w:rsidRPr="00AE4782">
              <w:rPr>
                <w:b/>
                <w:i/>
              </w:rPr>
              <w:t xml:space="preserve"> van de</w:t>
            </w:r>
            <w:r w:rsidRPr="00AE4782">
              <w:t xml:space="preserve"> klimaatrelevante uitgaven in het kader van haar externe mandaat, om zo haar klimaatinvesteringen in ontwikkelingslanden tegen 2020 op te trekken van 25% naar 35%</w:t>
            </w:r>
            <w:r w:rsidRPr="00AE4782">
              <w:rPr>
                <w:b/>
                <w:i/>
              </w:rPr>
              <w:t>, overeenkomstig de verplichtingen waartoe zij zich in haar klimaatstrategie heeft verbonden. De EIB moet de conclusies van de Europese Raad van 22 mei 2013 in acht nemen om in economisch of milieuopzicht schadelijke subsidies, waaronder subsidies voor fossiele brandstoffen, geleidelijk af te schaffen</w:t>
            </w:r>
            <w:r w:rsidRPr="00AE4782">
              <w:t>.</w:t>
            </w:r>
          </w:p>
        </w:tc>
      </w:tr>
      <w:tr w:rsidR="0013590E" w:rsidRPr="00AE4782" w:rsidTr="00601331">
        <w:trPr>
          <w:jc w:val="center"/>
        </w:trPr>
        <w:tc>
          <w:tcPr>
            <w:tcW w:w="4876" w:type="dxa"/>
            <w:hideMark/>
          </w:tcPr>
          <w:p w:rsidR="0013590E" w:rsidRPr="00AE4782" w:rsidRDefault="0013590E" w:rsidP="00601331">
            <w:pPr>
              <w:pStyle w:val="Normal6"/>
            </w:pPr>
            <w:r w:rsidRPr="00AE4782">
              <w:t>_________________</w:t>
            </w:r>
          </w:p>
        </w:tc>
        <w:tc>
          <w:tcPr>
            <w:tcW w:w="4876" w:type="dxa"/>
            <w:hideMark/>
          </w:tcPr>
          <w:p w:rsidR="0013590E" w:rsidRPr="00AE4782" w:rsidRDefault="0013590E" w:rsidP="00601331">
            <w:pPr>
              <w:pStyle w:val="Normal6"/>
            </w:pPr>
            <w:r w:rsidRPr="00AE4782">
              <w:t>_________________</w:t>
            </w:r>
          </w:p>
        </w:tc>
      </w:tr>
      <w:tr w:rsidR="0013590E" w:rsidRPr="00AE4782" w:rsidTr="00601331">
        <w:trPr>
          <w:jc w:val="center"/>
        </w:trPr>
        <w:tc>
          <w:tcPr>
            <w:tcW w:w="4876" w:type="dxa"/>
            <w:hideMark/>
          </w:tcPr>
          <w:p w:rsidR="0013590E" w:rsidRPr="00AE4782" w:rsidRDefault="0013590E" w:rsidP="00601331">
            <w:pPr>
              <w:pStyle w:val="Normal6"/>
            </w:pPr>
            <w:r w:rsidRPr="00AE4782">
              <w:rPr>
                <w:rStyle w:val="Sup"/>
              </w:rPr>
              <w:t>4</w:t>
            </w:r>
            <w:r w:rsidRPr="00AE4782">
              <w:t xml:space="preserve"> Besluit (EU) 2016/590 van de Raad van 11 april 2016 betreffende de ondertekening namens de Europese Unie van de Overeenkomst van Parijs, die is aangenomen in het kader van het Raamverdrag van de Verenigde Naties inzake klimaatverandering (PB L 103 van 19.4.2016, blz. 1).</w:t>
            </w:r>
          </w:p>
        </w:tc>
        <w:tc>
          <w:tcPr>
            <w:tcW w:w="4876" w:type="dxa"/>
            <w:hideMark/>
          </w:tcPr>
          <w:p w:rsidR="0013590E" w:rsidRPr="00AE4782" w:rsidRDefault="0013590E" w:rsidP="00601331">
            <w:pPr>
              <w:pStyle w:val="Normal6"/>
            </w:pPr>
            <w:r w:rsidRPr="00AE4782">
              <w:rPr>
                <w:rStyle w:val="Sup"/>
              </w:rPr>
              <w:t>4</w:t>
            </w:r>
            <w:r w:rsidRPr="00AE4782">
              <w:t xml:space="preserve"> Besluit (EU) 2016/590 van de Raad van 11 april 2016 betreffende de ondertekening namens de Europese Unie van de Overeenkomst van Parijs, die is aangenomen in het kader van het Raamverdrag van de Verenigde Naties inzake klimaatverandering (PB L 103 van 19.4.2016, blz. 1).</w:t>
            </w:r>
          </w:p>
        </w:tc>
      </w:tr>
    </w:tbl>
    <w:p w:rsidR="0013590E" w:rsidRPr="00AE4782" w:rsidRDefault="0013590E" w:rsidP="0013590E">
      <w:pPr>
        <w:pStyle w:val="JustificationTitle"/>
      </w:pPr>
      <w:r w:rsidRPr="00AE4782">
        <w:t>Motivering</w:t>
      </w:r>
    </w:p>
    <w:p w:rsidR="0013590E" w:rsidRPr="00AE4782" w:rsidRDefault="0013590E" w:rsidP="0013590E">
      <w:pPr>
        <w:pStyle w:val="Normal12Italic"/>
      </w:pPr>
      <w:r w:rsidRPr="00AE4782">
        <w:t>In haar eind 2015 vastgestelde klimaatstrategie heeft de EIB zich ertoe verplicht het niveau van haar projecten op het gebied van klimaatactie in ontwikkelingslanden tot eind 2020 naar 35% op te trekken. Deze aankondiging dient in haar externe mandaat tot uitdrukking te komen. Evenzo dienen de conclusies van de Europese Raad van 22 mei 2013 volledig tot uitdrukking te komen in de externe leenactiviteiten van Europa.</w:t>
      </w:r>
    </w:p>
    <w:p w:rsidR="0013590E" w:rsidRPr="00AE4782" w:rsidRDefault="0013590E" w:rsidP="0013590E">
      <w:pPr>
        <w:pStyle w:val="AMNumberTabs"/>
      </w:pPr>
      <w:r w:rsidRPr="00AE4782">
        <w:lastRenderedPageBreak/>
        <w:t xml:space="preserve">Amendement </w:t>
      </w:r>
      <w:r w:rsidRPr="00AE4782">
        <w:tab/>
      </w:r>
      <w:r w:rsidRPr="00AE4782">
        <w:tab/>
        <w:t>11</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(15)</w:t>
            </w:r>
            <w:r w:rsidRPr="00AE4782">
              <w:tab/>
              <w:t xml:space="preserve">De EIB dient in het kader van haar raamwerk voor resultaatmeting (ReM) een reeks indicatoren te ontwikkelen en te hanteren voor projecten in de publieke en de particuliere sector </w:t>
            </w:r>
            <w:r w:rsidRPr="00AE4782">
              <w:rPr>
                <w:b/>
                <w:i/>
              </w:rPr>
              <w:t>ten behoeve</w:t>
            </w:r>
            <w:r w:rsidRPr="00AE4782">
              <w:t xml:space="preserve"> van vluchtelingen en </w:t>
            </w:r>
            <w:r w:rsidRPr="00AE4782">
              <w:rPr>
                <w:b/>
                <w:i/>
              </w:rPr>
              <w:t>gastgemeenschappen</w:t>
            </w:r>
            <w:r w:rsidRPr="00AE4782">
              <w:t xml:space="preserve">. Daarom dient een beoordeling van de bijdrage van EIB-financieringsverrichtingen </w:t>
            </w:r>
            <w:r w:rsidRPr="00AE4782">
              <w:rPr>
                <w:b/>
                <w:i/>
              </w:rPr>
              <w:t>om onderliggende oorzaken</w:t>
            </w:r>
            <w:r w:rsidRPr="00AE4782">
              <w:t xml:space="preserve"> van </w:t>
            </w:r>
            <w:r w:rsidRPr="00AE4782">
              <w:rPr>
                <w:b/>
                <w:i/>
              </w:rPr>
              <w:t>migratie aan te pakken</w:t>
            </w:r>
            <w:r w:rsidRPr="00AE4782">
              <w:t>, te worden opgenomen in de jaarlijkse verslaglegging van de Commissie aan het Europees Parlement en de Raad over EIB-financieringsverrichtingen.</w:t>
            </w:r>
          </w:p>
        </w:tc>
        <w:tc>
          <w:tcPr>
            <w:tcW w:w="4876" w:type="dxa"/>
            <w:hideMark/>
          </w:tcPr>
          <w:p w:rsidR="0013590E" w:rsidRPr="00AE4782" w:rsidRDefault="0013590E" w:rsidP="00601331">
            <w:pPr>
              <w:pStyle w:val="Normal6"/>
            </w:pPr>
            <w:r w:rsidRPr="00AE4782">
              <w:t>(15)</w:t>
            </w:r>
            <w:r w:rsidRPr="00AE4782">
              <w:tab/>
              <w:t xml:space="preserve">De EIB dient in het kader van haar raamwerk voor resultaatmeting (ReM) een reeks indicatoren te ontwikkelen en te hanteren voor projecten in de publieke en de particuliere sector </w:t>
            </w:r>
            <w:r w:rsidRPr="00AE4782">
              <w:rPr>
                <w:b/>
                <w:i/>
              </w:rPr>
              <w:t>die de onderliggende oorzaken van migratie aanpakken en bijdragen tot de economische</w:t>
            </w:r>
            <w:r w:rsidRPr="00AE4782">
              <w:rPr>
                <w:b/>
              </w:rPr>
              <w:t xml:space="preserve"> </w:t>
            </w:r>
            <w:r w:rsidRPr="00AE4782">
              <w:rPr>
                <w:b/>
                <w:i/>
              </w:rPr>
              <w:t xml:space="preserve">veerkracht </w:t>
            </w:r>
            <w:r w:rsidRPr="00AE4782">
              <w:t>van vluchtelingen</w:t>
            </w:r>
            <w:r w:rsidRPr="00AE4782">
              <w:rPr>
                <w:b/>
                <w:i/>
              </w:rPr>
              <w:t>, migranten</w:t>
            </w:r>
            <w:r w:rsidRPr="00AE4782">
              <w:t xml:space="preserve"> en </w:t>
            </w:r>
            <w:r w:rsidRPr="00AE4782">
              <w:rPr>
                <w:b/>
                <w:i/>
              </w:rPr>
              <w:t>gast- en transitgemeenschappen op lange termijn</w:t>
            </w:r>
            <w:r w:rsidRPr="00AE4782">
              <w:t xml:space="preserve">. Daarom dient een beoordeling van de bijdrage van EIB-financieringsverrichtingen </w:t>
            </w:r>
            <w:r w:rsidRPr="00AE4782">
              <w:rPr>
                <w:b/>
                <w:i/>
              </w:rPr>
              <w:t>aan deze doelstellingen, met name de bijdrage aan de doelstellingen inzake duurzame ontwikkeling, de betrokkenheid</w:t>
            </w:r>
            <w:r w:rsidRPr="00AE4782">
              <w:t xml:space="preserve"> van </w:t>
            </w:r>
            <w:r w:rsidRPr="00AE4782">
              <w:rPr>
                <w:b/>
                <w:i/>
              </w:rPr>
              <w:t>het lokaal maatschappelijk middenveld, de afstemming op de prioriteiten van de Unie inzake extern beleid en begroting</w:t>
            </w:r>
            <w:r w:rsidRPr="00AE4782">
              <w:t xml:space="preserve">, te worden opgenomen in de jaarlijkse verslaglegging van de Commissie aan het Europees Parlement en de Raad over EIB-financieringsverrichtingen. </w:t>
            </w:r>
            <w:r w:rsidRPr="00AE4782">
              <w:rPr>
                <w:b/>
                <w:i/>
              </w:rPr>
              <w:t>De EIB moet alle noodzakelijke maatregelen nemen om haar verantwoordingsplicht ten aanzien van het Europees Parlement te versterken door middel van transparantie en toegang tot informatie, door de resultaten, evaluaties en impactbeoordelingen van projecten systematisch via het raamwerk voor resultaatmeting te publiceren.</w:t>
            </w:r>
          </w:p>
        </w:tc>
      </w:tr>
    </w:tbl>
    <w:p w:rsidR="0013590E" w:rsidRPr="00AE4782" w:rsidRDefault="0013590E" w:rsidP="0013590E">
      <w:pPr>
        <w:pStyle w:val="AMNumberTabs"/>
        <w:keepNext/>
      </w:pPr>
      <w:r w:rsidRPr="00AE4782">
        <w:t>Amendement</w:t>
      </w:r>
      <w:r w:rsidRPr="00AE4782">
        <w:tab/>
      </w:r>
      <w:r w:rsidRPr="00AE4782">
        <w:tab/>
        <w:t>12</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Overweging 15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(15 bis)</w:t>
            </w:r>
            <w:r w:rsidRPr="00AE4782">
              <w:tab/>
            </w:r>
            <w:r w:rsidRPr="00AE4782">
              <w:rPr>
                <w:b/>
                <w:i/>
              </w:rPr>
              <w:t xml:space="preserve">Er moet gezorgd worden voor meer zichtbaarheid en transparantie van de EIB-verrichtingen in het kader van het mandaat voor externe leningverstrekkingen, met name wat betreft de subprojecten die door financiële </w:t>
            </w:r>
            <w:r w:rsidRPr="00AE4782">
              <w:rPr>
                <w:b/>
                <w:i/>
              </w:rPr>
              <w:lastRenderedPageBreak/>
              <w:t>intermediairs gefinancierd worden, teneinde de toegang tot informatie voor de instellingen van de Unie en het brede publiek te verbeteren.</w:t>
            </w:r>
          </w:p>
        </w:tc>
      </w:tr>
    </w:tbl>
    <w:p w:rsidR="0013590E" w:rsidRPr="00AE4782" w:rsidRDefault="0013590E" w:rsidP="0013590E">
      <w:pPr>
        <w:pStyle w:val="AMNumberTabs"/>
      </w:pPr>
      <w:r w:rsidRPr="00AE4782">
        <w:lastRenderedPageBreak/>
        <w:t xml:space="preserve">Amendement </w:t>
      </w:r>
      <w:r w:rsidRPr="00AE4782">
        <w:tab/>
      </w:r>
      <w:r w:rsidRPr="00AE4782">
        <w:tab/>
        <w:t>13</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Overweging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(16)</w:t>
            </w:r>
            <w:r w:rsidRPr="00AE4782">
              <w:tab/>
              <w:t>Alleen wanneer het gaat om de noodzaak om nood- en crisissituaties aan te pakken die zich tijdens de mandaatsperiode kunnen voordoen en die worden erkend als belangrijke prioriteiten voor het extern beleid van de Unie, dient het plafond voor de herverdeling tussen de regio's door de EIB in de loop van het mandaat te worden opgetrokken van 10% tot 20%. Het mandaat voor leningen aan de particuliere sector van 2</w:t>
            </w:r>
            <w:r w:rsidRPr="00AE4782">
              <w:rPr>
                <w:b/>
                <w:i/>
              </w:rPr>
              <w:t xml:space="preserve"> </w:t>
            </w:r>
            <w:r w:rsidRPr="00AE4782">
              <w:t>300</w:t>
            </w:r>
            <w:r w:rsidRPr="00AE4782">
              <w:rPr>
                <w:b/>
                <w:i/>
              </w:rPr>
              <w:t xml:space="preserve"> </w:t>
            </w:r>
            <w:r w:rsidRPr="00AE4782">
              <w:t>000</w:t>
            </w:r>
            <w:r w:rsidRPr="00AE4782">
              <w:rPr>
                <w:b/>
                <w:i/>
              </w:rPr>
              <w:t xml:space="preserve"> </w:t>
            </w:r>
            <w:r w:rsidRPr="00AE4782">
              <w:t>000</w:t>
            </w:r>
            <w:r w:rsidRPr="00AE4782">
              <w:rPr>
                <w:b/>
                <w:i/>
              </w:rPr>
              <w:t xml:space="preserve"> </w:t>
            </w:r>
            <w:r w:rsidRPr="00AE4782">
              <w:t>EUR en het bedrag van 1</w:t>
            </w:r>
            <w:r w:rsidRPr="00AE4782">
              <w:rPr>
                <w:b/>
                <w:i/>
              </w:rPr>
              <w:t xml:space="preserve"> </w:t>
            </w:r>
            <w:r w:rsidRPr="00AE4782">
              <w:t>400</w:t>
            </w:r>
            <w:r w:rsidRPr="00AE4782">
              <w:rPr>
                <w:b/>
                <w:i/>
              </w:rPr>
              <w:t xml:space="preserve"> </w:t>
            </w:r>
            <w:r w:rsidRPr="00AE4782">
              <w:t>000</w:t>
            </w:r>
            <w:r w:rsidRPr="00AE4782">
              <w:rPr>
                <w:b/>
                <w:i/>
              </w:rPr>
              <w:t xml:space="preserve"> </w:t>
            </w:r>
            <w:r w:rsidRPr="00AE4782">
              <w:t>000</w:t>
            </w:r>
            <w:r w:rsidRPr="00AE4782">
              <w:rPr>
                <w:b/>
                <w:i/>
              </w:rPr>
              <w:t xml:space="preserve"> </w:t>
            </w:r>
            <w:r w:rsidRPr="00AE4782">
              <w:t>EUR bestemd voor projecten van de publieke sector kan niet opnieuw worden toegewezen omdat het is bedoeld om onderliggende oorzaken van migratie aan te pakken.</w:t>
            </w:r>
          </w:p>
        </w:tc>
        <w:tc>
          <w:tcPr>
            <w:tcW w:w="4876" w:type="dxa"/>
            <w:hideMark/>
          </w:tcPr>
          <w:p w:rsidR="0013590E" w:rsidRPr="00AE4782" w:rsidRDefault="0013590E" w:rsidP="00601331">
            <w:pPr>
              <w:pStyle w:val="Normal6"/>
              <w:rPr>
                <w:b/>
                <w:i/>
                <w:szCs w:val="24"/>
              </w:rPr>
            </w:pPr>
            <w:r w:rsidRPr="00AE4782">
              <w:t>(16)</w:t>
            </w:r>
            <w:r w:rsidRPr="00AE4782">
              <w:tab/>
              <w:t>Alleen wanneer het gaat om de noodzaak om nood- en crisissituaties aan te pakken die zich tijdens de mandaatsperiode kunnen voordoen en die worden erkend als belangrijke prioriteiten voor het extern beleid van de Unie, dient het plafond voor de herverdeling tussen de regio's door de EIB in de loop van het mandaat te worden opgetrokken van 10% tot 20%.</w:t>
            </w:r>
            <w:r w:rsidRPr="00AE4782">
              <w:rPr>
                <w:b/>
                <w:i/>
              </w:rPr>
              <w:t xml:space="preserve"> De EIB dient het Europees Parlement in kennis te stellen van alle herverdelingsbesluiten door een motiveringsverslag en een effectbeoordeling te verstrekken. </w:t>
            </w:r>
            <w:r w:rsidRPr="00AE4782">
              <w:t>Het mandaat voor leningen aan de particuliere sector van 2</w:t>
            </w:r>
            <w:r w:rsidRPr="00AE4782">
              <w:rPr>
                <w:b/>
                <w:i/>
              </w:rPr>
              <w:t> </w:t>
            </w:r>
            <w:r w:rsidRPr="00AE4782">
              <w:t>300</w:t>
            </w:r>
            <w:r w:rsidRPr="00AE4782">
              <w:rPr>
                <w:b/>
                <w:i/>
              </w:rPr>
              <w:t> </w:t>
            </w:r>
            <w:r w:rsidRPr="00AE4782">
              <w:t>000</w:t>
            </w:r>
            <w:r w:rsidRPr="00AE4782">
              <w:rPr>
                <w:b/>
                <w:i/>
              </w:rPr>
              <w:t> </w:t>
            </w:r>
            <w:r w:rsidRPr="00AE4782">
              <w:t>000</w:t>
            </w:r>
            <w:r w:rsidRPr="00AE4782">
              <w:rPr>
                <w:b/>
                <w:i/>
              </w:rPr>
              <w:t> </w:t>
            </w:r>
            <w:r w:rsidRPr="00AE4782">
              <w:t>EUR en het bedrag van 1</w:t>
            </w:r>
            <w:r w:rsidRPr="00AE4782">
              <w:rPr>
                <w:b/>
                <w:i/>
              </w:rPr>
              <w:t> </w:t>
            </w:r>
            <w:r w:rsidRPr="00AE4782">
              <w:t>400</w:t>
            </w:r>
            <w:r w:rsidRPr="00AE4782">
              <w:rPr>
                <w:b/>
                <w:i/>
              </w:rPr>
              <w:t> </w:t>
            </w:r>
            <w:r w:rsidRPr="00AE4782">
              <w:t>000</w:t>
            </w:r>
            <w:r w:rsidRPr="00AE4782">
              <w:rPr>
                <w:b/>
                <w:i/>
              </w:rPr>
              <w:t> </w:t>
            </w:r>
            <w:r w:rsidRPr="00AE4782">
              <w:t>000</w:t>
            </w:r>
            <w:r w:rsidRPr="00AE4782">
              <w:rPr>
                <w:b/>
                <w:i/>
              </w:rPr>
              <w:t> </w:t>
            </w:r>
            <w:r w:rsidRPr="00AE4782">
              <w:t>EUR bestemd voor projecten van de publieke sector kan niet opnieuw worden toegewezen omdat het is bedoeld om onderliggende oorzaken van migratie</w:t>
            </w:r>
            <w:r w:rsidRPr="00AE4782">
              <w:rPr>
                <w:b/>
                <w:i/>
              </w:rPr>
              <w:t xml:space="preserve"> en de behoeften van de vluchtelingen, migranten en transit- en gastgemeenschappen</w:t>
            </w:r>
            <w:r w:rsidRPr="00AE4782">
              <w:t xml:space="preserve"> aan te pakken.</w:t>
            </w:r>
          </w:p>
        </w:tc>
      </w:tr>
    </w:tbl>
    <w:p w:rsidR="0013590E" w:rsidRPr="00AE4782" w:rsidRDefault="0013590E" w:rsidP="0013590E">
      <w:pPr>
        <w:pStyle w:val="AMNumberTabs"/>
      </w:pPr>
      <w:r w:rsidRPr="00AE4782">
        <w:t xml:space="preserve">Amendement </w:t>
      </w:r>
      <w:r w:rsidRPr="00AE4782">
        <w:tab/>
      </w:r>
      <w:r w:rsidRPr="00AE4782">
        <w:tab/>
        <w:t>14</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1</w:t>
      </w:r>
    </w:p>
    <w:p w:rsidR="0013590E" w:rsidRPr="00AE4782" w:rsidRDefault="0013590E" w:rsidP="0013590E">
      <w:r w:rsidRPr="00AE4782">
        <w:t>Besluit nr. 466/2014/EU</w:t>
      </w:r>
    </w:p>
    <w:p w:rsidR="0013590E" w:rsidRPr="00AE4782" w:rsidRDefault="0013590E" w:rsidP="0013590E">
      <w:r w:rsidRPr="00AE4782">
        <w:t>Artikel 2 – lid 1 – alinea 2 – letter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r w:rsidRPr="00AE4782">
              <w:t>a)</w:t>
            </w:r>
            <w:r w:rsidRPr="00AE4782">
              <w:tab/>
              <w:t xml:space="preserve">een maximumbedrag van </w:t>
            </w:r>
            <w:r w:rsidRPr="00AE4782">
              <w:rPr>
                <w:b/>
                <w:i/>
              </w:rPr>
              <w:t xml:space="preserve">30 000 </w:t>
            </w:r>
            <w:r w:rsidRPr="00AE4782">
              <w:t>000</w:t>
            </w:r>
            <w:r w:rsidRPr="00AE4782">
              <w:rPr>
                <w:b/>
                <w:i/>
              </w:rPr>
              <w:t xml:space="preserve"> </w:t>
            </w:r>
            <w:r w:rsidRPr="00AE4782">
              <w:t>000</w:t>
            </w:r>
            <w:r w:rsidRPr="00AE4782">
              <w:rPr>
                <w:b/>
                <w:i/>
              </w:rPr>
              <w:t xml:space="preserve"> </w:t>
            </w:r>
            <w:r w:rsidRPr="00AE4782">
              <w:t>EUR onder een algemeen mandaat, waarvan een bedrag tot 1</w:t>
            </w:r>
            <w:r w:rsidRPr="00AE4782">
              <w:rPr>
                <w:b/>
                <w:i/>
              </w:rPr>
              <w:t xml:space="preserve"> </w:t>
            </w:r>
            <w:r w:rsidRPr="00AE4782">
              <w:t>400</w:t>
            </w:r>
            <w:r w:rsidRPr="00AE4782">
              <w:rPr>
                <w:b/>
                <w:i/>
              </w:rPr>
              <w:t xml:space="preserve"> </w:t>
            </w:r>
            <w:r w:rsidRPr="00AE4782">
              <w:t>000</w:t>
            </w:r>
            <w:r w:rsidRPr="00AE4782">
              <w:rPr>
                <w:b/>
                <w:i/>
              </w:rPr>
              <w:t xml:space="preserve"> </w:t>
            </w:r>
            <w:r w:rsidRPr="00AE4782">
              <w:t>000</w:t>
            </w:r>
            <w:r w:rsidRPr="00AE4782">
              <w:rPr>
                <w:b/>
                <w:i/>
              </w:rPr>
              <w:t xml:space="preserve"> </w:t>
            </w:r>
            <w:r w:rsidRPr="00AE4782">
              <w:t>EUR is gereserveerd voor projecten in de publieke sector die zijn bestemd voor vluchtelingen en gastgemeenschappen;</w:t>
            </w:r>
          </w:p>
        </w:tc>
        <w:tc>
          <w:tcPr>
            <w:tcW w:w="4876" w:type="dxa"/>
          </w:tcPr>
          <w:p w:rsidR="0013590E" w:rsidRPr="00AE4782" w:rsidRDefault="0013590E" w:rsidP="00601331">
            <w:pPr>
              <w:pStyle w:val="Normal6"/>
            </w:pPr>
            <w:r w:rsidRPr="00AE4782">
              <w:t>a)</w:t>
            </w:r>
            <w:r w:rsidRPr="00AE4782">
              <w:tab/>
              <w:t xml:space="preserve">een maximumbedrag van </w:t>
            </w:r>
            <w:r w:rsidRPr="00AE4782">
              <w:rPr>
                <w:b/>
                <w:i/>
              </w:rPr>
              <w:t>36 170 </w:t>
            </w:r>
            <w:r w:rsidRPr="00AE4782">
              <w:t>000</w:t>
            </w:r>
            <w:r w:rsidRPr="00AE4782">
              <w:rPr>
                <w:b/>
                <w:i/>
              </w:rPr>
              <w:t> </w:t>
            </w:r>
            <w:r w:rsidRPr="00AE4782">
              <w:t>000</w:t>
            </w:r>
            <w:r w:rsidRPr="00AE4782">
              <w:rPr>
                <w:b/>
                <w:i/>
              </w:rPr>
              <w:t> </w:t>
            </w:r>
            <w:r w:rsidRPr="00AE4782">
              <w:t>EUR onder een algemeen mandaat, waarvan een bedrag tot 1</w:t>
            </w:r>
            <w:r w:rsidRPr="00AE4782">
              <w:rPr>
                <w:b/>
                <w:i/>
              </w:rPr>
              <w:t> </w:t>
            </w:r>
            <w:r w:rsidRPr="00AE4782">
              <w:t>400</w:t>
            </w:r>
            <w:r w:rsidRPr="00AE4782">
              <w:rPr>
                <w:b/>
                <w:i/>
              </w:rPr>
              <w:t> </w:t>
            </w:r>
            <w:r w:rsidRPr="00AE4782">
              <w:t>000</w:t>
            </w:r>
            <w:r w:rsidRPr="00AE4782">
              <w:rPr>
                <w:b/>
                <w:i/>
              </w:rPr>
              <w:t> </w:t>
            </w:r>
            <w:r w:rsidRPr="00AE4782">
              <w:t>000</w:t>
            </w:r>
            <w:r w:rsidRPr="00AE4782">
              <w:rPr>
                <w:b/>
                <w:i/>
              </w:rPr>
              <w:t> </w:t>
            </w:r>
            <w:r w:rsidRPr="00AE4782">
              <w:t xml:space="preserve">EUR is gereserveerd voor projecten in de publieke sector die zijn bestemd voor </w:t>
            </w:r>
            <w:r w:rsidRPr="00AE4782">
              <w:rPr>
                <w:b/>
                <w:i/>
              </w:rPr>
              <w:t xml:space="preserve">de aanpak van de </w:t>
            </w:r>
            <w:r w:rsidRPr="00AE4782">
              <w:rPr>
                <w:b/>
                <w:i/>
              </w:rPr>
              <w:lastRenderedPageBreak/>
              <w:t xml:space="preserve">onderliggende oorzaken van migratie en de behoeften van de </w:t>
            </w:r>
            <w:r w:rsidRPr="00AE4782">
              <w:t>vluchtelingen</w:t>
            </w:r>
            <w:r w:rsidRPr="00AE4782">
              <w:rPr>
                <w:b/>
                <w:i/>
              </w:rPr>
              <w:t>, migranten en transit-</w:t>
            </w:r>
            <w:r w:rsidRPr="00AE4782">
              <w:t xml:space="preserve"> en gastgemeenschappen;</w:t>
            </w:r>
          </w:p>
        </w:tc>
      </w:tr>
    </w:tbl>
    <w:p w:rsidR="0013590E" w:rsidRPr="00AE4782" w:rsidRDefault="0013590E" w:rsidP="0013590E">
      <w:pPr>
        <w:pStyle w:val="AMNumberTabs"/>
      </w:pPr>
      <w:r w:rsidRPr="00AE4782">
        <w:lastRenderedPageBreak/>
        <w:t xml:space="preserve">Amendement </w:t>
      </w:r>
      <w:r w:rsidRPr="00AE4782">
        <w:tab/>
      </w:r>
      <w:r w:rsidRPr="00AE4782">
        <w:tab/>
        <w:t>15</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1</w:t>
      </w:r>
    </w:p>
    <w:p w:rsidR="0013590E" w:rsidRPr="00AE4782" w:rsidRDefault="0013590E" w:rsidP="0013590E">
      <w:r w:rsidRPr="00AE4782">
        <w:t>Besluit nr. 466/2014/EU</w:t>
      </w:r>
    </w:p>
    <w:p w:rsidR="0013590E" w:rsidRPr="00AE4782" w:rsidRDefault="0013590E" w:rsidP="0013590E">
      <w:r w:rsidRPr="00AE4782">
        <w:t>Artikel 2 – lid 1 – alinea 2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r w:rsidRPr="00AE4782">
              <w:t>b)</w:t>
            </w:r>
            <w:r w:rsidRPr="00AE4782">
              <w:tab/>
              <w:t>een maximumbedrag van 2 300 000 000 EUR onder een mandaat voor leningen aan de particuliere sector voor projecten om onderliggende oorzaken van migratie aan te pakken.</w:t>
            </w:r>
          </w:p>
        </w:tc>
        <w:tc>
          <w:tcPr>
            <w:tcW w:w="4876" w:type="dxa"/>
          </w:tcPr>
          <w:p w:rsidR="0013590E" w:rsidRPr="00AE4782" w:rsidRDefault="0013590E" w:rsidP="00601331">
            <w:pPr>
              <w:pStyle w:val="Normal6"/>
            </w:pPr>
            <w:r w:rsidRPr="00AE4782">
              <w:t>b)</w:t>
            </w:r>
            <w:r w:rsidRPr="00AE4782">
              <w:tab/>
              <w:t xml:space="preserve">een maximumbedrag van 2 300 000 000 EUR onder een mandaat voor leningen aan de particuliere sector voor projecten om onderliggende oorzaken van migratie </w:t>
            </w:r>
            <w:r w:rsidRPr="00AE4782">
              <w:rPr>
                <w:b/>
                <w:i/>
              </w:rPr>
              <w:t xml:space="preserve">en de behoeften van de vluchtelingen, migranten en transit- en gastgemeenschappen </w:t>
            </w:r>
            <w:r w:rsidRPr="00AE4782">
              <w:t>aan te pakken.</w:t>
            </w:r>
          </w:p>
        </w:tc>
      </w:tr>
    </w:tbl>
    <w:p w:rsidR="0013590E" w:rsidRPr="00AE4782" w:rsidRDefault="0013590E" w:rsidP="0013590E">
      <w:pPr>
        <w:pStyle w:val="AMNumberTabs"/>
        <w:keepNext/>
      </w:pPr>
      <w:r w:rsidRPr="00AE4782">
        <w:t>Amendement</w:t>
      </w:r>
      <w:r w:rsidRPr="00AE4782">
        <w:tab/>
      </w:r>
      <w:r w:rsidRPr="00AE4782">
        <w:tab/>
        <w:t>16</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1</w:t>
      </w:r>
    </w:p>
    <w:p w:rsidR="0013590E" w:rsidRPr="00AE4782" w:rsidRDefault="0013590E" w:rsidP="0013590E">
      <w:pPr>
        <w:keepNext/>
      </w:pPr>
      <w:r w:rsidRPr="00AE4782">
        <w:t>Besluit nr. 466/2014/EU</w:t>
      </w:r>
    </w:p>
    <w:p w:rsidR="0013590E" w:rsidRPr="00AE4782" w:rsidRDefault="0013590E" w:rsidP="0013590E">
      <w:r w:rsidRPr="00AE4782">
        <w:t>Artikel 2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2.</w:t>
            </w:r>
            <w:r w:rsidRPr="00AE4782">
              <w:tab/>
              <w:t xml:space="preserve">De in lid 1 bedoelde maximumbedragen onder het algemene mandaat en het mandaat voor leningen aan de particuliere sector worden in regionale plafonds en subplafonds uitgesplitst als bepaald in bijlage I. Binnen de regionale plafonds zorgt de EIB </w:t>
            </w:r>
            <w:r w:rsidRPr="00AE4782">
              <w:rPr>
                <w:b/>
                <w:i/>
              </w:rPr>
              <w:t xml:space="preserve">gaandeweg </w:t>
            </w:r>
            <w:r w:rsidRPr="00AE4782">
              <w:t xml:space="preserve">voor een </w:t>
            </w:r>
            <w:r w:rsidRPr="00AE4782">
              <w:rPr>
                <w:b/>
                <w:i/>
              </w:rPr>
              <w:t>evenwichtige</w:t>
            </w:r>
            <w:r w:rsidRPr="00AE4782">
              <w:t xml:space="preserve"> spreiding over landen in de regio's die onder de EU-garantie vallen.".</w:t>
            </w:r>
          </w:p>
        </w:tc>
        <w:tc>
          <w:tcPr>
            <w:tcW w:w="4876" w:type="dxa"/>
            <w:hideMark/>
          </w:tcPr>
          <w:p w:rsidR="0013590E" w:rsidRPr="00AE4782" w:rsidRDefault="0013590E" w:rsidP="00601331">
            <w:pPr>
              <w:pStyle w:val="Normal6"/>
              <w:rPr>
                <w:szCs w:val="24"/>
              </w:rPr>
            </w:pPr>
            <w:r w:rsidRPr="00AE4782">
              <w:t>2.</w:t>
            </w:r>
            <w:r w:rsidRPr="00AE4782">
              <w:tab/>
              <w:t xml:space="preserve">De in lid 1 bedoelde maximumbedragen onder het algemene mandaat en het mandaat voor leningen aan de particuliere sector worden in regionale plafonds en subplafonds uitgesplitst als bepaald in bijlage I. Binnen de regionale plafonds zorgt de EIB voor een </w:t>
            </w:r>
            <w:r w:rsidRPr="00AE4782">
              <w:rPr>
                <w:b/>
                <w:i/>
              </w:rPr>
              <w:t>passende</w:t>
            </w:r>
            <w:r w:rsidRPr="00AE4782">
              <w:t xml:space="preserve"> spreiding over landen in de regio's die onder de EU-garantie vallen</w:t>
            </w:r>
            <w:r w:rsidRPr="00AE4782">
              <w:rPr>
                <w:b/>
                <w:i/>
              </w:rPr>
              <w:t>, in overeenstemming met de prioriteiten van het extern beleid van de Unie, die gereflecteerd zullen worden in de technische operationele richtsnoeren zoals bedoeld in artikel 5</w:t>
            </w:r>
            <w:r w:rsidRPr="00AE4782">
              <w:t>.".</w:t>
            </w:r>
          </w:p>
        </w:tc>
      </w:tr>
    </w:tbl>
    <w:p w:rsidR="0013590E" w:rsidRPr="00AE4782" w:rsidRDefault="0013590E" w:rsidP="0013590E">
      <w:pPr>
        <w:pStyle w:val="AMNumberTabs"/>
        <w:keepNext/>
      </w:pPr>
      <w:r w:rsidRPr="00AE4782">
        <w:t>Amendement</w:t>
      </w:r>
      <w:r w:rsidRPr="00AE4782">
        <w:tab/>
      </w:r>
      <w:r w:rsidRPr="00AE4782">
        <w:tab/>
        <w:t>17</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2 – letter a</w:t>
      </w:r>
    </w:p>
    <w:p w:rsidR="0013590E" w:rsidRPr="00AE4782" w:rsidRDefault="0013590E" w:rsidP="0013590E">
      <w:pPr>
        <w:keepNext/>
      </w:pPr>
      <w:r w:rsidRPr="00AE4782">
        <w:lastRenderedPageBreak/>
        <w:t>Besluit nr. 466/2014/EU</w:t>
      </w:r>
    </w:p>
    <w:p w:rsidR="0013590E" w:rsidRPr="00AE4782" w:rsidRDefault="0013590E" w:rsidP="0013590E">
      <w:r w:rsidRPr="00AE4782">
        <w:t>Artikel 3 – lid 1 – letter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d)</w:t>
            </w:r>
            <w:r w:rsidRPr="00AE4782">
              <w:tab/>
            </w:r>
            <w:r w:rsidRPr="00AE4782">
              <w:rPr>
                <w:b/>
                <w:i/>
              </w:rPr>
              <w:t>strategische respons om</w:t>
            </w:r>
            <w:r w:rsidRPr="00AE4782">
              <w:t xml:space="preserve"> onderliggende oorzaken van migratie aan </w:t>
            </w:r>
            <w:r w:rsidRPr="00AE4782">
              <w:rPr>
                <w:b/>
                <w:i/>
              </w:rPr>
              <w:t>te pakken."</w:t>
            </w:r>
            <w:r w:rsidR="00DD5C32" w:rsidRPr="00AE4782">
              <w:t>.</w:t>
            </w:r>
          </w:p>
        </w:tc>
        <w:tc>
          <w:tcPr>
            <w:tcW w:w="4876" w:type="dxa"/>
            <w:hideMark/>
          </w:tcPr>
          <w:p w:rsidR="0013590E" w:rsidRPr="00AE4782" w:rsidRDefault="0013590E" w:rsidP="005127B4">
            <w:pPr>
              <w:pStyle w:val="Normal6"/>
              <w:rPr>
                <w:szCs w:val="24"/>
              </w:rPr>
            </w:pPr>
            <w:r w:rsidRPr="00AE4782">
              <w:t>d)</w:t>
            </w:r>
            <w:r w:rsidRPr="00AE4782">
              <w:tab/>
            </w:r>
            <w:r w:rsidRPr="00AE4782">
              <w:rPr>
                <w:b/>
                <w:i/>
              </w:rPr>
              <w:t>de economische veerkracht van vluchtelingen, migranten en gast- en transitgemeenschappen op lange termijn als strategisch antwoord op het aanpakken van</w:t>
            </w:r>
            <w:r w:rsidRPr="00AE4782">
              <w:t xml:space="preserve"> onderliggende oorzaken van migratie</w:t>
            </w:r>
            <w:r w:rsidRPr="00AE4782">
              <w:rPr>
                <w:b/>
                <w:i/>
              </w:rPr>
              <w:t>, onder andere, maar niet uitsluitend, armoede, ongelijkheid, demografische groei, gebrek</w:t>
            </w:r>
            <w:r w:rsidRPr="00AE4782">
              <w:t xml:space="preserve"> aan </w:t>
            </w:r>
            <w:r w:rsidRPr="00AE4782">
              <w:rPr>
                <w:b/>
                <w:i/>
              </w:rPr>
              <w:t>economische en arbeidskansen en klimaatverandering</w:t>
            </w:r>
            <w:r w:rsidR="005127B4" w:rsidRPr="00AE4782">
              <w:rPr>
                <w:b/>
                <w:i/>
              </w:rPr>
              <w:t>.</w:t>
            </w:r>
          </w:p>
        </w:tc>
      </w:tr>
    </w:tbl>
    <w:p w:rsidR="0013590E" w:rsidRPr="00AE4782" w:rsidRDefault="0013590E" w:rsidP="0013590E">
      <w:pPr>
        <w:pStyle w:val="AMNumberTabs"/>
        <w:keepNext/>
      </w:pPr>
      <w:r w:rsidRPr="00AE4782">
        <w:t>Amendement</w:t>
      </w:r>
      <w:r w:rsidRPr="00AE4782">
        <w:tab/>
      </w:r>
      <w:r w:rsidRPr="00AE4782">
        <w:tab/>
        <w:t>18</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a bis (nieuw)</w:t>
      </w:r>
    </w:p>
    <w:p w:rsidR="0013590E" w:rsidRPr="00AE4782" w:rsidRDefault="0013590E" w:rsidP="0013590E">
      <w:pPr>
        <w:keepNext/>
      </w:pPr>
      <w:r w:rsidRPr="00AE4782">
        <w:t>Besluit nr. 466/2014/EU</w:t>
      </w:r>
    </w:p>
    <w:p w:rsidR="0013590E" w:rsidRPr="00AE4782" w:rsidRDefault="0013590E" w:rsidP="0013590E">
      <w:r w:rsidRPr="00AE4782">
        <w:t>Artikel 3 – lid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Bestaande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a bis)</w:t>
            </w:r>
            <w:r w:rsidRPr="00AE4782">
              <w:tab/>
            </w:r>
            <w:r w:rsidRPr="00AE4782">
              <w:rPr>
                <w:b/>
                <w:i/>
              </w:rPr>
              <w:t>Artikel 3, lid 4,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"4. </w:t>
            </w:r>
            <w:r w:rsidRPr="00AE4782">
              <w:tab/>
              <w:t xml:space="preserve">In de ontwikkelingslanden die in de lijst van begunstigden van officiële ontwikkelingshulp van de Organisatie voor Economische Samenwerking en Ontwikkeling zijn opgenomen, </w:t>
            </w:r>
            <w:r w:rsidRPr="00AE4782">
              <w:rPr>
                <w:b/>
                <w:i/>
              </w:rPr>
              <w:t>dragen</w:t>
            </w:r>
            <w:r w:rsidRPr="00AE4782">
              <w:t xml:space="preserve"> de EIB-financieringsverrichtingen overeenkomstig artikel 208 en 209 VWEU </w:t>
            </w:r>
            <w:r w:rsidRPr="00AE4782">
              <w:rPr>
                <w:b/>
                <w:i/>
              </w:rPr>
              <w:t>indirect bij tot</w:t>
            </w:r>
            <w:r w:rsidRPr="00AE4782">
              <w:t xml:space="preserve"> de beleidsdoelstellingen van de Unie inzake ontwikkelingssamenwerking, </w:t>
            </w:r>
            <w:r w:rsidRPr="00AE4782">
              <w:rPr>
                <w:b/>
                <w:i/>
              </w:rPr>
              <w:t>zoals</w:t>
            </w:r>
            <w:r w:rsidRPr="00AE4782">
              <w:t xml:space="preserve"> het terugdringen van de armoede door middel van inclusieve groei en duurzame economische, ecologische en sociale ontwikkeling.</w:t>
            </w:r>
          </w:p>
        </w:tc>
        <w:tc>
          <w:tcPr>
            <w:tcW w:w="4876" w:type="dxa"/>
            <w:hideMark/>
          </w:tcPr>
          <w:p w:rsidR="0013590E" w:rsidRPr="00AE4782" w:rsidRDefault="0013590E" w:rsidP="00601331">
            <w:pPr>
              <w:pStyle w:val="Normal6"/>
              <w:rPr>
                <w:szCs w:val="24"/>
              </w:rPr>
            </w:pPr>
            <w:r w:rsidRPr="00AE4782">
              <w:t xml:space="preserve">"4. </w:t>
            </w:r>
            <w:r w:rsidRPr="00AE4782">
              <w:tab/>
              <w:t xml:space="preserve">In de ontwikkelingslanden die in de lijst van begunstigden van officiële ontwikkelingshulp van de Organisatie voor Economische Samenwerking en Ontwikkeling zijn opgenomen, </w:t>
            </w:r>
            <w:r w:rsidRPr="00AE4782">
              <w:rPr>
                <w:b/>
                <w:i/>
              </w:rPr>
              <w:t>focussen</w:t>
            </w:r>
            <w:r w:rsidRPr="00AE4782">
              <w:t xml:space="preserve"> de EIB-financieringsverrichtingen overeenkomstig artikel 208 en 209 VWEU </w:t>
            </w:r>
            <w:r w:rsidRPr="00AE4782">
              <w:rPr>
                <w:b/>
                <w:i/>
              </w:rPr>
              <w:t>op</w:t>
            </w:r>
            <w:r w:rsidRPr="00AE4782">
              <w:t xml:space="preserve"> de beleidsdoelstellingen van de Unie inzake ontwikkelingssamenwerking, </w:t>
            </w:r>
            <w:r w:rsidRPr="00AE4782">
              <w:rPr>
                <w:b/>
                <w:i/>
              </w:rPr>
              <w:t>in het bijzonder</w:t>
            </w:r>
            <w:r w:rsidRPr="00AE4782">
              <w:t xml:space="preserve"> het terugdringen van de armoede door middel van inclusieve groei en duurzame economische, ecologische en sociale ontwikkeling.</w:t>
            </w:r>
            <w:r w:rsidRPr="00AE4782">
              <w:rPr>
                <w:b/>
                <w:i/>
              </w:rPr>
              <w:t>”</w:t>
            </w:r>
          </w:p>
        </w:tc>
      </w:tr>
    </w:tbl>
    <w:p w:rsidR="0013590E" w:rsidRPr="00AE4782" w:rsidRDefault="0013590E" w:rsidP="0013590E">
      <w:pPr>
        <w:pStyle w:val="CrossRef"/>
      </w:pPr>
      <w:r w:rsidRPr="00AE4782">
        <w:t>(http://eur-lex.europa.eu/legal-content/NN/TXT/PDF/?uri=CELEX:02014D0466-20160926&amp;qid=1486646836381&amp;from=FR)</w:t>
      </w:r>
    </w:p>
    <w:p w:rsidR="0013590E" w:rsidRPr="00AE4782" w:rsidRDefault="0013590E" w:rsidP="0013590E">
      <w:pPr>
        <w:pStyle w:val="AMNumberTabs"/>
        <w:keepNext/>
      </w:pPr>
      <w:r w:rsidRPr="00AE4782">
        <w:t>Amendement</w:t>
      </w:r>
      <w:r w:rsidRPr="00AE4782">
        <w:tab/>
      </w:r>
      <w:r w:rsidRPr="00AE4782">
        <w:tab/>
        <w:t>19</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b</w:t>
      </w:r>
    </w:p>
    <w:p w:rsidR="0013590E" w:rsidRPr="00AE4782" w:rsidRDefault="0013590E" w:rsidP="0013590E">
      <w:pPr>
        <w:keepNext/>
      </w:pPr>
      <w:r w:rsidRPr="00AE4782">
        <w:lastRenderedPageBreak/>
        <w:t>Besluit nr. 466/2014/EU</w:t>
      </w:r>
    </w:p>
    <w:p w:rsidR="0013590E" w:rsidRPr="00AE4782" w:rsidRDefault="0013590E" w:rsidP="0013590E">
      <w:r w:rsidRPr="00AE4782">
        <w:t>Artikel 3 – lid 5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Om te waarborgen dat investeringen in de particuliere sector een maximaal ontwikkelingseffect hebben, </w:t>
            </w:r>
            <w:r w:rsidRPr="00AE4782">
              <w:rPr>
                <w:b/>
                <w:i/>
              </w:rPr>
              <w:t>tracht</w:t>
            </w:r>
            <w:r w:rsidRPr="00AE4782">
              <w:t xml:space="preserve"> de EIB de plaatselijke particuliere sector in de begunstigde landen </w:t>
            </w:r>
            <w:r w:rsidRPr="00AE4782">
              <w:rPr>
                <w:b/>
                <w:i/>
              </w:rPr>
              <w:t>te versterken</w:t>
            </w:r>
            <w:r w:rsidRPr="00AE4782">
              <w:t xml:space="preserve"> door middel van ondersteuning van lokale investeringen als bedoeld in lid 1, onder a). Er wordt naar gestreefd dat EIB-financieringsverrichtingen ter ondersteuning van de in lid 1 omschreven algemene doelstellingen mede steun aan investeringsprojecten van </w:t>
            </w:r>
            <w:r w:rsidRPr="00AE4782">
              <w:rPr>
                <w:b/>
                <w:i/>
              </w:rPr>
              <w:t>mkb-bedrijven</w:t>
            </w:r>
            <w:r w:rsidRPr="00AE4782">
              <w:t xml:space="preserve"> uit de Unie inhouden. Teneinde er doeltreffend op toe te zien dat de middelen worden aangewend ten behoeve van de betrokken </w:t>
            </w:r>
            <w:r w:rsidRPr="00AE4782">
              <w:rPr>
                <w:b/>
                <w:i/>
              </w:rPr>
              <w:t>mkb-bedrijven</w:t>
            </w:r>
            <w:r w:rsidRPr="00AE4782">
              <w:t xml:space="preserve">, </w:t>
            </w:r>
            <w:r w:rsidRPr="00AE4782">
              <w:rPr>
                <w:b/>
                <w:i/>
              </w:rPr>
              <w:t>stelt</w:t>
            </w:r>
            <w:r w:rsidRPr="00AE4782">
              <w:t xml:space="preserve"> de EIB adequate contractuele bepalingen vast waarbij standaardrapportageverplichtingen worden opgelegd aan zowel de financiële intermediairs als de </w:t>
            </w:r>
            <w:r w:rsidRPr="00AE4782">
              <w:rPr>
                <w:b/>
                <w:i/>
              </w:rPr>
              <w:t>begunstigden</w:t>
            </w:r>
            <w:r w:rsidRPr="00AE4782">
              <w:t>, en handhaaft zij deze;</w:t>
            </w:r>
          </w:p>
        </w:tc>
        <w:tc>
          <w:tcPr>
            <w:tcW w:w="4876" w:type="dxa"/>
            <w:hideMark/>
          </w:tcPr>
          <w:p w:rsidR="0013590E" w:rsidRPr="00AE4782" w:rsidRDefault="0013590E" w:rsidP="00DD5C32">
            <w:pPr>
              <w:pStyle w:val="Normal6"/>
              <w:rPr>
                <w:szCs w:val="24"/>
              </w:rPr>
            </w:pPr>
            <w:r w:rsidRPr="00AE4782">
              <w:t xml:space="preserve">Om te waarborgen dat investeringen in de particuliere sector een maximaal ontwikkelingseffect hebben, </w:t>
            </w:r>
            <w:r w:rsidRPr="00AE4782">
              <w:rPr>
                <w:b/>
                <w:i/>
              </w:rPr>
              <w:t>streeft</w:t>
            </w:r>
            <w:r w:rsidRPr="00AE4782">
              <w:t xml:space="preserve"> de EIB </w:t>
            </w:r>
            <w:r w:rsidRPr="00AE4782">
              <w:rPr>
                <w:b/>
                <w:i/>
              </w:rPr>
              <w:t xml:space="preserve">ernaar bij te dragen aan het creëren van gunstige voorwaarden voor particulier ondernemerschap en investeringen en </w:t>
            </w:r>
            <w:r w:rsidR="00DD5C32" w:rsidRPr="00AE4782">
              <w:rPr>
                <w:b/>
                <w:i/>
              </w:rPr>
              <w:t xml:space="preserve">als prioriteit </w:t>
            </w:r>
            <w:r w:rsidRPr="00AE4782">
              <w:rPr>
                <w:b/>
                <w:i/>
              </w:rPr>
              <w:t xml:space="preserve">te garanderen dat </w:t>
            </w:r>
            <w:r w:rsidRPr="00AE4782">
              <w:t>de plaatselijke particuliere sector</w:t>
            </w:r>
            <w:r w:rsidRPr="00AE4782">
              <w:rPr>
                <w:b/>
                <w:i/>
              </w:rPr>
              <w:t>, waaronder mkmo's, coöperaties en sociale ondernemingen,</w:t>
            </w:r>
            <w:r w:rsidRPr="00AE4782">
              <w:t xml:space="preserve"> in de begunstigde landen </w:t>
            </w:r>
            <w:r w:rsidRPr="00AE4782">
              <w:rPr>
                <w:b/>
                <w:i/>
              </w:rPr>
              <w:t>wordt versterkt</w:t>
            </w:r>
            <w:r w:rsidRPr="00AE4782">
              <w:t xml:space="preserve"> door middel van ondersteuning van lokale investeringen als bedoeld in lid 1, onder a). Er wordt </w:t>
            </w:r>
            <w:r w:rsidRPr="00AE4782">
              <w:rPr>
                <w:b/>
                <w:i/>
              </w:rPr>
              <w:t xml:space="preserve">ook </w:t>
            </w:r>
            <w:r w:rsidRPr="00AE4782">
              <w:t xml:space="preserve">naar gestreefd dat EIB-financieringsverrichtingen ter ondersteuning van de in lid 1 omschreven algemene doelstellingen mede steun aan investeringsprojecten van </w:t>
            </w:r>
            <w:r w:rsidRPr="00AE4782">
              <w:rPr>
                <w:b/>
                <w:i/>
              </w:rPr>
              <w:t>mkmo's</w:t>
            </w:r>
            <w:r w:rsidRPr="00AE4782">
              <w:t xml:space="preserve"> uit </w:t>
            </w:r>
            <w:r w:rsidRPr="00AE4782">
              <w:rPr>
                <w:b/>
                <w:i/>
              </w:rPr>
              <w:t xml:space="preserve">het begunstigde land en </w:t>
            </w:r>
            <w:r w:rsidRPr="00AE4782">
              <w:t>de Unie inhouden</w:t>
            </w:r>
            <w:r w:rsidRPr="00AE4782">
              <w:rPr>
                <w:b/>
                <w:i/>
              </w:rPr>
              <w:t xml:space="preserve">, door toegang tot financiering mogelijk te maken en tegelijkertijd de ontwikkeling van nieuwe investeringsprojecten van  mkmo's te mobiliseren, waardoor de internationalisering van mkmo's verder wordt gefaciliteerd. EIB-financieringsverrichtingen dragen bij tot verbetering van de markttoegang voor </w:t>
            </w:r>
            <w:r w:rsidR="00DD5C32" w:rsidRPr="00AE4782">
              <w:rPr>
                <w:b/>
                <w:i/>
              </w:rPr>
              <w:t>mkmo’s</w:t>
            </w:r>
            <w:r w:rsidRPr="00AE4782">
              <w:rPr>
                <w:b/>
                <w:i/>
              </w:rPr>
              <w:t xml:space="preserve"> in partnerlanden van de Unie en hun integratie in wereldwijde waardeketens alsmede tot de mondialisering en het concurrentievermogen van bedrijven uit de Unie</w:t>
            </w:r>
            <w:r w:rsidRPr="00AE4782">
              <w:t xml:space="preserve">. Teneinde er doeltreffend op toe te zien dat </w:t>
            </w:r>
            <w:r w:rsidRPr="00AE4782">
              <w:rPr>
                <w:b/>
                <w:i/>
              </w:rPr>
              <w:t xml:space="preserve">en te beoordelen of </w:t>
            </w:r>
            <w:r w:rsidRPr="00AE4782">
              <w:t xml:space="preserve">de middelen worden aangewend ten behoeve van de betrokken </w:t>
            </w:r>
            <w:r w:rsidRPr="00AE4782">
              <w:rPr>
                <w:b/>
                <w:i/>
              </w:rPr>
              <w:t>mkmo's</w:t>
            </w:r>
            <w:r w:rsidRPr="00AE4782">
              <w:t xml:space="preserve">, </w:t>
            </w:r>
            <w:r w:rsidRPr="00AE4782">
              <w:rPr>
                <w:b/>
                <w:i/>
              </w:rPr>
              <w:t>verricht</w:t>
            </w:r>
            <w:r w:rsidRPr="00AE4782">
              <w:t xml:space="preserve"> de EIB </w:t>
            </w:r>
            <w:r w:rsidRPr="00AE4782">
              <w:rPr>
                <w:b/>
                <w:i/>
              </w:rPr>
              <w:t xml:space="preserve">een uitvoerig zorgvuldigheidsonderzoek en stelt ze </w:t>
            </w:r>
            <w:r w:rsidRPr="00AE4782">
              <w:t xml:space="preserve">adequate contractuele bepalingen vast waarbij standaardrapportageverplichtingen worden opgelegd aan zowel de financiële intermediairs als de </w:t>
            </w:r>
            <w:r w:rsidRPr="00AE4782">
              <w:rPr>
                <w:b/>
                <w:i/>
              </w:rPr>
              <w:t>eindbegunstigden</w:t>
            </w:r>
            <w:r w:rsidRPr="00AE4782">
              <w:t>, en handhaaft zij deze</w:t>
            </w:r>
            <w:r w:rsidRPr="00AE4782">
              <w:rPr>
                <w:b/>
                <w:i/>
              </w:rPr>
              <w:t>.</w:t>
            </w:r>
            <w:r w:rsidRPr="00AE4782">
              <w:t xml:space="preserve"> </w:t>
            </w:r>
            <w:r w:rsidRPr="00AE4782">
              <w:rPr>
                <w:b/>
                <w:i/>
              </w:rPr>
              <w:t xml:space="preserve">De EIB streeft ernaar de obstakels voor toegang tot financiering voor </w:t>
            </w:r>
            <w:r w:rsidR="005127B4" w:rsidRPr="00AE4782">
              <w:rPr>
                <w:b/>
                <w:i/>
              </w:rPr>
              <w:t>m</w:t>
            </w:r>
            <w:r w:rsidRPr="00AE4782">
              <w:rPr>
                <w:b/>
                <w:i/>
              </w:rPr>
              <w:t>kmo's te identificeren en weg te werken;</w:t>
            </w:r>
          </w:p>
        </w:tc>
      </w:tr>
    </w:tbl>
    <w:p w:rsidR="0013590E" w:rsidRPr="00AE4782" w:rsidRDefault="0013590E" w:rsidP="0013590E">
      <w:pPr>
        <w:pStyle w:val="AMNumberTabs"/>
        <w:keepNext/>
      </w:pPr>
      <w:r w:rsidRPr="00AE4782">
        <w:lastRenderedPageBreak/>
        <w:t>Amendement</w:t>
      </w:r>
      <w:r w:rsidRPr="00AE4782">
        <w:tab/>
      </w:r>
      <w:r w:rsidRPr="00AE4782">
        <w:tab/>
        <w:t>20</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2 – letter b bis (nieuw)</w:t>
      </w:r>
    </w:p>
    <w:p w:rsidR="0013590E" w:rsidRPr="00AE4782" w:rsidRDefault="0013590E" w:rsidP="0013590E">
      <w:pPr>
        <w:keepNext/>
      </w:pPr>
      <w:r w:rsidRPr="00AE4782">
        <w:t>Besluit nr. 466/2014/EU</w:t>
      </w:r>
    </w:p>
    <w:p w:rsidR="0013590E" w:rsidRPr="00AE4782" w:rsidRDefault="0013590E" w:rsidP="0013590E">
      <w:r w:rsidRPr="00AE4782">
        <w:t>Artikel 3 – lid 5 – alinea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b bis)</w:t>
            </w:r>
            <w:r w:rsidRPr="00AE4782">
              <w:tab/>
            </w:r>
            <w:r w:rsidRPr="00AE4782">
              <w:rPr>
                <w:b/>
                <w:i/>
              </w:rPr>
              <w:t>In lid 5 wordt de tweede alinea vervangen door:</w:t>
            </w:r>
          </w:p>
        </w:tc>
      </w:tr>
      <w:tr w:rsidR="0013590E" w:rsidRPr="00AE4782" w:rsidTr="00601331">
        <w:trPr>
          <w:jc w:val="center"/>
        </w:trPr>
        <w:tc>
          <w:tcPr>
            <w:tcW w:w="4876" w:type="dxa"/>
          </w:tcPr>
          <w:p w:rsidR="0013590E" w:rsidRPr="00AE4782" w:rsidRDefault="0013590E" w:rsidP="00601331">
            <w:pPr>
              <w:pStyle w:val="Normal6"/>
            </w:pPr>
            <w:r w:rsidRPr="00AE4782">
              <w:rPr>
                <w:b/>
                <w:i/>
              </w:rPr>
              <w:t>De</w:t>
            </w:r>
            <w:r w:rsidRPr="00AE4782">
              <w:t xml:space="preserve"> EIB werkt samen met intermediaire financiële instellingen die tegemoet kunnen komen aan de specifieke behoeften van mkb-ondernemingen in de landen waar de verrichtingen plaatsvinden en die, overeenkomstig artikel 13, voor hun deelname aan </w:t>
            </w:r>
            <w:r w:rsidRPr="00AE4782">
              <w:rPr>
                <w:b/>
                <w:i/>
              </w:rPr>
              <w:t>EIB-financieringsverrichtingen in een in aanmerking komend land</w:t>
            </w:r>
            <w:r w:rsidRPr="00AE4782">
              <w:t xml:space="preserve"> geen gebruikmaken van instrumenten die in een buitenlands niet-coöperatief rechtsgebied zijn ondergebracht.</w:t>
            </w:r>
          </w:p>
        </w:tc>
        <w:tc>
          <w:tcPr>
            <w:tcW w:w="4876" w:type="dxa"/>
          </w:tcPr>
          <w:p w:rsidR="0013590E" w:rsidRPr="00AE4782" w:rsidRDefault="0013590E" w:rsidP="00601331">
            <w:pPr>
              <w:pStyle w:val="Normal6"/>
              <w:rPr>
                <w:szCs w:val="24"/>
              </w:rPr>
            </w:pPr>
            <w:r w:rsidRPr="00AE4782">
              <w:rPr>
                <w:b/>
                <w:i/>
              </w:rPr>
              <w:t>“De</w:t>
            </w:r>
            <w:r w:rsidRPr="00AE4782">
              <w:t xml:space="preserve"> EIB werkt samen met intermediaire financiële instellingen die tegemoet kunnen komen aan de specifieke behoeften van mkb-ondernemingen in de landen waar de verrichtingen plaatsvinden en die, overeenkomstig artikel 13, voor hun deelname aan </w:t>
            </w:r>
            <w:r w:rsidRPr="00AE4782">
              <w:rPr>
                <w:b/>
                <w:i/>
              </w:rPr>
              <w:t>verrichtingen</w:t>
            </w:r>
            <w:r w:rsidRPr="00AE4782">
              <w:t xml:space="preserve"> geen gebruikmaken van instrumenten die in een buitenlands niet-coöperatief rechtsgebied zijn ondergebracht.</w:t>
            </w:r>
            <w:r w:rsidRPr="00AE4782">
              <w:rPr>
                <w:b/>
                <w:i/>
              </w:rPr>
              <w:t>”</w:t>
            </w:r>
          </w:p>
        </w:tc>
      </w:tr>
    </w:tbl>
    <w:p w:rsidR="0013590E" w:rsidRPr="00AE4782" w:rsidRDefault="0013590E" w:rsidP="0013590E">
      <w:pPr>
        <w:pStyle w:val="AMNumberTabs"/>
        <w:keepNext/>
      </w:pPr>
      <w:r w:rsidRPr="00AE4782">
        <w:t>Amendement</w:t>
      </w:r>
      <w:r w:rsidRPr="00AE4782">
        <w:tab/>
      </w:r>
      <w:r w:rsidRPr="00AE4782">
        <w:tab/>
        <w:t>21</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b ter (nieuw)</w:t>
      </w:r>
    </w:p>
    <w:p w:rsidR="0013590E" w:rsidRPr="00AE4782" w:rsidRDefault="0013590E" w:rsidP="0013590E">
      <w:pPr>
        <w:keepNext/>
      </w:pPr>
      <w:r w:rsidRPr="00AE4782">
        <w:t>Besluit nr. 466/2014/EU</w:t>
      </w:r>
    </w:p>
    <w:p w:rsidR="0013590E" w:rsidRPr="00AE4782" w:rsidRDefault="0013590E" w:rsidP="0013590E">
      <w:r w:rsidRPr="00AE4782">
        <w:t>Artikel 3 – lid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Bestaande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b ter)</w:t>
            </w:r>
            <w:r w:rsidRPr="00AE4782">
              <w:tab/>
            </w:r>
            <w:r w:rsidRPr="00AE4782">
              <w:rPr>
                <w:b/>
                <w:i/>
              </w:rPr>
              <w:t>Artikel 3, lid 6,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"6. </w:t>
            </w:r>
            <w:r w:rsidRPr="00AE4782">
              <w:tab/>
              <w:t xml:space="preserve">EIB-financieringsverrichtingen ter ondersteuning van de in lid 1, onder b), genoemde algemene doelstelling verlenen hoofdzakelijk steun aan investeringsprojecten inzake vervoer, energie, milieu-infrastructuur, informatie- en communicatietechnologie, gezondheidszorg en onderwijs. Hieronder vallen productie en integratie van energie uit hernieuwbare bronnen, omvorming van energiesystemen die het omschakelen naar minder koolstofintensieve technologieën en brandstoffen mogelijk maken, duurzame energiezekerheid en energie-infrastructuur, met inbegrip van infrastructuur voor </w:t>
            </w:r>
            <w:r w:rsidRPr="00AE4782">
              <w:lastRenderedPageBreak/>
              <w:t>gasproductie en voor transport naar de energiemarkt van de Unie, alsook elektriciteitsvoorziening op het platteland, milieu-infrastructuur, zoals infrastructuur voor watervoorziening en sanitaire voorzieningen en groene infrastructuur, infrastructuur voor telecommunicatie- en breedbandnetwerken.</w:t>
            </w:r>
          </w:p>
        </w:tc>
        <w:tc>
          <w:tcPr>
            <w:tcW w:w="4876" w:type="dxa"/>
            <w:hideMark/>
          </w:tcPr>
          <w:p w:rsidR="0013590E" w:rsidRPr="00AE4782" w:rsidRDefault="0013590E" w:rsidP="00601331">
            <w:pPr>
              <w:pStyle w:val="Normal6"/>
              <w:rPr>
                <w:szCs w:val="24"/>
              </w:rPr>
            </w:pPr>
            <w:r w:rsidRPr="00AE4782">
              <w:lastRenderedPageBreak/>
              <w:t xml:space="preserve">"6. </w:t>
            </w:r>
            <w:r w:rsidRPr="00AE4782">
              <w:tab/>
              <w:t xml:space="preserve">EIB-financieringsverrichtingen ter ondersteuning van de in lid 1, onder b), genoemde algemene doelstelling verlenen hoofdzakelijk steun aan investeringsprojecten inzake vervoer, energie, milieu-infrastructuur, informatie- en communicatietechnologie, gezondheidszorg en onderwijs. Hieronder vallen productie en integratie van energie uit hernieuwbare bronnen, </w:t>
            </w:r>
            <w:r w:rsidRPr="00AE4782">
              <w:rPr>
                <w:b/>
                <w:i/>
              </w:rPr>
              <w:t xml:space="preserve">maatregelen op het gebied van energie-efficiëntie, </w:t>
            </w:r>
            <w:r w:rsidRPr="00AE4782">
              <w:t xml:space="preserve">omvorming van energiesystemen die het omschakelen naar minder koolstofintensieve technologieën en brandstoffen mogelijk maken, duurzame </w:t>
            </w:r>
            <w:r w:rsidRPr="00AE4782">
              <w:lastRenderedPageBreak/>
              <w:t>energiezekerheid en energie-infrastructuur, met inbegrip van infrastructuur voor gasproductie en voor transport naar de energiemarkt van de Unie, alsook elektriciteitsvoorziening op het platteland, milieu-infrastructuur, zoals infrastructuur voor watervoorziening en sanitaire voorzieningen en groene infrastructuur, infrastructuur voor telecommunicatie- en breedbandnetwerken.</w:t>
            </w:r>
          </w:p>
        </w:tc>
      </w:tr>
    </w:tbl>
    <w:p w:rsidR="0013590E" w:rsidRPr="00AE4782" w:rsidRDefault="0013590E" w:rsidP="0013590E">
      <w:pPr>
        <w:pStyle w:val="CrossRef"/>
      </w:pPr>
      <w:r w:rsidRPr="00AE4782">
        <w:lastRenderedPageBreak/>
        <w:t>(http://eur-lex.europa.eu/legal-content/NL/TXT/HTML/?uri=CELEX:32014D0466&amp;from=NL)</w:t>
      </w:r>
    </w:p>
    <w:p w:rsidR="0013590E" w:rsidRPr="00AE4782" w:rsidRDefault="0013590E" w:rsidP="0013590E">
      <w:pPr>
        <w:pStyle w:val="JustificationTitle"/>
      </w:pPr>
      <w:r w:rsidRPr="00AE4782">
        <w:t>Motivering</w:t>
      </w:r>
    </w:p>
    <w:p w:rsidR="0013590E" w:rsidRPr="00AE4782" w:rsidRDefault="0013590E" w:rsidP="0013590E">
      <w:pPr>
        <w:pStyle w:val="Normal12Italic"/>
      </w:pPr>
      <w:r w:rsidRPr="00AE4782">
        <w:t>Productie en vervoer van gas mogen niet onder de EU-garantie vallen, aangezien dit een subsidie voor een fossiele brandstof zou zijn. Het besluit zou de conclusies van de Europese Raad van 22 mei 2013 moeten volgen om in economisch of milieu-opzicht schadelijke subsidies, waaronder subsidie voor fossiele brandstoffen, geleidelijk af te schaffen.</w:t>
      </w:r>
    </w:p>
    <w:p w:rsidR="0013590E" w:rsidRPr="00AE4782" w:rsidRDefault="0013590E" w:rsidP="0013590E">
      <w:pPr>
        <w:pStyle w:val="AMNumberTabs"/>
        <w:keepNext/>
      </w:pPr>
      <w:r w:rsidRPr="00AE4782">
        <w:t xml:space="preserve">Amendement </w:t>
      </w:r>
      <w:r w:rsidRPr="00AE4782">
        <w:tab/>
      </w:r>
      <w:r w:rsidRPr="00AE4782">
        <w:tab/>
        <w:t>22</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2 – letter c</w:t>
      </w:r>
    </w:p>
    <w:p w:rsidR="0013590E" w:rsidRPr="00AE4782" w:rsidRDefault="0013590E" w:rsidP="0013590E">
      <w:r w:rsidRPr="00AE4782">
        <w:t>Besluit nr. 466/2014/EU</w:t>
      </w:r>
    </w:p>
    <w:p w:rsidR="0013590E" w:rsidRPr="00AE4782" w:rsidRDefault="0013590E" w:rsidP="0013590E">
      <w:r w:rsidRPr="00AE4782">
        <w:t>Artikel 3 – lid 7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De EIB-financieringsverrichtingen ter ondersteuning van de in lid 1, onder c), genoemde algemene doelstellingen ondersteunen investeringsprojecten die op beperking van en aanpassing aan klimaatverandering gericht zijn en bijdragen aan de algemene doelstellingen van het Raamverdrag van de Verenigde Naties inzake klimaatverandering en de op grond van dat verdrag aangenomen Overeenkomst van Parijs, met name doordat de uitstoot van broeikasgassen wordt voorkomen of verminderd door middel van hernieuwbare energie, energie-efficiëntie en duurzaam vervoer, of doordat kwetsbare landen, sectoren en gemeenschappen beter bestand worden gemaakt tegen de nadelige gevolgen van klimaatverandering.</w:t>
            </w:r>
          </w:p>
        </w:tc>
        <w:tc>
          <w:tcPr>
            <w:tcW w:w="4876" w:type="dxa"/>
            <w:hideMark/>
          </w:tcPr>
          <w:p w:rsidR="0013590E" w:rsidRPr="00AE4782" w:rsidRDefault="0013590E" w:rsidP="00601331">
            <w:pPr>
              <w:pStyle w:val="Normal6"/>
            </w:pPr>
            <w:r w:rsidRPr="00AE4782">
              <w:t xml:space="preserve">De EIB-financieringsverrichtingen ter ondersteuning van de in lid 1, onder c), genoemde algemene doelstellingen ondersteunen investeringsprojecten die op beperking van en aanpassing aan klimaatverandering gericht zijn en bijdragen aan de algemene doelstellingen van het Raamverdrag van de Verenigde Naties inzake klimaatverandering en de op grond van dat verdrag aangenomen Overeenkomst van Parijs, met name doordat de uitstoot van broeikasgassen wordt voorkomen of verminderd </w:t>
            </w:r>
            <w:r w:rsidRPr="00AE4782">
              <w:rPr>
                <w:b/>
                <w:i/>
              </w:rPr>
              <w:t xml:space="preserve">en de koolstofvoetafdruk wordt verminderd </w:t>
            </w:r>
            <w:r w:rsidRPr="00AE4782">
              <w:t>door middel van hernieuwbare energie, energie-efficiëntie en duurzaam vervoer, of doordat kwetsbare landen, sectoren en gemeenschappen beter bestand worden gemaakt tegen de nadelige gevolgen van klimaatverandering.</w:t>
            </w:r>
          </w:p>
        </w:tc>
      </w:tr>
    </w:tbl>
    <w:p w:rsidR="0013590E" w:rsidRPr="00AE4782" w:rsidRDefault="0013590E" w:rsidP="0013590E">
      <w:pPr>
        <w:pStyle w:val="AMNumberTabs"/>
        <w:keepNext/>
      </w:pPr>
      <w:r w:rsidRPr="00AE4782">
        <w:lastRenderedPageBreak/>
        <w:t>Amendement</w:t>
      </w:r>
      <w:r w:rsidRPr="00AE4782">
        <w:tab/>
      </w:r>
      <w:r w:rsidRPr="00AE4782">
        <w:tab/>
        <w:t>23</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2 – letter c</w:t>
      </w:r>
    </w:p>
    <w:p w:rsidR="0013590E" w:rsidRPr="00AE4782" w:rsidRDefault="0013590E" w:rsidP="0013590E">
      <w:pPr>
        <w:keepNext/>
      </w:pPr>
      <w:r w:rsidRPr="00AE4782">
        <w:t>Besluit nr. 466/2014/EU</w:t>
      </w:r>
    </w:p>
    <w:p w:rsidR="0013590E" w:rsidRPr="00AE4782" w:rsidRDefault="0013590E" w:rsidP="0013590E">
      <w:r w:rsidRPr="00AE4782">
        <w:t>Artikel 3 – lid 7 – alinea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Door de Commissie voorgestelde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r w:rsidRPr="00AE4782">
              <w:t xml:space="preserve">In de door dit besluit bestreken periode tracht de EIB </w:t>
            </w:r>
            <w:r w:rsidRPr="00AE4782">
              <w:rPr>
                <w:b/>
                <w:i/>
              </w:rPr>
              <w:t>het huidige</w:t>
            </w:r>
            <w:r w:rsidRPr="00AE4782">
              <w:t xml:space="preserve"> niveau van klimaatrelevante verrichtingen aan te houden, </w:t>
            </w:r>
            <w:r w:rsidRPr="00AE4782">
              <w:rPr>
                <w:b/>
                <w:i/>
              </w:rPr>
              <w:t>waarbij</w:t>
            </w:r>
            <w:r w:rsidRPr="00AE4782">
              <w:t xml:space="preserve"> het minimumvolume</w:t>
            </w:r>
            <w:r w:rsidRPr="00AE4782">
              <w:rPr>
                <w:b/>
                <w:i/>
              </w:rPr>
              <w:t xml:space="preserve"> van die verrichtingen</w:t>
            </w:r>
            <w:r w:rsidRPr="00AE4782">
              <w:t xml:space="preserve"> ten minste 25 % van de totale financieringsverrichtingen van de EIB vertegenwoordigt.</w:t>
            </w:r>
          </w:p>
        </w:tc>
        <w:tc>
          <w:tcPr>
            <w:tcW w:w="4876" w:type="dxa"/>
          </w:tcPr>
          <w:p w:rsidR="0013590E" w:rsidRPr="00AE4782" w:rsidRDefault="0013590E" w:rsidP="00601331">
            <w:pPr>
              <w:pStyle w:val="Normal6"/>
              <w:rPr>
                <w:szCs w:val="24"/>
              </w:rPr>
            </w:pPr>
            <w:r w:rsidRPr="00AE4782">
              <w:t xml:space="preserve">In de door dit besluit bestreken periode tracht de EIB </w:t>
            </w:r>
            <w:r w:rsidRPr="00AE4782">
              <w:rPr>
                <w:b/>
                <w:i/>
              </w:rPr>
              <w:t>een hoog</w:t>
            </w:r>
            <w:r w:rsidRPr="00AE4782">
              <w:t xml:space="preserve"> niveau van klimaatrelevante verrichtingen aan te houden, </w:t>
            </w:r>
            <w:r w:rsidRPr="00AE4782">
              <w:rPr>
                <w:b/>
                <w:i/>
              </w:rPr>
              <w:t>waarvan</w:t>
            </w:r>
            <w:r w:rsidRPr="00AE4782">
              <w:t xml:space="preserve"> het minimumvolume ten minste 25 % van de totale financieringsverrichtingen van de EIB </w:t>
            </w:r>
            <w:r w:rsidRPr="00AE4782">
              <w:rPr>
                <w:b/>
                <w:i/>
              </w:rPr>
              <w:t xml:space="preserve">buiten de Unie </w:t>
            </w:r>
            <w:r w:rsidRPr="00AE4782">
              <w:t>vertegenwoordigt</w:t>
            </w:r>
            <w:r w:rsidRPr="00AE4782">
              <w:rPr>
                <w:b/>
                <w:i/>
              </w:rPr>
              <w:t>, met een geleidelijke verhoging van dit streefcijfer tot minstens 35 % in 2020</w:t>
            </w:r>
            <w:r w:rsidRPr="00AE4782">
              <w:t>.</w:t>
            </w:r>
            <w:r w:rsidRPr="00AE4782">
              <w:rPr>
                <w:b/>
                <w:i/>
              </w:rPr>
              <w:t xml:space="preserve"> </w:t>
            </w:r>
          </w:p>
        </w:tc>
      </w:tr>
    </w:tbl>
    <w:p w:rsidR="0013590E" w:rsidRPr="00AE4782" w:rsidRDefault="0013590E" w:rsidP="0013590E">
      <w:pPr>
        <w:pStyle w:val="AMNumberTabs"/>
        <w:keepNext/>
      </w:pPr>
      <w:r w:rsidRPr="00AE4782">
        <w:t>Amendement</w:t>
      </w:r>
      <w:r w:rsidRPr="00AE4782">
        <w:tab/>
      </w:r>
      <w:r w:rsidRPr="00AE4782">
        <w:tab/>
        <w:t>24</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c</w:t>
      </w:r>
    </w:p>
    <w:p w:rsidR="0013590E" w:rsidRPr="00AE4782" w:rsidRDefault="0013590E" w:rsidP="0013590E">
      <w:pPr>
        <w:keepNext/>
      </w:pPr>
      <w:r w:rsidRPr="00AE4782">
        <w:t>Besluit nr. 466/2014/EU</w:t>
      </w:r>
    </w:p>
    <w:p w:rsidR="0013590E" w:rsidRPr="00AE4782" w:rsidRDefault="0013590E" w:rsidP="0013590E">
      <w:r w:rsidRPr="00AE4782">
        <w:t>Artikel 3 – lid 7 – alinea 4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De EIB-verrichtingen omvatten onder meer concrete maatregelen om een einde te maken aan de financiering van projecten die nadelig zijn voor de verwezenlijking van de klimaatdoelstellingen van de Unie, en concrete maatregelen om de inspanningen ter ondersteuning van hernieuwbare energiebronnen en energie-efficiëntie op te voeren.</w:t>
            </w:r>
          </w:p>
        </w:tc>
      </w:tr>
    </w:tbl>
    <w:p w:rsidR="0013590E" w:rsidRPr="00AE4782" w:rsidRDefault="0013590E" w:rsidP="0013590E">
      <w:pPr>
        <w:pStyle w:val="AMNumberTabs"/>
      </w:pPr>
      <w:r w:rsidRPr="00AE4782">
        <w:t xml:space="preserve">Amendement </w:t>
      </w:r>
      <w:r w:rsidRPr="00AE4782">
        <w:tab/>
      </w:r>
      <w:r w:rsidRPr="00AE4782">
        <w:tab/>
        <w:t>25</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c</w:t>
      </w:r>
    </w:p>
    <w:p w:rsidR="0013590E" w:rsidRPr="00AE4782" w:rsidRDefault="0013590E" w:rsidP="0013590E">
      <w:r w:rsidRPr="00AE4782">
        <w:t>Besluit nr. 466/2014/EU</w:t>
      </w:r>
    </w:p>
    <w:p w:rsidR="0013590E" w:rsidRPr="00AE4782" w:rsidRDefault="0013590E" w:rsidP="0013590E">
      <w:r w:rsidRPr="00AE4782">
        <w:t>Artikel 3 – lid 8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De EIB-financieringsverrichtingen ter ondersteuning van de in lid 1, onder d), genoemde algemene doelstellingen </w:t>
            </w:r>
            <w:r w:rsidRPr="00AE4782">
              <w:lastRenderedPageBreak/>
              <w:t>ondersteunen investeringsprojecten die onderliggende oorzaken van migratie aanpakken en die bijdragen tot de economische veerkracht op lange termijn en die de duurzame ontwikkeling in begunstigde landen veilig stellen. EIB-financieringsverrichtingen bieden met name een antwoord op de toegenomen behoeften aan infrastructuur en daarmee samenhangende diensten om het hoofd te bieden aan de instroom van migranten, en stimuleren banenkansen voor gast- en vluchtelingengemeenschappen om de economische integratie te bevorderen en vluchtelingen in staat te stellen zelfredzaam te worden.</w:t>
            </w:r>
          </w:p>
        </w:tc>
        <w:tc>
          <w:tcPr>
            <w:tcW w:w="4876" w:type="dxa"/>
            <w:hideMark/>
          </w:tcPr>
          <w:p w:rsidR="0013590E" w:rsidRPr="00AE4782" w:rsidRDefault="0013590E" w:rsidP="00601331">
            <w:pPr>
              <w:pStyle w:val="Normal6"/>
            </w:pPr>
            <w:r w:rsidRPr="00AE4782">
              <w:lastRenderedPageBreak/>
              <w:t xml:space="preserve">De EIB-financieringsverrichtingen ter ondersteuning van de in lid 1, onder d), genoemde algemene doelstellingen </w:t>
            </w:r>
            <w:r w:rsidRPr="00AE4782">
              <w:lastRenderedPageBreak/>
              <w:t>ondersteunen investeringsprojecten die onderliggende oorzaken van migratie aanpakken en die bijdragen tot de economische veerkracht op lange termijn en die de duurzame ontwikkeling in begunstigde landen veilig stellen</w:t>
            </w:r>
            <w:r w:rsidRPr="00AE4782">
              <w:rPr>
                <w:b/>
                <w:i/>
              </w:rPr>
              <w:t>, waarbij overeenstemming met de doelstellingen inzake duurzame ontwikkeling wordt gewaarborgd</w:t>
            </w:r>
            <w:r w:rsidRPr="00AE4782">
              <w:t>.</w:t>
            </w:r>
            <w:r w:rsidRPr="00AE4782">
              <w:rPr>
                <w:b/>
                <w:i/>
              </w:rPr>
              <w:t xml:space="preserve"> </w:t>
            </w:r>
            <w:r w:rsidRPr="00AE4782">
              <w:t xml:space="preserve"> EIB-financieringsverrichtingen bieden met name een antwoord op de toegenomen behoeften aan infrastructuur en daarmee samenhangende diensten om het hoofd te bieden aan de instroom van migranten, en stimuleren banenkansen voor gast- en vluchtelingengemeenschappen om de economische integratie te bevorderen en vluchtelingen in staat te stellen zelfredzaam te worden</w:t>
            </w:r>
            <w:r w:rsidRPr="00AE4782">
              <w:rPr>
                <w:b/>
                <w:i/>
              </w:rPr>
              <w:t>, en zijn met name gericht op de versterking van humanitaire acties en de ondersteuning van het scheppen van fatsoenlijke banen, en nemen daarbij de mensenrechten, arbeidsrechten en sociale rechten, de fundamentele vrijheden en gendermainstreaming volledig in acht, door een op rechten gebaseerde benadering aan te houden die alle mensenrechten en sociale rechten omvat, overeenkomstig transparantie, participatie, non-discriminatie en verantwoordingsplicht. Bij EIB-financieringsverrichtingen wordt erkend dat gendergelijkheid een transversale kwestie is als het gaat om de verwezenlijking van duurzame ontwikkeling.</w:t>
            </w:r>
            <w:r w:rsidRPr="00AE4782">
              <w:t xml:space="preserve"> </w:t>
            </w:r>
            <w:r w:rsidRPr="00AE4782">
              <w:rPr>
                <w:b/>
                <w:i/>
              </w:rPr>
              <w:t>Op alle financieringsverrichtingen wordt een genderperspectief toegepast. De EIB werkt tegen 31 december 2017 een genderactieplan uit en zorgt ervoor dat alle EIB-verrichtingen die in het kader van dit mandaat worden uitgevoerd, aan de beginselen van de in december 2016 vastgestelde genderstrategie voldoen.</w:t>
            </w:r>
          </w:p>
        </w:tc>
      </w:tr>
    </w:tbl>
    <w:p w:rsidR="0013590E" w:rsidRPr="00AE4782" w:rsidRDefault="0013590E" w:rsidP="0013590E">
      <w:pPr>
        <w:pStyle w:val="AMNumberTabs"/>
        <w:keepNext/>
      </w:pPr>
      <w:r w:rsidRPr="00AE4782">
        <w:lastRenderedPageBreak/>
        <w:t>Amendement</w:t>
      </w:r>
      <w:r w:rsidRPr="00AE4782">
        <w:tab/>
      </w:r>
      <w:r w:rsidRPr="00AE4782">
        <w:tab/>
        <w:t>26</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c</w:t>
      </w:r>
    </w:p>
    <w:p w:rsidR="0013590E" w:rsidRPr="00AE4782" w:rsidRDefault="0013590E" w:rsidP="0013590E">
      <w:pPr>
        <w:keepNext/>
      </w:pPr>
      <w:r w:rsidRPr="00AE4782">
        <w:lastRenderedPageBreak/>
        <w:t>Besluit nr. 466/2014/EU</w:t>
      </w:r>
    </w:p>
    <w:p w:rsidR="0013590E" w:rsidRPr="00AE4782" w:rsidRDefault="0013590E" w:rsidP="0013590E">
      <w:r w:rsidRPr="00AE4782">
        <w:t>Artikel 3 – lid 8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b)</w:t>
            </w:r>
            <w:r w:rsidRPr="00AE4782">
              <w:tab/>
              <w:t>de publieke sector, met inbegrip van gemeenten en overheidsinstanties, in termen van infrastructuur en diensten om in te spelen op de aanzienlijk toegenomen behoeften.".</w:t>
            </w:r>
          </w:p>
        </w:tc>
        <w:tc>
          <w:tcPr>
            <w:tcW w:w="4876" w:type="dxa"/>
            <w:hideMark/>
          </w:tcPr>
          <w:p w:rsidR="0013590E" w:rsidRPr="00AE4782" w:rsidRDefault="0013590E" w:rsidP="00601331">
            <w:pPr>
              <w:pStyle w:val="Normal6"/>
              <w:rPr>
                <w:szCs w:val="24"/>
              </w:rPr>
            </w:pPr>
            <w:r w:rsidRPr="00AE4782">
              <w:t>b)</w:t>
            </w:r>
            <w:r w:rsidRPr="00AE4782">
              <w:tab/>
              <w:t>de publieke sector, met inbegrip van gemeenten en overheidsinstanties, in termen van infrastructuur en diensten</w:t>
            </w:r>
            <w:r w:rsidRPr="00AE4782">
              <w:rPr>
                <w:b/>
                <w:i/>
              </w:rPr>
              <w:t>, uitdrukkelijk ook op het gebied van gezondheidszorg en van bijzondere instellingen voor kinderen, hygiënische voorzieningen en onderwijs,</w:t>
            </w:r>
            <w:r w:rsidRPr="00AE4782">
              <w:t xml:space="preserve"> om in te spelen op de aanzienlijk toegenomen behoeften.".</w:t>
            </w:r>
          </w:p>
        </w:tc>
      </w:tr>
    </w:tbl>
    <w:p w:rsidR="0013590E" w:rsidRPr="00AE4782" w:rsidRDefault="0013590E" w:rsidP="0013590E">
      <w:pPr>
        <w:pStyle w:val="AMNumberTabs"/>
      </w:pPr>
      <w:r w:rsidRPr="00AE4782">
        <w:t xml:space="preserve">Amendement </w:t>
      </w:r>
      <w:r w:rsidRPr="00AE4782">
        <w:tab/>
      </w:r>
      <w:r w:rsidRPr="00AE4782">
        <w:tab/>
        <w:t>27</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c bis (nieuw)</w:t>
      </w:r>
    </w:p>
    <w:p w:rsidR="0013590E" w:rsidRPr="00AE4782" w:rsidRDefault="0013590E" w:rsidP="0013590E">
      <w:r w:rsidRPr="00AE4782">
        <w:t>Besluit nr. 466/2014/EU</w:t>
      </w:r>
    </w:p>
    <w:p w:rsidR="0013590E" w:rsidRPr="00AE4782" w:rsidRDefault="0013590E" w:rsidP="0013590E">
      <w:r w:rsidRPr="00AE4782">
        <w:t>Artikel 3 – lid 8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 xml:space="preserve">c bis) </w:t>
            </w:r>
            <w:r w:rsidRPr="00AE4782">
              <w:tab/>
            </w:r>
            <w:r w:rsidRPr="00AE4782">
              <w:rPr>
                <w:b/>
                <w:i/>
              </w:rPr>
              <w:t>het volgende lid wordt toegevoegd:</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"8 bis.</w:t>
            </w:r>
            <w:r w:rsidRPr="00AE4782">
              <w:tab/>
            </w:r>
            <w:r w:rsidRPr="00AE4782">
              <w:rPr>
                <w:b/>
                <w:i/>
              </w:rPr>
              <w:t>Bij de EIB-financieringsverrichtingen ter ondersteuning van de in lid 1 genoemde algemene doelstellingen wordt erkend dat gendergelijkheid een transversale kwestie is voor de realisatie van duurzame ontwikkeling en dat gendergelijkheid een belangrijk element is in het zorgvuldigheidsonderzoek van projecten. Op al deze financieringsverrichtingen wordt een genderperspectief toegepast.″</w:t>
            </w:r>
          </w:p>
        </w:tc>
      </w:tr>
    </w:tbl>
    <w:p w:rsidR="0013590E" w:rsidRPr="00AE4782" w:rsidRDefault="0013590E" w:rsidP="0013590E">
      <w:pPr>
        <w:pStyle w:val="AMNumberTabs"/>
        <w:keepNext/>
      </w:pPr>
      <w:r w:rsidRPr="00AE4782">
        <w:t>Amendement</w:t>
      </w:r>
      <w:r w:rsidRPr="00AE4782">
        <w:tab/>
      </w:r>
      <w:r w:rsidRPr="00AE4782">
        <w:tab/>
        <w:t>28</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c ter (nieuw)</w:t>
      </w:r>
    </w:p>
    <w:p w:rsidR="0013590E" w:rsidRPr="00AE4782" w:rsidRDefault="0013590E" w:rsidP="0013590E">
      <w:pPr>
        <w:keepNext/>
      </w:pPr>
      <w:r w:rsidRPr="00AE4782">
        <w:t>Besluit nr. 466/2014/EU</w:t>
      </w:r>
    </w:p>
    <w:p w:rsidR="0013590E" w:rsidRPr="00AE4782" w:rsidRDefault="0013590E" w:rsidP="0013590E">
      <w:r w:rsidRPr="00AE4782">
        <w:t>Artikel 3 – lid 8 ter (nieuw)</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DD5C32">
            <w:pPr>
              <w:pStyle w:val="Normal6"/>
              <w:rPr>
                <w:b/>
                <w:i/>
              </w:rPr>
            </w:pPr>
            <w:r w:rsidRPr="00AE4782">
              <w:rPr>
                <w:b/>
                <w:i/>
              </w:rPr>
              <w:t>c ter)</w:t>
            </w:r>
            <w:r w:rsidRPr="00AE4782">
              <w:tab/>
            </w:r>
            <w:r w:rsidRPr="00AE4782">
              <w:rPr>
                <w:b/>
                <w:i/>
              </w:rPr>
              <w:t xml:space="preserve">het volgende lid wordt </w:t>
            </w:r>
            <w:r w:rsidR="00DD5C32" w:rsidRPr="00AE4782">
              <w:rPr>
                <w:b/>
                <w:i/>
              </w:rPr>
              <w:t>in</w:t>
            </w:r>
            <w:r w:rsidRPr="00AE4782">
              <w:rPr>
                <w:b/>
                <w:i/>
              </w:rPr>
              <w:t>gevoegd:</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“8 ter.</w:t>
            </w:r>
            <w:r w:rsidRPr="00AE4782">
              <w:tab/>
            </w:r>
            <w:r w:rsidRPr="00AE4782">
              <w:rPr>
                <w:b/>
                <w:i/>
              </w:rPr>
              <w:t xml:space="preserve">De EIB waarborgt dat bedrijven die deelnemen aan door de EIB </w:t>
            </w:r>
            <w:r w:rsidRPr="00AE4782">
              <w:rPr>
                <w:b/>
                <w:i/>
              </w:rPr>
              <w:lastRenderedPageBreak/>
              <w:t>medegefinancierde projecten verplicht worden zich aan het beginsel van gelijke betaling en betalingstransparantie te houden alsmede aan het beginsel van gendergelijkheid zoals beschreven in Richtlijn 2006/54/EG van het Europees Parlement en de Raad</w:t>
            </w:r>
            <w:r w:rsidRPr="00AE4782">
              <w:rPr>
                <w:b/>
                <w:i/>
                <w:vertAlign w:val="superscript"/>
              </w:rPr>
              <w:t>1 bis</w:t>
            </w:r>
            <w:r w:rsidRPr="00AE4782">
              <w:rPr>
                <w:b/>
                <w:i/>
              </w:rPr>
              <w:t>. De EIB houdt bovendien bij haar besluiten over te financieren projecten rekening met de maatregelen die de kandidaat-ondernemingen op het gebied van maatschappelijk verantwoord ondernemen hebben genomen;</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b/>
                <w:i/>
              </w:rPr>
            </w:pPr>
            <w:r w:rsidRPr="00AE4782">
              <w:rPr>
                <w:b/>
                <w:i/>
              </w:rPr>
              <w:t>______________</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5127B4">
            <w:pPr>
              <w:pStyle w:val="Normal6"/>
              <w:rPr>
                <w:b/>
                <w:i/>
              </w:rPr>
            </w:pPr>
            <w:r w:rsidRPr="00AE4782">
              <w:rPr>
                <w:b/>
                <w:i/>
                <w:vertAlign w:val="superscript"/>
              </w:rPr>
              <w:t>1 bis</w:t>
            </w:r>
            <w:r w:rsidRPr="00AE4782">
              <w:rPr>
                <w:b/>
                <w:i/>
              </w:rPr>
              <w:t xml:space="preserve"> Richtlijn 2006/54/EG van het Europees Parlement en de Raad van 5 juni 2006 betreffende de toepassing van het beginsel van gelijke kansen en gelijke behandeling van mannen en vrouwen in arbeid en beroep (PB L 204 van 26.7.2006, blz. 23).</w:t>
            </w:r>
            <w:r w:rsidR="005127B4" w:rsidRPr="00AE4782">
              <w:rPr>
                <w:b/>
                <w:i/>
              </w:rPr>
              <w:t>”</w:t>
            </w:r>
          </w:p>
        </w:tc>
      </w:tr>
    </w:tbl>
    <w:p w:rsidR="0013590E" w:rsidRPr="00AE4782" w:rsidRDefault="0013590E" w:rsidP="0013590E">
      <w:pPr>
        <w:pStyle w:val="AMNumberTabs"/>
      </w:pPr>
      <w:r w:rsidRPr="00AE4782">
        <w:t xml:space="preserve">Amendement </w:t>
      </w:r>
      <w:r w:rsidRPr="00AE4782">
        <w:tab/>
      </w:r>
      <w:r w:rsidRPr="00AE4782">
        <w:tab/>
        <w:t>29</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 letter c quater (nieuw)</w:t>
      </w:r>
    </w:p>
    <w:p w:rsidR="0013590E" w:rsidRPr="00AE4782" w:rsidRDefault="0013590E" w:rsidP="0013590E">
      <w:r w:rsidRPr="00AE4782">
        <w:t>Besluit nr. 466/2014/EU</w:t>
      </w:r>
    </w:p>
    <w:p w:rsidR="0013590E" w:rsidRPr="00AE4782" w:rsidRDefault="0013590E" w:rsidP="0013590E">
      <w:r w:rsidRPr="00AE4782">
        <w:t>Artikel 3 – lid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Bestaande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c quater)</w:t>
            </w:r>
            <w:r w:rsidRPr="00AE4782">
              <w:tab/>
            </w:r>
            <w:r w:rsidRPr="00AE4782">
              <w:rPr>
                <w:b/>
                <w:i/>
              </w:rPr>
              <w:t>lid 9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"9. </w:t>
            </w:r>
            <w:r w:rsidRPr="00AE4782">
              <w:tab/>
              <w:t>De EU-garantie dekt alleen EIB-financieringsverrichtingen welke worden uitgevoerd in de in aanmerking komende landen die een kaderovereenkomst met de EIB hebben gesloten waarin de juridische voorwaarden zijn vastgelegd waaronder deze verrichtingen moeten worden uitgevoerd.</w:t>
            </w:r>
          </w:p>
        </w:tc>
        <w:tc>
          <w:tcPr>
            <w:tcW w:w="4876" w:type="dxa"/>
            <w:hideMark/>
          </w:tcPr>
          <w:p w:rsidR="0013590E" w:rsidRPr="00AE4782" w:rsidRDefault="0013590E" w:rsidP="00601331">
            <w:pPr>
              <w:pStyle w:val="Normal6"/>
            </w:pPr>
            <w:r w:rsidRPr="00AE4782">
              <w:t xml:space="preserve">"9. </w:t>
            </w:r>
            <w:r w:rsidRPr="00AE4782">
              <w:tab/>
              <w:t>De EU-garantie dekt alleen EIB-financieringsverrichtingen welke worden uitgevoerd in de in aanmerking komende landen die een kaderovereenkomst met de EIB hebben gesloten waarin de juridische voorwaarden zijn vastgelegd waaronder deze verrichtingen moeten worden uitgevoerd.</w:t>
            </w:r>
            <w:r w:rsidRPr="00AE4782">
              <w:rPr>
                <w:b/>
                <w:i/>
              </w:rPr>
              <w:t xml:space="preserve"> Juridische voorwaarden waaronder verrichtingen worden uitgevoerd, omvatten tevens sociale, milieu-, mensenrechten- en arbeidsnormen."</w:t>
            </w:r>
          </w:p>
        </w:tc>
      </w:tr>
    </w:tbl>
    <w:p w:rsidR="0013590E" w:rsidRPr="00AE4782" w:rsidRDefault="0013590E" w:rsidP="0013590E">
      <w:pPr>
        <w:pStyle w:val="CrossRef"/>
      </w:pPr>
      <w:r w:rsidRPr="00AE4782">
        <w:t>(http://eur-lex.europa.eu/legal-content/nl/TXT/?qid=1488449786444&amp;uri=CELEX:02014D0466-20160926)</w:t>
      </w:r>
    </w:p>
    <w:p w:rsidR="0013590E" w:rsidRPr="00AE4782" w:rsidRDefault="0013590E" w:rsidP="0013590E">
      <w:pPr>
        <w:pStyle w:val="AMNumberTabs"/>
      </w:pPr>
      <w:r w:rsidRPr="00AE4782">
        <w:t xml:space="preserve">Amendement </w:t>
      </w:r>
      <w:r w:rsidRPr="00AE4782">
        <w:tab/>
      </w:r>
      <w:r w:rsidRPr="00AE4782">
        <w:tab/>
        <w:t>30</w:t>
      </w:r>
    </w:p>
    <w:p w:rsidR="0013590E" w:rsidRPr="00AE4782" w:rsidRDefault="0013590E" w:rsidP="0013590E">
      <w:pPr>
        <w:pStyle w:val="NormalBold12b"/>
      </w:pPr>
      <w:r w:rsidRPr="00AE4782">
        <w:lastRenderedPageBreak/>
        <w:t>Voorstel voor een besluit</w:t>
      </w:r>
    </w:p>
    <w:p w:rsidR="0013590E" w:rsidRPr="00AE4782" w:rsidRDefault="0013590E" w:rsidP="0013590E">
      <w:pPr>
        <w:pStyle w:val="NormalBold"/>
      </w:pPr>
      <w:r w:rsidRPr="00AE4782">
        <w:t>Artikel 1 – alinea 1 – punt 2 bis (nieuw)</w:t>
      </w:r>
    </w:p>
    <w:p w:rsidR="0013590E" w:rsidRPr="00AE4782" w:rsidRDefault="0013590E" w:rsidP="0013590E">
      <w:r w:rsidRPr="00AE4782">
        <w:t>Besluit nr. 466/2014/EU</w:t>
      </w:r>
    </w:p>
    <w:p w:rsidR="0013590E" w:rsidRPr="00AE4782" w:rsidRDefault="0013590E" w:rsidP="0013590E">
      <w:r w:rsidRPr="00AE4782">
        <w:t>Artikel 5 – lid 1 – alinea 3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DD5C32">
            <w:pPr>
              <w:pStyle w:val="Normal6"/>
            </w:pPr>
            <w:r w:rsidRPr="00AE4782">
              <w:rPr>
                <w:b/>
                <w:i/>
              </w:rPr>
              <w:t>2 bis)</w:t>
            </w:r>
            <w:r w:rsidRPr="00AE4782">
              <w:tab/>
            </w:r>
            <w:r w:rsidRPr="00AE4782">
              <w:rPr>
                <w:b/>
                <w:i/>
              </w:rPr>
              <w:t xml:space="preserve">In artikel 5, lid 1, wordt na alinea 3 de volgende alinea </w:t>
            </w:r>
            <w:r w:rsidR="00DD5C32" w:rsidRPr="00AE4782">
              <w:rPr>
                <w:b/>
                <w:i/>
              </w:rPr>
              <w:t>toe</w:t>
            </w:r>
            <w:r w:rsidRPr="00AE4782">
              <w:rPr>
                <w:b/>
                <w:i/>
              </w:rPr>
              <w:t>gevoegd:</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DD5C32" w:rsidP="00601331">
            <w:pPr>
              <w:pStyle w:val="Normal6"/>
            </w:pPr>
            <w:r w:rsidRPr="00AE4782">
              <w:rPr>
                <w:b/>
                <w:i/>
              </w:rPr>
              <w:t>“</w:t>
            </w:r>
            <w:r w:rsidR="0013590E" w:rsidRPr="00AE4782">
              <w:rPr>
                <w:b/>
                <w:i/>
              </w:rPr>
              <w:t>De Commissie en de EIB zorgen ervoor dat het lokale maatschappelijk middenveld voldoende op de hoogte wordt gebracht over de geplande en lopende verrichtingen.</w:t>
            </w:r>
            <w:r w:rsidRPr="00AE4782">
              <w:rPr>
                <w:b/>
                <w:i/>
              </w:rPr>
              <w:t>”</w:t>
            </w:r>
          </w:p>
        </w:tc>
      </w:tr>
    </w:tbl>
    <w:p w:rsidR="0013590E" w:rsidRPr="00AE4782" w:rsidRDefault="0013590E" w:rsidP="0013590E">
      <w:pPr>
        <w:pStyle w:val="AMNumberTabs"/>
      </w:pPr>
      <w:r w:rsidRPr="00AE4782">
        <w:t xml:space="preserve">Amendement </w:t>
      </w:r>
      <w:r w:rsidRPr="00AE4782">
        <w:tab/>
      </w:r>
      <w:r w:rsidRPr="00AE4782">
        <w:tab/>
        <w:t>31</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2 ter (nieuw)</w:t>
      </w:r>
    </w:p>
    <w:p w:rsidR="0013590E" w:rsidRPr="00AE4782" w:rsidRDefault="0013590E" w:rsidP="0013590E">
      <w:r w:rsidRPr="00AE4782">
        <w:t>Besluit nr. 466/2014/EU</w:t>
      </w:r>
    </w:p>
    <w:p w:rsidR="0013590E" w:rsidRPr="00AE4782" w:rsidRDefault="0013590E" w:rsidP="0013590E">
      <w:r w:rsidRPr="00AE4782">
        <w:t>Artikel 5 – lid 1 – alinea 7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DD5C32">
            <w:pPr>
              <w:pStyle w:val="Normal6"/>
            </w:pPr>
            <w:r w:rsidRPr="00AE4782">
              <w:rPr>
                <w:b/>
                <w:i/>
              </w:rPr>
              <w:t>2 ter)</w:t>
            </w:r>
            <w:r w:rsidRPr="00AE4782">
              <w:tab/>
            </w:r>
            <w:r w:rsidRPr="00AE4782">
              <w:rPr>
                <w:b/>
                <w:i/>
              </w:rPr>
              <w:t xml:space="preserve">In artikel 5, lid 1, wordt na alinea 7 de volgende alinea </w:t>
            </w:r>
            <w:r w:rsidR="00DD5C32" w:rsidRPr="00AE4782">
              <w:rPr>
                <w:b/>
                <w:i/>
              </w:rPr>
              <w:t>toe</w:t>
            </w:r>
            <w:r w:rsidRPr="00AE4782">
              <w:rPr>
                <w:b/>
                <w:i/>
              </w:rPr>
              <w:t>gevoegd:</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DD5C32" w:rsidP="00601331">
            <w:pPr>
              <w:pStyle w:val="Normal6"/>
            </w:pPr>
            <w:r w:rsidRPr="00AE4782">
              <w:rPr>
                <w:b/>
                <w:i/>
              </w:rPr>
              <w:t>“</w:t>
            </w:r>
            <w:r w:rsidR="0013590E" w:rsidRPr="00AE4782">
              <w:rPr>
                <w:b/>
                <w:i/>
              </w:rPr>
              <w:t>De financieringsverrichtingen van de EIB sluiten, ook met betrekking tot financiële intermediairs, aan bij de mededeling van de Commissie getiteld "Een vernieuwde EU-strategie 2011-14 ter bevordering van maatschappelijk verantwoord ondernemen."</w:t>
            </w:r>
          </w:p>
        </w:tc>
      </w:tr>
    </w:tbl>
    <w:p w:rsidR="0013590E" w:rsidRPr="00AE4782" w:rsidRDefault="0013590E" w:rsidP="0013590E">
      <w:pPr>
        <w:pStyle w:val="AMNumberTabs"/>
        <w:keepNext/>
      </w:pPr>
      <w:r w:rsidRPr="00AE4782">
        <w:t>Amendement</w:t>
      </w:r>
      <w:r w:rsidRPr="00AE4782">
        <w:tab/>
      </w:r>
      <w:r w:rsidRPr="00AE4782">
        <w:tab/>
        <w:t>32</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2 quater (nieuw)</w:t>
      </w:r>
    </w:p>
    <w:p w:rsidR="0013590E" w:rsidRPr="00AE4782" w:rsidRDefault="0013590E" w:rsidP="0013590E">
      <w:pPr>
        <w:keepNext/>
      </w:pPr>
      <w:r w:rsidRPr="00AE4782">
        <w:t>Besluit nr. 466/2014/EU</w:t>
      </w:r>
    </w:p>
    <w:p w:rsidR="0013590E" w:rsidRPr="00AE4782" w:rsidRDefault="0013590E" w:rsidP="0013590E">
      <w:r w:rsidRPr="00AE4782">
        <w:t>Artikel 5 – lid 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Door de Commissie voorgestelde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763BB1">
            <w:pPr>
              <w:pStyle w:val="Normal6"/>
              <w:rPr>
                <w:b/>
                <w:i/>
              </w:rPr>
            </w:pPr>
            <w:r w:rsidRPr="00AE4782">
              <w:rPr>
                <w:b/>
                <w:i/>
              </w:rPr>
              <w:t>2 quater)</w:t>
            </w:r>
            <w:r w:rsidRPr="00AE4782">
              <w:tab/>
            </w:r>
            <w:r w:rsidR="00763BB1" w:rsidRPr="00AE4782">
              <w:rPr>
                <w:b/>
                <w:i/>
              </w:rPr>
              <w:t>i</w:t>
            </w:r>
            <w:r w:rsidRPr="00AE4782">
              <w:rPr>
                <w:b/>
                <w:i/>
              </w:rPr>
              <w:t>n artikel 5 wordt het volgende lid ingevoegd:</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 xml:space="preserve">"1 bis. </w:t>
            </w:r>
            <w:r w:rsidRPr="00AE4782">
              <w:tab/>
            </w:r>
            <w:r w:rsidRPr="00AE4782">
              <w:rPr>
                <w:b/>
                <w:i/>
              </w:rPr>
              <w:t xml:space="preserve">De Commissie krijgt overeenkomstig artikel 18 de bevoegdheid om gedelegeerde handelingen vast te stellen voor wijzigingen in bijlage IV, met </w:t>
            </w:r>
            <w:r w:rsidRPr="00AE4782">
              <w:rPr>
                <w:b/>
                <w:i/>
              </w:rPr>
              <w:lastRenderedPageBreak/>
              <w:t>name de opname van een lijst van diepere oorzaken van migratie per regio."</w:t>
            </w:r>
          </w:p>
        </w:tc>
      </w:tr>
    </w:tbl>
    <w:p w:rsidR="0013590E" w:rsidRPr="00AE4782" w:rsidRDefault="0013590E" w:rsidP="0013590E">
      <w:pPr>
        <w:pStyle w:val="AMNumberTabs"/>
      </w:pPr>
      <w:r w:rsidRPr="00AE4782">
        <w:lastRenderedPageBreak/>
        <w:t xml:space="preserve">Amendement </w:t>
      </w:r>
      <w:r w:rsidRPr="00AE4782">
        <w:tab/>
      </w:r>
      <w:r w:rsidRPr="00AE4782">
        <w:tab/>
        <w:t>33</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3 bis (nieuw)</w:t>
      </w:r>
    </w:p>
    <w:p w:rsidR="0013590E" w:rsidRPr="00AE4782" w:rsidRDefault="0013590E" w:rsidP="0013590E">
      <w:r w:rsidRPr="00AE4782">
        <w:t>Besluit nr. 466/2014/EU</w:t>
      </w:r>
    </w:p>
    <w:p w:rsidR="0013590E" w:rsidRPr="00AE4782" w:rsidRDefault="0013590E" w:rsidP="0013590E">
      <w:r w:rsidRPr="00AE4782">
        <w:t>Artikel 8 – lid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Bestaande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3 bis)</w:t>
            </w:r>
            <w:r w:rsidRPr="00AE4782">
              <w:tab/>
            </w:r>
            <w:r w:rsidRPr="00AE4782">
              <w:rPr>
                <w:b/>
                <w:i/>
              </w:rPr>
              <w:t>Artikel 8, lid 5, wordt vervangen door:</w:t>
            </w:r>
          </w:p>
        </w:tc>
      </w:tr>
      <w:tr w:rsidR="0013590E" w:rsidRPr="00AE4782" w:rsidTr="00601331">
        <w:trPr>
          <w:jc w:val="center"/>
        </w:trPr>
        <w:tc>
          <w:tcPr>
            <w:tcW w:w="4876" w:type="dxa"/>
          </w:tcPr>
          <w:p w:rsidR="0013590E" w:rsidRPr="00AE4782" w:rsidRDefault="0013590E" w:rsidP="00601331">
            <w:pPr>
              <w:pStyle w:val="Normal6"/>
            </w:pPr>
            <w:r w:rsidRPr="00AE4782">
              <w:t>“5.</w:t>
            </w:r>
            <w:r w:rsidRPr="00AE4782">
              <w:tab/>
            </w:r>
            <w:r w:rsidRPr="00AE4782">
              <w:rPr>
                <w:rFonts w:hint="eastAsia"/>
              </w:rPr>
              <w:t xml:space="preserve">Op EIB-financieringsverrichtingen betrekking hebbende financiële overeenkomsten met afzonderlijke ontwikkelaars bevatten tevens passende </w:t>
            </w:r>
            <w:r w:rsidRPr="00AE4782">
              <w:rPr>
                <w:rFonts w:hint="eastAsia"/>
                <w:b/>
                <w:i/>
              </w:rPr>
              <w:t>milieu-</w:t>
            </w:r>
            <w:r w:rsidRPr="00AE4782">
              <w:rPr>
                <w:rFonts w:hint="eastAsia"/>
              </w:rPr>
              <w:t xml:space="preserve">, </w:t>
            </w:r>
            <w:r w:rsidRPr="00AE4782">
              <w:rPr>
                <w:rFonts w:hint="eastAsia"/>
                <w:b/>
                <w:i/>
              </w:rPr>
              <w:t>sociale</w:t>
            </w:r>
            <w:r w:rsidRPr="00AE4782">
              <w:rPr>
                <w:rFonts w:hint="eastAsia"/>
              </w:rPr>
              <w:t xml:space="preserve">, </w:t>
            </w:r>
            <w:r w:rsidRPr="00AE4782">
              <w:rPr>
                <w:rFonts w:hint="eastAsia"/>
                <w:b/>
                <w:i/>
              </w:rPr>
              <w:t>mensenrechten-</w:t>
            </w:r>
            <w:r w:rsidRPr="00AE4782">
              <w:rPr>
                <w:rFonts w:hint="eastAsia"/>
              </w:rPr>
              <w:t xml:space="preserve"> en </w:t>
            </w:r>
            <w:r w:rsidRPr="00AE4782">
              <w:rPr>
                <w:rFonts w:hint="eastAsia"/>
                <w:b/>
                <w:i/>
              </w:rPr>
              <w:t>arbeidsbepalingen</w:t>
            </w:r>
            <w:r w:rsidRPr="00AE4782">
              <w:rPr>
                <w:rFonts w:hint="eastAsia"/>
              </w:rPr>
              <w:t>, overeenkomstig de eigen regels en procedures van de EIB.</w:t>
            </w:r>
          </w:p>
        </w:tc>
        <w:tc>
          <w:tcPr>
            <w:tcW w:w="4876" w:type="dxa"/>
          </w:tcPr>
          <w:p w:rsidR="0013590E" w:rsidRPr="00AE4782" w:rsidRDefault="0013590E" w:rsidP="00601331">
            <w:pPr>
              <w:pStyle w:val="Normal6"/>
            </w:pPr>
            <w:r w:rsidRPr="00AE4782">
              <w:rPr>
                <w:b/>
                <w:i/>
              </w:rPr>
              <w:t>“5.</w:t>
            </w:r>
            <w:r w:rsidRPr="00AE4782">
              <w:t xml:space="preserve"> </w:t>
            </w:r>
            <w:r w:rsidRPr="00AE4782">
              <w:tab/>
              <w:t xml:space="preserve">Op EIB-financieringsverrichtingen betrekking hebbende financiële overeenkomsten met afzonderlijke ontwikkelaars bevatten tevens passende </w:t>
            </w:r>
            <w:r w:rsidRPr="00AE4782">
              <w:rPr>
                <w:b/>
                <w:i/>
              </w:rPr>
              <w:t>aankoop-</w:t>
            </w:r>
            <w:r w:rsidRPr="00AE4782">
              <w:t xml:space="preserve">, </w:t>
            </w:r>
            <w:r w:rsidRPr="00AE4782">
              <w:rPr>
                <w:b/>
                <w:i/>
              </w:rPr>
              <w:t>milieu-</w:t>
            </w:r>
            <w:r w:rsidRPr="00AE4782">
              <w:t xml:space="preserve">, </w:t>
            </w:r>
            <w:r w:rsidRPr="00AE4782">
              <w:rPr>
                <w:b/>
                <w:i/>
              </w:rPr>
              <w:t>klimaat-</w:t>
            </w:r>
            <w:r w:rsidRPr="00AE4782">
              <w:t xml:space="preserve"> en </w:t>
            </w:r>
            <w:r w:rsidRPr="00AE4782">
              <w:rPr>
                <w:b/>
                <w:i/>
              </w:rPr>
              <w:t>sociale bepalingen</w:t>
            </w:r>
            <w:r w:rsidRPr="00AE4782">
              <w:t>, overeenkomstig de eigen regels en procedures van de EIB</w:t>
            </w:r>
            <w:r w:rsidRPr="00AE4782">
              <w:rPr>
                <w:b/>
                <w:i/>
              </w:rPr>
              <w:t>, inclusief de eis dat de EU-garantie en de betrokkenheid van de EIB zichtbaar worden gemaakt voor de eindbegunstigde</w:t>
            </w:r>
            <w:r w:rsidRPr="00AE4782">
              <w:t>.</w:t>
            </w:r>
            <w:r w:rsidRPr="00AE4782">
              <w:rPr>
                <w:b/>
                <w:i/>
              </w:rPr>
              <w:t>"</w:t>
            </w:r>
          </w:p>
        </w:tc>
      </w:tr>
    </w:tbl>
    <w:p w:rsidR="0013590E" w:rsidRPr="00AE4782" w:rsidRDefault="0013590E" w:rsidP="0013590E">
      <w:pPr>
        <w:pStyle w:val="AMNumberTabs"/>
        <w:keepNext/>
      </w:pPr>
      <w:r w:rsidRPr="00AE4782">
        <w:t>Amendement</w:t>
      </w:r>
      <w:r w:rsidRPr="00AE4782">
        <w:tab/>
      </w:r>
      <w:r w:rsidRPr="00AE4782">
        <w:tab/>
        <w:t>34</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3 ter (nieuw)</w:t>
      </w:r>
    </w:p>
    <w:p w:rsidR="0013590E" w:rsidRPr="00AE4782" w:rsidRDefault="0013590E" w:rsidP="0013590E">
      <w:pPr>
        <w:keepNext/>
      </w:pPr>
      <w:r w:rsidRPr="00AE4782">
        <w:t>Besluit nr. 466/2014/EU</w:t>
      </w:r>
    </w:p>
    <w:p w:rsidR="0013590E" w:rsidRPr="00AE4782" w:rsidRDefault="0013590E" w:rsidP="0013590E">
      <w:r w:rsidRPr="00AE4782">
        <w:t>Artikel 8 – lid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3 ter)</w:t>
            </w:r>
            <w:r w:rsidRPr="00AE4782">
              <w:tab/>
            </w:r>
            <w:r w:rsidRPr="00AE4782">
              <w:rPr>
                <w:b/>
                <w:i/>
              </w:rPr>
              <w:t>Artikel 8, lid 6, wordt vervangen door:</w:t>
            </w:r>
          </w:p>
        </w:tc>
      </w:tr>
      <w:tr w:rsidR="0013590E" w:rsidRPr="00AE4782" w:rsidTr="00601331">
        <w:trPr>
          <w:jc w:val="center"/>
        </w:trPr>
        <w:tc>
          <w:tcPr>
            <w:tcW w:w="4876" w:type="dxa"/>
          </w:tcPr>
          <w:p w:rsidR="0013590E" w:rsidRPr="00AE4782" w:rsidRDefault="0013590E" w:rsidP="00601331">
            <w:pPr>
              <w:pStyle w:val="Normal6"/>
            </w:pPr>
            <w:r w:rsidRPr="00AE4782">
              <w:t>"6.</w:t>
            </w:r>
            <w:r w:rsidRPr="00AE4782">
              <w:tab/>
              <w:t xml:space="preserve">De Commissie en de EIB bepalen in de in artikel 14 bedoelde garantieovereenkomst een helder en transparant toewijzingsbeleid dat de EIB in staat stelt in het kader van haar externe activiteiten te bepalen welke uit hoofde van dit besluit te financieren verrichtingen het meest effectieve gebruik van de EU-garantie zullen bewerkstelligen. Het toewijzingsbeleid is gebaseerd op de kredietwaardigheid van EIB-financieringsverrichtingen als ingeschat door de EIB, de in bijlage I bepaalde </w:t>
            </w:r>
            <w:r w:rsidRPr="00AE4782">
              <w:lastRenderedPageBreak/>
              <w:t>plafonds, de aard van de partner (een staat, een subnationale entiteit als bedoeld in lid 1 van dit artikel of een particuliere instantie), de risicoabsorptiecapaciteit van de EIB en andere relevante criteria, waaronder de meerwaarde van de EU-garantie. Het Europees Parlement en de Raad worden overeenkomstig artikel 14 in kennis gesteld van het toewijzingsbeleid.”</w:t>
            </w:r>
          </w:p>
        </w:tc>
        <w:tc>
          <w:tcPr>
            <w:tcW w:w="4876" w:type="dxa"/>
          </w:tcPr>
          <w:p w:rsidR="0013590E" w:rsidRPr="00AE4782" w:rsidRDefault="0013590E" w:rsidP="00601331">
            <w:pPr>
              <w:pStyle w:val="Normal6"/>
              <w:rPr>
                <w:szCs w:val="24"/>
              </w:rPr>
            </w:pPr>
            <w:r w:rsidRPr="00AE4782">
              <w:lastRenderedPageBreak/>
              <w:t>"6.</w:t>
            </w:r>
            <w:r w:rsidRPr="00AE4782">
              <w:tab/>
              <w:t xml:space="preserve">De Commissie en de EIB bepalen in de in artikel 14 bedoelde garantieovereenkomst een helder en transparant toewijzingsbeleid dat de EIB in staat stelt in het kader van haar externe activiteiten te bepalen welke uit hoofde van dit besluit te financieren verrichtingen het meest effectieve gebruik van de EU-garantie zullen bewerkstelligen. Het toewijzingsbeleid is gebaseerd op de kredietwaardigheid van EIB-financieringsverrichtingen als ingeschat door de EIB, de in bijlage I bepaalde </w:t>
            </w:r>
            <w:r w:rsidRPr="00AE4782">
              <w:lastRenderedPageBreak/>
              <w:t>plafonds, de aard van de partner (een staat, een subnationale entiteit als bedoeld in lid 1 van dit artikel of een particuliere instantie), de risicoabsorptiecapaciteit van de EIB en andere relevante criteria, waaronder de meerwaarde van de EU-garantie. Het Europees Parlement en de Raad worden overeenkomstig artikel 14 in kennis gesteld van het toewijzingsbeleid</w:t>
            </w:r>
            <w:r w:rsidRPr="00AE4782">
              <w:rPr>
                <w:b/>
                <w:i/>
              </w:rPr>
              <w:t xml:space="preserve"> uit hoofde van dit besluit, inclusief een vergelijking met het beleid van de EIB inzake de toewijzing van risicoleningen buiten de Unie</w:t>
            </w:r>
            <w:r w:rsidRPr="00AE4782">
              <w:t>.”</w:t>
            </w:r>
          </w:p>
        </w:tc>
      </w:tr>
    </w:tbl>
    <w:p w:rsidR="0013590E" w:rsidRPr="00AE4782" w:rsidRDefault="0013590E" w:rsidP="0013590E">
      <w:pPr>
        <w:pStyle w:val="AMNumberTabs"/>
        <w:keepNext/>
      </w:pPr>
      <w:r w:rsidRPr="00AE4782">
        <w:lastRenderedPageBreak/>
        <w:t>Amendement</w:t>
      </w:r>
      <w:r w:rsidRPr="00AE4782">
        <w:tab/>
      </w:r>
      <w:r w:rsidRPr="00AE4782">
        <w:tab/>
        <w:t>35</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3 quater (nieuw)</w:t>
      </w:r>
    </w:p>
    <w:p w:rsidR="0013590E" w:rsidRPr="00AE4782" w:rsidRDefault="0013590E" w:rsidP="0013590E">
      <w:pPr>
        <w:keepNext/>
      </w:pPr>
      <w:r w:rsidRPr="00AE4782">
        <w:t>Besluit nr. 466/2014/EU</w:t>
      </w:r>
    </w:p>
    <w:p w:rsidR="0013590E" w:rsidRPr="00AE4782" w:rsidRDefault="0013590E" w:rsidP="0013590E">
      <w:r w:rsidRPr="00AE4782">
        <w:t>Artikel 9 – lid 1 – alinea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b/>
                <w:i/>
              </w:rPr>
            </w:pPr>
            <w:r w:rsidRPr="00AE4782">
              <w:rPr>
                <w:b/>
                <w:i/>
              </w:rPr>
              <w:t>3 quater)</w:t>
            </w:r>
            <w:r w:rsidRPr="00AE4782">
              <w:tab/>
            </w:r>
            <w:r w:rsidRPr="00AE4782">
              <w:rPr>
                <w:b/>
                <w:i/>
              </w:rPr>
              <w:t>In artikel 9, lid 1, wordt de eerste alinea vervangen door:</w:t>
            </w:r>
          </w:p>
        </w:tc>
      </w:tr>
      <w:tr w:rsidR="0013590E" w:rsidRPr="00AE4782" w:rsidTr="00601331">
        <w:trPr>
          <w:jc w:val="center"/>
        </w:trPr>
        <w:tc>
          <w:tcPr>
            <w:tcW w:w="4876" w:type="dxa"/>
          </w:tcPr>
          <w:p w:rsidR="0013590E" w:rsidRPr="00AE4782" w:rsidRDefault="00DD5C32" w:rsidP="00601331">
            <w:pPr>
              <w:pStyle w:val="Normal6"/>
            </w:pPr>
            <w:r w:rsidRPr="00AE4782">
              <w:rPr>
                <w:b/>
                <w:i/>
              </w:rPr>
              <w:t>“</w:t>
            </w:r>
            <w:r w:rsidR="0013590E" w:rsidRPr="00AE4782">
              <w:rPr>
                <w:b/>
                <w:i/>
              </w:rPr>
              <w:t>De</w:t>
            </w:r>
            <w:r w:rsidR="0013590E" w:rsidRPr="00AE4782">
              <w:t xml:space="preserve"> EIB verricht een uitvoerig zorgvuldigheidsonderzoek en verlangt</w:t>
            </w:r>
            <w:r w:rsidR="0013590E" w:rsidRPr="00AE4782">
              <w:rPr>
                <w:b/>
                <w:i/>
              </w:rPr>
              <w:t xml:space="preserve"> in voorkomend geval</w:t>
            </w:r>
            <w:r w:rsidR="0013590E" w:rsidRPr="00AE4782">
              <w:t xml:space="preserve"> dat projectontwikkelaars lokaal openbaar overleg plegen, conform de sociale en milieubeginselen van de Unie, met de relevante nationale en plaatselijke belanghebbende partijen, alsook met het maatschappelijk middenveld, in de plannings- en uitvoeringsstadia van de projecten, over de sociale, economische, mensenrechten- en milieu-aspecten en over de ontwikkelingsgerelateerde aspecten van investeringsprojecten die onder de EU-garantie vallen, en dat zij de informatie verstrekken die relevant is om te beoordelen welke bijdrage de projecten leveren tot de verwezenlijking van de strategische en externbeleidsdoelstellingen van de Unie.</w:t>
            </w:r>
            <w:r w:rsidRPr="00AE4782">
              <w:t>”</w:t>
            </w:r>
          </w:p>
        </w:tc>
        <w:tc>
          <w:tcPr>
            <w:tcW w:w="4876" w:type="dxa"/>
          </w:tcPr>
          <w:p w:rsidR="0013590E" w:rsidRPr="00AE4782" w:rsidRDefault="00DD5C32" w:rsidP="00601331">
            <w:pPr>
              <w:pStyle w:val="Normal6"/>
              <w:rPr>
                <w:szCs w:val="24"/>
              </w:rPr>
            </w:pPr>
            <w:r w:rsidRPr="00AE4782">
              <w:rPr>
                <w:b/>
                <w:i/>
              </w:rPr>
              <w:t>“</w:t>
            </w:r>
            <w:r w:rsidR="0013590E" w:rsidRPr="00AE4782">
              <w:rPr>
                <w:b/>
                <w:i/>
              </w:rPr>
              <w:t>De</w:t>
            </w:r>
            <w:r w:rsidR="0013590E" w:rsidRPr="00AE4782">
              <w:t xml:space="preserve"> EIB verricht een uitvoerig zorgvuldigheidsonderzoek en verlangt dat projectontwikkelaars lokaal openbaar overleg plegen, conform de sociale en milieubeginselen van de Unie, met de relevante nationale en plaatselijke belanghebbende partijen, alsook met het maatschappelijk middenveld, in de plannings- en uitvoeringsstadia van de projecten, over de sociale, economische, mensenrechten-</w:t>
            </w:r>
            <w:r w:rsidR="0013590E" w:rsidRPr="00AE4782">
              <w:rPr>
                <w:b/>
                <w:i/>
              </w:rPr>
              <w:t>, gendergelijkheids-</w:t>
            </w:r>
            <w:r w:rsidR="0013590E" w:rsidRPr="00AE4782">
              <w:t xml:space="preserve"> en milieu-aspecten en over de ontwikkelingsgerelateerde aspecten van investeringsprojecten die onder de EU-garantie vallen, en dat zij de informatie verstrekken die relevant is om te beoordelen welke bijdrage de projecten leveren tot de verwezenlijking van de strategische en externbeleidsdoelstellingen van de Unie.</w:t>
            </w:r>
            <w:r w:rsidRPr="00AE4782">
              <w:t>”</w:t>
            </w:r>
          </w:p>
        </w:tc>
      </w:tr>
    </w:tbl>
    <w:p w:rsidR="00FC56D2" w:rsidRPr="00AE4782" w:rsidRDefault="00FC56D2" w:rsidP="00FC56D2">
      <w:pPr>
        <w:pStyle w:val="AMNumberTabs"/>
        <w:keepNext/>
      </w:pPr>
      <w:r w:rsidRPr="00AE4782">
        <w:t>Amendement</w:t>
      </w:r>
      <w:r w:rsidRPr="00AE4782">
        <w:tab/>
      </w:r>
      <w:r w:rsidRPr="00AE4782">
        <w:tab/>
        <w:t>36</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3 quinquies (nieuw)</w:t>
      </w:r>
    </w:p>
    <w:p w:rsidR="0013590E" w:rsidRPr="00AE4782" w:rsidRDefault="0013590E" w:rsidP="0013590E">
      <w:r w:rsidRPr="00AE4782">
        <w:lastRenderedPageBreak/>
        <w:t>Besluit nr. 466/2014/EU</w:t>
      </w:r>
    </w:p>
    <w:p w:rsidR="0013590E" w:rsidRPr="00AE4782" w:rsidRDefault="0013590E" w:rsidP="0013590E">
      <w:r w:rsidRPr="00AE4782">
        <w:t>Artikel 9 – lid 1 – alinea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3 quinquies)</w:t>
            </w:r>
            <w:r w:rsidRPr="00AE4782">
              <w:tab/>
            </w:r>
            <w:r w:rsidRPr="00AE4782">
              <w:rPr>
                <w:b/>
                <w:i/>
              </w:rPr>
              <w:t>In artikel 9, lid 1, wordt na de eerste alinea de volgende alinea ingevoegd:</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DD5C32" w:rsidP="00601331">
            <w:pPr>
              <w:pStyle w:val="Normal6"/>
            </w:pPr>
            <w:r w:rsidRPr="00AE4782">
              <w:rPr>
                <w:b/>
                <w:i/>
              </w:rPr>
              <w:t>“</w:t>
            </w:r>
            <w:r w:rsidR="0013590E" w:rsidRPr="00AE4782">
              <w:rPr>
                <w:b/>
                <w:i/>
              </w:rPr>
              <w:t>De EIB moet ervoor zorgen dat voorafgaand aan financieringsverrichtingen die te maken hebben met land en natuurlijke hulpbronnen het beginsel van vrije en voorafgaande geïnformeerde toestemming ten uitvoer wordt gelegd</w:t>
            </w:r>
            <w:r w:rsidRPr="00AE4782">
              <w:rPr>
                <w:b/>
                <w:i/>
              </w:rPr>
              <w:t>:”</w:t>
            </w:r>
          </w:p>
        </w:tc>
      </w:tr>
    </w:tbl>
    <w:p w:rsidR="0013590E" w:rsidRPr="00AE4782" w:rsidRDefault="0013590E" w:rsidP="0013590E">
      <w:pPr>
        <w:pStyle w:val="CrossRef"/>
      </w:pPr>
      <w:r w:rsidRPr="00AE4782">
        <w:t>(http://eur-lex.europa.eu/legal-content/nl/TXT/HTML/?uri=CELEX:02014D0466-20160926&amp;qid=1488388409292&amp;from=nl)</w:t>
      </w:r>
    </w:p>
    <w:p w:rsidR="0013590E" w:rsidRPr="00AE4782" w:rsidRDefault="0013590E" w:rsidP="0013590E">
      <w:pPr>
        <w:pStyle w:val="JustificationTitle"/>
      </w:pPr>
      <w:r w:rsidRPr="00AE4782">
        <w:t>Motivering</w:t>
      </w:r>
    </w:p>
    <w:p w:rsidR="0013590E" w:rsidRPr="00AE4782" w:rsidRDefault="0013590E" w:rsidP="0013590E">
      <w:pPr>
        <w:pStyle w:val="Normal12Italic"/>
      </w:pPr>
      <w:r w:rsidRPr="00AE4782">
        <w:t>In 2007 heeft de Algemene Vergadering van de Verenigde Naties de Verklaring over de rechten van inheemse volken aangenomen, waarin de rechten van inheemse volken worden erkend en vrije en voorafgaande geïnformeerde toestemming specifiek wordt genoemd als een voorwaarde voor alle activiteiten die te maken hebben met voorouderlijke gronden, grondgebieden en natuurlijke hulpbronnen. Bij EIB-verrichtingen dient dit beginsel in acht te worden genomen.</w:t>
      </w:r>
    </w:p>
    <w:p w:rsidR="0013590E" w:rsidRPr="00AE4782" w:rsidRDefault="0013590E" w:rsidP="0013590E">
      <w:pPr>
        <w:pStyle w:val="AMNumberTabs"/>
      </w:pPr>
      <w:r w:rsidRPr="00AE4782">
        <w:t xml:space="preserve">Amendement </w:t>
      </w:r>
      <w:r w:rsidRPr="00AE4782">
        <w:tab/>
      </w:r>
      <w:r w:rsidRPr="00AE4782">
        <w:tab/>
        <w:t>37</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3 sexies (nieuw)</w:t>
      </w:r>
    </w:p>
    <w:p w:rsidR="0013590E" w:rsidRPr="00AE4782" w:rsidRDefault="0013590E" w:rsidP="0013590E">
      <w:r w:rsidRPr="00AE4782">
        <w:t>Besluit nr. 466/2014/EU</w:t>
      </w:r>
    </w:p>
    <w:p w:rsidR="0013590E" w:rsidRPr="00AE4782" w:rsidRDefault="0013590E" w:rsidP="0013590E">
      <w:r w:rsidRPr="00AE4782">
        <w:t>Artikel 9 – lid 1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Bestaande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DD5C32">
            <w:pPr>
              <w:pStyle w:val="Normal6"/>
            </w:pPr>
            <w:r w:rsidRPr="00AE4782">
              <w:rPr>
                <w:b/>
                <w:i/>
              </w:rPr>
              <w:t>3 sexies)</w:t>
            </w:r>
            <w:r w:rsidRPr="00AE4782">
              <w:tab/>
            </w:r>
            <w:r w:rsidRPr="00AE4782">
              <w:rPr>
                <w:b/>
                <w:i/>
              </w:rPr>
              <w:t>In artikel 9</w:t>
            </w:r>
            <w:r w:rsidR="00DD5C32" w:rsidRPr="00AE4782">
              <w:rPr>
                <w:b/>
                <w:i/>
              </w:rPr>
              <w:t>, lid 1,</w:t>
            </w:r>
            <w:r w:rsidRPr="00AE4782">
              <w:rPr>
                <w:b/>
                <w:i/>
              </w:rPr>
              <w:t xml:space="preserve"> wordt de tweede alinea vervangen door:</w:t>
            </w:r>
          </w:p>
        </w:tc>
      </w:tr>
      <w:tr w:rsidR="0013590E" w:rsidRPr="00AE4782" w:rsidTr="00601331">
        <w:trPr>
          <w:jc w:val="center"/>
        </w:trPr>
        <w:tc>
          <w:tcPr>
            <w:tcW w:w="4876" w:type="dxa"/>
            <w:hideMark/>
          </w:tcPr>
          <w:p w:rsidR="0013590E" w:rsidRPr="00AE4782" w:rsidRDefault="00DD5C32" w:rsidP="00601331">
            <w:pPr>
              <w:pStyle w:val="Normal6"/>
            </w:pPr>
            <w:r w:rsidRPr="00AE4782">
              <w:rPr>
                <w:b/>
                <w:i/>
              </w:rPr>
              <w:t>“</w:t>
            </w:r>
            <w:r w:rsidR="0013590E" w:rsidRPr="00AE4782">
              <w:rPr>
                <w:b/>
                <w:i/>
              </w:rPr>
              <w:t xml:space="preserve">In voorkomend geval omvat </w:t>
            </w:r>
            <w:r w:rsidR="0013590E" w:rsidRPr="00AE4782">
              <w:t>dit onderzoek een beoordeling van de wijze waarop de capaciteiten van de begunstigden van EIB-financiering tijdens de gehele projectcyclus met behulp van technische bijstand kunnen worden versterkt. De eigen regels en procedures van de EIB bevatten de nodige voorschriften inzake de beoordeling van het maatschappelijke effect en</w:t>
            </w:r>
            <w:r w:rsidR="0013590E" w:rsidRPr="00AE4782">
              <w:rPr>
                <w:b/>
                <w:i/>
              </w:rPr>
              <w:t xml:space="preserve"> </w:t>
            </w:r>
            <w:r w:rsidR="0013590E" w:rsidRPr="00AE4782">
              <w:t xml:space="preserve">het milieu-effect van investeringsprojecten en van de </w:t>
            </w:r>
            <w:r w:rsidR="0013590E" w:rsidRPr="00AE4782">
              <w:lastRenderedPageBreak/>
              <w:t xml:space="preserve">met mensenrechten en </w:t>
            </w:r>
            <w:r w:rsidR="0013590E" w:rsidRPr="00AE4782">
              <w:rPr>
                <w:b/>
                <w:i/>
              </w:rPr>
              <w:t>conflictbeheersing</w:t>
            </w:r>
            <w:r w:rsidR="0013590E" w:rsidRPr="00AE4782">
              <w:t xml:space="preserve"> verband houdende aspecten, om te waarborgen dat investeringsprojecten die steun uit hoofde van dit besluit genieten, </w:t>
            </w:r>
            <w:r w:rsidR="0013590E" w:rsidRPr="00AE4782">
              <w:rPr>
                <w:b/>
                <w:i/>
              </w:rPr>
              <w:t xml:space="preserve">financieel, </w:t>
            </w:r>
            <w:r w:rsidR="0013590E" w:rsidRPr="00AE4782">
              <w:t>ecologisch en maatschappelijk duurzaam zijn.</w:t>
            </w:r>
            <w:r w:rsidRPr="00AE4782">
              <w:t>”</w:t>
            </w:r>
          </w:p>
        </w:tc>
        <w:tc>
          <w:tcPr>
            <w:tcW w:w="4876" w:type="dxa"/>
            <w:hideMark/>
          </w:tcPr>
          <w:p w:rsidR="0013590E" w:rsidRPr="00AE4782" w:rsidRDefault="00DD5C32" w:rsidP="00601331">
            <w:pPr>
              <w:pStyle w:val="Normal6"/>
              <w:rPr>
                <w:sz w:val="22"/>
              </w:rPr>
            </w:pPr>
            <w:r w:rsidRPr="00AE4782">
              <w:lastRenderedPageBreak/>
              <w:t>“</w:t>
            </w:r>
            <w:r w:rsidR="0013590E" w:rsidRPr="00AE4782">
              <w:t>Dit onderzoek</w:t>
            </w:r>
            <w:r w:rsidR="0013590E" w:rsidRPr="00AE4782">
              <w:rPr>
                <w:b/>
                <w:i/>
              </w:rPr>
              <w:t xml:space="preserve"> omvat</w:t>
            </w:r>
            <w:r w:rsidR="0013590E" w:rsidRPr="00AE4782">
              <w:t xml:space="preserve"> een beoordeling van de wijze waarop de capaciteiten van de begunstigden van EIB-financiering tijdens de gehele projectcyclus met behulp van technische bijstand kunnen worden versterkt. De eigen regels en procedures van de EIB bevatten de nodige voorschriften inzake de beoordeling van het maatschappelijke effect en</w:t>
            </w:r>
            <w:r w:rsidR="0013590E" w:rsidRPr="00AE4782">
              <w:rPr>
                <w:b/>
                <w:i/>
              </w:rPr>
              <w:t> </w:t>
            </w:r>
            <w:r w:rsidR="0013590E" w:rsidRPr="00AE4782">
              <w:t xml:space="preserve">het milieu-effect van investeringsprojecten en van de met mensenrechten en </w:t>
            </w:r>
            <w:r w:rsidR="0013590E" w:rsidRPr="00AE4782">
              <w:rPr>
                <w:b/>
                <w:i/>
              </w:rPr>
              <w:t>conflictpreventie</w:t>
            </w:r>
            <w:r w:rsidR="0013590E" w:rsidRPr="00AE4782">
              <w:t xml:space="preserve"> </w:t>
            </w:r>
            <w:r w:rsidR="0013590E" w:rsidRPr="00AE4782">
              <w:lastRenderedPageBreak/>
              <w:t xml:space="preserve">verband houdende aspecten, om te waarborgen dat investeringsprojecten die steun uit hoofde van dit besluit genieten, ecologisch en maatschappelijk duurzaam zijn. </w:t>
            </w:r>
            <w:r w:rsidR="0013590E" w:rsidRPr="00AE4782">
              <w:rPr>
                <w:b/>
                <w:i/>
              </w:rPr>
              <w:t>In het kader van zijn beschikbare interne richtsnoeren inzake de toepassing van het zorgvuldigheidsonderzoek ontwikkelt de EIB een praktische handleiding met betrekking tot de beoordeling van aspecten die verband houden met de fundamentele mensenrechten. Deze handleiding moet, op basis van de bestaande kaders, in het bijzonder het strategisch kader en het actieplan van de EU voor mensenrechten en democratie, en met inachtneming van bestaande benchmarks voor de mensenrechten die zijn verstrekt door de Unie, de desbetreffende organen van de Verenigde Naties en mensenrechtenorganisaties, worden gebruikt bij ex-antebeoordelingen en permanent toezicht op projectbasis, alsook bij projecten waarbij financiële intermediairs betrokken zijn."</w:t>
            </w:r>
          </w:p>
        </w:tc>
      </w:tr>
    </w:tbl>
    <w:p w:rsidR="0013590E" w:rsidRPr="00AE4782" w:rsidRDefault="0013590E" w:rsidP="0013590E">
      <w:pPr>
        <w:pStyle w:val="CrossRef"/>
      </w:pPr>
      <w:r w:rsidRPr="00AE4782">
        <w:lastRenderedPageBreak/>
        <w:t>(http://eur-lex.europa.eu/legal-content/NL/ALL/?uri=CELEX%3A32014D0466)</w:t>
      </w:r>
    </w:p>
    <w:p w:rsidR="0013590E" w:rsidRPr="00AE4782" w:rsidRDefault="0013590E" w:rsidP="0013590E">
      <w:pPr>
        <w:pStyle w:val="AMNumberTabs"/>
        <w:keepNext/>
      </w:pPr>
      <w:r w:rsidRPr="00AE4782">
        <w:t xml:space="preserve">Amendement </w:t>
      </w:r>
      <w:r w:rsidRPr="00AE4782">
        <w:tab/>
      </w:r>
      <w:r w:rsidRPr="00AE4782">
        <w:tab/>
        <w:t>38</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3 septies (nieuw)</w:t>
      </w:r>
    </w:p>
    <w:p w:rsidR="0013590E" w:rsidRPr="00AE4782" w:rsidRDefault="0013590E" w:rsidP="0013590E">
      <w:r w:rsidRPr="00AE4782">
        <w:t>Besluit nr. 466/2014/EU</w:t>
      </w:r>
    </w:p>
    <w:p w:rsidR="0013590E" w:rsidRPr="00AE4782" w:rsidRDefault="0013590E" w:rsidP="0013590E">
      <w:r w:rsidRPr="00AE4782">
        <w:t>Artikel 9 – lid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Bestaande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3 septies)</w:t>
            </w:r>
            <w:r w:rsidRPr="00AE4782">
              <w:tab/>
            </w:r>
            <w:r w:rsidRPr="00AE4782">
              <w:rPr>
                <w:b/>
                <w:i/>
              </w:rPr>
              <w:t>Artikel 9, lid 3,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3.</w:t>
            </w:r>
            <w:r w:rsidRPr="00AE4782">
              <w:tab/>
              <w:t xml:space="preserve">De bewaking door de EIB </w:t>
            </w:r>
            <w:r w:rsidRPr="00AE4782">
              <w:rPr>
                <w:b/>
                <w:i/>
              </w:rPr>
              <w:t>poogt tevens</w:t>
            </w:r>
            <w:r w:rsidRPr="00AE4782">
              <w:t xml:space="preserve"> het uitvoeren van verrichtingen via intermediairs en de prestaties van financiële intermediairs ter ondersteuning van het midden- en kleinbedrijf</w:t>
            </w:r>
            <w:r w:rsidRPr="00AE4782">
              <w:rPr>
                <w:b/>
                <w:i/>
              </w:rPr>
              <w:t xml:space="preserve"> te omvatten</w:t>
            </w:r>
            <w:r w:rsidRPr="00AE4782">
              <w:t>.</w:t>
            </w:r>
            <w:r w:rsidR="00DD5C32" w:rsidRPr="00AE4782">
              <w:t>”</w:t>
            </w:r>
          </w:p>
        </w:tc>
        <w:tc>
          <w:tcPr>
            <w:tcW w:w="4876" w:type="dxa"/>
            <w:hideMark/>
          </w:tcPr>
          <w:p w:rsidR="0013590E" w:rsidRPr="00AE4782" w:rsidRDefault="0013590E" w:rsidP="00601331">
            <w:pPr>
              <w:pStyle w:val="Normal6"/>
            </w:pPr>
            <w:r w:rsidRPr="00AE4782">
              <w:t xml:space="preserve">"3. </w:t>
            </w:r>
            <w:r w:rsidRPr="00AE4782">
              <w:tab/>
              <w:t xml:space="preserve">De bewaking door de EIB </w:t>
            </w:r>
            <w:r w:rsidRPr="00AE4782">
              <w:rPr>
                <w:b/>
                <w:i/>
              </w:rPr>
              <w:t>omvat</w:t>
            </w:r>
            <w:r w:rsidRPr="00AE4782">
              <w:t xml:space="preserve"> het uitvoeren van verrichtingen via intermediairs en de prestaties van financiële intermediairs ter ondersteuning van het midden- en kleinbedrijf.</w:t>
            </w:r>
            <w:r w:rsidR="00DD5C32" w:rsidRPr="00AE4782">
              <w:t>”</w:t>
            </w:r>
          </w:p>
        </w:tc>
      </w:tr>
    </w:tbl>
    <w:p w:rsidR="0013590E" w:rsidRPr="00AE4782" w:rsidRDefault="0013590E" w:rsidP="0013590E">
      <w:pPr>
        <w:pStyle w:val="CrossRef"/>
      </w:pPr>
      <w:r w:rsidRPr="00AE4782">
        <w:t>(http://eur-lex.europa.eu/legal-content/NL/TXT/HTML/?uri=CELEX:32014D0466&amp;qid=1487606632536&amp;from=NL)</w:t>
      </w:r>
    </w:p>
    <w:p w:rsidR="0013590E" w:rsidRPr="00AE4782" w:rsidRDefault="0013590E" w:rsidP="0013590E">
      <w:pPr>
        <w:pStyle w:val="AMNumberTabs"/>
        <w:keepNext/>
      </w:pPr>
      <w:r w:rsidRPr="00AE4782">
        <w:lastRenderedPageBreak/>
        <w:t>Amendement</w:t>
      </w:r>
      <w:r w:rsidRPr="00AE4782">
        <w:tab/>
      </w:r>
      <w:r w:rsidRPr="00AE4782">
        <w:tab/>
        <w:t>39</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3 octies (nieuw)</w:t>
      </w:r>
    </w:p>
    <w:p w:rsidR="0013590E" w:rsidRPr="00AE4782" w:rsidRDefault="0013590E" w:rsidP="0013590E">
      <w:pPr>
        <w:keepNext/>
      </w:pPr>
      <w:r w:rsidRPr="00AE4782">
        <w:t>Besluit nr. 466/2014/EU</w:t>
      </w:r>
    </w:p>
    <w:p w:rsidR="0013590E" w:rsidRPr="00AE4782" w:rsidRDefault="0013590E" w:rsidP="0013590E">
      <w:r w:rsidRPr="00AE4782">
        <w:t>Artikel 9 – lid 5</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Bestaande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 xml:space="preserve">3 octies) </w:t>
            </w:r>
            <w:r w:rsidRPr="00AE4782">
              <w:tab/>
            </w:r>
            <w:r w:rsidRPr="00AE4782">
              <w:rPr>
                <w:b/>
                <w:i/>
              </w:rPr>
              <w:t>Artikel 9, lid 5,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“5. </w:t>
            </w:r>
            <w:r w:rsidRPr="00AE4782">
              <w:tab/>
              <w:t xml:space="preserve">De bewakingsresultaten worden </w:t>
            </w:r>
            <w:r w:rsidRPr="00AE4782">
              <w:rPr>
                <w:b/>
                <w:i/>
              </w:rPr>
              <w:t xml:space="preserve">indien mogelijk </w:t>
            </w:r>
            <w:r w:rsidRPr="00AE4782">
              <w:t>openbaar gemaakt, behoudens geheimhoudingsvoorschriften en de instemming van de betrokken partijen.</w:t>
            </w:r>
            <w:r w:rsidRPr="00AE4782">
              <w:rPr>
                <w:b/>
                <w:i/>
              </w:rPr>
              <w:t>"</w:t>
            </w:r>
          </w:p>
        </w:tc>
        <w:tc>
          <w:tcPr>
            <w:tcW w:w="4876" w:type="dxa"/>
            <w:hideMark/>
          </w:tcPr>
          <w:p w:rsidR="0013590E" w:rsidRPr="00AE4782" w:rsidRDefault="0013590E" w:rsidP="00601331">
            <w:pPr>
              <w:pStyle w:val="Normal6"/>
              <w:rPr>
                <w:szCs w:val="24"/>
              </w:rPr>
            </w:pPr>
            <w:r w:rsidRPr="00AE4782">
              <w:t xml:space="preserve">“5. </w:t>
            </w:r>
            <w:r w:rsidRPr="00AE4782">
              <w:tab/>
              <w:t>De bewakingsresultaten worden openbaar gemaakt, behoudens geheimhoudingsvoorschriften en de instemming van de betrokken partijen.</w:t>
            </w:r>
            <w:r w:rsidR="00DD5C32" w:rsidRPr="00AE4782">
              <w:t>”</w:t>
            </w:r>
          </w:p>
        </w:tc>
      </w:tr>
    </w:tbl>
    <w:p w:rsidR="0013590E" w:rsidRPr="00AE4782" w:rsidRDefault="0013590E" w:rsidP="0013590E">
      <w:pPr>
        <w:pStyle w:val="AMNumberTabs"/>
      </w:pPr>
      <w:r w:rsidRPr="00AE4782">
        <w:t xml:space="preserve">Amendement </w:t>
      </w:r>
      <w:r w:rsidRPr="00AE4782">
        <w:tab/>
      </w:r>
      <w:r w:rsidRPr="00AE4782">
        <w:tab/>
        <w:t>40</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5 – letter a</w:t>
      </w:r>
    </w:p>
    <w:p w:rsidR="0013590E" w:rsidRPr="00AE4782" w:rsidRDefault="0013590E" w:rsidP="0013590E">
      <w:r w:rsidRPr="00AE4782">
        <w:t>Besluit nr. 466/2014/EU</w:t>
      </w:r>
    </w:p>
    <w:p w:rsidR="0013590E" w:rsidRPr="00AE4782" w:rsidRDefault="0013590E" w:rsidP="0013590E">
      <w:r w:rsidRPr="00AE4782">
        <w:t>Artikel 11 – lid 1 – letter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r w:rsidRPr="00AE4782">
              <w:t>a)</w:t>
            </w:r>
            <w:r w:rsidRPr="00AE4782">
              <w:tab/>
            </w:r>
            <w:r w:rsidRPr="00AE4782">
              <w:rPr>
                <w:b/>
                <w:i/>
              </w:rPr>
              <w:t>in punt</w:t>
            </w:r>
            <w:r w:rsidRPr="00AE4782">
              <w:t xml:space="preserve"> b) wordt </w:t>
            </w:r>
            <w:r w:rsidRPr="00AE4782">
              <w:rPr>
                <w:b/>
                <w:i/>
              </w:rPr>
              <w:t>de volgende zin toegevoegd</w:t>
            </w:r>
            <w:r w:rsidRPr="00AE4782">
              <w:t>:</w:t>
            </w:r>
          </w:p>
        </w:tc>
        <w:tc>
          <w:tcPr>
            <w:tcW w:w="4876" w:type="dxa"/>
          </w:tcPr>
          <w:p w:rsidR="0013590E" w:rsidRPr="00AE4782" w:rsidRDefault="0013590E" w:rsidP="003F0318">
            <w:pPr>
              <w:pStyle w:val="Normal6"/>
            </w:pPr>
            <w:r w:rsidRPr="00AE4782">
              <w:t>a)</w:t>
            </w:r>
            <w:r w:rsidRPr="00AE4782">
              <w:tab/>
            </w:r>
            <w:r w:rsidRPr="00AE4782">
              <w:rPr>
                <w:b/>
                <w:i/>
              </w:rPr>
              <w:t>punt</w:t>
            </w:r>
            <w:r w:rsidRPr="00AE4782">
              <w:t xml:space="preserve"> b) wordt </w:t>
            </w:r>
            <w:r w:rsidR="003F0318" w:rsidRPr="00AE4782">
              <w:rPr>
                <w:b/>
                <w:i/>
              </w:rPr>
              <w:t>vervangen door:</w:t>
            </w:r>
            <w:r w:rsidRPr="00AE4782">
              <w:t>:</w:t>
            </w:r>
          </w:p>
        </w:tc>
      </w:tr>
      <w:tr w:rsidR="0013590E" w:rsidRPr="00AE4782" w:rsidTr="00601331">
        <w:trPr>
          <w:jc w:val="center"/>
        </w:trPr>
        <w:tc>
          <w:tcPr>
            <w:tcW w:w="4876" w:type="dxa"/>
          </w:tcPr>
          <w:p w:rsidR="0013590E" w:rsidRPr="00AE4782" w:rsidRDefault="00DD5C32" w:rsidP="00601331">
            <w:pPr>
              <w:pStyle w:val="Normal6"/>
            </w:pPr>
            <w:r w:rsidRPr="00AE4782">
              <w:t>“</w:t>
            </w:r>
            <w:r w:rsidR="0013590E" w:rsidRPr="00AE4782">
              <w:t>b)</w:t>
            </w:r>
            <w:r w:rsidR="0013590E" w:rsidRPr="00AE4782">
              <w:tab/>
            </w:r>
            <w:r w:rsidR="0013590E" w:rsidRPr="00AE4782">
              <w:rPr>
                <w:b/>
                <w:i/>
              </w:rPr>
              <w:t>Indicatoren</w:t>
            </w:r>
            <w:r w:rsidR="0013590E" w:rsidRPr="00AE4782">
              <w:t xml:space="preserve"> voor projecten die een strategisch antwoord bieden voor het aanpakken van onderliggende oorzaken van migratie </w:t>
            </w:r>
            <w:r w:rsidR="0013590E" w:rsidRPr="00AE4782">
              <w:rPr>
                <w:b/>
                <w:i/>
              </w:rPr>
              <w:t>worden door</w:t>
            </w:r>
            <w:r w:rsidR="0013590E" w:rsidRPr="00AE4782">
              <w:t xml:space="preserve"> de </w:t>
            </w:r>
            <w:r w:rsidR="0013590E" w:rsidRPr="00AE4782">
              <w:rPr>
                <w:b/>
                <w:i/>
              </w:rPr>
              <w:t>EIB ontwikkeld;</w:t>
            </w:r>
            <w:r w:rsidRPr="00AE4782">
              <w:rPr>
                <w:b/>
                <w:i/>
              </w:rPr>
              <w:t>”</w:t>
            </w:r>
          </w:p>
        </w:tc>
        <w:tc>
          <w:tcPr>
            <w:tcW w:w="4876" w:type="dxa"/>
          </w:tcPr>
          <w:p w:rsidR="0013590E" w:rsidRPr="00AE4782" w:rsidRDefault="003F0318" w:rsidP="00601331">
            <w:pPr>
              <w:pStyle w:val="Normal6"/>
            </w:pPr>
            <w:r w:rsidRPr="00AE4782">
              <w:rPr>
                <w:b/>
              </w:rPr>
              <w:t>"</w:t>
            </w:r>
            <w:r w:rsidR="0013590E" w:rsidRPr="00AE4782">
              <w:t>b)</w:t>
            </w:r>
            <w:r w:rsidR="0013590E" w:rsidRPr="00AE4782">
              <w:tab/>
            </w:r>
            <w:r w:rsidR="0013590E" w:rsidRPr="00AE4782">
              <w:rPr>
                <w:b/>
                <w:i/>
              </w:rPr>
              <w:t xml:space="preserve">een beoordeling van de meerwaarde, de geraamde opbrengsten en resultaten en het geraamde totale ontwikkelingseffect van de EIB-financieringsverrichtingen, uitgaande van het jaarverslag van het Kader voor de meting van resultaten. Hiertoe zal de EIB prestatie-indicatoren toepassen met betrekking tot de ontwikkelings-, milieu- en maatschappelijke aspecten (mensenrechten- en gendergelijkheidsaspecten inbegrepen) van de gefinancierde projecten, rekening houdend met de relevante indicatoren uit hoofde van de Verklaring van Parijs van 2005 over de doeltreffendheid van ontwikkelingshulp. Indicatoren voor gendergelijkheid omvatten bevordering van gelijkheid tussen vrouwen en mannen op alle beleidsterreinen, genderbudgettering en -streefdoelen en worden, waar mogelijk, achteraf </w:t>
            </w:r>
            <w:r w:rsidR="0013590E" w:rsidRPr="00AE4782">
              <w:rPr>
                <w:b/>
                <w:i/>
              </w:rPr>
              <w:lastRenderedPageBreak/>
              <w:t>geëvalueerd door de gegevens uit te splitsen naar geslacht. De indicatoren voor de milieuaspecten van projecten bestaan onder meer in criteria betreffende „schone technologie” die in beginsel gericht zijn op energie-efficiëntie en technologieën voor het verminderen van uitstoot.</w:t>
            </w:r>
            <w:r w:rsidR="0013590E" w:rsidRPr="00AE4782">
              <w:t xml:space="preserve"> </w:t>
            </w:r>
            <w:r w:rsidR="0013590E" w:rsidRPr="00AE4782">
              <w:rPr>
                <w:b/>
                <w:i/>
              </w:rPr>
              <w:t>De EIB ontwikkelt indicatoren</w:t>
            </w:r>
            <w:r w:rsidR="0013590E" w:rsidRPr="00AE4782">
              <w:t xml:space="preserve"> voor projecten die een strategisch antwoord bieden voor het aanpakken van onderliggende oorzaken van migratie </w:t>
            </w:r>
            <w:r w:rsidR="0013590E" w:rsidRPr="00AE4782">
              <w:rPr>
                <w:b/>
                <w:i/>
              </w:rPr>
              <w:t>en het opbouwen van economische veerkracht op lange termijn van gast- en transitgemeenschappen in nauw en periodiek overleg en samenwerking met de belanghebbenden, het maatschappelijk middenveld,</w:t>
            </w:r>
            <w:r w:rsidR="0013590E" w:rsidRPr="00AE4782">
              <w:t xml:space="preserve"> de </w:t>
            </w:r>
            <w:r w:rsidR="0013590E" w:rsidRPr="00AE4782">
              <w:rPr>
                <w:b/>
                <w:i/>
              </w:rPr>
              <w:t>betrokken gemeenschappen en ngo's</w:t>
            </w:r>
            <w:r w:rsidRPr="00AE4782">
              <w:rPr>
                <w:b/>
                <w:i/>
              </w:rPr>
              <w:t>;"</w:t>
            </w:r>
          </w:p>
        </w:tc>
      </w:tr>
    </w:tbl>
    <w:p w:rsidR="0013590E" w:rsidRPr="00AE4782" w:rsidRDefault="0013590E" w:rsidP="0013590E">
      <w:pPr>
        <w:pStyle w:val="AMNumberTabs"/>
      </w:pPr>
      <w:r w:rsidRPr="00AE4782">
        <w:lastRenderedPageBreak/>
        <w:t xml:space="preserve">Amendement </w:t>
      </w:r>
      <w:r w:rsidRPr="00AE4782">
        <w:tab/>
      </w:r>
      <w:r w:rsidRPr="00AE4782">
        <w:tab/>
        <w:t>41</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5 – letter a bis (nieuw)</w:t>
      </w:r>
    </w:p>
    <w:p w:rsidR="0013590E" w:rsidRPr="00AE4782" w:rsidRDefault="0013590E" w:rsidP="0013590E">
      <w:r w:rsidRPr="00AE4782">
        <w:t>Besluit nr. 466/2014/EU</w:t>
      </w:r>
    </w:p>
    <w:p w:rsidR="0013590E" w:rsidRPr="00AE4782" w:rsidRDefault="0013590E" w:rsidP="0013590E">
      <w:r w:rsidRPr="00AE4782">
        <w:t>Artikel 11 – lid 1 – letter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Bestaande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a bis)</w:t>
            </w:r>
            <w:r w:rsidRPr="00AE4782">
              <w:tab/>
            </w:r>
            <w:r w:rsidRPr="00AE4782">
              <w:rPr>
                <w:b/>
                <w:i/>
              </w:rPr>
              <w:t>letter c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"(c) </w:t>
            </w:r>
            <w:r w:rsidRPr="00AE4782">
              <w:tab/>
              <w:t>een beoordeling van de bijdrage van EIB-financieringsverrichtingen tot de verwezenlijking van de strategische en externbeleidsdoelstellingen van de Unie</w:t>
            </w:r>
            <w:r w:rsidRPr="00AE4782">
              <w:rPr>
                <w:b/>
                <w:i/>
              </w:rPr>
              <w:t>, rekening houdend met de in artikel 5 bedoelde regionale technische operationele richtsnoeren</w:t>
            </w:r>
            <w:r w:rsidRPr="00AE4782">
              <w:t>;</w:t>
            </w:r>
          </w:p>
        </w:tc>
        <w:tc>
          <w:tcPr>
            <w:tcW w:w="4876" w:type="dxa"/>
            <w:hideMark/>
          </w:tcPr>
          <w:p w:rsidR="0013590E" w:rsidRPr="00AE4782" w:rsidRDefault="0013590E" w:rsidP="00601331">
            <w:pPr>
              <w:pStyle w:val="Normal6"/>
            </w:pPr>
            <w:r w:rsidRPr="00AE4782">
              <w:t xml:space="preserve">"(c) </w:t>
            </w:r>
            <w:r w:rsidRPr="00AE4782">
              <w:tab/>
              <w:t>een beoordeling van de bijdrage van EIB-financieringsverrichtingen tot de verwezenlijking van de strategische en externbeleidsdoelstellingen van de Unie;</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 xml:space="preserve">De Commissie stelt in samenwerking met de Europese Dienst voor extern optreden (EDEO) een kader en een methodiek vast voor de jaarlijkse verslaglegging van de EIB over haar verrichtingen die onder de EU-garantie vallen en over de overeenstemming van deze verrichtingen met de algemene beginselen van het extern optreden van de Unie als bedoeld in artikel 21 VEU. Hoofddoel van deze verslaglegging is na te gaan of de EIB de verplichtingen uit hoofde van het Verdrag betreffende de Europese Unie naleeft, en met name de bepalingen van artikel 21 </w:t>
            </w:r>
            <w:r w:rsidRPr="00AE4782">
              <w:rPr>
                <w:b/>
                <w:i/>
              </w:rPr>
              <w:lastRenderedPageBreak/>
              <w:t>ervan, die onder meer de eerbiediging en bevordering van de mensenrechten, de uitroeiing van armoede en de beheersing van milieurisico's betreffen.</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 xml:space="preserve">Deze methodiek wordt door de Commissie en de EDEO uiterlijk </w:t>
            </w:r>
            <w:r w:rsidR="00DD5C32" w:rsidRPr="00AE4782">
              <w:rPr>
                <w:b/>
                <w:i/>
              </w:rPr>
              <w:t xml:space="preserve">op </w:t>
            </w:r>
            <w:r w:rsidRPr="00AE4782">
              <w:rPr>
                <w:b/>
                <w:i/>
              </w:rPr>
              <w:t>… [een jaar na de inwerkingtreding van dit wijzigingsbesluit] ontwikkeld en bouwt voort op verslaglegging van de naleving van mensenrechten door de EIB, die op grond van het strategische kader en actieplan voor mensenrechten van de EU wordt uitgebracht.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Op basis van de jaarlijkse verslaglegging door de EIB legt de Commissie jaarlijks aan het Europees Parlement haar eigen evaluatie van de door de EIB verstrekte informatie voor en stelt zij eventueel wijzigingen voor op de beleidsmaatregelen en procedures van de EIB die ter goedkeuring aan de lidstaten worden voorgelegd, nadat het advies van het Europees Parlement over deze wijzigingen in acht is genomen. Eventuele aanbevelingen van de Europese Commissie en het Europees Parlement om de EIB-verslaglegging met het oog hierop te verbeteren, verwerken zij in het kader van de actualisering van de regionale technische operationele richtsnoeren."</w:t>
            </w:r>
          </w:p>
        </w:tc>
      </w:tr>
    </w:tbl>
    <w:p w:rsidR="0013590E" w:rsidRPr="00AE4782" w:rsidRDefault="0013590E" w:rsidP="0013590E">
      <w:pPr>
        <w:pStyle w:val="CrossRef"/>
      </w:pPr>
      <w:r w:rsidRPr="00AE4782">
        <w:t>(http://eur-lex.europa.eu/legal-content/nl/TXT/?qid=1488449786444&amp;uri=CELEX:02014D0466-20160926)</w:t>
      </w:r>
    </w:p>
    <w:p w:rsidR="0013590E" w:rsidRPr="00AE4782" w:rsidRDefault="0013590E" w:rsidP="0013590E">
      <w:pPr>
        <w:pStyle w:val="AMNumberTabs"/>
        <w:keepNext/>
      </w:pPr>
      <w:r w:rsidRPr="00AE4782">
        <w:t xml:space="preserve">Amendement </w:t>
      </w:r>
      <w:r w:rsidRPr="00AE4782">
        <w:tab/>
      </w:r>
      <w:r w:rsidRPr="00AE4782">
        <w:tab/>
        <w:t>42</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 letter -a ter (nieuw)</w:t>
      </w:r>
    </w:p>
    <w:p w:rsidR="0013590E" w:rsidRPr="00AE4782" w:rsidRDefault="0013590E" w:rsidP="0013590E">
      <w:r w:rsidRPr="00AE4782">
        <w:t>Besluit nr. 466/2014/EU</w:t>
      </w:r>
    </w:p>
    <w:p w:rsidR="0013590E" w:rsidRPr="00AE4782" w:rsidRDefault="0013590E" w:rsidP="0013590E">
      <w:r w:rsidRPr="00AE4782">
        <w:t>Artikel 11 – lid 1 – letter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Bestaande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pPr>
            <w:r w:rsidRPr="00AE4782">
              <w:rPr>
                <w:b/>
                <w:i/>
              </w:rPr>
              <w:t>a ter)</w:t>
            </w:r>
            <w:r w:rsidRPr="00AE4782">
              <w:tab/>
            </w:r>
            <w:r w:rsidRPr="00AE4782">
              <w:rPr>
                <w:b/>
                <w:i/>
              </w:rPr>
              <w:t>Artikel 11, lid 1, onder e), wordt vervangen door:</w:t>
            </w:r>
          </w:p>
        </w:tc>
      </w:tr>
      <w:tr w:rsidR="0013590E" w:rsidRPr="00AE4782" w:rsidTr="00601331">
        <w:trPr>
          <w:jc w:val="center"/>
        </w:trPr>
        <w:tc>
          <w:tcPr>
            <w:tcW w:w="4876" w:type="dxa"/>
            <w:hideMark/>
          </w:tcPr>
          <w:p w:rsidR="0013590E" w:rsidRPr="00AE4782" w:rsidRDefault="00DD5C32" w:rsidP="00601331">
            <w:pPr>
              <w:pStyle w:val="Normal6"/>
            </w:pPr>
            <w:r w:rsidRPr="00AE4782">
              <w:rPr>
                <w:b/>
                <w:i/>
              </w:rPr>
              <w:t>“</w:t>
            </w:r>
            <w:r w:rsidR="0013590E" w:rsidRPr="00AE4782">
              <w:rPr>
                <w:b/>
                <w:i/>
              </w:rPr>
              <w:t>e)</w:t>
            </w:r>
            <w:r w:rsidR="0013590E" w:rsidRPr="00AE4782">
              <w:tab/>
              <w:t xml:space="preserve">een beoordeling van de kwaliteit van EIB-financieringsverrichtingen, met name de mate waarin de EIB bij het zorgvuldigheidsonderzoek en de bewaking </w:t>
            </w:r>
            <w:r w:rsidR="0013590E" w:rsidRPr="00AE4782">
              <w:lastRenderedPageBreak/>
              <w:t>van de gefinancierde investeringsprojecten rekening heeft gehouden met de ecologische en maatschappelijke duurzaamheid;</w:t>
            </w:r>
            <w:r w:rsidRPr="00AE4782">
              <w:t>”</w:t>
            </w:r>
          </w:p>
        </w:tc>
        <w:tc>
          <w:tcPr>
            <w:tcW w:w="4876" w:type="dxa"/>
            <w:hideMark/>
          </w:tcPr>
          <w:p w:rsidR="0013590E" w:rsidRPr="00AE4782" w:rsidRDefault="0013590E" w:rsidP="00601331">
            <w:pPr>
              <w:pStyle w:val="Normal6"/>
            </w:pPr>
            <w:r w:rsidRPr="00AE4782">
              <w:lastRenderedPageBreak/>
              <w:t>"(e)</w:t>
            </w:r>
            <w:r w:rsidRPr="00AE4782">
              <w:tab/>
              <w:t xml:space="preserve">een beoordeling van de kwaliteit van EIB-financieringsverrichtingen, met name de mate waarin de EIB bij het zorgvuldigheidsonderzoek en de bewaking </w:t>
            </w:r>
            <w:r w:rsidRPr="00AE4782">
              <w:lastRenderedPageBreak/>
              <w:t>van de gefinancierde investeringsprojecten rekening heeft gehouden met de ecologische en maatschappelijke duurzaamheid</w:t>
            </w:r>
            <w:r w:rsidRPr="00AE4782">
              <w:rPr>
                <w:b/>
                <w:i/>
              </w:rPr>
              <w:t>, en maatregelen om de eigen plaatselijke inbreng te vergroten door inspraak van de getroffen gemeenschappen, maatschappelijke organisaties en ngo's te bevorderen</w:t>
            </w:r>
            <w:r w:rsidRPr="00AE4782">
              <w:t>;</w:t>
            </w:r>
            <w:r w:rsidR="00DD5C32" w:rsidRPr="00AE4782">
              <w:t>”</w:t>
            </w:r>
          </w:p>
        </w:tc>
      </w:tr>
    </w:tbl>
    <w:p w:rsidR="0013590E" w:rsidRPr="00AE4782" w:rsidRDefault="0013590E" w:rsidP="0013590E">
      <w:pPr>
        <w:pStyle w:val="CrossRef"/>
      </w:pPr>
      <w:r w:rsidRPr="00AE4782">
        <w:lastRenderedPageBreak/>
        <w:t>(http://eur-lex.europa.eu/legal-content/NL/TXT/HTML/?uri=CELEX:32014D0466&amp;qid=1487606632536&amp;from=NL)</w:t>
      </w:r>
    </w:p>
    <w:p w:rsidR="0013590E" w:rsidRPr="00AE4782" w:rsidRDefault="0013590E" w:rsidP="0013590E">
      <w:pPr>
        <w:pStyle w:val="AMNumberTabs"/>
      </w:pPr>
      <w:r w:rsidRPr="00AE4782">
        <w:t xml:space="preserve">Amendement </w:t>
      </w:r>
      <w:r w:rsidRPr="00AE4782">
        <w:tab/>
      </w:r>
      <w:r w:rsidRPr="00AE4782">
        <w:tab/>
        <w:t>43</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5 – letter b</w:t>
      </w:r>
    </w:p>
    <w:p w:rsidR="0013590E" w:rsidRPr="00AE4782" w:rsidRDefault="0013590E" w:rsidP="0013590E">
      <w:r w:rsidRPr="00AE4782">
        <w:t>Besluit nr. 466/2014/EU</w:t>
      </w:r>
    </w:p>
    <w:p w:rsidR="0013590E" w:rsidRPr="00AE4782" w:rsidRDefault="0013590E" w:rsidP="0013590E">
      <w:r w:rsidRPr="00AE4782">
        <w:t>Artikel 11 – lid 1 – letter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hideMark/>
          </w:tcPr>
          <w:p w:rsidR="0013590E" w:rsidRPr="00AE4782" w:rsidRDefault="0013590E" w:rsidP="00601331">
            <w:pPr>
              <w:pStyle w:val="ColumnHeading"/>
            </w:pPr>
            <w:r w:rsidRPr="00AE4782">
              <w:t>Door de Commissie voorgestelde tekst</w:t>
            </w:r>
          </w:p>
        </w:tc>
        <w:tc>
          <w:tcPr>
            <w:tcW w:w="4876" w:type="dxa"/>
            <w:hideMark/>
          </w:tcPr>
          <w:p w:rsidR="0013590E" w:rsidRPr="00AE4782" w:rsidRDefault="0013590E" w:rsidP="00601331">
            <w:pPr>
              <w:pStyle w:val="ColumnHeading"/>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j)</w:t>
            </w:r>
            <w:r w:rsidRPr="00AE4782">
              <w:tab/>
              <w:t xml:space="preserve">Een beoordeling van de bijdrage van EIB-financieringsverrichtingen bij het geven van een strategisch antwoord </w:t>
            </w:r>
            <w:r w:rsidRPr="00AE4782">
              <w:rPr>
                <w:b/>
                <w:i/>
              </w:rPr>
              <w:t>op</w:t>
            </w:r>
            <w:r w:rsidRPr="00AE4782">
              <w:t xml:space="preserve"> het </w:t>
            </w:r>
            <w:r w:rsidRPr="00AE4782">
              <w:rPr>
                <w:b/>
                <w:i/>
              </w:rPr>
              <w:t>aanpakken van onderliggende oorzaken</w:t>
            </w:r>
            <w:r w:rsidRPr="00AE4782">
              <w:t xml:space="preserve"> van </w:t>
            </w:r>
            <w:r w:rsidRPr="00AE4782">
              <w:rPr>
                <w:b/>
                <w:i/>
              </w:rPr>
              <w:t xml:space="preserve">migratie. </w:t>
            </w:r>
          </w:p>
        </w:tc>
        <w:tc>
          <w:tcPr>
            <w:tcW w:w="4876" w:type="dxa"/>
            <w:hideMark/>
          </w:tcPr>
          <w:p w:rsidR="0013590E" w:rsidRPr="00AE4782" w:rsidRDefault="0013590E" w:rsidP="00601331">
            <w:pPr>
              <w:pStyle w:val="Normal6"/>
            </w:pPr>
            <w:r w:rsidRPr="00AE4782">
              <w:t>j)</w:t>
            </w:r>
            <w:r w:rsidRPr="00AE4782">
              <w:tab/>
              <w:t xml:space="preserve">Een beoordeling van de bijdrage van EIB-financieringsverrichtingen bij het geven van een strategisch antwoord </w:t>
            </w:r>
            <w:r w:rsidRPr="00AE4782">
              <w:rPr>
                <w:b/>
                <w:i/>
              </w:rPr>
              <w:t>om onderliggende oorzaken van de door armoede, ongelijkheid, demografische groei,</w:t>
            </w:r>
            <w:r w:rsidRPr="00AE4782">
              <w:t xml:space="preserve"> het </w:t>
            </w:r>
            <w:r w:rsidRPr="00AE4782">
              <w:rPr>
                <w:b/>
                <w:i/>
              </w:rPr>
              <w:t>gebrek aan economische en arbeidskansen en de klimaatverandering veroorzaakte migratie aan te pakken en bij te dragen tot de economische veerkracht</w:t>
            </w:r>
            <w:r w:rsidRPr="00AE4782">
              <w:t xml:space="preserve"> van </w:t>
            </w:r>
            <w:r w:rsidRPr="00AE4782">
              <w:rPr>
                <w:b/>
                <w:i/>
              </w:rPr>
              <w:t>vluchtelingen, migranten en gast- en transitgemeenschappen op lange termijn;</w:t>
            </w:r>
          </w:p>
        </w:tc>
      </w:tr>
    </w:tbl>
    <w:p w:rsidR="0013590E" w:rsidRPr="00AE4782" w:rsidRDefault="0013590E" w:rsidP="0013590E">
      <w:pPr>
        <w:pStyle w:val="AMNumberTabs"/>
        <w:keepNext/>
      </w:pPr>
      <w:r w:rsidRPr="00AE4782">
        <w:t>Amendement</w:t>
      </w:r>
      <w:r w:rsidRPr="00AE4782">
        <w:tab/>
      </w:r>
      <w:r w:rsidRPr="00AE4782">
        <w:tab/>
        <w:t>44</w:t>
      </w:r>
    </w:p>
    <w:p w:rsidR="0013590E" w:rsidRPr="00AE4782" w:rsidRDefault="0013590E" w:rsidP="0013590E">
      <w:pPr>
        <w:pStyle w:val="NormalBold12b"/>
      </w:pPr>
      <w:r w:rsidRPr="00AE4782">
        <w:t>Voorstel voor een besluit</w:t>
      </w:r>
    </w:p>
    <w:p w:rsidR="0013590E" w:rsidRPr="00AE4782" w:rsidRDefault="0013590E" w:rsidP="0013590E">
      <w:pPr>
        <w:pStyle w:val="NormalBold"/>
        <w:keepNext/>
      </w:pPr>
      <w:r w:rsidRPr="00AE4782">
        <w:t xml:space="preserve">Artikel 1 – alinea 1 – punt 5 bis (nieuw) </w:t>
      </w:r>
    </w:p>
    <w:p w:rsidR="0013590E" w:rsidRPr="00AE4782" w:rsidRDefault="0013590E" w:rsidP="0013590E">
      <w:pPr>
        <w:keepNext/>
      </w:pPr>
      <w:r w:rsidRPr="00AE4782">
        <w:t>Besluit nr. 466/2014/EU</w:t>
      </w:r>
    </w:p>
    <w:p w:rsidR="0013590E" w:rsidRPr="00AE4782" w:rsidRDefault="0013590E" w:rsidP="0013590E">
      <w:pPr>
        <w:keepNext/>
      </w:pPr>
      <w:r w:rsidRPr="00AE4782">
        <w:t>Artikel 11 – lid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Bestaande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5 bis)</w:t>
            </w:r>
            <w:r w:rsidRPr="00AE4782">
              <w:tab/>
            </w:r>
            <w:r w:rsidRPr="00AE4782">
              <w:rPr>
                <w:b/>
                <w:i/>
              </w:rPr>
              <w:t>Artikel 11, lid 2, wordt vervangen door:</w:t>
            </w:r>
          </w:p>
        </w:tc>
      </w:tr>
      <w:tr w:rsidR="0013590E" w:rsidRPr="00AE4782" w:rsidTr="00601331">
        <w:trPr>
          <w:jc w:val="center"/>
        </w:trPr>
        <w:tc>
          <w:tcPr>
            <w:tcW w:w="4876" w:type="dxa"/>
            <w:hideMark/>
          </w:tcPr>
          <w:p w:rsidR="0013590E" w:rsidRPr="00AE4782" w:rsidRDefault="0013590E" w:rsidP="00601331">
            <w:pPr>
              <w:pStyle w:val="Normal6"/>
            </w:pPr>
            <w:r w:rsidRPr="00AE4782">
              <w:t>2.</w:t>
            </w:r>
            <w:r w:rsidRPr="00AE4782">
              <w:tab/>
              <w:t xml:space="preserve">Voor de toepassing van lid 1 verstrekt de EIB de Commissie jaarlijks een verslag over de in het kader van dit besluit verrichte EIB-financiering, met inbegrip van alle gegevens die de </w:t>
            </w:r>
            <w:r w:rsidRPr="00AE4782">
              <w:lastRenderedPageBreak/>
              <w:t>Commissie nodig heeft met het oog op het in lid 1 bedoelde verslag. De EIB kan de Commissie aanvullende informatie verstrekken die haar in staat stelt het Europees Parlement en de Raad een algemeen overzicht van de externe activiteiten van de EIB te verschaffen.</w:t>
            </w:r>
          </w:p>
        </w:tc>
        <w:tc>
          <w:tcPr>
            <w:tcW w:w="4876" w:type="dxa"/>
            <w:hideMark/>
          </w:tcPr>
          <w:p w:rsidR="0013590E" w:rsidRPr="00AE4782" w:rsidRDefault="00A81CDC" w:rsidP="00601331">
            <w:pPr>
              <w:pStyle w:val="Normal6"/>
              <w:rPr>
                <w:b/>
                <w:i/>
              </w:rPr>
            </w:pPr>
            <w:r w:rsidRPr="00AE4782">
              <w:lastRenderedPageBreak/>
              <w:t>"</w:t>
            </w:r>
            <w:r w:rsidR="0013590E" w:rsidRPr="00AE4782">
              <w:t>2.</w:t>
            </w:r>
            <w:r w:rsidR="0013590E" w:rsidRPr="00AE4782">
              <w:tab/>
              <w:t xml:space="preserve">Voor de toepassing van lid 1 verstrekt de EIB de Commissie jaarlijks een verslag over de in het kader van dit besluit verrichte EIB-financiering, met inbegrip van alle gegevens die de </w:t>
            </w:r>
            <w:r w:rsidR="0013590E" w:rsidRPr="00AE4782">
              <w:lastRenderedPageBreak/>
              <w:t>Commissie nodig heeft met het oog op het in lid 1 bedoelde verslag. De EIB kan de Commissie aanvullende informatie verstrekken die haar in staat stelt het Europees Parlement en de Raad een algemeen overzicht van de externe activiteiten van de EIB te verschaffen.</w:t>
            </w:r>
            <w:r w:rsidR="0013590E" w:rsidRPr="00AE4782">
              <w:rPr>
                <w:b/>
                <w:i/>
              </w:rPr>
              <w:t xml:space="preserve"> Het Europees Parlement kan op basis van de jaarlijkse verslagen aanbevelingen aan de EIB doen met betrekking tot de verschillende lopende projecten.</w:t>
            </w:r>
            <w:r w:rsidRPr="00AE4782">
              <w:rPr>
                <w:b/>
                <w:i/>
              </w:rPr>
              <w:t>"</w:t>
            </w:r>
          </w:p>
        </w:tc>
      </w:tr>
    </w:tbl>
    <w:p w:rsidR="0013590E" w:rsidRPr="00AE4782" w:rsidRDefault="0013590E" w:rsidP="0013590E">
      <w:pPr>
        <w:pStyle w:val="AMNumberTabs"/>
        <w:keepNext/>
      </w:pPr>
      <w:r w:rsidRPr="00AE4782">
        <w:lastRenderedPageBreak/>
        <w:t>Amendement</w:t>
      </w:r>
      <w:r w:rsidRPr="00AE4782">
        <w:tab/>
      </w:r>
      <w:r w:rsidRPr="00AE4782">
        <w:tab/>
        <w:t>45</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ter (nieuw)</w:t>
      </w:r>
    </w:p>
    <w:p w:rsidR="0013590E" w:rsidRPr="00AE4782" w:rsidRDefault="0013590E" w:rsidP="0013590E">
      <w:pPr>
        <w:keepNext/>
      </w:pPr>
      <w:r w:rsidRPr="00AE4782">
        <w:t>Besluit nr. 466/2014/EU</w:t>
      </w:r>
    </w:p>
    <w:p w:rsidR="0013590E" w:rsidRPr="00AE4782" w:rsidRDefault="0013590E" w:rsidP="0013590E">
      <w:r w:rsidRPr="00AE4782">
        <w:t>Artikel 12 – lid 1 – inleidende formule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5 ter)</w:t>
            </w:r>
            <w:r w:rsidRPr="00AE4782">
              <w:tab/>
            </w:r>
            <w:r w:rsidRPr="00AE4782">
              <w:rPr>
                <w:b/>
                <w:i/>
              </w:rPr>
              <w:t xml:space="preserve">in artikel 12, lid 1, komt de inleidende formule als volgt te luiden: </w:t>
            </w:r>
          </w:p>
        </w:tc>
      </w:tr>
      <w:tr w:rsidR="0013590E" w:rsidRPr="00AE4782" w:rsidTr="00601331">
        <w:trPr>
          <w:jc w:val="center"/>
        </w:trPr>
        <w:tc>
          <w:tcPr>
            <w:tcW w:w="4876" w:type="dxa"/>
          </w:tcPr>
          <w:p w:rsidR="0013590E" w:rsidRPr="00AE4782" w:rsidRDefault="0013590E" w:rsidP="00601331">
            <w:pPr>
              <w:pStyle w:val="Normal6"/>
            </w:pPr>
            <w:r w:rsidRPr="00AE4782">
              <w:t>"1.</w:t>
            </w:r>
            <w:r w:rsidRPr="00AE4782">
              <w:tab/>
              <w:t>Conform haar eigen transparantiebeleid en de beginselen van de Unie inzake toegang tot documenten en voorlichting aan het publiek en, geleidelijk, de normen van het internationaal initiatief inzake transparantie van ontwikkelingshulp, maakt de EIB op haar website de volgende informatie bekend:</w:t>
            </w:r>
            <w:r w:rsidR="00DD5C32" w:rsidRPr="00AE4782">
              <w:t>”</w:t>
            </w:r>
          </w:p>
        </w:tc>
        <w:tc>
          <w:tcPr>
            <w:tcW w:w="4876" w:type="dxa"/>
          </w:tcPr>
          <w:p w:rsidR="0013590E" w:rsidRPr="00AE4782" w:rsidRDefault="0013590E" w:rsidP="00601331">
            <w:pPr>
              <w:pStyle w:val="Normal6"/>
              <w:rPr>
                <w:szCs w:val="24"/>
              </w:rPr>
            </w:pPr>
            <w:r w:rsidRPr="00AE4782">
              <w:t>"1.</w:t>
            </w:r>
            <w:r w:rsidRPr="00AE4782">
              <w:tab/>
              <w:t xml:space="preserve">Conform haar eigen transparantiebeleid en de beginselen van de Unie inzake toegang tot documenten en voorlichting aan het publiek en, geleidelijk, de normen van het internationaal initiatief inzake transparantie van ontwikkelingshulp, maakt de EIB op </w:t>
            </w:r>
            <w:r w:rsidRPr="00AE4782">
              <w:rPr>
                <w:b/>
                <w:i/>
              </w:rPr>
              <w:t xml:space="preserve">proactieve en systematische wijze op </w:t>
            </w:r>
            <w:r w:rsidRPr="00AE4782">
              <w:t>haar website de volgende informatie bekend:</w:t>
            </w:r>
            <w:r w:rsidRPr="00AE4782">
              <w:rPr>
                <w:b/>
                <w:i/>
              </w:rPr>
              <w:t>”</w:t>
            </w:r>
          </w:p>
        </w:tc>
      </w:tr>
    </w:tbl>
    <w:p w:rsidR="0013590E" w:rsidRPr="00AE4782" w:rsidRDefault="0013590E" w:rsidP="0013590E">
      <w:pPr>
        <w:pStyle w:val="AMNumberTabs"/>
        <w:keepNext/>
      </w:pPr>
      <w:r w:rsidRPr="00AE4782">
        <w:t>Amendement</w:t>
      </w:r>
      <w:r w:rsidRPr="00AE4782">
        <w:tab/>
      </w:r>
      <w:r w:rsidRPr="00AE4782">
        <w:tab/>
        <w:t>46</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quater (nieuw)</w:t>
      </w:r>
    </w:p>
    <w:p w:rsidR="0013590E" w:rsidRPr="00AE4782" w:rsidRDefault="0013590E" w:rsidP="0013590E">
      <w:pPr>
        <w:keepNext/>
      </w:pPr>
      <w:r w:rsidRPr="00AE4782">
        <w:t>Besluit nr. 466/2014/EU</w:t>
      </w:r>
    </w:p>
    <w:p w:rsidR="0013590E" w:rsidRPr="00AE4782" w:rsidRDefault="0013590E" w:rsidP="0013590E">
      <w:r w:rsidRPr="00AE4782">
        <w:t>Artikel 12 – lid 1 – letter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5 quater)</w:t>
            </w:r>
            <w:r w:rsidRPr="00AE4782">
              <w:tab/>
            </w:r>
            <w:r w:rsidRPr="00AE4782">
              <w:rPr>
                <w:b/>
                <w:i/>
              </w:rPr>
              <w:t>In artikel 12, lid 1, wordt punt a) vervangen door:</w:t>
            </w:r>
          </w:p>
        </w:tc>
      </w:tr>
      <w:tr w:rsidR="0013590E" w:rsidRPr="00AE4782" w:rsidTr="00601331">
        <w:trPr>
          <w:jc w:val="center"/>
        </w:trPr>
        <w:tc>
          <w:tcPr>
            <w:tcW w:w="4876" w:type="dxa"/>
          </w:tcPr>
          <w:p w:rsidR="0013590E" w:rsidRPr="00AE4782" w:rsidRDefault="0013590E" w:rsidP="00601331">
            <w:pPr>
              <w:pStyle w:val="Normal6"/>
            </w:pPr>
            <w:r w:rsidRPr="00AE4782">
              <w:t xml:space="preserve">"a) </w:t>
            </w:r>
            <w:r w:rsidRPr="00AE4782">
              <w:tab/>
              <w:t xml:space="preserve">alle EIB-financieringsverrichtingen die uit hoofde van dit besluit zijn uitgevoerd, na de projectgoedkeuring, met bijzondere opgave of een investeringsproject door de EU-garantie </w:t>
            </w:r>
            <w:r w:rsidRPr="00AE4782">
              <w:lastRenderedPageBreak/>
              <w:t xml:space="preserve">wordt gedekt en hoe het bijdraagt tot de doelstellingen van het externe optreden van de Unie, met bijzondere aandacht voor het economische, </w:t>
            </w:r>
            <w:r w:rsidRPr="00AE4782">
              <w:rPr>
                <w:b/>
                <w:i/>
              </w:rPr>
              <w:t>het maatschappelijke</w:t>
            </w:r>
            <w:r w:rsidRPr="00AE4782">
              <w:t xml:space="preserve"> en het </w:t>
            </w:r>
            <w:r w:rsidRPr="00AE4782">
              <w:rPr>
                <w:b/>
                <w:i/>
              </w:rPr>
              <w:t>milieueffect</w:t>
            </w:r>
            <w:r w:rsidRPr="00AE4782">
              <w:t>;</w:t>
            </w:r>
            <w:r w:rsidR="00DD5C32" w:rsidRPr="00AE4782">
              <w:t>”</w:t>
            </w:r>
          </w:p>
        </w:tc>
        <w:tc>
          <w:tcPr>
            <w:tcW w:w="4876" w:type="dxa"/>
          </w:tcPr>
          <w:p w:rsidR="0013590E" w:rsidRPr="00AE4782" w:rsidRDefault="0013590E" w:rsidP="00601331">
            <w:pPr>
              <w:pStyle w:val="Normal6"/>
              <w:rPr>
                <w:szCs w:val="24"/>
              </w:rPr>
            </w:pPr>
            <w:r w:rsidRPr="00AE4782">
              <w:lastRenderedPageBreak/>
              <w:t xml:space="preserve">"a) </w:t>
            </w:r>
            <w:r w:rsidRPr="00AE4782">
              <w:tab/>
              <w:t xml:space="preserve">alle EIB-financieringsverrichtingen die uit hoofde van dit besluit zijn uitgevoerd, na de projectgoedkeuring, met bijzondere opgave of een investeringsproject door de EU-garantie </w:t>
            </w:r>
            <w:r w:rsidRPr="00AE4782">
              <w:lastRenderedPageBreak/>
              <w:t xml:space="preserve">wordt gedekt en hoe het bijdraagt tot de doelstellingen van het externe optreden van de Unie, met bijzondere aandacht voor het economische, </w:t>
            </w:r>
            <w:r w:rsidRPr="00AE4782">
              <w:rPr>
                <w:b/>
                <w:i/>
              </w:rPr>
              <w:t>maatschappelijke, milieu-, klimaat-</w:t>
            </w:r>
            <w:r w:rsidRPr="00AE4782">
              <w:t xml:space="preserve"> en </w:t>
            </w:r>
            <w:r w:rsidRPr="00AE4782">
              <w:rPr>
                <w:b/>
                <w:i/>
              </w:rPr>
              <w:t xml:space="preserve">genderspecifieke effect, evenals alle relevante informatie betreffende de afzonderlijke projecten uit hoofde van dit besluit, inclusief de fiches in </w:t>
            </w:r>
            <w:r w:rsidRPr="00AE4782">
              <w:t xml:space="preserve">het </w:t>
            </w:r>
            <w:r w:rsidRPr="00AE4782">
              <w:rPr>
                <w:b/>
                <w:i/>
              </w:rPr>
              <w:t>kader van het raamwerk voor resultaatmeting, met inachtneming van de bescherming van vertrouwelijke en commercieel gevoelige informatie</w:t>
            </w:r>
            <w:r w:rsidRPr="00AE4782">
              <w:t>;</w:t>
            </w:r>
            <w:r w:rsidRPr="00AE4782">
              <w:rPr>
                <w:b/>
                <w:i/>
              </w:rPr>
              <w:t>"</w:t>
            </w:r>
          </w:p>
        </w:tc>
      </w:tr>
    </w:tbl>
    <w:p w:rsidR="0013590E" w:rsidRPr="00AE4782" w:rsidRDefault="0013590E" w:rsidP="0013590E">
      <w:pPr>
        <w:pStyle w:val="AMNumberTabs"/>
        <w:keepNext/>
      </w:pPr>
      <w:r w:rsidRPr="00AE4782">
        <w:lastRenderedPageBreak/>
        <w:t xml:space="preserve">Amendement </w:t>
      </w:r>
      <w:r w:rsidRPr="00AE4782">
        <w:tab/>
      </w:r>
      <w:r w:rsidRPr="00AE4782">
        <w:tab/>
        <w:t>47</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quinquies (nieuw)</w:t>
      </w:r>
    </w:p>
    <w:p w:rsidR="0013590E" w:rsidRPr="00AE4782" w:rsidRDefault="0013590E" w:rsidP="0013590E">
      <w:r w:rsidRPr="00AE4782">
        <w:t>Besluit nr. 466/2014/EU</w:t>
      </w:r>
    </w:p>
    <w:p w:rsidR="0013590E" w:rsidRPr="00AE4782" w:rsidRDefault="0013590E" w:rsidP="0013590E">
      <w:r w:rsidRPr="00AE4782">
        <w:t>Artikel 12 – lid 1 – letter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Bestaande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5 quinquies)</w:t>
            </w:r>
            <w:r w:rsidRPr="00AE4782">
              <w:tab/>
            </w:r>
            <w:r w:rsidRPr="00AE4782">
              <w:rPr>
                <w:b/>
                <w:i/>
              </w:rPr>
              <w:t>Artikel 12, lid 1, onder c), wordt als volgt gewijzigd:</w:t>
            </w:r>
          </w:p>
        </w:tc>
      </w:tr>
      <w:tr w:rsidR="0013590E" w:rsidRPr="00AE4782" w:rsidTr="00601331">
        <w:trPr>
          <w:jc w:val="center"/>
        </w:trPr>
        <w:tc>
          <w:tcPr>
            <w:tcW w:w="4876" w:type="dxa"/>
          </w:tcPr>
          <w:p w:rsidR="0013590E" w:rsidRPr="00AE4782" w:rsidRDefault="0013590E" w:rsidP="00601331">
            <w:pPr>
              <w:pStyle w:val="Normal6"/>
            </w:pPr>
            <w:r w:rsidRPr="00AE4782">
              <w:t>“c)</w:t>
            </w:r>
            <w:r w:rsidRPr="00AE4782">
              <w:tab/>
              <w:t xml:space="preserve">indien mogelijk en passend, bestaande kaderovereenkomsten tussen de EIB en een ontvangend land. Bij de ondertekening van nieuwe en de wijziging van bestaande overeenkomsten </w:t>
            </w:r>
            <w:r w:rsidRPr="00AE4782">
              <w:rPr>
                <w:b/>
                <w:i/>
              </w:rPr>
              <w:t>tracht</w:t>
            </w:r>
            <w:r w:rsidRPr="00AE4782">
              <w:t xml:space="preserve"> de EIB deze openbaar</w:t>
            </w:r>
            <w:r w:rsidRPr="00AE4782">
              <w:rPr>
                <w:b/>
                <w:i/>
              </w:rPr>
              <w:t xml:space="preserve"> te maken</w:t>
            </w:r>
            <w:r w:rsidRPr="00AE4782">
              <w:t>;</w:t>
            </w:r>
            <w:r w:rsidRPr="00AE4782">
              <w:rPr>
                <w:b/>
                <w:i/>
              </w:rPr>
              <w:t>"</w:t>
            </w:r>
          </w:p>
        </w:tc>
        <w:tc>
          <w:tcPr>
            <w:tcW w:w="4876" w:type="dxa"/>
          </w:tcPr>
          <w:p w:rsidR="0013590E" w:rsidRPr="00AE4782" w:rsidRDefault="0013590E" w:rsidP="00601331">
            <w:pPr>
              <w:pStyle w:val="Normal6"/>
            </w:pPr>
            <w:r w:rsidRPr="00AE4782">
              <w:t>“c)</w:t>
            </w:r>
            <w:r w:rsidRPr="00AE4782">
              <w:tab/>
              <w:t xml:space="preserve">indien mogelijk en passend, bestaande kaderovereenkomsten tussen de EIB en een ontvangend land. Bij de ondertekening van nieuwe en de wijziging van bestaande overeenkomsten </w:t>
            </w:r>
            <w:r w:rsidRPr="00AE4782">
              <w:rPr>
                <w:b/>
                <w:i/>
              </w:rPr>
              <w:t>maakt</w:t>
            </w:r>
            <w:r w:rsidRPr="00AE4782">
              <w:t xml:space="preserve"> de EIB deze openbaar;</w:t>
            </w:r>
            <w:r w:rsidR="00DD5C32" w:rsidRPr="00AE4782">
              <w:t>”</w:t>
            </w:r>
          </w:p>
        </w:tc>
      </w:tr>
    </w:tbl>
    <w:p w:rsidR="0013590E" w:rsidRPr="00AE4782" w:rsidRDefault="0013590E" w:rsidP="0013590E">
      <w:pPr>
        <w:pStyle w:val="AMNumberTabs"/>
      </w:pPr>
      <w:r w:rsidRPr="00AE4782">
        <w:t xml:space="preserve">Amendement </w:t>
      </w:r>
      <w:r w:rsidRPr="00AE4782">
        <w:tab/>
      </w:r>
      <w:r w:rsidRPr="00AE4782">
        <w:tab/>
        <w:t>48</w:t>
      </w:r>
    </w:p>
    <w:p w:rsidR="0013590E" w:rsidRPr="00AE4782" w:rsidRDefault="0013590E" w:rsidP="0013590E">
      <w:pPr>
        <w:pStyle w:val="NormalBold12b"/>
      </w:pPr>
      <w:r w:rsidRPr="00AE4782">
        <w:t>Voorstel voor een besluit</w:t>
      </w:r>
    </w:p>
    <w:p w:rsidR="0013590E" w:rsidRPr="00AE4782" w:rsidRDefault="0013590E" w:rsidP="0013590E">
      <w:pPr>
        <w:pStyle w:val="NormalBold"/>
      </w:pPr>
      <w:r w:rsidRPr="00AE4782">
        <w:t>Artikel 1 – alinea 1 – punt 5 sexies (nieuw)</w:t>
      </w:r>
    </w:p>
    <w:p w:rsidR="0013590E" w:rsidRPr="00AE4782" w:rsidRDefault="0013590E" w:rsidP="0013590E">
      <w:r w:rsidRPr="00AE4782">
        <w:t>Besluit nr. 466/2014/EU</w:t>
      </w:r>
    </w:p>
    <w:p w:rsidR="0013590E" w:rsidRPr="00AE4782" w:rsidRDefault="0013590E" w:rsidP="0013590E">
      <w:r w:rsidRPr="00AE4782">
        <w:t>Artikel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A81CDC" w:rsidP="00601331">
            <w:pPr>
              <w:pStyle w:val="ColumnHeading"/>
            </w:pPr>
            <w:r w:rsidRPr="00AE4782">
              <w:t>Bestaande</w:t>
            </w:r>
            <w:r w:rsidR="0013590E" w:rsidRPr="00AE4782">
              <w:t xml:space="preserv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5 sexies)</w:t>
            </w:r>
            <w:r w:rsidRPr="00AE4782">
              <w:tab/>
            </w:r>
            <w:r w:rsidRPr="00AE4782">
              <w:rPr>
                <w:b/>
                <w:i/>
              </w:rPr>
              <w:t>Artikel 13 wordt vervangen door:</w:t>
            </w:r>
          </w:p>
        </w:tc>
      </w:tr>
      <w:tr w:rsidR="0013590E" w:rsidRPr="00AE4782" w:rsidTr="00601331">
        <w:trPr>
          <w:jc w:val="center"/>
        </w:trPr>
        <w:tc>
          <w:tcPr>
            <w:tcW w:w="4876" w:type="dxa"/>
          </w:tcPr>
          <w:p w:rsidR="0013590E" w:rsidRPr="00AE4782" w:rsidRDefault="0013590E" w:rsidP="00601331">
            <w:pPr>
              <w:pStyle w:val="Normal6"/>
              <w:jc w:val="center"/>
              <w:rPr>
                <w:snapToGrid w:val="0"/>
              </w:rPr>
            </w:pPr>
            <w:r w:rsidRPr="00AE4782">
              <w:rPr>
                <w:snapToGrid w:val="0"/>
              </w:rPr>
              <w:t>"Artikel 13</w:t>
            </w:r>
          </w:p>
        </w:tc>
        <w:tc>
          <w:tcPr>
            <w:tcW w:w="4876" w:type="dxa"/>
          </w:tcPr>
          <w:p w:rsidR="0013590E" w:rsidRPr="00AE4782" w:rsidRDefault="0013590E" w:rsidP="00601331">
            <w:pPr>
              <w:pStyle w:val="Normal6"/>
              <w:jc w:val="center"/>
            </w:pPr>
            <w:r w:rsidRPr="00AE4782">
              <w:rPr>
                <w:snapToGrid w:val="0"/>
              </w:rPr>
              <w:t>"Artikel 13</w:t>
            </w:r>
          </w:p>
        </w:tc>
      </w:tr>
      <w:tr w:rsidR="0013590E" w:rsidRPr="00AE4782" w:rsidTr="00601331">
        <w:trPr>
          <w:jc w:val="center"/>
        </w:trPr>
        <w:tc>
          <w:tcPr>
            <w:tcW w:w="4876" w:type="dxa"/>
          </w:tcPr>
          <w:p w:rsidR="0013590E" w:rsidRPr="00AE4782" w:rsidRDefault="0013590E" w:rsidP="00601331">
            <w:pPr>
              <w:pStyle w:val="Normal6"/>
              <w:jc w:val="center"/>
              <w:rPr>
                <w:snapToGrid w:val="0"/>
              </w:rPr>
            </w:pPr>
            <w:r w:rsidRPr="00AE4782">
              <w:rPr>
                <w:snapToGrid w:val="0"/>
              </w:rPr>
              <w:t>Niet-coöperatieve rechtsgebieden</w:t>
            </w:r>
          </w:p>
        </w:tc>
        <w:tc>
          <w:tcPr>
            <w:tcW w:w="4876" w:type="dxa"/>
          </w:tcPr>
          <w:p w:rsidR="0013590E" w:rsidRPr="00AE4782" w:rsidRDefault="0013590E" w:rsidP="00601331">
            <w:pPr>
              <w:pStyle w:val="Normal6"/>
              <w:jc w:val="center"/>
            </w:pPr>
            <w:r w:rsidRPr="00AE4782">
              <w:rPr>
                <w:snapToGrid w:val="0"/>
              </w:rPr>
              <w:t>Niet-coöperatieve rechtsgebieden</w:t>
            </w:r>
          </w:p>
        </w:tc>
      </w:tr>
      <w:tr w:rsidR="0013590E" w:rsidRPr="00AE4782" w:rsidTr="00601331">
        <w:trPr>
          <w:jc w:val="center"/>
        </w:trPr>
        <w:tc>
          <w:tcPr>
            <w:tcW w:w="4876" w:type="dxa"/>
          </w:tcPr>
          <w:p w:rsidR="0013590E" w:rsidRPr="00AE4782" w:rsidRDefault="0013590E" w:rsidP="00601331">
            <w:pPr>
              <w:pStyle w:val="Normal6"/>
            </w:pPr>
            <w:r w:rsidRPr="00AE4782">
              <w:rPr>
                <w:snapToGrid w:val="0"/>
              </w:rPr>
              <w:t xml:space="preserve">Bij haar financieringsverrichtingen </w:t>
            </w:r>
            <w:r w:rsidRPr="00AE4782">
              <w:rPr>
                <w:b/>
                <w:i/>
                <w:snapToGrid w:val="0"/>
              </w:rPr>
              <w:t>staat</w:t>
            </w:r>
            <w:r w:rsidRPr="00AE4782">
              <w:rPr>
                <w:snapToGrid w:val="0"/>
              </w:rPr>
              <w:t xml:space="preserve"> de EIB </w:t>
            </w:r>
            <w:r w:rsidRPr="00AE4782">
              <w:rPr>
                <w:b/>
                <w:i/>
                <w:snapToGrid w:val="0"/>
              </w:rPr>
              <w:t>geen activiteiten toe met illegale doeleinden, waaronder het witwassen van geld, financiering van terrorisme, belastingfraude</w:t>
            </w:r>
            <w:r w:rsidRPr="00AE4782">
              <w:rPr>
                <w:snapToGrid w:val="0"/>
              </w:rPr>
              <w:t xml:space="preserve"> en </w:t>
            </w:r>
            <w:r w:rsidRPr="00AE4782">
              <w:rPr>
                <w:b/>
                <w:i/>
                <w:snapToGrid w:val="0"/>
              </w:rPr>
              <w:t xml:space="preserve">belastingontduiking en </w:t>
            </w:r>
            <w:r w:rsidRPr="00AE4782">
              <w:rPr>
                <w:b/>
                <w:i/>
                <w:snapToGrid w:val="0"/>
              </w:rPr>
              <w:lastRenderedPageBreak/>
              <w:t xml:space="preserve">fraude die </w:t>
            </w:r>
            <w:r w:rsidRPr="00AE4782">
              <w:rPr>
                <w:snapToGrid w:val="0"/>
              </w:rPr>
              <w:t xml:space="preserve">de </w:t>
            </w:r>
            <w:r w:rsidRPr="00AE4782">
              <w:rPr>
                <w:b/>
                <w:i/>
                <w:snapToGrid w:val="0"/>
              </w:rPr>
              <w:t>financiële belangen van de Unie schaadt. Met name neemt de EIB niet deel aan financieringsverrichtingen die in een in aanmerking komend land worden uitgevoerd door middel</w:t>
            </w:r>
            <w:r w:rsidRPr="00AE4782">
              <w:rPr>
                <w:snapToGrid w:val="0"/>
              </w:rPr>
              <w:t xml:space="preserve"> van </w:t>
            </w:r>
            <w:r w:rsidRPr="00AE4782">
              <w:rPr>
                <w:b/>
                <w:i/>
                <w:snapToGrid w:val="0"/>
              </w:rPr>
              <w:t>instrument dat is ondergebracht ineen buitenlands niet-coöperatief rechtsgebied, als zodanig aangemerkt door</w:t>
            </w:r>
            <w:r w:rsidRPr="00AE4782">
              <w:rPr>
                <w:snapToGrid w:val="0"/>
              </w:rPr>
              <w:t xml:space="preserve"> de </w:t>
            </w:r>
            <w:r w:rsidRPr="00AE4782">
              <w:rPr>
                <w:b/>
                <w:i/>
                <w:snapToGrid w:val="0"/>
              </w:rPr>
              <w:t>Unie, de Verenigde Naties, de Organisatie voor Economische Samenwerking</w:t>
            </w:r>
            <w:r w:rsidRPr="00AE4782">
              <w:rPr>
                <w:snapToGrid w:val="0"/>
              </w:rPr>
              <w:t xml:space="preserve"> en </w:t>
            </w:r>
            <w:r w:rsidRPr="00AE4782">
              <w:rPr>
                <w:b/>
                <w:i/>
                <w:snapToGrid w:val="0"/>
              </w:rPr>
              <w:t>Ontwikkeling of de Financiëleactiegroep.</w:t>
            </w:r>
          </w:p>
        </w:tc>
        <w:tc>
          <w:tcPr>
            <w:tcW w:w="4876" w:type="dxa"/>
          </w:tcPr>
          <w:p w:rsidR="0013590E" w:rsidRPr="00AE4782" w:rsidRDefault="0013590E" w:rsidP="00601331">
            <w:pPr>
              <w:pStyle w:val="Normal6"/>
            </w:pPr>
            <w:r w:rsidRPr="00AE4782">
              <w:lastRenderedPageBreak/>
              <w:t xml:space="preserve">Bij haar financieringsverrichtingen </w:t>
            </w:r>
            <w:r w:rsidRPr="00AE4782">
              <w:rPr>
                <w:b/>
                <w:i/>
              </w:rPr>
              <w:t>voldoet</w:t>
            </w:r>
            <w:r w:rsidRPr="00AE4782">
              <w:t xml:space="preserve"> de EIB </w:t>
            </w:r>
            <w:r w:rsidRPr="00AE4782">
              <w:rPr>
                <w:b/>
                <w:i/>
              </w:rPr>
              <w:t>aan de geldende normen</w:t>
            </w:r>
            <w:r w:rsidRPr="00AE4782">
              <w:t xml:space="preserve"> en de </w:t>
            </w:r>
            <w:r w:rsidRPr="00AE4782">
              <w:rPr>
                <w:b/>
                <w:i/>
              </w:rPr>
              <w:t>toepasselijke wetgeving inzake het voorkomen</w:t>
            </w:r>
            <w:r w:rsidRPr="00AE4782">
              <w:t xml:space="preserve"> van </w:t>
            </w:r>
            <w:r w:rsidRPr="00AE4782">
              <w:rPr>
                <w:b/>
                <w:i/>
              </w:rPr>
              <w:t>witwassen van geld en</w:t>
            </w:r>
            <w:r w:rsidRPr="00AE4782">
              <w:t xml:space="preserve"> de </w:t>
            </w:r>
            <w:r w:rsidRPr="00AE4782">
              <w:rPr>
                <w:b/>
                <w:i/>
              </w:rPr>
              <w:t xml:space="preserve">bestrijding van terrorisme en </w:t>
            </w:r>
            <w:r w:rsidRPr="00AE4782">
              <w:rPr>
                <w:b/>
                <w:i/>
              </w:rPr>
              <w:lastRenderedPageBreak/>
              <w:t>belastingfraude</w:t>
            </w:r>
            <w:r w:rsidRPr="00AE4782">
              <w:t xml:space="preserve"> en </w:t>
            </w:r>
            <w:r w:rsidRPr="00AE4782">
              <w:rPr>
                <w:b/>
                <w:i/>
              </w:rPr>
              <w:t xml:space="preserve">-ontduiking. </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b/>
                <w:i/>
              </w:rPr>
            </w:pPr>
            <w:r w:rsidRPr="00AE4782">
              <w:rPr>
                <w:b/>
                <w:i/>
              </w:rPr>
              <w:t>De EIB maakt geen gebruik van, of laat zich niet in met, belastingontwijkingsconstructies, met name regelingen inzake agressieve belastingplanning of praktijken die niet voldoen aan de criteria inzake goede fiscale governance, zoals vastgelegd in wetshandelingen van de Unie, conclusies van de Raad, mededelingen van de Commissie en formele instructies van de Commissie.</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De EIB onderhoudt geen zakelijke betrekkingen met entiteiten die opgericht of gevestigd zijn in rechtsgebieden die niet met de Unie samenwerken voor de toepassing van de internationaal overeengekomen belastingnormen inzake transparantie en uitwisseling van informatie.</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Bij het sluiten van overeenkomsten met financiële tussenpersonen zet de EIB de in dit artikel opgenomen voorschriften om in de contracten in kwestie en verlangt hij verslaglegging per land over de naleving ervan.</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Na overleg met de Commissie en belanghebbenden herziet en actualiseert de EIB zijn beleid inzake niet-coöperatieve rechtsgebieden uiterlijk na de vaststelling van een lijst van de Unie van niet-coöperatieve rechtsgebieden.  Elk daaropvolgend jaar dient de Commissie bij het Europees Parlement en bij de Raad een verslag in over de tenuitvoerlegging van dit beleid.</w:t>
            </w:r>
            <w:r w:rsidR="006A4A58" w:rsidRPr="00AE4782">
              <w:rPr>
                <w:b/>
                <w:i/>
              </w:rPr>
              <w:t>"</w:t>
            </w:r>
          </w:p>
        </w:tc>
      </w:tr>
      <w:tr w:rsidR="0013590E" w:rsidRPr="00AE4782" w:rsidTr="00601331">
        <w:trPr>
          <w:jc w:val="center"/>
        </w:trPr>
        <w:tc>
          <w:tcPr>
            <w:tcW w:w="4876" w:type="dxa"/>
          </w:tcPr>
          <w:p w:rsidR="0013590E" w:rsidRPr="00AE4782" w:rsidRDefault="0013590E" w:rsidP="00601331">
            <w:pPr>
              <w:pStyle w:val="Normal6"/>
              <w:rPr>
                <w:b/>
                <w:i/>
              </w:rPr>
            </w:pPr>
            <w:r w:rsidRPr="00AE4782">
              <w:rPr>
                <w:b/>
                <w:i/>
                <w:snapToGrid w:val="0"/>
              </w:rPr>
              <w:t xml:space="preserve">Bij haar financieringsverrichtingen neemt de EIB de beginselen en normen van de </w:t>
            </w:r>
            <w:r w:rsidRPr="00AE4782">
              <w:rPr>
                <w:b/>
                <w:i/>
                <w:snapToGrid w:val="0"/>
              </w:rPr>
              <w:lastRenderedPageBreak/>
              <w:t>Uniewetgeving inzake de voorkoming van het gebruik van het financiële stelsel voor het witwassen van geld en de financiering van terrorisme in acht, onder meer het vereiste inzake het nemen van redelijke maatregelen om de identiteit van de uiteindelijke begunstigde te verifiëren.</w:t>
            </w:r>
            <w:r w:rsidR="00DD5C32" w:rsidRPr="00AE4782">
              <w:rPr>
                <w:b/>
                <w:i/>
                <w:snapToGrid w:val="0"/>
              </w:rPr>
              <w:t>”</w:t>
            </w:r>
          </w:p>
        </w:tc>
        <w:tc>
          <w:tcPr>
            <w:tcW w:w="4876" w:type="dxa"/>
          </w:tcPr>
          <w:p w:rsidR="0013590E" w:rsidRPr="00AE4782" w:rsidRDefault="0013590E" w:rsidP="00601331">
            <w:pPr>
              <w:pStyle w:val="Normal6"/>
            </w:pPr>
          </w:p>
        </w:tc>
      </w:tr>
    </w:tbl>
    <w:p w:rsidR="0013590E" w:rsidRPr="00AE4782" w:rsidRDefault="0013590E" w:rsidP="0013590E">
      <w:pPr>
        <w:pStyle w:val="AMNumberTabs"/>
        <w:keepNext/>
      </w:pPr>
      <w:r w:rsidRPr="00AE4782">
        <w:t>Amendement</w:t>
      </w:r>
      <w:r w:rsidRPr="00AE4782">
        <w:tab/>
      </w:r>
      <w:r w:rsidRPr="00AE4782">
        <w:tab/>
        <w:t>49</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septies (nieuw)</w:t>
      </w:r>
    </w:p>
    <w:p w:rsidR="0013590E" w:rsidRPr="00AE4782" w:rsidRDefault="0013590E" w:rsidP="0013590E">
      <w:pPr>
        <w:keepNext/>
      </w:pPr>
      <w:r w:rsidRPr="00AE4782">
        <w:t>Besluit nr. 466/2014/EU</w:t>
      </w:r>
    </w:p>
    <w:p w:rsidR="0013590E" w:rsidRPr="00AE4782" w:rsidRDefault="0013590E" w:rsidP="0013590E">
      <w:r w:rsidRPr="00AE4782">
        <w:t>Artikel 14 – lid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5 septies)</w:t>
            </w:r>
            <w:r w:rsidRPr="00AE4782">
              <w:tab/>
            </w:r>
            <w:r w:rsidRPr="00AE4782">
              <w:rPr>
                <w:b/>
                <w:i/>
              </w:rPr>
              <w:t>Artikel 14, lid 1, wordt vervangen door:</w:t>
            </w:r>
          </w:p>
        </w:tc>
      </w:tr>
      <w:tr w:rsidR="0013590E" w:rsidRPr="00AE4782" w:rsidTr="00601331">
        <w:trPr>
          <w:jc w:val="center"/>
        </w:trPr>
        <w:tc>
          <w:tcPr>
            <w:tcW w:w="4876" w:type="dxa"/>
          </w:tcPr>
          <w:p w:rsidR="0013590E" w:rsidRPr="00AE4782" w:rsidRDefault="00DD5C32" w:rsidP="00601331">
            <w:pPr>
              <w:pStyle w:val="Normal6"/>
            </w:pPr>
            <w:r w:rsidRPr="00AE4782">
              <w:t>“</w:t>
            </w:r>
            <w:r w:rsidR="0013590E" w:rsidRPr="00AE4782">
              <w:t xml:space="preserve">De Commissie en de EIB ondertekenen een garantieovereenkomst waarin de in artikel 8 bedoelde nadere voorschriften en procedures in verband met de EU-garantie worden vastgelegd, </w:t>
            </w:r>
            <w:r w:rsidR="0013590E" w:rsidRPr="00AE4782">
              <w:rPr>
                <w:b/>
                <w:i/>
              </w:rPr>
              <w:t>en</w:t>
            </w:r>
            <w:r w:rsidR="0013590E" w:rsidRPr="00AE4782">
              <w:t xml:space="preserve"> brengen het Europees Parlement en de Raad</w:t>
            </w:r>
            <w:r w:rsidR="0013590E" w:rsidRPr="00AE4782">
              <w:rPr>
                <w:b/>
                <w:i/>
              </w:rPr>
              <w:t xml:space="preserve"> dienovereenkomstig op de hoogte</w:t>
            </w:r>
            <w:r w:rsidR="0013590E" w:rsidRPr="00AE4782">
              <w:t>.</w:t>
            </w:r>
            <w:r w:rsidRPr="00AE4782">
              <w:t>”</w:t>
            </w:r>
          </w:p>
        </w:tc>
        <w:tc>
          <w:tcPr>
            <w:tcW w:w="4876" w:type="dxa"/>
          </w:tcPr>
          <w:p w:rsidR="0013590E" w:rsidRPr="00AE4782" w:rsidRDefault="00DD5C32" w:rsidP="00601331">
            <w:pPr>
              <w:pStyle w:val="Normal6"/>
              <w:rPr>
                <w:szCs w:val="24"/>
              </w:rPr>
            </w:pPr>
            <w:r w:rsidRPr="00AE4782">
              <w:t>“</w:t>
            </w:r>
            <w:r w:rsidR="0013590E" w:rsidRPr="00AE4782">
              <w:t xml:space="preserve">De Commissie en de EIB ondertekenen een garantieovereenkomst waarin de in artikel 8 bedoelde nadere voorschriften en procedures in verband met de EU-garantie worden vastgelegd, </w:t>
            </w:r>
            <w:r w:rsidR="0013590E" w:rsidRPr="00AE4782">
              <w:rPr>
                <w:b/>
                <w:i/>
              </w:rPr>
              <w:t>die zij ter kennis</w:t>
            </w:r>
            <w:r w:rsidR="0013590E" w:rsidRPr="00AE4782">
              <w:t xml:space="preserve"> brengen</w:t>
            </w:r>
            <w:r w:rsidR="0013590E" w:rsidRPr="00AE4782">
              <w:rPr>
                <w:b/>
                <w:i/>
              </w:rPr>
              <w:t xml:space="preserve"> van</w:t>
            </w:r>
            <w:r w:rsidR="0013590E" w:rsidRPr="00AE4782">
              <w:t xml:space="preserve"> het Europees Parlement en de Raad.</w:t>
            </w:r>
            <w:r w:rsidRPr="00AE4782">
              <w:t>”</w:t>
            </w:r>
          </w:p>
        </w:tc>
      </w:tr>
    </w:tbl>
    <w:p w:rsidR="0013590E" w:rsidRPr="00AE4782" w:rsidRDefault="0013590E" w:rsidP="0013590E">
      <w:pPr>
        <w:pStyle w:val="AMNumberTabs"/>
        <w:keepNext/>
      </w:pPr>
      <w:r w:rsidRPr="00AE4782">
        <w:t>Amendement</w:t>
      </w:r>
      <w:r w:rsidRPr="00AE4782">
        <w:tab/>
      </w:r>
      <w:r w:rsidRPr="00AE4782">
        <w:tab/>
        <w:t>50</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octies (nieuw)</w:t>
      </w:r>
    </w:p>
    <w:p w:rsidR="0013590E" w:rsidRPr="00AE4782" w:rsidRDefault="0013590E" w:rsidP="0013590E">
      <w:pPr>
        <w:keepNext/>
      </w:pPr>
      <w:r w:rsidRPr="00AE4782">
        <w:t>Besluit nr. 466/2014/EU</w:t>
      </w:r>
    </w:p>
    <w:p w:rsidR="0013590E" w:rsidRPr="00AE4782" w:rsidRDefault="0013590E" w:rsidP="0013590E">
      <w:r w:rsidRPr="00AE4782">
        <w:t>Artikel 18 – lid 2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Door de Commissie voorgestelde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b/>
                <w:i/>
              </w:rPr>
            </w:pPr>
            <w:r w:rsidRPr="00AE4782">
              <w:rPr>
                <w:b/>
                <w:i/>
              </w:rPr>
              <w:t xml:space="preserve">5 octies) </w:t>
            </w:r>
            <w:r w:rsidRPr="00AE4782">
              <w:tab/>
            </w:r>
            <w:r w:rsidRPr="00AE4782">
              <w:rPr>
                <w:b/>
                <w:i/>
              </w:rPr>
              <w:t xml:space="preserve">in artikel 18 wordt het volgende lid ingevoegd: </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 xml:space="preserve">"2 bis. </w:t>
            </w:r>
            <w:r w:rsidRPr="00AE4782">
              <w:tab/>
            </w:r>
            <w:r w:rsidRPr="00AE4782">
              <w:rPr>
                <w:b/>
                <w:i/>
              </w:rPr>
              <w:t>De in artikel 5 bedoelde bevoegdheidsdelegatie wordt aan de Commissie toegekend voor onbepaalde tijd met ingang van [de datum waarop dit wijzigingsbesluit in werking treedt]."</w:t>
            </w:r>
          </w:p>
        </w:tc>
      </w:tr>
    </w:tbl>
    <w:p w:rsidR="0013590E" w:rsidRPr="00AE4782" w:rsidRDefault="0013590E" w:rsidP="0013590E">
      <w:pPr>
        <w:pStyle w:val="AMNumberTabs"/>
        <w:keepNext/>
      </w:pPr>
      <w:r w:rsidRPr="00AE4782">
        <w:t>Amendement</w:t>
      </w:r>
      <w:r w:rsidRPr="00AE4782">
        <w:tab/>
      </w:r>
      <w:r w:rsidRPr="00AE4782">
        <w:tab/>
        <w:t>51</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nonies (nieuw)</w:t>
      </w:r>
    </w:p>
    <w:p w:rsidR="0013590E" w:rsidRPr="00AE4782" w:rsidRDefault="0013590E" w:rsidP="0013590E">
      <w:pPr>
        <w:keepNext/>
      </w:pPr>
      <w:r w:rsidRPr="00AE4782">
        <w:lastRenderedPageBreak/>
        <w:t>Besluit nr. 466/2014/EU</w:t>
      </w:r>
    </w:p>
    <w:p w:rsidR="0013590E" w:rsidRPr="00AE4782" w:rsidRDefault="0013590E" w:rsidP="0013590E">
      <w:r w:rsidRPr="00AE4782">
        <w:t>Artikel 18 – lid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 xml:space="preserve">5 nonies) </w:t>
            </w:r>
            <w:r w:rsidRPr="00AE4782">
              <w:tab/>
            </w:r>
            <w:r w:rsidRPr="00AE4782">
              <w:rPr>
                <w:b/>
                <w:i/>
              </w:rPr>
              <w:t>Artikel 18, lid 3, wordt vervangen door:</w:t>
            </w:r>
          </w:p>
        </w:tc>
      </w:tr>
      <w:tr w:rsidR="0013590E" w:rsidRPr="00AE4782" w:rsidTr="00601331">
        <w:trPr>
          <w:jc w:val="center"/>
        </w:trPr>
        <w:tc>
          <w:tcPr>
            <w:tcW w:w="4876" w:type="dxa"/>
          </w:tcPr>
          <w:p w:rsidR="0013590E" w:rsidRPr="00AE4782" w:rsidRDefault="0013590E" w:rsidP="00601331">
            <w:pPr>
              <w:pStyle w:val="Normal6"/>
            </w:pPr>
            <w:r w:rsidRPr="00AE4782">
              <w:t xml:space="preserve">"3. </w:t>
            </w:r>
            <w:r w:rsidRPr="00AE4782">
              <w:tab/>
              <w:t xml:space="preserve">De in </w:t>
            </w:r>
            <w:r w:rsidRPr="00AE4782">
              <w:rPr>
                <w:b/>
                <w:i/>
              </w:rPr>
              <w:t>artikel</w:t>
            </w:r>
            <w:r w:rsidRPr="00AE4782">
              <w:t> 4 bedoelde bevoegdheidsdelegatie kan te allen tijde door het Europees Parlement of door de Raad worden ingetrokken. Het besluit tot intrekking beëindigt de delegatie van de in dat besluit bepaalde bevoegdheid. Het besluit treedt in werking op de dag volgend op de bekendmaking ervan in het Publicatieblad van de Europese Unie of op een in het besluit genoemde latere datum. Het laat de geldigheid van de reeds van kracht zijnde gedelegeerde handelingen onverlet.</w:t>
            </w:r>
          </w:p>
        </w:tc>
        <w:tc>
          <w:tcPr>
            <w:tcW w:w="4876" w:type="dxa"/>
          </w:tcPr>
          <w:p w:rsidR="0013590E" w:rsidRPr="00AE4782" w:rsidRDefault="0013590E" w:rsidP="00601331">
            <w:pPr>
              <w:pStyle w:val="Normal6"/>
              <w:rPr>
                <w:szCs w:val="24"/>
              </w:rPr>
            </w:pPr>
            <w:r w:rsidRPr="00AE4782">
              <w:t xml:space="preserve">"3. </w:t>
            </w:r>
            <w:r w:rsidRPr="00AE4782">
              <w:tab/>
              <w:t xml:space="preserve">De in </w:t>
            </w:r>
            <w:r w:rsidRPr="00AE4782">
              <w:rPr>
                <w:b/>
                <w:i/>
              </w:rPr>
              <w:t>de artikelen</w:t>
            </w:r>
            <w:r w:rsidRPr="00AE4782">
              <w:t> 4</w:t>
            </w:r>
            <w:r w:rsidRPr="00AE4782">
              <w:rPr>
                <w:b/>
                <w:i/>
              </w:rPr>
              <w:t xml:space="preserve"> en 5</w:t>
            </w:r>
            <w:r w:rsidRPr="00AE4782">
              <w:t xml:space="preserve"> bedoelde bevoegdheidsdelegatie kan te allen tijde door het Europees Parlement of door de Raad worden ingetrokken. Het besluit tot intrekking beëindigt de delegatie van de in dat besluit bepaalde bevoegdheid. Het besluit treedt in werking op de dag volgend op de bekendmaking ervan in het Publicatieblad van de Europese Unie of op een in het besluit genoemde latere datum. Het laat de geldigheid van de reeds van kracht zijnde gedelegeerde handelingen onverlet.</w:t>
            </w:r>
          </w:p>
        </w:tc>
      </w:tr>
    </w:tbl>
    <w:p w:rsidR="0013590E" w:rsidRPr="00AE4782" w:rsidRDefault="0013590E" w:rsidP="0013590E">
      <w:pPr>
        <w:pStyle w:val="AMNumberTabs"/>
        <w:keepNext/>
      </w:pPr>
      <w:r w:rsidRPr="00AE4782">
        <w:t>Amendement</w:t>
      </w:r>
      <w:r w:rsidRPr="00AE4782">
        <w:tab/>
      </w:r>
      <w:r w:rsidRPr="00AE4782">
        <w:tab/>
        <w:t>52</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 alinea 1 – punt 5 decies (nieuw)</w:t>
      </w:r>
    </w:p>
    <w:p w:rsidR="0013590E" w:rsidRPr="00AE4782" w:rsidRDefault="0013590E" w:rsidP="0013590E">
      <w:pPr>
        <w:keepNext/>
      </w:pPr>
      <w:r w:rsidRPr="00AE4782">
        <w:t>Besluit nr. 466/2014/EU</w:t>
      </w:r>
    </w:p>
    <w:p w:rsidR="0013590E" w:rsidRPr="00AE4782" w:rsidRDefault="0013590E" w:rsidP="0013590E">
      <w:r w:rsidRPr="00AE4782">
        <w:t>Artikel 18 – lid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tcPr>
          <w:p w:rsidR="0013590E" w:rsidRPr="00AE4782" w:rsidRDefault="0013590E" w:rsidP="00601331">
            <w:pPr>
              <w:pStyle w:val="ColumnHeading"/>
              <w:keepNext/>
            </w:pPr>
            <w:r w:rsidRPr="00AE4782">
              <w:t>Bestaande tekst</w:t>
            </w:r>
          </w:p>
        </w:tc>
        <w:tc>
          <w:tcPr>
            <w:tcW w:w="4876" w:type="dxa"/>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rPr>
                <w:szCs w:val="24"/>
              </w:rPr>
            </w:pPr>
            <w:r w:rsidRPr="00AE4782">
              <w:rPr>
                <w:b/>
                <w:i/>
              </w:rPr>
              <w:t>5 decies)</w:t>
            </w:r>
            <w:r w:rsidRPr="00AE4782">
              <w:tab/>
            </w:r>
            <w:r w:rsidRPr="00AE4782">
              <w:rPr>
                <w:b/>
                <w:i/>
              </w:rPr>
              <w:t>Artikel 18, lid 5, wordt vervangen door:</w:t>
            </w:r>
          </w:p>
        </w:tc>
      </w:tr>
      <w:tr w:rsidR="0013590E" w:rsidRPr="00AE4782" w:rsidTr="00601331">
        <w:trPr>
          <w:jc w:val="center"/>
        </w:trPr>
        <w:tc>
          <w:tcPr>
            <w:tcW w:w="4876" w:type="dxa"/>
          </w:tcPr>
          <w:p w:rsidR="0013590E" w:rsidRPr="00AE4782" w:rsidRDefault="0013590E" w:rsidP="00601331">
            <w:pPr>
              <w:pStyle w:val="Normal6"/>
            </w:pPr>
            <w:r w:rsidRPr="00AE4782">
              <w:t xml:space="preserve">"5. </w:t>
            </w:r>
            <w:r w:rsidRPr="00AE4782">
              <w:tab/>
              <w:t xml:space="preserve">Een overeenkomstig </w:t>
            </w:r>
            <w:r w:rsidRPr="00AE4782">
              <w:rPr>
                <w:b/>
                <w:i/>
              </w:rPr>
              <w:t>artikel </w:t>
            </w:r>
            <w:r w:rsidRPr="00AE4782">
              <w:t>4 vastgestelde gedelegeerde handeling treedt pas in werking indien het Europees Parlement noch de Raad binnen twee maanden na kennisgeving van die handeling aan het Europees Parlement en de Raad bezwaar heeft gemaakt, of indien het Europees Parlement en de Raad, vóór het verstrijken van die periode, aan de Commissie hebben meegedeeld dat zij geen bezwaar zullen maken. Die termijn wordt op initiatief van het Europees Parlement of de Raad met twee maanden verlengd.</w:t>
            </w:r>
            <w:r w:rsidR="00DD5C32" w:rsidRPr="00AE4782">
              <w:t>”</w:t>
            </w:r>
          </w:p>
        </w:tc>
        <w:tc>
          <w:tcPr>
            <w:tcW w:w="4876" w:type="dxa"/>
          </w:tcPr>
          <w:p w:rsidR="0013590E" w:rsidRPr="00AE4782" w:rsidRDefault="0013590E" w:rsidP="00601331">
            <w:pPr>
              <w:pStyle w:val="Normal6"/>
              <w:rPr>
                <w:szCs w:val="24"/>
              </w:rPr>
            </w:pPr>
            <w:r w:rsidRPr="00AE4782">
              <w:t xml:space="preserve">"5. </w:t>
            </w:r>
            <w:r w:rsidRPr="00AE4782">
              <w:tab/>
              <w:t xml:space="preserve">Een overeenkomstig </w:t>
            </w:r>
            <w:r w:rsidRPr="00AE4782">
              <w:rPr>
                <w:b/>
                <w:i/>
              </w:rPr>
              <w:t xml:space="preserve">de artikelen </w:t>
            </w:r>
            <w:r w:rsidRPr="00AE4782">
              <w:t>4</w:t>
            </w:r>
            <w:r w:rsidRPr="00AE4782">
              <w:rPr>
                <w:b/>
                <w:i/>
              </w:rPr>
              <w:t xml:space="preserve"> en 5</w:t>
            </w:r>
            <w:r w:rsidRPr="00AE4782">
              <w:t xml:space="preserve"> vastgestelde gedelegeerde handeling treedt pas in werking indien het Europees Parlement noch de Raad binnen twee maanden na kennisgeving van die handeling aan het Europees Parlement en de Raad bezwaar heeft gemaakt, of indien het Europees Parlement en de Raad, vóór het verstrijken van die periode, aan de Commissie hebben meegedeeld dat zij geen bezwaar zullen maken. Die termijn wordt op initiatief van het Europees Parlement of de Raad met twee maanden verlengd.”</w:t>
            </w:r>
          </w:p>
        </w:tc>
      </w:tr>
    </w:tbl>
    <w:p w:rsidR="0013590E" w:rsidRPr="00AE4782" w:rsidRDefault="0013590E" w:rsidP="0013590E">
      <w:pPr>
        <w:pStyle w:val="AMNumberTabs"/>
      </w:pPr>
      <w:r w:rsidRPr="00AE4782">
        <w:t xml:space="preserve">Amendement </w:t>
      </w:r>
      <w:r w:rsidRPr="00AE4782">
        <w:tab/>
      </w:r>
      <w:r w:rsidRPr="00AE4782">
        <w:tab/>
        <w:t>53</w:t>
      </w:r>
    </w:p>
    <w:p w:rsidR="0013590E" w:rsidRPr="00AE4782" w:rsidRDefault="0013590E" w:rsidP="0013590E">
      <w:pPr>
        <w:pStyle w:val="NormalBold12b"/>
      </w:pPr>
      <w:r w:rsidRPr="00AE4782">
        <w:lastRenderedPageBreak/>
        <w:t>Voorstel voor een besluit</w:t>
      </w:r>
    </w:p>
    <w:p w:rsidR="0013590E" w:rsidRPr="00AE4782" w:rsidRDefault="0013590E" w:rsidP="0013590E">
      <w:pPr>
        <w:pStyle w:val="NormalBold"/>
      </w:pPr>
      <w:r w:rsidRPr="00AE4782">
        <w:t xml:space="preserve"> Bijlage I </w:t>
      </w:r>
    </w:p>
    <w:p w:rsidR="0013590E" w:rsidRPr="00AE4782" w:rsidRDefault="0013590E" w:rsidP="0013590E">
      <w:r w:rsidRPr="00AE4782">
        <w:t>Besluit nr. 466/2014/EU</w:t>
      </w:r>
    </w:p>
    <w:p w:rsidR="0013590E" w:rsidRPr="00AE4782" w:rsidRDefault="0013590E" w:rsidP="0013590E">
      <w:r w:rsidRPr="00AE4782">
        <w:t>Bijlage I – alinea -1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trHeight w:hRule="exact" w:val="240"/>
          <w:jc w:val="center"/>
        </w:trPr>
        <w:tc>
          <w:tcPr>
            <w:tcW w:w="9752" w:type="dxa"/>
            <w:gridSpan w:val="2"/>
          </w:tcPr>
          <w:p w:rsidR="0013590E" w:rsidRPr="00AE4782" w:rsidRDefault="0013590E" w:rsidP="00601331"/>
        </w:tc>
      </w:tr>
      <w:tr w:rsidR="0013590E" w:rsidRPr="00AE4782" w:rsidTr="00601331">
        <w:trPr>
          <w:trHeight w:val="240"/>
          <w:jc w:val="center"/>
        </w:trPr>
        <w:tc>
          <w:tcPr>
            <w:tcW w:w="4876" w:type="dxa"/>
          </w:tcPr>
          <w:p w:rsidR="0013590E" w:rsidRPr="00AE4782" w:rsidRDefault="0013590E" w:rsidP="00601331">
            <w:pPr>
              <w:pStyle w:val="ColumnHeading"/>
            </w:pPr>
            <w:r w:rsidRPr="00AE4782">
              <w:t>Door de Commissie voorgestelde tekst</w:t>
            </w:r>
          </w:p>
        </w:tc>
        <w:tc>
          <w:tcPr>
            <w:tcW w:w="4876" w:type="dxa"/>
          </w:tcPr>
          <w:p w:rsidR="0013590E" w:rsidRPr="00AE4782" w:rsidRDefault="0013590E" w:rsidP="00601331">
            <w:pPr>
              <w:pStyle w:val="ColumnHeading"/>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tcPr>
          <w:p w:rsidR="0013590E" w:rsidRPr="00AE4782" w:rsidRDefault="0013590E" w:rsidP="00601331">
            <w:pPr>
              <w:pStyle w:val="Normal6"/>
            </w:pPr>
            <w:r w:rsidRPr="00AE4782">
              <w:rPr>
                <w:b/>
                <w:i/>
              </w:rPr>
              <w:t>De bestuursorganen van de EIB maken met name gebruik van deze mogelijkheid van een nieuwe toewijzing om een continue focus mogelijk te maken van de EU-garantie op prioritaire landen met een hoger risicoprofiel dan degene die worden gedekt uit hoofde van de eigen risicoleningen van de EIB. De Commissie stelt het Parlement en de Raad geregeld op de hoogte van deze nieuwe toewijzingen, inclusief een vergelijking met het beleid van de EIB inzake de toewijzing van risicoleningen buiten de Unie.</w:t>
            </w:r>
          </w:p>
        </w:tc>
      </w:tr>
    </w:tbl>
    <w:p w:rsidR="0013590E" w:rsidRPr="00AE4782" w:rsidRDefault="0013590E" w:rsidP="0013590E">
      <w:pPr>
        <w:pStyle w:val="AMNumberTabs"/>
        <w:keepNext/>
      </w:pPr>
      <w:r w:rsidRPr="00AE4782">
        <w:t>Amendement</w:t>
      </w:r>
      <w:r w:rsidRPr="00AE4782">
        <w:tab/>
      </w:r>
      <w:r w:rsidRPr="00AE4782">
        <w:tab/>
        <w:t>54</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punt B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B.</w:t>
            </w:r>
            <w:r w:rsidRPr="00AE4782">
              <w:tab/>
              <w:t xml:space="preserve">Nabuurschaps- en partnerschapslanden: </w:t>
            </w:r>
            <w:r w:rsidRPr="00AE4782">
              <w:rPr>
                <w:b/>
                <w:i/>
              </w:rPr>
              <w:t>18</w:t>
            </w:r>
            <w:r w:rsidRPr="00AE4782">
              <w:t> </w:t>
            </w:r>
            <w:r w:rsidRPr="00AE4782">
              <w:rPr>
                <w:b/>
                <w:i/>
              </w:rPr>
              <w:t>374</w:t>
            </w:r>
            <w:r w:rsidRPr="00AE4782">
              <w:t> 000 000 EUR, uitgesplitst in de volgende indicatieve subplafonds:</w:t>
            </w:r>
          </w:p>
        </w:tc>
        <w:tc>
          <w:tcPr>
            <w:tcW w:w="4876" w:type="dxa"/>
            <w:hideMark/>
          </w:tcPr>
          <w:p w:rsidR="0013590E" w:rsidRPr="00AE4782" w:rsidRDefault="0013590E" w:rsidP="00601331">
            <w:pPr>
              <w:pStyle w:val="Normal6"/>
              <w:rPr>
                <w:szCs w:val="24"/>
              </w:rPr>
            </w:pPr>
            <w:r w:rsidRPr="00AE4782">
              <w:t>B.</w:t>
            </w:r>
            <w:r w:rsidRPr="00AE4782">
              <w:tab/>
              <w:t xml:space="preserve">Nabuurschaps- en partnerschapslanden: </w:t>
            </w:r>
            <w:r w:rsidRPr="00AE4782">
              <w:rPr>
                <w:b/>
                <w:i/>
              </w:rPr>
              <w:t>23</w:t>
            </w:r>
            <w:r w:rsidRPr="00AE4782">
              <w:t> </w:t>
            </w:r>
            <w:r w:rsidRPr="00AE4782">
              <w:rPr>
                <w:b/>
                <w:i/>
              </w:rPr>
              <w:t>145</w:t>
            </w:r>
            <w:r w:rsidRPr="00AE4782">
              <w:t> 000 000 EUR, uitgesplitst in de volgende indicatieve subplafonds:</w:t>
            </w:r>
          </w:p>
        </w:tc>
      </w:tr>
    </w:tbl>
    <w:p w:rsidR="0013590E" w:rsidRPr="00AE4782" w:rsidRDefault="0013590E" w:rsidP="0013590E">
      <w:pPr>
        <w:pStyle w:val="AMNumberTabs"/>
        <w:keepNext/>
      </w:pPr>
      <w:r w:rsidRPr="00AE4782">
        <w:t>Amendement</w:t>
      </w:r>
      <w:r w:rsidRPr="00AE4782">
        <w:tab/>
      </w:r>
      <w:r w:rsidRPr="00AE4782">
        <w:tab/>
        <w:t>55</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letter B – punt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i)</w:t>
            </w:r>
            <w:r w:rsidRPr="00AE4782">
              <w:tab/>
              <w:t xml:space="preserve">Middellandse Zeegebied: </w:t>
            </w:r>
            <w:r w:rsidRPr="00AE4782">
              <w:rPr>
                <w:b/>
                <w:i/>
              </w:rPr>
              <w:t>12 366</w:t>
            </w:r>
            <w:r w:rsidRPr="00AE4782">
              <w:t xml:space="preserve"> 000 000 EUR, waarvan </w:t>
            </w:r>
            <w:r w:rsidRPr="00AE4782">
              <w:rPr>
                <w:b/>
                <w:i/>
              </w:rPr>
              <w:t>10 506</w:t>
            </w:r>
            <w:r w:rsidRPr="00AE4782">
              <w:t xml:space="preserve"> 000 000 EUR onder het algemene mandaat en 1 860 000 000 EUR onder het mandaat voor leningen aan de particuliere sector</w:t>
            </w:r>
            <w:r w:rsidRPr="00AE4782">
              <w:rPr>
                <w:b/>
                <w:i/>
              </w:rPr>
              <w:t>.</w:t>
            </w:r>
          </w:p>
        </w:tc>
        <w:tc>
          <w:tcPr>
            <w:tcW w:w="4876" w:type="dxa"/>
            <w:hideMark/>
          </w:tcPr>
          <w:p w:rsidR="0013590E" w:rsidRPr="00AE4782" w:rsidRDefault="0013590E" w:rsidP="00601331">
            <w:pPr>
              <w:pStyle w:val="Normal6"/>
              <w:rPr>
                <w:szCs w:val="24"/>
              </w:rPr>
            </w:pPr>
            <w:r w:rsidRPr="00AE4782">
              <w:t>i)</w:t>
            </w:r>
            <w:r w:rsidRPr="00AE4782">
              <w:tab/>
              <w:t xml:space="preserve">Middellandse Zeegebied: </w:t>
            </w:r>
            <w:r w:rsidRPr="00AE4782">
              <w:rPr>
                <w:b/>
                <w:i/>
              </w:rPr>
              <w:t>13 607</w:t>
            </w:r>
            <w:r w:rsidRPr="00AE4782">
              <w:t xml:space="preserve"> 000 000 EUR, waarvan </w:t>
            </w:r>
            <w:r w:rsidRPr="00AE4782">
              <w:rPr>
                <w:b/>
                <w:i/>
              </w:rPr>
              <w:t>11 747</w:t>
            </w:r>
            <w:r w:rsidRPr="00AE4782">
              <w:t xml:space="preserve"> 000 000 EUR onder het algemene mandaat en 1 860 000 000 EUR onder het mandaat voor leningen aan de particuliere sector</w:t>
            </w:r>
          </w:p>
        </w:tc>
      </w:tr>
    </w:tbl>
    <w:p w:rsidR="0013590E" w:rsidRPr="00AE4782" w:rsidRDefault="0013590E" w:rsidP="0013590E">
      <w:pPr>
        <w:pStyle w:val="AMNumberTabs"/>
        <w:keepNext/>
      </w:pPr>
      <w:r w:rsidRPr="00AE4782">
        <w:lastRenderedPageBreak/>
        <w:t>Amendement</w:t>
      </w:r>
      <w:r w:rsidRPr="00AE4782">
        <w:tab/>
      </w:r>
      <w:r w:rsidRPr="00AE4782">
        <w:tab/>
        <w:t>56</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letter B – punt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ii)</w:t>
            </w:r>
            <w:r w:rsidRPr="00AE4782">
              <w:tab/>
              <w:t xml:space="preserve">Oost-Europa, zuidelijke Kaukasus en Rusland: </w:t>
            </w:r>
            <w:r w:rsidRPr="00AE4782">
              <w:rPr>
                <w:b/>
                <w:i/>
              </w:rPr>
              <w:t>6 008</w:t>
            </w:r>
            <w:r w:rsidRPr="00AE4782">
              <w:t xml:space="preserve"> 000 000 EUR;</w:t>
            </w:r>
          </w:p>
        </w:tc>
        <w:tc>
          <w:tcPr>
            <w:tcW w:w="4876" w:type="dxa"/>
            <w:hideMark/>
          </w:tcPr>
          <w:p w:rsidR="0013590E" w:rsidRPr="00AE4782" w:rsidRDefault="0013590E" w:rsidP="00601331">
            <w:pPr>
              <w:pStyle w:val="Normal6"/>
              <w:rPr>
                <w:szCs w:val="24"/>
              </w:rPr>
            </w:pPr>
            <w:r w:rsidRPr="00AE4782">
              <w:t>ii)</w:t>
            </w:r>
            <w:r w:rsidRPr="00AE4782">
              <w:tab/>
              <w:t xml:space="preserve">Oost-Europa, zuidelijke Kaukasus en Rusland: </w:t>
            </w:r>
            <w:r w:rsidRPr="00AE4782">
              <w:rPr>
                <w:b/>
                <w:i/>
              </w:rPr>
              <w:t>9 538</w:t>
            </w:r>
            <w:r w:rsidRPr="00AE4782">
              <w:t xml:space="preserve"> 000 000 EUR;</w:t>
            </w:r>
          </w:p>
        </w:tc>
      </w:tr>
    </w:tbl>
    <w:p w:rsidR="0013590E" w:rsidRPr="00AE4782" w:rsidRDefault="0013590E" w:rsidP="0013590E">
      <w:pPr>
        <w:pStyle w:val="AMNumberTabs"/>
        <w:keepNext/>
      </w:pPr>
      <w:r w:rsidRPr="00AE4782">
        <w:t>Amendement</w:t>
      </w:r>
      <w:r w:rsidRPr="00AE4782">
        <w:tab/>
      </w:r>
      <w:r w:rsidRPr="00AE4782">
        <w:tab/>
        <w:t>57</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punt C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C.</w:t>
            </w:r>
            <w:r w:rsidRPr="00AE4782">
              <w:tab/>
              <w:t xml:space="preserve">Azië en Latijns-Amerika: </w:t>
            </w:r>
            <w:r w:rsidRPr="00AE4782">
              <w:rPr>
                <w:b/>
                <w:i/>
              </w:rPr>
              <w:t>3</w:t>
            </w:r>
            <w:r w:rsidRPr="00AE4782">
              <w:t> </w:t>
            </w:r>
            <w:r w:rsidRPr="00AE4782">
              <w:rPr>
                <w:b/>
                <w:i/>
              </w:rPr>
              <w:t>785</w:t>
            </w:r>
            <w:r w:rsidRPr="00AE4782">
              <w:t> 000 000</w:t>
            </w:r>
            <w:r w:rsidRPr="00AE4782">
              <w:rPr>
                <w:b/>
                <w:i/>
              </w:rPr>
              <w:t xml:space="preserve"> </w:t>
            </w:r>
            <w:r w:rsidRPr="00AE4782">
              <w:t>EUR, uitgesplitst in de volgende subplafonds:</w:t>
            </w:r>
          </w:p>
        </w:tc>
        <w:tc>
          <w:tcPr>
            <w:tcW w:w="4876" w:type="dxa"/>
            <w:hideMark/>
          </w:tcPr>
          <w:p w:rsidR="0013590E" w:rsidRPr="00AE4782" w:rsidRDefault="0013590E" w:rsidP="00601331">
            <w:pPr>
              <w:pStyle w:val="Normal6"/>
              <w:rPr>
                <w:szCs w:val="24"/>
              </w:rPr>
            </w:pPr>
            <w:r w:rsidRPr="00AE4782">
              <w:t>C.</w:t>
            </w:r>
            <w:r w:rsidRPr="00AE4782">
              <w:tab/>
              <w:t xml:space="preserve">Azië en Latijns-Amerika: </w:t>
            </w:r>
            <w:r w:rsidRPr="00AE4782">
              <w:rPr>
                <w:b/>
                <w:i/>
              </w:rPr>
              <w:t>5</w:t>
            </w:r>
            <w:r w:rsidRPr="00AE4782">
              <w:t> </w:t>
            </w:r>
            <w:r w:rsidRPr="00AE4782">
              <w:rPr>
                <w:b/>
                <w:i/>
              </w:rPr>
              <w:t>130</w:t>
            </w:r>
            <w:r w:rsidRPr="00AE4782">
              <w:t> 000 000</w:t>
            </w:r>
            <w:r w:rsidRPr="00AE4782">
              <w:rPr>
                <w:b/>
                <w:i/>
              </w:rPr>
              <w:t> </w:t>
            </w:r>
            <w:r w:rsidRPr="00AE4782">
              <w:t>EUR, uitgesplitst in de volgende</w:t>
            </w:r>
            <w:r w:rsidRPr="00AE4782">
              <w:rPr>
                <w:b/>
                <w:i/>
              </w:rPr>
              <w:t xml:space="preserve"> indicatieve</w:t>
            </w:r>
            <w:r w:rsidRPr="00AE4782">
              <w:t xml:space="preserve"> subplafonds:</w:t>
            </w:r>
          </w:p>
        </w:tc>
      </w:tr>
    </w:tbl>
    <w:p w:rsidR="0013590E" w:rsidRPr="00AE4782" w:rsidRDefault="0013590E" w:rsidP="0013590E">
      <w:pPr>
        <w:pStyle w:val="AMNumberTabs"/>
        <w:keepNext/>
      </w:pPr>
      <w:r w:rsidRPr="00AE4782">
        <w:t>Amendement</w:t>
      </w:r>
      <w:r w:rsidRPr="00AE4782">
        <w:tab/>
      </w:r>
      <w:r w:rsidRPr="00AE4782">
        <w:tab/>
        <w:t>58</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letter C – punt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i)</w:t>
            </w:r>
            <w:r w:rsidRPr="00AE4782">
              <w:tab/>
              <w:t xml:space="preserve">Latijns-Amerika: </w:t>
            </w:r>
            <w:r w:rsidRPr="00AE4782">
              <w:rPr>
                <w:b/>
                <w:i/>
              </w:rPr>
              <w:t>2 543</w:t>
            </w:r>
            <w:r w:rsidRPr="00AE4782">
              <w:t xml:space="preserve"> 000 000 EUR;</w:t>
            </w:r>
            <w:r w:rsidRPr="00AE4782">
              <w:rPr>
                <w:b/>
                <w:i/>
              </w:rPr>
              <w:t xml:space="preserve"> </w:t>
            </w:r>
          </w:p>
        </w:tc>
        <w:tc>
          <w:tcPr>
            <w:tcW w:w="4876" w:type="dxa"/>
            <w:hideMark/>
          </w:tcPr>
          <w:p w:rsidR="0013590E" w:rsidRPr="00AE4782" w:rsidRDefault="0013590E" w:rsidP="00601331">
            <w:pPr>
              <w:pStyle w:val="Normal6"/>
              <w:rPr>
                <w:szCs w:val="24"/>
              </w:rPr>
            </w:pPr>
            <w:r w:rsidRPr="00AE4782">
              <w:t>i)</w:t>
            </w:r>
            <w:r w:rsidRPr="00AE4782">
              <w:tab/>
              <w:t xml:space="preserve">Latijns-Amerika: </w:t>
            </w:r>
            <w:r w:rsidRPr="00AE4782">
              <w:rPr>
                <w:b/>
                <w:i/>
              </w:rPr>
              <w:t>3 318</w:t>
            </w:r>
            <w:r w:rsidRPr="00AE4782">
              <w:t xml:space="preserve"> 000 000 EUR;</w:t>
            </w:r>
          </w:p>
        </w:tc>
      </w:tr>
    </w:tbl>
    <w:p w:rsidR="0013590E" w:rsidRPr="00AE4782" w:rsidRDefault="0013590E" w:rsidP="0013590E">
      <w:pPr>
        <w:pStyle w:val="AMNumberTabs"/>
        <w:keepNext/>
      </w:pPr>
      <w:r w:rsidRPr="00AE4782">
        <w:t>Amendement</w:t>
      </w:r>
      <w:r w:rsidRPr="00AE4782">
        <w:tab/>
      </w:r>
      <w:r w:rsidRPr="00AE4782">
        <w:tab/>
        <w:t>59</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punt C – punt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ii)</w:t>
            </w:r>
            <w:r w:rsidRPr="00AE4782">
              <w:tab/>
              <w:t xml:space="preserve">Azië: 1 </w:t>
            </w:r>
            <w:r w:rsidRPr="00AE4782">
              <w:rPr>
                <w:b/>
                <w:i/>
              </w:rPr>
              <w:t>040</w:t>
            </w:r>
            <w:r w:rsidRPr="00AE4782">
              <w:t xml:space="preserve"> 000 000 EUR;</w:t>
            </w:r>
            <w:r w:rsidRPr="00AE4782">
              <w:rPr>
                <w:b/>
                <w:i/>
              </w:rPr>
              <w:t xml:space="preserve"> </w:t>
            </w:r>
          </w:p>
        </w:tc>
        <w:tc>
          <w:tcPr>
            <w:tcW w:w="4876" w:type="dxa"/>
            <w:hideMark/>
          </w:tcPr>
          <w:p w:rsidR="0013590E" w:rsidRPr="00AE4782" w:rsidRDefault="0013590E" w:rsidP="00601331">
            <w:pPr>
              <w:pStyle w:val="Normal6"/>
              <w:rPr>
                <w:szCs w:val="24"/>
              </w:rPr>
            </w:pPr>
            <w:r w:rsidRPr="00AE4782">
              <w:t>ii)</w:t>
            </w:r>
            <w:r w:rsidRPr="00AE4782">
              <w:tab/>
              <w:t xml:space="preserve">Azië: 1 </w:t>
            </w:r>
            <w:r w:rsidRPr="00AE4782">
              <w:rPr>
                <w:b/>
                <w:i/>
              </w:rPr>
              <w:t>510</w:t>
            </w:r>
            <w:r w:rsidRPr="00AE4782">
              <w:t xml:space="preserve"> 000 000 EUR;</w:t>
            </w:r>
          </w:p>
        </w:tc>
      </w:tr>
    </w:tbl>
    <w:p w:rsidR="0013590E" w:rsidRPr="00AE4782" w:rsidRDefault="0013590E" w:rsidP="0013590E">
      <w:pPr>
        <w:pStyle w:val="AMNumberTabs"/>
        <w:keepNext/>
      </w:pPr>
      <w:r w:rsidRPr="00AE4782">
        <w:lastRenderedPageBreak/>
        <w:t>Amendement</w:t>
      </w:r>
      <w:r w:rsidRPr="00AE4782">
        <w:tab/>
      </w:r>
      <w:r w:rsidRPr="00AE4782">
        <w:tab/>
        <w:t>60</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8E53C5" w:rsidRDefault="0013590E" w:rsidP="0013590E">
      <w:pPr>
        <w:rPr>
          <w:lang w:val="da-DK"/>
        </w:rPr>
      </w:pPr>
      <w:r w:rsidRPr="008E53C5">
        <w:rPr>
          <w:lang w:val="da-DK"/>
        </w:rPr>
        <w:t>Bijlage I – letter C – punt iii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8E53C5" w:rsidTr="00601331">
        <w:trPr>
          <w:jc w:val="center"/>
        </w:trPr>
        <w:tc>
          <w:tcPr>
            <w:tcW w:w="9752" w:type="dxa"/>
            <w:gridSpan w:val="2"/>
          </w:tcPr>
          <w:p w:rsidR="0013590E" w:rsidRPr="008E53C5" w:rsidRDefault="0013590E" w:rsidP="00601331">
            <w:pPr>
              <w:keepNext/>
              <w:rPr>
                <w:lang w:val="da-DK"/>
              </w:rPr>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iii)</w:t>
            </w:r>
            <w:r w:rsidRPr="00AE4782">
              <w:tab/>
              <w:t xml:space="preserve">Centraal-Azië: </w:t>
            </w:r>
            <w:r w:rsidRPr="00AE4782">
              <w:rPr>
                <w:b/>
                <w:i/>
              </w:rPr>
              <w:t>202</w:t>
            </w:r>
            <w:r w:rsidRPr="00AE4782">
              <w:t xml:space="preserve"> 000 000 EUR;</w:t>
            </w:r>
            <w:r w:rsidRPr="00AE4782">
              <w:rPr>
                <w:b/>
                <w:i/>
              </w:rPr>
              <w:t xml:space="preserve"> </w:t>
            </w:r>
          </w:p>
        </w:tc>
        <w:tc>
          <w:tcPr>
            <w:tcW w:w="4876" w:type="dxa"/>
            <w:hideMark/>
          </w:tcPr>
          <w:p w:rsidR="0013590E" w:rsidRPr="00AE4782" w:rsidRDefault="0013590E" w:rsidP="00601331">
            <w:pPr>
              <w:pStyle w:val="Normal6"/>
              <w:rPr>
                <w:szCs w:val="24"/>
              </w:rPr>
            </w:pPr>
            <w:r w:rsidRPr="00AE4782">
              <w:t>iii)</w:t>
            </w:r>
            <w:r w:rsidRPr="00AE4782">
              <w:tab/>
              <w:t xml:space="preserve">Centraal-Azië: </w:t>
            </w:r>
            <w:r w:rsidRPr="00AE4782">
              <w:rPr>
                <w:b/>
                <w:i/>
              </w:rPr>
              <w:t>302</w:t>
            </w:r>
            <w:r w:rsidRPr="00AE4782">
              <w:t xml:space="preserve"> 000 000 EUR;</w:t>
            </w:r>
          </w:p>
        </w:tc>
      </w:tr>
    </w:tbl>
    <w:p w:rsidR="0013590E" w:rsidRPr="00AE4782" w:rsidRDefault="0013590E" w:rsidP="0013590E">
      <w:pPr>
        <w:pStyle w:val="AMNumberTabs"/>
        <w:keepNext/>
      </w:pPr>
      <w:r w:rsidRPr="00AE4782">
        <w:t>Amendement</w:t>
      </w:r>
      <w:r w:rsidRPr="00AE4782">
        <w:tab/>
      </w:r>
      <w:r w:rsidRPr="00AE4782">
        <w:tab/>
        <w:t>61</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Bijlage I</w:t>
      </w:r>
    </w:p>
    <w:p w:rsidR="0013590E" w:rsidRPr="00AE4782" w:rsidRDefault="0013590E" w:rsidP="0013590E">
      <w:pPr>
        <w:keepNext/>
      </w:pPr>
      <w:r w:rsidRPr="00AE4782">
        <w:t>Besluit nr. 466/2014/EU</w:t>
      </w:r>
    </w:p>
    <w:p w:rsidR="0013590E" w:rsidRPr="00AE4782" w:rsidRDefault="0013590E" w:rsidP="0013590E">
      <w:r w:rsidRPr="00AE4782">
        <w:t>Bijlage I – letter D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hideMark/>
          </w:tcPr>
          <w:p w:rsidR="0013590E" w:rsidRPr="00AE4782" w:rsidRDefault="0013590E" w:rsidP="00601331">
            <w:pPr>
              <w:pStyle w:val="Normal6"/>
            </w:pPr>
            <w:r w:rsidRPr="00AE4782">
              <w:t xml:space="preserve">Zuid-Afrika: </w:t>
            </w:r>
            <w:r w:rsidRPr="00AE4782">
              <w:rPr>
                <w:b/>
                <w:i/>
              </w:rPr>
              <w:t>462</w:t>
            </w:r>
            <w:r w:rsidRPr="00AE4782">
              <w:t xml:space="preserve"> 000 000 EUR</w:t>
            </w:r>
          </w:p>
        </w:tc>
        <w:tc>
          <w:tcPr>
            <w:tcW w:w="4876" w:type="dxa"/>
            <w:hideMark/>
          </w:tcPr>
          <w:p w:rsidR="0013590E" w:rsidRPr="00AE4782" w:rsidRDefault="0013590E" w:rsidP="00601331">
            <w:pPr>
              <w:pStyle w:val="Normal6"/>
              <w:rPr>
                <w:szCs w:val="24"/>
              </w:rPr>
            </w:pPr>
            <w:r w:rsidRPr="00AE4782">
              <w:t xml:space="preserve">Zuid-Afrika: </w:t>
            </w:r>
            <w:r w:rsidRPr="00AE4782">
              <w:rPr>
                <w:b/>
                <w:i/>
              </w:rPr>
              <w:t>516</w:t>
            </w:r>
            <w:r w:rsidRPr="00AE4782">
              <w:t xml:space="preserve"> 000 000 EUR</w:t>
            </w:r>
            <w:r w:rsidRPr="00AE4782">
              <w:rPr>
                <w:b/>
                <w:i/>
              </w:rPr>
              <w:t>.</w:t>
            </w:r>
          </w:p>
        </w:tc>
      </w:tr>
    </w:tbl>
    <w:p w:rsidR="0013590E" w:rsidRPr="00AE4782" w:rsidRDefault="0013590E" w:rsidP="0013590E">
      <w:pPr>
        <w:pStyle w:val="AMNumberTabs"/>
        <w:keepNext/>
      </w:pPr>
      <w:r w:rsidRPr="00AE4782">
        <w:t>Amendement</w:t>
      </w:r>
      <w:r w:rsidRPr="00AE4782">
        <w:tab/>
      </w:r>
      <w:r w:rsidRPr="00AE4782">
        <w:tab/>
        <w:t>62</w:t>
      </w:r>
    </w:p>
    <w:p w:rsidR="0013590E" w:rsidRPr="00AE4782" w:rsidRDefault="0013590E" w:rsidP="0013590E">
      <w:pPr>
        <w:pStyle w:val="NormalBold12b"/>
        <w:keepNext/>
      </w:pPr>
      <w:r w:rsidRPr="00AE4782">
        <w:t>Voorstel voor een besluit</w:t>
      </w:r>
    </w:p>
    <w:p w:rsidR="0013590E" w:rsidRPr="00AE4782" w:rsidRDefault="0013590E" w:rsidP="0013590E">
      <w:pPr>
        <w:pStyle w:val="NormalBold"/>
      </w:pPr>
      <w:r w:rsidRPr="00AE4782">
        <w:t>Artikel 1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590E" w:rsidRPr="00AE4782" w:rsidTr="00601331">
        <w:trPr>
          <w:jc w:val="center"/>
        </w:trPr>
        <w:tc>
          <w:tcPr>
            <w:tcW w:w="9752" w:type="dxa"/>
            <w:gridSpan w:val="2"/>
          </w:tcPr>
          <w:p w:rsidR="0013590E" w:rsidRPr="00AE4782" w:rsidRDefault="0013590E" w:rsidP="00601331">
            <w:pPr>
              <w:keepNext/>
            </w:pPr>
          </w:p>
        </w:tc>
      </w:tr>
      <w:tr w:rsidR="0013590E" w:rsidRPr="00AE4782" w:rsidTr="00601331">
        <w:trPr>
          <w:jc w:val="center"/>
        </w:trPr>
        <w:tc>
          <w:tcPr>
            <w:tcW w:w="4876" w:type="dxa"/>
            <w:hideMark/>
          </w:tcPr>
          <w:p w:rsidR="0013590E" w:rsidRPr="00AE4782" w:rsidRDefault="0013590E" w:rsidP="00601331">
            <w:pPr>
              <w:pStyle w:val="ColumnHeading"/>
              <w:keepNext/>
            </w:pPr>
            <w:r w:rsidRPr="00AE4782">
              <w:t>Door de Commissie voorgestelde tekst</w:t>
            </w:r>
          </w:p>
        </w:tc>
        <w:tc>
          <w:tcPr>
            <w:tcW w:w="4876" w:type="dxa"/>
            <w:hideMark/>
          </w:tcPr>
          <w:p w:rsidR="0013590E" w:rsidRPr="00AE4782" w:rsidRDefault="0013590E" w:rsidP="00601331">
            <w:pPr>
              <w:pStyle w:val="ColumnHeading"/>
              <w:keepNext/>
            </w:pPr>
            <w:r w:rsidRPr="00AE4782">
              <w:t>Amendement</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jc w:val="center"/>
              <w:rPr>
                <w:szCs w:val="24"/>
              </w:rPr>
            </w:pPr>
            <w:r w:rsidRPr="00AE4782">
              <w:rPr>
                <w:b/>
                <w:i/>
              </w:rPr>
              <w:t>Artikel 1 bis</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jc w:val="center"/>
              <w:rPr>
                <w:szCs w:val="24"/>
              </w:rPr>
            </w:pPr>
            <w:r w:rsidRPr="00AE4782">
              <w:rPr>
                <w:b/>
                <w:i/>
              </w:rPr>
              <w:t>Overgangsbepaling</w:t>
            </w:r>
          </w:p>
        </w:tc>
      </w:tr>
      <w:tr w:rsidR="0013590E" w:rsidRPr="00AE4782" w:rsidTr="00601331">
        <w:trPr>
          <w:jc w:val="center"/>
        </w:trPr>
        <w:tc>
          <w:tcPr>
            <w:tcW w:w="4876" w:type="dxa"/>
          </w:tcPr>
          <w:p w:rsidR="0013590E" w:rsidRPr="00AE4782" w:rsidRDefault="0013590E" w:rsidP="00601331">
            <w:pPr>
              <w:pStyle w:val="Normal6"/>
            </w:pPr>
          </w:p>
        </w:tc>
        <w:tc>
          <w:tcPr>
            <w:tcW w:w="4876" w:type="dxa"/>
            <w:hideMark/>
          </w:tcPr>
          <w:p w:rsidR="0013590E" w:rsidRPr="00AE4782" w:rsidRDefault="0013590E" w:rsidP="00601331">
            <w:pPr>
              <w:pStyle w:val="Normal6"/>
              <w:rPr>
                <w:szCs w:val="24"/>
              </w:rPr>
            </w:pPr>
            <w:r w:rsidRPr="00AE4782">
              <w:rPr>
                <w:b/>
                <w:i/>
              </w:rPr>
              <w:t>De EIB mag projecten financieren die vallen onder het mandaat voor leningen aan de particuliere sector voordat het besluit hierover in werking is getreden en voordat een garantieovereenkomst werd gesloten tussen de Commissie en de EIB. Dergelijke projecten mogen onder de EU-garantiedekking vallen mits de Commissie de in de garantieovereenkomst te bepalen voorwaarden bevestigt.</w:t>
            </w:r>
          </w:p>
        </w:tc>
      </w:tr>
    </w:tbl>
    <w:p w:rsidR="00C12B0C" w:rsidRPr="00AE4782" w:rsidRDefault="00C12B0C" w:rsidP="00C12B0C">
      <w:pPr>
        <w:pStyle w:val="AMNumberTabs"/>
        <w:keepNext/>
      </w:pPr>
      <w:r w:rsidRPr="00AE4782">
        <w:t>Amendement</w:t>
      </w:r>
      <w:r w:rsidRPr="00AE4782">
        <w:tab/>
      </w:r>
      <w:r w:rsidRPr="00AE4782">
        <w:tab/>
        <w:t>63</w:t>
      </w:r>
    </w:p>
    <w:p w:rsidR="00C12B0C" w:rsidRPr="00AE4782" w:rsidRDefault="00C12B0C" w:rsidP="00C12B0C">
      <w:pPr>
        <w:pStyle w:val="NormalBold12b"/>
        <w:keepNext/>
      </w:pPr>
      <w:r w:rsidRPr="00AE4782">
        <w:t>Voorstel voor een besluit</w:t>
      </w:r>
    </w:p>
    <w:p w:rsidR="00C12B0C" w:rsidRPr="00AE4782" w:rsidRDefault="00C12B0C" w:rsidP="00C12B0C">
      <w:pPr>
        <w:pStyle w:val="NormalBold"/>
      </w:pPr>
      <w:r w:rsidRPr="00AE4782">
        <w:t>Artikel 1 – alinea 1 – punt 1</w:t>
      </w:r>
    </w:p>
    <w:p w:rsidR="00C12B0C" w:rsidRPr="00AE4782" w:rsidRDefault="00C12B0C" w:rsidP="00C12B0C">
      <w:pPr>
        <w:keepNext/>
      </w:pPr>
      <w:r w:rsidRPr="00AE4782">
        <w:t>Besluit nr. 466/2014/EU</w:t>
      </w:r>
    </w:p>
    <w:p w:rsidR="00C12B0C" w:rsidRPr="00AE4782" w:rsidRDefault="00C12B0C" w:rsidP="00C12B0C">
      <w:r w:rsidRPr="00AE4782">
        <w:t>Artikel 2 – lid 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2B0C" w:rsidRPr="00AE4782" w:rsidTr="00B26A25">
        <w:trPr>
          <w:jc w:val="center"/>
        </w:trPr>
        <w:tc>
          <w:tcPr>
            <w:tcW w:w="9752" w:type="dxa"/>
            <w:gridSpan w:val="2"/>
          </w:tcPr>
          <w:p w:rsidR="00C12B0C" w:rsidRPr="00AE4782" w:rsidRDefault="00C12B0C" w:rsidP="00B26A25">
            <w:pPr>
              <w:keepNext/>
            </w:pPr>
          </w:p>
        </w:tc>
      </w:tr>
      <w:tr w:rsidR="00C12B0C" w:rsidRPr="00AE4782" w:rsidTr="00B26A25">
        <w:trPr>
          <w:jc w:val="center"/>
        </w:trPr>
        <w:tc>
          <w:tcPr>
            <w:tcW w:w="4876" w:type="dxa"/>
          </w:tcPr>
          <w:p w:rsidR="00C12B0C" w:rsidRPr="00AE4782" w:rsidRDefault="00C12B0C" w:rsidP="00B26A25">
            <w:pPr>
              <w:pStyle w:val="ColumnHeading"/>
              <w:keepNext/>
            </w:pPr>
            <w:r w:rsidRPr="00AE4782">
              <w:t>Door de Commissie voorgestelde tekst</w:t>
            </w:r>
          </w:p>
        </w:tc>
        <w:tc>
          <w:tcPr>
            <w:tcW w:w="4876" w:type="dxa"/>
          </w:tcPr>
          <w:p w:rsidR="00C12B0C" w:rsidRPr="00AE4782" w:rsidRDefault="00C12B0C" w:rsidP="00B26A25">
            <w:pPr>
              <w:pStyle w:val="ColumnHeading"/>
              <w:keepNext/>
            </w:pPr>
            <w:r w:rsidRPr="00AE4782">
              <w:t>Amendement</w:t>
            </w:r>
          </w:p>
        </w:tc>
      </w:tr>
      <w:tr w:rsidR="00C12B0C" w:rsidRPr="00AE4782" w:rsidTr="00B26A25">
        <w:trPr>
          <w:jc w:val="center"/>
        </w:trPr>
        <w:tc>
          <w:tcPr>
            <w:tcW w:w="4876" w:type="dxa"/>
          </w:tcPr>
          <w:p w:rsidR="00C12B0C" w:rsidRPr="00AE4782" w:rsidRDefault="00C12B0C" w:rsidP="00B26A25">
            <w:pPr>
              <w:pStyle w:val="Normal6"/>
            </w:pPr>
            <w:r w:rsidRPr="00AE4782">
              <w:t xml:space="preserve">Voor EIB-financieringsverrichtingen onder EU-garantie in de periode 2014-2020 geldt een maximumplafond van </w:t>
            </w:r>
            <w:r w:rsidRPr="00AE4782">
              <w:rPr>
                <w:b/>
                <w:i/>
              </w:rPr>
              <w:t xml:space="preserve">32 300 </w:t>
            </w:r>
            <w:r w:rsidRPr="00AE4782">
              <w:t>000</w:t>
            </w:r>
            <w:r w:rsidRPr="00AE4782">
              <w:rPr>
                <w:b/>
                <w:i/>
              </w:rPr>
              <w:t xml:space="preserve"> </w:t>
            </w:r>
            <w:r w:rsidRPr="00AE4782">
              <w:t>000 EUR. Aanvankelijk voor financieringsverrichtingen gereserveerde, maar naderhand geannuleerde bedragen worden niet in aanmerking genomen voor het plafond.</w:t>
            </w:r>
          </w:p>
        </w:tc>
        <w:tc>
          <w:tcPr>
            <w:tcW w:w="4876" w:type="dxa"/>
          </w:tcPr>
          <w:p w:rsidR="00C12B0C" w:rsidRPr="00AE4782" w:rsidRDefault="00C12B0C" w:rsidP="00B26A25">
            <w:pPr>
              <w:pStyle w:val="Normal6"/>
              <w:rPr>
                <w:szCs w:val="24"/>
              </w:rPr>
            </w:pPr>
            <w:r w:rsidRPr="00AE4782">
              <w:t xml:space="preserve">Voor EIB-financieringsverrichtingen onder EU-garantie in de periode 2014-2020 geldt een maximumplafond van </w:t>
            </w:r>
            <w:r w:rsidRPr="00AE4782">
              <w:rPr>
                <w:b/>
                <w:i/>
              </w:rPr>
              <w:t>38 470 </w:t>
            </w:r>
            <w:r w:rsidRPr="00AE4782">
              <w:t>000</w:t>
            </w:r>
            <w:r w:rsidRPr="00AE4782">
              <w:rPr>
                <w:b/>
                <w:i/>
              </w:rPr>
              <w:t> </w:t>
            </w:r>
            <w:r w:rsidRPr="00AE4782">
              <w:t>000 EUR. Aanvankelijk voor financieringsverrichtingen gereserveerde, maar naderhand geannuleerde bedragen worden niet in aanmerking genomen voor het plafond.</w:t>
            </w:r>
          </w:p>
        </w:tc>
      </w:tr>
    </w:tbl>
    <w:p w:rsidR="00E365E1" w:rsidRPr="00AE4782" w:rsidRDefault="00E365E1" w:rsidP="008E53C5">
      <w:bookmarkStart w:id="1" w:name="TextBodyEnd"/>
      <w:bookmarkEnd w:id="1"/>
    </w:p>
    <w:sectPr w:rsidR="00E365E1" w:rsidRPr="00AE4782" w:rsidSect="001B01DC">
      <w:footerReference w:type="default" r:id="rId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1F" w:rsidRPr="001B01DC" w:rsidRDefault="005F3A1F">
      <w:r w:rsidRPr="001B01DC">
        <w:separator/>
      </w:r>
    </w:p>
  </w:endnote>
  <w:endnote w:type="continuationSeparator" w:id="0">
    <w:p w:rsidR="005F3A1F" w:rsidRPr="001B01DC" w:rsidRDefault="005F3A1F">
      <w:r w:rsidRPr="001B01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DC" w:rsidRDefault="001B01DC" w:rsidP="00AE4782">
    <w:pPr>
      <w:pStyle w:val="Footer"/>
      <w:tabs>
        <w:tab w:val="clear" w:pos="9639"/>
        <w:tab w:val="right" w:pos="9184"/>
      </w:tabs>
    </w:pPr>
  </w:p>
  <w:p w:rsidR="00AE4782" w:rsidRDefault="00AE4782" w:rsidP="00AE4782">
    <w:pPr>
      <w:pStyle w:val="Footer"/>
      <w:pBdr>
        <w:top w:val="single" w:sz="2" w:space="1" w:color="000000"/>
      </w:pBdr>
      <w:tabs>
        <w:tab w:val="clear" w:pos="9639"/>
        <w:tab w:val="right" w:pos="9184"/>
      </w:tabs>
    </w:pPr>
    <w:r>
      <w:tab/>
    </w:r>
    <w:r w:rsidRPr="00AE4782">
      <w:rPr>
        <w:rStyle w:val="HideTWBExt"/>
      </w:rPr>
      <w:t>&lt;NuPE&gt;</w:t>
    </w:r>
    <w:r>
      <w:t>PE614.374</w:t>
    </w:r>
    <w:r w:rsidRPr="00AE4782">
      <w:rPr>
        <w:rStyle w:val="HideTWBExt"/>
      </w:rPr>
      <w:t>&lt;/NuPE&gt;</w:t>
    </w:r>
    <w:r>
      <w:t xml:space="preserve">/ </w:t>
    </w:r>
    <w:r>
      <w:fldChar w:fldCharType="begin"/>
    </w:r>
    <w:r>
      <w:instrText xml:space="preserve"> PAGE  \* MERGEFORMAT </w:instrText>
    </w:r>
    <w:r>
      <w:fldChar w:fldCharType="separate"/>
    </w:r>
    <w:r w:rsidR="008E53C5">
      <w:rPr>
        <w:noProof/>
      </w:rPr>
      <w:t>1</w:t>
    </w:r>
    <w:r>
      <w:fldChar w:fldCharType="end"/>
    </w:r>
  </w:p>
  <w:p w:rsidR="00AE4782" w:rsidRPr="00AE4782" w:rsidRDefault="00AE4782" w:rsidP="00AE4782">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1F" w:rsidRPr="001B01DC" w:rsidRDefault="005F3A1F">
      <w:r w:rsidRPr="001B01DC">
        <w:separator/>
      </w:r>
    </w:p>
  </w:footnote>
  <w:footnote w:type="continuationSeparator" w:id="0">
    <w:p w:rsidR="005F3A1F" w:rsidRPr="001B01DC" w:rsidRDefault="005F3A1F">
      <w:r w:rsidRPr="001B01D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35/2017"/>
    <w:docVar w:name="dvlangue" w:val="NL"/>
    <w:docVar w:name="dvnumam" w:val="144"/>
    <w:docVar w:name="dvpe" w:val="599.628"/>
    <w:docVar w:name="dvrapporteur" w:val="Rapporteur: "/>
    <w:docVar w:name="dvtitre" w:val="Wetgevingsresolutie van het Europees Parlement van xx februari 2018 over het voorstel voor een besluit van het Europees Parlement en de Raad tot wijziging van Besluit nr. 466/2014/EU tot verlening van een EU-garantie voor verliezen van de Europese Investeringsbank op financieringsverrichtingen van projecten buiten de Unie(COM(2016)0583 – C8-0376/2016 – 2016/0275(COD))"/>
    <w:docVar w:name="TA_Comm_A5Nr" w:val="A8-0135/2017"/>
    <w:docVar w:name="TA_Comm_Langue" w:val="NL"/>
    <w:docVar w:name="TA_Comm_NrAM" w:val="001-063"/>
    <w:docVar w:name="TA_Type" w:val="TA_COMM"/>
  </w:docVars>
  <w:rsids>
    <w:rsidRoot w:val="005F3A1F"/>
    <w:rsid w:val="00002272"/>
    <w:rsid w:val="000677B9"/>
    <w:rsid w:val="000E7DD9"/>
    <w:rsid w:val="0010095E"/>
    <w:rsid w:val="00125B37"/>
    <w:rsid w:val="0013590E"/>
    <w:rsid w:val="001B01DC"/>
    <w:rsid w:val="002767FF"/>
    <w:rsid w:val="002B5493"/>
    <w:rsid w:val="00361C00"/>
    <w:rsid w:val="00395FA1"/>
    <w:rsid w:val="003D603B"/>
    <w:rsid w:val="003E15D4"/>
    <w:rsid w:val="003F0318"/>
    <w:rsid w:val="00407AFE"/>
    <w:rsid w:val="00411CCE"/>
    <w:rsid w:val="0041666E"/>
    <w:rsid w:val="00421060"/>
    <w:rsid w:val="00494A28"/>
    <w:rsid w:val="0050519A"/>
    <w:rsid w:val="005072A1"/>
    <w:rsid w:val="005127B4"/>
    <w:rsid w:val="00514517"/>
    <w:rsid w:val="005F3A1F"/>
    <w:rsid w:val="006037C0"/>
    <w:rsid w:val="00613351"/>
    <w:rsid w:val="00680577"/>
    <w:rsid w:val="006A4A58"/>
    <w:rsid w:val="006F74FA"/>
    <w:rsid w:val="00731ADD"/>
    <w:rsid w:val="00734777"/>
    <w:rsid w:val="00751A4A"/>
    <w:rsid w:val="00756632"/>
    <w:rsid w:val="00763BB1"/>
    <w:rsid w:val="007D1690"/>
    <w:rsid w:val="00865F67"/>
    <w:rsid w:val="00881A7B"/>
    <w:rsid w:val="008840E5"/>
    <w:rsid w:val="008C2AC6"/>
    <w:rsid w:val="008E53C5"/>
    <w:rsid w:val="009509D8"/>
    <w:rsid w:val="00981893"/>
    <w:rsid w:val="00A4678D"/>
    <w:rsid w:val="00A81CDC"/>
    <w:rsid w:val="00AE4782"/>
    <w:rsid w:val="00AF3B82"/>
    <w:rsid w:val="00B558F0"/>
    <w:rsid w:val="00BD7BD8"/>
    <w:rsid w:val="00C05BFE"/>
    <w:rsid w:val="00C12B0C"/>
    <w:rsid w:val="00C23CD4"/>
    <w:rsid w:val="00C941CB"/>
    <w:rsid w:val="00CC2357"/>
    <w:rsid w:val="00D058B8"/>
    <w:rsid w:val="00D834A0"/>
    <w:rsid w:val="00D91E21"/>
    <w:rsid w:val="00DD5C32"/>
    <w:rsid w:val="00E365E1"/>
    <w:rsid w:val="00ED4235"/>
    <w:rsid w:val="00EE4269"/>
    <w:rsid w:val="00F04346"/>
    <w:rsid w:val="00F075DC"/>
    <w:rsid w:val="00F259C1"/>
    <w:rsid w:val="00F5134D"/>
    <w:rsid w:val="00FC56D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9758D9-F656-4D13-92A4-82F7DFD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13590E"/>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13590E"/>
    <w:rPr>
      <w:sz w:val="24"/>
      <w:lang w:val="fr-FR" w:eastAsia="fr-FR"/>
    </w:rPr>
  </w:style>
  <w:style w:type="character" w:customStyle="1" w:styleId="Heading3Char">
    <w:name w:val="Heading 3 Char"/>
    <w:link w:val="Heading3"/>
    <w:rsid w:val="0013590E"/>
    <w:rPr>
      <w:rFonts w:ascii="Arial" w:hAnsi="Arial"/>
      <w:sz w:val="24"/>
      <w:lang w:val="fr-FR" w:eastAsia="fr-FR"/>
    </w:rPr>
  </w:style>
  <w:style w:type="character" w:customStyle="1" w:styleId="Heading4Char">
    <w:name w:val="Heading 4 Char"/>
    <w:link w:val="Heading4"/>
    <w:rsid w:val="0013590E"/>
    <w:rPr>
      <w:sz w:val="24"/>
      <w:lang w:val="en-US" w:eastAsia="fr-FR"/>
    </w:rPr>
  </w:style>
  <w:style w:type="character" w:customStyle="1" w:styleId="Heading5Char">
    <w:name w:val="Heading 5 Char"/>
    <w:link w:val="Heading5"/>
    <w:rsid w:val="0013590E"/>
    <w:rPr>
      <w:sz w:val="24"/>
      <w:lang w:val="en-US" w:eastAsia="fr-FR"/>
    </w:rPr>
  </w:style>
  <w:style w:type="character" w:customStyle="1" w:styleId="Heading6Char">
    <w:name w:val="Heading 6 Char"/>
    <w:link w:val="Heading6"/>
    <w:rsid w:val="0013590E"/>
    <w:rPr>
      <w:i/>
      <w:sz w:val="22"/>
      <w:lang w:val="nl-NL"/>
    </w:rPr>
  </w:style>
  <w:style w:type="character" w:customStyle="1" w:styleId="Heading7Char">
    <w:name w:val="Heading 7 Char"/>
    <w:link w:val="Heading7"/>
    <w:rsid w:val="0013590E"/>
    <w:rPr>
      <w:rFonts w:ascii="Arial" w:hAnsi="Arial"/>
      <w:sz w:val="24"/>
      <w:lang w:val="nl-NL"/>
    </w:rPr>
  </w:style>
  <w:style w:type="character" w:customStyle="1" w:styleId="Heading8Char">
    <w:name w:val="Heading 8 Char"/>
    <w:link w:val="Heading8"/>
    <w:rsid w:val="0013590E"/>
    <w:rPr>
      <w:rFonts w:ascii="Arial" w:hAnsi="Arial"/>
      <w:i/>
      <w:sz w:val="24"/>
      <w:lang w:val="nl-NL"/>
    </w:rPr>
  </w:style>
  <w:style w:type="character" w:customStyle="1" w:styleId="Heading9Char">
    <w:name w:val="Heading 9 Char"/>
    <w:link w:val="Heading9"/>
    <w:rsid w:val="0013590E"/>
    <w:rPr>
      <w:rFonts w:ascii="Arial" w:hAnsi="Arial"/>
      <w:b/>
      <w:i/>
      <w:sz w:val="18"/>
      <w:lang w:val="nl-NL"/>
    </w:rPr>
  </w:style>
  <w:style w:type="character" w:customStyle="1" w:styleId="FooterChar">
    <w:name w:val="Footer Char"/>
    <w:link w:val="Footer"/>
    <w:rsid w:val="0013590E"/>
    <w:rPr>
      <w:sz w:val="22"/>
      <w:lang w:val="fr-FR" w:eastAsia="fr-FR"/>
    </w:rPr>
  </w:style>
  <w:style w:type="character" w:customStyle="1" w:styleId="Normal6Char">
    <w:name w:val="Normal6 Char"/>
    <w:link w:val="Normal6"/>
    <w:rsid w:val="0013590E"/>
    <w:rPr>
      <w:sz w:val="24"/>
      <w:lang w:val="nl-NL"/>
    </w:rPr>
  </w:style>
  <w:style w:type="character" w:customStyle="1" w:styleId="NormalBoldChar">
    <w:name w:val="NormalBold Char"/>
    <w:link w:val="NormalBold"/>
    <w:rsid w:val="0013590E"/>
    <w:rPr>
      <w:b/>
      <w:sz w:val="24"/>
      <w:lang w:val="nl-NL"/>
    </w:rPr>
  </w:style>
  <w:style w:type="paragraph" w:customStyle="1" w:styleId="Normal12Italic">
    <w:name w:val="Normal12Italic"/>
    <w:basedOn w:val="Normal"/>
    <w:rsid w:val="0013590E"/>
    <w:pPr>
      <w:spacing w:before="240"/>
    </w:pPr>
    <w:rPr>
      <w:i/>
      <w:lang w:eastAsia="nl-NL" w:bidi="nl-NL"/>
    </w:rPr>
  </w:style>
  <w:style w:type="paragraph" w:customStyle="1" w:styleId="CrossRef">
    <w:name w:val="CrossRef"/>
    <w:basedOn w:val="Normal"/>
    <w:rsid w:val="0013590E"/>
    <w:pPr>
      <w:spacing w:before="240"/>
      <w:jc w:val="center"/>
    </w:pPr>
    <w:rPr>
      <w:i/>
      <w:lang w:eastAsia="nl-NL" w:bidi="nl-NL"/>
    </w:rPr>
  </w:style>
  <w:style w:type="paragraph" w:customStyle="1" w:styleId="JustificationTitle">
    <w:name w:val="JustificationTitle"/>
    <w:basedOn w:val="Normal"/>
    <w:next w:val="Normal12"/>
    <w:rsid w:val="0013590E"/>
    <w:pPr>
      <w:keepNext/>
      <w:spacing w:before="240"/>
      <w:jc w:val="center"/>
    </w:pPr>
    <w:rPr>
      <w:i/>
      <w:lang w:eastAsia="nl-NL" w:bidi="nl-NL"/>
    </w:rPr>
  </w:style>
  <w:style w:type="paragraph" w:customStyle="1" w:styleId="Normal12Centre">
    <w:name w:val="Normal12Centre"/>
    <w:basedOn w:val="Normal12"/>
    <w:rsid w:val="0013590E"/>
    <w:pPr>
      <w:jc w:val="center"/>
    </w:pPr>
    <w:rPr>
      <w:lang w:eastAsia="nl-NL" w:bidi="nl-NL"/>
    </w:rPr>
  </w:style>
  <w:style w:type="paragraph" w:customStyle="1" w:styleId="Normal12Keep">
    <w:name w:val="Normal12Keep"/>
    <w:basedOn w:val="Normal12"/>
    <w:rsid w:val="0013590E"/>
    <w:pPr>
      <w:keepNext/>
    </w:pPr>
    <w:rPr>
      <w:lang w:eastAsia="nl-NL" w:bidi="nl-NL"/>
    </w:rPr>
  </w:style>
  <w:style w:type="paragraph" w:customStyle="1" w:styleId="Normal12Tab">
    <w:name w:val="Normal12Tab"/>
    <w:basedOn w:val="Normal12"/>
    <w:rsid w:val="0013590E"/>
    <w:pPr>
      <w:tabs>
        <w:tab w:val="left" w:pos="567"/>
      </w:tabs>
    </w:pPr>
    <w:rPr>
      <w:lang w:eastAsia="nl-NL" w:bidi="nl-NL"/>
    </w:rPr>
  </w:style>
  <w:style w:type="paragraph" w:customStyle="1" w:styleId="StarsAndIs">
    <w:name w:val="StarsAndIs"/>
    <w:basedOn w:val="Normal"/>
    <w:rsid w:val="0013590E"/>
    <w:pPr>
      <w:ind w:left="1418"/>
    </w:pPr>
    <w:rPr>
      <w:rFonts w:ascii="Arial" w:hAnsi="Arial"/>
      <w:b/>
      <w:sz w:val="48"/>
      <w:lang w:eastAsia="nl-NL" w:bidi="nl-NL"/>
    </w:rPr>
  </w:style>
  <w:style w:type="paragraph" w:customStyle="1" w:styleId="Lgendesigne">
    <w:name w:val="Légende signe"/>
    <w:basedOn w:val="Normal"/>
    <w:rsid w:val="0013590E"/>
    <w:pPr>
      <w:tabs>
        <w:tab w:val="right" w:pos="454"/>
        <w:tab w:val="left" w:pos="737"/>
      </w:tabs>
      <w:ind w:left="737" w:hanging="737"/>
    </w:pPr>
    <w:rPr>
      <w:snapToGrid w:val="0"/>
      <w:sz w:val="18"/>
      <w:lang w:eastAsia="nl-NL" w:bidi="nl-NL"/>
    </w:rPr>
  </w:style>
  <w:style w:type="paragraph" w:customStyle="1" w:styleId="TypeDoc">
    <w:name w:val="TypeDoc"/>
    <w:basedOn w:val="Normal24"/>
    <w:rsid w:val="0013590E"/>
    <w:pPr>
      <w:ind w:left="1418"/>
    </w:pPr>
    <w:rPr>
      <w:rFonts w:ascii="Arial" w:hAnsi="Arial"/>
      <w:b/>
      <w:sz w:val="48"/>
      <w:lang w:eastAsia="nl-NL" w:bidi="nl-NL"/>
    </w:rPr>
  </w:style>
  <w:style w:type="paragraph" w:customStyle="1" w:styleId="ZDate">
    <w:name w:val="ZDate"/>
    <w:basedOn w:val="Normal"/>
    <w:rsid w:val="0013590E"/>
    <w:pPr>
      <w:spacing w:after="1200"/>
    </w:pPr>
    <w:rPr>
      <w:lang w:eastAsia="nl-NL" w:bidi="nl-NL"/>
    </w:rPr>
  </w:style>
  <w:style w:type="character" w:customStyle="1" w:styleId="HeaderChar">
    <w:name w:val="Header Char"/>
    <w:link w:val="Header"/>
    <w:rsid w:val="0013590E"/>
    <w:rPr>
      <w:sz w:val="24"/>
      <w:lang w:val="fr-FR" w:eastAsia="fr-FR"/>
    </w:rPr>
  </w:style>
  <w:style w:type="paragraph" w:customStyle="1" w:styleId="Olang">
    <w:name w:val="Olang"/>
    <w:basedOn w:val="Normal"/>
    <w:rsid w:val="0013590E"/>
    <w:pPr>
      <w:spacing w:before="240" w:after="240"/>
      <w:jc w:val="right"/>
    </w:pPr>
    <w:rPr>
      <w:noProof/>
      <w:lang w:eastAsia="nl-NL" w:bidi="nl-NL"/>
    </w:rPr>
  </w:style>
  <w:style w:type="paragraph" w:customStyle="1" w:styleId="ColumnHeading">
    <w:name w:val="ColumnHeading"/>
    <w:basedOn w:val="Normal"/>
    <w:rsid w:val="0013590E"/>
    <w:pPr>
      <w:spacing w:after="240"/>
      <w:jc w:val="center"/>
    </w:pPr>
    <w:rPr>
      <w:i/>
      <w:lang w:eastAsia="nl-NL" w:bidi="nl-NL"/>
    </w:rPr>
  </w:style>
  <w:style w:type="paragraph" w:customStyle="1" w:styleId="AMNumberTabs">
    <w:name w:val="AMNumberTabs"/>
    <w:basedOn w:val="Normal"/>
    <w:rsid w:val="0013590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nl-NL" w:bidi="nl-NL"/>
    </w:rPr>
  </w:style>
  <w:style w:type="paragraph" w:customStyle="1" w:styleId="NormalBold12b">
    <w:name w:val="NormalBold12b"/>
    <w:basedOn w:val="Normal"/>
    <w:rsid w:val="0013590E"/>
    <w:pPr>
      <w:spacing w:before="240"/>
    </w:pPr>
    <w:rPr>
      <w:b/>
      <w:lang w:eastAsia="nl-NL" w:bidi="nl-NL"/>
    </w:rPr>
  </w:style>
  <w:style w:type="paragraph" w:customStyle="1" w:styleId="ZCommittee">
    <w:name w:val="ZCommittee"/>
    <w:basedOn w:val="Normal"/>
    <w:next w:val="Normal"/>
    <w:rsid w:val="0013590E"/>
    <w:pPr>
      <w:jc w:val="center"/>
    </w:pPr>
    <w:rPr>
      <w:rFonts w:ascii="Arial" w:hAnsi="Arial" w:cs="Arial"/>
      <w:i/>
      <w:sz w:val="22"/>
      <w:szCs w:val="22"/>
      <w:lang w:eastAsia="nl-NL" w:bidi="nl-NL"/>
    </w:rPr>
  </w:style>
  <w:style w:type="paragraph" w:customStyle="1" w:styleId="Lgendetitre">
    <w:name w:val="Légende titre"/>
    <w:basedOn w:val="Normal"/>
    <w:rsid w:val="0013590E"/>
    <w:pPr>
      <w:spacing w:before="240" w:after="240"/>
    </w:pPr>
    <w:rPr>
      <w:b/>
      <w:i/>
      <w:snapToGrid w:val="0"/>
      <w:lang w:eastAsia="nl-NL" w:bidi="nl-NL"/>
    </w:rPr>
  </w:style>
  <w:style w:type="paragraph" w:customStyle="1" w:styleId="Lgendestandard">
    <w:name w:val="Légende standard"/>
    <w:basedOn w:val="Lgendesigne"/>
    <w:rsid w:val="0013590E"/>
    <w:pPr>
      <w:ind w:left="0" w:firstLine="0"/>
    </w:pPr>
  </w:style>
  <w:style w:type="paragraph" w:styleId="BalloonText">
    <w:name w:val="Balloon Text"/>
    <w:basedOn w:val="Normal"/>
    <w:link w:val="BalloonTextChar"/>
    <w:rsid w:val="0013590E"/>
    <w:rPr>
      <w:rFonts w:ascii="Segoe UI" w:hAnsi="Segoe UI" w:cs="Segoe UI"/>
      <w:sz w:val="18"/>
      <w:szCs w:val="18"/>
      <w:lang w:eastAsia="nl-NL" w:bidi="nl-NL"/>
    </w:rPr>
  </w:style>
  <w:style w:type="character" w:customStyle="1" w:styleId="BalloonTextChar">
    <w:name w:val="Balloon Text Char"/>
    <w:basedOn w:val="DefaultParagraphFont"/>
    <w:link w:val="BalloonText"/>
    <w:rsid w:val="0013590E"/>
    <w:rPr>
      <w:rFonts w:ascii="Segoe UI" w:hAnsi="Segoe UI" w:cs="Segoe UI"/>
      <w:sz w:val="18"/>
      <w:szCs w:val="18"/>
      <w:lang w:val="nl-NL" w:eastAsia="nl-NL" w:bidi="nl-NL"/>
    </w:rPr>
  </w:style>
  <w:style w:type="character" w:styleId="CommentReference">
    <w:name w:val="annotation reference"/>
    <w:uiPriority w:val="99"/>
    <w:unhideWhenUsed/>
    <w:rsid w:val="0013590E"/>
    <w:rPr>
      <w:sz w:val="16"/>
      <w:szCs w:val="16"/>
    </w:rPr>
  </w:style>
  <w:style w:type="paragraph" w:styleId="CommentText">
    <w:name w:val="annotation text"/>
    <w:basedOn w:val="Normal"/>
    <w:link w:val="CommentTextChar"/>
    <w:uiPriority w:val="99"/>
    <w:unhideWhenUsed/>
    <w:rsid w:val="0013590E"/>
    <w:rPr>
      <w:sz w:val="20"/>
      <w:lang w:eastAsia="nl-NL" w:bidi="nl-NL"/>
    </w:rPr>
  </w:style>
  <w:style w:type="character" w:customStyle="1" w:styleId="CommentTextChar">
    <w:name w:val="Comment Text Char"/>
    <w:basedOn w:val="DefaultParagraphFont"/>
    <w:link w:val="CommentText"/>
    <w:uiPriority w:val="99"/>
    <w:rsid w:val="0013590E"/>
    <w:rPr>
      <w:lang w:val="nl-NL" w:eastAsia="nl-NL" w:bidi="nl-NL"/>
    </w:rPr>
  </w:style>
  <w:style w:type="paragraph" w:styleId="CommentSubject">
    <w:name w:val="annotation subject"/>
    <w:basedOn w:val="CommentText"/>
    <w:next w:val="CommentText"/>
    <w:link w:val="CommentSubjectChar"/>
    <w:rsid w:val="0013590E"/>
    <w:rPr>
      <w:b/>
      <w:bCs/>
    </w:rPr>
  </w:style>
  <w:style w:type="character" w:customStyle="1" w:styleId="CommentSubjectChar">
    <w:name w:val="Comment Subject Char"/>
    <w:basedOn w:val="CommentTextChar"/>
    <w:link w:val="CommentSubject"/>
    <w:rsid w:val="0013590E"/>
    <w:rPr>
      <w:b/>
      <w:bCs/>
      <w:lang w:val="nl-NL" w:eastAsia="nl-NL" w:bidi="nl-NL"/>
    </w:rPr>
  </w:style>
  <w:style w:type="paragraph" w:customStyle="1" w:styleId="PageHeadingNotTOC">
    <w:name w:val="PageHeadingNotTOC"/>
    <w:basedOn w:val="Normal"/>
    <w:rsid w:val="0013590E"/>
    <w:pPr>
      <w:keepNext/>
      <w:spacing w:before="240" w:after="240"/>
      <w:jc w:val="center"/>
    </w:pPr>
    <w:rPr>
      <w:rFonts w:ascii="Arial" w:hAnsi="Arial"/>
      <w:b/>
      <w:lang w:eastAsia="nl-NL" w:bidi="nl-NL"/>
    </w:rPr>
  </w:style>
  <w:style w:type="paragraph" w:customStyle="1" w:styleId="ConclusionsPA">
    <w:name w:val="ConclusionsPA"/>
    <w:basedOn w:val="Normal12"/>
    <w:rsid w:val="0013590E"/>
    <w:pPr>
      <w:spacing w:before="480"/>
      <w:jc w:val="center"/>
    </w:pPr>
    <w:rPr>
      <w:rFonts w:ascii="Arial" w:hAnsi="Arial"/>
      <w:b/>
      <w:caps/>
      <w:snapToGrid w:val="0"/>
      <w:lang w:eastAsia="nl-NL" w:bidi="nl-NL"/>
    </w:rPr>
  </w:style>
  <w:style w:type="character" w:customStyle="1" w:styleId="Sup">
    <w:name w:val="Sup"/>
    <w:rsid w:val="0013590E"/>
    <w:rPr>
      <w:color w:val="000000"/>
      <w:vertAlign w:val="superscript"/>
    </w:rPr>
  </w:style>
  <w:style w:type="paragraph" w:customStyle="1" w:styleId="NormalTabs">
    <w:name w:val="NormalTabs"/>
    <w:basedOn w:val="Normal"/>
    <w:qFormat/>
    <w:rsid w:val="0013590E"/>
    <w:pPr>
      <w:tabs>
        <w:tab w:val="center" w:pos="284"/>
        <w:tab w:val="left" w:pos="426"/>
      </w:tabs>
    </w:pPr>
    <w:rPr>
      <w:snapToGrid w:val="0"/>
      <w:lang w:eastAsia="nl-NL" w:bidi="nl-NL"/>
    </w:rPr>
  </w:style>
  <w:style w:type="paragraph" w:customStyle="1" w:styleId="RollCallSubtitle">
    <w:name w:val="RollCallSubtitle"/>
    <w:basedOn w:val="Normal"/>
    <w:qFormat/>
    <w:rsid w:val="0013590E"/>
    <w:pPr>
      <w:spacing w:after="240"/>
    </w:pPr>
    <w:rPr>
      <w:snapToGrid w:val="0"/>
      <w:lang w:eastAsia="nl-NL" w:bidi="nl-NL"/>
    </w:rPr>
  </w:style>
  <w:style w:type="character" w:styleId="Hyperlink">
    <w:name w:val="Hyperlink"/>
    <w:unhideWhenUsed/>
    <w:rsid w:val="0013590E"/>
    <w:rPr>
      <w:color w:val="0000FF"/>
      <w:u w:val="single"/>
    </w:rPr>
  </w:style>
  <w:style w:type="character" w:customStyle="1" w:styleId="SupBoldItalic">
    <w:name w:val="SupBoldItalic"/>
    <w:rsid w:val="0013590E"/>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9349</Words>
  <Characters>57526</Characters>
  <Application>Microsoft Office Word</Application>
  <DocSecurity>0</DocSecurity>
  <Lines>2130</Lines>
  <Paragraphs>703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2018-01-31T08:26:00Z</cp:lastPrinted>
  <dcterms:created xsi:type="dcterms:W3CDTF">2018-02-01T09:58:00Z</dcterms:created>
  <dcterms:modified xsi:type="dcterms:W3CDTF">2018-02-01T09:58:00Z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A8-0135/2017</vt:lpwstr>
  </property>
  <property fmtid="{D5CDD505-2E9C-101B-9397-08002B2CF9AE}" pid="4" name="&lt;Type&gt;">
    <vt:lpwstr>RR</vt:lpwstr>
  </property>
</Properties>
</file>