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pPr>
      <w:r w:rsidRPr="00EC023D">
        <w:rPr>
          <w:rStyle w:val="HideTWBExt"/>
        </w:rPr>
        <w:t>&lt;Date&gt;</w:t>
      </w:r>
      <w:r>
        <w:t>6.12.2017</w:t>
      </w:r>
      <w:r w:rsidRPr="00EC023D">
        <w:rPr>
          <w:rStyle w:val="HideTWBExt"/>
        </w:rPr>
        <w:t>&lt;/Date&gt;</w:t>
      </w:r>
      <w:r>
        <w:tab/>
        <w:t xml:space="preserve">A8-0198/ </w:t>
      </w:r>
      <w:r w:rsidRPr="00EC023D">
        <w:rPr>
          <w:rStyle w:val="HideTWBExt"/>
        </w:rPr>
        <w:t>&lt;NumOfAM&gt;</w:t>
      </w:r>
      <w:r>
        <w:t>001-001</w:t>
      </w:r>
      <w:bookmarkStart w:id="0" w:name="_GoBack"/>
      <w:bookmarkEnd w:id="0"/>
      <w:r w:rsidRPr="00EC023D">
        <w:rPr>
          <w:rStyle w:val="HideTWBExt"/>
        </w:rPr>
        <w:t>&lt;/NumOfAM&gt;</w:t>
      </w:r>
    </w:p>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pPr>
      <w:r>
        <w:rPr>
          <w:b/>
        </w:rPr>
        <w:t xml:space="preserve">PREDLOGI SPREMEMB 001-001 </w:t>
      </w:r>
    </w:p>
    <w:p w:rsidR="00EC023D" w:rsidRDefault="00EC023D" w:rsidP="00EC023D">
      <w:pPr>
        <w:tabs>
          <w:tab w:val="right" w:pos="9184"/>
        </w:tabs>
      </w:pPr>
      <w:r>
        <w:t xml:space="preserve">vlagatelj: </w:t>
      </w:r>
      <w:r w:rsidRPr="00EC023D">
        <w:rPr>
          <w:rStyle w:val="HideTWBExt"/>
        </w:rPr>
        <w:t>&lt;Committee&gt;</w:t>
      </w:r>
      <w:r>
        <w:t>Odbor za proračun, Odbor za ekonomske in monetarne zadeve</w:t>
      </w:r>
      <w:r w:rsidRPr="00EC023D">
        <w:rPr>
          <w:rStyle w:val="HideTWBExt"/>
        </w:rPr>
        <w:t>&lt;/Committee&gt;</w:t>
      </w:r>
    </w:p>
    <w:p w:rsidR="00EC023D" w:rsidRDefault="00EC023D" w:rsidP="00EC023D">
      <w:pPr>
        <w:tabs>
          <w:tab w:val="right" w:pos="9184"/>
        </w:tabs>
      </w:pPr>
    </w:p>
    <w:p w:rsidR="00EC023D" w:rsidRDefault="00EC023D" w:rsidP="00EC023D">
      <w:pPr>
        <w:tabs>
          <w:tab w:val="right" w:pos="9184"/>
        </w:tabs>
        <w:rPr>
          <w:b/>
        </w:rPr>
      </w:pPr>
      <w:r>
        <w:rPr>
          <w:b/>
        </w:rPr>
        <w:t>Poročilo</w:t>
      </w:r>
    </w:p>
    <w:p w:rsidR="00EC023D" w:rsidRDefault="00EC023D" w:rsidP="00EC023D">
      <w:pPr>
        <w:tabs>
          <w:tab w:val="right" w:pos="9184"/>
        </w:tabs>
        <w:rPr>
          <w:b/>
        </w:rPr>
      </w:pPr>
      <w:r w:rsidRPr="00EC023D">
        <w:rPr>
          <w:rStyle w:val="HideTWBExt"/>
        </w:rPr>
        <w:t>&lt;Chairman&gt;</w:t>
      </w:r>
      <w:r>
        <w:rPr>
          <w:b/>
        </w:rPr>
        <w:t>José Manuel Fernandes, Udo Bullmann</w:t>
      </w:r>
      <w:r w:rsidRPr="00EC023D">
        <w:rPr>
          <w:rStyle w:val="HideTWBExt"/>
        </w:rPr>
        <w:t>&lt;/Chairman&gt;</w:t>
      </w:r>
      <w:r>
        <w:rPr>
          <w:b/>
        </w:rPr>
        <w:tab/>
      </w:r>
      <w:r w:rsidRPr="00EC023D">
        <w:rPr>
          <w:rStyle w:val="HideTWBExt"/>
        </w:rPr>
        <w:t>&lt;A5Nr&gt;</w:t>
      </w:r>
      <w:r>
        <w:rPr>
          <w:b/>
        </w:rPr>
        <w:t>A8-0198/2017</w:t>
      </w:r>
      <w:r w:rsidRPr="00EC023D">
        <w:rPr>
          <w:rStyle w:val="HideTWBExt"/>
        </w:rPr>
        <w:t>&lt;/A5Nr&gt;</w:t>
      </w:r>
    </w:p>
    <w:p w:rsidR="00EC023D" w:rsidRDefault="00EC023D" w:rsidP="00EC023D">
      <w:pPr>
        <w:tabs>
          <w:tab w:val="right" w:pos="9184"/>
        </w:tabs>
      </w:pPr>
      <w:r w:rsidRPr="00EC023D">
        <w:rPr>
          <w:rStyle w:val="HideTWBExt"/>
        </w:rPr>
        <w:t>&lt;ShortTitel&gt;</w:t>
      </w:r>
      <w:r>
        <w:t>Podaljšanje Evropskega sklada za strateške naložbe</w:t>
      </w:r>
      <w:r w:rsidRPr="00EC023D">
        <w:rPr>
          <w:rStyle w:val="HideTWBExt"/>
        </w:rPr>
        <w:t>&lt;/ShortTitel&gt;</w:t>
      </w:r>
    </w:p>
    <w:p w:rsidR="00EC023D" w:rsidRDefault="00EC023D" w:rsidP="00EC023D">
      <w:pPr>
        <w:tabs>
          <w:tab w:val="right" w:pos="9184"/>
        </w:tabs>
      </w:pPr>
    </w:p>
    <w:p w:rsidR="00EC023D" w:rsidRDefault="00EC023D" w:rsidP="00EC023D">
      <w:pPr>
        <w:tabs>
          <w:tab w:val="right" w:pos="9184"/>
        </w:tabs>
      </w:pPr>
      <w:r w:rsidRPr="00EC023D">
        <w:rPr>
          <w:rStyle w:val="HideTWBExt"/>
        </w:rPr>
        <w:t>&lt;Procedure&gt;</w:t>
      </w:r>
      <w:r>
        <w:t>Predlog uredbe</w:t>
      </w:r>
      <w:r w:rsidRPr="00EC023D">
        <w:rPr>
          <w:rStyle w:val="HideTWBExt"/>
        </w:rPr>
        <w:t>&lt;/Procedure&gt;</w:t>
      </w:r>
      <w:r>
        <w:t xml:space="preserve"> </w:t>
      </w:r>
      <w:r w:rsidRPr="00EC023D">
        <w:rPr>
          <w:rStyle w:val="HideTWBExt"/>
        </w:rPr>
        <w:t>&lt;ReferenceNo&gt;</w:t>
      </w:r>
      <w:r>
        <w:t>(COM(2016)0597 – C8-0375/2016 – 2016/0276(COD))</w:t>
      </w:r>
      <w:r w:rsidRPr="00EC023D">
        <w:rPr>
          <w:rStyle w:val="HideTWBExt"/>
        </w:rPr>
        <w:t>&lt;/ReferenceNo&gt;</w:t>
      </w:r>
    </w:p>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pPr>
    </w:p>
    <w:p w:rsidR="00EC023D" w:rsidRDefault="00EC023D" w:rsidP="00EC023D">
      <w:pPr>
        <w:tabs>
          <w:tab w:val="right" w:pos="9184"/>
        </w:tabs>
        <w:jc w:val="center"/>
      </w:pPr>
      <w:r>
        <w:t>_____________________________________________________________</w:t>
      </w:r>
    </w:p>
    <w:p w:rsidR="00EC023D" w:rsidRDefault="00EC023D" w:rsidP="00EC023D">
      <w:pPr>
        <w:tabs>
          <w:tab w:val="right" w:pos="9184"/>
        </w:tabs>
        <w:jc w:val="center"/>
      </w:pPr>
    </w:p>
    <w:p w:rsidR="00D175E6" w:rsidRPr="00EC023D" w:rsidRDefault="00D175E6" w:rsidP="00EC023D">
      <w:pPr>
        <w:pStyle w:val="AMNumberTabs"/>
      </w:pPr>
      <w:r w:rsidRPr="00EC023D">
        <w:t>Sprememba</w:t>
      </w:r>
      <w:r w:rsidRPr="00EC023D">
        <w:tab/>
      </w:r>
      <w:r w:rsidRPr="00EC023D">
        <w:tab/>
        <w:t>1</w:t>
      </w:r>
    </w:p>
    <w:p w:rsidR="00D175E6" w:rsidRPr="00EC023D" w:rsidRDefault="00D175E6" w:rsidP="00D175E6">
      <w:pPr>
        <w:pStyle w:val="ConsHeading"/>
      </w:pPr>
      <w:r w:rsidRPr="00EC023D">
        <w:t>PREDLOGI SPREMEMB EVROPSKEGA PARLAMENTA</w:t>
      </w:r>
      <w:r w:rsidRPr="00EC023D">
        <w:rPr>
          <w:rStyle w:val="FootnoteReference"/>
          <w:b/>
        </w:rPr>
        <w:footnoteReference w:customMarkFollows="1" w:id="1"/>
        <w:t>*</w:t>
      </w:r>
    </w:p>
    <w:p w:rsidR="00D175E6" w:rsidRPr="00EC023D" w:rsidRDefault="00D175E6" w:rsidP="00D175E6">
      <w:pPr>
        <w:pStyle w:val="NormalCentre"/>
      </w:pPr>
      <w:r w:rsidRPr="00EC023D">
        <w:t>k predlogu Komisije</w:t>
      </w:r>
    </w:p>
    <w:p w:rsidR="00D175E6" w:rsidRPr="00EC023D" w:rsidRDefault="00D175E6" w:rsidP="00D175E6">
      <w:pPr>
        <w:pStyle w:val="ConsLine"/>
      </w:pPr>
      <w:r w:rsidRPr="00EC023D">
        <w:t>---------------------------------------------------------</w:t>
      </w:r>
    </w:p>
    <w:p w:rsidR="00D175E6" w:rsidRPr="00EC023D" w:rsidRDefault="00D175E6" w:rsidP="00D175E6">
      <w:pPr>
        <w:pStyle w:val="Statut"/>
      </w:pPr>
      <w:r w:rsidRPr="00EC023D">
        <w:t>Predlog</w:t>
      </w:r>
    </w:p>
    <w:p w:rsidR="00D175E6" w:rsidRPr="009A0276" w:rsidRDefault="00D175E6" w:rsidP="00D175E6">
      <w:pPr>
        <w:pStyle w:val="Typedudocument"/>
      </w:pPr>
      <w:r w:rsidRPr="009A0276">
        <w:t>UREDBA EVROPSKEGA PARLAMENTA IN SVETA</w:t>
      </w:r>
    </w:p>
    <w:p w:rsidR="00D175E6" w:rsidRPr="00EC023D" w:rsidRDefault="00D175E6" w:rsidP="00D175E6">
      <w:pPr>
        <w:pStyle w:val="Titreobjet"/>
        <w:rPr>
          <w:b w:val="0"/>
        </w:rPr>
      </w:pPr>
      <w:r w:rsidRPr="00EC023D">
        <w:t>o spremembi Uredbe (EU) 2015/1017 v zvezi s podaljšanjem Evropskega sklada za strateške naložbe ter uvedbo tehničnih izboljšav za ta sklad in Evropsko svetovalno vozlišče za naložbe</w:t>
      </w:r>
    </w:p>
    <w:p w:rsidR="00D175E6" w:rsidRPr="00EC023D" w:rsidRDefault="00D175E6" w:rsidP="00D175E6">
      <w:pPr>
        <w:pStyle w:val="Institutionquiagit"/>
      </w:pPr>
      <w:r w:rsidRPr="00EC023D">
        <w:lastRenderedPageBreak/>
        <w:t>EVROPSKI PARLAMENT IN SVET EVROPSKE UNIJE STA –</w:t>
      </w:r>
    </w:p>
    <w:p w:rsidR="00D175E6" w:rsidRPr="00EC023D" w:rsidRDefault="00D175E6" w:rsidP="00D175E6">
      <w:pPr>
        <w:spacing w:before="120" w:after="120"/>
      </w:pPr>
      <w:r w:rsidRPr="00EC023D">
        <w:t>ob upoštevanju Pogodbe o delovanju Evropske unije in zlasti členov 172 ter 173, tretjega odstavka člena 175 in člena 182(1) Pogodbe,</w:t>
      </w:r>
    </w:p>
    <w:p w:rsidR="00D175E6" w:rsidRPr="00EC023D" w:rsidRDefault="00D175E6" w:rsidP="00D175E6">
      <w:pPr>
        <w:spacing w:before="120" w:after="120"/>
      </w:pPr>
      <w:r w:rsidRPr="00EC023D">
        <w:t>ob upoštevanju predloga Evropske komisije,</w:t>
      </w:r>
    </w:p>
    <w:p w:rsidR="00D175E6" w:rsidRPr="00EC023D" w:rsidRDefault="00D175E6" w:rsidP="00D175E6">
      <w:pPr>
        <w:spacing w:before="120" w:after="120"/>
      </w:pPr>
      <w:r w:rsidRPr="00EC023D">
        <w:t>po posredovanju osnutka zakonodajnega akta nacionalnim parlamentom,</w:t>
      </w:r>
    </w:p>
    <w:p w:rsidR="00D175E6" w:rsidRPr="00EC023D" w:rsidRDefault="00D175E6" w:rsidP="00D175E6">
      <w:pPr>
        <w:spacing w:before="120" w:after="120"/>
      </w:pPr>
      <w:r w:rsidRPr="00EC023D">
        <w:t>ob upoštevanju mnenja Evropskega ekonomsko-socialnega odbora,</w:t>
      </w:r>
    </w:p>
    <w:p w:rsidR="00D175E6" w:rsidRPr="00EC023D" w:rsidRDefault="00D175E6" w:rsidP="00D175E6">
      <w:pPr>
        <w:spacing w:before="120" w:after="120"/>
      </w:pPr>
      <w:r w:rsidRPr="00EC023D">
        <w:t xml:space="preserve">ob upoštevanju mnenja Odbora regij, </w:t>
      </w:r>
    </w:p>
    <w:p w:rsidR="00D175E6" w:rsidRPr="00EC023D" w:rsidRDefault="00D175E6" w:rsidP="00D175E6">
      <w:pPr>
        <w:spacing w:before="120" w:after="120"/>
      </w:pPr>
      <w:r w:rsidRPr="00EC023D">
        <w:rPr>
          <w:b/>
          <w:i/>
        </w:rPr>
        <w:t>ob upoštevanju mnenja št. 2/2016 Računskega sodišča</w:t>
      </w:r>
      <w:r w:rsidRPr="00EC023D">
        <w:rPr>
          <w:rStyle w:val="FootnoteReference"/>
          <w:b/>
          <w:i/>
        </w:rPr>
        <w:footnoteReference w:id="2"/>
      </w:r>
      <w:r w:rsidRPr="00EC023D">
        <w:rPr>
          <w:b/>
          <w:i/>
        </w:rPr>
        <w:t>,</w:t>
      </w:r>
    </w:p>
    <w:p w:rsidR="00D175E6" w:rsidRPr="00EC023D" w:rsidRDefault="00D175E6" w:rsidP="00D175E6">
      <w:pPr>
        <w:spacing w:before="120" w:after="120"/>
      </w:pPr>
      <w:r w:rsidRPr="00EC023D">
        <w:t>v skladu z rednim zakonodajnim postopkom,</w:t>
      </w:r>
    </w:p>
    <w:p w:rsidR="00D175E6" w:rsidRPr="00EC023D" w:rsidRDefault="00D175E6" w:rsidP="00D175E6">
      <w:pPr>
        <w:spacing w:before="120" w:after="120"/>
      </w:pPr>
      <w:r w:rsidRPr="00EC023D">
        <w:t>ob upoštevanju naslednjega:</w:t>
      </w:r>
    </w:p>
    <w:p w:rsidR="00D175E6" w:rsidRPr="00EC023D" w:rsidRDefault="00D175E6" w:rsidP="00D175E6">
      <w:pPr>
        <w:pStyle w:val="Considrant"/>
        <w:numPr>
          <w:ilvl w:val="0"/>
          <w:numId w:val="0"/>
        </w:numPr>
        <w:tabs>
          <w:tab w:val="left" w:pos="709"/>
        </w:tabs>
        <w:ind w:left="709" w:hanging="709"/>
        <w:rPr>
          <w:szCs w:val="24"/>
        </w:rPr>
      </w:pPr>
      <w:r w:rsidRPr="00EC023D">
        <w:t>(1)</w:t>
      </w:r>
      <w:r w:rsidRPr="00EC023D">
        <w:tab/>
        <w:t>Po predstavitvi naložbenega načrta za Evropo novembra 2014</w:t>
      </w:r>
      <w:r w:rsidRPr="00EC023D">
        <w:rPr>
          <w:rStyle w:val="FootnoteReference"/>
        </w:rPr>
        <w:footnoteReference w:id="3"/>
      </w:r>
      <w:r w:rsidRPr="00EC023D">
        <w:t xml:space="preserve"> so se pogoji za porabo naložb izboljšali, zaupanje v evropsko gospodarstvo, rast pa se spet obuja. Gospodarstvo Unije že četrto leto zmerno okreva in bruto domači proizvod se je v letu 2015 povečal za 2 %, </w:t>
      </w:r>
      <w:r w:rsidRPr="00EC023D">
        <w:rPr>
          <w:b/>
          <w:i/>
        </w:rPr>
        <w:t>vendar so stopnje brezposelnosti še vedno višje od stopenj pred krizo.</w:t>
      </w:r>
      <w:r w:rsidRPr="00EC023D">
        <w:t xml:space="preserve"> Celovita prizadevanja, ki so se začela z naložbenim načrtom, že prinašajo konkretne rezultate, čeprav </w:t>
      </w:r>
      <w:r w:rsidRPr="00EC023D">
        <w:rPr>
          <w:b/>
          <w:i/>
        </w:rPr>
        <w:t>še ni mogoče oceniti celotnega učinka sklada EFSI na rast, saj</w:t>
      </w:r>
      <w:r w:rsidRPr="00EC023D">
        <w:t xml:space="preserve"> makroekonomskih učinkov večjih naložbenih projektov ni mogoče pričakovati takoj. Naložbe naj bi se v letih 2016 in 2017 po pričakovanjih postopno povečevale</w:t>
      </w:r>
      <w:r w:rsidRPr="00EC023D">
        <w:rPr>
          <w:b/>
          <w:i/>
        </w:rPr>
        <w:t>, vendar napredujejo počasi in</w:t>
      </w:r>
      <w:r w:rsidRPr="00EC023D">
        <w:t xml:space="preserve"> še ne dosegajo preteklih ravni. </w:t>
      </w:r>
    </w:p>
    <w:p w:rsidR="00D175E6" w:rsidRPr="00EC023D" w:rsidRDefault="00D175E6" w:rsidP="00D175E6">
      <w:pPr>
        <w:pStyle w:val="Considrant"/>
        <w:numPr>
          <w:ilvl w:val="0"/>
          <w:numId w:val="0"/>
        </w:numPr>
        <w:tabs>
          <w:tab w:val="left" w:pos="709"/>
        </w:tabs>
        <w:ind w:left="709" w:hanging="709"/>
      </w:pPr>
      <w:r w:rsidRPr="00EC023D">
        <w:t>(2)</w:t>
      </w:r>
      <w:r w:rsidRPr="00EC023D">
        <w:tab/>
        <w:t xml:space="preserve">Ta pozitivni zagon bi bilo treba ohraniti in še naprej si je treba prizadevati, da naložbe ponovno dosežejo dolgoročno vzdržni trend in se usmerijo v realni sektor. Mehanizmi v okviru naložbenega načrta dobro delujejo in treba bi jih bilo okrepiti za nadaljevanje mobilizacije zasebnih naložb v sektorje, pomembne za prihodnost Evrope, in tja, kjer so še vedno prisotni nedelovanje trga ali neoptimalne naložbene okoliščine </w:t>
      </w:r>
      <w:r w:rsidRPr="00EC023D">
        <w:rPr>
          <w:b/>
          <w:i/>
        </w:rPr>
        <w:t>tako, da bi dosegli znaten makroekonomski učinek in ustvarjali delovna mesta</w:t>
      </w:r>
      <w:r w:rsidRPr="00EC023D">
        <w:t xml:space="preserve">. </w:t>
      </w:r>
    </w:p>
    <w:p w:rsidR="00D175E6" w:rsidRPr="00EC023D" w:rsidRDefault="00D175E6" w:rsidP="00D175E6">
      <w:pPr>
        <w:pStyle w:val="Considrant"/>
        <w:numPr>
          <w:ilvl w:val="0"/>
          <w:numId w:val="0"/>
        </w:numPr>
        <w:tabs>
          <w:tab w:val="left" w:pos="709"/>
        </w:tabs>
        <w:ind w:left="709" w:hanging="709"/>
      </w:pPr>
      <w:r w:rsidRPr="00EC023D">
        <w:t>(3)</w:t>
      </w:r>
      <w:r w:rsidRPr="00EC023D">
        <w:tab/>
        <w:t xml:space="preserve">Komisija je 1. junija 2016 izdala sporočilo z naslovom „Evropa spet vlaga – pregled izvajanja naložbenega načrta za Evropo in naslednji koraki“, ki povzema dosedanje dosežke naložbenega načrta in načrtovane prihodnje ukrepe, vključno s podaljšanjem Evropskega sklada za strateške naložbe (v nadaljnjem besedilu: EFSI) prek prvotnega triletnega obdobja, povečanjem dela za mala in srednja podjetja (v nadaljnjem besedilu: MSP) v okviru obstoječega okvira in izboljšanjem Evropskega svetovalnega vozlišča za naložbe (v nadaljnjem besedilu: EIAH). </w:t>
      </w:r>
    </w:p>
    <w:p w:rsidR="00D175E6" w:rsidRPr="00EC023D" w:rsidRDefault="00D175E6" w:rsidP="00D175E6">
      <w:pPr>
        <w:pStyle w:val="Considrant"/>
        <w:numPr>
          <w:ilvl w:val="0"/>
          <w:numId w:val="0"/>
        </w:numPr>
        <w:tabs>
          <w:tab w:val="left" w:pos="709"/>
        </w:tabs>
        <w:ind w:left="709" w:hanging="709"/>
      </w:pPr>
      <w:r w:rsidRPr="00EC023D">
        <w:t>(4)</w:t>
      </w:r>
      <w:r w:rsidRPr="00EC023D">
        <w:tab/>
        <w:t>EFSI, katerega izvajalka je▐ skupina EIB, je▐ na poti, da i</w:t>
      </w:r>
      <w:r w:rsidRPr="00EC023D">
        <w:rPr>
          <w:b/>
          <w:i/>
        </w:rPr>
        <w:t>z kvantitativne perspektive</w:t>
      </w:r>
      <w:r w:rsidRPr="00EC023D">
        <w:t xml:space="preserve"> doseže cilj mobilizacije najmanj 315 milijard EUR dodatnih naložb v realni sektor do sredine leta 2018. </w:t>
      </w:r>
      <w:r w:rsidRPr="00EC023D">
        <w:rPr>
          <w:b/>
          <w:i/>
        </w:rPr>
        <w:t>Odziv</w:t>
      </w:r>
      <w:r w:rsidRPr="00EC023D">
        <w:t xml:space="preserve"> trga </w:t>
      </w:r>
      <w:r w:rsidRPr="00EC023D">
        <w:rPr>
          <w:b/>
          <w:i/>
        </w:rPr>
        <w:t>in</w:t>
      </w:r>
      <w:r w:rsidRPr="00EC023D">
        <w:t xml:space="preserve"> sprejem sta bila še posebej hitra na področju MSP, kjer EFSI presega pričakovanja, </w:t>
      </w:r>
      <w:r w:rsidRPr="00EC023D">
        <w:rPr>
          <w:b/>
          <w:i/>
        </w:rPr>
        <w:t xml:space="preserve">pri čemer se bo za hitrejši zagon opiral tudi na </w:t>
      </w:r>
      <w:r w:rsidRPr="00EC023D">
        <w:rPr>
          <w:b/>
          <w:i/>
        </w:rPr>
        <w:lastRenderedPageBreak/>
        <w:t>prvotno uporabo obstoječih mandatov Evropskega investicijskega sklada (EIS) (InnovFin SMEG, COSME LGF in RCR).</w:t>
      </w:r>
      <w:r w:rsidRPr="00EC023D">
        <w:t xml:space="preserve"> Julija 2016 so bila zato v okviru obstoječih parametrov Uredbe (EU) 2015/1017 sredstva v delu za MSP povečana za 500 milijonov EUR. Zaradi izredno velikega povpraševanja na trgu po financiranju MSP v okviru EFSI bo večji delež financiranja namenjen MSP: 40 % povečane sposobnosti EFSI za prevzemanje tveganj bi moralo biti namenjenih za izboljšanje dostopa MSP do financiranja.</w:t>
      </w:r>
    </w:p>
    <w:p w:rsidR="00D175E6" w:rsidRPr="00EC023D" w:rsidRDefault="00D175E6" w:rsidP="00D175E6">
      <w:pPr>
        <w:pStyle w:val="Considrant"/>
        <w:numPr>
          <w:ilvl w:val="0"/>
          <w:numId w:val="0"/>
        </w:numPr>
        <w:tabs>
          <w:tab w:val="left" w:pos="709"/>
        </w:tabs>
        <w:ind w:left="709" w:hanging="709"/>
      </w:pPr>
      <w:r w:rsidRPr="00EC023D">
        <w:t>(5)</w:t>
      </w:r>
      <w:r w:rsidRPr="00EC023D">
        <w:tab/>
        <w:t>Evropski svet je 28. junija 2016 sklenil, da naložbeni načrt za Evropo in zlasti Evropski sklad za strateške naložbe (EFSI) že dajeta konkretne rezultate in sta pomembno sredstvo za pomoč pri spodbujanju zasebnih naložb, ob racionalni uporabi omejenih proračunskih virov. Komisija namerava kmalu predstaviti predloge v zvezi s prihodnostjo EFSI, ki bi jih morala Evropski parlament in Svet obravnavati prednostno.“</w:t>
      </w:r>
    </w:p>
    <w:p w:rsidR="00D175E6" w:rsidRPr="00EC023D" w:rsidRDefault="00D175E6" w:rsidP="00D175E6">
      <w:pPr>
        <w:pStyle w:val="Considrant"/>
        <w:numPr>
          <w:ilvl w:val="0"/>
          <w:numId w:val="0"/>
        </w:numPr>
        <w:tabs>
          <w:tab w:val="left" w:pos="709"/>
        </w:tabs>
        <w:ind w:left="709" w:hanging="709"/>
      </w:pPr>
      <w:r w:rsidRPr="00EC023D">
        <w:t>(6)</w:t>
      </w:r>
      <w:r w:rsidRPr="00EC023D">
        <w:tab/>
        <w:t xml:space="preserve">EFSI je bil ustanovljen za začetno obdobje treh let in z namenom mobilizacije najmanj 315 milijard EUR naložb. </w:t>
      </w:r>
      <w:r w:rsidRPr="00EC023D">
        <w:rPr>
          <w:b/>
          <w:i/>
        </w:rPr>
        <w:t xml:space="preserve">Vendar bi želja po doseganju količinskega cilja ne smela prevladati nad dodatnostjo izbranih projektov. </w:t>
      </w:r>
      <w:r w:rsidRPr="00EC023D">
        <w:t xml:space="preserve"> Komisija si </w:t>
      </w:r>
      <w:r w:rsidRPr="00EC023D">
        <w:rPr>
          <w:b/>
          <w:i/>
        </w:rPr>
        <w:t>zato</w:t>
      </w:r>
      <w:r w:rsidRPr="00EC023D">
        <w:t xml:space="preserve"> prizadeva </w:t>
      </w:r>
      <w:r w:rsidRPr="00EC023D">
        <w:rPr>
          <w:b/>
          <w:i/>
        </w:rPr>
        <w:t xml:space="preserve">ne le </w:t>
      </w:r>
      <w:r w:rsidRPr="00EC023D">
        <w:t xml:space="preserve">za </w:t>
      </w:r>
      <w:r w:rsidRPr="00EC023D">
        <w:rPr>
          <w:b/>
          <w:i/>
        </w:rPr>
        <w:t>podaljšanje naložbenega obdobja in finančnih zmogljivosti EFSI, ampak tudi za višjo stopnjo dodatnosti</w:t>
      </w:r>
      <w:r w:rsidRPr="00EC023D">
        <w:t xml:space="preserve">. Pravno podaljšanje zajema obdobje sedanjega večletnega finančnega okvira in naj bi do leta 2020 zagotovilo naložbe v skupni vrednosti vsaj pol bilijona EUR. Da bi še bolj okrepili uspešnost EFSI ter dosegli podvojitev naložbenega cilja, bi moralo prispevanje v sklad postati prednostna naloga tudi za držav članic. </w:t>
      </w:r>
    </w:p>
    <w:p w:rsidR="00D175E6" w:rsidRPr="00EC023D" w:rsidRDefault="00D175E6" w:rsidP="00D175E6">
      <w:pPr>
        <w:pStyle w:val="Considrant"/>
        <w:numPr>
          <w:ilvl w:val="0"/>
          <w:numId w:val="0"/>
        </w:numPr>
        <w:tabs>
          <w:tab w:val="left" w:pos="709"/>
        </w:tabs>
        <w:ind w:left="709" w:hanging="709"/>
        <w:rPr>
          <w:i/>
        </w:rPr>
      </w:pPr>
      <w:r w:rsidRPr="00EC023D">
        <w:rPr>
          <w:b/>
          <w:i/>
        </w:rPr>
        <w:t>(6a)</w:t>
      </w:r>
      <w:r w:rsidRPr="00EC023D">
        <w:rPr>
          <w:b/>
          <w:i/>
        </w:rPr>
        <w:tab/>
        <w:t>EFSI in njegovo izvajanje ne more biti popolnoma uspešno, če se ne izvajajo dejavnosti, namenjene krepitvi enotnega trga, ustvarjanju ugodnega poslovnega okolja in izvajanju socialno uravnoteženih in trajnostnih strukturnih reform. Poleg tega so dobro strukturirani projekti kot deli naložb in razvojnih načrtov, uvedenih na ravni držav članic, ključni za uspeh EFSI. Države članice so zato pozvane, da podprejo krepitev zmogljivosti na področju trajnostnih naložb, zlasti na regionalni in lokalni ravni, ter zagotovijo vzpostavitev upravnih struktur, potrebnih za ta namen.</w:t>
      </w:r>
    </w:p>
    <w:p w:rsidR="00D175E6" w:rsidRPr="00EC023D" w:rsidRDefault="00D175E6" w:rsidP="00D175E6">
      <w:pPr>
        <w:pStyle w:val="Considrant"/>
        <w:numPr>
          <w:ilvl w:val="0"/>
          <w:numId w:val="0"/>
        </w:numPr>
        <w:tabs>
          <w:tab w:val="left" w:pos="709"/>
        </w:tabs>
        <w:ind w:left="709" w:hanging="709"/>
      </w:pPr>
      <w:r w:rsidRPr="00EC023D">
        <w:t>(7)</w:t>
      </w:r>
      <w:r w:rsidRPr="00EC023D">
        <w:tab/>
        <w:t xml:space="preserve">Za obdobje po letu 2020 </w:t>
      </w:r>
      <w:r w:rsidRPr="00EC023D">
        <w:rPr>
          <w:b/>
          <w:i/>
        </w:rPr>
        <w:t>bi morala</w:t>
      </w:r>
      <w:r w:rsidRPr="00EC023D">
        <w:t xml:space="preserve"> Komisija </w:t>
      </w:r>
      <w:r w:rsidRPr="00EC023D">
        <w:rPr>
          <w:b/>
          <w:i/>
        </w:rPr>
        <w:t>v skladu z novim večletnim finančnim okvirom pripraviti zakonodajni predlog o celoviti naložbeni shemi za učinkovito obravnavo pomanjkanja naložb v Uniji.</w:t>
      </w:r>
      <w:r w:rsidRPr="00EC023D">
        <w:rPr>
          <w:b/>
          <w:bCs/>
          <w:i/>
          <w:iCs/>
        </w:rPr>
        <w:t xml:space="preserve"> Ta predlog bi moral temeljiti na ugotovitvah poročila Komisije in neodvisno oceno je treba predložiti do 31. decembra 2018 Evropskemu parlamentu in Svetu. V tem poročilu in neodvisni oceni bi bilo treba tudi preučiti uporabo Uredbe (EU)  </w:t>
      </w:r>
      <w:r w:rsidRPr="00EC023D">
        <w:rPr>
          <w:b/>
          <w:i/>
        </w:rPr>
        <w:t>2015/1017, kot je bila spremenjena s to uredbo, v okviru podaljšanega obdobja EFSI.</w:t>
      </w:r>
    </w:p>
    <w:p w:rsidR="00D175E6" w:rsidRPr="00EC023D" w:rsidRDefault="00D175E6" w:rsidP="00D175E6">
      <w:pPr>
        <w:pStyle w:val="Considrant"/>
        <w:numPr>
          <w:ilvl w:val="0"/>
          <w:numId w:val="0"/>
        </w:numPr>
        <w:tabs>
          <w:tab w:val="left" w:pos="709"/>
        </w:tabs>
        <w:ind w:left="709" w:hanging="709"/>
      </w:pPr>
      <w:r w:rsidRPr="00EC023D">
        <w:t>(8)</w:t>
      </w:r>
      <w:r w:rsidRPr="00EC023D">
        <w:tab/>
        <w:t>Podaljšani in razširjeni EFSI bi moral obravnavati preostalo nedelovanje trga in neoptimalne naložbene okoliščine ter še naprej mobilizirati financiranje zasebnega sektorja v naložbah, ki so bistvenega pomena za prihodnje ustvarjanje delovnih mest (tudi za mlade) v Evropi, rast in konkurenčnost ter okrepljeno dodatnosti. To vključuje naložbe na področjih energije, okolja in podnebnih ukrepov, socialnega in človeškega kapitala ter z njim povezane infrastrukture, zdravstva, raziskav in inovacij, čezmejnega in trajnostnega prometa ter digitalne preobrazbe. Prav tako bi bilo treba okrepiti prispevek operacij, ki jih podpira EFSI, k doseganju ambicioznih ciljev Unije s konference o podnebnih spremembah v Parizu (COP21)</w:t>
      </w:r>
      <w:r w:rsidRPr="00EC023D">
        <w:rPr>
          <w:b/>
          <w:i/>
        </w:rPr>
        <w:t xml:space="preserve"> in zavezo Unije k </w:t>
      </w:r>
      <w:r w:rsidRPr="00EC023D">
        <w:rPr>
          <w:b/>
          <w:i/>
        </w:rPr>
        <w:lastRenderedPageBreak/>
        <w:t>zmanjšanju emisij toplogrednih plinov za 80–95 %</w:t>
      </w:r>
      <w:r w:rsidRPr="00EC023D">
        <w:t xml:space="preserve">. Več sredstev bi bilo treba nameniti tudi prednostnim projektom medsebojne povezave na energetskem področju in projektom za energetsko učinkovitost.. Poleg tega bi morala biti podpora EFSI za avtoceste </w:t>
      </w:r>
      <w:r w:rsidRPr="00EC023D">
        <w:rPr>
          <w:b/>
          <w:i/>
        </w:rPr>
        <w:t>omejena</w:t>
      </w:r>
      <w:r w:rsidRPr="00EC023D">
        <w:t xml:space="preserve"> na spodbujanje zasebnih </w:t>
      </w:r>
      <w:r w:rsidRPr="00EC023D">
        <w:rPr>
          <w:b/>
          <w:i/>
        </w:rPr>
        <w:t>in/ali javnih</w:t>
      </w:r>
      <w:r w:rsidRPr="00EC023D">
        <w:t xml:space="preserve"> naložb na področju prometa v kohezijskih državah, </w:t>
      </w:r>
      <w:r w:rsidRPr="00EC023D">
        <w:rPr>
          <w:b/>
          <w:i/>
        </w:rPr>
        <w:t>manj razvitih regijah</w:t>
      </w:r>
      <w:r w:rsidRPr="00EC023D">
        <w:t xml:space="preserve"> ali pri čezmejnih prometnih projektih </w:t>
      </w:r>
      <w:r w:rsidRPr="00EC023D">
        <w:rPr>
          <w:b/>
          <w:i/>
        </w:rPr>
        <w:t>ali za potrebe nadgradnje, vzdrževanja in izboljšanja varnosti v cestnem prometu, razvoja inteligentnih prometnih sistemov ali zagotavljanja neokrnjenosti in standardov obstoječih avtocest v vseevropskem prometnem omrežju, zlasti varnih parkirnih mest, črpalk z alternativnimi čistimi gorivi in sistemov za električno polnjenje</w:t>
      </w:r>
      <w:r w:rsidRPr="00EC023D">
        <w:t xml:space="preserve">. </w:t>
      </w:r>
      <w:r w:rsidRPr="00EC023D">
        <w:rPr>
          <w:b/>
          <w:i/>
        </w:rPr>
        <w:t xml:space="preserve">V digitalnem sektorju in na področju uporabe ambiciozne politike Unije o digitalnem gospodarstvu bi bilo treba določiti nove digitalne infrastrukturne cilje, da bi zagotovili, da bo digitalni razkorak odpravljen in da bo Unija imela vodilno vlogo v novi dobi t. i. interneta stvari, tehnologije verig blokov ter kibernetske varnosti in varnosti omrežij. </w:t>
      </w:r>
      <w:r w:rsidRPr="00EC023D">
        <w:t>Zaradi jasnosti in kljub že sedanji upravičenosti bi bilo treba izrecno določiti, da spadajo projekti s področja kmetijstva, ribištva in ribogojstva v okvir splošnih ciljev in so torej upravičeni do podpore EFSI.</w:t>
      </w:r>
    </w:p>
    <w:p w:rsidR="00D175E6" w:rsidRPr="00EC023D" w:rsidRDefault="00D175E6" w:rsidP="00D175E6">
      <w:pPr>
        <w:pStyle w:val="Considrant"/>
        <w:numPr>
          <w:ilvl w:val="0"/>
          <w:numId w:val="0"/>
        </w:numPr>
        <w:tabs>
          <w:tab w:val="left" w:pos="709"/>
        </w:tabs>
        <w:ind w:left="709" w:hanging="709"/>
      </w:pPr>
      <w:r w:rsidRPr="00EC023D">
        <w:rPr>
          <w:b/>
          <w:i/>
        </w:rPr>
        <w:t>(8a)</w:t>
      </w:r>
      <w:r w:rsidRPr="00EC023D">
        <w:rPr>
          <w:b/>
          <w:i/>
        </w:rPr>
        <w:tab/>
        <w:t>Da bi dosegli cilje Unije, določene na konferenci o podnebnih spremembah v Parizu (COP21), bi moral usmerjevalni odbor zagotoviti podrobna navodila in orodja za ocenjevanje, zlasti kar zadeva upravičene projekte in celoten portfelj EFSI, ob posebnem upoštevanju COP21. Za okrepitev ukrepov v okviru EFSI, povezanih s podnebjem, bi morala EIB izkoristiti izkušnje, ki jih je pridobila kot eden glavnih ponudnikov finančnih sredstev za podnebne ukrepe, in uporabiti mednarodno dogovorjene metodologije za opredelitev elementov in stroškov, povezanih s podnebjem.</w:t>
      </w:r>
    </w:p>
    <w:p w:rsidR="00D175E6" w:rsidRPr="00EC023D" w:rsidRDefault="00D175E6" w:rsidP="00D175E6">
      <w:pPr>
        <w:pStyle w:val="Considrant"/>
        <w:numPr>
          <w:ilvl w:val="0"/>
          <w:numId w:val="0"/>
        </w:numPr>
        <w:tabs>
          <w:tab w:val="left" w:pos="709"/>
        </w:tabs>
        <w:ind w:left="709" w:hanging="709"/>
      </w:pPr>
      <w:r w:rsidRPr="00EC023D">
        <w:rPr>
          <w:b/>
          <w:i/>
        </w:rPr>
        <w:t>(8b)</w:t>
      </w:r>
      <w:r w:rsidRPr="00EC023D">
        <w:rPr>
          <w:b/>
          <w:i/>
        </w:rPr>
        <w:tab/>
        <w:t>Kulturna in kreativna industrija imata ključno vlogo pri ponovni industrializaciji Evrope, spodbujata rast in imata strateški položaj za ustvarjanje inovativnih zunanjih vplivov na druge industrijske sektorje, kot so turizem, maloprodaja in digitalne tehnologije. EFSI bi moral pomagati MSP, da presežejo pomanjkanje kapitala v tem sektorju in bi moral načeloma biti usmerjen v projekte, ki imajo višje tveganje kot projekti, ki jih trenutno financira program Ustvarjalna Evropa in jamstvene sheme.</w:t>
      </w:r>
    </w:p>
    <w:p w:rsidR="00D175E6" w:rsidRPr="00EC023D" w:rsidRDefault="00D175E6" w:rsidP="00D175E6">
      <w:pPr>
        <w:pStyle w:val="Considrant"/>
        <w:numPr>
          <w:ilvl w:val="0"/>
          <w:numId w:val="0"/>
        </w:numPr>
        <w:tabs>
          <w:tab w:val="left" w:pos="709"/>
        </w:tabs>
        <w:ind w:left="709" w:hanging="709"/>
      </w:pPr>
      <w:r w:rsidRPr="00EC023D">
        <w:t>(9)</w:t>
      </w:r>
      <w:r w:rsidRPr="00EC023D">
        <w:tab/>
        <w:t xml:space="preserve">Pri izboru projektov bi bilo treba okrepiti dodatnost, ključno značilnost sklada EFSI. Zlasti bi morale biti operacije do podpore EFSI upravičene le, če obravnavajo jasno ugotovljene nedelovanje trga ali neoptimalne naložbene okoliščine. Za operacije na področju infrastrukture v okviru dela za infrastrukturo in inovacije, ki povezujejo dve ali več držav članic </w:t>
      </w:r>
      <w:r w:rsidRPr="00EC023D">
        <w:rPr>
          <w:b/>
          <w:i/>
        </w:rPr>
        <w:t>ali regij</w:t>
      </w:r>
      <w:r w:rsidRPr="00EC023D">
        <w:t xml:space="preserve">, vključno z e-infrastrukturami </w:t>
      </w:r>
      <w:r w:rsidRPr="00EC023D">
        <w:rPr>
          <w:b/>
          <w:i/>
        </w:rPr>
        <w:t>ali omrežji TEN-T in TEN-E</w:t>
      </w:r>
      <w:r w:rsidRPr="00EC023D">
        <w:t xml:space="preserve">, bi morale </w:t>
      </w:r>
      <w:r w:rsidRPr="00EC023D">
        <w:rPr>
          <w:b/>
          <w:i/>
        </w:rPr>
        <w:t>odločno kazati na dodatnost,</w:t>
      </w:r>
      <w:r w:rsidRPr="00EC023D">
        <w:t xml:space="preserve"> saj so te že po naravi precej težavne in imajo visoko dodano vrednost za Unijo. </w:t>
      </w:r>
    </w:p>
    <w:p w:rsidR="00D175E6" w:rsidRPr="00EC023D" w:rsidRDefault="00D175E6" w:rsidP="00D175E6">
      <w:pPr>
        <w:pStyle w:val="Considrant"/>
        <w:numPr>
          <w:ilvl w:val="0"/>
          <w:numId w:val="0"/>
        </w:numPr>
        <w:tabs>
          <w:tab w:val="left" w:pos="709"/>
        </w:tabs>
        <w:ind w:left="709" w:hanging="709"/>
      </w:pPr>
      <w:r w:rsidRPr="00EC023D">
        <w:rPr>
          <w:b/>
          <w:i/>
        </w:rPr>
        <w:t>(9a)</w:t>
      </w:r>
      <w:r w:rsidRPr="00EC023D">
        <w:tab/>
      </w:r>
      <w:r w:rsidRPr="00EC023D">
        <w:rPr>
          <w:b/>
          <w:i/>
        </w:rPr>
        <w:t>Izpolnjevanje merila dodatnosti je odvisno od specifičnih gospodarskih razmer v regiji, saj je projekt v eni regiji lahko dodaten, v drugi pa ne. Naložbeni odbor bi zato pri ocenjevanju izpolnjevanja merila dodatnosti moral upoštevati razmere v posamezni regiji.</w:t>
      </w:r>
    </w:p>
    <w:p w:rsidR="00D175E6" w:rsidRPr="00EC023D" w:rsidRDefault="00D175E6" w:rsidP="00D175E6">
      <w:pPr>
        <w:pStyle w:val="Considrant"/>
        <w:numPr>
          <w:ilvl w:val="0"/>
          <w:numId w:val="0"/>
        </w:numPr>
        <w:tabs>
          <w:tab w:val="left" w:pos="709"/>
        </w:tabs>
        <w:ind w:left="709" w:hanging="709"/>
      </w:pPr>
      <w:r w:rsidRPr="00EC023D">
        <w:t>(10)</w:t>
      </w:r>
      <w:r w:rsidRPr="00EC023D">
        <w:tab/>
        <w:t xml:space="preserve">Zaradi potenciala za povečanje učinkovitosti posredovanj EFSI bi bilo treba spodbujati dejavnosti kombiniranja, ki združujejo nepovratne oblike pomoči in/ali finančne instrumente iz proračuna Unije, ▐ vključno s financiranjem EIB v okviru EFSI, ter </w:t>
      </w:r>
      <w:r w:rsidRPr="00EC023D">
        <w:lastRenderedPageBreak/>
        <w:t xml:space="preserve">druge vlagatelje. Namena kombiniranja sta povečanje dodane vrednosti odhodkov Unije s privabljanjem dodatnih sredstev zasebnih vlagateljev ter zagotavljanje, da se podprejo ukrepi, ki so ekonomsko in finančno izvedljivi. </w:t>
      </w:r>
      <w:r w:rsidRPr="00EC023D">
        <w:rPr>
          <w:b/>
          <w:i/>
        </w:rPr>
        <w:t>Čeprav je Komisija že objavila konkretna navodila v zvezi s tem, bi bilo treba nadalje oblikovati pristop glede vprašanja združevanja sredstev iz EFSI s sredstvi Unije, pri tem pa upoštevati gospodarsko učinkovitost in ustrezne vzvode. Kombinirana uporaba EFSI ter evropskih strukturnih in investicijskih skladov lahko prispeva k večji geografski pokritosti z EFSI.</w:t>
      </w:r>
    </w:p>
    <w:p w:rsidR="00D175E6" w:rsidRPr="00EC023D" w:rsidRDefault="00D175E6" w:rsidP="00D175E6">
      <w:pPr>
        <w:pStyle w:val="Considrant"/>
        <w:numPr>
          <w:ilvl w:val="0"/>
          <w:numId w:val="0"/>
        </w:numPr>
        <w:tabs>
          <w:tab w:val="left" w:pos="709"/>
        </w:tabs>
        <w:ind w:left="709" w:hanging="709"/>
      </w:pPr>
      <w:r w:rsidRPr="00EC023D">
        <w:t>(11)</w:t>
      </w:r>
      <w:r w:rsidRPr="00EC023D">
        <w:tab/>
        <w:t xml:space="preserve">Da bi okrepili uporabo EFSI v manj razvitih regijah in regijah v prehodu, bi bilo treba razširiti obseg splošnih ciljev, upravičenih do podpore EFSI. </w:t>
      </w:r>
      <w:r w:rsidRPr="00EC023D">
        <w:rPr>
          <w:b/>
          <w:i/>
        </w:rPr>
        <w:t>Ob upoštevanju dejstva, da ne bi smelo biti omejitev glede velikosti projektov, ki so upravičeni do podpore s strani EFSI, se projektov majhnega obsega ne bi smelo odvračati od vložitve prošnje za pridobitev finančnih sredstev iz EFSI.</w:t>
      </w:r>
      <w:r w:rsidRPr="00EC023D">
        <w:rPr>
          <w:b/>
        </w:rPr>
        <w:t xml:space="preserve"> </w:t>
      </w:r>
      <w:r w:rsidRPr="00EC023D">
        <w:rPr>
          <w:b/>
          <w:i/>
        </w:rPr>
        <w:t xml:space="preserve"> Poleg tega so potrebni nadaljnji ukrepi za krepitev tehnične podpore in spodbujanje EFSI v teh regijah.</w:t>
      </w:r>
    </w:p>
    <w:p w:rsidR="00D175E6" w:rsidRPr="00EC023D" w:rsidRDefault="00D175E6" w:rsidP="00D175E6">
      <w:pPr>
        <w:pStyle w:val="Considrant"/>
        <w:numPr>
          <w:ilvl w:val="0"/>
          <w:numId w:val="0"/>
        </w:numPr>
        <w:tabs>
          <w:tab w:val="left" w:pos="709"/>
        </w:tabs>
        <w:ind w:left="709" w:hanging="709"/>
        <w:rPr>
          <w:b/>
          <w:bCs/>
          <w:i/>
          <w:iCs/>
        </w:rPr>
      </w:pPr>
      <w:r w:rsidRPr="00EC023D">
        <w:rPr>
          <w:b/>
          <w:i/>
        </w:rPr>
        <w:t>(11a)</w:t>
      </w:r>
      <w:r w:rsidRPr="00EC023D">
        <w:tab/>
      </w:r>
      <w:r w:rsidRPr="00EC023D">
        <w:rPr>
          <w:b/>
          <w:i/>
        </w:rPr>
        <w:t xml:space="preserve">Naložbene platforme so bistveno orodje za obravnavanje nedelovanja trga, zlasti pri financiranju večplastnih, regionalnih ali tematskih projektov, vključno s projekti energetske učinkovitosti in čezmejnimi projekti. </w:t>
      </w:r>
      <w:r w:rsidRPr="00EC023D">
        <w:rPr>
          <w:b/>
          <w:bCs/>
          <w:i/>
          <w:iCs/>
        </w:rPr>
        <w:t>Zato je pomembno spodbujati partnerstva z nacionalnimi spodbujevalnimi bankami ali institucijami, tudi za vzpostavljanje naložbenih platform. V okviru teh partnerstev bi morali naložbenemu odboru v skladu z ustreznimi navodili usmerjevalnega odbora omogočiti, da se dodeli ustrezni delež jamstva EU neposredno naložbenim platformam oziroma nacionalnim spodbujevalnim bankam ali institucijam ter nanje prenese pristojnost za odločanje o izbiri projektov zanje. V teh primerih bi moral naložbeni odbor ohraniti pravico, da v vsakem trenutku nadzira postopek izbire projektov, da bi zagotovili, da se to izvaja v skladu s to uredbo.</w:t>
      </w:r>
    </w:p>
    <w:p w:rsidR="00D175E6" w:rsidRPr="00EC023D" w:rsidRDefault="00D175E6" w:rsidP="00D175E6">
      <w:pPr>
        <w:pStyle w:val="Considrant"/>
        <w:numPr>
          <w:ilvl w:val="0"/>
          <w:numId w:val="0"/>
        </w:numPr>
        <w:tabs>
          <w:tab w:val="left" w:pos="709"/>
        </w:tabs>
        <w:ind w:left="709" w:hanging="709"/>
      </w:pPr>
      <w:r w:rsidRPr="00EC023D">
        <w:rPr>
          <w:b/>
          <w:i/>
        </w:rPr>
        <w:t>(11b)</w:t>
      </w:r>
      <w:r w:rsidRPr="00EC023D">
        <w:rPr>
          <w:b/>
          <w:i/>
        </w:rPr>
        <w:tab/>
      </w:r>
      <w:r w:rsidRPr="00EC023D">
        <w:rPr>
          <w:b/>
          <w:bCs/>
          <w:i/>
          <w:iCs/>
        </w:rPr>
        <w:t>Ta možnost neposredne odobritve jamstva EU za naložbene platforme in nacionalne spodbujevalne banke ali institucije nikakor ne bi smela povzročiti splošne diskriminacije proti državam članicam, ki niso ustanovile takih subjektov, niti ne bi smela privesti do geografske koncentracije.</w:t>
      </w:r>
    </w:p>
    <w:p w:rsidR="00D175E6" w:rsidRPr="00EC023D" w:rsidRDefault="00D175E6" w:rsidP="00D175E6">
      <w:pPr>
        <w:pStyle w:val="Considrant"/>
        <w:numPr>
          <w:ilvl w:val="0"/>
          <w:numId w:val="0"/>
        </w:numPr>
        <w:tabs>
          <w:tab w:val="left" w:pos="709"/>
        </w:tabs>
        <w:ind w:left="709" w:hanging="709"/>
      </w:pPr>
      <w:r w:rsidRPr="00EC023D">
        <w:t>(12)</w:t>
      </w:r>
      <w:r w:rsidRPr="00EC023D">
        <w:tab/>
        <w:t>Za celotno naložbeno obdobje bi morala Unija zagotovi jamstvo Unije (v nadaljnjem besedilu: jamstvo EU), ki ne bi smelo nikoli preseči 26 000 000 000 EUR, da se EFSI omogoči podpiranje naložb, od tega bi moralo biti največ 16 000 000 000 EUR na voljo pred 6. julijem 2018.</w:t>
      </w:r>
    </w:p>
    <w:p w:rsidR="00D175E6" w:rsidRPr="00EC023D" w:rsidRDefault="00D175E6" w:rsidP="00D175E6">
      <w:pPr>
        <w:pStyle w:val="Considrant"/>
        <w:numPr>
          <w:ilvl w:val="0"/>
          <w:numId w:val="0"/>
        </w:numPr>
        <w:tabs>
          <w:tab w:val="left" w:pos="709"/>
        </w:tabs>
        <w:ind w:left="709" w:hanging="709"/>
      </w:pPr>
      <w:r w:rsidRPr="00EC023D">
        <w:t>(13)</w:t>
      </w:r>
      <w:r w:rsidRPr="00EC023D">
        <w:tab/>
        <w:t>Po pričakovanjih naj bi EIB in EIS s podporo EFSI ob jamstvu EU, povečanem za 7 500 000 000 EUR, ki jih zagotovi EIB, ustvarila za 100 000 000 000 EUR dodatnih naložb. Znesek 100 000 000 000 EUR iz podpore EFSI naj bi do konca leta 2020 prinesel vsaj 500 000 000 000 EUR dodatnih naložb v realno gospodarstvo.</w:t>
      </w:r>
    </w:p>
    <w:p w:rsidR="00D175E6" w:rsidRPr="00EC023D" w:rsidRDefault="00D175E6" w:rsidP="00D175E6">
      <w:pPr>
        <w:pStyle w:val="Considrant"/>
        <w:numPr>
          <w:ilvl w:val="0"/>
          <w:numId w:val="0"/>
        </w:numPr>
        <w:tabs>
          <w:tab w:val="left" w:pos="709"/>
        </w:tabs>
        <w:ind w:left="709" w:hanging="709"/>
      </w:pPr>
      <w:r w:rsidRPr="00EC023D">
        <w:t>(14)</w:t>
      </w:r>
      <w:r w:rsidRPr="00EC023D">
        <w:tab/>
        <w:t xml:space="preserve">Da bi delno zagotovili financiranje prispevka iz splošnega proračuna Unije v jamstveni sklad EU za dodatne naložbe, bi bilo treba znesek v višini 650.000.000 EUR iz nedodeljenih razlik do zgornjih meja večletnega finančnega okvira za obdobje </w:t>
      </w:r>
      <w:r w:rsidRPr="00EC023D">
        <w:lastRenderedPageBreak/>
        <w:t>2014–2020 dodeliti za te namene, odobrita pa ga Evropski parlament in Svet</w:t>
      </w:r>
      <w:r w:rsidRPr="00EC023D">
        <w:rPr>
          <w:rStyle w:val="FootnoteReference"/>
        </w:rPr>
        <w:footnoteReference w:id="4"/>
      </w:r>
      <w:r w:rsidRPr="00EC023D">
        <w:t xml:space="preserve"> v okviru letnega proračunskega postopka. Poleg tega bi bilo treba </w:t>
      </w:r>
      <w:r w:rsidRPr="00EC023D">
        <w:rPr>
          <w:b/>
          <w:i/>
        </w:rPr>
        <w:t>1.645.797.000</w:t>
      </w:r>
      <w:r w:rsidRPr="00EC023D">
        <w:t> EUR odobrenih proračunskih sredstev prerazporediti s finančnih instrumentov IPE na del IPE, ki zajema nepovratna sredstva, da bi tako olajšali kombiniranje z EFSI ali z drugimi ustreznimi instrumenti, zlasti tistimi, namenjenimi energetski učinkovitosti.</w:t>
      </w:r>
    </w:p>
    <w:p w:rsidR="00D175E6" w:rsidRPr="00EC023D" w:rsidRDefault="00D175E6" w:rsidP="00D175E6">
      <w:pPr>
        <w:pStyle w:val="Considrant"/>
        <w:numPr>
          <w:ilvl w:val="0"/>
          <w:numId w:val="0"/>
        </w:numPr>
        <w:tabs>
          <w:tab w:val="left" w:pos="709"/>
        </w:tabs>
        <w:ind w:left="709" w:hanging="709"/>
      </w:pPr>
      <w:r w:rsidRPr="00EC023D">
        <w:t>(15)</w:t>
      </w:r>
      <w:r w:rsidRPr="00EC023D">
        <w:tab/>
        <w:t xml:space="preserve">Na podlagi izkušenj, pridobljenih z naložbami, ki prejmejo podporo EFSI, bi moral ciljni znesek jamstvenega sklada znašati 35 % skupnih obveznosti jamstva EU, kar bi zagotovilo ustrezno raven varstva.  </w:t>
      </w:r>
    </w:p>
    <w:p w:rsidR="00D175E6" w:rsidRPr="00EC023D" w:rsidRDefault="00D175E6" w:rsidP="00D175E6">
      <w:pPr>
        <w:pStyle w:val="Considrant"/>
        <w:numPr>
          <w:ilvl w:val="0"/>
          <w:numId w:val="0"/>
        </w:numPr>
        <w:tabs>
          <w:tab w:val="left" w:pos="709"/>
        </w:tabs>
        <w:ind w:left="709" w:hanging="709"/>
      </w:pPr>
      <w:r w:rsidRPr="00EC023D">
        <w:t>(16)</w:t>
      </w:r>
      <w:r w:rsidRPr="00EC023D">
        <w:tab/>
        <w:t>Glede na izjemno tržno povpraševanje po financiranju MSP v okviru EFSI, ki bo po pričakovanjih še naraščalo, bi bilo treba del EFSI, namenjen MSP, okrepiti. Posebno pozornost bi bilo treba nameniti socialnim podjetjem</w:t>
      </w:r>
      <w:r w:rsidRPr="00EC023D">
        <w:rPr>
          <w:b/>
          <w:i/>
        </w:rPr>
        <w:t xml:space="preserve"> in socialnim službam</w:t>
      </w:r>
      <w:r w:rsidRPr="00EC023D">
        <w:t>, tudi z razvojem in uporabo novih instrumentov</w:t>
      </w:r>
      <w:r w:rsidRPr="00EC023D">
        <w:rPr>
          <w:b/>
          <w:i/>
        </w:rPr>
        <w:t>, primernih za potrebe in specifične značilnosti sektorja</w:t>
      </w:r>
      <w:r w:rsidRPr="00EC023D">
        <w:t>.</w:t>
      </w:r>
    </w:p>
    <w:p w:rsidR="00D175E6" w:rsidRPr="00EC023D" w:rsidRDefault="00D175E6" w:rsidP="00D175E6">
      <w:pPr>
        <w:pStyle w:val="Considrant"/>
        <w:numPr>
          <w:ilvl w:val="0"/>
          <w:numId w:val="0"/>
        </w:numPr>
        <w:tabs>
          <w:tab w:val="left" w:pos="709"/>
        </w:tabs>
        <w:ind w:left="709" w:hanging="709"/>
      </w:pPr>
      <w:r w:rsidRPr="00EC023D">
        <w:t>(17)</w:t>
      </w:r>
      <w:r w:rsidRPr="00EC023D">
        <w:tab/>
        <w:t xml:space="preserve">EIB in EIS bi morala zagotoviti, da so končni upravičenci, vključno z MSP, </w:t>
      </w:r>
      <w:r w:rsidRPr="00EC023D">
        <w:rPr>
          <w:b/>
          <w:i/>
        </w:rPr>
        <w:t>seznanjeni z obstojem</w:t>
      </w:r>
      <w:r w:rsidRPr="00EC023D">
        <w:t xml:space="preserve"> podpore EFSI, da bi tako okrepili prepoznavnost jamstva EU, ki se odobri na podlagi Uredbe (EU) 2015/1017. </w:t>
      </w:r>
      <w:r w:rsidRPr="00EC023D">
        <w:rPr>
          <w:b/>
          <w:i/>
        </w:rPr>
        <w:t xml:space="preserve">Jasno sklicevanje na EFSI bi moralo biti v sporazumu o financiranju na dobro vidnem mestu. </w:t>
      </w:r>
    </w:p>
    <w:p w:rsidR="00D175E6" w:rsidRPr="00EC023D" w:rsidRDefault="00D175E6" w:rsidP="00D175E6">
      <w:pPr>
        <w:pStyle w:val="Considrant"/>
        <w:numPr>
          <w:ilvl w:val="0"/>
          <w:numId w:val="0"/>
        </w:numPr>
        <w:tabs>
          <w:tab w:val="left" w:pos="709"/>
        </w:tabs>
        <w:ind w:left="709" w:hanging="709"/>
      </w:pPr>
      <w:r w:rsidRPr="00EC023D">
        <w:t>(18)</w:t>
      </w:r>
      <w:r w:rsidRPr="00EC023D">
        <w:tab/>
        <w:t xml:space="preserve">Zaradi izboljšanja preglednosti operacij EFSI bi moral naložbeni odbor v svojih odločitvah, ki se objavijo in so dostopne javnosti, pojasniti, zakaj meni, da bi bilo treba za določeno operacijo odobriti jamstvo EU, pri čemer bi se moral še posebej osredotočiti na izpolnjevanje merila dodatnosti. Preglednico kazalnikov bi bilo treba objaviti, potem ko je operacija v sklopu jamstva EU podpisana. </w:t>
      </w:r>
    </w:p>
    <w:p w:rsidR="00D175E6" w:rsidRPr="00EC023D" w:rsidRDefault="00D175E6" w:rsidP="00D175E6">
      <w:pPr>
        <w:pStyle w:val="Considrant"/>
        <w:numPr>
          <w:ilvl w:val="0"/>
          <w:numId w:val="0"/>
        </w:numPr>
        <w:tabs>
          <w:tab w:val="left" w:pos="709"/>
        </w:tabs>
        <w:ind w:left="709" w:hanging="709"/>
        <w:rPr>
          <w:i/>
        </w:rPr>
      </w:pPr>
      <w:r w:rsidRPr="00EC023D">
        <w:rPr>
          <w:b/>
          <w:i/>
        </w:rPr>
        <w:t>(18a)</w:t>
      </w:r>
      <w:r w:rsidRPr="00EC023D">
        <w:rPr>
          <w:b/>
          <w:i/>
        </w:rPr>
        <w:tab/>
        <w:t>Preglednico bi bilo treba uporabljati strogo v skladu s to uredbo in z Delegirano Uredbo (EU) 2015/1558</w:t>
      </w:r>
      <w:r w:rsidRPr="00EC023D">
        <w:rPr>
          <w:rStyle w:val="FootnoteReference"/>
          <w:b/>
          <w:i/>
        </w:rPr>
        <w:footnoteReference w:id="5"/>
      </w:r>
      <w:r w:rsidRPr="00EC023D">
        <w:rPr>
          <w:b/>
          <w:i/>
        </w:rPr>
        <w:t xml:space="preserve"> ter prilogo k slednji, kot neodvisno in pregledno ocenjevalno orodje, s pomočjo katerega naložbeni odbor določi prednostni vrstni red operacij, ki izkažejo najvišje vrednosti kazalnikov in dodano vrednost, za uporabo jamstva EU.  EIB bi morala rezultate in kazalnike izračunati vnaprej in jih preveriti na koncu projekta.</w:t>
      </w:r>
    </w:p>
    <w:p w:rsidR="00D175E6" w:rsidRPr="00EC023D" w:rsidRDefault="00D175E6" w:rsidP="00D175E6">
      <w:pPr>
        <w:pStyle w:val="Considrant"/>
        <w:numPr>
          <w:ilvl w:val="0"/>
          <w:numId w:val="0"/>
        </w:numPr>
        <w:tabs>
          <w:tab w:val="left" w:pos="709"/>
        </w:tabs>
        <w:ind w:left="709" w:hanging="709"/>
        <w:rPr>
          <w:i/>
        </w:rPr>
      </w:pPr>
      <w:r w:rsidRPr="00EC023D">
        <w:rPr>
          <w:b/>
          <w:i/>
        </w:rPr>
        <w:t>(18b)</w:t>
      </w:r>
      <w:r w:rsidRPr="00EC023D">
        <w:rPr>
          <w:b/>
          <w:i/>
        </w:rPr>
        <w:tab/>
        <w:t>Usmerjevalni odbor bi moral revidirati naložbene smernice, da bi določil minimalni prag za različna merila na preglednici, da bi izboljšali ocenjevanje projektov.</w:t>
      </w:r>
    </w:p>
    <w:p w:rsidR="00D175E6" w:rsidRPr="00EC023D" w:rsidRDefault="00D175E6" w:rsidP="00D175E6">
      <w:pPr>
        <w:pStyle w:val="Considrant"/>
        <w:numPr>
          <w:ilvl w:val="0"/>
          <w:numId w:val="0"/>
        </w:numPr>
        <w:tabs>
          <w:tab w:val="left" w:pos="709"/>
        </w:tabs>
        <w:ind w:left="709" w:hanging="709"/>
      </w:pPr>
      <w:r w:rsidRPr="00EC023D">
        <w:t>(19)</w:t>
      </w:r>
      <w:r w:rsidRPr="00EC023D">
        <w:tab/>
        <w:t xml:space="preserve">Operacije, ki jih podpira EFSI, bi morale spoštovati načela Unije o dobrem davčnem upravljanju. </w:t>
      </w:r>
      <w:r w:rsidRPr="00EC023D">
        <w:rPr>
          <w:b/>
          <w:bCs/>
          <w:i/>
          <w:iCs/>
        </w:rPr>
        <w:t>EIB pri izvajanju operacij ne bi smela uporabljati  struktur za izogibanje davkom, sodelovati v njih, ali zagotavljati sredstev upravičencem, ki te strukture uporabljajo, zlasti sisteme agresivnega davčnega načrtovanja, v skladu z zakonodajo Unije, priporočili in smernicami.</w:t>
      </w:r>
    </w:p>
    <w:p w:rsidR="00D175E6" w:rsidRPr="00EC023D" w:rsidRDefault="00D175E6" w:rsidP="00D175E6">
      <w:pPr>
        <w:pStyle w:val="Considrant"/>
        <w:numPr>
          <w:ilvl w:val="0"/>
          <w:numId w:val="0"/>
        </w:numPr>
        <w:tabs>
          <w:tab w:val="left" w:pos="709"/>
        </w:tabs>
        <w:ind w:left="709" w:hanging="709"/>
      </w:pPr>
      <w:r w:rsidRPr="00EC023D">
        <w:lastRenderedPageBreak/>
        <w:t>(20)</w:t>
      </w:r>
      <w:r w:rsidRPr="00EC023D">
        <w:tab/>
        <w:t>Poleg tega je primerno pojasniti nekatere tehnične vidike vsebine sporazuma o upravljanju EFSI in dodelitvi jamstva EU ter instrumentov, ki jih zajema, vključno z zavarovanjem za tveganje, zaradi nihanja menjalnih tečajev v nekaterih okoliščinah. Sporazum z EIB o upravljanju EFSI in dodelitvi jamstva EU bi bilo treba prilagoditi v skladu s to uredbo.</w:t>
      </w:r>
    </w:p>
    <w:p w:rsidR="00D175E6" w:rsidRPr="00EC023D" w:rsidRDefault="00D175E6" w:rsidP="00D175E6">
      <w:pPr>
        <w:pStyle w:val="Considrant"/>
        <w:numPr>
          <w:ilvl w:val="0"/>
          <w:numId w:val="0"/>
        </w:numPr>
        <w:tabs>
          <w:tab w:val="left" w:pos="709"/>
        </w:tabs>
        <w:ind w:left="709" w:hanging="709"/>
      </w:pPr>
      <w:r w:rsidRPr="00EC023D">
        <w:t>(21)</w:t>
      </w:r>
      <w:r w:rsidRPr="00EC023D">
        <w:tab/>
        <w:t xml:space="preserve">Evropsko svetovalno vozlišče za naložbe (v nadaljnjem besedilu: EIAH) bi bilo treba okrepiti in njegove dejavnosti bi morale </w:t>
      </w:r>
      <w:r w:rsidRPr="00EC023D">
        <w:rPr>
          <w:b/>
          <w:i/>
        </w:rPr>
        <w:t>odpraviti vse pomanjkljivosti pri izvajanju EFSI.</w:t>
      </w:r>
      <w:r w:rsidRPr="00EC023D">
        <w:t xml:space="preserve"> </w:t>
      </w:r>
      <w:r w:rsidRPr="00EC023D">
        <w:rPr>
          <w:b/>
          <w:i/>
        </w:rPr>
        <w:t>Imeti bi moralo ključno vlogo pri opolnomočenju nosilcev projektov, da bi spodbujali in razvili izvedljive, vzdržne in kakovostne projekte</w:t>
      </w:r>
      <w:r w:rsidRPr="00EC023D">
        <w:t xml:space="preserve">. Posebno pozornost bi bilo treba nameniti podpori pri pripravi projektov, v katere so vključene dve ali več držav članic </w:t>
      </w:r>
      <w:r w:rsidRPr="00EC023D">
        <w:rPr>
          <w:b/>
          <w:i/>
        </w:rPr>
        <w:t>ali regij</w:t>
      </w:r>
      <w:r w:rsidRPr="00EC023D">
        <w:t>, in projektov, ki prispevajo k doseganju ciljev</w:t>
      </w:r>
      <w:r w:rsidRPr="00EC023D">
        <w:rPr>
          <w:b/>
          <w:i/>
        </w:rPr>
        <w:t xml:space="preserve"> strategije Evropa 2020 in</w:t>
      </w:r>
      <w:r w:rsidRPr="00EC023D">
        <w:t xml:space="preserve"> COP21. ▐ EIAH bi moral tudi dejavno prispevati k ciljem sektorske in geografske diverzifikacije EFSI ter </w:t>
      </w:r>
      <w:r w:rsidRPr="00EC023D">
        <w:rPr>
          <w:b/>
          <w:i/>
        </w:rPr>
        <w:t>proaktivno</w:t>
      </w:r>
      <w:r w:rsidRPr="00EC023D">
        <w:t xml:space="preserve"> podpirati EIB ▐ pri odobritvah projektov</w:t>
      </w:r>
      <w:r w:rsidRPr="00EC023D">
        <w:rPr>
          <w:b/>
          <w:i/>
        </w:rPr>
        <w:t xml:space="preserve"> in začetku izvajanja operacij kot tudi pri spodbujanju povpraševanja po potrebi</w:t>
      </w:r>
      <w:r w:rsidRPr="00EC023D">
        <w:t xml:space="preserve">. </w:t>
      </w:r>
      <w:r w:rsidRPr="00EC023D">
        <w:rPr>
          <w:b/>
          <w:i/>
        </w:rPr>
        <w:t>Dejavnosti EIAH bi morale dopolnjevati obstoječe strukture in izogibati bi se bilo treba podvajanju storitev v državah članicah</w:t>
      </w:r>
      <w:r w:rsidRPr="00EC023D">
        <w:t xml:space="preserve">. Dejavno bi moral prispevati tudi k vzpostavitvi naložbenih platform in svetovati glede </w:t>
      </w:r>
      <w:r w:rsidRPr="00EC023D">
        <w:rPr>
          <w:b/>
          <w:i/>
        </w:rPr>
        <w:t>kombiniranja</w:t>
      </w:r>
      <w:r w:rsidRPr="00EC023D">
        <w:t xml:space="preserve"> drugih virov financiranja Unije z EFSI.  </w:t>
      </w:r>
      <w:r w:rsidRPr="00EC023D">
        <w:rPr>
          <w:b/>
          <w:i/>
        </w:rPr>
        <w:t>Za EIAH je treba zagotoviti močno lokalno prisotnost, kjer je to potrebno, da se okrepi lokalno znanje o EFSI in bolje upoštevajo lokalne potrebe. EIAH bi si moral prizadevati za sklenitev sporazumov o sodelovanju z nacionalnimi spodbujevalnimi bankami ali institucijami v vsaki državi članici ter olajšati državam članicam ustanavljanje nacionalnih spodbujevalnih bank ali institucij, če je potrebno. Za doseganje teh ciljev bi morala biti zmogljivost osebja EIAH sorazmerna z nalogami, ki jih mora izvesti.</w:t>
      </w:r>
    </w:p>
    <w:p w:rsidR="00D175E6" w:rsidRPr="00EC023D" w:rsidRDefault="00D175E6" w:rsidP="00D175E6">
      <w:pPr>
        <w:pStyle w:val="Considrant"/>
        <w:numPr>
          <w:ilvl w:val="0"/>
          <w:numId w:val="0"/>
        </w:numPr>
        <w:tabs>
          <w:tab w:val="left" w:pos="709"/>
        </w:tabs>
        <w:ind w:left="709" w:hanging="709"/>
      </w:pPr>
      <w:r w:rsidRPr="00EC023D">
        <w:rPr>
          <w:b/>
          <w:i/>
        </w:rPr>
        <w:t>(21a)</w:t>
      </w:r>
      <w:r w:rsidRPr="00EC023D">
        <w:rPr>
          <w:b/>
          <w:i/>
        </w:rPr>
        <w:tab/>
      </w:r>
      <w:r w:rsidRPr="00EC023D">
        <w:rPr>
          <w:b/>
          <w:i/>
          <w:szCs w:val="20"/>
        </w:rPr>
        <w:t>Za odpravljanje nedelovanja trga in tržnih vrzeli, spodbujanje ustreznih dodatnih naložb ter podpiranje geografske in regionalne uravnoteženosti operacij, ki jih podpira EFSI, potrebujemo celovit in poenostavljen pristop k uresničevanju cilja spodbujanja rasti, ustvarjanja delovnih mest in naložb.</w:t>
      </w:r>
      <w:r w:rsidRPr="00EC023D">
        <w:t xml:space="preserve"> </w:t>
      </w:r>
      <w:r w:rsidRPr="00EC023D">
        <w:rPr>
          <w:b/>
          <w:i/>
          <w:szCs w:val="20"/>
        </w:rPr>
        <w:t>Politika oblikovanja cen bi morala prispevati k uresničitvi teh ciljev.</w:t>
      </w:r>
    </w:p>
    <w:p w:rsidR="00D175E6" w:rsidRPr="00EC023D" w:rsidRDefault="00D175E6" w:rsidP="00D175E6">
      <w:pPr>
        <w:pStyle w:val="Considrant"/>
        <w:numPr>
          <w:ilvl w:val="0"/>
          <w:numId w:val="0"/>
        </w:numPr>
        <w:tabs>
          <w:tab w:val="left" w:pos="709"/>
        </w:tabs>
        <w:ind w:left="709" w:hanging="709"/>
      </w:pPr>
      <w:r w:rsidRPr="00EC023D">
        <w:rPr>
          <w:b/>
          <w:i/>
          <w:szCs w:val="24"/>
        </w:rPr>
        <w:t>(21b)</w:t>
      </w:r>
      <w:r w:rsidRPr="00EC023D">
        <w:rPr>
          <w:b/>
          <w:i/>
          <w:szCs w:val="24"/>
        </w:rPr>
        <w:tab/>
      </w:r>
      <w:r w:rsidRPr="00EC023D">
        <w:rPr>
          <w:b/>
          <w:i/>
        </w:rPr>
        <w:t>Za spodbujanje naložbenih ciljev te Uredbe (EU) 2015/1017 bi bilo treba spodbujati kombiniranje z obstoječimi skladi, da bi se zagotovila ustrezna koncesivnost v pogojih financiranja, vključno z oblikovanjem cen operacij EFSI.</w:t>
      </w:r>
    </w:p>
    <w:p w:rsidR="00D175E6" w:rsidRPr="00EC023D" w:rsidRDefault="00D175E6" w:rsidP="00D175E6">
      <w:pPr>
        <w:pStyle w:val="Considrant"/>
        <w:numPr>
          <w:ilvl w:val="0"/>
          <w:numId w:val="0"/>
        </w:numPr>
        <w:tabs>
          <w:tab w:val="left" w:pos="709"/>
        </w:tabs>
        <w:ind w:left="709" w:hanging="709"/>
      </w:pPr>
      <w:r w:rsidRPr="00EC023D">
        <w:t>(22)</w:t>
      </w:r>
      <w:r w:rsidRPr="00EC023D">
        <w:tab/>
        <w:t>▐ Uredbo (EU) 2015/1017 bi bilo zato treba ustrezno spremeniti –</w:t>
      </w:r>
    </w:p>
    <w:p w:rsidR="00D175E6" w:rsidRPr="00EC023D" w:rsidRDefault="00D175E6" w:rsidP="00D175E6">
      <w:pPr>
        <w:pStyle w:val="Formuledadoption"/>
      </w:pPr>
      <w:r w:rsidRPr="00EC023D">
        <w:t>SPREJELA NASLEDNJO UREDBO:</w:t>
      </w:r>
    </w:p>
    <w:p w:rsidR="00D175E6" w:rsidRPr="00EC023D" w:rsidRDefault="00D175E6" w:rsidP="00D175E6">
      <w:pPr>
        <w:pStyle w:val="Titrearticle"/>
      </w:pPr>
      <w:r w:rsidRPr="00EC023D">
        <w:t>Člen 1</w:t>
      </w:r>
    </w:p>
    <w:p w:rsidR="00D175E6" w:rsidRPr="00EC023D" w:rsidRDefault="00D175E6" w:rsidP="00D175E6">
      <w:r w:rsidRPr="00EC023D">
        <w:t>Uredba (EU) št. 2015/1017 se spremeni:</w:t>
      </w:r>
    </w:p>
    <w:p w:rsidR="00D175E6" w:rsidRPr="00EC023D" w:rsidRDefault="00D175E6" w:rsidP="00D175E6"/>
    <w:p w:rsidR="00D175E6" w:rsidRPr="00EC023D" w:rsidRDefault="00D175E6" w:rsidP="00D175E6">
      <w:pPr>
        <w:pStyle w:val="Point0number"/>
        <w:numPr>
          <w:ilvl w:val="0"/>
          <w:numId w:val="0"/>
        </w:numPr>
        <w:tabs>
          <w:tab w:val="left" w:pos="850"/>
        </w:tabs>
        <w:ind w:left="850" w:hanging="850"/>
        <w:rPr>
          <w:b/>
          <w:i/>
        </w:rPr>
      </w:pPr>
      <w:r w:rsidRPr="00EC023D">
        <w:rPr>
          <w:b/>
          <w:i/>
        </w:rPr>
        <w:t>(-1)</w:t>
      </w:r>
      <w:r w:rsidRPr="00EC023D">
        <w:rPr>
          <w:b/>
          <w:i/>
        </w:rPr>
        <w:tab/>
        <w:t>v členu 2 se točka 4(b) nadomesti z naslednjim:</w:t>
      </w:r>
    </w:p>
    <w:p w:rsidR="00D175E6" w:rsidRPr="00EC023D" w:rsidRDefault="00D175E6" w:rsidP="00D175E6">
      <w:pPr>
        <w:pStyle w:val="Point1"/>
      </w:pPr>
      <w:r w:rsidRPr="00EC023D">
        <w:t>„(b)</w:t>
      </w:r>
      <w:r w:rsidRPr="00EC023D">
        <w:tab/>
      </w:r>
      <w:r w:rsidRPr="00EC023D">
        <w:rPr>
          <w:b/>
          <w:i/>
        </w:rPr>
        <w:t>čezmejne,</w:t>
      </w:r>
      <w:r w:rsidRPr="00EC023D">
        <w:t xml:space="preserve"> večdržavne</w:t>
      </w:r>
      <w:r w:rsidRPr="00EC023D">
        <w:rPr>
          <w:b/>
          <w:i/>
        </w:rPr>
        <w:t>,</w:t>
      </w:r>
      <w:r w:rsidRPr="00EC023D">
        <w:t xml:space="preserve"> regionalne </w:t>
      </w:r>
      <w:r w:rsidRPr="00EC023D">
        <w:rPr>
          <w:b/>
          <w:i/>
        </w:rPr>
        <w:t>ali makroregionalne</w:t>
      </w:r>
      <w:r w:rsidRPr="00EC023D">
        <w:t xml:space="preserve"> platforme, kjer so skupaj zbrani partnerji iz več držav članic</w:t>
      </w:r>
      <w:r w:rsidRPr="00EC023D">
        <w:rPr>
          <w:b/>
          <w:i/>
        </w:rPr>
        <w:t>, regij</w:t>
      </w:r>
      <w:r w:rsidRPr="00EC023D">
        <w:t xml:space="preserve"> ali tretjih držav, zainteresiranih za projekte na določenem geografskem območju;“</w:t>
      </w:r>
    </w:p>
    <w:p w:rsidR="00D175E6" w:rsidRPr="00EC023D" w:rsidRDefault="00D175E6" w:rsidP="00D175E6">
      <w:pPr>
        <w:pStyle w:val="Point0number"/>
        <w:numPr>
          <w:ilvl w:val="0"/>
          <w:numId w:val="0"/>
        </w:numPr>
        <w:tabs>
          <w:tab w:val="left" w:pos="850"/>
        </w:tabs>
        <w:ind w:left="850" w:hanging="850"/>
      </w:pPr>
      <w:r w:rsidRPr="00EC023D">
        <w:lastRenderedPageBreak/>
        <w:t>(1)</w:t>
      </w:r>
      <w:r w:rsidRPr="00EC023D">
        <w:tab/>
        <w:t>člen 4(2) se spremeni:</w:t>
      </w:r>
    </w:p>
    <w:p w:rsidR="00D175E6" w:rsidRPr="00EC023D" w:rsidRDefault="00D175E6" w:rsidP="00D175E6">
      <w:pPr>
        <w:pStyle w:val="Point1"/>
      </w:pPr>
      <w:r w:rsidRPr="00EC023D">
        <w:t>(a)</w:t>
      </w:r>
      <w:r w:rsidRPr="00EC023D">
        <w:tab/>
        <w:t>v točki (a) se točka (ii) nadomesti z naslednjim:</w:t>
      </w:r>
    </w:p>
    <w:p w:rsidR="00D175E6" w:rsidRPr="00EC023D" w:rsidRDefault="00D175E6" w:rsidP="00D175E6">
      <w:pPr>
        <w:pStyle w:val="Text2"/>
        <w:ind w:left="2160" w:hanging="743"/>
      </w:pPr>
      <w:r w:rsidRPr="00EC023D">
        <w:t xml:space="preserve">„(ii) </w:t>
      </w:r>
      <w:r w:rsidRPr="00EC023D">
        <w:tab/>
        <w:t>znesek, ki ni nižji od 7 500 000 000 EUR, v jamstvih ali denarnih sredstvih, ter pogoje finančnega prispevka, ki ga zagotovi EIB prek EFSI;“;</w:t>
      </w:r>
    </w:p>
    <w:p w:rsidR="00D175E6" w:rsidRPr="00EC023D" w:rsidRDefault="00D175E6" w:rsidP="00D175E6">
      <w:pPr>
        <w:pStyle w:val="Point1"/>
        <w:rPr>
          <w:rFonts w:eastAsia="Times New Roman"/>
          <w:b/>
          <w:i/>
          <w:szCs w:val="20"/>
        </w:rPr>
      </w:pPr>
      <w:r w:rsidRPr="00EC023D">
        <w:rPr>
          <w:b/>
          <w:i/>
        </w:rPr>
        <w:t>(aa)</w:t>
      </w:r>
      <w:r w:rsidRPr="00EC023D">
        <w:rPr>
          <w:b/>
          <w:i/>
        </w:rPr>
        <w:tab/>
      </w:r>
      <w:r w:rsidRPr="00EC023D">
        <w:rPr>
          <w:b/>
          <w:i/>
          <w:szCs w:val="20"/>
        </w:rPr>
        <w:t>v točki (a) se točka (iv) nadomesti z naslednjim:</w:t>
      </w:r>
    </w:p>
    <w:p w:rsidR="00D175E6" w:rsidRPr="00EC023D" w:rsidRDefault="00D175E6" w:rsidP="00D175E6">
      <w:pPr>
        <w:pStyle w:val="Text2"/>
        <w:ind w:left="2160" w:hanging="743"/>
      </w:pPr>
      <w:r w:rsidRPr="00EC023D">
        <w:t>„(iv)</w:t>
      </w:r>
      <w:r w:rsidRPr="00EC023D">
        <w:tab/>
        <w:t>oblikovanje cen operacij v okviru jamstva EU, ki mora biti v skladu s splošno politiko oblikovanja cen EIB</w:t>
      </w:r>
      <w:r w:rsidRPr="00EC023D">
        <w:rPr>
          <w:b/>
          <w:i/>
        </w:rPr>
        <w:t>, ob upoštevanju namena te uredbe.</w:t>
      </w:r>
      <w:r w:rsidRPr="00EC023D">
        <w:rPr>
          <w:b/>
          <w:i/>
          <w:szCs w:val="20"/>
        </w:rPr>
        <w:t xml:space="preserve"> V okoliščinah, ko bi strožji gospodarski in finančni tržni pogoji preprečevali uresničitev izvedljivega projekta, se cene jamstva oblikujejo tako, da se podpira geografsko in regionalno ravnotežje operacij, ki jih podpira EFSI, in da se odpravi nedelovanje trga;“;</w:t>
      </w:r>
    </w:p>
    <w:p w:rsidR="00D175E6" w:rsidRPr="00EC023D" w:rsidRDefault="00D175E6" w:rsidP="00D175E6">
      <w:pPr>
        <w:pStyle w:val="Point1"/>
        <w:rPr>
          <w:b/>
          <w:i/>
        </w:rPr>
      </w:pPr>
      <w:r w:rsidRPr="00EC023D">
        <w:rPr>
          <w:b/>
          <w:i/>
        </w:rPr>
        <w:t>(ab)</w:t>
      </w:r>
      <w:r w:rsidRPr="00EC023D">
        <w:tab/>
      </w:r>
      <w:r w:rsidRPr="00EC023D">
        <w:rPr>
          <w:b/>
          <w:i/>
        </w:rPr>
        <w:t>v točki (b) se točka (iii) nadomesti z naslednjim:</w:t>
      </w:r>
    </w:p>
    <w:p w:rsidR="00D175E6" w:rsidRPr="00EC023D" w:rsidRDefault="00D175E6" w:rsidP="00D175E6">
      <w:pPr>
        <w:pStyle w:val="Text2"/>
        <w:ind w:left="2160" w:hanging="743"/>
      </w:pPr>
      <w:r w:rsidRPr="00EC023D">
        <w:t>„(iii)</w:t>
      </w:r>
      <w:r w:rsidRPr="00EC023D">
        <w:tab/>
        <w:t xml:space="preserve">določbo, da usmerjevalni odbor sprejema odločitve s konsenzom </w:t>
      </w:r>
      <w:r w:rsidRPr="00EC023D">
        <w:rPr>
          <w:b/>
          <w:i/>
        </w:rPr>
        <w:t>in da v primeru, če konsenza ni mogoče doseči, odločitev sprejme s štiripetinsko večino svojih članov;“</w:t>
      </w:r>
    </w:p>
    <w:p w:rsidR="00D175E6" w:rsidRPr="00EC023D" w:rsidRDefault="00D175E6" w:rsidP="00D175E6">
      <w:pPr>
        <w:pStyle w:val="Point1"/>
        <w:rPr>
          <w:b/>
          <w:i/>
        </w:rPr>
      </w:pPr>
      <w:r w:rsidRPr="00EC023D">
        <w:rPr>
          <w:b/>
          <w:i/>
        </w:rPr>
        <w:t>(ac)</w:t>
      </w:r>
      <w:r w:rsidRPr="00EC023D">
        <w:rPr>
          <w:b/>
          <w:i/>
        </w:rPr>
        <w:tab/>
        <w:t>v točki (b) se točka (iv) nadomesti z naslednjim:</w:t>
      </w:r>
    </w:p>
    <w:p w:rsidR="00D175E6" w:rsidRPr="00EC023D" w:rsidRDefault="00D175E6" w:rsidP="00D175E6">
      <w:pPr>
        <w:pStyle w:val="Text2"/>
        <w:ind w:left="2160" w:hanging="743"/>
        <w:rPr>
          <w:b/>
          <w:i/>
        </w:rPr>
      </w:pPr>
      <w:r w:rsidRPr="00EC023D">
        <w:t>„(iv)</w:t>
      </w:r>
      <w:r w:rsidRPr="00EC023D">
        <w:tab/>
        <w:t xml:space="preserve">postopkom imenovanja izvršnega direktorja in namestnika izvršnega direktorja, njunimi osebnimi prejemki in delovnimi pogoji, </w:t>
      </w:r>
      <w:r w:rsidRPr="00EC023D">
        <w:rPr>
          <w:b/>
          <w:i/>
        </w:rPr>
        <w:t>▐</w:t>
      </w:r>
      <w:r w:rsidRPr="00EC023D">
        <w:t xml:space="preserve"> pravili in postopki za njuno zamenjavo na njuni funkciji ter glede odgovornosti, brez poseganja v to uredbo;“;</w:t>
      </w:r>
    </w:p>
    <w:p w:rsidR="00D175E6" w:rsidRPr="00EC023D" w:rsidRDefault="00D175E6" w:rsidP="00D175E6">
      <w:pPr>
        <w:pStyle w:val="Point1"/>
      </w:pPr>
      <w:r w:rsidRPr="00EC023D">
        <w:t>(b)</w:t>
      </w:r>
      <w:r w:rsidRPr="00EC023D">
        <w:tab/>
        <w:t>v točki (c) se točka (i) nadomesti z naslednjim:</w:t>
      </w:r>
    </w:p>
    <w:p w:rsidR="00D175E6" w:rsidRPr="00EC023D" w:rsidRDefault="00D175E6" w:rsidP="00D175E6">
      <w:pPr>
        <w:pStyle w:val="Text2"/>
        <w:ind w:left="2160" w:hanging="743"/>
      </w:pPr>
      <w:r w:rsidRPr="00EC023D">
        <w:t xml:space="preserve">„(i) </w:t>
      </w:r>
      <w:r w:rsidRPr="00EC023D">
        <w:tab/>
        <w:t>podrobnimi pravili o zagotavljanju jamstva EU, v skladu s členom 11, vključno z ureditvijo glede kritja in njegovim določenim kritjem za portfelje posameznih vrst instrumentov ter zadevnimi dogodki, ki sprožijo morebitne unovčitve jamstva EU;“;</w:t>
      </w:r>
    </w:p>
    <w:p w:rsidR="00D175E6" w:rsidRPr="00EC023D" w:rsidRDefault="00D175E6" w:rsidP="00D175E6">
      <w:pPr>
        <w:pStyle w:val="Point0number"/>
        <w:numPr>
          <w:ilvl w:val="0"/>
          <w:numId w:val="0"/>
        </w:numPr>
        <w:tabs>
          <w:tab w:val="left" w:pos="850"/>
        </w:tabs>
        <w:ind w:left="850" w:hanging="850"/>
        <w:rPr>
          <w:b/>
          <w:bCs/>
          <w:i/>
          <w:iCs/>
          <w:szCs w:val="24"/>
        </w:rPr>
      </w:pPr>
      <w:r w:rsidRPr="00EC023D">
        <w:rPr>
          <w:b/>
          <w:bCs/>
          <w:i/>
          <w:iCs/>
          <w:szCs w:val="24"/>
        </w:rPr>
        <w:t>(1a)</w:t>
      </w:r>
      <w:r w:rsidRPr="00EC023D">
        <w:rPr>
          <w:b/>
          <w:bCs/>
          <w:i/>
          <w:iCs/>
          <w:szCs w:val="24"/>
        </w:rPr>
        <w:tab/>
        <w:t>člen 5(1) se nadomesti z naslednjim:</w:t>
      </w:r>
    </w:p>
    <w:p w:rsidR="00D175E6" w:rsidRPr="00EC023D" w:rsidRDefault="00D175E6" w:rsidP="00D175E6">
      <w:pPr>
        <w:pStyle w:val="Text1"/>
        <w:rPr>
          <w:szCs w:val="24"/>
        </w:rPr>
      </w:pPr>
      <w:r w:rsidRPr="00EC023D">
        <w:t>„1.</w:t>
      </w:r>
      <w:r w:rsidRPr="00EC023D">
        <w:tab/>
        <w:t>V tej uredbi „dodatnost“ pomeni podporo s strani EFSI operacijam, ki odpravljajo nedelovanje trga ali neoptimalne naložbene okoliščine in ki jih v obdobju, v katerem se lahko uporabi jamstvo EU, ne bi bilo mogoče izvesti v okviru EIB, EIF ali drugih obstoječih finančnih instrumentov Unije brez podpore EFSI, ali ne v enaki meri. Projekti, ki jih podpira EFSI</w:t>
      </w:r>
      <w:r w:rsidRPr="00EC023D">
        <w:rPr>
          <w:b/>
          <w:i/>
        </w:rPr>
        <w:t>, sicer podpirajo katerega od splošnih ciljev iz člena 9(2) in so usmerjeni v ustvarjanje delovnih mest in trajnostne rasti, a</w:t>
      </w:r>
      <w:r w:rsidRPr="00EC023D">
        <w:t xml:space="preserve"> imajo običajno višji profil tveganja kot projekti, podprti z običajnimi operacijami EIB, portfelj EFSI pa ima na splošno višji profil tveganja kot portfelj naložb, ki ga podpira EIB v okviru svoje običajne naložbene politike pred začetkom veljavnosti te uredbe.</w:t>
      </w:r>
    </w:p>
    <w:p w:rsidR="00D175E6" w:rsidRPr="00EC023D" w:rsidRDefault="00D175E6" w:rsidP="00D175E6">
      <w:pPr>
        <w:pStyle w:val="Text1"/>
        <w:rPr>
          <w:szCs w:val="24"/>
        </w:rPr>
      </w:pPr>
      <w:r w:rsidRPr="00EC023D">
        <w:t>▐</w:t>
      </w:r>
    </w:p>
    <w:p w:rsidR="00D175E6" w:rsidRPr="00EC023D" w:rsidRDefault="00D175E6" w:rsidP="00D175E6">
      <w:pPr>
        <w:pStyle w:val="Text1"/>
        <w:rPr>
          <w:szCs w:val="24"/>
        </w:rPr>
      </w:pPr>
      <w:r w:rsidRPr="00EC023D">
        <w:lastRenderedPageBreak/>
        <w:t>EFSI lahko podpira tudi projekte EIB, ki imajo nižje tveganje, kot je minimalno tveganje v okviru posebnih dejavnosti EIB, če je uporaba jamstva EU potrebna za zagotovitev dodatnosti, kakor je opredeljena v prvem pododstavku tega odstavka.</w:t>
      </w:r>
    </w:p>
    <w:p w:rsidR="00D175E6" w:rsidRPr="00EC023D" w:rsidRDefault="00D175E6" w:rsidP="00D175E6">
      <w:pPr>
        <w:pStyle w:val="Text1"/>
        <w:rPr>
          <w:szCs w:val="24"/>
        </w:rPr>
      </w:pPr>
      <w:r w:rsidRPr="00EC023D">
        <w:t>▐</w:t>
      </w:r>
    </w:p>
    <w:p w:rsidR="00D175E6" w:rsidRPr="00EC023D" w:rsidRDefault="00D175E6" w:rsidP="00D175E6">
      <w:pPr>
        <w:pStyle w:val="Text1"/>
      </w:pPr>
      <w:r w:rsidRPr="00EC023D">
        <w:t xml:space="preserve">Za boljše obravnavanje nedelovanja trga ali neoptimalnih naložbenih okoliščin </w:t>
      </w:r>
      <w:r w:rsidRPr="00EC023D">
        <w:rPr>
          <w:b/>
          <w:i/>
        </w:rPr>
        <w:t>in torej zagotavljanje dopolnjevanja ter preprečevanje izrinjanja udeležencev na istem trgu</w:t>
      </w:r>
      <w:r w:rsidRPr="00EC023D">
        <w:t xml:space="preserve"> imajo posebne dejavnosti EIB, ki prejmejo podporo EFSI</w:t>
      </w:r>
      <w:r w:rsidRPr="00EC023D">
        <w:rPr>
          <w:b/>
          <w:i/>
        </w:rPr>
        <w:t>, prednostno in ob ustrezni utemeljitvi,</w:t>
      </w:r>
      <w:r w:rsidRPr="00EC023D">
        <w:rPr>
          <w:b/>
        </w:rPr>
        <w:t xml:space="preserve"> </w:t>
      </w:r>
      <w:r w:rsidRPr="00EC023D">
        <w:t xml:space="preserve">značilnost </w:t>
      </w:r>
      <w:r w:rsidRPr="00EC023D">
        <w:rPr>
          <w:b/>
          <w:i/>
        </w:rPr>
        <w:t>podrejenosti</w:t>
      </w:r>
      <w:r w:rsidRPr="00EC023D">
        <w:t xml:space="preserve"> </w:t>
      </w:r>
      <w:r w:rsidRPr="00EC023D">
        <w:rPr>
          <w:b/>
          <w:i/>
        </w:rPr>
        <w:t>ter so v odnosu do drugih vlagateljev v podrejenem položaju, zanje pa so značilni tudi</w:t>
      </w:r>
      <w:r w:rsidRPr="00EC023D">
        <w:rPr>
          <w:i/>
        </w:rPr>
        <w:t xml:space="preserve"> </w:t>
      </w:r>
      <w:r w:rsidRPr="00EC023D">
        <w:t xml:space="preserve">sodelovanje pri instrumentih delitve tveganja, čezmejne značilnosti in izpostavljenost posebnim tveganjem ali </w:t>
      </w:r>
      <w:r w:rsidRPr="00EC023D">
        <w:rPr>
          <w:b/>
          <w:i/>
        </w:rPr>
        <w:t xml:space="preserve">drugi opredeljivi vidiki, </w:t>
      </w:r>
      <w:r w:rsidRPr="00EC023D">
        <w:t xml:space="preserve">podrobneje </w:t>
      </w:r>
      <w:r w:rsidRPr="00EC023D">
        <w:rPr>
          <w:b/>
          <w:i/>
        </w:rPr>
        <w:t>opisani</w:t>
      </w:r>
      <w:r w:rsidRPr="00EC023D">
        <w:t xml:space="preserve"> v Prilogi II.</w:t>
      </w:r>
    </w:p>
    <w:p w:rsidR="00D175E6" w:rsidRPr="00EC023D" w:rsidRDefault="00D175E6" w:rsidP="00D175E6">
      <w:pPr>
        <w:pStyle w:val="Text1"/>
      </w:pPr>
      <w:r w:rsidRPr="00EC023D">
        <w:t>▐</w:t>
      </w:r>
    </w:p>
    <w:p w:rsidR="00D175E6" w:rsidRPr="00EC023D" w:rsidRDefault="00D175E6" w:rsidP="00D175E6">
      <w:pPr>
        <w:pStyle w:val="Text1"/>
        <w:rPr>
          <w:b/>
          <w:i/>
        </w:rPr>
      </w:pPr>
      <w:r w:rsidRPr="00EC023D">
        <w:rPr>
          <w:b/>
          <w:i/>
        </w:rPr>
        <w:t>Brez poseganja v zahtevo po izpolnjevanju opredelitve dodatnosti, kot je določena v prvem pododstavku, so naslednji elementi tisti, ki odločno kažejo na dodatnost:</w:t>
      </w:r>
    </w:p>
    <w:p w:rsidR="00D175E6" w:rsidRPr="00EC023D" w:rsidRDefault="00D175E6" w:rsidP="00D175E6">
      <w:pPr>
        <w:pStyle w:val="CM4"/>
        <w:tabs>
          <w:tab w:val="left" w:pos="1134"/>
        </w:tabs>
        <w:spacing w:before="120" w:after="120"/>
        <w:ind w:left="851"/>
        <w:jc w:val="both"/>
        <w:rPr>
          <w:b/>
          <w:i/>
        </w:rPr>
      </w:pPr>
      <w:r w:rsidRPr="00EC023D">
        <w:rPr>
          <w:rFonts w:ascii="Times New Roman" w:hAnsi="Times New Roman"/>
          <w:b/>
          <w:i/>
        </w:rPr>
        <w:t>-</w:t>
      </w:r>
      <w:r w:rsidRPr="00EC023D">
        <w:rPr>
          <w:rFonts w:ascii="Times New Roman" w:hAnsi="Times New Roman"/>
          <w:b/>
          <w:i/>
        </w:rPr>
        <w:tab/>
        <w:t>projekti s tveganjem, ki ustreza tveganju posebnih dejavnosti EIB iz člena 16 Statuta EIB in smernic EIB za kreditno tveganje, še posebej, če se ti projekti nahajajo v manj razvitih regijah in v regijah v prehodu;</w:t>
      </w:r>
    </w:p>
    <w:p w:rsidR="00D175E6" w:rsidRPr="00EC023D" w:rsidRDefault="00D175E6" w:rsidP="00D175E6">
      <w:pPr>
        <w:pStyle w:val="CM4"/>
        <w:tabs>
          <w:tab w:val="left" w:pos="1134"/>
        </w:tabs>
        <w:spacing w:before="120" w:after="120"/>
        <w:ind w:left="851"/>
        <w:jc w:val="both"/>
      </w:pPr>
      <w:r w:rsidRPr="00EC023D">
        <w:rPr>
          <w:rFonts w:ascii="Times New Roman" w:hAnsi="Times New Roman"/>
          <w:b/>
          <w:i/>
        </w:rPr>
        <w:t>-</w:t>
      </w:r>
      <w:r w:rsidRPr="00EC023D">
        <w:rPr>
          <w:rFonts w:ascii="Times New Roman" w:hAnsi="Times New Roman"/>
          <w:b/>
          <w:i/>
        </w:rPr>
        <w:tab/>
        <w:t>projekti, ki obsegajo infrastrukturo za povezovanje dveh ali več držav članic ali razširitev infrastrukture oziroma storitev, povezanih z infrastrukturo, iz ene države članice v eno ali več držav članic;</w:t>
      </w:r>
    </w:p>
    <w:p w:rsidR="00D175E6" w:rsidRPr="00EC023D" w:rsidRDefault="00D175E6" w:rsidP="00D175E6">
      <w:pPr>
        <w:pStyle w:val="Text1"/>
      </w:pPr>
      <w:r w:rsidRPr="00EC023D">
        <w:t>▐</w:t>
      </w:r>
    </w:p>
    <w:p w:rsidR="00D175E6" w:rsidRPr="00EC023D" w:rsidRDefault="00D175E6" w:rsidP="00D175E6">
      <w:pPr>
        <w:pStyle w:val="Point0number"/>
        <w:numPr>
          <w:ilvl w:val="0"/>
          <w:numId w:val="0"/>
        </w:numPr>
        <w:tabs>
          <w:tab w:val="left" w:pos="850"/>
        </w:tabs>
        <w:ind w:left="850" w:hanging="850"/>
        <w:rPr>
          <w:rFonts w:eastAsia="Times New Roman"/>
          <w:b/>
          <w:i/>
          <w:szCs w:val="20"/>
        </w:rPr>
      </w:pPr>
      <w:r w:rsidRPr="00EC023D">
        <w:rPr>
          <w:b/>
          <w:i/>
        </w:rPr>
        <w:t>(2a)</w:t>
      </w:r>
      <w:r w:rsidRPr="00EC023D">
        <w:rPr>
          <w:b/>
          <w:i/>
        </w:rPr>
        <w:tab/>
      </w:r>
      <w:r w:rsidRPr="00EC023D">
        <w:rPr>
          <w:b/>
          <w:i/>
          <w:szCs w:val="20"/>
        </w:rPr>
        <w:t>v členu 5 se doda naslednji odstavek:</w:t>
      </w:r>
    </w:p>
    <w:p w:rsidR="00D175E6" w:rsidRPr="00EC023D" w:rsidRDefault="00D175E6" w:rsidP="00D175E6">
      <w:pPr>
        <w:pStyle w:val="Point0number"/>
        <w:numPr>
          <w:ilvl w:val="0"/>
          <w:numId w:val="0"/>
        </w:numPr>
        <w:tabs>
          <w:tab w:val="left" w:pos="850"/>
        </w:tabs>
        <w:ind w:left="850" w:hanging="850"/>
        <w:rPr>
          <w:rFonts w:eastAsia="Times New Roman"/>
          <w:b/>
          <w:i/>
          <w:szCs w:val="20"/>
        </w:rPr>
      </w:pPr>
      <w:r w:rsidRPr="00EC023D">
        <w:rPr>
          <w:b/>
          <w:i/>
          <w:szCs w:val="20"/>
        </w:rPr>
        <w:tab/>
        <w:t>„2a.</w:t>
      </w:r>
      <w:r w:rsidRPr="00EC023D">
        <w:rPr>
          <w:b/>
          <w:i/>
          <w:szCs w:val="20"/>
        </w:rPr>
        <w:tab/>
        <w:t>EFSI v skladu s politiko oblikovanja cen:</w:t>
      </w:r>
    </w:p>
    <w:p w:rsidR="00D175E6" w:rsidRPr="00EC023D" w:rsidRDefault="00D175E6" w:rsidP="00D175E6">
      <w:pPr>
        <w:pStyle w:val="Point0number"/>
        <w:numPr>
          <w:ilvl w:val="0"/>
          <w:numId w:val="0"/>
        </w:numPr>
        <w:tabs>
          <w:tab w:val="left" w:pos="850"/>
          <w:tab w:val="left" w:pos="1418"/>
          <w:tab w:val="left" w:pos="1701"/>
        </w:tabs>
        <w:ind w:left="850" w:hanging="850"/>
        <w:rPr>
          <w:rFonts w:eastAsia="Times New Roman"/>
          <w:b/>
          <w:i/>
          <w:szCs w:val="20"/>
        </w:rPr>
      </w:pPr>
      <w:r w:rsidRPr="00EC023D">
        <w:rPr>
          <w:b/>
          <w:i/>
          <w:szCs w:val="20"/>
        </w:rPr>
        <w:tab/>
      </w:r>
      <w:r w:rsidRPr="00EC023D">
        <w:rPr>
          <w:b/>
          <w:i/>
          <w:szCs w:val="20"/>
        </w:rPr>
        <w:tab/>
        <w:t>-</w:t>
      </w:r>
      <w:r w:rsidRPr="00EC023D">
        <w:rPr>
          <w:b/>
          <w:i/>
          <w:szCs w:val="20"/>
        </w:rPr>
        <w:tab/>
        <w:t>prednostno in če je ustrezno utemeljeno v odnosu do drugih vlagateljev prevzame podrejeno vlogo in zagotovi, da se cene njegovih operacij, po potrebi, oblikujejo ob vključevanju kombiniranja, da se projektom omogoči čim večje črpanje sredstev in da se upoštevajo lokalni tržni pogoji; in</w:t>
      </w:r>
    </w:p>
    <w:p w:rsidR="00D175E6" w:rsidRPr="00EC023D" w:rsidRDefault="00D175E6" w:rsidP="00D175E6">
      <w:pPr>
        <w:pStyle w:val="Point0number"/>
        <w:numPr>
          <w:ilvl w:val="0"/>
          <w:numId w:val="0"/>
        </w:numPr>
        <w:tabs>
          <w:tab w:val="left" w:pos="850"/>
          <w:tab w:val="left" w:pos="1418"/>
          <w:tab w:val="left" w:pos="1701"/>
        </w:tabs>
        <w:ind w:left="850" w:hanging="850"/>
        <w:rPr>
          <w:b/>
          <w:i/>
        </w:rPr>
      </w:pPr>
      <w:r w:rsidRPr="00EC023D">
        <w:rPr>
          <w:b/>
          <w:i/>
        </w:rPr>
        <w:tab/>
      </w:r>
      <w:r w:rsidRPr="00EC023D">
        <w:rPr>
          <w:b/>
          <w:i/>
        </w:rPr>
        <w:tab/>
      </w:r>
      <w:r w:rsidRPr="00EC023D">
        <w:rPr>
          <w:b/>
          <w:i/>
          <w:szCs w:val="20"/>
        </w:rPr>
        <w:t>-</w:t>
      </w:r>
      <w:r w:rsidRPr="00EC023D">
        <w:rPr>
          <w:b/>
          <w:i/>
          <w:szCs w:val="20"/>
        </w:rPr>
        <w:tab/>
        <w:t>če je potrebno za uresničevanje ciljev EFSI in odpravljanje tržnih pomanjkljivosti in naložbenih vrzeli, zagotovi, da ravni cen za operacije v zvezi z lastniškim kapitalom, ostanejo pod tržnimi cenami za enake vrste transakcij.</w:t>
      </w:r>
    </w:p>
    <w:p w:rsidR="00D175E6" w:rsidRPr="00EC023D" w:rsidRDefault="00D175E6" w:rsidP="00D175E6">
      <w:pPr>
        <w:pStyle w:val="Point0number"/>
        <w:numPr>
          <w:ilvl w:val="0"/>
          <w:numId w:val="0"/>
        </w:numPr>
        <w:tabs>
          <w:tab w:val="left" w:pos="850"/>
        </w:tabs>
        <w:ind w:left="850" w:hanging="850"/>
      </w:pPr>
      <w:r w:rsidRPr="00EC023D">
        <w:t>(3)</w:t>
      </w:r>
      <w:r w:rsidRPr="00EC023D">
        <w:tab/>
        <w:t xml:space="preserve">v členu 6(1) se uvodne besede nadomestijo z naslednjim besedilom: </w:t>
      </w:r>
    </w:p>
    <w:p w:rsidR="00D175E6" w:rsidRPr="00EC023D" w:rsidRDefault="00D175E6" w:rsidP="00D175E6">
      <w:pPr>
        <w:pStyle w:val="Text1"/>
      </w:pPr>
      <w:r w:rsidRPr="00EC023D">
        <w:t>„Sporazum o EFSI določa, da EFSI podpira projekte, ki odpravljajo nedelovanje trga ali neoptimalne naložbene okoliščine in ki:“;</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w:t>
      </w:r>
      <w:r w:rsidRPr="00EC023D">
        <w:rPr>
          <w:b/>
          <w:i/>
        </w:rPr>
        <w:t>3a</w:t>
      </w:r>
      <w:r w:rsidRPr="00EC023D">
        <w:rPr>
          <w:b/>
          <w:bCs/>
          <w:i/>
          <w:iCs/>
        </w:rPr>
        <w:t>)</w:t>
      </w:r>
      <w:r w:rsidRPr="00EC023D">
        <w:rPr>
          <w:b/>
          <w:bCs/>
          <w:i/>
          <w:iCs/>
        </w:rPr>
        <w:tab/>
        <w:t>člen 6(2) se nadomesti z naslednjim:</w:t>
      </w:r>
    </w:p>
    <w:p w:rsidR="00D175E6" w:rsidRPr="00EC023D" w:rsidRDefault="00D175E6" w:rsidP="00D175E6">
      <w:pPr>
        <w:pStyle w:val="Text1"/>
      </w:pPr>
      <w:r w:rsidRPr="00EC023D">
        <w:t>„2.</w:t>
      </w:r>
      <w:r w:rsidRPr="00EC023D">
        <w:tab/>
        <w:t>Za projekte, ki so upravičeni do podpore s strani EFSI, kar zadeva operacije, ki jih izvajata EIB ali EIF prek finančnih posrednikov, ni omejitve glede velikosti.</w:t>
      </w:r>
      <w:r w:rsidRPr="00EC023D">
        <w:rPr>
          <w:b/>
          <w:bCs/>
          <w:i/>
          <w:iCs/>
        </w:rPr>
        <w:t xml:space="preserve"> </w:t>
      </w:r>
      <w:r w:rsidRPr="00EC023D">
        <w:rPr>
          <w:b/>
          <w:i/>
        </w:rPr>
        <w:lastRenderedPageBreak/>
        <w:t>Da se zagotovi, da podpora EFSI zajema tudi male projekte, EIB in EIF razširita sodelovanje z nacionalnimi spodbujevalnimi bankami ali ustanovami ter spodbujata možnosti, ki se ponudijo preko vzpostavitve naložbenih platform.“</w:t>
      </w:r>
    </w:p>
    <w:p w:rsidR="00D175E6" w:rsidRPr="00EC023D" w:rsidRDefault="00D175E6" w:rsidP="00D175E6">
      <w:pPr>
        <w:pStyle w:val="Point0number"/>
        <w:numPr>
          <w:ilvl w:val="0"/>
          <w:numId w:val="0"/>
        </w:numPr>
        <w:tabs>
          <w:tab w:val="left" w:pos="850"/>
        </w:tabs>
        <w:ind w:left="850" w:hanging="850"/>
      </w:pPr>
      <w:r w:rsidRPr="00EC023D">
        <w:t>(4)</w:t>
      </w:r>
      <w:r w:rsidRPr="00EC023D">
        <w:tab/>
        <w:t>člen 7 se spremeni:</w:t>
      </w:r>
    </w:p>
    <w:p w:rsidR="00D175E6" w:rsidRPr="00EC023D" w:rsidRDefault="00D175E6" w:rsidP="00D175E6">
      <w:pPr>
        <w:pStyle w:val="Point1letter"/>
        <w:numPr>
          <w:ilvl w:val="0"/>
          <w:numId w:val="0"/>
        </w:numPr>
        <w:tabs>
          <w:tab w:val="left" w:pos="1417"/>
        </w:tabs>
        <w:ind w:left="1417" w:hanging="567"/>
        <w:rPr>
          <w:b/>
          <w:i/>
        </w:rPr>
      </w:pPr>
      <w:r w:rsidRPr="00EC023D">
        <w:rPr>
          <w:b/>
          <w:i/>
        </w:rPr>
        <w:t>(-a)</w:t>
      </w:r>
      <w:r w:rsidRPr="00EC023D">
        <w:rPr>
          <w:b/>
          <w:i/>
        </w:rPr>
        <w:tab/>
        <w:t>vstavi se naslednji odstavek:</w:t>
      </w:r>
    </w:p>
    <w:p w:rsidR="00D175E6" w:rsidRPr="00EC023D" w:rsidRDefault="00D175E6" w:rsidP="00D175E6">
      <w:pPr>
        <w:pStyle w:val="Text1"/>
        <w:rPr>
          <w:b/>
          <w:i/>
        </w:rPr>
      </w:pPr>
      <w:r w:rsidRPr="00EC023D">
        <w:rPr>
          <w:b/>
          <w:i/>
          <w:szCs w:val="24"/>
        </w:rPr>
        <w:t>„1a.</w:t>
      </w:r>
      <w:r w:rsidRPr="00EC023D">
        <w:rPr>
          <w:b/>
          <w:i/>
          <w:szCs w:val="24"/>
        </w:rPr>
        <w:tab/>
        <w:t>Vse institucije in organi, ki sodelujejo v strukturah upravljanja EFSI, si prizadevajo zagotavljati uravnoteženost po spolu v vseh organih upravljanja EFSI."</w:t>
      </w:r>
    </w:p>
    <w:p w:rsidR="00D175E6" w:rsidRPr="00EC023D" w:rsidRDefault="00D175E6" w:rsidP="00D175E6">
      <w:pPr>
        <w:pStyle w:val="Point1letter"/>
        <w:numPr>
          <w:ilvl w:val="0"/>
          <w:numId w:val="0"/>
        </w:numPr>
        <w:tabs>
          <w:tab w:val="left" w:pos="1417"/>
        </w:tabs>
        <w:ind w:left="1417" w:hanging="567"/>
        <w:rPr>
          <w:b/>
          <w:i/>
        </w:rPr>
      </w:pPr>
      <w:r w:rsidRPr="00EC023D">
        <w:rPr>
          <w:b/>
          <w:i/>
        </w:rPr>
        <w:t>(-aa)</w:t>
      </w:r>
      <w:r w:rsidRPr="00EC023D">
        <w:rPr>
          <w:b/>
          <w:i/>
        </w:rPr>
        <w:tab/>
        <w:t>v odstavku 3 se prvi pododstavek nadomesti z naslednjim:</w:t>
      </w:r>
    </w:p>
    <w:p w:rsidR="00D175E6" w:rsidRPr="00EC023D" w:rsidRDefault="00D175E6" w:rsidP="00D175E6">
      <w:pPr>
        <w:pStyle w:val="Text1"/>
      </w:pPr>
      <w:r w:rsidRPr="00EC023D">
        <w:t xml:space="preserve">„Usmerjevalni odbor ima </w:t>
      </w:r>
      <w:r w:rsidRPr="00EC023D">
        <w:rPr>
          <w:b/>
          <w:i/>
        </w:rPr>
        <w:t>pet članov</w:t>
      </w:r>
      <w:r w:rsidRPr="00EC023D">
        <w:t xml:space="preserve">: tri imenuje Komisija, </w:t>
      </w:r>
      <w:r w:rsidRPr="00EC023D">
        <w:rPr>
          <w:b/>
          <w:i/>
        </w:rPr>
        <w:t>po</w:t>
      </w:r>
      <w:r w:rsidRPr="00EC023D">
        <w:rPr>
          <w:b/>
        </w:rPr>
        <w:t xml:space="preserve"> </w:t>
      </w:r>
      <w:r w:rsidRPr="00EC023D">
        <w:t>enega pa EIB</w:t>
      </w:r>
      <w:r w:rsidRPr="00EC023D">
        <w:rPr>
          <w:b/>
        </w:rPr>
        <w:t xml:space="preserve"> </w:t>
      </w:r>
      <w:r w:rsidRPr="00EC023D">
        <w:rPr>
          <w:b/>
          <w:i/>
        </w:rPr>
        <w:t>in</w:t>
      </w:r>
      <w:r w:rsidRPr="00EC023D">
        <w:rPr>
          <w:b/>
        </w:rPr>
        <w:t xml:space="preserve"> </w:t>
      </w:r>
      <w:r w:rsidRPr="00EC023D">
        <w:rPr>
          <w:b/>
          <w:i/>
        </w:rPr>
        <w:t>Evropski parlament</w:t>
      </w:r>
      <w:r w:rsidRPr="00EC023D">
        <w:t xml:space="preserve">. Usmerjevalni odbor izmed svojih članov izvoli predsednika za triletni mandat, z možnostjo enkratne ponovne izvolitve. Usmerjevalni odbor </w:t>
      </w:r>
      <w:r w:rsidRPr="00EC023D">
        <w:rPr>
          <w:b/>
          <w:i/>
        </w:rPr>
        <w:t>si prizadeva, da bi odločitve sprejemal</w:t>
      </w:r>
      <w:r w:rsidRPr="00EC023D">
        <w:t xml:space="preserve"> s konsenzom</w:t>
      </w:r>
      <w:r w:rsidRPr="00EC023D">
        <w:rPr>
          <w:b/>
          <w:i/>
        </w:rPr>
        <w:t>. Če konsenza ni mogoče doseči, odločitev sprejme s štiripetinsko večino svojih članov</w:t>
      </w:r>
      <w:r w:rsidRPr="00EC023D">
        <w:t>.“</w:t>
      </w:r>
    </w:p>
    <w:p w:rsidR="00D175E6" w:rsidRPr="00EC023D" w:rsidRDefault="00D175E6" w:rsidP="00D175E6">
      <w:pPr>
        <w:pStyle w:val="Point1letter"/>
        <w:numPr>
          <w:ilvl w:val="0"/>
          <w:numId w:val="0"/>
        </w:numPr>
        <w:tabs>
          <w:tab w:val="left" w:pos="1417"/>
        </w:tabs>
        <w:ind w:left="1417" w:hanging="567"/>
        <w:rPr>
          <w:b/>
          <w:i/>
        </w:rPr>
      </w:pPr>
      <w:r w:rsidRPr="00EC023D">
        <w:rPr>
          <w:b/>
          <w:i/>
        </w:rPr>
        <w:t>(-ab)</w:t>
      </w:r>
      <w:r w:rsidRPr="00EC023D">
        <w:rPr>
          <w:b/>
          <w:i/>
        </w:rPr>
        <w:tab/>
        <w:t>v odstavku 3 se drugi pododstavek nadomesti z naslednjim:</w:t>
      </w:r>
    </w:p>
    <w:p w:rsidR="00D175E6" w:rsidRPr="00EC023D" w:rsidRDefault="00D175E6" w:rsidP="00D175E6">
      <w:pPr>
        <w:pStyle w:val="Text1"/>
      </w:pPr>
      <w:r w:rsidRPr="00EC023D">
        <w:t>„</w:t>
      </w:r>
      <w:r w:rsidRPr="00EC023D">
        <w:rPr>
          <w:b/>
          <w:i/>
        </w:rPr>
        <w:t>Podrobni zapisniki</w:t>
      </w:r>
      <w:r w:rsidRPr="00EC023D">
        <w:t xml:space="preserve"> sej usmerjevalnega odbora se objavijo, takoj ko jih usmerjevalni odbor potrdi. </w:t>
      </w:r>
      <w:r w:rsidRPr="00EC023D">
        <w:rPr>
          <w:b/>
          <w:i/>
        </w:rPr>
        <w:t>Evropski parlament je nemudoma obveščen o objavi.</w:t>
      </w:r>
      <w:r w:rsidRPr="00EC023D">
        <w:t>“</w:t>
      </w:r>
    </w:p>
    <w:p w:rsidR="00D175E6" w:rsidRPr="00EC023D" w:rsidRDefault="00D175E6" w:rsidP="00D175E6">
      <w:pPr>
        <w:pStyle w:val="Point1letter"/>
        <w:numPr>
          <w:ilvl w:val="0"/>
          <w:numId w:val="0"/>
        </w:numPr>
        <w:tabs>
          <w:tab w:val="left" w:pos="1417"/>
        </w:tabs>
        <w:ind w:left="1417" w:hanging="567"/>
        <w:rPr>
          <w:b/>
          <w:i/>
        </w:rPr>
      </w:pPr>
      <w:r w:rsidRPr="00EC023D">
        <w:rPr>
          <w:b/>
          <w:i/>
        </w:rPr>
        <w:t>(-ac)</w:t>
      </w:r>
      <w:r w:rsidRPr="00EC023D">
        <w:rPr>
          <w:b/>
          <w:i/>
        </w:rPr>
        <w:tab/>
        <w:t>v odstavku 5 se prvi pododstavek nadomesti z naslednjim:</w:t>
      </w:r>
    </w:p>
    <w:p w:rsidR="00D175E6" w:rsidRPr="00EC023D" w:rsidRDefault="00D175E6" w:rsidP="00D175E6">
      <w:pPr>
        <w:pStyle w:val="Text1"/>
        <w:rPr>
          <w:b/>
          <w:i/>
        </w:rPr>
      </w:pPr>
      <w:r w:rsidRPr="00EC023D">
        <w:t>„5. Sporazum o EFSI določa, da ima EFSI izvršnega direktorja, ki je odgovoren za tekoče upravljanje EFSI ter pripravo in vodenje sestankov naložbenega odbora iz odstavka 6.</w:t>
      </w:r>
      <w:r w:rsidRPr="00EC023D">
        <w:rPr>
          <w:b/>
          <w:i/>
        </w:rPr>
        <w:t xml:space="preserve"> Poleg tega je Evropskemu parlamentu odgovoren, kar zadeva delo naložbenega odbora.</w:t>
      </w:r>
      <w:r w:rsidRPr="00EC023D">
        <w:t>“</w:t>
      </w:r>
    </w:p>
    <w:p w:rsidR="00D175E6" w:rsidRPr="00EC023D" w:rsidRDefault="00D175E6" w:rsidP="00D175E6">
      <w:pPr>
        <w:pStyle w:val="Point1letter"/>
        <w:numPr>
          <w:ilvl w:val="0"/>
          <w:numId w:val="0"/>
        </w:numPr>
        <w:tabs>
          <w:tab w:val="left" w:pos="1417"/>
        </w:tabs>
        <w:ind w:left="1417" w:hanging="567"/>
        <w:rPr>
          <w:b/>
          <w:i/>
        </w:rPr>
      </w:pPr>
      <w:r w:rsidRPr="00EC023D">
        <w:rPr>
          <w:b/>
          <w:i/>
        </w:rPr>
        <w:t>(-ad)</w:t>
      </w:r>
      <w:r w:rsidRPr="00EC023D">
        <w:rPr>
          <w:b/>
          <w:i/>
        </w:rPr>
        <w:tab/>
        <w:t>v odstavku 5 se drugi pododstavek nadomesti z naslednjim:</w:t>
      </w:r>
    </w:p>
    <w:p w:rsidR="00D175E6" w:rsidRPr="00EC023D" w:rsidRDefault="00D175E6" w:rsidP="00D175E6">
      <w:pPr>
        <w:pStyle w:val="Text1"/>
        <w:rPr>
          <w:b/>
          <w:i/>
        </w:rPr>
      </w:pPr>
      <w:r w:rsidRPr="00EC023D">
        <w:t xml:space="preserve">„Izvršnemu direktorju pomaga namestnik izvršnega direktorja. Izvršni direktor </w:t>
      </w:r>
      <w:r w:rsidRPr="00EC023D">
        <w:rPr>
          <w:b/>
          <w:i/>
        </w:rPr>
        <w:t>se sej usmerjevalnega odbora udeležuje kot član brez glasovalne pravice.</w:t>
      </w:r>
      <w:r w:rsidRPr="00EC023D">
        <w:rPr>
          <w:b/>
          <w:i/>
          <w:sz w:val="20"/>
        </w:rPr>
        <w:t xml:space="preserve"> </w:t>
      </w:r>
      <w:r w:rsidRPr="00EC023D">
        <w:rPr>
          <w:b/>
          <w:i/>
        </w:rPr>
        <w:t>Kadar se izvršni direktor ne more udeležiti sej ali delov sej usmerjevalnega odbora, se teh sej ali delov sej udeleži namestnik izvršnega direktorja kot član brez glasovalne pravice.</w:t>
      </w:r>
      <w:r w:rsidRPr="00EC023D">
        <w:rPr>
          <w:b/>
        </w:rPr>
        <w:t>“</w:t>
      </w:r>
    </w:p>
    <w:p w:rsidR="00D175E6" w:rsidRPr="00EC023D" w:rsidRDefault="00D175E6" w:rsidP="00D175E6">
      <w:pPr>
        <w:pStyle w:val="Point1letter"/>
        <w:numPr>
          <w:ilvl w:val="0"/>
          <w:numId w:val="0"/>
        </w:numPr>
        <w:tabs>
          <w:tab w:val="left" w:pos="1417"/>
        </w:tabs>
        <w:ind w:left="1417" w:hanging="567"/>
        <w:rPr>
          <w:b/>
          <w:i/>
        </w:rPr>
      </w:pPr>
      <w:r w:rsidRPr="00EC023D">
        <w:rPr>
          <w:b/>
          <w:i/>
        </w:rPr>
        <w:t>(-ae)</w:t>
      </w:r>
      <w:r w:rsidRPr="00EC023D">
        <w:rPr>
          <w:b/>
          <w:i/>
        </w:rPr>
        <w:tab/>
        <w:t>v odstavku 6 se prvi pododstavek nadomesti z naslednjim:</w:t>
      </w:r>
    </w:p>
    <w:p w:rsidR="00D175E6" w:rsidRPr="00EC023D" w:rsidRDefault="00D175E6" w:rsidP="00D175E6">
      <w:pPr>
        <w:pStyle w:val="Text1"/>
        <w:rPr>
          <w:b/>
          <w:i/>
        </w:rPr>
      </w:pPr>
      <w:r w:rsidRPr="00EC023D">
        <w:t xml:space="preserve">„6. Usmerjevalni odbor na podlagi odprtega in preglednega postopka v skladu </w:t>
      </w:r>
      <w:r w:rsidRPr="00EC023D">
        <w:rPr>
          <w:b/>
          <w:i/>
        </w:rPr>
        <w:t>z določbami te uredbe</w:t>
      </w:r>
      <w:r w:rsidRPr="00EC023D">
        <w:t xml:space="preserve"> izbere po enega kandidata za položaj izvršnega direktorja in položaj namestnika izvršnega direktorja</w:t>
      </w:r>
      <w:r w:rsidRPr="00EC023D">
        <w:rPr>
          <w:b/>
          <w:i/>
        </w:rPr>
        <w:t>, oba pa plačo prejemata iz splošnega proračuna Evropske unije</w:t>
      </w:r>
      <w:r w:rsidRPr="00EC023D">
        <w:t>.“</w:t>
      </w:r>
    </w:p>
    <w:p w:rsidR="00D175E6" w:rsidRPr="00EC023D" w:rsidRDefault="00D175E6" w:rsidP="00D175E6">
      <w:pPr>
        <w:pStyle w:val="Point1letter"/>
        <w:numPr>
          <w:ilvl w:val="0"/>
          <w:numId w:val="0"/>
        </w:numPr>
        <w:tabs>
          <w:tab w:val="left" w:pos="1417"/>
        </w:tabs>
        <w:ind w:left="1417" w:hanging="567"/>
      </w:pPr>
      <w:r w:rsidRPr="00EC023D">
        <w:t>(a)</w:t>
      </w:r>
      <w:r w:rsidRPr="00EC023D">
        <w:tab/>
        <w:t>odstavek 8 se spremeni:</w:t>
      </w:r>
    </w:p>
    <w:p w:rsidR="00D175E6" w:rsidRPr="00EC023D" w:rsidRDefault="00D175E6" w:rsidP="00D175E6">
      <w:pPr>
        <w:pStyle w:val="Point3"/>
      </w:pPr>
      <w:r w:rsidRPr="00EC023D">
        <w:t>(i)</w:t>
      </w:r>
      <w:r w:rsidRPr="00EC023D">
        <w:tab/>
        <w:t xml:space="preserve">točka (e) se nadomesti z naslednjim: </w:t>
      </w:r>
    </w:p>
    <w:p w:rsidR="00D175E6" w:rsidRPr="00EC023D" w:rsidRDefault="00D175E6" w:rsidP="00D175E6">
      <w:pPr>
        <w:pStyle w:val="Text4"/>
        <w:tabs>
          <w:tab w:val="left" w:pos="3261"/>
        </w:tabs>
        <w:ind w:left="3600" w:hanging="1049"/>
      </w:pPr>
      <w:r w:rsidRPr="00EC023D">
        <w:t xml:space="preserve">'(e) </w:t>
      </w:r>
      <w:r w:rsidRPr="00EC023D">
        <w:tab/>
        <w:t>podnebni ukrepi, varstvo in upravljanje okolja;“;</w:t>
      </w:r>
    </w:p>
    <w:p w:rsidR="00D175E6" w:rsidRPr="00EC023D" w:rsidRDefault="00D175E6" w:rsidP="00D175E6">
      <w:pPr>
        <w:pStyle w:val="Point3"/>
      </w:pPr>
      <w:r w:rsidRPr="00EC023D">
        <w:lastRenderedPageBreak/>
        <w:t>(ii)</w:t>
      </w:r>
      <w:r w:rsidRPr="00EC023D">
        <w:tab/>
        <w:t>doda se naslednja točka (l):</w:t>
      </w:r>
    </w:p>
    <w:p w:rsidR="00D175E6" w:rsidRPr="00EC023D" w:rsidRDefault="00D175E6" w:rsidP="00D175E6">
      <w:pPr>
        <w:pStyle w:val="Text4"/>
        <w:ind w:left="3261" w:hanging="710"/>
      </w:pPr>
      <w:r w:rsidRPr="00EC023D">
        <w:t xml:space="preserve">'(l) </w:t>
      </w:r>
      <w:r w:rsidRPr="00EC023D">
        <w:tab/>
        <w:t>kmetijstvo, ribištvo in ribogojstvo.“;</w:t>
      </w:r>
    </w:p>
    <w:p w:rsidR="00D175E6" w:rsidRPr="00EC023D" w:rsidRDefault="00D175E6" w:rsidP="00D175E6">
      <w:pPr>
        <w:pStyle w:val="Point1letter"/>
        <w:numPr>
          <w:ilvl w:val="0"/>
          <w:numId w:val="0"/>
        </w:numPr>
        <w:tabs>
          <w:tab w:val="left" w:pos="1417"/>
        </w:tabs>
        <w:ind w:left="1417" w:hanging="567"/>
      </w:pPr>
      <w:r w:rsidRPr="00EC023D">
        <w:t>(b)</w:t>
      </w:r>
      <w:r w:rsidRPr="00EC023D">
        <w:tab/>
        <w:t xml:space="preserve">v odstavku 10 se drugi stavek nadomesti z naslednjim besedilom: </w:t>
      </w:r>
    </w:p>
    <w:p w:rsidR="00D175E6" w:rsidRPr="00EC023D" w:rsidRDefault="00D175E6" w:rsidP="00D175E6">
      <w:pPr>
        <w:pStyle w:val="Text2"/>
      </w:pPr>
      <w:r w:rsidRPr="00EC023D">
        <w:t>„Vsak član naložbenega odbora usmerjevalnemu odboru, izvršnemu direktorju in namestniku izvršnega direktorja takoj sporoči vse informacije, ki so potrebne za redno preverjanje, da ni prišlo do nasprotja interesov.“;</w:t>
      </w:r>
    </w:p>
    <w:p w:rsidR="00D175E6" w:rsidRPr="00EC023D" w:rsidRDefault="00D175E6" w:rsidP="00D175E6">
      <w:pPr>
        <w:pStyle w:val="Point1letter"/>
        <w:numPr>
          <w:ilvl w:val="0"/>
          <w:numId w:val="0"/>
        </w:numPr>
        <w:tabs>
          <w:tab w:val="left" w:pos="1417"/>
        </w:tabs>
        <w:ind w:left="1417" w:hanging="567"/>
      </w:pPr>
      <w:r w:rsidRPr="00EC023D">
        <w:t>(c)</w:t>
      </w:r>
      <w:r w:rsidRPr="00EC023D">
        <w:tab/>
        <w:t xml:space="preserve">v odstavku 11 se doda naslednji stavek: </w:t>
      </w:r>
    </w:p>
    <w:p w:rsidR="00D175E6" w:rsidRPr="00EC023D" w:rsidRDefault="00D175E6" w:rsidP="00D175E6">
      <w:pPr>
        <w:pStyle w:val="Text2"/>
      </w:pPr>
      <w:r w:rsidRPr="00EC023D">
        <w:t xml:space="preserve">„Izvršni direktor je odgovoren za obveščanje usmerjevalnega odbora o vseh morebitnih tovrstnih kršitvah ▐ in predlaga </w:t>
      </w:r>
      <w:r w:rsidRPr="00EC023D">
        <w:rPr>
          <w:b/>
          <w:i/>
        </w:rPr>
        <w:t>ter izvede</w:t>
      </w:r>
      <w:r w:rsidRPr="00EC023D">
        <w:t xml:space="preserve"> ustrezne ukrepe.“</w:t>
      </w:r>
    </w:p>
    <w:p w:rsidR="00D175E6" w:rsidRPr="00EC023D" w:rsidRDefault="00D175E6" w:rsidP="00D175E6">
      <w:pPr>
        <w:pStyle w:val="Point1letter"/>
        <w:numPr>
          <w:ilvl w:val="0"/>
          <w:numId w:val="0"/>
        </w:numPr>
        <w:tabs>
          <w:tab w:val="left" w:pos="1417"/>
        </w:tabs>
        <w:ind w:left="1417" w:hanging="567"/>
      </w:pPr>
      <w:r w:rsidRPr="00EC023D">
        <w:t>(d)</w:t>
      </w:r>
      <w:r w:rsidRPr="00EC023D">
        <w:tab/>
        <w:t>v odstavku 12 se drugi stavek drugega pododstavka nadomesti z naslednjim:</w:t>
      </w:r>
    </w:p>
    <w:p w:rsidR="00D175E6" w:rsidRPr="00EC023D" w:rsidRDefault="00D175E6" w:rsidP="00D175E6">
      <w:pPr>
        <w:pStyle w:val="Text2"/>
      </w:pPr>
      <w:r w:rsidRPr="00EC023D">
        <w:t xml:space="preserve">„Odločitve o odobritvi uporabe jamstva EU so javne in dostopne </w:t>
      </w:r>
      <w:r w:rsidRPr="00EC023D">
        <w:rPr>
          <w:b/>
          <w:i/>
        </w:rPr>
        <w:t>v podrobnih zapisnikih. Objava teh odločitev vključuje</w:t>
      </w:r>
      <w:r w:rsidRPr="00EC023D">
        <w:t xml:space="preserve"> utemeljitev odločitve s posebnim poudarkom na skladnosti z merilom dodatnosti </w:t>
      </w:r>
      <w:r w:rsidRPr="00EC023D">
        <w:rPr>
          <w:b/>
          <w:i/>
        </w:rPr>
        <w:t>in pojasnilo, kako je bila preglednica kazalnikov iz odstavka 14 uporabljena za utemeljitev jamstva EU</w:t>
      </w:r>
      <w:r w:rsidRPr="00EC023D">
        <w:t xml:space="preserve">. </w:t>
      </w:r>
    </w:p>
    <w:p w:rsidR="00D175E6" w:rsidRPr="00EC023D" w:rsidRDefault="00D175E6" w:rsidP="00D175E6">
      <w:pPr>
        <w:pStyle w:val="Text2"/>
      </w:pPr>
      <w:r w:rsidRPr="00EC023D">
        <w:rPr>
          <w:b/>
          <w:i/>
        </w:rPr>
        <w:t>Preglednica je orodje, s pomočjo katerega naložbeni odbor določi prednostni vrstni red operacij, ki izkažejo najvišje vrednosti kazalnikov in dodano vrednost, za uporabo jamstva EU. Preglednica je dostopna javnosti po tem, ko je sprejeta končna odločitev o projektu.</w:t>
      </w:r>
      <w:r w:rsidRPr="00EC023D">
        <w:rPr>
          <w:b/>
        </w:rPr>
        <w:t xml:space="preserve"> </w:t>
      </w:r>
      <w:r w:rsidRPr="00EC023D">
        <w:t xml:space="preserve">Poslovno občutljive informacije se ne objavijo. </w:t>
      </w:r>
    </w:p>
    <w:p w:rsidR="00D175E6" w:rsidRPr="00EC023D" w:rsidRDefault="00D175E6" w:rsidP="00D175E6">
      <w:pPr>
        <w:pStyle w:val="Text2"/>
      </w:pPr>
      <w:r w:rsidRPr="00EC023D">
        <w:rPr>
          <w:b/>
          <w:i/>
        </w:rPr>
        <w:t>Pri poslovno občutljivih odločitvah EIB te odločitve in podatke o nosilcu projekta ali finančnem posredniku ob koncu financiranja oziroma prej, če poslovna občutljivost preneha, posreduje Evropskemu parlamentu.</w:t>
      </w:r>
      <w:r w:rsidRPr="00EC023D">
        <w:t xml:space="preserve"> Pri sprejemanju odločitev naložbeni odbor upošteva dokumentacijo, ki jo predloži EIB.</w:t>
      </w:r>
    </w:p>
    <w:p w:rsidR="00D175E6" w:rsidRPr="00EC023D" w:rsidRDefault="00D175E6" w:rsidP="00D175E6">
      <w:pPr>
        <w:pStyle w:val="Text2"/>
      </w:pPr>
      <w:r w:rsidRPr="00EC023D">
        <w:rPr>
          <w:b/>
          <w:i/>
        </w:rPr>
        <w:t>EIB vsako leto Evropskemu parlamentu, Svetu in Komisiji predloži seznam vseh odločitev naložbenega odbora, s katerimi je zavrnil uporabo jamstva EU, pa tudi zbirko rezultatov preglednice</w:t>
      </w:r>
      <w:r w:rsidRPr="00EC023D">
        <w:t xml:space="preserve">. </w:t>
      </w:r>
      <w:r w:rsidRPr="00EC023D">
        <w:rPr>
          <w:b/>
          <w:i/>
        </w:rPr>
        <w:t>Pri tej predložitvi</w:t>
      </w:r>
      <w:r w:rsidRPr="00EC023D">
        <w:rPr>
          <w:b/>
        </w:rPr>
        <w:t xml:space="preserve"> </w:t>
      </w:r>
      <w:r w:rsidRPr="00EC023D">
        <w:rPr>
          <w:b/>
          <w:i/>
        </w:rPr>
        <w:t>upošteva stroge zahteve glede zaupnosti</w:t>
      </w:r>
      <w:r w:rsidRPr="00EC023D">
        <w:t>.“;</w:t>
      </w:r>
    </w:p>
    <w:p w:rsidR="00D175E6" w:rsidRPr="00EC023D" w:rsidRDefault="00D175E6" w:rsidP="00D175E6">
      <w:pPr>
        <w:pStyle w:val="Point1letter"/>
        <w:numPr>
          <w:ilvl w:val="0"/>
          <w:numId w:val="0"/>
        </w:numPr>
        <w:tabs>
          <w:tab w:val="left" w:pos="1417"/>
        </w:tabs>
        <w:ind w:left="1417" w:hanging="567"/>
        <w:rPr>
          <w:b/>
          <w:i/>
        </w:rPr>
      </w:pPr>
      <w:r w:rsidRPr="00EC023D">
        <w:rPr>
          <w:b/>
          <w:i/>
        </w:rPr>
        <w:t>(da)</w:t>
      </w:r>
      <w:r w:rsidRPr="00EC023D">
        <w:rPr>
          <w:b/>
          <w:i/>
        </w:rPr>
        <w:tab/>
        <w:t>odstavek 14 se nadomesti z naslednjim:</w:t>
      </w:r>
    </w:p>
    <w:p w:rsidR="00D175E6" w:rsidRPr="00EC023D" w:rsidRDefault="00D175E6" w:rsidP="00D175E6">
      <w:pPr>
        <w:pStyle w:val="Text2"/>
      </w:pPr>
      <w:r w:rsidRPr="00EC023D">
        <w:t>„14.</w:t>
      </w:r>
      <w:r w:rsidRPr="00EC023D">
        <w:tab/>
        <w:t>Na Komisijo se prenese pooblastilo za sprejemanje delegiranih aktov v skladu s členom 23(1) do (3) in (5), in sicer za dopolnitev te uredbe z vzpostavitvijo preglednice kazalnikov, ki jih bo naložbeni odbor uporabil za zagotovitev neodvisne in pregledne ocene potencialne in dejanske uporabe jamstva EU. Ti delegirani akti se pripravijo v tesnem dialogu z EIB.</w:t>
      </w:r>
    </w:p>
    <w:p w:rsidR="00D175E6" w:rsidRPr="00EC023D" w:rsidRDefault="00D175E6" w:rsidP="00D175E6">
      <w:pPr>
        <w:pStyle w:val="Text2"/>
        <w:rPr>
          <w:b/>
          <w:i/>
        </w:rPr>
      </w:pPr>
      <w:r w:rsidRPr="00EC023D">
        <w:rPr>
          <w:b/>
          <w:i/>
        </w:rPr>
        <w:t>Usmerjevalni odbor revidira naložbene smernice, da bi določil minimalni prag za različna merila na preglednici, da bi se izboljšalo ocenjevanje projektov.“;</w:t>
      </w:r>
    </w:p>
    <w:p w:rsidR="00D175E6" w:rsidRPr="00EC023D" w:rsidRDefault="00D175E6" w:rsidP="00D175E6">
      <w:pPr>
        <w:pStyle w:val="Point0number"/>
        <w:numPr>
          <w:ilvl w:val="0"/>
          <w:numId w:val="0"/>
        </w:numPr>
        <w:tabs>
          <w:tab w:val="left" w:pos="850"/>
        </w:tabs>
        <w:ind w:left="850" w:hanging="850"/>
        <w:rPr>
          <w:b/>
          <w:i/>
        </w:rPr>
      </w:pPr>
      <w:r w:rsidRPr="00EC023D">
        <w:rPr>
          <w:b/>
          <w:i/>
        </w:rPr>
        <w:lastRenderedPageBreak/>
        <w:t>(4a)</w:t>
      </w:r>
      <w:r w:rsidRPr="00EC023D">
        <w:tab/>
      </w:r>
      <w:r w:rsidRPr="00EC023D">
        <w:rPr>
          <w:b/>
          <w:i/>
        </w:rPr>
        <w:t>v členu 8 se točka (b) iz prvega odstavka nadomesti z naslednjim:</w:t>
      </w:r>
    </w:p>
    <w:p w:rsidR="00D175E6" w:rsidRPr="00EC023D" w:rsidRDefault="00D175E6" w:rsidP="00D175E6">
      <w:pPr>
        <w:pStyle w:val="Point1letter"/>
        <w:numPr>
          <w:ilvl w:val="0"/>
          <w:numId w:val="0"/>
        </w:numPr>
        <w:tabs>
          <w:tab w:val="left" w:pos="1417"/>
        </w:tabs>
        <w:ind w:left="1417" w:hanging="567"/>
      </w:pPr>
      <w:r w:rsidRPr="00EC023D">
        <w:t>„(b)</w:t>
      </w:r>
      <w:r w:rsidRPr="00EC023D">
        <w:tab/>
        <w:t>te operacije vključujejo subjekte, ki se nahajajo ali imajo sedež v eni ali več državah članicah, in zadevajo eno ali več tretjih držav</w:t>
      </w:r>
      <w:r w:rsidRPr="00EC023D">
        <w:rPr>
          <w:b/>
          <w:i/>
        </w:rPr>
        <w:t xml:space="preserve"> oziroma sodelujejo s subjektom v eni ali več tretjih državah</w:t>
      </w:r>
      <w:r w:rsidRPr="00EC023D">
        <w:t>, ki sodijo v okvir evropske sosedske politike, vključno s strateškim partnerstvom, politiko širitve ter Evropskim gospodarskim prostorom in Evropskim združenjem za prosto trgovino, ali čezmorske države ali ozemlja, določena v Prilogi II k PDEU, ne glede na to, ali v teh tretjih državah, čezmorskih državah ali ozemljih obstaja partner.“;</w:t>
      </w:r>
    </w:p>
    <w:p w:rsidR="00D175E6" w:rsidRPr="00EC023D" w:rsidRDefault="00D175E6" w:rsidP="00D175E6">
      <w:pPr>
        <w:pStyle w:val="Point0number"/>
        <w:numPr>
          <w:ilvl w:val="0"/>
          <w:numId w:val="0"/>
        </w:numPr>
        <w:tabs>
          <w:tab w:val="left" w:pos="850"/>
        </w:tabs>
        <w:ind w:left="850" w:hanging="850"/>
      </w:pPr>
      <w:r w:rsidRPr="00EC023D">
        <w:t>(5)</w:t>
      </w:r>
      <w:r w:rsidRPr="00EC023D">
        <w:tab/>
        <w:t>člen 9 se spremeni:</w:t>
      </w:r>
    </w:p>
    <w:p w:rsidR="00D175E6" w:rsidRPr="00EC023D" w:rsidRDefault="00D175E6" w:rsidP="00D175E6">
      <w:pPr>
        <w:pStyle w:val="Point1letter"/>
        <w:numPr>
          <w:ilvl w:val="0"/>
          <w:numId w:val="0"/>
        </w:numPr>
        <w:tabs>
          <w:tab w:val="left" w:pos="1417"/>
        </w:tabs>
        <w:ind w:left="1417" w:hanging="567"/>
        <w:rPr>
          <w:b/>
          <w:bCs/>
          <w:i/>
          <w:iCs/>
        </w:rPr>
      </w:pPr>
      <w:r w:rsidRPr="00EC023D">
        <w:rPr>
          <w:b/>
          <w:bCs/>
          <w:i/>
          <w:iCs/>
        </w:rPr>
        <w:t>(-a)</w:t>
      </w:r>
      <w:r w:rsidRPr="00EC023D">
        <w:rPr>
          <w:b/>
          <w:bCs/>
          <w:i/>
          <w:iCs/>
        </w:rPr>
        <w:tab/>
        <w:t>v odstavku 2 se uvodni del nadomesti z naslednjim:</w:t>
      </w:r>
    </w:p>
    <w:p w:rsidR="00D175E6" w:rsidRPr="00EC023D" w:rsidRDefault="00D175E6" w:rsidP="00D175E6">
      <w:pPr>
        <w:pStyle w:val="Text2"/>
        <w:rPr>
          <w:b/>
          <w:i/>
        </w:rPr>
      </w:pPr>
      <w:r w:rsidRPr="00EC023D">
        <w:t>„2.</w:t>
      </w:r>
      <w:r w:rsidRPr="00EC023D">
        <w:tab/>
        <w:t xml:space="preserve"> Jamstvo EU se odobri za operacije financiranja in naložbene operacije EIB, ki jih odobri naložbeni odbor iz člena 7(7), ali za financiranje ali jamstva, zagotovljena EIS, da bi ta lahko izvajal operacije financiranja in naložbene operacije EIB v skladu s členom 11(3). </w:t>
      </w:r>
      <w:r w:rsidRPr="00EC023D">
        <w:rPr>
          <w:b/>
          <w:i/>
        </w:rPr>
        <w:t>Naložbeni odbor lahko v skladu z navodili usmerjevalnega odbora dodeli ustrezni delež jamstva EU neposredno naložbenim platformam oziroma nacionalnim spodbujevalnim bankam ali institucijam ter nanje prenese pristojnost za odločanje o izbiri projektov. V vsakem primeru pa naloženi odbor ohrani pravico, da nadzira postopek izbire projektov, da zagotovi, da se izvaja v skladu s to uredbo.</w:t>
      </w:r>
    </w:p>
    <w:p w:rsidR="00D175E6" w:rsidRPr="00EC023D" w:rsidRDefault="00D175E6" w:rsidP="00D175E6">
      <w:pPr>
        <w:pStyle w:val="Text2"/>
      </w:pPr>
      <w:r w:rsidRPr="00EC023D">
        <w:t>Zadevne operacije morajo biti skladne s politikami Unije in podpirati katerega koli od naslednjih splošnih ciljev:“;</w:t>
      </w:r>
    </w:p>
    <w:p w:rsidR="00D175E6" w:rsidRPr="00EC023D" w:rsidRDefault="00D175E6" w:rsidP="00D175E6">
      <w:pPr>
        <w:pStyle w:val="Point1letter"/>
        <w:numPr>
          <w:ilvl w:val="0"/>
          <w:numId w:val="0"/>
        </w:numPr>
        <w:tabs>
          <w:tab w:val="left" w:pos="1417"/>
        </w:tabs>
        <w:ind w:left="1417" w:hanging="567"/>
        <w:rPr>
          <w:b/>
          <w:i/>
        </w:rPr>
      </w:pPr>
      <w:r w:rsidRPr="00EC023D">
        <w:rPr>
          <w:b/>
          <w:i/>
        </w:rPr>
        <w:t>(-aa)</w:t>
      </w:r>
      <w:r w:rsidRPr="00EC023D">
        <w:rPr>
          <w:b/>
          <w:i/>
        </w:rPr>
        <w:tab/>
        <w:t>v odstavku 2(c) se doda naslednja točka:</w:t>
      </w:r>
    </w:p>
    <w:p w:rsidR="00D175E6" w:rsidRPr="00EC023D" w:rsidRDefault="00D175E6" w:rsidP="00D175E6">
      <w:pPr>
        <w:pStyle w:val="Text2"/>
        <w:rPr>
          <w:b/>
          <w:i/>
        </w:rPr>
      </w:pPr>
      <w:r w:rsidRPr="00EC023D">
        <w:rPr>
          <w:b/>
          <w:i/>
        </w:rPr>
        <w:t>„(iiia)železniško infrastrukturo in drugimi železniškimi projekti;“;</w:t>
      </w:r>
    </w:p>
    <w:p w:rsidR="00D175E6" w:rsidRPr="00EC023D" w:rsidRDefault="00D175E6" w:rsidP="00D175E6">
      <w:pPr>
        <w:pStyle w:val="Point1letter"/>
        <w:numPr>
          <w:ilvl w:val="0"/>
          <w:numId w:val="0"/>
        </w:numPr>
        <w:tabs>
          <w:tab w:val="left" w:pos="1417"/>
        </w:tabs>
        <w:ind w:left="1417" w:hanging="567"/>
        <w:rPr>
          <w:b/>
          <w:i/>
        </w:rPr>
      </w:pPr>
      <w:r w:rsidRPr="00EC023D">
        <w:rPr>
          <w:b/>
          <w:i/>
        </w:rPr>
        <w:t>(-ab)</w:t>
      </w:r>
      <w:r w:rsidRPr="00EC023D">
        <w:rPr>
          <w:b/>
          <w:i/>
        </w:rPr>
        <w:tab/>
        <w:t>v odstavku 2(e) se dodajo naslednje točke:</w:t>
      </w:r>
    </w:p>
    <w:p w:rsidR="00D175E6" w:rsidRPr="00EC023D" w:rsidRDefault="00D175E6" w:rsidP="00D175E6">
      <w:pPr>
        <w:pStyle w:val="Text2"/>
        <w:rPr>
          <w:b/>
          <w:i/>
          <w:szCs w:val="24"/>
        </w:rPr>
      </w:pPr>
      <w:r w:rsidRPr="00EC023D">
        <w:rPr>
          <w:b/>
          <w:i/>
        </w:rPr>
        <w:t>„</w:t>
      </w:r>
      <w:r w:rsidRPr="00EC023D">
        <w:rPr>
          <w:b/>
          <w:i/>
          <w:szCs w:val="24"/>
        </w:rPr>
        <w:t>(</w:t>
      </w:r>
      <w:r w:rsidRPr="00EC023D">
        <w:rPr>
          <w:b/>
          <w:i/>
        </w:rPr>
        <w:t>ia</w:t>
      </w:r>
      <w:r w:rsidRPr="00EC023D">
        <w:rPr>
          <w:b/>
          <w:i/>
          <w:szCs w:val="24"/>
        </w:rPr>
        <w:t>)</w:t>
      </w:r>
      <w:r w:rsidRPr="00EC023D">
        <w:rPr>
          <w:b/>
          <w:i/>
          <w:szCs w:val="24"/>
        </w:rPr>
        <w:tab/>
        <w:t xml:space="preserve"> tehnologijo verig blokov;</w:t>
      </w:r>
    </w:p>
    <w:p w:rsidR="00D175E6" w:rsidRPr="00EC023D" w:rsidRDefault="00D175E6" w:rsidP="00D175E6">
      <w:pPr>
        <w:pStyle w:val="Text2"/>
        <w:rPr>
          <w:b/>
          <w:i/>
          <w:szCs w:val="24"/>
        </w:rPr>
      </w:pPr>
      <w:r w:rsidRPr="00EC023D">
        <w:rPr>
          <w:b/>
          <w:i/>
          <w:szCs w:val="24"/>
        </w:rPr>
        <w:t>(</w:t>
      </w:r>
      <w:r w:rsidRPr="00EC023D">
        <w:rPr>
          <w:b/>
          <w:i/>
        </w:rPr>
        <w:t>ib</w:t>
      </w:r>
      <w:r w:rsidRPr="00EC023D">
        <w:rPr>
          <w:b/>
          <w:i/>
          <w:szCs w:val="24"/>
        </w:rPr>
        <w:t>)</w:t>
      </w:r>
      <w:r w:rsidRPr="00EC023D">
        <w:rPr>
          <w:b/>
          <w:i/>
          <w:szCs w:val="24"/>
        </w:rPr>
        <w:tab/>
        <w:t>internetom stvari;</w:t>
      </w:r>
    </w:p>
    <w:p w:rsidR="00D175E6" w:rsidRPr="00EC023D" w:rsidRDefault="00D175E6" w:rsidP="00D175E6">
      <w:pPr>
        <w:pStyle w:val="Text2"/>
        <w:rPr>
          <w:b/>
          <w:i/>
        </w:rPr>
      </w:pPr>
      <w:r w:rsidRPr="00EC023D">
        <w:rPr>
          <w:b/>
          <w:i/>
          <w:szCs w:val="24"/>
        </w:rPr>
        <w:t>(</w:t>
      </w:r>
      <w:r w:rsidRPr="00EC023D">
        <w:rPr>
          <w:b/>
          <w:i/>
        </w:rPr>
        <w:t>ic</w:t>
      </w:r>
      <w:r w:rsidRPr="00EC023D">
        <w:rPr>
          <w:b/>
          <w:i/>
          <w:szCs w:val="24"/>
        </w:rPr>
        <w:t>)</w:t>
      </w:r>
      <w:r w:rsidRPr="00EC023D">
        <w:rPr>
          <w:b/>
          <w:i/>
          <w:szCs w:val="24"/>
        </w:rPr>
        <w:tab/>
      </w:r>
      <w:r w:rsidRPr="00EC023D">
        <w:rPr>
          <w:b/>
          <w:i/>
        </w:rPr>
        <w:t>infrastrukturo za kibernetsko varnost in varnost omrežij;“</w:t>
      </w:r>
    </w:p>
    <w:p w:rsidR="00D175E6" w:rsidRPr="00EC023D" w:rsidRDefault="00D175E6" w:rsidP="00D175E6">
      <w:pPr>
        <w:pStyle w:val="Point1letter"/>
        <w:numPr>
          <w:ilvl w:val="0"/>
          <w:numId w:val="0"/>
        </w:numPr>
        <w:tabs>
          <w:tab w:val="left" w:pos="1417"/>
        </w:tabs>
        <w:ind w:left="1417" w:hanging="567"/>
        <w:rPr>
          <w:b/>
          <w:i/>
          <w:szCs w:val="24"/>
        </w:rPr>
      </w:pPr>
      <w:r w:rsidRPr="00EC023D">
        <w:rPr>
          <w:b/>
          <w:i/>
        </w:rPr>
        <w:t>(-ac)</w:t>
      </w:r>
      <w:r w:rsidRPr="00EC023D">
        <w:rPr>
          <w:b/>
          <w:i/>
        </w:rPr>
        <w:tab/>
      </w:r>
      <w:r w:rsidRPr="00EC023D">
        <w:rPr>
          <w:b/>
          <w:i/>
          <w:szCs w:val="24"/>
        </w:rPr>
        <w:t>v odstavku 2 se spremeni točka (g)(ii):</w:t>
      </w:r>
    </w:p>
    <w:p w:rsidR="00D175E6" w:rsidRPr="00EC023D" w:rsidRDefault="00D175E6" w:rsidP="00D175E6">
      <w:pPr>
        <w:pStyle w:val="Text2"/>
        <w:ind w:left="2160" w:hanging="743"/>
        <w:rPr>
          <w:b/>
          <w:i/>
        </w:rPr>
      </w:pPr>
      <w:r w:rsidRPr="00EC023D">
        <w:t>„(ii)</w:t>
      </w:r>
      <w:r w:rsidRPr="00EC023D">
        <w:tab/>
        <w:t>kulturno in ustvarjalno industrijo</w:t>
      </w:r>
      <w:r w:rsidRPr="00EC023D">
        <w:rPr>
          <w:b/>
          <w:i/>
        </w:rPr>
        <w:t>, kjer se odobrijo sektorju prilagojeni finančni mehanizmi prek interakcij s programom Ustvarjalna Evropa in  jamstveno shemo, da se zagotovijo namenu ustrezna posojila za kulturne in ustvarjalne dejavnosti.“;</w:t>
      </w:r>
      <w:r w:rsidRPr="00EC023D">
        <w:t xml:space="preserve"> </w:t>
      </w:r>
    </w:p>
    <w:p w:rsidR="00D175E6" w:rsidRPr="00EC023D" w:rsidRDefault="00D175E6" w:rsidP="00D175E6">
      <w:pPr>
        <w:pStyle w:val="Point1letter"/>
        <w:numPr>
          <w:ilvl w:val="0"/>
          <w:numId w:val="0"/>
        </w:numPr>
        <w:tabs>
          <w:tab w:val="left" w:pos="1417"/>
        </w:tabs>
        <w:ind w:left="1417" w:hanging="567"/>
        <w:rPr>
          <w:b/>
          <w:i/>
          <w:szCs w:val="24"/>
        </w:rPr>
      </w:pPr>
      <w:r w:rsidRPr="00EC023D">
        <w:rPr>
          <w:b/>
          <w:i/>
        </w:rPr>
        <w:t>(-ad)</w:t>
      </w:r>
      <w:r w:rsidRPr="00EC023D">
        <w:rPr>
          <w:b/>
          <w:i/>
        </w:rPr>
        <w:tab/>
      </w:r>
      <w:r w:rsidRPr="00EC023D">
        <w:rPr>
          <w:b/>
          <w:i/>
          <w:szCs w:val="24"/>
        </w:rPr>
        <w:t>v odstavku 2 se spremeni točka (g)(v):</w:t>
      </w:r>
    </w:p>
    <w:p w:rsidR="00D175E6" w:rsidRPr="00EC023D" w:rsidRDefault="00D175E6" w:rsidP="00D175E6">
      <w:pPr>
        <w:pStyle w:val="Text2"/>
        <w:ind w:left="2160" w:hanging="743"/>
        <w:rPr>
          <w:b/>
          <w:i/>
        </w:rPr>
      </w:pPr>
      <w:r w:rsidRPr="00EC023D">
        <w:t>„(v)</w:t>
      </w:r>
      <w:r w:rsidRPr="00EC023D">
        <w:tab/>
        <w:t>socialno infrastrukturo</w:t>
      </w:r>
      <w:r w:rsidRPr="00EC023D">
        <w:rPr>
          <w:b/>
          <w:i/>
        </w:rPr>
        <w:t>, socialnimi storitvami</w:t>
      </w:r>
      <w:r w:rsidRPr="00EC023D">
        <w:t xml:space="preserve"> ter socialnim in solidarnostnim gospodarstvom;“</w:t>
      </w:r>
    </w:p>
    <w:p w:rsidR="00D175E6" w:rsidRPr="00EC023D" w:rsidRDefault="00D175E6" w:rsidP="00D175E6">
      <w:pPr>
        <w:pStyle w:val="Point1letter"/>
        <w:numPr>
          <w:ilvl w:val="0"/>
          <w:numId w:val="0"/>
        </w:numPr>
        <w:tabs>
          <w:tab w:val="left" w:pos="1417"/>
        </w:tabs>
        <w:ind w:left="1417" w:hanging="567"/>
      </w:pPr>
      <w:r w:rsidRPr="00EC023D">
        <w:t>(a)</w:t>
      </w:r>
      <w:r w:rsidRPr="00EC023D">
        <w:tab/>
        <w:t>v odstavku 2 se dodata naslednji točki (h) in (i):</w:t>
      </w:r>
    </w:p>
    <w:p w:rsidR="00D175E6" w:rsidRPr="00EC023D" w:rsidRDefault="00D175E6" w:rsidP="00D175E6">
      <w:pPr>
        <w:pStyle w:val="Text2"/>
        <w:ind w:left="2160" w:hanging="743"/>
      </w:pPr>
      <w:r w:rsidRPr="00EC023D">
        <w:lastRenderedPageBreak/>
        <w:t xml:space="preserve">„(h) </w:t>
      </w:r>
      <w:r w:rsidRPr="00EC023D">
        <w:tab/>
      </w:r>
      <w:r w:rsidRPr="00EC023D">
        <w:rPr>
          <w:b/>
          <w:i/>
        </w:rPr>
        <w:t>trajnostno</w:t>
      </w:r>
      <w:r w:rsidRPr="00EC023D">
        <w:t xml:space="preserve"> kmetijstvo, ribištvo in ribogojstvo </w:t>
      </w:r>
      <w:r w:rsidRPr="00EC023D">
        <w:rPr>
          <w:b/>
          <w:i/>
        </w:rPr>
        <w:t>ter drugi sektorji biogospodarstva in bioindustrije</w:t>
      </w:r>
      <w:r w:rsidRPr="00EC023D">
        <w:t>;</w:t>
      </w:r>
    </w:p>
    <w:p w:rsidR="00D175E6" w:rsidRPr="00EC023D" w:rsidRDefault="00D175E6" w:rsidP="00D175E6">
      <w:pPr>
        <w:pStyle w:val="Text2"/>
        <w:ind w:left="2160" w:hanging="743"/>
      </w:pPr>
      <w:r w:rsidRPr="00EC023D">
        <w:t xml:space="preserve">(i) </w:t>
      </w:r>
      <w:r w:rsidRPr="00EC023D">
        <w:tab/>
      </w:r>
      <w:r w:rsidRPr="00EC023D">
        <w:rPr>
          <w:b/>
          <w:i/>
        </w:rPr>
        <w:t>v skladu z zahtevami iz te uredbe</w:t>
      </w:r>
      <w:r w:rsidRPr="00EC023D">
        <w:t xml:space="preserve"> za manj razvite regije in regije v prehodu, kot so navedene v Prilogi I in Prilogi II k Izvedbenemu sklepu Komisije 2014/99/EU</w:t>
      </w:r>
      <w:r w:rsidRPr="00EC023D">
        <w:rPr>
          <w:rStyle w:val="FootnoteReference"/>
        </w:rPr>
        <w:footnoteReference w:id="6"/>
      </w:r>
      <w:r w:rsidRPr="00EC023D">
        <w:t>, druga industrija in storitve, upravičene do podpore EIB.“;</w:t>
      </w:r>
    </w:p>
    <w:p w:rsidR="00D175E6" w:rsidRPr="00EC023D" w:rsidRDefault="00D175E6" w:rsidP="00D175E6">
      <w:pPr>
        <w:pStyle w:val="Point1letter"/>
        <w:numPr>
          <w:ilvl w:val="0"/>
          <w:numId w:val="0"/>
        </w:numPr>
        <w:tabs>
          <w:tab w:val="left" w:pos="1417"/>
        </w:tabs>
        <w:ind w:left="1417" w:hanging="567"/>
      </w:pPr>
      <w:r w:rsidRPr="00EC023D">
        <w:t>(b)</w:t>
      </w:r>
      <w:r w:rsidRPr="00EC023D">
        <w:tab/>
        <w:t>V odstavku 2 se doda naslednji pododstavek:</w:t>
      </w:r>
    </w:p>
    <w:p w:rsidR="00D175E6" w:rsidRPr="00EC023D" w:rsidRDefault="00D175E6" w:rsidP="00D175E6">
      <w:pPr>
        <w:pStyle w:val="Text2"/>
      </w:pPr>
      <w:r w:rsidRPr="00EC023D">
        <w:t>„</w:t>
      </w:r>
      <w:r w:rsidRPr="00EC023D">
        <w:rPr>
          <w:b/>
          <w:i/>
        </w:rPr>
        <w:t>Usmerjevalni odbor zagotovi podrobna navodila in orodja za ocenjevanje, zlasti kar zadeva upravičene projekte in celoten portfelj EFSI, ob posebnem upoštevanju COP21.</w:t>
      </w:r>
      <w:r w:rsidRPr="00EC023D">
        <w:rPr>
          <w:b/>
          <w:bCs/>
          <w:i/>
          <w:iCs/>
          <w:szCs w:val="24"/>
        </w:rPr>
        <w:t xml:space="preserve"> </w:t>
      </w:r>
      <w:r w:rsidRPr="00EC023D">
        <w:rPr>
          <w:b/>
          <w:i/>
        </w:rPr>
        <w:t>S temi navodili se zagotovi,</w:t>
      </w:r>
      <w:r w:rsidRPr="00EC023D">
        <w:rPr>
          <w:b/>
        </w:rPr>
        <w:t xml:space="preserve"> </w:t>
      </w:r>
      <w:r w:rsidRPr="00EC023D">
        <w:t xml:space="preserve">da se vsaj 40 % financiranja iz EFSI v okviru dela za infrastrukturo in inovacije nameni za </w:t>
      </w:r>
      <w:r w:rsidRPr="00EC023D">
        <w:rPr>
          <w:b/>
          <w:i/>
        </w:rPr>
        <w:t>elemente projektov</w:t>
      </w:r>
      <w:r w:rsidRPr="00EC023D">
        <w:t xml:space="preserve">, ki prispevajo k podnebnim ukrepom.“; </w:t>
      </w:r>
    </w:p>
    <w:p w:rsidR="00D175E6" w:rsidRPr="00EC023D" w:rsidRDefault="00D175E6" w:rsidP="00D175E6">
      <w:pPr>
        <w:pStyle w:val="Point1letter"/>
        <w:numPr>
          <w:ilvl w:val="0"/>
          <w:numId w:val="0"/>
        </w:numPr>
        <w:tabs>
          <w:tab w:val="left" w:pos="1417"/>
        </w:tabs>
        <w:ind w:left="1417" w:hanging="567"/>
      </w:pPr>
      <w:r w:rsidRPr="00EC023D">
        <w:t>(c)</w:t>
      </w:r>
      <w:r w:rsidRPr="00EC023D">
        <w:tab/>
        <w:t>odstavek 3 se nadomesti z naslednjim:</w:t>
      </w:r>
    </w:p>
    <w:p w:rsidR="00D175E6" w:rsidRPr="00EC023D" w:rsidRDefault="00D175E6" w:rsidP="00D175E6">
      <w:pPr>
        <w:pStyle w:val="Text2"/>
        <w:ind w:left="2160" w:hanging="743"/>
      </w:pPr>
      <w:r w:rsidRPr="00EC023D">
        <w:t xml:space="preserve">„3. </w:t>
      </w:r>
      <w:r w:rsidRPr="00EC023D">
        <w:tab/>
        <w:t>Naložbeno obdobje, v katerem se lahko odobri jamstvo EU za podporo operacij financiranja in naložbenih operacij, ki jih zajema ta uredba, traja do:</w:t>
      </w:r>
    </w:p>
    <w:p w:rsidR="00D175E6" w:rsidRPr="00EC023D" w:rsidRDefault="00D175E6" w:rsidP="00D175E6">
      <w:pPr>
        <w:pStyle w:val="Text2"/>
        <w:ind w:left="2880" w:hanging="720"/>
      </w:pPr>
      <w:r w:rsidRPr="00EC023D">
        <w:t>(a)</w:t>
      </w:r>
      <w:r w:rsidRPr="00EC023D">
        <w:tab/>
        <w:t>31. decembra 2020, za operacije EIB, za katere sta EIB in upravičenec ali finančni posrednik podpisala pogodbo do 31. decembra 2022;</w:t>
      </w:r>
    </w:p>
    <w:p w:rsidR="00D175E6" w:rsidRPr="00EC023D" w:rsidRDefault="00D175E6" w:rsidP="00D175E6">
      <w:pPr>
        <w:pStyle w:val="Text2"/>
        <w:ind w:left="2880" w:hanging="720"/>
      </w:pPr>
      <w:r w:rsidRPr="00EC023D">
        <w:t>(b)</w:t>
      </w:r>
      <w:r w:rsidRPr="00EC023D">
        <w:tab/>
        <w:t>31. decembra 2020, za operacije EIS, za katere sta EIF in finančni posrednik podpisala pogodbo do 31. decembra 2022.“;</w:t>
      </w:r>
    </w:p>
    <w:p w:rsidR="00D175E6" w:rsidRPr="00EC023D" w:rsidRDefault="00D175E6" w:rsidP="00D175E6">
      <w:pPr>
        <w:pStyle w:val="Point1letter"/>
        <w:numPr>
          <w:ilvl w:val="0"/>
          <w:numId w:val="0"/>
        </w:numPr>
        <w:tabs>
          <w:tab w:val="left" w:pos="1417"/>
        </w:tabs>
        <w:ind w:left="1417" w:hanging="567"/>
      </w:pPr>
      <w:r w:rsidRPr="00EC023D">
        <w:t>(d)</w:t>
      </w:r>
      <w:r w:rsidRPr="00EC023D">
        <w:tab/>
        <w:t>odstavek 4 se črta;</w:t>
      </w:r>
    </w:p>
    <w:p w:rsidR="00D175E6" w:rsidRPr="00EC023D" w:rsidRDefault="00D175E6" w:rsidP="00D175E6">
      <w:pPr>
        <w:pStyle w:val="Point1letter"/>
        <w:numPr>
          <w:ilvl w:val="0"/>
          <w:numId w:val="0"/>
        </w:numPr>
        <w:tabs>
          <w:tab w:val="left" w:pos="1417"/>
        </w:tabs>
        <w:ind w:left="1417" w:hanging="567"/>
        <w:rPr>
          <w:b/>
          <w:bCs/>
          <w:i/>
          <w:iCs/>
        </w:rPr>
      </w:pPr>
      <w:r w:rsidRPr="00EC023D">
        <w:rPr>
          <w:b/>
          <w:bCs/>
          <w:i/>
          <w:iCs/>
        </w:rPr>
        <w:t>(da)</w:t>
      </w:r>
      <w:r w:rsidRPr="00EC023D">
        <w:rPr>
          <w:b/>
          <w:bCs/>
          <w:i/>
          <w:iCs/>
        </w:rPr>
        <w:tab/>
        <w:t>vstavi se naslednji odstavek:</w:t>
      </w:r>
    </w:p>
    <w:p w:rsidR="00D175E6" w:rsidRPr="00EC023D" w:rsidRDefault="00D175E6" w:rsidP="00D175E6">
      <w:pPr>
        <w:pStyle w:val="Point1letter"/>
        <w:numPr>
          <w:ilvl w:val="0"/>
          <w:numId w:val="0"/>
        </w:numPr>
        <w:tabs>
          <w:tab w:val="left" w:pos="1417"/>
        </w:tabs>
        <w:ind w:left="1417" w:hanging="567"/>
        <w:rPr>
          <w:b/>
          <w:bCs/>
          <w:i/>
          <w:iCs/>
        </w:rPr>
      </w:pPr>
      <w:r w:rsidRPr="00EC023D">
        <w:rPr>
          <w:b/>
          <w:bCs/>
          <w:i/>
          <w:iCs/>
        </w:rPr>
        <w:tab/>
        <w:t>„4a.</w:t>
      </w:r>
      <w:r w:rsidRPr="00EC023D">
        <w:rPr>
          <w:b/>
          <w:bCs/>
          <w:i/>
          <w:iCs/>
        </w:rPr>
        <w:tab/>
        <w:t>Če javni organ v državi članici ustanovi naložbeno platformo oziroma nacionalno spodbujevalno banko ali institucijo, ki ima iste cilje kot EFSI, EIB sodeluje s tem telesom. EIB sodeluje tudi z naložbenimi platformami ali nacionalnimi spodbujevalnimi bankami ali institucije, ki so že ustanovljene in imajo iste cilje kot EFSI.“</w:t>
      </w:r>
    </w:p>
    <w:p w:rsidR="00D175E6" w:rsidRPr="00EC023D" w:rsidRDefault="00D175E6" w:rsidP="00D175E6">
      <w:pPr>
        <w:pStyle w:val="Point1letter"/>
        <w:numPr>
          <w:ilvl w:val="0"/>
          <w:numId w:val="0"/>
        </w:numPr>
        <w:tabs>
          <w:tab w:val="left" w:pos="1417"/>
        </w:tabs>
        <w:ind w:left="1417" w:hanging="567"/>
        <w:rPr>
          <w:b/>
          <w:bCs/>
          <w:i/>
          <w:iCs/>
        </w:rPr>
      </w:pPr>
      <w:r w:rsidRPr="00EC023D">
        <w:rPr>
          <w:b/>
          <w:bCs/>
          <w:i/>
          <w:iCs/>
        </w:rPr>
        <w:t>(db)</w:t>
      </w:r>
      <w:r w:rsidRPr="00EC023D">
        <w:rPr>
          <w:b/>
          <w:bCs/>
          <w:i/>
          <w:iCs/>
        </w:rPr>
        <w:tab/>
        <w:t>v odstavku 5 se tretji pododstavek nadomesti z naslednjim:</w:t>
      </w:r>
    </w:p>
    <w:p w:rsidR="00D175E6" w:rsidRPr="00EC023D" w:rsidRDefault="00D175E6" w:rsidP="00D175E6">
      <w:pPr>
        <w:pStyle w:val="Point1letter"/>
        <w:numPr>
          <w:ilvl w:val="0"/>
          <w:numId w:val="0"/>
        </w:numPr>
        <w:tabs>
          <w:tab w:val="left" w:pos="1417"/>
        </w:tabs>
        <w:ind w:left="1417" w:hanging="567"/>
      </w:pPr>
      <w:r w:rsidRPr="00EC023D">
        <w:rPr>
          <w:b/>
          <w:bCs/>
          <w:i/>
          <w:iCs/>
        </w:rPr>
        <w:tab/>
      </w:r>
      <w:r w:rsidRPr="00EC023D">
        <w:rPr>
          <w:b/>
          <w:i/>
        </w:rPr>
        <w:t>„Brez poseganja v člen 7(7) se lahko naložbeni</w:t>
      </w:r>
      <w:r w:rsidRPr="00EC023D">
        <w:t xml:space="preserve"> odbor </w:t>
      </w:r>
      <w:r w:rsidRPr="00EC023D">
        <w:rPr>
          <w:b/>
          <w:i/>
        </w:rPr>
        <w:t>po temeljiti oceni odloči, da bo končal partnerstvo z naložbeno platformo oziroma nacionalno spodbujevalno banko ali institucijo.“</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(5a)</w:t>
      </w:r>
      <w:r w:rsidRPr="00EC023D">
        <w:rPr>
          <w:b/>
          <w:bCs/>
          <w:i/>
          <w:iCs/>
        </w:rPr>
        <w:tab/>
        <w:t>Člen 10(1) se nadomesti z naslednjim:</w:t>
      </w:r>
    </w:p>
    <w:p w:rsidR="00D175E6" w:rsidRPr="00EC023D" w:rsidRDefault="00D175E6" w:rsidP="00D175E6">
      <w:pPr>
        <w:pStyle w:val="Point0number"/>
        <w:numPr>
          <w:ilvl w:val="0"/>
          <w:numId w:val="0"/>
        </w:numPr>
        <w:tabs>
          <w:tab w:val="left" w:pos="850"/>
        </w:tabs>
        <w:ind w:left="850" w:hanging="850"/>
      </w:pPr>
      <w:r w:rsidRPr="00EC023D">
        <w:lastRenderedPageBreak/>
        <w:tab/>
        <w:t>„1.</w:t>
      </w:r>
      <w:r w:rsidRPr="00EC023D">
        <w:tab/>
        <w:t>Za namene člena 9(2) in v skladu s členom 11 EIB</w:t>
      </w:r>
      <w:r w:rsidRPr="00EC023D">
        <w:rPr>
          <w:b/>
          <w:i/>
        </w:rPr>
        <w:t>, kjer je to potrebno, nacionalne spodbujevalne banke ali institucije ter naložbene platforme uporabljajo</w:t>
      </w:r>
      <w:r w:rsidRPr="00EC023D">
        <w:t xml:space="preserve"> jamstvo EU za kritje tveganj za instrumente iz odstavka 2 tega člena.“;</w:t>
      </w:r>
    </w:p>
    <w:p w:rsidR="00D175E6" w:rsidRPr="00EC023D" w:rsidRDefault="00D175E6" w:rsidP="00D175E6">
      <w:pPr>
        <w:pStyle w:val="Point0number"/>
        <w:numPr>
          <w:ilvl w:val="0"/>
          <w:numId w:val="0"/>
        </w:numPr>
        <w:tabs>
          <w:tab w:val="left" w:pos="850"/>
        </w:tabs>
        <w:ind w:left="850" w:hanging="850"/>
      </w:pPr>
      <w:r w:rsidRPr="00EC023D">
        <w:t>(6)</w:t>
      </w:r>
      <w:r w:rsidRPr="00EC023D">
        <w:tab/>
        <w:t>v členu 10(2) se točka (a) nadomesti z naslednjim:</w:t>
      </w:r>
    </w:p>
    <w:p w:rsidR="00D175E6" w:rsidRPr="00EC023D" w:rsidRDefault="00D175E6" w:rsidP="00D175E6">
      <w:pPr>
        <w:pStyle w:val="Point1"/>
      </w:pPr>
      <w:r w:rsidRPr="00EC023D">
        <w:t>„(a)</w:t>
      </w:r>
      <w:r w:rsidRPr="00EC023D">
        <w:tab/>
        <w:t>posojila EIB, jamstva, posredna jamstva, instrumenti kapitalskih trgov, katera koli druga oblika instrumentov za financiranje ali izboljšanje kreditne kvalitete, vključno s podrejenim dolgom, ter udeležba v obliki lastniškega kapitala ali navideznega lastniškega kapitala, tudi v korist nacionalnih spodbujevalnih bank ali institucij, naložbenih platform ali investicijskih skladov;“;</w:t>
      </w:r>
    </w:p>
    <w:p w:rsidR="00D175E6" w:rsidRPr="00EC023D" w:rsidRDefault="00D175E6" w:rsidP="00D175E6">
      <w:pPr>
        <w:pStyle w:val="Point0number"/>
        <w:numPr>
          <w:ilvl w:val="0"/>
          <w:numId w:val="0"/>
        </w:numPr>
        <w:tabs>
          <w:tab w:val="left" w:pos="850"/>
        </w:tabs>
        <w:ind w:left="850" w:hanging="850"/>
      </w:pPr>
      <w:r w:rsidRPr="00EC023D">
        <w:t>(7)</w:t>
      </w:r>
      <w:r w:rsidRPr="00EC023D">
        <w:tab/>
        <w:t>člen 11 se spremeni:</w:t>
      </w:r>
    </w:p>
    <w:p w:rsidR="00D175E6" w:rsidRPr="00EC023D" w:rsidRDefault="00D175E6" w:rsidP="00D175E6">
      <w:pPr>
        <w:pStyle w:val="Point1letter"/>
        <w:numPr>
          <w:ilvl w:val="0"/>
          <w:numId w:val="0"/>
        </w:numPr>
        <w:tabs>
          <w:tab w:val="left" w:pos="1417"/>
        </w:tabs>
        <w:ind w:left="1417" w:hanging="567"/>
      </w:pPr>
      <w:r w:rsidRPr="00EC023D">
        <w:t>(a)</w:t>
      </w:r>
      <w:r w:rsidRPr="00EC023D">
        <w:tab/>
        <w:t>odstavek 1 se nadomesti z naslednjim:</w:t>
      </w:r>
    </w:p>
    <w:p w:rsidR="00D175E6" w:rsidRPr="00EC023D" w:rsidRDefault="00D175E6" w:rsidP="00D175E6">
      <w:pPr>
        <w:pStyle w:val="Text2"/>
        <w:ind w:left="1985" w:hanging="567"/>
      </w:pPr>
      <w:r w:rsidRPr="00EC023D">
        <w:t>„1.</w:t>
      </w:r>
      <w:r w:rsidRPr="00EC023D">
        <w:tab/>
        <w:t>Znesek jamstva EU nikoli ne sme preseči 26 000 000 000 EUR, od česar se lahko del dodeli za financiranje ali jamstva s strani EIB, zagotovljena EIS, v skladu z odstavkom 3. Skupna neto plačila iz splošnega proračuna Unije v okviru jamstva EU ne smejo preseči 26 000 000 000 EUR in ne smejo preseči 16 000 000 000 EUR pred 6. julijem 2018.“;</w:t>
      </w:r>
    </w:p>
    <w:p w:rsidR="00D175E6" w:rsidRPr="00EC023D" w:rsidRDefault="00D175E6" w:rsidP="00D175E6">
      <w:pPr>
        <w:pStyle w:val="Point1letter"/>
        <w:numPr>
          <w:ilvl w:val="0"/>
          <w:numId w:val="0"/>
        </w:numPr>
        <w:tabs>
          <w:tab w:val="left" w:pos="1417"/>
        </w:tabs>
        <w:ind w:left="1417" w:hanging="567"/>
      </w:pPr>
      <w:r w:rsidRPr="00EC023D">
        <w:t>(b)</w:t>
      </w:r>
      <w:r w:rsidRPr="00EC023D">
        <w:tab/>
        <w:t>odstavek 3 se nadomesti z naslednjim:</w:t>
      </w:r>
    </w:p>
    <w:p w:rsidR="00D175E6" w:rsidRPr="00EC023D" w:rsidRDefault="00D175E6" w:rsidP="00D175E6">
      <w:pPr>
        <w:pStyle w:val="Text2"/>
        <w:ind w:left="2160" w:hanging="743"/>
      </w:pPr>
      <w:r w:rsidRPr="00EC023D">
        <w:t>„3.</w:t>
      </w:r>
      <w:r w:rsidRPr="00EC023D">
        <w:tab/>
        <w:t xml:space="preserve">Če EIB zagotovi financiranje ali jamstva EIS za izvajanje operacij financiranja in naložbenih operacij EIB, jamstvo EU zagotavlja polno jamstvo za tovrstno financiranje ali jamstva pod pogojem, da EIB zagotovi znesek financiranja ali jamstev v višini vsaj 4 000 000 000 EUR brez kritja jamstva EU, in sicer do začetnega najvišjega zneska 6 500 000 000 EUR. Brez poseganja v odstavek 1 lahko usmerjevalni odbor ta najvišji znesek po potrebi poveča </w:t>
      </w:r>
      <w:r w:rsidRPr="00EC023D">
        <w:rPr>
          <w:b/>
          <w:i/>
        </w:rPr>
        <w:t>na največ 8 000 000 000 EUR, EIB pa ni dolžna ustrezno povečati zagotovljenih zneskov nad začetni najvišji znesek</w:t>
      </w:r>
      <w:r w:rsidRPr="00EC023D">
        <w:t>.</w:t>
      </w:r>
    </w:p>
    <w:p w:rsidR="00D175E6" w:rsidRPr="00EC023D" w:rsidRDefault="00D175E6" w:rsidP="00D175E6">
      <w:pPr>
        <w:pStyle w:val="Point1letter"/>
        <w:numPr>
          <w:ilvl w:val="0"/>
          <w:numId w:val="0"/>
        </w:numPr>
        <w:tabs>
          <w:tab w:val="left" w:pos="1417"/>
        </w:tabs>
        <w:ind w:left="1417" w:hanging="567"/>
      </w:pPr>
      <w:r w:rsidRPr="00EC023D">
        <w:t>(c)</w:t>
      </w:r>
      <w:r w:rsidRPr="00EC023D">
        <w:tab/>
        <w:t>v odstavku 6 se točki (a) in (b) nadomestita z naslednjim:</w:t>
      </w:r>
    </w:p>
    <w:p w:rsidR="00D175E6" w:rsidRPr="00EC023D" w:rsidRDefault="00D175E6" w:rsidP="00D175E6">
      <w:pPr>
        <w:pStyle w:val="Point2"/>
      </w:pPr>
      <w:r w:rsidRPr="00EC023D">
        <w:t>„(a)</w:t>
      </w:r>
      <w:r w:rsidRPr="00EC023D">
        <w:tab/>
        <w:t>za dolžniške instrumente iz člena 10(2)(a), glavnico in vse obresti ter zneske, dolgovane EIB, ki jih ta institucija ni prejela v skladu s pogoji o finančnih operacijah do neizpolnitve obveznosti; izgube, ki izhajajo iz nihanj valut, ki niso euro, na trgih, na katerih so možnosti dolgoročnega varovanja pred tveganjem omejene; v zvezi s podrejenim dolgom se odlog, zmanjšanje ali zahtevan izstop štejejo za neizpolnitev obveznosti;</w:t>
      </w:r>
    </w:p>
    <w:p w:rsidR="00D175E6" w:rsidRPr="00EC023D" w:rsidRDefault="00D175E6" w:rsidP="00D175E6">
      <w:pPr>
        <w:pStyle w:val="Point2"/>
      </w:pPr>
      <w:r w:rsidRPr="00EC023D">
        <w:t xml:space="preserve"> (b)</w:t>
      </w:r>
      <w:r w:rsidRPr="00EC023D">
        <w:tab/>
        <w:t>za naložbe v lastniški kapital ali navidezni lastniški kapital iz člena 10(2)(a), vložene zneske in z njimi povezane stroške financiranja ter izgube zaradi nihanj valut, ki niso euro;“;</w:t>
      </w:r>
    </w:p>
    <w:p w:rsidR="00D175E6" w:rsidRPr="00EC023D" w:rsidRDefault="00D175E6" w:rsidP="00D175E6">
      <w:pPr>
        <w:pStyle w:val="Point0number"/>
        <w:numPr>
          <w:ilvl w:val="0"/>
          <w:numId w:val="0"/>
        </w:numPr>
        <w:tabs>
          <w:tab w:val="left" w:pos="850"/>
        </w:tabs>
        <w:ind w:left="850" w:hanging="850"/>
      </w:pPr>
      <w:r w:rsidRPr="00EC023D">
        <w:t>(8)</w:t>
      </w:r>
      <w:r w:rsidRPr="00EC023D">
        <w:tab/>
        <w:t>člen 12 se spremeni:</w:t>
      </w:r>
    </w:p>
    <w:p w:rsidR="00D175E6" w:rsidRPr="00EC023D" w:rsidRDefault="00D175E6" w:rsidP="00D175E6">
      <w:pPr>
        <w:pStyle w:val="Point1letter"/>
        <w:numPr>
          <w:ilvl w:val="0"/>
          <w:numId w:val="0"/>
        </w:numPr>
        <w:tabs>
          <w:tab w:val="left" w:pos="1417"/>
        </w:tabs>
        <w:ind w:left="1417" w:hanging="567"/>
      </w:pPr>
      <w:r w:rsidRPr="00EC023D">
        <w:t>(a)</w:t>
      </w:r>
      <w:r w:rsidRPr="00EC023D">
        <w:tab/>
        <w:t>odstavek 5 se nadomesti z naslednjim:</w:t>
      </w:r>
    </w:p>
    <w:p w:rsidR="00D175E6" w:rsidRPr="00EC023D" w:rsidRDefault="00D175E6" w:rsidP="00D175E6">
      <w:pPr>
        <w:pStyle w:val="Point1"/>
        <w:ind w:left="2160" w:hanging="743"/>
      </w:pPr>
      <w:r w:rsidRPr="00EC023D">
        <w:lastRenderedPageBreak/>
        <w:t>„5.</w:t>
      </w:r>
      <w:r w:rsidRPr="00EC023D">
        <w:tab/>
        <w:t>Vplačila v Jamstveni sklad iz odstavka 2 se uporabijo, da se doseže ustrezna raven (v nadaljnjem besedilu: ciljni znesek), ki odraža vse obveznosti jamstva EU. Ciljni znesek se določi na 35 % vseh obveznosti jamstva EU.“;</w:t>
      </w:r>
    </w:p>
    <w:p w:rsidR="00D175E6" w:rsidRPr="00EC023D" w:rsidRDefault="00D175E6" w:rsidP="00D175E6">
      <w:pPr>
        <w:pStyle w:val="Point1letter"/>
        <w:numPr>
          <w:ilvl w:val="0"/>
          <w:numId w:val="0"/>
        </w:numPr>
        <w:tabs>
          <w:tab w:val="left" w:pos="1417"/>
        </w:tabs>
        <w:ind w:left="1417" w:hanging="567"/>
      </w:pPr>
      <w:r w:rsidRPr="00EC023D">
        <w:t>(b)</w:t>
      </w:r>
      <w:r w:rsidRPr="00EC023D">
        <w:tab/>
        <w:t>odstavek 7 se nadomesti z naslednjim:</w:t>
      </w:r>
    </w:p>
    <w:p w:rsidR="00D175E6" w:rsidRPr="00EC023D" w:rsidRDefault="00D175E6" w:rsidP="00D175E6">
      <w:pPr>
        <w:pStyle w:val="Point1"/>
        <w:ind w:left="2160" w:hanging="743"/>
      </w:pPr>
      <w:r w:rsidRPr="00EC023D">
        <w:t>„7.</w:t>
      </w:r>
      <w:r w:rsidRPr="00EC023D">
        <w:tab/>
        <w:t>Če se stanje sredstev v jamstvenem skladu 1. julija 2018 zaradi unovčitev jamstva EU zniža pod 50 % ciljnega zneska oziroma bi se glede na oceno tveganja Komisije lahko znižalo pod to raven v enem letu, Komisija predloži poročilo o izrednih ukrepih, ki so morda potrebni.“;</w:t>
      </w:r>
    </w:p>
    <w:p w:rsidR="00D175E6" w:rsidRPr="00EC023D" w:rsidRDefault="00D175E6" w:rsidP="00D175E6">
      <w:pPr>
        <w:pStyle w:val="Point1letter"/>
        <w:numPr>
          <w:ilvl w:val="0"/>
          <w:numId w:val="0"/>
        </w:numPr>
        <w:tabs>
          <w:tab w:val="left" w:pos="1417"/>
        </w:tabs>
        <w:ind w:left="1417" w:hanging="567"/>
      </w:pPr>
      <w:r w:rsidRPr="00EC023D">
        <w:t>(c)</w:t>
      </w:r>
      <w:r w:rsidRPr="00EC023D">
        <w:tab/>
        <w:t>odstavki 8, 9 in 10 se nadomestijo z naslednjim:</w:t>
      </w:r>
    </w:p>
    <w:p w:rsidR="00D175E6" w:rsidRPr="00EC023D" w:rsidRDefault="00D175E6" w:rsidP="00D175E6">
      <w:pPr>
        <w:pStyle w:val="Text2"/>
        <w:ind w:left="2160" w:hanging="743"/>
      </w:pPr>
      <w:r w:rsidRPr="00EC023D">
        <w:t xml:space="preserve">„8. </w:t>
      </w:r>
      <w:r w:rsidRPr="00EC023D">
        <w:tab/>
        <w:t>Po unovčitvi jamstva EU se vplačila v Jamstveni sklad, določena v točkah (b) in (d) odstavka 2, ki presegajo ciljni znesek, uporabijo znotraj omejitev naložbenega obdobja iz člena 9 za obnovitev jamstva EU do polnega zneska.</w:t>
      </w:r>
    </w:p>
    <w:p w:rsidR="00D175E6" w:rsidRPr="00EC023D" w:rsidRDefault="00D175E6" w:rsidP="00D175E6">
      <w:pPr>
        <w:pStyle w:val="Text2"/>
        <w:ind w:left="2160" w:hanging="743"/>
      </w:pPr>
      <w:r w:rsidRPr="00EC023D">
        <w:t xml:space="preserve">9. </w:t>
      </w:r>
      <w:r w:rsidRPr="00EC023D">
        <w:tab/>
        <w:t>Vplačila v Jamstveni sklad iz točke (c) odstavka 2 se uporabijo za obnovitev jamstva EU do njegovega polnega zneska.</w:t>
      </w:r>
    </w:p>
    <w:p w:rsidR="00D175E6" w:rsidRPr="00EC023D" w:rsidRDefault="00D175E6" w:rsidP="00D175E6">
      <w:pPr>
        <w:pStyle w:val="Point1"/>
        <w:ind w:left="2160" w:hanging="743"/>
      </w:pPr>
      <w:r w:rsidRPr="00EC023D">
        <w:t>10.</w:t>
      </w:r>
      <w:r w:rsidRPr="00EC023D">
        <w:tab/>
        <w:t>Če se jamstvo EU v celoti obnovi do višine 26 000 000 000 EUR, se morebitni presežek ciljnega zneska v Jamstvenem skladu prenese v splošni proračun Unije kot notranji namenski prejemek v skladu s členom 21(4) Uredbe (EU, Euratom) št. 966/2012 za vse proračunske vrstice, katerih sredstva so bila morebiti prerazporejena v Jamstveni sklad.“;</w:t>
      </w:r>
    </w:p>
    <w:p w:rsidR="00D175E6" w:rsidRPr="00EC023D" w:rsidRDefault="00D175E6" w:rsidP="00D175E6"/>
    <w:p w:rsidR="00D175E6" w:rsidRPr="00EC023D" w:rsidRDefault="00D175E6" w:rsidP="00D175E6">
      <w:pPr>
        <w:pStyle w:val="Point0number"/>
        <w:numPr>
          <w:ilvl w:val="0"/>
          <w:numId w:val="0"/>
        </w:numPr>
        <w:tabs>
          <w:tab w:val="left" w:pos="850"/>
        </w:tabs>
        <w:ind w:left="850" w:hanging="850"/>
      </w:pPr>
      <w:r w:rsidRPr="00EC023D">
        <w:t>(9)</w:t>
      </w:r>
      <w:r w:rsidRPr="00EC023D">
        <w:tab/>
        <w:t>člen 14 se spremeni:</w:t>
      </w:r>
    </w:p>
    <w:p w:rsidR="00D175E6" w:rsidRPr="00EC023D" w:rsidRDefault="00D175E6" w:rsidP="00D175E6">
      <w:pPr>
        <w:pStyle w:val="Point1letter"/>
        <w:numPr>
          <w:ilvl w:val="0"/>
          <w:numId w:val="0"/>
        </w:numPr>
        <w:tabs>
          <w:tab w:val="left" w:pos="1417"/>
        </w:tabs>
        <w:ind w:left="1417" w:hanging="567"/>
      </w:pPr>
      <w:r w:rsidRPr="00EC023D">
        <w:t>(a)</w:t>
      </w:r>
      <w:r w:rsidRPr="00EC023D">
        <w:tab/>
        <w:t>odstavek 1 se spremeni:</w:t>
      </w:r>
    </w:p>
    <w:p w:rsidR="00D175E6" w:rsidRPr="00EC023D" w:rsidRDefault="00D175E6" w:rsidP="00D175E6">
      <w:pPr>
        <w:pStyle w:val="Point3"/>
      </w:pPr>
      <w:r w:rsidRPr="00EC023D">
        <w:t>(i)</w:t>
      </w:r>
      <w:r w:rsidRPr="00EC023D">
        <w:tab/>
        <w:t>v prvem pododstavku se drugi stavek nadomesti z naslednjim besedilom:</w:t>
      </w:r>
    </w:p>
    <w:p w:rsidR="00D175E6" w:rsidRPr="00EC023D" w:rsidRDefault="00D175E6" w:rsidP="00D175E6">
      <w:pPr>
        <w:pStyle w:val="Text4"/>
      </w:pPr>
      <w:r w:rsidRPr="00EC023D">
        <w:t xml:space="preserve">„Ta podpora vključuje ciljno usmerjeno podporo pri uporabi tehnične pomoči za strukturiranje projektov, uporabi inovativnih finančnih instrumentov in uporabi javno-zasebnih partnerstev </w:t>
      </w:r>
      <w:r w:rsidRPr="00EC023D">
        <w:rPr>
          <w:b/>
          <w:i/>
        </w:rPr>
        <w:t>ter po potrebi svetovanje o ustreznih vprašanjih v zvezi s pravom Unije, pri čemer se upoštevajo</w:t>
      </w:r>
      <w:r w:rsidRPr="00EC023D">
        <w:t xml:space="preserve"> posebnosti in potrebe držav članic z manj razvitimi finančnimi trgi</w:t>
      </w:r>
      <w:r w:rsidRPr="00EC023D">
        <w:rPr>
          <w:b/>
          <w:i/>
        </w:rPr>
        <w:t>, pa tudi razmere v različnih sektorjih</w:t>
      </w:r>
      <w:r w:rsidRPr="00EC023D">
        <w:t>.“</w:t>
      </w:r>
    </w:p>
    <w:p w:rsidR="00D175E6" w:rsidRPr="00EC023D" w:rsidRDefault="00D175E6" w:rsidP="00D175E6">
      <w:pPr>
        <w:pStyle w:val="Point3"/>
      </w:pPr>
      <w:r w:rsidRPr="00EC023D">
        <w:t>(ii)</w:t>
      </w:r>
      <w:r w:rsidRPr="00EC023D">
        <w:tab/>
        <w:t>v drugem pododstavku se doda naslednji stavek:</w:t>
      </w:r>
    </w:p>
    <w:p w:rsidR="00D175E6" w:rsidRPr="00EC023D" w:rsidRDefault="00D175E6" w:rsidP="00D175E6">
      <w:pPr>
        <w:pStyle w:val="Text4"/>
      </w:pPr>
      <w:r w:rsidRPr="00EC023D">
        <w:t xml:space="preserve">„Prav tako podpira pripravo projektov na področju podnebnih ukrepov in krožnega gospodarstva ali njihovih delov, zlasti v </w:t>
      </w:r>
      <w:r w:rsidRPr="00EC023D">
        <w:lastRenderedPageBreak/>
        <w:t>okviru COP21, pripravo projektov v digitalnem sektorju ter pripravo projektov iz petega pododstavka člena 5(1).“;</w:t>
      </w:r>
    </w:p>
    <w:p w:rsidR="00D175E6" w:rsidRPr="00EC023D" w:rsidRDefault="00D175E6" w:rsidP="00D175E6">
      <w:pPr>
        <w:pStyle w:val="Point1letter"/>
        <w:numPr>
          <w:ilvl w:val="0"/>
          <w:numId w:val="0"/>
        </w:numPr>
        <w:tabs>
          <w:tab w:val="left" w:pos="1417"/>
        </w:tabs>
        <w:ind w:left="1417" w:hanging="567"/>
      </w:pPr>
      <w:r w:rsidRPr="00EC023D">
        <w:t>(b)</w:t>
      </w:r>
      <w:r w:rsidRPr="00EC023D">
        <w:tab/>
        <w:t>odstavek 2 se spremeni:</w:t>
      </w:r>
    </w:p>
    <w:p w:rsidR="00D175E6" w:rsidRPr="00EC023D" w:rsidRDefault="00D175E6" w:rsidP="00D175E6">
      <w:pPr>
        <w:pStyle w:val="Point3"/>
      </w:pPr>
      <w:r w:rsidRPr="00EC023D">
        <w:t>(i)</w:t>
      </w:r>
      <w:r w:rsidRPr="00EC023D">
        <w:tab/>
        <w:t>točka (c) se nadomesti z naslednjim:</w:t>
      </w:r>
    </w:p>
    <w:p w:rsidR="00D175E6" w:rsidRPr="00EC023D" w:rsidRDefault="00D175E6" w:rsidP="00D175E6">
      <w:pPr>
        <w:pStyle w:val="Point4"/>
      </w:pPr>
      <w:r w:rsidRPr="00EC023D">
        <w:t>„(c)</w:t>
      </w:r>
      <w:r w:rsidRPr="00EC023D">
        <w:tab/>
        <w:t xml:space="preserve">krepitvijo lokalnega znanja za spodbujanje podpore EFSI po vsej Uniji in </w:t>
      </w:r>
      <w:r w:rsidRPr="00EC023D">
        <w:rPr>
          <w:b/>
          <w:i/>
        </w:rPr>
        <w:t>za dejavni prispevek k sektorski in geografski diverzifikaciji</w:t>
      </w:r>
      <w:r w:rsidRPr="00EC023D">
        <w:t xml:space="preserve"> EFSI iz oddelka 8 Priloge II s podpiranjem EIB </w:t>
      </w:r>
      <w:r w:rsidRPr="00EC023D">
        <w:rPr>
          <w:b/>
          <w:i/>
        </w:rPr>
        <w:t>ter nacionalnih spodbujevalnih bank in institucij</w:t>
      </w:r>
      <w:r w:rsidRPr="00EC023D">
        <w:t xml:space="preserve"> pri odobritvah </w:t>
      </w:r>
      <w:r w:rsidRPr="00EC023D">
        <w:rPr>
          <w:b/>
          <w:i/>
        </w:rPr>
        <w:t>in razvoju</w:t>
      </w:r>
      <w:r w:rsidRPr="00EC023D">
        <w:t xml:space="preserve"> novih operacij</w:t>
      </w:r>
      <w:r w:rsidRPr="00EC023D">
        <w:rPr>
          <w:b/>
          <w:i/>
        </w:rPr>
        <w:t>, zlasti v manj razvitih in tranzicijskih regijah, pa tudi s spodbujanjem povpraševanja po podpori EFSI, kadar je to potrebno</w:t>
      </w:r>
      <w:r w:rsidRPr="00EC023D">
        <w:t>;“</w:t>
      </w:r>
    </w:p>
    <w:p w:rsidR="00D175E6" w:rsidRPr="00EC023D" w:rsidRDefault="00D175E6" w:rsidP="00D175E6">
      <w:pPr>
        <w:pStyle w:val="Point3"/>
      </w:pPr>
      <w:r w:rsidRPr="00EC023D">
        <w:t>(ii)</w:t>
      </w:r>
      <w:r w:rsidRPr="00EC023D">
        <w:tab/>
        <w:t>točka (e) se nadomesti z naslednjim:</w:t>
      </w:r>
    </w:p>
    <w:p w:rsidR="00D175E6" w:rsidRPr="00EC023D" w:rsidRDefault="00D175E6" w:rsidP="00D175E6">
      <w:pPr>
        <w:pStyle w:val="Point4"/>
      </w:pPr>
      <w:r w:rsidRPr="00EC023D">
        <w:t>„(e)</w:t>
      </w:r>
      <w:r w:rsidRPr="00EC023D">
        <w:tab/>
        <w:t xml:space="preserve">zagotavljanjem proaktivne podpore pri ustanavljanju naložbenih platform, </w:t>
      </w:r>
      <w:r w:rsidRPr="00EC023D">
        <w:rPr>
          <w:b/>
          <w:i/>
        </w:rPr>
        <w:t>zlasti čezmejnih in makroregionalnih naložbenih platform, v katere je vključenih več držav članic in/ali regij, po potrebi tudi z lokalno prisotnostjo“;</w:t>
      </w:r>
    </w:p>
    <w:p w:rsidR="00D175E6" w:rsidRPr="00EC023D" w:rsidRDefault="00D175E6" w:rsidP="00D175E6">
      <w:pPr>
        <w:pStyle w:val="Point3"/>
        <w:rPr>
          <w:b/>
          <w:i/>
          <w:szCs w:val="24"/>
        </w:rPr>
      </w:pPr>
      <w:r w:rsidRPr="00EC023D">
        <w:rPr>
          <w:b/>
          <w:i/>
          <w:szCs w:val="24"/>
        </w:rPr>
        <w:t>(iia)</w:t>
      </w:r>
      <w:r w:rsidRPr="00EC023D">
        <w:rPr>
          <w:b/>
          <w:i/>
          <w:szCs w:val="24"/>
        </w:rPr>
        <w:tab/>
        <w:t>doda se naslednja točka:</w:t>
      </w:r>
    </w:p>
    <w:p w:rsidR="00D175E6" w:rsidRPr="00EC023D" w:rsidRDefault="00D175E6" w:rsidP="00D175E6">
      <w:pPr>
        <w:pStyle w:val="Point4"/>
      </w:pPr>
      <w:r w:rsidRPr="00EC023D">
        <w:rPr>
          <w:b/>
          <w:i/>
          <w:szCs w:val="24"/>
        </w:rPr>
        <w:t>„(ea)</w:t>
      </w:r>
      <w:r w:rsidRPr="00EC023D">
        <w:rPr>
          <w:b/>
          <w:i/>
          <w:szCs w:val="24"/>
        </w:rPr>
        <w:tab/>
        <w:t>izkoriščanjem možnosti za privabljanje in financiranje majhnih projektov, tudi prek naložbenih platform;“</w:t>
      </w:r>
    </w:p>
    <w:p w:rsidR="00D175E6" w:rsidRPr="00EC023D" w:rsidRDefault="00D175E6" w:rsidP="00D175E6">
      <w:pPr>
        <w:pStyle w:val="Point3"/>
      </w:pPr>
      <w:r w:rsidRPr="00EC023D">
        <w:t>(iii)</w:t>
      </w:r>
      <w:r w:rsidRPr="00EC023D">
        <w:tab/>
        <w:t>doda se naslednja točka (f):</w:t>
      </w:r>
    </w:p>
    <w:p w:rsidR="00D175E6" w:rsidRPr="00EC023D" w:rsidRDefault="00D175E6" w:rsidP="00D175E6">
      <w:pPr>
        <w:pStyle w:val="Point4"/>
      </w:pPr>
      <w:r w:rsidRPr="00EC023D">
        <w:t>“(f)</w:t>
      </w:r>
      <w:r w:rsidRPr="00EC023D">
        <w:tab/>
        <w:t>svetovanje o združevanju drugih virov financiranja Unije (kot so evropski strukturni in investicijski skladi, program Obzorje 2020 in Instrument za povezovanje Evrope) z EFSI</w:t>
      </w:r>
      <w:r w:rsidRPr="00EC023D">
        <w:rPr>
          <w:b/>
          <w:i/>
        </w:rPr>
        <w:t>, da bi se zmanjšalo upravno breme in rešile praktične težave, povezane z združevanjem virov financiranja.</w:t>
      </w:r>
      <w:r w:rsidRPr="00EC023D">
        <w:t>“;</w:t>
      </w:r>
    </w:p>
    <w:p w:rsidR="00D175E6" w:rsidRPr="00EC023D" w:rsidRDefault="00D175E6" w:rsidP="00D175E6">
      <w:pPr>
        <w:pStyle w:val="Point3"/>
        <w:rPr>
          <w:b/>
          <w:i/>
        </w:rPr>
      </w:pPr>
      <w:r w:rsidRPr="00EC023D">
        <w:rPr>
          <w:b/>
          <w:i/>
        </w:rPr>
        <w:t>(iiia)</w:t>
      </w:r>
      <w:r w:rsidRPr="00EC023D">
        <w:tab/>
      </w:r>
      <w:r w:rsidRPr="00EC023D">
        <w:rPr>
          <w:b/>
          <w:i/>
        </w:rPr>
        <w:t>doda se naslednja točka:</w:t>
      </w:r>
    </w:p>
    <w:p w:rsidR="00D175E6" w:rsidRPr="00EC023D" w:rsidRDefault="00D175E6" w:rsidP="00D175E6">
      <w:pPr>
        <w:pStyle w:val="Point4"/>
      </w:pPr>
      <w:r w:rsidRPr="00EC023D">
        <w:rPr>
          <w:b/>
          <w:i/>
        </w:rPr>
        <w:t>„(fa)</w:t>
      </w:r>
      <w:r w:rsidRPr="00EC023D">
        <w:rPr>
          <w:b/>
          <w:i/>
        </w:rPr>
        <w:tab/>
        <w:t>zagotavljanje proaktivne podpore za spodbujanje dejavnosti iz člena 8(1b).“;</w:t>
      </w:r>
    </w:p>
    <w:p w:rsidR="00D175E6" w:rsidRPr="00EC023D" w:rsidRDefault="00D175E6" w:rsidP="00D175E6">
      <w:pPr>
        <w:pStyle w:val="Point1letter"/>
        <w:numPr>
          <w:ilvl w:val="0"/>
          <w:numId w:val="0"/>
        </w:numPr>
        <w:tabs>
          <w:tab w:val="left" w:pos="1417"/>
        </w:tabs>
        <w:ind w:left="1417" w:hanging="567"/>
      </w:pPr>
      <w:r w:rsidRPr="00EC023D">
        <w:t>(c)</w:t>
      </w:r>
      <w:r w:rsidRPr="00EC023D">
        <w:tab/>
        <w:t>odstavek 5 se nadomesti z naslednjim:</w:t>
      </w:r>
    </w:p>
    <w:p w:rsidR="00D175E6" w:rsidRPr="00EC023D" w:rsidRDefault="00D175E6" w:rsidP="00D175E6">
      <w:pPr>
        <w:pStyle w:val="Point1"/>
        <w:ind w:left="2160" w:hanging="743"/>
      </w:pPr>
      <w:r w:rsidRPr="00EC023D">
        <w:t>„5.</w:t>
      </w:r>
      <w:r w:rsidRPr="00EC023D">
        <w:tab/>
        <w:t>EIAH si za doseganje cilja iz odstavka 1 in za lažje zagotavljanje svetovalne podpore na lokalni ravni prizadeva uporabljati strokovno znanje EIB, Komisije, nacionalnih spodbujevalnih bank ali institucij ter organov upravljanja evropskih strukturnih in investicijskih skladov.“;</w:t>
      </w:r>
    </w:p>
    <w:p w:rsidR="00D175E6" w:rsidRPr="00EC023D" w:rsidRDefault="00D175E6" w:rsidP="00D175E6">
      <w:pPr>
        <w:pStyle w:val="Point1letter"/>
        <w:numPr>
          <w:ilvl w:val="0"/>
          <w:numId w:val="0"/>
        </w:numPr>
        <w:tabs>
          <w:tab w:val="left" w:pos="1417"/>
        </w:tabs>
        <w:ind w:left="1417" w:hanging="567"/>
        <w:rPr>
          <w:b/>
          <w:i/>
          <w:szCs w:val="24"/>
        </w:rPr>
      </w:pPr>
      <w:r w:rsidRPr="00EC023D">
        <w:rPr>
          <w:b/>
          <w:i/>
          <w:szCs w:val="24"/>
        </w:rPr>
        <w:t>(ca)</w:t>
      </w:r>
      <w:r w:rsidRPr="00EC023D">
        <w:tab/>
        <w:t>doda se naslednji odstavek:</w:t>
      </w:r>
    </w:p>
    <w:p w:rsidR="00D175E6" w:rsidRPr="00EC023D" w:rsidRDefault="00D175E6" w:rsidP="00D175E6">
      <w:pPr>
        <w:pStyle w:val="Point1"/>
        <w:ind w:left="2160" w:hanging="743"/>
      </w:pPr>
      <w:r w:rsidRPr="00EC023D">
        <w:rPr>
          <w:b/>
          <w:i/>
          <w:szCs w:val="24"/>
        </w:rPr>
        <w:lastRenderedPageBreak/>
        <w:t>„5a.</w:t>
      </w:r>
      <w:r w:rsidRPr="00EC023D">
        <w:rPr>
          <w:b/>
          <w:i/>
          <w:szCs w:val="24"/>
        </w:rPr>
        <w:tab/>
        <w:t>EIAH uporabi seznam iz člena 16(2a), da bi proaktivno in po potrebi pomagal morebitnim nosilcem projektov pri nadaljnjem razvoju njihovih predlogov financiranja v okviru EFSI.“</w:t>
      </w:r>
    </w:p>
    <w:p w:rsidR="00D175E6" w:rsidRPr="00EC023D" w:rsidRDefault="00D175E6" w:rsidP="00D175E6">
      <w:pPr>
        <w:pStyle w:val="Point1letter"/>
        <w:numPr>
          <w:ilvl w:val="0"/>
          <w:numId w:val="0"/>
        </w:numPr>
        <w:tabs>
          <w:tab w:val="left" w:pos="1417"/>
        </w:tabs>
        <w:ind w:left="1417" w:hanging="567"/>
      </w:pPr>
      <w:r w:rsidRPr="00EC023D">
        <w:t>(d)</w:t>
      </w:r>
      <w:r w:rsidRPr="00EC023D">
        <w:tab/>
        <w:t>v odstavku 6 se drugi stavek nadomesti z naslednjim besedilom:</w:t>
      </w:r>
    </w:p>
    <w:p w:rsidR="00D175E6" w:rsidRPr="00EC023D" w:rsidRDefault="00D175E6" w:rsidP="00D175E6">
      <w:pPr>
        <w:pStyle w:val="Text1"/>
        <w:ind w:left="1417"/>
      </w:pPr>
      <w:r w:rsidRPr="00EC023D">
        <w:t xml:space="preserve">„Sodelovanje med EIAH na eni strani in nacionalno spodbujevalno banko ali institucijo, mednarodno finančno institucijo ali organom upravljanja, tudi tistim, ki deluje kot nacionalni svetovalec, ki ima potrebno strokovno znanje in izkušnje za namene EIAH, na drugi strani, lahko poteka v obliki pogodbenega partnerstva. </w:t>
      </w:r>
      <w:r w:rsidRPr="00EC023D">
        <w:rPr>
          <w:b/>
          <w:i/>
          <w:szCs w:val="24"/>
        </w:rPr>
        <w:t xml:space="preserve">EIAH sklene sporazume o sodelovanju z nacionalnimi spodbujevalnimi bankami ali institucijami v vseh državah članicah. </w:t>
      </w:r>
      <w:r w:rsidRPr="00EC023D">
        <w:rPr>
          <w:b/>
          <w:i/>
        </w:rPr>
        <w:t>V državah članicah, v katerih takšnih institucij ni, lahko EIAH, če je to primerno in na zahtevo zadevne države članice, zagotovi proaktivno svetovalno podporo za njihovo ustanovitev.“;</w:t>
      </w:r>
    </w:p>
    <w:p w:rsidR="00D175E6" w:rsidRPr="00EC023D" w:rsidRDefault="00D175E6" w:rsidP="00D175E6">
      <w:pPr>
        <w:pStyle w:val="Point1"/>
        <w:rPr>
          <w:b/>
          <w:i/>
          <w:szCs w:val="24"/>
        </w:rPr>
      </w:pPr>
      <w:r w:rsidRPr="00EC023D">
        <w:rPr>
          <w:b/>
          <w:i/>
          <w:szCs w:val="24"/>
        </w:rPr>
        <w:t>(da)</w:t>
      </w:r>
      <w:r w:rsidRPr="00EC023D">
        <w:rPr>
          <w:b/>
          <w:i/>
          <w:szCs w:val="24"/>
        </w:rPr>
        <w:tab/>
        <w:t>doda se naslednji odstavek:</w:t>
      </w:r>
    </w:p>
    <w:p w:rsidR="00D175E6" w:rsidRPr="00EC023D" w:rsidRDefault="00D175E6" w:rsidP="00D175E6">
      <w:pPr>
        <w:pStyle w:val="Point1"/>
        <w:ind w:left="2160" w:hanging="743"/>
        <w:rPr>
          <w:b/>
          <w:i/>
          <w:szCs w:val="24"/>
        </w:rPr>
      </w:pPr>
      <w:r w:rsidRPr="00EC023D">
        <w:rPr>
          <w:b/>
          <w:i/>
          <w:szCs w:val="24"/>
        </w:rPr>
        <w:t>„6a.</w:t>
      </w:r>
      <w:r w:rsidRPr="00EC023D">
        <w:rPr>
          <w:b/>
          <w:i/>
          <w:szCs w:val="24"/>
        </w:rPr>
        <w:tab/>
        <w:t xml:space="preserve">Da bi aktivno zagotovili široko geografsko pokritost svetovalnih storitev po vsej Uniji in uspešno povečali lokalno znanje o EFSI, bi bilo treba po potrebi in ob upoštevanju obstoječih programov podpore vzpostaviti lokalno prisotnost EIAH, da bi bilo mogoče zagotavljati konkretno, proaktivno in prilagojeno podporo na kraju samem. Vzpostaviti bi jo bilo treba predvsem v državah članicah ali regijah, ki se soočajo s težavami pri razvoju projektov v okviru EFSI. </w:t>
      </w:r>
      <w:r w:rsidRPr="00EC023D">
        <w:rPr>
          <w:b/>
          <w:i/>
        </w:rPr>
        <w:t>EIAH bi moral spodbujati prenos znanja na regionalno in lokalno raven ter zagotavljati stalno zbiranje regionalnih in lokalnih zmogljivosti ter strokovnega znanja.“;</w:t>
      </w:r>
    </w:p>
    <w:p w:rsidR="00D175E6" w:rsidRPr="00EC023D" w:rsidRDefault="00D175E6" w:rsidP="00D175E6">
      <w:pPr>
        <w:pStyle w:val="Text1"/>
        <w:rPr>
          <w:b/>
          <w:i/>
          <w:szCs w:val="24"/>
        </w:rPr>
      </w:pPr>
      <w:r w:rsidRPr="00EC023D">
        <w:rPr>
          <w:b/>
          <w:i/>
          <w:szCs w:val="24"/>
        </w:rPr>
        <w:t>(db)</w:t>
      </w:r>
      <w:r w:rsidRPr="00EC023D">
        <w:rPr>
          <w:b/>
          <w:i/>
          <w:szCs w:val="24"/>
        </w:rPr>
        <w:tab/>
        <w:t>odstavek 7 se nadomesti z naslednjim:</w:t>
      </w:r>
    </w:p>
    <w:p w:rsidR="00D175E6" w:rsidRPr="00EC023D" w:rsidRDefault="00D175E6" w:rsidP="00D175E6">
      <w:pPr>
        <w:pStyle w:val="Point1"/>
        <w:ind w:left="2160" w:hanging="743"/>
      </w:pPr>
      <w:r w:rsidRPr="00EC023D">
        <w:t>„7.</w:t>
      </w:r>
      <w:r w:rsidRPr="00EC023D">
        <w:tab/>
      </w:r>
      <w:r w:rsidRPr="00EC023D">
        <w:rPr>
          <w:b/>
          <w:i/>
        </w:rPr>
        <w:t>Iz splošnega proračuna Unije se zagotovi</w:t>
      </w:r>
      <w:r w:rsidRPr="00EC023D">
        <w:t xml:space="preserve"> </w:t>
      </w:r>
      <w:r w:rsidRPr="00EC023D">
        <w:rPr>
          <w:b/>
          <w:i/>
        </w:rPr>
        <w:t>referenčni znesek</w:t>
      </w:r>
      <w:r w:rsidRPr="00EC023D">
        <w:t xml:space="preserve"> 20 000 000 EUR </w:t>
      </w:r>
      <w:r w:rsidRPr="00EC023D">
        <w:rPr>
          <w:b/>
          <w:i/>
        </w:rPr>
        <w:t>kot prispevek</w:t>
      </w:r>
      <w:r w:rsidRPr="00EC023D">
        <w:t xml:space="preserve"> za kritje stroškov operacij EIAH do 31. decembra 2020 za storitve, ki jih zagotavlja EIAH na podlagi odstavka 2, poleg tistih, ki so že na voljo v okviru drugih programov Unije, če ti stroški niso kriti s preostalim zneskom od pristojbin iz odstavka 4.“</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(9a)</w:t>
      </w:r>
      <w:r w:rsidRPr="00EC023D">
        <w:rPr>
          <w:b/>
          <w:bCs/>
          <w:i/>
          <w:iCs/>
        </w:rPr>
        <w:tab/>
        <w:t>v členu 16(2) se točka (f) nadomesti z naslednjim:</w:t>
      </w:r>
    </w:p>
    <w:p w:rsidR="00D175E6" w:rsidRPr="00EC023D" w:rsidRDefault="00D175E6" w:rsidP="00D175E6">
      <w:pPr>
        <w:pStyle w:val="Text1"/>
        <w:tabs>
          <w:tab w:val="left" w:pos="2127"/>
        </w:tabs>
        <w:ind w:left="1417"/>
      </w:pPr>
      <w:r w:rsidRPr="00EC023D">
        <w:t>„(f)</w:t>
      </w:r>
      <w:r w:rsidRPr="00EC023D">
        <w:tab/>
        <w:t xml:space="preserve">„opis projektov, kjer je podpora iz evropskih strukturnih in investicijskih skladov združena s podporo EFSI, celoten znesek prispevka iz vsakega vira </w:t>
      </w:r>
      <w:r w:rsidRPr="00EC023D">
        <w:rPr>
          <w:b/>
          <w:i/>
        </w:rPr>
        <w:t>ter profil tveganja vsakega projekta;“</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(9b)</w:t>
      </w:r>
      <w:r w:rsidRPr="00EC023D">
        <w:rPr>
          <w:b/>
          <w:bCs/>
          <w:i/>
          <w:iCs/>
        </w:rPr>
        <w:tab/>
        <w:t>v členu 16(2) se doda naslednja točka:</w:t>
      </w:r>
    </w:p>
    <w:p w:rsidR="00D175E6" w:rsidRPr="00EC023D" w:rsidRDefault="00D175E6" w:rsidP="00D175E6">
      <w:pPr>
        <w:pStyle w:val="Text1"/>
      </w:pPr>
      <w:r w:rsidRPr="00EC023D">
        <w:rPr>
          <w:b/>
          <w:bCs/>
          <w:i/>
          <w:iCs/>
        </w:rPr>
        <w:t>„(ja)</w:t>
      </w:r>
      <w:r w:rsidRPr="00EC023D">
        <w:rPr>
          <w:b/>
          <w:bCs/>
          <w:i/>
          <w:iCs/>
        </w:rPr>
        <w:tab/>
        <w:t>podrobne informacije v zvezi s plačilom davkov, ki izhajajo iz naložbenih operacij in operacij financiranja EIB v okviru EFSI.“;</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(9c)</w:t>
      </w:r>
      <w:r w:rsidRPr="00EC023D">
        <w:rPr>
          <w:b/>
          <w:bCs/>
          <w:i/>
          <w:iCs/>
        </w:rPr>
        <w:tab/>
        <w:t>v členu 16 se vstavi naslednji odstavek:</w:t>
      </w:r>
    </w:p>
    <w:p w:rsidR="00D175E6" w:rsidRPr="00EC023D" w:rsidRDefault="00D175E6" w:rsidP="00D175E6">
      <w:pPr>
        <w:pStyle w:val="Text1"/>
        <w:ind w:left="1418" w:hanging="568"/>
      </w:pPr>
      <w:r w:rsidRPr="00EC023D">
        <w:rPr>
          <w:b/>
          <w:bCs/>
          <w:i/>
          <w:iCs/>
        </w:rPr>
        <w:lastRenderedPageBreak/>
        <w:t>„2a.</w:t>
      </w:r>
      <w:r w:rsidRPr="00EC023D">
        <w:rPr>
          <w:b/>
          <w:bCs/>
          <w:i/>
          <w:iCs/>
        </w:rPr>
        <w:tab/>
        <w:t>EIB vsakih šest mesecev predloži Evropskemu parlamentu, Svetu in Komisiji in EIAH seznam vseh predlogov za naložbe, predloženih za uporabo jamstva EU, vključno s tistimi, ki niso bili predizbrani za predložitev naložbenemu odboru. Pri tej predložitvi upošteva stroge zahteve glede zaupnosti.“;</w:t>
      </w:r>
    </w:p>
    <w:p w:rsidR="00D175E6" w:rsidRPr="00EC023D" w:rsidRDefault="00D175E6" w:rsidP="00D175E6">
      <w:pPr>
        <w:pStyle w:val="Point0number"/>
        <w:numPr>
          <w:ilvl w:val="0"/>
          <w:numId w:val="0"/>
        </w:numPr>
        <w:tabs>
          <w:tab w:val="left" w:pos="850"/>
        </w:tabs>
        <w:ind w:left="850" w:hanging="850"/>
        <w:rPr>
          <w:b/>
          <w:i/>
        </w:rPr>
      </w:pPr>
      <w:r w:rsidRPr="00EC023D">
        <w:rPr>
          <w:b/>
          <w:i/>
        </w:rPr>
        <w:t>(9d)</w:t>
      </w:r>
      <w:r w:rsidRPr="00EC023D">
        <w:rPr>
          <w:b/>
        </w:rPr>
        <w:tab/>
      </w:r>
      <w:r w:rsidRPr="00EC023D">
        <w:rPr>
          <w:b/>
          <w:i/>
        </w:rPr>
        <w:t>v členu 16 se vstavi naslednji odstavek:</w:t>
      </w:r>
    </w:p>
    <w:p w:rsidR="00D175E6" w:rsidRPr="00EC023D" w:rsidRDefault="00D175E6" w:rsidP="00D175E6">
      <w:pPr>
        <w:pStyle w:val="Text1"/>
        <w:ind w:left="1418" w:hanging="568"/>
        <w:rPr>
          <w:b/>
          <w:i/>
        </w:rPr>
      </w:pPr>
      <w:r w:rsidRPr="00EC023D">
        <w:rPr>
          <w:b/>
          <w:i/>
        </w:rPr>
        <w:t>„5a.</w:t>
      </w:r>
      <w:r w:rsidRPr="00EC023D">
        <w:rPr>
          <w:b/>
          <w:i/>
        </w:rPr>
        <w:tab/>
        <w:t>Komisija ob koncu naložbenega obdobja pripravi poročilo o združenih učinkih in ustreznosti politike oblikovanja cen ter ga posreduje Evropskemu parlamentu in usmerjevalnemu odboru. Ugotovitve v tem poročilu se upoštevajo.“;</w:t>
      </w:r>
    </w:p>
    <w:p w:rsidR="00D175E6" w:rsidRPr="00EC023D" w:rsidRDefault="00D175E6" w:rsidP="00D175E6">
      <w:pPr>
        <w:pStyle w:val="Point0number"/>
        <w:numPr>
          <w:ilvl w:val="0"/>
          <w:numId w:val="0"/>
        </w:numPr>
        <w:tabs>
          <w:tab w:val="left" w:pos="850"/>
        </w:tabs>
        <w:ind w:left="850" w:hanging="850"/>
        <w:rPr>
          <w:b/>
          <w:bCs/>
          <w:i/>
          <w:iCs/>
        </w:rPr>
      </w:pPr>
      <w:r w:rsidRPr="00EC023D">
        <w:rPr>
          <w:b/>
          <w:bCs/>
          <w:i/>
          <w:iCs/>
        </w:rPr>
        <w:t>(9e)</w:t>
      </w:r>
      <w:r w:rsidRPr="00EC023D">
        <w:rPr>
          <w:b/>
          <w:bCs/>
          <w:i/>
          <w:iCs/>
        </w:rPr>
        <w:tab/>
        <w:t>v členu 16 se doda naslednji odstavek:</w:t>
      </w:r>
    </w:p>
    <w:p w:rsidR="00D175E6" w:rsidRPr="00EC023D" w:rsidRDefault="00D175E6" w:rsidP="00D175E6">
      <w:pPr>
        <w:pStyle w:val="Text1"/>
        <w:ind w:left="1418" w:hanging="568"/>
      </w:pPr>
      <w:r w:rsidRPr="00EC023D">
        <w:rPr>
          <w:b/>
          <w:bCs/>
          <w:i/>
          <w:iCs/>
        </w:rPr>
        <w:t>„</w:t>
      </w:r>
      <w:r w:rsidRPr="00EC023D">
        <w:rPr>
          <w:b/>
          <w:i/>
        </w:rPr>
        <w:t>6a</w:t>
      </w:r>
      <w:r w:rsidRPr="00EC023D">
        <w:rPr>
          <w:b/>
          <w:bCs/>
          <w:i/>
          <w:iCs/>
        </w:rPr>
        <w:t>.</w:t>
      </w:r>
      <w:r w:rsidRPr="00EC023D">
        <w:rPr>
          <w:b/>
          <w:bCs/>
          <w:i/>
          <w:iCs/>
        </w:rPr>
        <w:tab/>
      </w:r>
      <w:r w:rsidRPr="00EC023D">
        <w:rPr>
          <w:b/>
          <w:i/>
        </w:rPr>
        <w:t>Komisija predloži letno poročilo s podrobnimi podatki o vseh projektih, razčlenjenih po področjih politike, ki so prejeli podporo EU prek EFSI, skupnimi zneski prispevkov vsakega vira ter profili tveganja.“</w:t>
      </w:r>
    </w:p>
    <w:p w:rsidR="00D175E6" w:rsidRPr="00EC023D" w:rsidRDefault="00D175E6" w:rsidP="00D175E6">
      <w:pPr>
        <w:pStyle w:val="Point0number"/>
        <w:numPr>
          <w:ilvl w:val="0"/>
          <w:numId w:val="0"/>
        </w:numPr>
        <w:tabs>
          <w:tab w:val="left" w:pos="850"/>
        </w:tabs>
        <w:ind w:left="850" w:hanging="850"/>
      </w:pPr>
      <w:r w:rsidRPr="00EC023D">
        <w:t>(10)</w:t>
      </w:r>
      <w:r w:rsidRPr="00EC023D">
        <w:tab/>
        <w:t>člen 18 se spremeni:</w:t>
      </w:r>
    </w:p>
    <w:p w:rsidR="00D175E6" w:rsidRPr="00EC023D" w:rsidRDefault="00D175E6" w:rsidP="00D175E6">
      <w:pPr>
        <w:pStyle w:val="Point1"/>
      </w:pPr>
      <w:r w:rsidRPr="00EC023D">
        <w:t>(a)</w:t>
      </w:r>
      <w:r w:rsidRPr="00EC023D">
        <w:tab/>
        <w:t>odstavek 6 se nadomesti z naslednjim:</w:t>
      </w:r>
    </w:p>
    <w:p w:rsidR="00D175E6" w:rsidRPr="00EC023D" w:rsidRDefault="00D175E6" w:rsidP="00D175E6">
      <w:pPr>
        <w:pStyle w:val="Point1"/>
        <w:ind w:left="2160" w:hanging="743"/>
      </w:pPr>
      <w:r w:rsidRPr="00EC023D">
        <w:rPr>
          <w:b/>
          <w:bCs/>
          <w:i/>
          <w:iCs/>
        </w:rPr>
        <w:t>„</w:t>
      </w:r>
      <w:r w:rsidRPr="00EC023D">
        <w:t>6.</w:t>
      </w:r>
      <w:r w:rsidRPr="00EC023D">
        <w:tab/>
        <w:t xml:space="preserve">Komisija do </w:t>
      </w:r>
      <w:r w:rsidRPr="00EC023D">
        <w:rPr>
          <w:b/>
          <w:i/>
        </w:rPr>
        <w:t>31. decembra</w:t>
      </w:r>
      <w:r w:rsidRPr="00EC023D">
        <w:t xml:space="preserve"> 2018 in 30. junija 2020 Evropskemu parlamentu in Svetu predloži poročilo, ki vsebuje neodvisno oceno o uporabi te uredbe.“;</w:t>
      </w:r>
    </w:p>
    <w:p w:rsidR="00D175E6" w:rsidRPr="00EC023D" w:rsidRDefault="00D175E6" w:rsidP="00D175E6">
      <w:pPr>
        <w:pStyle w:val="Point1"/>
      </w:pPr>
      <w:r w:rsidRPr="00EC023D">
        <w:t>(b)</w:t>
      </w:r>
      <w:r w:rsidRPr="00EC023D">
        <w:tab/>
      </w:r>
      <w:r w:rsidRPr="00EC023D">
        <w:rPr>
          <w:b/>
          <w:i/>
        </w:rPr>
        <w:t>odstavek 7 se nadomesti z naslednjim:</w:t>
      </w:r>
    </w:p>
    <w:p w:rsidR="00D175E6" w:rsidRPr="00EC023D" w:rsidRDefault="00D175E6" w:rsidP="00D175E6">
      <w:pPr>
        <w:pStyle w:val="Point1"/>
        <w:ind w:left="2160" w:hanging="743"/>
      </w:pPr>
      <w:r w:rsidRPr="00EC023D">
        <w:rPr>
          <w:b/>
          <w:bCs/>
          <w:i/>
          <w:iCs/>
        </w:rPr>
        <w:t>„</w:t>
      </w:r>
      <w:r w:rsidRPr="00EC023D">
        <w:rPr>
          <w:b/>
          <w:i/>
        </w:rPr>
        <w:t>7.</w:t>
      </w:r>
      <w:r w:rsidRPr="00EC023D">
        <w:rPr>
          <w:b/>
          <w:i/>
        </w:rPr>
        <w:tab/>
        <w:t xml:space="preserve"> Komisija v skladu z novim večletnim finančnim okvirom pripravi zakonodajni predlog o celoviti naložbeni shemi, da bi učinkovito obravnavala pomanjkanje naložb v Uniji. Predlog ustrezno upošteva zaključke iz poročila z dne 31. decembra 2018, ki vsebuje neodvisno oceno in ga je treba predložiti pravočasno, da ga bo mogoče ustrezno obravnavati.“</w:t>
      </w:r>
    </w:p>
    <w:p w:rsidR="00D175E6" w:rsidRPr="00EC023D" w:rsidRDefault="00D175E6" w:rsidP="00D175E6">
      <w:pPr>
        <w:pStyle w:val="Point1"/>
        <w:rPr>
          <w:b/>
          <w:bCs/>
          <w:i/>
          <w:iCs/>
        </w:rPr>
      </w:pPr>
      <w:r w:rsidRPr="00EC023D">
        <w:rPr>
          <w:b/>
          <w:bCs/>
          <w:i/>
          <w:iCs/>
        </w:rPr>
        <w:t>(ba)</w:t>
      </w:r>
      <w:r w:rsidRPr="00EC023D">
        <w:tab/>
      </w:r>
      <w:r w:rsidRPr="00EC023D">
        <w:rPr>
          <w:b/>
          <w:bCs/>
          <w:i/>
          <w:iCs/>
        </w:rPr>
        <w:t>odstavek 8 se nadomesti z naslednjim:</w:t>
      </w:r>
    </w:p>
    <w:p w:rsidR="00D175E6" w:rsidRPr="00EC023D" w:rsidRDefault="00D175E6" w:rsidP="00D175E6">
      <w:pPr>
        <w:pStyle w:val="Point1"/>
        <w:ind w:left="2160" w:hanging="743"/>
      </w:pPr>
      <w:r w:rsidRPr="00EC023D">
        <w:rPr>
          <w:b/>
          <w:bCs/>
          <w:i/>
          <w:iCs/>
        </w:rPr>
        <w:t>„</w:t>
      </w:r>
      <w:r w:rsidRPr="00EC023D">
        <w:t>8.</w:t>
      </w:r>
      <w:r w:rsidRPr="00EC023D">
        <w:rPr>
          <w:b/>
        </w:rPr>
        <w:tab/>
      </w:r>
      <w:r w:rsidRPr="00EC023D">
        <w:rPr>
          <w:b/>
          <w:i/>
        </w:rPr>
        <w:t>Poročilo iz odstavka 6 vključuje oceno o uporabi preglednice kazalnikov iz člena 7(14) in Priloge II, zlasti v zvezi z razmislekom o primernosti posameznih stebrov in njihovih ustreznih vlog v oceni. Poročilu je, če je potrebno in v celoti podkrepljeno z ugotovitvami, priložen predlog za revizijo delegiranega akta iz člena 7(14).“;</w:t>
      </w:r>
    </w:p>
    <w:p w:rsidR="00D175E6" w:rsidRPr="00EC023D" w:rsidRDefault="00D175E6" w:rsidP="00D175E6">
      <w:pPr>
        <w:pStyle w:val="Point0number"/>
        <w:numPr>
          <w:ilvl w:val="0"/>
          <w:numId w:val="0"/>
        </w:numPr>
        <w:tabs>
          <w:tab w:val="left" w:pos="850"/>
        </w:tabs>
        <w:ind w:left="850" w:hanging="850"/>
      </w:pPr>
      <w:r w:rsidRPr="00EC023D">
        <w:t>(11)</w:t>
      </w:r>
      <w:r w:rsidRPr="00EC023D">
        <w:tab/>
        <w:t>v členu 19 se doda naslednji odstavek:</w:t>
      </w:r>
    </w:p>
    <w:p w:rsidR="00D175E6" w:rsidRPr="00EC023D" w:rsidRDefault="00D175E6" w:rsidP="00D175E6">
      <w:pPr>
        <w:ind w:left="851"/>
      </w:pPr>
      <w:r w:rsidRPr="00EC023D">
        <w:t xml:space="preserve">„EIB in EIS obvestita končne prejemnike o obstoju podpore EFSI oziroma to obveznost obveščanja preneseta na finančne posrednike </w:t>
      </w:r>
      <w:r w:rsidRPr="00EC023D">
        <w:rPr>
          <w:b/>
          <w:i/>
        </w:rPr>
        <w:t>ter te informacije, zlasti v primeru MSP, jasno navedeta v sporazumu o financiranju in v vsaki pogodbi, ki vključuje podporo EFSI, s čimer izboljšata ozaveščenost javnosti in povečata prepoznavnost.“;</w:t>
      </w:r>
    </w:p>
    <w:p w:rsidR="00D175E6" w:rsidRPr="00EC023D" w:rsidRDefault="00D175E6" w:rsidP="00D175E6">
      <w:pPr>
        <w:pStyle w:val="Point0number"/>
        <w:numPr>
          <w:ilvl w:val="0"/>
          <w:numId w:val="0"/>
        </w:numPr>
        <w:tabs>
          <w:tab w:val="left" w:pos="850"/>
        </w:tabs>
        <w:ind w:left="850" w:hanging="850"/>
        <w:rPr>
          <w:b/>
          <w:i/>
        </w:rPr>
      </w:pPr>
      <w:r w:rsidRPr="00EC023D">
        <w:rPr>
          <w:b/>
          <w:i/>
        </w:rPr>
        <w:t>(11a)</w:t>
      </w:r>
      <w:r w:rsidRPr="00EC023D">
        <w:tab/>
      </w:r>
      <w:r w:rsidRPr="00EC023D">
        <w:rPr>
          <w:b/>
          <w:i/>
        </w:rPr>
        <w:t>Člen 20(2) se nadomesti z naslednjim:</w:t>
      </w:r>
    </w:p>
    <w:p w:rsidR="00D175E6" w:rsidRPr="00EC023D" w:rsidRDefault="00D175E6" w:rsidP="00D175E6">
      <w:pPr>
        <w:pStyle w:val="Text1"/>
        <w:ind w:left="1417" w:hanging="567"/>
      </w:pPr>
      <w:r w:rsidRPr="00EC023D">
        <w:rPr>
          <w:b/>
          <w:bCs/>
          <w:i/>
          <w:iCs/>
        </w:rPr>
        <w:lastRenderedPageBreak/>
        <w:t>„</w:t>
      </w:r>
      <w:r w:rsidRPr="00EC023D">
        <w:t>2.</w:t>
      </w:r>
      <w:r w:rsidRPr="00EC023D">
        <w:tab/>
        <w:t xml:space="preserve">Za namene odstavka 1 tega člena ima Računsko sodišče na lastno zahtevo in v skladu s členom 287(3) PDEU </w:t>
      </w:r>
      <w:r w:rsidRPr="00EC023D">
        <w:rPr>
          <w:b/>
          <w:i/>
        </w:rPr>
        <w:t>popoln</w:t>
      </w:r>
      <w:r w:rsidRPr="00EC023D">
        <w:t xml:space="preserve"> dostop do vseh dokumentov in informacij, ki jih potrebuje za izvedbo svoje naloge.“</w:t>
      </w:r>
    </w:p>
    <w:p w:rsidR="00D175E6" w:rsidRPr="00EC023D" w:rsidRDefault="00D175E6" w:rsidP="00D175E6">
      <w:pPr>
        <w:pStyle w:val="Point0number"/>
        <w:numPr>
          <w:ilvl w:val="0"/>
          <w:numId w:val="0"/>
        </w:numPr>
        <w:tabs>
          <w:tab w:val="left" w:pos="850"/>
        </w:tabs>
        <w:ind w:left="850" w:hanging="850"/>
      </w:pPr>
      <w:r w:rsidRPr="00EC023D">
        <w:t>(12)</w:t>
      </w:r>
      <w:r w:rsidRPr="00EC023D">
        <w:tab/>
        <w:t>Člen 22(1) se nadomesti z naslednjim:</w:t>
      </w:r>
    </w:p>
    <w:p w:rsidR="00D175E6" w:rsidRPr="00EC023D" w:rsidRDefault="00D175E6" w:rsidP="00D175E6">
      <w:pPr>
        <w:pStyle w:val="Text1"/>
        <w:ind w:left="1417" w:hanging="567"/>
      </w:pPr>
      <w:r w:rsidRPr="00EC023D">
        <w:rPr>
          <w:b/>
          <w:bCs/>
          <w:i/>
          <w:iCs/>
        </w:rPr>
        <w:t>„</w:t>
      </w:r>
      <w:r w:rsidRPr="00EC023D">
        <w:t>1.</w:t>
      </w:r>
      <w:r w:rsidRPr="00EC023D">
        <w:tab/>
        <w:t xml:space="preserve">EIB, EIS in vsi finančni posredniki pri svojih operacijah financiranja in naložbenih operacijah, ki jih zajema ta uredba, </w:t>
      </w:r>
      <w:r w:rsidRPr="00EC023D">
        <w:rPr>
          <w:b/>
          <w:i/>
        </w:rPr>
        <w:t>izpolnjujejo ustrezne standarde in veljavne zakone za preprečevanje pranja denarja ter boj proti terorizmu, davčnim goljufijam in davčnim utajam.</w:t>
      </w:r>
      <w:r w:rsidRPr="00EC023D">
        <w:t xml:space="preserve"> </w:t>
      </w:r>
    </w:p>
    <w:p w:rsidR="00D175E6" w:rsidRPr="00EC023D" w:rsidRDefault="00D175E6" w:rsidP="00D175E6">
      <w:pPr>
        <w:pStyle w:val="Text1"/>
        <w:ind w:left="1417" w:hanging="567"/>
      </w:pPr>
      <w:r w:rsidRPr="00EC023D">
        <w:tab/>
        <w:t>▌</w:t>
      </w:r>
    </w:p>
    <w:p w:rsidR="00D175E6" w:rsidRPr="00EC023D" w:rsidRDefault="00D175E6" w:rsidP="00D175E6">
      <w:pPr>
        <w:pStyle w:val="ManualNumPar1"/>
        <w:ind w:left="1440" w:firstLine="0"/>
      </w:pPr>
      <w:r w:rsidRPr="00EC023D">
        <w:t xml:space="preserve">EIB in EIS pri svojih operacijah financiranja in naložbenih operacijah, ki jih zajema ta uredba, ne uporabljata struktur za izogibanje davkom, v njih ne sodelujeta </w:t>
      </w:r>
      <w:r w:rsidRPr="00EC023D">
        <w:rPr>
          <w:b/>
          <w:i/>
        </w:rPr>
        <w:t>ter ne zagotavljata sredstev upravičencem, ki to počnejo</w:t>
      </w:r>
      <w:r w:rsidRPr="00EC023D">
        <w:t xml:space="preserve">, predvsem v sistemih agresivnega davčnega načrtovanja ali dejavnostih, ki niso v skladu z </w:t>
      </w:r>
      <w:r w:rsidRPr="00EC023D">
        <w:rPr>
          <w:b/>
          <w:i/>
        </w:rPr>
        <w:t>merili dobrega davčnega upravljanja</w:t>
      </w:r>
      <w:r w:rsidRPr="00EC023D">
        <w:t xml:space="preserve"> v EU, kot je določeno v </w:t>
      </w:r>
      <w:r w:rsidRPr="00EC023D">
        <w:rPr>
          <w:b/>
          <w:i/>
        </w:rPr>
        <w:t>pravnih aktih</w:t>
      </w:r>
      <w:r w:rsidRPr="00EC023D">
        <w:t xml:space="preserve"> Unije, </w:t>
      </w:r>
      <w:r w:rsidRPr="00EC023D">
        <w:rPr>
          <w:b/>
          <w:i/>
        </w:rPr>
        <w:t>zaključkih Sveta</w:t>
      </w:r>
      <w:r w:rsidRPr="00EC023D">
        <w:t xml:space="preserve">, sporočilih Komisije </w:t>
      </w:r>
      <w:r w:rsidRPr="00EC023D">
        <w:rPr>
          <w:b/>
          <w:i/>
        </w:rPr>
        <w:t>oziroma vseh njenih uradnih obvestilih</w:t>
      </w:r>
      <w:r w:rsidRPr="00EC023D">
        <w:t xml:space="preserve">. </w:t>
      </w:r>
    </w:p>
    <w:p w:rsidR="00D175E6" w:rsidRPr="00EC023D" w:rsidRDefault="00D175E6" w:rsidP="00D175E6">
      <w:pPr>
        <w:pStyle w:val="Text1"/>
      </w:pPr>
      <w:r w:rsidRPr="00EC023D">
        <w:tab/>
        <w:t>▌</w:t>
      </w:r>
    </w:p>
    <w:p w:rsidR="00D175E6" w:rsidRPr="00EC023D" w:rsidRDefault="00D175E6" w:rsidP="00D175E6">
      <w:pPr>
        <w:pStyle w:val="ManualNumPar1"/>
        <w:ind w:left="1440" w:firstLine="0"/>
      </w:pPr>
      <w:r w:rsidRPr="00EC023D">
        <w:t xml:space="preserve">EIB in </w:t>
      </w:r>
      <w:r w:rsidRPr="00EC023D">
        <w:rPr>
          <w:b/>
          <w:i/>
        </w:rPr>
        <w:t>EIS nimata</w:t>
      </w:r>
      <w:r w:rsidRPr="00EC023D">
        <w:t xml:space="preserve"> </w:t>
      </w:r>
      <w:r w:rsidRPr="00EC023D">
        <w:rPr>
          <w:b/>
          <w:i/>
        </w:rPr>
        <w:t>poslovnih odnosov s subjekti, ki imajo sedež ali so ustanovljeni v jurisdikcijah</w:t>
      </w:r>
      <w:r w:rsidRPr="00EC023D">
        <w:t xml:space="preserve">, ki ne sodelujejo z Unijo pri uporabi mednarodno sprejetih davčnih standardov </w:t>
      </w:r>
      <w:r w:rsidRPr="00EC023D">
        <w:rPr>
          <w:b/>
          <w:i/>
        </w:rPr>
        <w:t>in zakonodaje Unije</w:t>
      </w:r>
      <w:r w:rsidRPr="00EC023D">
        <w:t xml:space="preserve"> o preglednosti in izmenjavi informacij. </w:t>
      </w:r>
    </w:p>
    <w:p w:rsidR="00D175E6" w:rsidRPr="00EC023D" w:rsidRDefault="00D175E6" w:rsidP="00D175E6">
      <w:pPr>
        <w:pStyle w:val="ManualNumPar1"/>
        <w:ind w:left="1440" w:firstLine="0"/>
      </w:pPr>
      <w:r w:rsidRPr="00EC023D">
        <w:rPr>
          <w:b/>
          <w:bCs/>
          <w:i/>
          <w:iCs/>
          <w:szCs w:val="24"/>
        </w:rPr>
        <w:t>EIB in EIS pri sklepanju dogovorov s finančnimi posredniki preneseta zahteve iz tega člena v ustrezne pogodbe in zahtevata poročanje po državah o njihovem spoštovanju. EIB in EIS redno objavljata in posodabljata seznam finančnih posrednikov, s katerimi sodelujeta.</w:t>
      </w:r>
    </w:p>
    <w:p w:rsidR="00D175E6" w:rsidRPr="00EC023D" w:rsidRDefault="00D175E6" w:rsidP="00D175E6">
      <w:pPr>
        <w:pStyle w:val="ManualNumPar1"/>
        <w:ind w:left="1440" w:firstLine="0"/>
      </w:pPr>
      <w:r w:rsidRPr="00EC023D">
        <w:rPr>
          <w:b/>
          <w:bCs/>
          <w:i/>
          <w:iCs/>
          <w:szCs w:val="24"/>
        </w:rPr>
        <w:t xml:space="preserve">EIB in EIS po posvetovanju s Komisijo in deležniki pregledata in posodobita svoje politike do nesodelujočih jurisdikcij, najpozneje pa po sprejetju seznama Unije z nesodelujočimi jurisdikcijami. </w:t>
      </w:r>
      <w:r w:rsidRPr="00EC023D">
        <w:rPr>
          <w:b/>
          <w:i/>
        </w:rPr>
        <w:t>Nato Komisija vsako leto predloži Evropskemu parlamentu in Svetu poročilo o izvajanju teh politik.“;</w:t>
      </w:r>
      <w:r w:rsidRPr="00EC023D">
        <w:t xml:space="preserve"> </w:t>
      </w:r>
    </w:p>
    <w:p w:rsidR="00D175E6" w:rsidRPr="00EC023D" w:rsidRDefault="00D175E6" w:rsidP="00D175E6">
      <w:pPr>
        <w:pStyle w:val="Point0number"/>
        <w:numPr>
          <w:ilvl w:val="0"/>
          <w:numId w:val="0"/>
        </w:numPr>
        <w:tabs>
          <w:tab w:val="left" w:pos="850"/>
        </w:tabs>
        <w:ind w:left="850" w:hanging="850"/>
      </w:pPr>
      <w:r w:rsidRPr="00EC023D">
        <w:t>(13)</w:t>
      </w:r>
      <w:r w:rsidRPr="00EC023D">
        <w:tab/>
        <w:t>v členu 23(2) se prvi in drugi stavek prvega pododstavka nadomestita z naslednjim:</w:t>
      </w:r>
    </w:p>
    <w:p w:rsidR="00D175E6" w:rsidRPr="00EC023D" w:rsidRDefault="00D175E6" w:rsidP="00D175E6">
      <w:pPr>
        <w:ind w:left="850"/>
      </w:pPr>
      <w:r w:rsidRPr="00EC023D">
        <w:t>„Pooblastilo za sprejemanje delegiranih aktov iz člena 7(13) in (14) se prenese na Komisijo za obdobje petih let od 4. julija 2015. Komisija pripravi poročilo o prenosu pooblastila najpozneje devet mesecev pred koncem petletnega obdobja.“;</w:t>
      </w:r>
    </w:p>
    <w:p w:rsidR="00D175E6" w:rsidRPr="00EC023D" w:rsidRDefault="00D175E6" w:rsidP="00D175E6">
      <w:pPr>
        <w:ind w:left="850"/>
      </w:pPr>
    </w:p>
    <w:p w:rsidR="00D175E6" w:rsidRPr="00EC023D" w:rsidRDefault="00D175E6" w:rsidP="00D175E6">
      <w:pPr>
        <w:pStyle w:val="Point0number"/>
        <w:numPr>
          <w:ilvl w:val="0"/>
          <w:numId w:val="0"/>
        </w:numPr>
        <w:tabs>
          <w:tab w:val="left" w:pos="850"/>
        </w:tabs>
        <w:ind w:left="850" w:hanging="850"/>
      </w:pPr>
      <w:r w:rsidRPr="00EC023D">
        <w:t>(14)</w:t>
      </w:r>
      <w:r w:rsidRPr="00EC023D">
        <w:tab/>
        <w:t xml:space="preserve">Priloga II se spremeni, kot je določeno v Prilogi k tej uredbi. </w:t>
      </w:r>
    </w:p>
    <w:p w:rsidR="00D175E6" w:rsidRPr="00EC023D" w:rsidRDefault="00D175E6" w:rsidP="00D175E6"/>
    <w:p w:rsidR="00D175E6" w:rsidRPr="00EC023D" w:rsidRDefault="00D175E6" w:rsidP="00D175E6">
      <w:r w:rsidRPr="00EC023D">
        <w:t>▐</w:t>
      </w:r>
    </w:p>
    <w:p w:rsidR="00D175E6" w:rsidRPr="00EC023D" w:rsidRDefault="00D175E6" w:rsidP="00D175E6">
      <w:pPr>
        <w:pStyle w:val="Titrearticle"/>
      </w:pPr>
      <w:r w:rsidRPr="00EC023D">
        <w:t>Člen 3</w:t>
      </w:r>
    </w:p>
    <w:p w:rsidR="00D175E6" w:rsidRPr="00EC023D" w:rsidRDefault="00D175E6" w:rsidP="00D175E6">
      <w:r w:rsidRPr="00EC023D">
        <w:t xml:space="preserve">Ta uredba začne veljati tretji dan po objavi v </w:t>
      </w:r>
      <w:r w:rsidRPr="00EC023D">
        <w:rPr>
          <w:i/>
        </w:rPr>
        <w:t>Uradnem listu Evropske unije</w:t>
      </w:r>
      <w:r w:rsidRPr="00EC023D">
        <w:t xml:space="preserve">. </w:t>
      </w:r>
    </w:p>
    <w:p w:rsidR="00D175E6" w:rsidRPr="00EC023D" w:rsidRDefault="00D175E6" w:rsidP="00D175E6">
      <w:pPr>
        <w:pStyle w:val="Applicationdirecte"/>
      </w:pPr>
      <w:r w:rsidRPr="00EC023D">
        <w:lastRenderedPageBreak/>
        <w:t>Ta uredba je v celoti zavezujoča in se neposredno uporablja v vseh državah članicah.</w:t>
      </w:r>
    </w:p>
    <w:p w:rsidR="00D175E6" w:rsidRPr="00EC023D" w:rsidRDefault="00D175E6" w:rsidP="00D175E6">
      <w:pPr>
        <w:pStyle w:val="Fait"/>
      </w:pPr>
      <w:r w:rsidRPr="00EC023D">
        <w:t>V Bruslju,</w:t>
      </w:r>
    </w:p>
    <w:p w:rsidR="00D175E6" w:rsidRPr="00EC023D" w:rsidRDefault="00D175E6" w:rsidP="00D175E6">
      <w:pPr>
        <w:pStyle w:val="Institutionquisigne"/>
      </w:pPr>
      <w:r w:rsidRPr="00EC023D">
        <w:t>Za Evropski parlament</w:t>
      </w:r>
      <w:r w:rsidRPr="00EC023D">
        <w:tab/>
        <w:t>Za Svet</w:t>
      </w:r>
    </w:p>
    <w:p w:rsidR="00D175E6" w:rsidRPr="00EC023D" w:rsidRDefault="00D175E6" w:rsidP="00D175E6">
      <w:r w:rsidRPr="00EC023D">
        <w:t>Predsednik</w:t>
      </w:r>
      <w:r w:rsidRPr="00EC023D">
        <w:tab/>
        <w:t xml:space="preserve">Predsednik </w:t>
      </w:r>
    </w:p>
    <w:p w:rsidR="00D175E6" w:rsidRPr="00EC023D" w:rsidRDefault="00D175E6" w:rsidP="00D175E6">
      <w:r w:rsidRPr="00EC023D">
        <w:br w:type="page"/>
      </w:r>
    </w:p>
    <w:p w:rsidR="00D175E6" w:rsidRPr="00EC023D" w:rsidRDefault="00D175E6" w:rsidP="00D175E6">
      <w:pPr>
        <w:pStyle w:val="Typedudocument"/>
        <w:rPr>
          <w:b w:val="0"/>
        </w:rPr>
      </w:pPr>
      <w:r w:rsidRPr="00EC023D">
        <w:rPr>
          <w:b w:val="0"/>
        </w:rPr>
        <w:t>PRILOGA</w:t>
      </w:r>
    </w:p>
    <w:p w:rsidR="00D175E6" w:rsidRPr="00EC023D" w:rsidRDefault="00D175E6" w:rsidP="00D175E6">
      <w:pPr>
        <w:pStyle w:val="Accompagnant"/>
        <w:rPr>
          <w:b w:val="0"/>
        </w:rPr>
      </w:pPr>
      <w:r w:rsidRPr="00EC023D">
        <w:rPr>
          <w:b w:val="0"/>
        </w:rPr>
        <w:t>k</w:t>
      </w:r>
    </w:p>
    <w:p w:rsidR="00D175E6" w:rsidRPr="00EC023D" w:rsidRDefault="00D175E6" w:rsidP="00D175E6">
      <w:pPr>
        <w:pStyle w:val="Typeacteprincipal"/>
        <w:rPr>
          <w:b w:val="0"/>
        </w:rPr>
      </w:pPr>
      <w:r w:rsidRPr="00EC023D">
        <w:rPr>
          <w:b w:val="0"/>
        </w:rPr>
        <w:t>predlogu UREDBE EVROPSKEGA PARLAMENTA IN SVETA</w:t>
      </w:r>
    </w:p>
    <w:p w:rsidR="00D175E6" w:rsidRPr="00EC023D" w:rsidRDefault="00D175E6" w:rsidP="00D175E6">
      <w:pPr>
        <w:pStyle w:val="Objetacteprincipal"/>
        <w:rPr>
          <w:b w:val="0"/>
        </w:rPr>
      </w:pPr>
      <w:r w:rsidRPr="00EC023D">
        <w:rPr>
          <w:b w:val="0"/>
        </w:rPr>
        <w:t>o spremembi uredb (EU) št. 1316/2013 in (EU) 2015/1017 v zvezi s podaljšanjem Evropskega sklada za strateške naložbe ter uvedbo tehničnih izboljšav za ta sklad in Evropsko svetovalno vozlišče za naložbe</w:t>
      </w:r>
    </w:p>
    <w:p w:rsidR="00D175E6" w:rsidRPr="00EC023D" w:rsidRDefault="00D175E6" w:rsidP="00D175E6">
      <w:pPr>
        <w:jc w:val="center"/>
      </w:pPr>
      <w:r w:rsidRPr="00EC023D">
        <w:t>Priloga</w:t>
      </w:r>
    </w:p>
    <w:p w:rsidR="00D175E6" w:rsidRPr="00EC023D" w:rsidRDefault="00D175E6" w:rsidP="00D175E6">
      <w:pPr>
        <w:pStyle w:val="Point0number"/>
        <w:numPr>
          <w:ilvl w:val="0"/>
          <w:numId w:val="0"/>
        </w:numPr>
        <w:tabs>
          <w:tab w:val="left" w:pos="850"/>
        </w:tabs>
        <w:ind w:left="850" w:hanging="850"/>
      </w:pPr>
      <w:r w:rsidRPr="00EC023D">
        <w:t>(1)</w:t>
      </w:r>
      <w:r w:rsidRPr="00EC023D">
        <w:tab/>
        <w:t>Oddelek 2 se spremeni:</w:t>
      </w:r>
    </w:p>
    <w:p w:rsidR="00D175E6" w:rsidRPr="00EC023D" w:rsidRDefault="00D175E6" w:rsidP="00D175E6">
      <w:pPr>
        <w:pStyle w:val="Point1"/>
      </w:pPr>
      <w:r w:rsidRPr="00EC023D">
        <w:t>(a)</w:t>
      </w:r>
      <w:r w:rsidRPr="00EC023D">
        <w:tab/>
        <w:t>v točki (b) se</w:t>
      </w:r>
      <w:r w:rsidRPr="00EC023D">
        <w:rPr>
          <w:b/>
          <w:i/>
        </w:rPr>
        <w:t xml:space="preserve"> dodata naslednja</w:t>
      </w:r>
      <w:r w:rsidRPr="00EC023D">
        <w:t xml:space="preserve"> </w:t>
      </w:r>
      <w:r w:rsidRPr="00EC023D">
        <w:rPr>
          <w:b/>
          <w:i/>
        </w:rPr>
        <w:t>odstavka</w:t>
      </w:r>
      <w:r w:rsidRPr="00EC023D">
        <w:t>:</w:t>
      </w:r>
    </w:p>
    <w:p w:rsidR="00D175E6" w:rsidRPr="00EC023D" w:rsidRDefault="00D175E6" w:rsidP="00D175E6">
      <w:pPr>
        <w:pStyle w:val="Text2"/>
        <w:rPr>
          <w:bCs/>
          <w:iCs/>
          <w:szCs w:val="24"/>
        </w:rPr>
      </w:pPr>
      <w:r w:rsidRPr="00EC023D">
        <w:t>„</w:t>
      </w:r>
      <w:r w:rsidRPr="00EC023D">
        <w:rPr>
          <w:b/>
          <w:i/>
        </w:rPr>
        <w:t>Podpora</w:t>
      </w:r>
      <w:r w:rsidRPr="00EC023D">
        <w:rPr>
          <w:b/>
        </w:rPr>
        <w:t xml:space="preserve"> </w:t>
      </w:r>
      <w:r w:rsidRPr="00EC023D">
        <w:t xml:space="preserve">EFSI za avtoceste se </w:t>
      </w:r>
      <w:r w:rsidRPr="00EC023D">
        <w:rPr>
          <w:b/>
          <w:i/>
        </w:rPr>
        <w:t>omeji na</w:t>
      </w:r>
      <w:r w:rsidRPr="00EC023D">
        <w:t xml:space="preserve"> </w:t>
      </w:r>
      <w:r w:rsidRPr="00EC023D">
        <w:rPr>
          <w:b/>
          <w:i/>
        </w:rPr>
        <w:t>zasebne in/ali javne naložbe</w:t>
      </w:r>
      <w:r w:rsidRPr="00EC023D">
        <w:t xml:space="preserve"> na področju prometa v kohezijskih državah, </w:t>
      </w:r>
      <w:r w:rsidRPr="00EC023D">
        <w:rPr>
          <w:b/>
          <w:i/>
        </w:rPr>
        <w:t>manj razvitih regijah</w:t>
      </w:r>
      <w:r w:rsidRPr="00EC023D">
        <w:t xml:space="preserve"> ali pri čezmejnih prometnih projektih </w:t>
      </w:r>
      <w:r w:rsidRPr="00EC023D">
        <w:rPr>
          <w:b/>
          <w:i/>
        </w:rPr>
        <w:t>ali za potrebe nadgradnje in vzdrževanja, izboljšanja varnosti v cestnem prometu, razvoja inteligentnih prometnih sistemov ali zagotavljanja neokrnjenosti in standardov obstoječih avtocest v vseevropskem prometnem omrežju, zlasti varnih parkirnih mest, črpalk z alternativnimi čistimi gorivi in sistemov za električno polnjenje.</w:t>
      </w:r>
    </w:p>
    <w:p w:rsidR="00D175E6" w:rsidRPr="00EC023D" w:rsidRDefault="00D175E6" w:rsidP="00D175E6">
      <w:pPr>
        <w:pStyle w:val="Text2"/>
      </w:pPr>
      <w:r w:rsidRPr="00EC023D">
        <w:rPr>
          <w:b/>
          <w:i/>
        </w:rPr>
        <w:t>Podpora EFSI mora biti izrecno na voljo tudi za vzdrževanje in nadgrajevanje obstoječe prometne infrastrukture;“</w:t>
      </w:r>
    </w:p>
    <w:p w:rsidR="00D175E6" w:rsidRPr="00EC023D" w:rsidRDefault="00D175E6" w:rsidP="00D175E6">
      <w:pPr>
        <w:pStyle w:val="Point1"/>
      </w:pPr>
      <w:r w:rsidRPr="00EC023D">
        <w:t>(b)</w:t>
      </w:r>
      <w:r w:rsidRPr="00EC023D">
        <w:tab/>
        <w:t>v točki (c) se drugi stavek nadomesti z naslednjim:</w:t>
      </w:r>
    </w:p>
    <w:p w:rsidR="00D175E6" w:rsidRPr="00EC023D" w:rsidRDefault="00D175E6" w:rsidP="00D175E6">
      <w:pPr>
        <w:pStyle w:val="Text2"/>
      </w:pPr>
      <w:r w:rsidRPr="00EC023D">
        <w:t>„V zvezi s tem se pričakuje, da bo EIB v okviru EFSI zagotovila finančna sredstva za izpolnitev splošnega cilja javnih ali zasebnih naložb v višini najmanj 500 000 000 000 EUR, vključno z mobilizacijo sredstev preko EIS v okviru operacij EFSI, povezanih z instrumenti iz člena 10(2)(b), in nacionalnih spodbujevalnih bank ali institucij, ter boljši dostop do financiranja za subjekte z največ 3 000 zaposlenimi.“;</w:t>
      </w:r>
    </w:p>
    <w:p w:rsidR="00D175E6" w:rsidRPr="00EC023D" w:rsidRDefault="00D175E6" w:rsidP="00D175E6">
      <w:pPr>
        <w:pStyle w:val="Point0number"/>
        <w:numPr>
          <w:ilvl w:val="0"/>
          <w:numId w:val="0"/>
        </w:numPr>
        <w:tabs>
          <w:tab w:val="left" w:pos="850"/>
        </w:tabs>
        <w:ind w:left="850" w:hanging="850"/>
      </w:pPr>
      <w:r w:rsidRPr="00EC023D">
        <w:t>(2)</w:t>
      </w:r>
      <w:r w:rsidRPr="00EC023D">
        <w:tab/>
        <w:t>v oddelku 3 se doda točka (d):</w:t>
      </w:r>
    </w:p>
    <w:p w:rsidR="00D175E6" w:rsidRPr="00EC023D" w:rsidRDefault="00D175E6" w:rsidP="00D175E6">
      <w:pPr>
        <w:pStyle w:val="Point0"/>
        <w:ind w:left="1417" w:hanging="567"/>
      </w:pPr>
      <w:r w:rsidRPr="00EC023D">
        <w:rPr>
          <w:bCs/>
          <w:iCs/>
        </w:rPr>
        <w:t>„</w:t>
      </w:r>
      <w:r w:rsidRPr="00EC023D">
        <w:t xml:space="preserve">(d) </w:t>
      </w:r>
      <w:r w:rsidRPr="00EC023D">
        <w:tab/>
        <w:t>operacija se običajno razvrsti med posebne dejavnosti ob prisotnosti ene ali več naslednjih značilnosti:</w:t>
      </w:r>
    </w:p>
    <w:p w:rsidR="00D175E6" w:rsidRPr="00EC023D" w:rsidRDefault="00D175E6" w:rsidP="00D175E6">
      <w:pPr>
        <w:pStyle w:val="Tiret2"/>
        <w:numPr>
          <w:ilvl w:val="0"/>
          <w:numId w:val="0"/>
        </w:numPr>
        <w:tabs>
          <w:tab w:val="left" w:pos="1984"/>
        </w:tabs>
        <w:ind w:left="1984" w:hanging="567"/>
      </w:pPr>
      <w:r w:rsidRPr="00EC023D">
        <w:t>–</w:t>
      </w:r>
      <w:r w:rsidRPr="00EC023D">
        <w:tab/>
        <w:t>podrejenost v razmerju do drugih posojilodajalcev, tudi nacionalnih spodbujevalnih bank in zasebnih posojilodajalcev;</w:t>
      </w:r>
    </w:p>
    <w:p w:rsidR="00D175E6" w:rsidRPr="00EC023D" w:rsidRDefault="00D175E6" w:rsidP="00D175E6">
      <w:pPr>
        <w:pStyle w:val="Tiret2"/>
        <w:numPr>
          <w:ilvl w:val="0"/>
          <w:numId w:val="0"/>
        </w:numPr>
        <w:tabs>
          <w:tab w:val="left" w:pos="1984"/>
        </w:tabs>
        <w:ind w:left="1984" w:hanging="567"/>
      </w:pPr>
      <w:r w:rsidRPr="00EC023D">
        <w:t>–</w:t>
      </w:r>
      <w:r w:rsidRPr="00EC023D">
        <w:tab/>
        <w:t>sodelovanje pri instrumentih delitve tveganja, če je EIB zaradi svojega stališča izpostavljena visokim ravnem tveganja;</w:t>
      </w:r>
    </w:p>
    <w:p w:rsidR="00D175E6" w:rsidRPr="00EC023D" w:rsidRDefault="00D175E6" w:rsidP="00D175E6">
      <w:pPr>
        <w:pStyle w:val="Tiret2"/>
        <w:numPr>
          <w:ilvl w:val="0"/>
          <w:numId w:val="0"/>
        </w:numPr>
        <w:tabs>
          <w:tab w:val="left" w:pos="1984"/>
        </w:tabs>
        <w:ind w:left="1984" w:hanging="567"/>
      </w:pPr>
      <w:r w:rsidRPr="00EC023D">
        <w:t>–</w:t>
      </w:r>
      <w:r w:rsidRPr="00EC023D">
        <w:tab/>
        <w:t xml:space="preserve">izpostavljenost posebnim tveganjem, kot so nepreizkušena tehnologija, odvisnost od novih, neizkušenih partnerjev ali partnerjev z visokim </w:t>
      </w:r>
      <w:r w:rsidRPr="00EC023D">
        <w:lastRenderedPageBreak/>
        <w:t xml:space="preserve">tveganjem, nove finančne strukture ali tveganje za EIB, zadevni sektor ali območje; </w:t>
      </w:r>
    </w:p>
    <w:p w:rsidR="00D175E6" w:rsidRPr="00EC023D" w:rsidRDefault="00D175E6" w:rsidP="00D175E6">
      <w:pPr>
        <w:pStyle w:val="Tiret2"/>
        <w:numPr>
          <w:ilvl w:val="0"/>
          <w:numId w:val="0"/>
        </w:numPr>
        <w:tabs>
          <w:tab w:val="left" w:pos="1984"/>
        </w:tabs>
        <w:ind w:left="1984" w:hanging="567"/>
      </w:pPr>
      <w:r w:rsidRPr="00EC023D">
        <w:t>–</w:t>
      </w:r>
      <w:r w:rsidRPr="00EC023D">
        <w:tab/>
        <w:t xml:space="preserve">značilnosti vrste lastniškega kapitala, kot so plačila na podlagi uspešnosti; or </w:t>
      </w:r>
    </w:p>
    <w:p w:rsidR="00D175E6" w:rsidRPr="00EC023D" w:rsidRDefault="00D175E6" w:rsidP="00D175E6">
      <w:pPr>
        <w:pStyle w:val="Tiret2"/>
        <w:numPr>
          <w:ilvl w:val="0"/>
          <w:numId w:val="0"/>
        </w:numPr>
        <w:tabs>
          <w:tab w:val="left" w:pos="1984"/>
        </w:tabs>
        <w:ind w:left="1984" w:hanging="567"/>
      </w:pPr>
      <w:r w:rsidRPr="00EC023D">
        <w:t>–</w:t>
      </w:r>
      <w:r w:rsidRPr="00EC023D">
        <w:tab/>
        <w:t xml:space="preserve">drugi določljivi vidiki, ki povzročajo večjo izpostavljenost tveganju v skladu s smernicami EIB za kreditno tveganje;“; </w:t>
      </w:r>
    </w:p>
    <w:p w:rsidR="00D175E6" w:rsidRPr="00EC023D" w:rsidRDefault="00D175E6" w:rsidP="00D175E6">
      <w:pPr>
        <w:pStyle w:val="Point0number"/>
        <w:numPr>
          <w:ilvl w:val="0"/>
          <w:numId w:val="0"/>
        </w:numPr>
        <w:tabs>
          <w:tab w:val="left" w:pos="850"/>
        </w:tabs>
        <w:ind w:left="850" w:hanging="850"/>
        <w:rPr>
          <w:b/>
          <w:i/>
        </w:rPr>
      </w:pPr>
      <w:r w:rsidRPr="00EC023D">
        <w:rPr>
          <w:b/>
          <w:i/>
        </w:rPr>
        <w:t>(2a)</w:t>
      </w:r>
      <w:r w:rsidRPr="00EC023D">
        <w:rPr>
          <w:b/>
          <w:i/>
        </w:rPr>
        <w:tab/>
        <w:t>v razdelku 3 se doda naslednja točka:</w:t>
      </w:r>
    </w:p>
    <w:p w:rsidR="00D175E6" w:rsidRPr="00EC023D" w:rsidRDefault="00D175E6" w:rsidP="00D175E6">
      <w:pPr>
        <w:pStyle w:val="Point0number"/>
        <w:numPr>
          <w:ilvl w:val="0"/>
          <w:numId w:val="0"/>
        </w:numPr>
        <w:tabs>
          <w:tab w:val="left" w:pos="1276"/>
        </w:tabs>
        <w:ind w:left="1560" w:hanging="709"/>
      </w:pPr>
      <w:r w:rsidRPr="00EC023D">
        <w:rPr>
          <w:b/>
          <w:i/>
        </w:rPr>
        <w:t>„(da)pri ocenjevanju dodatnosti bo pozornost namenjena pogojem, ki so posebni za regijo.“</w:t>
      </w:r>
    </w:p>
    <w:p w:rsidR="00D175E6" w:rsidRPr="00EC023D" w:rsidRDefault="00D175E6" w:rsidP="00D175E6">
      <w:pPr>
        <w:pStyle w:val="Point0number"/>
        <w:numPr>
          <w:ilvl w:val="0"/>
          <w:numId w:val="0"/>
        </w:numPr>
        <w:tabs>
          <w:tab w:val="left" w:pos="850"/>
        </w:tabs>
        <w:ind w:left="850" w:hanging="850"/>
      </w:pPr>
      <w:r w:rsidRPr="00EC023D">
        <w:t>(3)</w:t>
      </w:r>
      <w:r w:rsidRPr="00EC023D">
        <w:tab/>
        <w:t>v oddelku 5 se doda naslednji stavek:</w:t>
      </w:r>
    </w:p>
    <w:p w:rsidR="00D175E6" w:rsidRPr="00EC023D" w:rsidRDefault="00D175E6" w:rsidP="00D175E6">
      <w:pPr>
        <w:pStyle w:val="Text2"/>
      </w:pPr>
      <w:r w:rsidRPr="00EC023D">
        <w:t>Takoj po podpisu operacije v sklopu jamstva EU se objavi preglednica, razen poslovno občutljivih informacij;</w:t>
      </w:r>
    </w:p>
    <w:p w:rsidR="00D175E6" w:rsidRPr="00EC023D" w:rsidRDefault="00D175E6" w:rsidP="00D175E6">
      <w:pPr>
        <w:pStyle w:val="Point0number"/>
        <w:numPr>
          <w:ilvl w:val="0"/>
          <w:numId w:val="0"/>
        </w:numPr>
        <w:tabs>
          <w:tab w:val="left" w:pos="850"/>
        </w:tabs>
        <w:ind w:left="850" w:hanging="850"/>
      </w:pPr>
      <w:r w:rsidRPr="00EC023D">
        <w:t>(4)</w:t>
      </w:r>
      <w:r w:rsidRPr="00EC023D">
        <w:tab/>
        <w:t>oddelek 6 se spremeni:</w:t>
      </w:r>
    </w:p>
    <w:p w:rsidR="00D175E6" w:rsidRPr="00EC023D" w:rsidRDefault="00D175E6" w:rsidP="00D175E6">
      <w:pPr>
        <w:pStyle w:val="Point1letter"/>
        <w:numPr>
          <w:ilvl w:val="0"/>
          <w:numId w:val="0"/>
        </w:numPr>
        <w:tabs>
          <w:tab w:val="left" w:pos="1417"/>
        </w:tabs>
        <w:ind w:left="1417" w:hanging="567"/>
      </w:pPr>
      <w:r w:rsidRPr="00EC023D">
        <w:t>(a)</w:t>
      </w:r>
      <w:r w:rsidRPr="00EC023D">
        <w:tab/>
        <w:t>točka (b) se spremeni:</w:t>
      </w:r>
    </w:p>
    <w:p w:rsidR="00D175E6" w:rsidRPr="00EC023D" w:rsidRDefault="00D175E6" w:rsidP="00D175E6">
      <w:pPr>
        <w:pStyle w:val="Point3"/>
      </w:pPr>
      <w:r w:rsidRPr="00EC023D">
        <w:t>(i)</w:t>
      </w:r>
      <w:r w:rsidRPr="00EC023D">
        <w:tab/>
        <w:t xml:space="preserve">v prvi alinei se prvi in drugi stavek nadomestita z naslednjim besedilom: </w:t>
      </w:r>
    </w:p>
    <w:p w:rsidR="00D175E6" w:rsidRPr="00EC023D" w:rsidRDefault="00D175E6" w:rsidP="00D175E6">
      <w:pPr>
        <w:pStyle w:val="Point2"/>
        <w:ind w:left="2551" w:firstLine="0"/>
      </w:pPr>
      <w:r w:rsidRPr="00EC023D">
        <w:t>„Pri operacijah v zvezi z dolžniškim kapitalom EIB ali EIS opravi standardno oceno tveganja, ki vsebuje izračun stopnje verjetnosti neizpolnitve obveznosti in izterjave. Na podlagi teh parametrov EIB ali EIS za vsako operacijo izračuna njeno tveganje.“;</w:t>
      </w:r>
    </w:p>
    <w:p w:rsidR="00D175E6" w:rsidRPr="00EC023D" w:rsidRDefault="00D175E6" w:rsidP="00D175E6">
      <w:pPr>
        <w:pStyle w:val="Point3"/>
      </w:pPr>
      <w:r w:rsidRPr="00EC023D">
        <w:t>(ii)</w:t>
      </w:r>
      <w:r w:rsidRPr="00EC023D">
        <w:tab/>
        <w:t xml:space="preserve">v drugi alinei se prvi stavek nadomesti z naslednjim besedilom: </w:t>
      </w:r>
    </w:p>
    <w:p w:rsidR="00D175E6" w:rsidRPr="00EC023D" w:rsidRDefault="00D175E6" w:rsidP="00D175E6">
      <w:pPr>
        <w:pStyle w:val="Point2"/>
        <w:ind w:left="2551" w:firstLine="0"/>
      </w:pPr>
      <w:r w:rsidRPr="00EC023D">
        <w:t>„Vsaka operacija v zvezi z dolžniškim kapitalom se razvrsti v posamezno kategorijo tveganja (bonitetna ocena posojil v zvezi s transakcijo) na podlagi sistema EIB ali EIS za bonitetno oceno posojil.“;</w:t>
      </w:r>
    </w:p>
    <w:p w:rsidR="00D175E6" w:rsidRPr="00EC023D" w:rsidRDefault="00D175E6" w:rsidP="00D175E6">
      <w:pPr>
        <w:pStyle w:val="Point3"/>
      </w:pPr>
      <w:r w:rsidRPr="00EC023D">
        <w:t>(iii)</w:t>
      </w:r>
      <w:r w:rsidRPr="00EC023D">
        <w:tab/>
        <w:t xml:space="preserve">v tretji alinei se prvi stavek nadomesti z naslednjim besedilom: </w:t>
      </w:r>
    </w:p>
    <w:p w:rsidR="00D175E6" w:rsidRPr="00EC023D" w:rsidRDefault="00D175E6" w:rsidP="00D175E6">
      <w:pPr>
        <w:pStyle w:val="Point3"/>
        <w:ind w:firstLine="0"/>
      </w:pPr>
      <w:r w:rsidRPr="00EC023D">
        <w:t>„Projekti morajo biti ekonomsko in tehnično izvedljivi, financiranje EIB pa mora biti strukturirano po načelih dobrega bančništva in skladno z načeli obvladovanja tveganja na visoki ravni, ki jih EIB ali EIS opredeli v svojih internih smernicah.“;</w:t>
      </w:r>
    </w:p>
    <w:p w:rsidR="00D175E6" w:rsidRPr="00EC023D" w:rsidRDefault="00D175E6" w:rsidP="00D175E6">
      <w:pPr>
        <w:pStyle w:val="Point3"/>
        <w:rPr>
          <w:b/>
          <w:i/>
        </w:rPr>
      </w:pPr>
      <w:r w:rsidRPr="00EC023D">
        <w:rPr>
          <w:b/>
          <w:i/>
        </w:rPr>
        <w:t>(iiia)</w:t>
      </w:r>
      <w:r w:rsidRPr="00EC023D">
        <w:rPr>
          <w:b/>
          <w:i/>
        </w:rPr>
        <w:tab/>
        <w:t>četrta alinea se nadomesti z naslednjo:</w:t>
      </w:r>
    </w:p>
    <w:p w:rsidR="00D175E6" w:rsidRPr="00EC023D" w:rsidRDefault="00D175E6" w:rsidP="00D175E6">
      <w:pPr>
        <w:pStyle w:val="Point3"/>
        <w:ind w:firstLine="0"/>
      </w:pPr>
      <w:r w:rsidRPr="00EC023D">
        <w:t xml:space="preserve">„Cene za produkte v zvezi z dolžniškim kapitalom se oblikujejo v skladu </w:t>
      </w:r>
      <w:r w:rsidRPr="00EC023D">
        <w:rPr>
          <w:b/>
          <w:i/>
        </w:rPr>
        <w:t>z določbami te uredbe.</w:t>
      </w:r>
      <w:r w:rsidRPr="00EC023D">
        <w:rPr>
          <w:b/>
        </w:rPr>
        <w:t>“</w:t>
      </w:r>
    </w:p>
    <w:p w:rsidR="00D175E6" w:rsidRPr="00EC023D" w:rsidRDefault="00D175E6" w:rsidP="00D175E6">
      <w:pPr>
        <w:pStyle w:val="Point1letter"/>
        <w:numPr>
          <w:ilvl w:val="0"/>
          <w:numId w:val="0"/>
        </w:numPr>
        <w:tabs>
          <w:tab w:val="left" w:pos="1417"/>
        </w:tabs>
        <w:ind w:left="1417" w:hanging="567"/>
      </w:pPr>
      <w:r w:rsidRPr="00EC023D">
        <w:t>(b)</w:t>
      </w:r>
      <w:r w:rsidRPr="00EC023D">
        <w:tab/>
        <w:t>točka (c) se spremeni:</w:t>
      </w:r>
    </w:p>
    <w:p w:rsidR="00D175E6" w:rsidRPr="00EC023D" w:rsidRDefault="00D175E6" w:rsidP="00D175E6">
      <w:pPr>
        <w:pStyle w:val="Point3"/>
      </w:pPr>
      <w:r w:rsidRPr="00EC023D">
        <w:lastRenderedPageBreak/>
        <w:t>(i)</w:t>
      </w:r>
      <w:r w:rsidRPr="00EC023D">
        <w:tab/>
        <w:t xml:space="preserve">v prvi alinei se drugi stavek nadomesti z naslednjim besedilom: </w:t>
      </w:r>
    </w:p>
    <w:p w:rsidR="00D175E6" w:rsidRPr="00EC023D" w:rsidRDefault="00D175E6" w:rsidP="00D175E6">
      <w:pPr>
        <w:pStyle w:val="Text4"/>
      </w:pPr>
      <w:r w:rsidRPr="00EC023D">
        <w:t>„Odločitev, ali operacija vključuje tveganja v zvezi z lastniškim kapitalom ali ne, temelji na podlagi standardne ocene EIB ali EIS, ne glede na njeno pravno obliko ali poimenovanje.“;</w:t>
      </w:r>
    </w:p>
    <w:p w:rsidR="00D175E6" w:rsidRPr="00EC023D" w:rsidRDefault="00D175E6" w:rsidP="00D175E6">
      <w:pPr>
        <w:pStyle w:val="Point3"/>
      </w:pPr>
      <w:r w:rsidRPr="00EC023D">
        <w:t>(ii)</w:t>
      </w:r>
      <w:r w:rsidRPr="00EC023D">
        <w:tab/>
        <w:t xml:space="preserve">v drugi alinei se prvi stavek nadomesti z naslednjim besedilom: </w:t>
      </w:r>
    </w:p>
    <w:p w:rsidR="00D175E6" w:rsidRPr="00EC023D" w:rsidRDefault="00D175E6" w:rsidP="00D175E6">
      <w:pPr>
        <w:pStyle w:val="Point0"/>
        <w:ind w:left="2551" w:firstLine="0"/>
      </w:pPr>
      <w:r w:rsidRPr="00EC023D">
        <w:t>„Operacije EIB v zvezi z lastniškim kapitalom se izvedejo v skladu z notranjimi pravili in postopki EIB ali EIS.“;</w:t>
      </w:r>
    </w:p>
    <w:p w:rsidR="00D175E6" w:rsidRPr="00EC023D" w:rsidRDefault="00D175E6" w:rsidP="00D175E6">
      <w:pPr>
        <w:pStyle w:val="Point3"/>
        <w:rPr>
          <w:b/>
          <w:i/>
        </w:rPr>
      </w:pPr>
      <w:r w:rsidRPr="00EC023D">
        <w:rPr>
          <w:b/>
          <w:i/>
        </w:rPr>
        <w:t>(iia)</w:t>
      </w:r>
      <w:r w:rsidRPr="00EC023D">
        <w:rPr>
          <w:b/>
          <w:i/>
        </w:rPr>
        <w:tab/>
        <w:t>tretja alineja se nadomesti z naslednjo:</w:t>
      </w:r>
    </w:p>
    <w:p w:rsidR="00D175E6" w:rsidRPr="00EC023D" w:rsidRDefault="00D175E6" w:rsidP="00D175E6">
      <w:pPr>
        <w:pStyle w:val="Point0"/>
        <w:ind w:left="2551" w:firstLine="0"/>
      </w:pPr>
      <w:r w:rsidRPr="00EC023D">
        <w:t xml:space="preserve">„Cene naložb v zvezi z lastniškim kapitalom se oblikujejo v skladu z </w:t>
      </w:r>
      <w:r w:rsidRPr="00EC023D">
        <w:rPr>
          <w:b/>
          <w:i/>
        </w:rPr>
        <w:t>določbami te uredbe</w:t>
      </w:r>
      <w:r w:rsidRPr="00EC023D">
        <w:rPr>
          <w:b/>
        </w:rPr>
        <w:t>“.</w:t>
      </w:r>
    </w:p>
    <w:p w:rsidR="00D175E6" w:rsidRPr="00EC023D" w:rsidRDefault="00D175E6" w:rsidP="00D175E6">
      <w:pPr>
        <w:pStyle w:val="Point0number"/>
        <w:numPr>
          <w:ilvl w:val="0"/>
          <w:numId w:val="0"/>
        </w:numPr>
        <w:tabs>
          <w:tab w:val="left" w:pos="850"/>
        </w:tabs>
        <w:ind w:left="850" w:hanging="850"/>
      </w:pPr>
      <w:r w:rsidRPr="00EC023D">
        <w:t>(5)</w:t>
      </w:r>
      <w:r w:rsidRPr="00EC023D">
        <w:tab/>
        <w:t>v točki (c) oddelka 7 se črta beseda „začetnega“;</w:t>
      </w:r>
    </w:p>
    <w:p w:rsidR="00D175E6" w:rsidRPr="00EC023D" w:rsidRDefault="00D175E6" w:rsidP="00D175E6">
      <w:pPr>
        <w:pStyle w:val="Point0number"/>
        <w:numPr>
          <w:ilvl w:val="0"/>
          <w:numId w:val="0"/>
        </w:numPr>
        <w:tabs>
          <w:tab w:val="left" w:pos="850"/>
        </w:tabs>
        <w:ind w:left="850" w:hanging="850"/>
      </w:pPr>
      <w:r w:rsidRPr="00EC023D">
        <w:t>(6)</w:t>
      </w:r>
      <w:r w:rsidRPr="00EC023D">
        <w:tab/>
        <w:t>oddelek 8 se spremeni:</w:t>
      </w:r>
    </w:p>
    <w:p w:rsidR="00D175E6" w:rsidRPr="00EC023D" w:rsidRDefault="00D175E6" w:rsidP="00D175E6">
      <w:pPr>
        <w:pStyle w:val="Point1letter"/>
        <w:numPr>
          <w:ilvl w:val="0"/>
          <w:numId w:val="0"/>
        </w:numPr>
        <w:tabs>
          <w:tab w:val="left" w:pos="1417"/>
        </w:tabs>
        <w:ind w:left="1417" w:hanging="567"/>
      </w:pPr>
      <w:r w:rsidRPr="00EC023D">
        <w:t>(a)</w:t>
      </w:r>
      <w:r w:rsidRPr="00EC023D">
        <w:tab/>
        <w:t>v drugem stavku prvega pododstavka se črta beseda „začetnega“;</w:t>
      </w:r>
    </w:p>
    <w:p w:rsidR="00D175E6" w:rsidRPr="00EC023D" w:rsidRDefault="00D175E6" w:rsidP="00D175E6">
      <w:pPr>
        <w:pStyle w:val="Point1letter"/>
        <w:numPr>
          <w:ilvl w:val="0"/>
          <w:numId w:val="0"/>
        </w:numPr>
        <w:tabs>
          <w:tab w:val="left" w:pos="1417"/>
        </w:tabs>
        <w:ind w:left="1417" w:hanging="567"/>
      </w:pPr>
      <w:r w:rsidRPr="00EC023D">
        <w:t>(b)</w:t>
      </w:r>
      <w:r w:rsidRPr="00EC023D">
        <w:tab/>
        <w:t>v prvem stavku prvega pododstavka točke (a) se črta beseda „začetnega“;</w:t>
      </w:r>
    </w:p>
    <w:p w:rsidR="00D175E6" w:rsidRPr="00EC023D" w:rsidRDefault="00D175E6" w:rsidP="00D175E6">
      <w:pPr>
        <w:pStyle w:val="Point1letter"/>
        <w:numPr>
          <w:ilvl w:val="0"/>
          <w:numId w:val="0"/>
        </w:numPr>
        <w:tabs>
          <w:tab w:val="left" w:pos="1417"/>
        </w:tabs>
        <w:ind w:left="1417" w:hanging="567"/>
      </w:pPr>
      <w:r w:rsidRPr="00EC023D">
        <w:t>(c)</w:t>
      </w:r>
      <w:r w:rsidRPr="00EC023D">
        <w:tab/>
        <w:t>v prvem stavku točke (b) se črta beseda „začetnega“.</w:t>
      </w:r>
    </w:p>
    <w:p w:rsidR="00E365E1" w:rsidRPr="00EC023D" w:rsidRDefault="00E365E1" w:rsidP="00D175E6">
      <w:bookmarkStart w:id="1" w:name="TextBodyEnd"/>
      <w:bookmarkEnd w:id="1"/>
    </w:p>
    <w:sectPr w:rsidR="00E365E1" w:rsidRPr="00EC023D" w:rsidSect="003B2E5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27" w:rsidRPr="003B2E5E" w:rsidRDefault="00A96B27">
      <w:r w:rsidRPr="003B2E5E">
        <w:separator/>
      </w:r>
    </w:p>
  </w:endnote>
  <w:endnote w:type="continuationSeparator" w:id="0">
    <w:p w:rsidR="00A96B27" w:rsidRPr="003B2E5E" w:rsidRDefault="00A96B27">
      <w:r w:rsidRPr="003B2E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3D" w:rsidRDefault="00EC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5E" w:rsidRDefault="003B2E5E" w:rsidP="00EC023D">
    <w:pPr>
      <w:pStyle w:val="Footer"/>
      <w:tabs>
        <w:tab w:val="clear" w:pos="9639"/>
        <w:tab w:val="right" w:pos="9184"/>
      </w:tabs>
    </w:pPr>
  </w:p>
  <w:p w:rsidR="00EC023D" w:rsidRDefault="00EC023D" w:rsidP="00EC023D">
    <w:pPr>
      <w:pStyle w:val="Footer"/>
      <w:pBdr>
        <w:top w:val="single" w:sz="2" w:space="1" w:color="000000"/>
      </w:pBdr>
      <w:tabs>
        <w:tab w:val="clear" w:pos="9639"/>
        <w:tab w:val="right" w:pos="9184"/>
      </w:tabs>
    </w:pPr>
    <w:r>
      <w:tab/>
    </w:r>
    <w:r w:rsidRPr="00EC023D">
      <w:rPr>
        <w:rStyle w:val="HideTWBExt"/>
      </w:rPr>
      <w:t>&lt;NuPE&gt;</w:t>
    </w:r>
    <w:r>
      <w:t>PE111.111</w:t>
    </w:r>
    <w:r w:rsidRPr="00EC023D">
      <w:rPr>
        <w:rStyle w:val="HideTWBExt"/>
      </w:rPr>
      <w:t>&lt;/NuPE&gt;</w:t>
    </w:r>
    <w:r>
      <w:t xml:space="preserve">/ </w:t>
    </w:r>
    <w:r>
      <w:fldChar w:fldCharType="begin"/>
    </w:r>
    <w:r>
      <w:instrText xml:space="preserve"> PAGE  \* MERGEFORMAT </w:instrText>
    </w:r>
    <w:r>
      <w:fldChar w:fldCharType="separate"/>
    </w:r>
    <w:r w:rsidR="009A0276">
      <w:rPr>
        <w:noProof/>
      </w:rPr>
      <w:t>2</w:t>
    </w:r>
    <w:r>
      <w:fldChar w:fldCharType="end"/>
    </w:r>
  </w:p>
  <w:p w:rsidR="00EC023D" w:rsidRPr="00EC023D" w:rsidRDefault="00EC023D" w:rsidP="00EC023D">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3D" w:rsidRDefault="00EC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27" w:rsidRPr="003B2E5E" w:rsidRDefault="00A96B27">
      <w:r w:rsidRPr="003B2E5E">
        <w:separator/>
      </w:r>
    </w:p>
  </w:footnote>
  <w:footnote w:type="continuationSeparator" w:id="0">
    <w:p w:rsidR="00A96B27" w:rsidRPr="003B2E5E" w:rsidRDefault="00A96B27">
      <w:r w:rsidRPr="003B2E5E">
        <w:continuationSeparator/>
      </w:r>
    </w:p>
  </w:footnote>
  <w:footnote w:id="1">
    <w:p w:rsidR="00D175E6" w:rsidRPr="009A0276" w:rsidRDefault="00D175E6" w:rsidP="009A0276">
      <w:pPr>
        <w:pStyle w:val="FootnoteText"/>
        <w:ind w:left="567" w:hanging="567"/>
        <w:rPr>
          <w:sz w:val="24"/>
          <w:lang w:val="sl-SI"/>
        </w:rPr>
      </w:pPr>
      <w:r w:rsidRPr="009A0276">
        <w:rPr>
          <w:rStyle w:val="FootnoteReference"/>
          <w:sz w:val="24"/>
          <w:lang w:val="sl-SI"/>
        </w:rPr>
        <w:t>*</w:t>
      </w:r>
      <w:r w:rsidR="009A0276" w:rsidRPr="009A0276">
        <w:rPr>
          <w:sz w:val="24"/>
          <w:lang w:val="sl-SI"/>
        </w:rPr>
        <w:t xml:space="preserve"> </w:t>
      </w:r>
      <w:r w:rsidR="009A0276" w:rsidRPr="009A0276">
        <w:rPr>
          <w:sz w:val="24"/>
          <w:lang w:val="sl-SI"/>
        </w:rPr>
        <w:tab/>
      </w:r>
      <w:r w:rsidRPr="009A0276">
        <w:rPr>
          <w:sz w:val="24"/>
          <w:lang w:val="sl-SI"/>
        </w:rPr>
        <w:t>Spremembe: krepki ležeči tisk označuje novo ali spremenjeno besedilo, simbol ▌pa tiste dele besedila, ki so bili črtani.</w:t>
      </w:r>
    </w:p>
  </w:footnote>
  <w:footnote w:id="2">
    <w:p w:rsidR="00D175E6" w:rsidRPr="009A0276" w:rsidRDefault="00D175E6" w:rsidP="009A0276">
      <w:pPr>
        <w:pStyle w:val="FootnoteText"/>
        <w:ind w:left="567" w:hanging="567"/>
        <w:rPr>
          <w:sz w:val="24"/>
          <w:lang w:val="sl-SI"/>
        </w:rPr>
      </w:pPr>
      <w:r w:rsidRPr="009A0276">
        <w:rPr>
          <w:rStyle w:val="FootnoteReference"/>
          <w:sz w:val="24"/>
          <w:lang w:val="sl-SI"/>
        </w:rPr>
        <w:footnoteRef/>
      </w:r>
      <w:r w:rsidR="009A0276" w:rsidRPr="009A0276">
        <w:rPr>
          <w:b/>
          <w:i/>
          <w:sz w:val="24"/>
          <w:lang w:val="sl-SI"/>
        </w:rPr>
        <w:t xml:space="preserve"> </w:t>
      </w:r>
      <w:r w:rsidR="009A0276" w:rsidRPr="009A0276">
        <w:rPr>
          <w:b/>
          <w:i/>
          <w:sz w:val="24"/>
          <w:lang w:val="sl-SI"/>
        </w:rPr>
        <w:tab/>
      </w:r>
      <w:r w:rsidRPr="009A0276">
        <w:rPr>
          <w:b/>
          <w:i/>
          <w:sz w:val="24"/>
          <w:lang w:val="sl-SI"/>
        </w:rPr>
        <w:t>UL C 465, 13.12.2016, str. 1.</w:t>
      </w:r>
    </w:p>
  </w:footnote>
  <w:footnote w:id="3">
    <w:p w:rsidR="00D175E6" w:rsidRPr="009A0276" w:rsidRDefault="00D175E6" w:rsidP="009A0276">
      <w:pPr>
        <w:pStyle w:val="FootnoteText"/>
        <w:ind w:left="567" w:hanging="567"/>
        <w:rPr>
          <w:sz w:val="24"/>
          <w:lang w:val="sl-SI"/>
        </w:rPr>
      </w:pPr>
      <w:r w:rsidRPr="009A0276">
        <w:rPr>
          <w:rStyle w:val="FootnoteReference"/>
          <w:sz w:val="24"/>
          <w:lang w:val="sl-SI"/>
        </w:rPr>
        <w:footnoteRef/>
      </w:r>
      <w:r w:rsidR="009A0276" w:rsidRPr="009A0276">
        <w:rPr>
          <w:sz w:val="24"/>
          <w:lang w:val="sl-SI"/>
        </w:rPr>
        <w:t xml:space="preserve"> </w:t>
      </w:r>
      <w:r w:rsidR="009A0276" w:rsidRPr="009A0276">
        <w:rPr>
          <w:sz w:val="24"/>
          <w:lang w:val="sl-SI"/>
        </w:rPr>
        <w:tab/>
      </w:r>
      <w:r w:rsidRPr="009A0276">
        <w:rPr>
          <w:sz w:val="24"/>
          <w:lang w:val="sl-SI"/>
        </w:rPr>
        <w:t>COM(2014) 903</w:t>
      </w:r>
    </w:p>
  </w:footnote>
  <w:footnote w:id="4">
    <w:p w:rsidR="00D175E6" w:rsidRPr="009A0276" w:rsidRDefault="00D175E6" w:rsidP="009A0276">
      <w:pPr>
        <w:pStyle w:val="FootnoteText"/>
        <w:ind w:left="567" w:hanging="567"/>
        <w:rPr>
          <w:sz w:val="24"/>
          <w:lang w:val="sl-SI"/>
        </w:rPr>
      </w:pPr>
      <w:r w:rsidRPr="009A0276">
        <w:rPr>
          <w:rStyle w:val="FootnoteReference"/>
          <w:sz w:val="24"/>
          <w:lang w:val="sl-SI"/>
        </w:rPr>
        <w:footnoteRef/>
      </w:r>
      <w:r w:rsidR="009A0276" w:rsidRPr="009A0276">
        <w:rPr>
          <w:sz w:val="24"/>
          <w:lang w:val="sl-SI"/>
        </w:rPr>
        <w:t xml:space="preserve"> </w:t>
      </w:r>
      <w:r w:rsidR="009A0276" w:rsidRPr="009A0276">
        <w:rPr>
          <w:sz w:val="24"/>
          <w:lang w:val="sl-SI"/>
        </w:rPr>
        <w:tab/>
      </w:r>
      <w:r w:rsidRPr="009A0276">
        <w:rPr>
          <w:sz w:val="24"/>
          <w:lang w:val="sl-SI"/>
        </w:rPr>
        <w:t>Uredba (EU) št. 1316/2013 Evropskega parlamenta in Sveta z dne 11. decembra 12,2013 o vzpostavitvi Instrumenta za povezovanje Evrope, spremembi Uredbe (EU) št. 913/2010 in razveljavitvi uredb (ES) št. 680/2007 in (ES) št. 67/2010 (UL L 348, 20.12.2013, str. 129).</w:t>
      </w:r>
    </w:p>
  </w:footnote>
  <w:footnote w:id="5">
    <w:p w:rsidR="00D175E6" w:rsidRPr="009A0276" w:rsidRDefault="00D175E6" w:rsidP="009A0276">
      <w:pPr>
        <w:pStyle w:val="FootnoteText"/>
        <w:ind w:left="567" w:hanging="567"/>
        <w:rPr>
          <w:b/>
          <w:i/>
          <w:sz w:val="24"/>
          <w:lang w:val="sl-SI"/>
        </w:rPr>
      </w:pPr>
      <w:r w:rsidRPr="009A0276">
        <w:rPr>
          <w:rStyle w:val="FootnoteReference"/>
          <w:b/>
          <w:i/>
          <w:sz w:val="24"/>
          <w:lang w:val="sl-SI"/>
        </w:rPr>
        <w:footnoteRef/>
      </w:r>
      <w:r w:rsidR="009A0276" w:rsidRPr="009A0276">
        <w:rPr>
          <w:b/>
          <w:i/>
          <w:sz w:val="24"/>
          <w:lang w:val="sl-SI"/>
        </w:rPr>
        <w:t xml:space="preserve"> </w:t>
      </w:r>
      <w:r w:rsidR="009A0276" w:rsidRPr="009A0276">
        <w:rPr>
          <w:b/>
          <w:i/>
          <w:sz w:val="24"/>
          <w:lang w:val="sl-SI"/>
        </w:rPr>
        <w:tab/>
      </w:r>
      <w:r w:rsidRPr="009A0276">
        <w:rPr>
          <w:b/>
          <w:i/>
          <w:sz w:val="24"/>
          <w:lang w:val="sl-SI"/>
        </w:rPr>
        <w:t>Delegirana uredba Komisije (EU) 2015/1158 z dne 22. julija 2015 o dopolnitvi Uredbe (EU) 2015/1017 Evropskega parlamenta in Sveta s preglednico kazalnikov za uporabo jamstva EU (UL L 244, 19.9.2015, str. 20).</w:t>
      </w:r>
    </w:p>
  </w:footnote>
  <w:footnote w:id="6">
    <w:p w:rsidR="00D175E6" w:rsidRPr="009A0276" w:rsidRDefault="00D175E6" w:rsidP="009A0276">
      <w:pPr>
        <w:pStyle w:val="FootnoteText"/>
        <w:ind w:left="567" w:hanging="567"/>
        <w:rPr>
          <w:sz w:val="24"/>
          <w:lang w:val="sl-SI"/>
        </w:rPr>
      </w:pPr>
      <w:r w:rsidRPr="009A0276">
        <w:rPr>
          <w:rStyle w:val="FootnoteReference"/>
          <w:sz w:val="24"/>
          <w:lang w:val="sl-SI"/>
        </w:rPr>
        <w:footnoteRef/>
      </w:r>
      <w:r w:rsidR="009A0276" w:rsidRPr="009A0276">
        <w:rPr>
          <w:sz w:val="24"/>
          <w:lang w:val="sl-SI"/>
        </w:rPr>
        <w:t xml:space="preserve"> </w:t>
      </w:r>
      <w:r w:rsidR="009A0276" w:rsidRPr="009A0276">
        <w:rPr>
          <w:sz w:val="24"/>
          <w:lang w:val="sl-SI"/>
        </w:rPr>
        <w:tab/>
      </w:r>
      <w:r w:rsidRPr="009A0276">
        <w:rPr>
          <w:sz w:val="24"/>
          <w:lang w:val="sl-SI"/>
        </w:rPr>
        <w:t>Izvedbeni sklep Komisije št. 2014/99/EU z dne 18. februarja 2014 o določitvi seznama regij, upravičenih do financiranja iz Evropskega sklada za regionalni razvoj in Evropskega socialnega sklada, ter držav članic, upravičenih do financiranja iz Kohezijskega sklada, za obdobje 2014–2020, UL L 50, 20.2.2014, str.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3D" w:rsidRDefault="00EC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3D" w:rsidRDefault="00EC0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3D" w:rsidRDefault="00EC0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4"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8/2017"/>
    <w:docVar w:name="dvlangue" w:val="SL"/>
    <w:docVar w:name="dvnumam" w:val="202"/>
    <w:docVar w:name="dvpe" w:val="597.638"/>
    <w:docVar w:name="dvrapporteur" w:val="Poročevalec: "/>
    <w:docVar w:name="dvtitre" w:val="Zakonodajna resolucija Evropskega parlamenta z dne … 2017 o predlogu uredbe Evropskega parlamenta in Sveta o spremembi uredb (EU) št. 1316/2013 in (EU) 2015/1017 v zvezi s podaljšanjem Evropskega sklada za strateške naložbe ter uvedbo tehničnih izboljšav za ta sklad in Evropsko svetovalno vozlišče za naložbe(COM(2016)0597 – C8-0375/2016 – 2016/0276(COD))"/>
    <w:docVar w:name="TA_Comm_A5Nr" w:val="A8-0198/2017"/>
    <w:docVar w:name="TA_Comm_Langue" w:val="SL"/>
    <w:docVar w:name="TA_Comm_NrAM" w:val="001-001"/>
    <w:docVar w:name="TA_Type" w:val="TA_COMM"/>
  </w:docVars>
  <w:rsids>
    <w:rsidRoot w:val="00A96B27"/>
    <w:rsid w:val="00002272"/>
    <w:rsid w:val="000677B9"/>
    <w:rsid w:val="00093FA4"/>
    <w:rsid w:val="000E7DD9"/>
    <w:rsid w:val="0010095E"/>
    <w:rsid w:val="00125B37"/>
    <w:rsid w:val="002767FF"/>
    <w:rsid w:val="002B5493"/>
    <w:rsid w:val="00361C00"/>
    <w:rsid w:val="00395FA1"/>
    <w:rsid w:val="003B2E5E"/>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A0276"/>
    <w:rsid w:val="009A1AC1"/>
    <w:rsid w:val="00A4678D"/>
    <w:rsid w:val="00A96B27"/>
    <w:rsid w:val="00AF3B82"/>
    <w:rsid w:val="00B558F0"/>
    <w:rsid w:val="00BD7BD8"/>
    <w:rsid w:val="00C05BFE"/>
    <w:rsid w:val="00C23CD4"/>
    <w:rsid w:val="00C941CB"/>
    <w:rsid w:val="00CC2357"/>
    <w:rsid w:val="00D058B8"/>
    <w:rsid w:val="00D175E6"/>
    <w:rsid w:val="00D834A0"/>
    <w:rsid w:val="00D91E21"/>
    <w:rsid w:val="00E365E1"/>
    <w:rsid w:val="00EC023D"/>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39FA1-8684-464D-A771-50E7714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
    <w:name w:val="ZDate"/>
    <w:basedOn w:val="Normal"/>
    <w:rsid w:val="00D175E6"/>
    <w:pPr>
      <w:spacing w:after="1200"/>
    </w:pPr>
    <w:rPr>
      <w:lang w:eastAsia="sl-SI" w:bidi="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AMNumberTabs">
    <w:name w:val="AMNumberTabs"/>
    <w:basedOn w:val="Normal"/>
    <w:rsid w:val="00D175E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sl-SI" w:bidi="sl-SI"/>
    </w:rPr>
  </w:style>
  <w:style w:type="paragraph" w:customStyle="1" w:styleId="ConsHeading">
    <w:name w:val="ConsHeading"/>
    <w:basedOn w:val="Normal"/>
    <w:rsid w:val="00D175E6"/>
    <w:pPr>
      <w:spacing w:before="720" w:after="240"/>
      <w:jc w:val="center"/>
    </w:pPr>
  </w:style>
  <w:style w:type="paragraph" w:customStyle="1" w:styleId="ConsLine">
    <w:name w:val="ConsLine"/>
    <w:basedOn w:val="Normal"/>
    <w:rsid w:val="00D175E6"/>
    <w:pPr>
      <w:spacing w:before="240" w:after="240"/>
      <w:jc w:val="center"/>
    </w:pPr>
    <w:rPr>
      <w:bCs/>
    </w:rPr>
  </w:style>
  <w:style w:type="paragraph" w:customStyle="1" w:styleId="NormalCentre">
    <w:name w:val="NormalCentre"/>
    <w:basedOn w:val="Normal"/>
    <w:rsid w:val="00D175E6"/>
    <w:pPr>
      <w:jc w:val="center"/>
    </w:pPr>
  </w:style>
  <w:style w:type="paragraph" w:customStyle="1" w:styleId="Text1">
    <w:name w:val="Text 1"/>
    <w:basedOn w:val="Normal"/>
    <w:rsid w:val="00D175E6"/>
    <w:pPr>
      <w:widowControl/>
      <w:spacing w:before="120" w:after="120"/>
      <w:ind w:left="850"/>
      <w:jc w:val="both"/>
    </w:pPr>
    <w:rPr>
      <w:rFonts w:eastAsia="Calibri"/>
      <w:szCs w:val="22"/>
      <w:lang w:eastAsia="en-US"/>
    </w:rPr>
  </w:style>
  <w:style w:type="paragraph" w:customStyle="1" w:styleId="Text2">
    <w:name w:val="Text 2"/>
    <w:basedOn w:val="Normal"/>
    <w:rsid w:val="00D175E6"/>
    <w:pPr>
      <w:widowControl/>
      <w:spacing w:before="120" w:after="120"/>
      <w:ind w:left="1417"/>
      <w:jc w:val="both"/>
    </w:pPr>
    <w:rPr>
      <w:rFonts w:eastAsia="Calibri"/>
      <w:szCs w:val="22"/>
      <w:lang w:eastAsia="en-US"/>
    </w:rPr>
  </w:style>
  <w:style w:type="paragraph" w:customStyle="1" w:styleId="Text4">
    <w:name w:val="Text 4"/>
    <w:basedOn w:val="Normal"/>
    <w:rsid w:val="00D175E6"/>
    <w:pPr>
      <w:widowControl/>
      <w:spacing w:before="120" w:after="120"/>
      <w:ind w:left="2551"/>
      <w:jc w:val="both"/>
    </w:pPr>
    <w:rPr>
      <w:rFonts w:eastAsia="Calibri"/>
      <w:szCs w:val="22"/>
      <w:lang w:eastAsia="en-US"/>
    </w:rPr>
  </w:style>
  <w:style w:type="paragraph" w:customStyle="1" w:styleId="Point1">
    <w:name w:val="Point 1"/>
    <w:basedOn w:val="Normal"/>
    <w:rsid w:val="00D175E6"/>
    <w:pPr>
      <w:widowControl/>
      <w:spacing w:before="120" w:after="120"/>
      <w:ind w:left="1417" w:hanging="567"/>
      <w:jc w:val="both"/>
    </w:pPr>
    <w:rPr>
      <w:rFonts w:eastAsia="Calibri"/>
      <w:szCs w:val="22"/>
      <w:lang w:eastAsia="en-US"/>
    </w:rPr>
  </w:style>
  <w:style w:type="paragraph" w:customStyle="1" w:styleId="Point2">
    <w:name w:val="Point 2"/>
    <w:basedOn w:val="Normal"/>
    <w:rsid w:val="00D175E6"/>
    <w:pPr>
      <w:widowControl/>
      <w:spacing w:before="120" w:after="120"/>
      <w:ind w:left="1984" w:hanging="567"/>
      <w:jc w:val="both"/>
    </w:pPr>
    <w:rPr>
      <w:rFonts w:eastAsia="Calibri"/>
      <w:szCs w:val="22"/>
      <w:lang w:eastAsia="en-US"/>
    </w:rPr>
  </w:style>
  <w:style w:type="paragraph" w:customStyle="1" w:styleId="Point3">
    <w:name w:val="Point 3"/>
    <w:basedOn w:val="Normal"/>
    <w:rsid w:val="00D175E6"/>
    <w:pPr>
      <w:widowControl/>
      <w:spacing w:before="120" w:after="120"/>
      <w:ind w:left="2551" w:hanging="567"/>
      <w:jc w:val="both"/>
    </w:pPr>
    <w:rPr>
      <w:rFonts w:eastAsia="Calibri"/>
      <w:szCs w:val="22"/>
      <w:lang w:eastAsia="en-US"/>
    </w:rPr>
  </w:style>
  <w:style w:type="paragraph" w:customStyle="1" w:styleId="Point4">
    <w:name w:val="Point 4"/>
    <w:basedOn w:val="Normal"/>
    <w:rsid w:val="00D175E6"/>
    <w:pPr>
      <w:widowControl/>
      <w:spacing w:before="120" w:after="120"/>
      <w:ind w:left="3118" w:hanging="567"/>
      <w:jc w:val="both"/>
    </w:pPr>
    <w:rPr>
      <w:rFonts w:eastAsia="Calibri"/>
      <w:szCs w:val="22"/>
      <w:lang w:eastAsia="en-US"/>
    </w:rPr>
  </w:style>
  <w:style w:type="paragraph" w:customStyle="1" w:styleId="ManualNumPar1">
    <w:name w:val="Manual NumPar 1"/>
    <w:basedOn w:val="Normal"/>
    <w:next w:val="Text1"/>
    <w:rsid w:val="00D175E6"/>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D175E6"/>
    <w:pPr>
      <w:widowControl/>
      <w:numPr>
        <w:numId w:val="45"/>
      </w:numPr>
      <w:spacing w:before="120" w:after="120"/>
      <w:jc w:val="both"/>
    </w:pPr>
    <w:rPr>
      <w:rFonts w:eastAsia="Calibri"/>
      <w:szCs w:val="22"/>
      <w:lang w:eastAsia="en-US"/>
    </w:rPr>
  </w:style>
  <w:style w:type="paragraph" w:customStyle="1" w:styleId="Point1number">
    <w:name w:val="Point 1 (number)"/>
    <w:basedOn w:val="Normal"/>
    <w:rsid w:val="00D175E6"/>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D175E6"/>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D175E6"/>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D175E6"/>
    <w:pPr>
      <w:widowControl/>
      <w:numPr>
        <w:ilvl w:val="1"/>
        <w:numId w:val="45"/>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D175E6"/>
    <w:pPr>
      <w:widowControl/>
      <w:numPr>
        <w:ilvl w:val="3"/>
        <w:numId w:val="45"/>
      </w:numPr>
      <w:spacing w:before="120" w:after="120"/>
      <w:jc w:val="both"/>
    </w:pPr>
    <w:rPr>
      <w:rFonts w:eastAsia="Calibri"/>
      <w:szCs w:val="22"/>
      <w:lang w:eastAsia="en-US"/>
    </w:rPr>
  </w:style>
  <w:style w:type="paragraph" w:customStyle="1" w:styleId="Point2letter">
    <w:name w:val="Point 2 (letter)"/>
    <w:basedOn w:val="Normal"/>
    <w:rsid w:val="00D175E6"/>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D175E6"/>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D175E6"/>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D175E6"/>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D175E6"/>
    <w:pPr>
      <w:widowControl/>
      <w:spacing w:before="480" w:after="120"/>
      <w:jc w:val="both"/>
    </w:pPr>
    <w:rPr>
      <w:rFonts w:eastAsia="Calibri"/>
      <w:szCs w:val="22"/>
      <w:lang w:eastAsia="en-US"/>
    </w:rPr>
  </w:style>
  <w:style w:type="paragraph" w:customStyle="1" w:styleId="Considrant">
    <w:name w:val="Considérant"/>
    <w:basedOn w:val="Normal"/>
    <w:rsid w:val="00D175E6"/>
    <w:pPr>
      <w:widowControl/>
      <w:numPr>
        <w:numId w:val="46"/>
      </w:numPr>
      <w:spacing w:before="120" w:after="120"/>
      <w:jc w:val="both"/>
    </w:pPr>
    <w:rPr>
      <w:rFonts w:eastAsia="Calibri"/>
      <w:szCs w:val="22"/>
      <w:lang w:eastAsia="en-US"/>
    </w:rPr>
  </w:style>
  <w:style w:type="paragraph" w:customStyle="1" w:styleId="Institutionquisigne">
    <w:name w:val="Institution qui signe"/>
    <w:basedOn w:val="Normal"/>
    <w:next w:val="Normal"/>
    <w:rsid w:val="00D175E6"/>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D175E6"/>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D175E6"/>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D175E6"/>
    <w:pPr>
      <w:keepNext/>
      <w:widowControl/>
      <w:spacing w:before="600" w:after="120"/>
      <w:jc w:val="both"/>
    </w:pPr>
    <w:rPr>
      <w:rFonts w:eastAsia="Calibri"/>
      <w:szCs w:val="22"/>
      <w:lang w:eastAsia="en-US"/>
    </w:rPr>
  </w:style>
  <w:style w:type="paragraph" w:customStyle="1" w:styleId="Typedudocument">
    <w:name w:val="Type du document"/>
    <w:basedOn w:val="Normal"/>
    <w:next w:val="Titreobjet"/>
    <w:rsid w:val="00D175E6"/>
    <w:pPr>
      <w:widowControl/>
      <w:spacing w:before="360"/>
      <w:jc w:val="center"/>
    </w:pPr>
    <w:rPr>
      <w:rFonts w:eastAsia="Calibri"/>
      <w:b/>
      <w:szCs w:val="22"/>
      <w:lang w:eastAsia="en-US"/>
    </w:rPr>
  </w:style>
  <w:style w:type="paragraph" w:customStyle="1" w:styleId="Statut">
    <w:name w:val="Statut"/>
    <w:basedOn w:val="Normal"/>
    <w:next w:val="Typedudocument"/>
    <w:rsid w:val="00D175E6"/>
    <w:pPr>
      <w:widowControl/>
      <w:spacing w:before="360"/>
      <w:jc w:val="center"/>
    </w:pPr>
    <w:rPr>
      <w:rFonts w:eastAsia="Calibri"/>
      <w:szCs w:val="22"/>
      <w:lang w:eastAsia="en-US"/>
    </w:rPr>
  </w:style>
  <w:style w:type="paragraph" w:customStyle="1" w:styleId="Titreobjet">
    <w:name w:val="Titre objet"/>
    <w:basedOn w:val="Normal"/>
    <w:next w:val="Normal"/>
    <w:rsid w:val="00D175E6"/>
    <w:pPr>
      <w:widowControl/>
      <w:spacing w:before="360" w:after="360"/>
      <w:jc w:val="center"/>
    </w:pPr>
    <w:rPr>
      <w:rFonts w:eastAsia="Calibri"/>
      <w:b/>
      <w:szCs w:val="22"/>
      <w:lang w:eastAsia="en-US"/>
    </w:rPr>
  </w:style>
  <w:style w:type="paragraph" w:customStyle="1" w:styleId="CM4">
    <w:name w:val="CM4"/>
    <w:basedOn w:val="Normal"/>
    <w:next w:val="Normal"/>
    <w:uiPriority w:val="99"/>
    <w:rsid w:val="00D175E6"/>
    <w:pPr>
      <w:widowControl/>
      <w:autoSpaceDE w:val="0"/>
      <w:autoSpaceDN w:val="0"/>
      <w:adjustRightInd w:val="0"/>
    </w:pPr>
    <w:rPr>
      <w:rFonts w:ascii="EUAlbertina" w:eastAsia="Calibri" w:hAnsi="EUAlbertina"/>
      <w:szCs w:val="24"/>
      <w:lang w:eastAsia="en-US"/>
    </w:rPr>
  </w:style>
  <w:style w:type="paragraph" w:customStyle="1" w:styleId="Point0">
    <w:name w:val="Point 0"/>
    <w:basedOn w:val="Normal"/>
    <w:rsid w:val="00D175E6"/>
    <w:pPr>
      <w:widowControl/>
      <w:spacing w:before="120" w:after="120"/>
      <w:ind w:left="850" w:hanging="850"/>
      <w:jc w:val="both"/>
    </w:pPr>
    <w:rPr>
      <w:rFonts w:eastAsia="Calibri"/>
      <w:szCs w:val="22"/>
      <w:lang w:eastAsia="en-US"/>
    </w:rPr>
  </w:style>
  <w:style w:type="paragraph" w:customStyle="1" w:styleId="Tiret2">
    <w:name w:val="Tiret 2"/>
    <w:basedOn w:val="Point2"/>
    <w:rsid w:val="00D175E6"/>
    <w:pPr>
      <w:numPr>
        <w:numId w:val="47"/>
      </w:numPr>
      <w:tabs>
        <w:tab w:val="clear" w:pos="1984"/>
        <w:tab w:val="num" w:pos="360"/>
      </w:tabs>
      <w:ind w:left="360" w:hanging="360"/>
    </w:pPr>
  </w:style>
  <w:style w:type="paragraph" w:customStyle="1" w:styleId="Typeacteprincipal">
    <w:name w:val="Type acte principal"/>
    <w:basedOn w:val="Normal"/>
    <w:next w:val="Objetacteprincipal"/>
    <w:rsid w:val="00D175E6"/>
    <w:pPr>
      <w:widowControl/>
      <w:spacing w:after="240"/>
      <w:jc w:val="center"/>
    </w:pPr>
    <w:rPr>
      <w:rFonts w:eastAsia="Calibri"/>
      <w:b/>
      <w:szCs w:val="22"/>
      <w:lang w:eastAsia="en-US"/>
    </w:rPr>
  </w:style>
  <w:style w:type="paragraph" w:customStyle="1" w:styleId="Accompagnant">
    <w:name w:val="Accompagnant"/>
    <w:basedOn w:val="Normal"/>
    <w:next w:val="Typeacteprincipal"/>
    <w:rsid w:val="00D175E6"/>
    <w:pPr>
      <w:widowControl/>
      <w:spacing w:before="180" w:after="240"/>
      <w:jc w:val="center"/>
    </w:pPr>
    <w:rPr>
      <w:rFonts w:eastAsia="Calibri"/>
      <w:b/>
      <w:szCs w:val="22"/>
      <w:lang w:eastAsia="en-US"/>
    </w:rPr>
  </w:style>
  <w:style w:type="paragraph" w:customStyle="1" w:styleId="Objetacteprincipal">
    <w:name w:val="Objet acte principal"/>
    <w:basedOn w:val="Normal"/>
    <w:next w:val="Normal"/>
    <w:rsid w:val="00D175E6"/>
    <w:pPr>
      <w:widowControl/>
      <w:spacing w:after="360"/>
      <w:jc w:val="cente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7370</Words>
  <Characters>43020</Characters>
  <Application>Microsoft Office Word</Application>
  <DocSecurity>0</DocSecurity>
  <Lines>811</Lines>
  <Paragraphs>331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2004-11-19T15:42:00Z</cp:lastPrinted>
  <dcterms:created xsi:type="dcterms:W3CDTF">2017-12-06T14:29:00Z</dcterms:created>
  <dcterms:modified xsi:type="dcterms:W3CDTF">2017-12-06T14:29:00Z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A8-0198_001-001</vt:lpwstr>
  </property>
  <property fmtid="{D5CDD505-2E9C-101B-9397-08002B2CF9AE}" pid="4" name="&lt;Type&gt;">
    <vt:lpwstr>AM</vt:lpwstr>
  </property>
</Properties>
</file>