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E8" w:rsidRDefault="000B3CE8" w:rsidP="000B3CE8">
      <w:pPr>
        <w:tabs>
          <w:tab w:val="right" w:pos="9184"/>
        </w:tabs>
      </w:pPr>
    </w:p>
    <w:p w:rsidR="000B3CE8" w:rsidRDefault="000B3CE8" w:rsidP="000B3CE8">
      <w:pPr>
        <w:tabs>
          <w:tab w:val="right" w:pos="9184"/>
        </w:tabs>
      </w:pPr>
    </w:p>
    <w:p w:rsidR="000B3CE8" w:rsidRDefault="000B3CE8" w:rsidP="000B3CE8">
      <w:pPr>
        <w:tabs>
          <w:tab w:val="right" w:pos="9184"/>
        </w:tabs>
      </w:pPr>
    </w:p>
    <w:p w:rsidR="000B3CE8" w:rsidRDefault="000B3CE8" w:rsidP="000B3CE8">
      <w:pPr>
        <w:tabs>
          <w:tab w:val="right" w:pos="9184"/>
        </w:tabs>
      </w:pPr>
    </w:p>
    <w:p w:rsidR="000B3CE8" w:rsidRDefault="000B3CE8" w:rsidP="000B3CE8">
      <w:pPr>
        <w:tabs>
          <w:tab w:val="right" w:pos="9184"/>
        </w:tabs>
      </w:pPr>
      <w:r w:rsidRPr="000B3CE8">
        <w:rPr>
          <w:rStyle w:val="HideTWBExt"/>
        </w:rPr>
        <w:t>&lt;Date&gt;</w:t>
      </w:r>
      <w:r>
        <w:t>8.11.2017</w:t>
      </w:r>
      <w:r w:rsidRPr="000B3CE8">
        <w:rPr>
          <w:rStyle w:val="HideTWBExt"/>
        </w:rPr>
        <w:t>&lt;/Date&gt;</w:t>
      </w:r>
      <w:r>
        <w:tab/>
        <w:t xml:space="preserve">A8-0236/ </w:t>
      </w:r>
      <w:r w:rsidRPr="000B3CE8">
        <w:rPr>
          <w:rStyle w:val="HideTWBExt"/>
        </w:rPr>
        <w:t>&lt;NumOfAM&gt;</w:t>
      </w:r>
      <w:r>
        <w:t>001-021</w:t>
      </w:r>
      <w:bookmarkStart w:id="0" w:name="_GoBack"/>
      <w:bookmarkEnd w:id="0"/>
      <w:r w:rsidRPr="000B3CE8">
        <w:rPr>
          <w:rStyle w:val="HideTWBExt"/>
        </w:rPr>
        <w:t>&lt;/NumOfAM&gt;</w:t>
      </w:r>
    </w:p>
    <w:p w:rsidR="000B3CE8" w:rsidRDefault="000B3CE8" w:rsidP="000B3CE8">
      <w:pPr>
        <w:tabs>
          <w:tab w:val="right" w:pos="9184"/>
        </w:tabs>
      </w:pPr>
    </w:p>
    <w:p w:rsidR="000B3CE8" w:rsidRDefault="000B3CE8" w:rsidP="000B3CE8">
      <w:pPr>
        <w:tabs>
          <w:tab w:val="right" w:pos="9184"/>
        </w:tabs>
      </w:pPr>
    </w:p>
    <w:p w:rsidR="000B3CE8" w:rsidRDefault="000B3CE8" w:rsidP="000B3CE8">
      <w:pPr>
        <w:tabs>
          <w:tab w:val="right" w:pos="9184"/>
        </w:tabs>
      </w:pPr>
      <w:r>
        <w:rPr>
          <w:b/>
        </w:rPr>
        <w:t xml:space="preserve">ÆNDRINGSFORSLAG 001-021 </w:t>
      </w:r>
    </w:p>
    <w:p w:rsidR="000B3CE8" w:rsidRDefault="000B3CE8" w:rsidP="000B3CE8">
      <w:pPr>
        <w:tabs>
          <w:tab w:val="right" w:pos="9184"/>
        </w:tabs>
      </w:pPr>
      <w:r>
        <w:t xml:space="preserve">af </w:t>
      </w:r>
      <w:r w:rsidRPr="000B3CE8">
        <w:rPr>
          <w:rStyle w:val="HideTWBExt"/>
        </w:rPr>
        <w:t>&lt;Committee&gt;</w:t>
      </w:r>
      <w:r>
        <w:t>Udvalget om International Handel</w:t>
      </w:r>
      <w:r w:rsidRPr="000B3CE8">
        <w:rPr>
          <w:rStyle w:val="HideTWBExt"/>
        </w:rPr>
        <w:t>&lt;/Committee&gt;</w:t>
      </w:r>
    </w:p>
    <w:p w:rsidR="000B3CE8" w:rsidRDefault="000B3CE8" w:rsidP="000B3CE8">
      <w:pPr>
        <w:tabs>
          <w:tab w:val="right" w:pos="9184"/>
        </w:tabs>
      </w:pPr>
    </w:p>
    <w:p w:rsidR="000B3CE8" w:rsidRDefault="000B3CE8" w:rsidP="000B3CE8">
      <w:pPr>
        <w:tabs>
          <w:tab w:val="right" w:pos="9184"/>
        </w:tabs>
        <w:rPr>
          <w:b/>
        </w:rPr>
      </w:pPr>
      <w:r>
        <w:rPr>
          <w:b/>
        </w:rPr>
        <w:t>Betænkning</w:t>
      </w:r>
    </w:p>
    <w:p w:rsidR="000B3CE8" w:rsidRDefault="000B3CE8" w:rsidP="000B3CE8">
      <w:pPr>
        <w:tabs>
          <w:tab w:val="right" w:pos="9184"/>
        </w:tabs>
        <w:rPr>
          <w:b/>
        </w:rPr>
      </w:pPr>
      <w:r w:rsidRPr="000B3CE8">
        <w:rPr>
          <w:rStyle w:val="HideTWBExt"/>
        </w:rPr>
        <w:t>&lt;Chairman&gt;</w:t>
      </w:r>
      <w:r>
        <w:rPr>
          <w:b/>
        </w:rPr>
        <w:t>Salvatore Cicu</w:t>
      </w:r>
      <w:r w:rsidRPr="000B3CE8">
        <w:rPr>
          <w:rStyle w:val="HideTWBExt"/>
        </w:rPr>
        <w:t>&lt;/Chairman&gt;</w:t>
      </w:r>
      <w:r>
        <w:rPr>
          <w:b/>
        </w:rPr>
        <w:tab/>
      </w:r>
      <w:r w:rsidRPr="000B3CE8">
        <w:rPr>
          <w:rStyle w:val="HideTWBExt"/>
        </w:rPr>
        <w:t>&lt;A5Nr&gt;</w:t>
      </w:r>
      <w:r>
        <w:rPr>
          <w:b/>
        </w:rPr>
        <w:t>A8-0236/2017</w:t>
      </w:r>
      <w:r w:rsidRPr="000B3CE8">
        <w:rPr>
          <w:rStyle w:val="HideTWBExt"/>
        </w:rPr>
        <w:t>&lt;/A5Nr&gt;</w:t>
      </w:r>
    </w:p>
    <w:p w:rsidR="000B3CE8" w:rsidRDefault="000B3CE8" w:rsidP="000B3CE8">
      <w:pPr>
        <w:tabs>
          <w:tab w:val="right" w:pos="9184"/>
        </w:tabs>
      </w:pPr>
      <w:r w:rsidRPr="000B3CE8">
        <w:rPr>
          <w:rStyle w:val="HideTWBExt"/>
        </w:rPr>
        <w:t>&lt;ShortTitel&gt;</w:t>
      </w:r>
      <w:r>
        <w:t>Beskyttelse mod dumpet og subsidieret indførsel fra lande, der ikke er medlemmer af Den Europæiske Union</w:t>
      </w:r>
      <w:r w:rsidRPr="000B3CE8">
        <w:rPr>
          <w:rStyle w:val="HideTWBExt"/>
        </w:rPr>
        <w:t>&lt;/ShortTitel&gt;</w:t>
      </w:r>
    </w:p>
    <w:p w:rsidR="000B3CE8" w:rsidRDefault="000B3CE8" w:rsidP="000B3CE8">
      <w:pPr>
        <w:tabs>
          <w:tab w:val="right" w:pos="9184"/>
        </w:tabs>
      </w:pPr>
    </w:p>
    <w:p w:rsidR="000B3CE8" w:rsidRDefault="000B3CE8" w:rsidP="000B3CE8">
      <w:pPr>
        <w:tabs>
          <w:tab w:val="right" w:pos="9184"/>
        </w:tabs>
      </w:pPr>
      <w:r w:rsidRPr="000B3CE8">
        <w:rPr>
          <w:rStyle w:val="HideTWBExt"/>
        </w:rPr>
        <w:t>&lt;Procedure&gt;</w:t>
      </w:r>
      <w:r>
        <w:t>Forslag til forordning</w:t>
      </w:r>
      <w:r w:rsidRPr="000B3CE8">
        <w:rPr>
          <w:rStyle w:val="HideTWBExt"/>
        </w:rPr>
        <w:t>&lt;/Procedure&gt;</w:t>
      </w:r>
      <w:r>
        <w:t xml:space="preserve"> </w:t>
      </w:r>
      <w:r w:rsidRPr="000B3CE8">
        <w:rPr>
          <w:rStyle w:val="HideTWBExt"/>
        </w:rPr>
        <w:t>&lt;ReferenceNo&gt;</w:t>
      </w:r>
      <w:r>
        <w:t>(COM(2016)0721 – C8-0456/2016 – 2016/0351(COD))</w:t>
      </w:r>
      <w:r w:rsidRPr="000B3CE8">
        <w:rPr>
          <w:rStyle w:val="HideTWBExt"/>
        </w:rPr>
        <w:t>&lt;/ReferenceNo&gt;</w:t>
      </w:r>
    </w:p>
    <w:p w:rsidR="000B3CE8" w:rsidRDefault="000B3CE8" w:rsidP="000B3CE8">
      <w:pPr>
        <w:tabs>
          <w:tab w:val="right" w:pos="9184"/>
        </w:tabs>
      </w:pPr>
    </w:p>
    <w:p w:rsidR="000B3CE8" w:rsidRDefault="000B3CE8" w:rsidP="000B3CE8">
      <w:pPr>
        <w:tabs>
          <w:tab w:val="right" w:pos="9184"/>
        </w:tabs>
      </w:pPr>
    </w:p>
    <w:p w:rsidR="000B3CE8" w:rsidRDefault="000B3CE8" w:rsidP="000B3CE8">
      <w:pPr>
        <w:tabs>
          <w:tab w:val="right" w:pos="9184"/>
        </w:tabs>
      </w:pPr>
    </w:p>
    <w:p w:rsidR="000B3CE8" w:rsidRDefault="000B3CE8" w:rsidP="000B3CE8">
      <w:pPr>
        <w:tabs>
          <w:tab w:val="right" w:pos="9184"/>
        </w:tabs>
        <w:jc w:val="center"/>
      </w:pPr>
      <w:r>
        <w:t>_____________________________________________________________</w:t>
      </w:r>
    </w:p>
    <w:p w:rsidR="000B3CE8" w:rsidRDefault="000B3CE8" w:rsidP="000B3CE8">
      <w:pPr>
        <w:tabs>
          <w:tab w:val="right" w:pos="9184"/>
        </w:tabs>
        <w:jc w:val="center"/>
      </w:pPr>
    </w:p>
    <w:p w:rsidR="00FD282A" w:rsidRPr="000B3CE8" w:rsidRDefault="00FD282A" w:rsidP="000B3CE8">
      <w:pPr>
        <w:pStyle w:val="AMNumberTabs"/>
      </w:pPr>
      <w:r w:rsidRPr="000B3CE8">
        <w:t>Ændringsforslag</w:t>
      </w:r>
      <w:r w:rsidRPr="000B3CE8">
        <w:tab/>
      </w:r>
      <w:r w:rsidRPr="000B3CE8">
        <w:tab/>
        <w:t>1</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keepNext/>
      </w:pPr>
      <w:r w:rsidRPr="000B3CE8">
        <w:t>Betragtning 2</w:t>
      </w:r>
    </w:p>
    <w:p w:rsidR="00FD282A" w:rsidRPr="000B3CE8" w:rsidRDefault="00FD282A" w:rsidP="00FD282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D282A" w:rsidRPr="000B3CE8" w:rsidTr="006D6397">
        <w:trPr>
          <w:jc w:val="center"/>
        </w:trPr>
        <w:tc>
          <w:tcPr>
            <w:tcW w:w="9752" w:type="dxa"/>
            <w:gridSpan w:val="2"/>
          </w:tcPr>
          <w:p w:rsidR="00FD282A" w:rsidRPr="000B3CE8" w:rsidRDefault="00FD282A" w:rsidP="006D6397">
            <w:pPr>
              <w:keepNext/>
            </w:pPr>
          </w:p>
        </w:tc>
      </w:tr>
      <w:tr w:rsidR="00FD282A" w:rsidRPr="000B3CE8" w:rsidTr="006D6397">
        <w:trPr>
          <w:jc w:val="center"/>
        </w:trPr>
        <w:tc>
          <w:tcPr>
            <w:tcW w:w="4876" w:type="dxa"/>
          </w:tcPr>
          <w:p w:rsidR="00FD282A" w:rsidRPr="000B3CE8" w:rsidRDefault="00FD282A" w:rsidP="006D6397">
            <w:pPr>
              <w:pStyle w:val="ColumnHeading"/>
              <w:keepNext/>
            </w:pPr>
            <w:r w:rsidRPr="000B3CE8">
              <w:t>Kommissionens forslag</w:t>
            </w:r>
          </w:p>
        </w:tc>
        <w:tc>
          <w:tcPr>
            <w:tcW w:w="4876" w:type="dxa"/>
          </w:tcPr>
          <w:p w:rsidR="00FD282A" w:rsidRPr="000B3CE8" w:rsidRDefault="00FD282A" w:rsidP="006D6397">
            <w:pPr>
              <w:pStyle w:val="ColumnHeading"/>
              <w:keepNext/>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r w:rsidRPr="000B3CE8">
              <w:t>(2)</w:t>
            </w:r>
            <w:r w:rsidRPr="000B3CE8">
              <w:tab/>
              <w:t xml:space="preserve">I artikel 2, stk. 7, litra a) og b), i forordning (EU) 2016/1036 præciseres det grundlag, hvorpå den normale værdi bør fastsættes i forbindelse med import fra lande uden markedsøkonomi. </w:t>
            </w:r>
            <w:r w:rsidRPr="000B3CE8">
              <w:rPr>
                <w:b/>
                <w:i/>
              </w:rPr>
              <w:t>Set i lyset af udviklingen med hensyn til visse</w:t>
            </w:r>
            <w:r w:rsidRPr="000B3CE8">
              <w:t xml:space="preserve"> lande, der er medlemmer af WTO, bør den normale værdi for disse lande fastsættes på grundlag af artikel 2, stk. </w:t>
            </w:r>
            <w:r w:rsidRPr="000B3CE8">
              <w:rPr>
                <w:b/>
                <w:i/>
              </w:rPr>
              <w:t>1-</w:t>
            </w:r>
            <w:r w:rsidRPr="000B3CE8">
              <w:t>6a, i forordning (EU) 2016/1036, med virkning fra den dato, hvor nærværende forordning træder i kraft, og være omfattet af bestemmelserne i nærværende forordning. For så vidt angår lande, der på tidspunktet for indledningen af undersøgelsen ikke er medlemmer af WTO, og som står opført i bilag I til forordning (EU) 2015/755</w:t>
            </w:r>
            <w:r w:rsidRPr="000B3CE8">
              <w:rPr>
                <w:vertAlign w:val="superscript"/>
              </w:rPr>
              <w:t>1</w:t>
            </w:r>
            <w:r w:rsidRPr="000B3CE8">
              <w:t xml:space="preserve">, bør den normale værdi fastsættes på grundlag af artikel 2, stk. 7, i forordning (EU) </w:t>
            </w:r>
            <w:r w:rsidRPr="000B3CE8">
              <w:lastRenderedPageBreak/>
              <w:t xml:space="preserve">2016/1036, som ændret ved nærværende forordning. Nærværende forordning bør ikke berøre fastlæggelsen af, om et givet WTO-medlem er et land med markedsøkonomi. </w:t>
            </w:r>
          </w:p>
        </w:tc>
        <w:tc>
          <w:tcPr>
            <w:tcW w:w="4876" w:type="dxa"/>
          </w:tcPr>
          <w:p w:rsidR="00FD282A" w:rsidRPr="000B3CE8" w:rsidRDefault="00FD282A" w:rsidP="006D6397">
            <w:pPr>
              <w:pStyle w:val="Normal6"/>
            </w:pPr>
            <w:r w:rsidRPr="000B3CE8">
              <w:lastRenderedPageBreak/>
              <w:t>(2)</w:t>
            </w:r>
            <w:r w:rsidRPr="000B3CE8">
              <w:tab/>
              <w:t xml:space="preserve">I artikel 2, stk. 7, litra a) og b), i forordning (EU) 2016/1036 præciseres det grundlag, hvorpå den normale værdi bør fastsættes i forbindelse med import fra lande uden markedsøkonomi. </w:t>
            </w:r>
            <w:r w:rsidRPr="000B3CE8">
              <w:rPr>
                <w:b/>
                <w:i/>
              </w:rPr>
              <w:t>For</w:t>
            </w:r>
            <w:r w:rsidRPr="000B3CE8">
              <w:t xml:space="preserve"> lande, der er medlemmer af WTO, bør den normale værdi for disse lande fastsættes på grundlag af artikel 2, stk. 6a, i forordning (EU) 2016/1036, med virkning fra den dato, hvor nærværende forordning træder i kraft, og være omfattet af bestemmelserne i nærværende forordning. For så vidt angår lande, der på tidspunktet for indledningen af undersøgelsen ikke er medlemmer af WTO, og som står opført i bilag I til forordning (EU) 2015/755</w:t>
            </w:r>
            <w:r w:rsidRPr="000B3CE8">
              <w:rPr>
                <w:vertAlign w:val="superscript"/>
              </w:rPr>
              <w:t>1</w:t>
            </w:r>
            <w:r w:rsidRPr="000B3CE8">
              <w:t xml:space="preserve">, bør den normale værdi fastsættes på grundlag af artikel 2, stk. 7, i forordning (EU) 2016/1036, som ændret ved nærværende </w:t>
            </w:r>
            <w:r w:rsidRPr="000B3CE8">
              <w:lastRenderedPageBreak/>
              <w:t xml:space="preserve">forordning. Nærværende forordning bør ikke berøre fastlæggelsen af, om et givet WTO-medlem er et land med markedsøkonomi. </w:t>
            </w:r>
            <w:r w:rsidRPr="000B3CE8">
              <w:rPr>
                <w:b/>
                <w:i/>
              </w:rPr>
              <w:t>Denne forordning er i overensstemmelse med Unionens folkeretlige forpligtelser og indeholder en henvisning til medlemsstaternes forpligtelser i henhold til De Forenede Nationers mål for bæredygtig udvikling. Den bør desuden ikke berøre de vilkår og betingelser, der er fastsat i protokoller og andre instrumenter, i overensstemmelse hvormed lande har tiltrådt Marrakeshoverenskomsten om oprettelse af Verdenshandelsorganisationen (WTO). Det er afgørende, at Unionen ved anvendelsen af forordningens bestemmelser koordinerer og udveksler informationer med sine vigtigste handelspartnere.</w:t>
            </w:r>
          </w:p>
        </w:tc>
      </w:tr>
      <w:tr w:rsidR="00FD282A" w:rsidRPr="000B3CE8" w:rsidTr="006D6397">
        <w:trPr>
          <w:jc w:val="center"/>
        </w:trPr>
        <w:tc>
          <w:tcPr>
            <w:tcW w:w="4876" w:type="dxa"/>
          </w:tcPr>
          <w:p w:rsidR="00FD282A" w:rsidRPr="000B3CE8" w:rsidRDefault="00FD282A" w:rsidP="006D6397">
            <w:pPr>
              <w:pStyle w:val="Normal6"/>
            </w:pPr>
            <w:r w:rsidRPr="000B3CE8">
              <w:lastRenderedPageBreak/>
              <w:t>––––––––––––––––––––––––</w:t>
            </w:r>
          </w:p>
        </w:tc>
        <w:tc>
          <w:tcPr>
            <w:tcW w:w="4876" w:type="dxa"/>
          </w:tcPr>
          <w:p w:rsidR="00FD282A" w:rsidRPr="000B3CE8" w:rsidRDefault="00FD282A" w:rsidP="006D6397">
            <w:pPr>
              <w:pStyle w:val="Normal6"/>
            </w:pPr>
            <w:r w:rsidRPr="000B3CE8">
              <w:t>––––––––––––––––––––––––</w:t>
            </w:r>
          </w:p>
        </w:tc>
      </w:tr>
      <w:tr w:rsidR="00FD282A" w:rsidRPr="000B3CE8" w:rsidTr="006D6397">
        <w:trPr>
          <w:jc w:val="center"/>
        </w:trPr>
        <w:tc>
          <w:tcPr>
            <w:tcW w:w="4876" w:type="dxa"/>
          </w:tcPr>
          <w:p w:rsidR="00FD282A" w:rsidRPr="000B3CE8" w:rsidRDefault="00FD282A" w:rsidP="006D6397">
            <w:pPr>
              <w:pStyle w:val="Normal6"/>
            </w:pPr>
            <w:r w:rsidRPr="000B3CE8">
              <w:rPr>
                <w:vertAlign w:val="superscript"/>
              </w:rPr>
              <w:t>1</w:t>
            </w:r>
            <w:r w:rsidRPr="000B3CE8">
              <w:t xml:space="preserve"> Europa-Parlamentets og Rådets forordning (EU) 2015/755 af 29. april 2015 om fælles ordninger for indførsel fra visse tredjelande (EUT L 123 af 19.5.2015, s. 33).</w:t>
            </w:r>
          </w:p>
        </w:tc>
        <w:tc>
          <w:tcPr>
            <w:tcW w:w="4876" w:type="dxa"/>
          </w:tcPr>
          <w:p w:rsidR="00FD282A" w:rsidRPr="000B3CE8" w:rsidRDefault="00FD282A" w:rsidP="006D6397">
            <w:pPr>
              <w:pStyle w:val="Normal6"/>
            </w:pPr>
            <w:r w:rsidRPr="000B3CE8">
              <w:rPr>
                <w:vertAlign w:val="superscript"/>
              </w:rPr>
              <w:t>1</w:t>
            </w:r>
            <w:r w:rsidRPr="000B3CE8">
              <w:t xml:space="preserve"> Europa-Parlamentets og Rådets forordning (EU) 2015/755 af 29. april 2015 om fælles ordninger for indførsel fra visse tredjelande (EUT L 123 af 19.5.2015, s. 33).</w:t>
            </w:r>
          </w:p>
        </w:tc>
      </w:tr>
    </w:tbl>
    <w:p w:rsidR="00FD282A" w:rsidRPr="000B3CE8" w:rsidRDefault="00FD282A" w:rsidP="00FD282A"/>
    <w:p w:rsidR="00FD282A" w:rsidRPr="000B3CE8" w:rsidRDefault="00FD282A" w:rsidP="00FD282A">
      <w:pPr>
        <w:pStyle w:val="AMNumberTabs"/>
        <w:keepNext/>
      </w:pPr>
      <w:r w:rsidRPr="000B3CE8">
        <w:t>Ændringsforslag</w:t>
      </w:r>
      <w:r w:rsidRPr="000B3CE8">
        <w:tab/>
      </w:r>
      <w:r w:rsidRPr="000B3CE8">
        <w:tab/>
        <w:t>2</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keepNext/>
      </w:pPr>
      <w:r w:rsidRPr="000B3CE8">
        <w:t>Betragtning 3</w:t>
      </w:r>
    </w:p>
    <w:p w:rsidR="00FD282A" w:rsidRPr="000B3CE8" w:rsidRDefault="00FD282A" w:rsidP="00FD282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D282A" w:rsidRPr="000B3CE8" w:rsidTr="006D6397">
        <w:trPr>
          <w:jc w:val="center"/>
        </w:trPr>
        <w:tc>
          <w:tcPr>
            <w:tcW w:w="9752" w:type="dxa"/>
            <w:gridSpan w:val="2"/>
          </w:tcPr>
          <w:p w:rsidR="00FD282A" w:rsidRPr="000B3CE8" w:rsidRDefault="00FD282A" w:rsidP="006D6397">
            <w:pPr>
              <w:keepNext/>
            </w:pPr>
          </w:p>
        </w:tc>
      </w:tr>
      <w:tr w:rsidR="00FD282A" w:rsidRPr="000B3CE8" w:rsidTr="006D6397">
        <w:trPr>
          <w:jc w:val="center"/>
        </w:trPr>
        <w:tc>
          <w:tcPr>
            <w:tcW w:w="4876" w:type="dxa"/>
          </w:tcPr>
          <w:p w:rsidR="00FD282A" w:rsidRPr="000B3CE8" w:rsidRDefault="00FD282A" w:rsidP="006D6397">
            <w:pPr>
              <w:pStyle w:val="ColumnHeading"/>
              <w:keepNext/>
            </w:pPr>
            <w:r w:rsidRPr="000B3CE8">
              <w:t>Kommissionens forslag</w:t>
            </w:r>
          </w:p>
        </w:tc>
        <w:tc>
          <w:tcPr>
            <w:tcW w:w="4876" w:type="dxa"/>
          </w:tcPr>
          <w:p w:rsidR="00FD282A" w:rsidRPr="000B3CE8" w:rsidRDefault="00FD282A" w:rsidP="006D6397">
            <w:pPr>
              <w:pStyle w:val="ColumnHeading"/>
              <w:keepNext/>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r w:rsidRPr="000B3CE8">
              <w:t>(3)</w:t>
            </w:r>
            <w:r w:rsidRPr="000B3CE8">
              <w:tab/>
              <w:t xml:space="preserve">Set i lyset af de erfaringer, der er indhøstet under tidligere procedurer, bør det præciseres, under hvilke omstændigheder der </w:t>
            </w:r>
            <w:r w:rsidRPr="000B3CE8">
              <w:rPr>
                <w:b/>
                <w:i/>
              </w:rPr>
              <w:t>kan anses for at foreligge</w:t>
            </w:r>
            <w:r w:rsidRPr="000B3CE8">
              <w:t xml:space="preserve"> væsentlige fordrejninger, som i betydelig udstrækning påvirker de frie markedskræfter. Navnlig bør det præciseres, at en sådan situation </w:t>
            </w:r>
            <w:r w:rsidRPr="000B3CE8">
              <w:rPr>
                <w:b/>
                <w:i/>
              </w:rPr>
              <w:t>bl.a. kan anses for at foreligge</w:t>
            </w:r>
            <w:r w:rsidRPr="000B3CE8">
              <w:t xml:space="preserve">, når de indberettede priser eller omkostninger, herunder omkostningerne til råmaterialer, ikke udspringer af frie markedskræfter, </w:t>
            </w:r>
            <w:r w:rsidRPr="000B3CE8">
              <w:rPr>
                <w:b/>
                <w:i/>
              </w:rPr>
              <w:t>fordi</w:t>
            </w:r>
            <w:r w:rsidRPr="000B3CE8">
              <w:t xml:space="preserve"> de er blevet påvirket af statslig indgriben. </w:t>
            </w:r>
            <w:r w:rsidRPr="000B3CE8">
              <w:lastRenderedPageBreak/>
              <w:t xml:space="preserve">Endvidere bør det præciseres, at der ved vurderingen af, hvorvidt </w:t>
            </w:r>
            <w:r w:rsidRPr="000B3CE8">
              <w:rPr>
                <w:b/>
                <w:i/>
              </w:rPr>
              <w:t>en sådan situation foreligger</w:t>
            </w:r>
            <w:r w:rsidRPr="000B3CE8">
              <w:t xml:space="preserve">, bl.a. </w:t>
            </w:r>
            <w:r w:rsidRPr="000B3CE8">
              <w:rPr>
                <w:b/>
                <w:i/>
              </w:rPr>
              <w:t>kan</w:t>
            </w:r>
            <w:r w:rsidRPr="000B3CE8">
              <w:t xml:space="preserve"> tages hensyn til mulig påvirkning fra følgende: at det pågældende marked i vid udstrækning dækkes af virksomheder, der drives under ejerskab, kontrol, politisk tilsyn eller politisk vejledning fra eksportlandets myndigheders side; statslig tilstedeværelse i virksomheder, som muliggør statslig indgriben med hensyn til priser eller omkostninger; politiske tiltag eller foranstaltninger, der særbehandler til fordel for leverandører på hjemmemarkedet eller på anden måde påvirker de frie markedskræfter; samt adgang til finansiering fra institutioner, der opfylder politiske målsætninger. Endvidere bør det fastsættes, at Kommissionens tjenestegrene </w:t>
            </w:r>
            <w:r w:rsidRPr="000B3CE8">
              <w:rPr>
                <w:b/>
                <w:i/>
              </w:rPr>
              <w:t>kan</w:t>
            </w:r>
            <w:r w:rsidRPr="000B3CE8">
              <w:t xml:space="preserve"> udarbejde en rapport med beskrivelse af den specifikke situation i et givet land eller en given sektor vedrørende disse kriterier;</w:t>
            </w:r>
            <w:r w:rsidRPr="000B3CE8">
              <w:rPr>
                <w:b/>
                <w:i/>
              </w:rPr>
              <w:t xml:space="preserve"> at en sådan rapport</w:t>
            </w:r>
            <w:r w:rsidRPr="000B3CE8">
              <w:t xml:space="preserve"> og det bevismateriale, som den bygger på, </w:t>
            </w:r>
            <w:r w:rsidRPr="000B3CE8">
              <w:rPr>
                <w:b/>
                <w:i/>
              </w:rPr>
              <w:t>kan</w:t>
            </w:r>
            <w:r w:rsidRPr="000B3CE8">
              <w:t xml:space="preserve"> indgå i sagsakterne til eventuelle undersøgelser vedrørende det pågældende land eller den pågældende sektor</w:t>
            </w:r>
            <w:r w:rsidRPr="000B3CE8">
              <w:rPr>
                <w:b/>
                <w:i/>
              </w:rPr>
              <w:t>; samt at interesserede parter</w:t>
            </w:r>
            <w:r w:rsidRPr="000B3CE8">
              <w:t xml:space="preserve"> bør gives rig lejlighed til at fremsætte bemærkninger til rapporten og til det bevismateriale, som den bygger på, i forbindelse med undersøgelser, hvori rapporten og bevismaterialet anvendes.</w:t>
            </w:r>
          </w:p>
        </w:tc>
        <w:tc>
          <w:tcPr>
            <w:tcW w:w="4876" w:type="dxa"/>
          </w:tcPr>
          <w:p w:rsidR="00FD282A" w:rsidRPr="000B3CE8" w:rsidRDefault="00FD282A" w:rsidP="006D6397">
            <w:pPr>
              <w:pStyle w:val="Normal6"/>
              <w:rPr>
                <w:szCs w:val="24"/>
              </w:rPr>
            </w:pPr>
            <w:r w:rsidRPr="000B3CE8">
              <w:rPr>
                <w:szCs w:val="24"/>
              </w:rPr>
              <w:lastRenderedPageBreak/>
              <w:t>(3)</w:t>
            </w:r>
            <w:r w:rsidRPr="000B3CE8">
              <w:rPr>
                <w:szCs w:val="24"/>
              </w:rPr>
              <w:tab/>
              <w:t xml:space="preserve">Set i lyset af de erfaringer, der er indhøstet under tidligere procedurer, bør det præciseres, under hvilke omstændigheder der </w:t>
            </w:r>
            <w:r w:rsidRPr="000B3CE8">
              <w:rPr>
                <w:b/>
                <w:i/>
                <w:szCs w:val="24"/>
              </w:rPr>
              <w:t>foreligger</w:t>
            </w:r>
            <w:r w:rsidRPr="000B3CE8">
              <w:rPr>
                <w:szCs w:val="24"/>
              </w:rPr>
              <w:t xml:space="preserve"> væsentlige fordrejninger, som i betydelig udstrækning påvirker de frie markedskræfter. Navnlig bør det præciseres, at en sådan situation </w:t>
            </w:r>
            <w:r w:rsidRPr="000B3CE8">
              <w:rPr>
                <w:b/>
                <w:i/>
                <w:szCs w:val="24"/>
              </w:rPr>
              <w:t>foreligger</w:t>
            </w:r>
            <w:r w:rsidRPr="000B3CE8">
              <w:rPr>
                <w:szCs w:val="24"/>
              </w:rPr>
              <w:t xml:space="preserve">, når de indberettede priser eller omkostninger, herunder omkostningerne til råmaterialer, </w:t>
            </w:r>
            <w:r w:rsidRPr="000B3CE8">
              <w:rPr>
                <w:b/>
                <w:i/>
                <w:szCs w:val="24"/>
              </w:rPr>
              <w:t xml:space="preserve">energi og andre produktionsfaktorer, </w:t>
            </w:r>
            <w:r w:rsidRPr="000B3CE8">
              <w:rPr>
                <w:szCs w:val="24"/>
              </w:rPr>
              <w:t xml:space="preserve">ikke udspringer af frie markedskræfter, </w:t>
            </w:r>
            <w:r w:rsidRPr="000B3CE8">
              <w:rPr>
                <w:b/>
                <w:i/>
                <w:szCs w:val="24"/>
              </w:rPr>
              <w:t>idet</w:t>
            </w:r>
            <w:r w:rsidRPr="000B3CE8">
              <w:rPr>
                <w:szCs w:val="24"/>
              </w:rPr>
              <w:t xml:space="preserve"> de er blevet påvirket af statslig indgriben</w:t>
            </w:r>
            <w:r w:rsidRPr="000B3CE8">
              <w:rPr>
                <w:b/>
                <w:i/>
                <w:szCs w:val="24"/>
              </w:rPr>
              <w:t xml:space="preserve">, eller såfremt </w:t>
            </w:r>
            <w:r w:rsidRPr="000B3CE8">
              <w:rPr>
                <w:b/>
                <w:i/>
                <w:szCs w:val="24"/>
              </w:rPr>
              <w:lastRenderedPageBreak/>
              <w:t>centrale ILO-konventioner, miljøaftaler eller multilaterale skatteaftaler ikke overholdes, hvilket fører til en konkurrencefordrejning</w:t>
            </w:r>
            <w:r w:rsidRPr="000B3CE8">
              <w:rPr>
                <w:szCs w:val="24"/>
              </w:rPr>
              <w:t xml:space="preserve">. Endvidere bør det præciseres, at der ved vurderingen af, hvorvidt </w:t>
            </w:r>
            <w:r w:rsidRPr="000B3CE8">
              <w:rPr>
                <w:b/>
                <w:i/>
                <w:szCs w:val="24"/>
              </w:rPr>
              <w:t>der foreligger væsentlige fordrejninger</w:t>
            </w:r>
            <w:r w:rsidRPr="000B3CE8">
              <w:rPr>
                <w:szCs w:val="24"/>
              </w:rPr>
              <w:t xml:space="preserve">, bl.a. </w:t>
            </w:r>
            <w:r w:rsidRPr="000B3CE8">
              <w:rPr>
                <w:b/>
                <w:i/>
                <w:szCs w:val="24"/>
              </w:rPr>
              <w:t>bør</w:t>
            </w:r>
            <w:r w:rsidRPr="000B3CE8">
              <w:rPr>
                <w:szCs w:val="24"/>
              </w:rPr>
              <w:t xml:space="preserve"> tages hensyn til mulig påvirkning fra følgende: </w:t>
            </w:r>
            <w:r w:rsidRPr="000B3CE8">
              <w:rPr>
                <w:b/>
                <w:i/>
                <w:szCs w:val="24"/>
              </w:rPr>
              <w:t xml:space="preserve">statslig indflydelse på ressourceallokering, beslutninger og virksomheder, enten direkte eller indirekte; </w:t>
            </w:r>
            <w:r w:rsidRPr="000B3CE8">
              <w:rPr>
                <w:szCs w:val="24"/>
              </w:rPr>
              <w:t xml:space="preserve">at det pågældende marked i vid udstrækning dækkes af virksomheder, der drives under ejerskab, kontrol, politisk tilsyn eller politisk vejledning fra eksportlandets myndigheders side; statslig tilstedeværelse i virksomheder, som muliggør statslig indgriben med hensyn til priser eller omkostninger; politiske tiltag eller foranstaltninger, der særbehandler til fordel for leverandører på hjemmemarkedet eller på anden måde påvirker de frie markedskræfter; </w:t>
            </w:r>
            <w:r w:rsidRPr="000B3CE8">
              <w:rPr>
                <w:b/>
                <w:i/>
                <w:szCs w:val="24"/>
              </w:rPr>
              <w:t>mangel på, diskriminatorisk anvendelse eller utilstrækkelig håndhævelse af en gennemsigtig og effektivt fungerende selskabsret, der sikrer tilfredsstillende virksomhedsledelse;</w:t>
            </w:r>
            <w:r w:rsidRPr="000B3CE8">
              <w:rPr>
                <w:szCs w:val="24"/>
              </w:rPr>
              <w:t xml:space="preserve"> </w:t>
            </w:r>
            <w:r w:rsidRPr="000B3CE8">
              <w:rPr>
                <w:b/>
                <w:i/>
                <w:szCs w:val="24"/>
              </w:rPr>
              <w:t xml:space="preserve">mangel på, diskriminatorisk anvendelse eller utilstrækkelig håndhævelse af et gennemsigtigt og effektivt sæt af love, der sikrer respekt for ejendomsretten og velfungerende konkursregler; lønsatser, der ikke er et resultat af frie forhandlinger mellem arbejdstagere og ledelse; mangel på et gennemsigtigt sæt af love, hvilket har diskriminerende konsekvenser for joint venture-aftaler og udenlandske investeringer </w:t>
            </w:r>
            <w:r w:rsidRPr="000B3CE8">
              <w:rPr>
                <w:szCs w:val="24"/>
              </w:rPr>
              <w:t>samt adgang til finansiering fra institutioner, der opfylder politiske målsætninger</w:t>
            </w:r>
            <w:r w:rsidRPr="000B3CE8">
              <w:rPr>
                <w:b/>
                <w:i/>
                <w:szCs w:val="24"/>
              </w:rPr>
              <w:t>, herunder ved hjælp af sektorbestemte subsidier, eller tilstedeværelse af et oligopol eller et monopol med hensyn til produktionsfaktorer samt andre omstændigheder, der af Kommissionen anses for relevante med henblik på at vurdere tilstedeværelsen af væsentlige fordrejninger</w:t>
            </w:r>
            <w:r w:rsidRPr="000B3CE8">
              <w:rPr>
                <w:szCs w:val="24"/>
              </w:rPr>
              <w:t xml:space="preserve">. Endvidere bør det </w:t>
            </w:r>
            <w:r w:rsidRPr="000B3CE8">
              <w:rPr>
                <w:szCs w:val="24"/>
              </w:rPr>
              <w:lastRenderedPageBreak/>
              <w:t xml:space="preserve">fastsættes, at Kommissionens tjenestegrene </w:t>
            </w:r>
            <w:r w:rsidRPr="000B3CE8">
              <w:rPr>
                <w:b/>
                <w:i/>
                <w:szCs w:val="24"/>
              </w:rPr>
              <w:t>skal</w:t>
            </w:r>
            <w:r w:rsidRPr="000B3CE8">
              <w:rPr>
                <w:szCs w:val="24"/>
              </w:rPr>
              <w:t xml:space="preserve"> udarbejde en</w:t>
            </w:r>
            <w:r w:rsidRPr="000B3CE8">
              <w:rPr>
                <w:b/>
                <w:i/>
                <w:szCs w:val="24"/>
              </w:rPr>
              <w:t xml:space="preserve"> detaljeret</w:t>
            </w:r>
            <w:r w:rsidRPr="000B3CE8">
              <w:rPr>
                <w:szCs w:val="24"/>
              </w:rPr>
              <w:t xml:space="preserve"> rapport med beskrivelse af den specifikke situation i et givet land eller en given sektor vedrørende disse kriterier; </w:t>
            </w:r>
            <w:r w:rsidRPr="000B3CE8">
              <w:rPr>
                <w:b/>
                <w:i/>
                <w:szCs w:val="24"/>
              </w:rPr>
              <w:t>For de lande, hvor der er indledt et betydeligt antal antidumpingsager, skal rapporten være vedtaget inden den ... [indsæt datoen for nærværende forordnings ikrafttræden + 15 dage]. Rapporten</w:t>
            </w:r>
            <w:r w:rsidRPr="000B3CE8">
              <w:rPr>
                <w:szCs w:val="24"/>
              </w:rPr>
              <w:t xml:space="preserve"> og det bevismateriale, som den bygger på, </w:t>
            </w:r>
            <w:r w:rsidRPr="000B3CE8">
              <w:rPr>
                <w:b/>
                <w:i/>
                <w:szCs w:val="24"/>
              </w:rPr>
              <w:t>bør</w:t>
            </w:r>
            <w:r w:rsidRPr="000B3CE8">
              <w:rPr>
                <w:szCs w:val="24"/>
              </w:rPr>
              <w:t xml:space="preserve"> indgå i sagsakterne til eventuelle undersøgelser vedrørende det pågældende land eller den pågældende sektor</w:t>
            </w:r>
            <w:r w:rsidRPr="000B3CE8">
              <w:rPr>
                <w:b/>
                <w:i/>
                <w:szCs w:val="24"/>
              </w:rPr>
              <w:t>.</w:t>
            </w:r>
            <w:r w:rsidRPr="000B3CE8">
              <w:rPr>
                <w:szCs w:val="24"/>
              </w:rPr>
              <w:t xml:space="preserve"> </w:t>
            </w:r>
            <w:r w:rsidRPr="000B3CE8">
              <w:rPr>
                <w:b/>
                <w:i/>
                <w:szCs w:val="24"/>
              </w:rPr>
              <w:t>Interesserede parter, heriblandt EU-erhvervsgrenen og fagforeninger,</w:t>
            </w:r>
            <w:r w:rsidRPr="000B3CE8">
              <w:rPr>
                <w:szCs w:val="24"/>
              </w:rPr>
              <w:t xml:space="preserve"> bør gives rig lejlighed til at fremsætte bemærkninger til rapporten og til det bevismateriale, som den bygger på, i forbindelse med undersøgelser, hvori rapporten og bevismaterialet anvendes. </w:t>
            </w:r>
            <w:r w:rsidRPr="000B3CE8">
              <w:rPr>
                <w:b/>
                <w:i/>
                <w:szCs w:val="24"/>
              </w:rPr>
              <w:t>Sådanne bemærkninger skal tages i betragtning, når der tages beslutning om udarbejdelse og ajourføring af de relevante rapporter. Vurderingen af væsentlige fordrejninger er særligt vigtig ved heterogene sektorer med en stor andel af små og mellemstore virksomheder (SMV'er), hvor det er sværest at finde beviser for sektorbestemte fordrejninger. Kommissionen skal efter anmodning fra Europa-Parlamentet eller en medlemsstat eller på eget initiativ, når forholdene i et specifikt land eller en specifik sektor har ændret sig, påbegynde eller ajourføre rapporten. Kommissionen bør lade en analyse af gennemførelsen af denne forordning indgå i sin årlige rapport om Unionens antidumping-, antisubsidie- og beskyttelsesforanstaltninger og forelægge den for Europa-Parlamentet.</w:t>
            </w:r>
          </w:p>
        </w:tc>
      </w:tr>
    </w:tbl>
    <w:p w:rsidR="00FD282A" w:rsidRPr="000B3CE8" w:rsidRDefault="00FD282A" w:rsidP="00FD282A"/>
    <w:p w:rsidR="00FD282A" w:rsidRPr="000B3CE8" w:rsidRDefault="00FD282A" w:rsidP="00FD282A">
      <w:pPr>
        <w:pStyle w:val="AMNumberTabs"/>
        <w:keepNext/>
      </w:pPr>
      <w:r w:rsidRPr="000B3CE8">
        <w:t>Ændringsforslag</w:t>
      </w:r>
      <w:r w:rsidRPr="000B3CE8">
        <w:tab/>
      </w:r>
      <w:r w:rsidRPr="000B3CE8">
        <w:tab/>
        <w:t>3</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keepNext/>
      </w:pPr>
      <w:r w:rsidRPr="000B3CE8">
        <w:t>Betragtning 4</w:t>
      </w:r>
    </w:p>
    <w:p w:rsidR="00FD282A" w:rsidRPr="000B3CE8" w:rsidRDefault="00FD282A" w:rsidP="00FD282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D282A" w:rsidRPr="000B3CE8" w:rsidTr="006D6397">
        <w:trPr>
          <w:jc w:val="center"/>
        </w:trPr>
        <w:tc>
          <w:tcPr>
            <w:tcW w:w="9752" w:type="dxa"/>
            <w:gridSpan w:val="2"/>
          </w:tcPr>
          <w:p w:rsidR="00FD282A" w:rsidRPr="000B3CE8" w:rsidRDefault="00FD282A" w:rsidP="006D6397">
            <w:pPr>
              <w:keepNext/>
            </w:pPr>
          </w:p>
        </w:tc>
      </w:tr>
      <w:tr w:rsidR="00FD282A" w:rsidRPr="000B3CE8" w:rsidTr="006D6397">
        <w:trPr>
          <w:jc w:val="center"/>
        </w:trPr>
        <w:tc>
          <w:tcPr>
            <w:tcW w:w="4876" w:type="dxa"/>
          </w:tcPr>
          <w:p w:rsidR="00FD282A" w:rsidRPr="000B3CE8" w:rsidRDefault="00FD282A" w:rsidP="006D6397">
            <w:pPr>
              <w:pStyle w:val="ColumnHeading"/>
              <w:keepNext/>
            </w:pPr>
            <w:r w:rsidRPr="000B3CE8">
              <w:t>Kommissionens forslag</w:t>
            </w:r>
          </w:p>
        </w:tc>
        <w:tc>
          <w:tcPr>
            <w:tcW w:w="4876" w:type="dxa"/>
          </w:tcPr>
          <w:p w:rsidR="00FD282A" w:rsidRPr="000B3CE8" w:rsidRDefault="00FD282A" w:rsidP="006D6397">
            <w:pPr>
              <w:pStyle w:val="ColumnHeading"/>
              <w:keepNext/>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r w:rsidRPr="000B3CE8">
              <w:t>(4)</w:t>
            </w:r>
            <w:r w:rsidRPr="000B3CE8">
              <w:tab/>
              <w:t xml:space="preserve">Endvidere skal det erindres, at omkostninger normalt bør beregnes på grundlag af </w:t>
            </w:r>
            <w:r w:rsidRPr="000B3CE8">
              <w:rPr>
                <w:b/>
                <w:i/>
              </w:rPr>
              <w:t>de</w:t>
            </w:r>
            <w:r w:rsidRPr="000B3CE8">
              <w:t xml:space="preserve"> regnskaber, som den undersøgte eksportør eller producent fører. Såfremt der foreligger væsentlige fordrejninger i eksportlandet, som medfører, at de omkostninger, der står opført i regnskaberne hos den pågældende part, er kunstigt lave, </w:t>
            </w:r>
            <w:r w:rsidRPr="000B3CE8">
              <w:rPr>
                <w:b/>
                <w:i/>
              </w:rPr>
              <w:t>kan</w:t>
            </w:r>
            <w:r w:rsidRPr="000B3CE8">
              <w:t xml:space="preserve"> sådanne omkostninger</w:t>
            </w:r>
            <w:r w:rsidRPr="000B3CE8">
              <w:rPr>
                <w:b/>
                <w:i/>
              </w:rPr>
              <w:t xml:space="preserve"> justeres eller</w:t>
            </w:r>
            <w:r w:rsidRPr="000B3CE8">
              <w:t xml:space="preserve"> fastsættes på et andet rimeligt grundlag, eksempelvis på grundlag af oplysninger fra andre repræsentative markeder eller ud fra internationale priser eller referenceværdier. Set i lyset af de erfaringer, der er indhøstet under tidligere procedurer, bør det præciseres nærmere, at der i forbindelse med anvendelsen af bestemmelserne i nærværende forordning bør tages behørigt hensyn til alle relevante bevismaterialer </w:t>
            </w:r>
            <w:r w:rsidRPr="000B3CE8">
              <w:rPr>
                <w:b/>
                <w:i/>
              </w:rPr>
              <w:t>—</w:t>
            </w:r>
            <w:r w:rsidRPr="000B3CE8">
              <w:t xml:space="preserve"> deriblandt relevante evalueringsrapporter vedrørende de forhold, der er fremherskende på de eksporterende producenters hjemmemarked, samt det bevismateriale, som rapporterne bygger på </w:t>
            </w:r>
            <w:r w:rsidRPr="000B3CE8">
              <w:rPr>
                <w:b/>
                <w:i/>
              </w:rPr>
              <w:t>—</w:t>
            </w:r>
            <w:r w:rsidRPr="000B3CE8">
              <w:t xml:space="preserve"> som indgår i sagsakterne, og som interesserede parter har haft lejlighed til at fremsætte bemærkninger til.</w:t>
            </w:r>
          </w:p>
        </w:tc>
        <w:tc>
          <w:tcPr>
            <w:tcW w:w="4876" w:type="dxa"/>
          </w:tcPr>
          <w:p w:rsidR="00FD282A" w:rsidRPr="000B3CE8" w:rsidRDefault="00FD282A" w:rsidP="006D6397">
            <w:pPr>
              <w:pStyle w:val="Normal6"/>
              <w:rPr>
                <w:szCs w:val="24"/>
              </w:rPr>
            </w:pPr>
            <w:r w:rsidRPr="000B3CE8">
              <w:rPr>
                <w:szCs w:val="24"/>
              </w:rPr>
              <w:t>(4)</w:t>
            </w:r>
            <w:r w:rsidRPr="000B3CE8">
              <w:rPr>
                <w:szCs w:val="24"/>
              </w:rPr>
              <w:tab/>
              <w:t xml:space="preserve">Endvidere skal det erindres, at omkostninger normalt bør beregnes på grundlag af </w:t>
            </w:r>
            <w:r w:rsidRPr="000B3CE8">
              <w:rPr>
                <w:b/>
                <w:i/>
                <w:szCs w:val="24"/>
              </w:rPr>
              <w:t>pålidelige</w:t>
            </w:r>
            <w:r w:rsidRPr="000B3CE8">
              <w:rPr>
                <w:szCs w:val="24"/>
              </w:rPr>
              <w:t xml:space="preserve"> regnskaber, som den undersøgte eksportør eller producent fører. Såfremt der foreligger væsentlige fordrejninger i eksportlandet, som medfører, at de omkostninger, der står opført i regnskaberne hos den pågældende part, er kunstigt lave, </w:t>
            </w:r>
            <w:r w:rsidRPr="000B3CE8">
              <w:rPr>
                <w:b/>
                <w:i/>
                <w:szCs w:val="24"/>
              </w:rPr>
              <w:t>bør</w:t>
            </w:r>
            <w:r w:rsidRPr="000B3CE8">
              <w:rPr>
                <w:szCs w:val="24"/>
              </w:rPr>
              <w:t xml:space="preserve"> sådanne omkostninger fastsættes på et andet rimeligt grundlag, eksempelvis på grundlag af oplysninger fra andre repræsentative markeder</w:t>
            </w:r>
            <w:r w:rsidRPr="000B3CE8">
              <w:rPr>
                <w:b/>
                <w:i/>
                <w:szCs w:val="24"/>
              </w:rPr>
              <w:t>, markeder i Unionen</w:t>
            </w:r>
            <w:r w:rsidRPr="000B3CE8">
              <w:rPr>
                <w:szCs w:val="24"/>
              </w:rPr>
              <w:t xml:space="preserve"> eller ud fra</w:t>
            </w:r>
            <w:r w:rsidRPr="000B3CE8">
              <w:rPr>
                <w:b/>
                <w:i/>
                <w:szCs w:val="24"/>
              </w:rPr>
              <w:t xml:space="preserve"> ikke-fordrejede</w:t>
            </w:r>
            <w:r w:rsidRPr="000B3CE8">
              <w:rPr>
                <w:szCs w:val="24"/>
              </w:rPr>
              <w:t xml:space="preserve"> internationale priser eller referenceværdier. </w:t>
            </w:r>
            <w:r w:rsidRPr="000B3CE8">
              <w:rPr>
                <w:b/>
                <w:i/>
                <w:szCs w:val="24"/>
              </w:rPr>
              <w:t xml:space="preserve">Hvis en eksporterende producent fra et land eller en sektor, hvor der findes én eller flere væsentlige fordrejninger, klart dokumenterer, at vedkommende ikke er direkte eller indirekte berørt af nogen væsentlig fordrejning, og at dens omkostninger for én eller flere individuelle produktionsfaktorer ikke er fordrejede, skal disse omkostninger anvendes ved beregningen af den normale værdi. Sådanne individuelle resultater bør ikke påvirke den normale værdi for andre producenter og skal derfor ikke ekstrapoleres til hele landet eller sektoren. </w:t>
            </w:r>
            <w:r w:rsidRPr="000B3CE8">
              <w:rPr>
                <w:szCs w:val="24"/>
              </w:rPr>
              <w:t xml:space="preserve">Set i lyset af de erfaringer, der er indhøstet under tidligere procedurer, bør det præciseres nærmere, at der i forbindelse med anvendelsen af bestemmelserne i nærværende forordning bør tages behørigt hensyn til alle relevante bevismaterialer </w:t>
            </w:r>
            <w:r w:rsidRPr="000B3CE8">
              <w:rPr>
                <w:b/>
                <w:i/>
                <w:szCs w:val="24"/>
              </w:rPr>
              <w:t>–</w:t>
            </w:r>
            <w:r w:rsidRPr="000B3CE8">
              <w:rPr>
                <w:szCs w:val="24"/>
              </w:rPr>
              <w:t xml:space="preserve"> deriblandt relevante evalueringsrapporter vedrørende de forhold, der er fremherskende på de eksporterende producenters hjemmemarked, samt det bevismateriale, som rapporterne bygger på </w:t>
            </w:r>
            <w:r w:rsidRPr="000B3CE8">
              <w:rPr>
                <w:b/>
                <w:i/>
                <w:szCs w:val="24"/>
              </w:rPr>
              <w:t>–</w:t>
            </w:r>
            <w:r w:rsidRPr="000B3CE8">
              <w:rPr>
                <w:szCs w:val="24"/>
              </w:rPr>
              <w:t xml:space="preserve"> som indgår i sagsakterne, og som interesserede parter har haft lejlighed til at fremsætte bemærkninger til. </w:t>
            </w:r>
            <w:r w:rsidRPr="000B3CE8">
              <w:rPr>
                <w:b/>
                <w:i/>
                <w:szCs w:val="24"/>
              </w:rPr>
              <w:t xml:space="preserve">EU-erhvervsgrenen bør have mulighed for at fremkomme med indikationer vedrørende tilstedeværelsen af væsentlige fordrejninger. Sådanne indikationer bør </w:t>
            </w:r>
            <w:r w:rsidRPr="000B3CE8">
              <w:rPr>
                <w:b/>
                <w:i/>
                <w:szCs w:val="24"/>
              </w:rPr>
              <w:lastRenderedPageBreak/>
              <w:t>tages i betragtning, når der tages beslutning om udarbejdelse eller ajourføring af de relevante rapporter. Når rapporten viser, at der er tale om én eller flere væsentlige fordrejninger, udgør rapporten tilstrækkeligt bevis for at begrunde beregningen af den normale værdi. EU-erhvervsgrenen bør under alle omstændigheder ikke pålægges yderligere byrder. Umiddelbart efter påbegyndelsen af undersøgelsen bør parterne i undersøgelsen underrettes om de relevante kilder, som Kommissionen agter at anvende, samt en foreløbig fastsættelse af, om der foreligger væsentlige fordrejninger, og de får ti arbejdsdage til at fremsætte bemærkninger. Med henblik herpå bør de interesserede parter efter registrering i et register, som føres af Kommissionen, kunne få aktindsigt, herunder til eventuelt bevismateriale, som den undersøgende myndighed støtter sig til, med forbehold af bestemmelserne om fortrolighed i forordning (EU) 2016/1036. En definitiv fastsættelse af, at der foreligger én eller flere væsentlige fordrejninger i eksportlandets økonomi som helhed eller i en sektor heraf, bør foretages af Kommissionen og meddeles parterne, senest 60 dage efter undersøgelsen er påbegyndt. En fastsættelse af, at der foreligger væsentlige fordrejninger i et givet land eller en given sektor, skal forblive i kraft, indtil den tilbagekaldes, og tilbagekaldelsen skal kun ske, hvis der er tilstrækkeligt bevismateriale, som entydigt viser, at det pågældende land eller den pågældende sektor ikke længere er påvirket af væsentlige fordrejninger.</w:t>
            </w:r>
          </w:p>
        </w:tc>
      </w:tr>
    </w:tbl>
    <w:p w:rsidR="00FD282A" w:rsidRPr="000B3CE8" w:rsidRDefault="00FD282A" w:rsidP="00FD282A"/>
    <w:p w:rsidR="00FD282A" w:rsidRPr="000B3CE8" w:rsidRDefault="00FD282A" w:rsidP="00FD282A">
      <w:pPr>
        <w:pStyle w:val="AMNumberTabs"/>
        <w:keepNext/>
      </w:pPr>
      <w:r w:rsidRPr="000B3CE8">
        <w:t>Ændringsforslag</w:t>
      </w:r>
      <w:r w:rsidRPr="000B3CE8">
        <w:tab/>
      </w:r>
      <w:r w:rsidRPr="000B3CE8">
        <w:tab/>
        <w:t>4</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keepNext/>
      </w:pPr>
      <w:r w:rsidRPr="000B3CE8">
        <w:t>Betragtning 6</w:t>
      </w:r>
    </w:p>
    <w:p w:rsidR="00FD282A" w:rsidRPr="000B3CE8" w:rsidRDefault="00FD282A" w:rsidP="00FD282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D282A" w:rsidRPr="000B3CE8" w:rsidTr="006D6397">
        <w:trPr>
          <w:jc w:val="center"/>
        </w:trPr>
        <w:tc>
          <w:tcPr>
            <w:tcW w:w="9752" w:type="dxa"/>
            <w:gridSpan w:val="2"/>
          </w:tcPr>
          <w:p w:rsidR="00FD282A" w:rsidRPr="000B3CE8" w:rsidRDefault="00FD282A" w:rsidP="006D6397">
            <w:pPr>
              <w:keepNext/>
            </w:pPr>
          </w:p>
        </w:tc>
      </w:tr>
      <w:tr w:rsidR="00FD282A" w:rsidRPr="000B3CE8" w:rsidTr="006D6397">
        <w:trPr>
          <w:jc w:val="center"/>
        </w:trPr>
        <w:tc>
          <w:tcPr>
            <w:tcW w:w="4876" w:type="dxa"/>
          </w:tcPr>
          <w:p w:rsidR="00FD282A" w:rsidRPr="000B3CE8" w:rsidRDefault="00FD282A" w:rsidP="006D6397">
            <w:pPr>
              <w:pStyle w:val="ColumnHeading"/>
              <w:keepNext/>
            </w:pPr>
            <w:r w:rsidRPr="000B3CE8">
              <w:t>Kommissionens forslag</w:t>
            </w:r>
          </w:p>
        </w:tc>
        <w:tc>
          <w:tcPr>
            <w:tcW w:w="4876" w:type="dxa"/>
          </w:tcPr>
          <w:p w:rsidR="00FD282A" w:rsidRPr="000B3CE8" w:rsidRDefault="00FD282A" w:rsidP="006D6397">
            <w:pPr>
              <w:pStyle w:val="ColumnHeading"/>
              <w:keepNext/>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r w:rsidRPr="000B3CE8">
              <w:t>(6)</w:t>
            </w:r>
            <w:r w:rsidRPr="000B3CE8">
              <w:tab/>
              <w:t xml:space="preserve">Idet der ikke gælder nogen andre særlige overgangsbestemmelser på dette område, bør nærværende forordning finde anvendelse på alle afgørelser om at indlede procedurer samt på alle procedurer, herunder oprindelige undersøgelser og genoptagede undersøgelser, som indledes på eller efter den dato, hvor nærværende forordning træder i kraft, med forbehold af artikel 11, stk. 9, i forordning (EU) 2016/1036. Endvidere bør det fastsættes som en særlig overgangsbestemmelse </w:t>
            </w:r>
            <w:r w:rsidRPr="000B3CE8">
              <w:rPr>
                <w:b/>
                <w:i/>
              </w:rPr>
              <w:t>—</w:t>
            </w:r>
            <w:r w:rsidRPr="000B3CE8">
              <w:t xml:space="preserve"> i betragtning af, at der ikke gælder nogen andre særlige overgangsbestemmelser på dette område </w:t>
            </w:r>
            <w:r w:rsidRPr="000B3CE8">
              <w:rPr>
                <w:b/>
                <w:i/>
              </w:rPr>
              <w:t>—</w:t>
            </w:r>
            <w:r w:rsidRPr="000B3CE8">
              <w:t xml:space="preserve"> at såfremt der er en overgang fra en normal værdi, der er beregnet i henhold til artikel 2, stk. 7, litra a) eller b), til en normal værdi, der er beregnet i henhold til artikel 2, stk. 1-6a, anses den rimelige periode, der er fastsat i artikel 11, stk. 3, første afsnit, i forordning (EU) 2016/1036, for at udløbe på datoen for </w:t>
            </w:r>
            <w:r w:rsidRPr="000B3CE8">
              <w:rPr>
                <w:b/>
                <w:i/>
              </w:rPr>
              <w:t>indledningen</w:t>
            </w:r>
            <w:r w:rsidRPr="000B3CE8">
              <w:t xml:space="preserve"> af den første undersøgelse efter overgangen. Med henblik på at nedbringe risikoen for omgåelse af bestemmelserne i nærværende forordning bør den samme tilgang anvendes i forbindelse med undersøgelser, der gennemføres i henhold til artikel 11, stk. 4, i forordning (EU) 2016/1036. Det skal desuden erindres, at en overgang fra en normal værdi, der er beregnet i henhold til artikel 2, stk. 7, litra a) eller b), til en normal værdi, der er beregnet i henhold til artikel 2, stk. 1-6a, ikke i sig selv ville udgøre tilstrækkelige beviser, jf. artikel 11, stk. 3, i forordning (EU) 2016/1036. Sådanne overgangsregler burde udfylde en lakune, som ellers ville risikere at skabe retsusikkerhed, burde give interesserede parter rimelig lejlighed til at tilpasse sig udløbet af de gamle regler og ikrafttrædelsen af de nye regler og burde gøre det muligt at forvalte forordning (EU) 2016/1036 på en effektiv, velordnet og retfærdig måde.</w:t>
            </w:r>
          </w:p>
        </w:tc>
        <w:tc>
          <w:tcPr>
            <w:tcW w:w="4876" w:type="dxa"/>
          </w:tcPr>
          <w:p w:rsidR="00FD282A" w:rsidRPr="000B3CE8" w:rsidRDefault="00FD282A" w:rsidP="006D6397">
            <w:pPr>
              <w:pStyle w:val="Normal6"/>
              <w:rPr>
                <w:szCs w:val="24"/>
              </w:rPr>
            </w:pPr>
            <w:r w:rsidRPr="000B3CE8">
              <w:rPr>
                <w:szCs w:val="24"/>
              </w:rPr>
              <w:t>(6)</w:t>
            </w:r>
            <w:r w:rsidRPr="000B3CE8">
              <w:rPr>
                <w:szCs w:val="24"/>
              </w:rPr>
              <w:tab/>
              <w:t xml:space="preserve">Idet der ikke gælder nogen andre særlige overgangsbestemmelser på dette område, bør nærværende forordning finde anvendelse på alle afgørelser om at indlede procedurer samt på alle procedurer, herunder oprindelige undersøgelser og genoptagede undersøgelser, som indledes på eller efter den dato, hvor nærværende forordning træder i kraft, med forbehold af artikel 11, stk. 9, i forordning (EU) 2016/1036. Endvidere bør det fastsættes som en særlig overgangsbestemmelse </w:t>
            </w:r>
            <w:r w:rsidRPr="000B3CE8">
              <w:rPr>
                <w:b/>
                <w:i/>
                <w:szCs w:val="24"/>
              </w:rPr>
              <w:t>–</w:t>
            </w:r>
            <w:r w:rsidRPr="000B3CE8">
              <w:rPr>
                <w:szCs w:val="24"/>
              </w:rPr>
              <w:t xml:space="preserve"> i betragtning af, at der ikke gælder nogen andre særlige overgangsbestemmelser på dette område </w:t>
            </w:r>
            <w:r w:rsidRPr="000B3CE8">
              <w:rPr>
                <w:b/>
                <w:i/>
                <w:szCs w:val="24"/>
              </w:rPr>
              <w:t>–</w:t>
            </w:r>
            <w:r w:rsidRPr="000B3CE8">
              <w:rPr>
                <w:szCs w:val="24"/>
              </w:rPr>
              <w:t xml:space="preserve"> at såfremt der er en overgang fra en normal værdi, der er beregnet i henhold til artikel 2, stk. 7, litra a) eller b), til en normal værdi, der er beregnet i henhold til artikel 2, stk. 1-6a, anses den rimelige periode, der er fastsat i artikel 11, stk. 3, første afsnit, i forordning (EU) 2016/1036, for at udløbe på datoen for </w:t>
            </w:r>
            <w:r w:rsidRPr="000B3CE8">
              <w:rPr>
                <w:b/>
                <w:i/>
                <w:szCs w:val="24"/>
              </w:rPr>
              <w:t>afslutningen</w:t>
            </w:r>
            <w:r w:rsidRPr="000B3CE8">
              <w:rPr>
                <w:szCs w:val="24"/>
              </w:rPr>
              <w:t xml:space="preserve"> af den første undersøgelse efter overgangen. Med henblik på at nedbringe risikoen for omgåelse af bestemmelserne i nærværende forordning bør den samme tilgang anvendes i forbindelse med undersøgelser, der gennemføres i henhold til artikel 11, stk. 4, i forordning (EU) 2016/1036. Det skal desuden erindres, at en overgang fra en normal værdi, der er beregnet i henhold til artikel 2, stk. 7, litra a) eller b)</w:t>
            </w:r>
            <w:r w:rsidRPr="000B3CE8">
              <w:rPr>
                <w:b/>
                <w:i/>
                <w:szCs w:val="24"/>
              </w:rPr>
              <w:t xml:space="preserve"> i forordning (EU) 2016/1036</w:t>
            </w:r>
            <w:r w:rsidRPr="000B3CE8">
              <w:rPr>
                <w:szCs w:val="24"/>
              </w:rPr>
              <w:t>, til en normal værdi, der er beregnet i henhold til artikel 2, stk. 1-6a, ikke i sig selv ville udgøre tilstrækkelige beviser, jf. artikel 11, stk. 3, i forordning (EU) 2016/1036. Sådanne overgangsregler</w:t>
            </w:r>
            <w:r w:rsidRPr="000B3CE8">
              <w:rPr>
                <w:b/>
                <w:i/>
                <w:szCs w:val="24"/>
              </w:rPr>
              <w:t>, der gør det muligt fortsat at anvende beskyttelsesforanstaltninger mod subsidieret indførsel,</w:t>
            </w:r>
            <w:r w:rsidRPr="000B3CE8">
              <w:rPr>
                <w:szCs w:val="24"/>
              </w:rPr>
              <w:t xml:space="preserve"> burde udfylde en lakune, som ellers ville risikere at skabe retsusikkerhed,</w:t>
            </w:r>
            <w:r w:rsidRPr="000B3CE8">
              <w:rPr>
                <w:b/>
                <w:i/>
                <w:szCs w:val="24"/>
              </w:rPr>
              <w:t xml:space="preserve"> </w:t>
            </w:r>
            <w:r w:rsidRPr="000B3CE8">
              <w:rPr>
                <w:szCs w:val="24"/>
              </w:rPr>
              <w:t xml:space="preserve">burde give interesserede parter rimelig lejlighed til at tilpasse sig udløbet af de gamle regler og ikrafttrædelsen af de nye regler og burde gøre det muligt at forvalte forordning (EU) </w:t>
            </w:r>
            <w:r w:rsidRPr="000B3CE8">
              <w:rPr>
                <w:szCs w:val="24"/>
              </w:rPr>
              <w:lastRenderedPageBreak/>
              <w:t>2016/1036 på en effektiv, velordnet og retfærdig måde.</w:t>
            </w:r>
          </w:p>
        </w:tc>
      </w:tr>
    </w:tbl>
    <w:p w:rsidR="00FD282A" w:rsidRPr="000B3CE8" w:rsidRDefault="00FD282A" w:rsidP="00FD282A"/>
    <w:p w:rsidR="00FD282A" w:rsidRPr="000B3CE8" w:rsidRDefault="00FD282A" w:rsidP="00FD282A">
      <w:pPr>
        <w:pStyle w:val="AMNumberTabs"/>
        <w:keepNext/>
      </w:pPr>
      <w:r w:rsidRPr="000B3CE8">
        <w:t>Ændringsforslag</w:t>
      </w:r>
      <w:r w:rsidRPr="000B3CE8">
        <w:tab/>
      </w:r>
      <w:r w:rsidRPr="000B3CE8">
        <w:tab/>
        <w:t>5</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keepNext/>
      </w:pPr>
      <w:r w:rsidRPr="000B3CE8">
        <w:t>Artikel 1 – stk. 1 – nr. 1</w:t>
      </w:r>
    </w:p>
    <w:p w:rsidR="00FD282A" w:rsidRPr="000B3CE8" w:rsidRDefault="00FD282A" w:rsidP="00FD282A">
      <w:pPr>
        <w:keepNext/>
      </w:pPr>
      <w:r w:rsidRPr="000B3CE8">
        <w:t>Forordning (EU) 2016/1036</w:t>
      </w:r>
    </w:p>
    <w:p w:rsidR="00FD282A" w:rsidRPr="000B3CE8" w:rsidRDefault="00FD282A" w:rsidP="00FD282A">
      <w:r w:rsidRPr="000B3CE8">
        <w:t>Artikel 2 – stk. 6a – litra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D282A" w:rsidRPr="000B3CE8" w:rsidTr="006D6397">
        <w:trPr>
          <w:jc w:val="center"/>
        </w:trPr>
        <w:tc>
          <w:tcPr>
            <w:tcW w:w="9752" w:type="dxa"/>
            <w:gridSpan w:val="2"/>
          </w:tcPr>
          <w:p w:rsidR="00FD282A" w:rsidRPr="000B3CE8" w:rsidRDefault="00FD282A" w:rsidP="006D6397">
            <w:pPr>
              <w:keepNext/>
            </w:pPr>
          </w:p>
        </w:tc>
      </w:tr>
      <w:tr w:rsidR="00FD282A" w:rsidRPr="000B3CE8" w:rsidTr="006D6397">
        <w:trPr>
          <w:jc w:val="center"/>
        </w:trPr>
        <w:tc>
          <w:tcPr>
            <w:tcW w:w="4876" w:type="dxa"/>
          </w:tcPr>
          <w:p w:rsidR="00FD282A" w:rsidRPr="000B3CE8" w:rsidRDefault="00FD282A" w:rsidP="006D6397">
            <w:pPr>
              <w:pStyle w:val="ColumnHeading"/>
              <w:keepNext/>
            </w:pPr>
            <w:r w:rsidRPr="000B3CE8">
              <w:t>Kommissionens forslag</w:t>
            </w:r>
          </w:p>
        </w:tc>
        <w:tc>
          <w:tcPr>
            <w:tcW w:w="4876" w:type="dxa"/>
          </w:tcPr>
          <w:p w:rsidR="00FD282A" w:rsidRPr="000B3CE8" w:rsidRDefault="00FD282A" w:rsidP="006D6397">
            <w:pPr>
              <w:pStyle w:val="ColumnHeading"/>
              <w:keepNext/>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r w:rsidRPr="000B3CE8">
              <w:t xml:space="preserve">a) Såfremt det </w:t>
            </w:r>
            <w:r w:rsidRPr="000B3CE8">
              <w:rPr>
                <w:b/>
                <w:i/>
              </w:rPr>
              <w:t xml:space="preserve">ved anvendelsen af denne bestemmelse eller enhver anden relevant bestemmelse i nærværende forordning </w:t>
            </w:r>
            <w:r w:rsidRPr="000B3CE8">
              <w:t xml:space="preserve">fastslås, at det ikke er hensigtsmæssigt at anvende priserne og omkostningerne på hjemmemarkedet i eksportlandet på grund af, at der foreligger væsentlige fordrejninger, beregnes den normale værdi på grundlag af produktions- og salgsomkostninger, der afspejler ikke-fordrejede priser eller referenceværdier. Til dette formål kan </w:t>
            </w:r>
            <w:r w:rsidRPr="000B3CE8">
              <w:rPr>
                <w:b/>
                <w:i/>
              </w:rPr>
              <w:t>der</w:t>
            </w:r>
            <w:r w:rsidRPr="000B3CE8">
              <w:t xml:space="preserve"> som kilder bl.a. </w:t>
            </w:r>
            <w:r w:rsidRPr="000B3CE8">
              <w:rPr>
                <w:b/>
                <w:i/>
              </w:rPr>
              <w:t>anvendes</w:t>
            </w:r>
            <w:r w:rsidRPr="000B3CE8">
              <w:t xml:space="preserve"> ikke-fordrejede internationale priser, omkostninger eller referenceværdier</w:t>
            </w:r>
            <w:r w:rsidRPr="000B3CE8">
              <w:rPr>
                <w:b/>
                <w:i/>
              </w:rPr>
              <w:t>,</w:t>
            </w:r>
            <w:r w:rsidRPr="000B3CE8">
              <w:t xml:space="preserve"> eller tilsvarende produktions- og salgsomkostninger i et </w:t>
            </w:r>
            <w:r w:rsidRPr="000B3CE8">
              <w:rPr>
                <w:b/>
                <w:i/>
              </w:rPr>
              <w:t>passende</w:t>
            </w:r>
            <w:r w:rsidRPr="000B3CE8">
              <w:t xml:space="preserve"> repræsentativt land</w:t>
            </w:r>
            <w:r w:rsidRPr="000B3CE8">
              <w:rPr>
                <w:b/>
                <w:i/>
              </w:rPr>
              <w:t xml:space="preserve"> med et økonomisk udviklingsniveau svarende til eksportlandets</w:t>
            </w:r>
            <w:r w:rsidRPr="000B3CE8">
              <w:t xml:space="preserve">, forudsat at der foreligger lettilgængelige data om omkostningerne. </w:t>
            </w:r>
            <w:r w:rsidRPr="000B3CE8">
              <w:rPr>
                <w:b/>
                <w:i/>
              </w:rPr>
              <w:t>Den beregnede normale værdi skal indbefatte et rimeligt beløb til dækning af salgs- og administrationsomkostninger og andre generalomkostninger samt fortjeneste.</w:t>
            </w:r>
          </w:p>
        </w:tc>
        <w:tc>
          <w:tcPr>
            <w:tcW w:w="4876" w:type="dxa"/>
          </w:tcPr>
          <w:p w:rsidR="00FD282A" w:rsidRPr="000B3CE8" w:rsidRDefault="00FD282A" w:rsidP="006D6397">
            <w:pPr>
              <w:pStyle w:val="Normal6"/>
            </w:pPr>
            <w:r w:rsidRPr="000B3CE8">
              <w:t xml:space="preserve">a) Såfremt det fastslås, at det ikke er hensigtsmæssigt at anvende priserne og omkostningerne på hjemmemarkedet i eksportlandet på grund af, at der foreligger </w:t>
            </w:r>
            <w:r w:rsidRPr="000B3CE8">
              <w:rPr>
                <w:b/>
                <w:i/>
              </w:rPr>
              <w:t xml:space="preserve">én eller flere </w:t>
            </w:r>
            <w:r w:rsidRPr="000B3CE8">
              <w:t>væsentlige fordrejninger</w:t>
            </w:r>
            <w:r w:rsidRPr="000B3CE8">
              <w:rPr>
                <w:b/>
                <w:i/>
              </w:rPr>
              <w:t xml:space="preserve"> i økonomien som helhed eller i en sektor heraf</w:t>
            </w:r>
            <w:r w:rsidRPr="000B3CE8">
              <w:t>, beregnes den normale værdi på grundlag af produktions- og salgsomkostninger, der afspejler ikke-fordrejede priser eller referenceværdier</w:t>
            </w:r>
            <w:r w:rsidRPr="000B3CE8">
              <w:rPr>
                <w:b/>
                <w:i/>
              </w:rPr>
              <w:t xml:space="preserve"> for samtlige produktionsfaktorer</w:t>
            </w:r>
            <w:r w:rsidRPr="000B3CE8">
              <w:t xml:space="preserve">. Til dette formål kan </w:t>
            </w:r>
            <w:r w:rsidRPr="000B3CE8">
              <w:rPr>
                <w:b/>
                <w:i/>
              </w:rPr>
              <w:t>Kommissionen</w:t>
            </w:r>
            <w:r w:rsidRPr="000B3CE8">
              <w:t xml:space="preserve"> som kilder bl.a. </w:t>
            </w:r>
            <w:r w:rsidRPr="000B3CE8">
              <w:rPr>
                <w:b/>
                <w:i/>
              </w:rPr>
              <w:t>anvende</w:t>
            </w:r>
            <w:r w:rsidRPr="000B3CE8">
              <w:t xml:space="preserve"> ikke-fordrejede internationale priser, omkostninger eller referenceværdier eller tilsvarende produktions- og salgsomkostninger i et </w:t>
            </w:r>
            <w:r w:rsidRPr="000B3CE8">
              <w:rPr>
                <w:b/>
                <w:i/>
              </w:rPr>
              <w:t>egnet</w:t>
            </w:r>
            <w:r w:rsidRPr="000B3CE8">
              <w:t xml:space="preserve"> repræsentativt land</w:t>
            </w:r>
            <w:r w:rsidRPr="000B3CE8">
              <w:rPr>
                <w:b/>
                <w:i/>
              </w:rPr>
              <w:t>, inklusive dem i Unionen</w:t>
            </w:r>
            <w:r w:rsidRPr="000B3CE8">
              <w:t>, forudsat at der foreligger lettilgængelige data om omkostningerne.</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pPr>
            <w:r w:rsidRPr="000B3CE8">
              <w:rPr>
                <w:b/>
                <w:i/>
              </w:rPr>
              <w:t>Hvis en eksporterende producent fra et land eller en sektor, hvor der foreligger én eller flere væsentlige fordrejninger, klart dokumenterer, at den ikke er direkte eller indirekte berørt af nogen væsentlig fordrejning, og at dens omkostninger for én eller flere individuelle produktionsfaktorer, vurderet i henhold til tredje afsnit, ikke er fordrejede, skal disse omkostninger bruges ved beregningen af den normale værdi.</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pPr>
            <w:r w:rsidRPr="000B3CE8">
              <w:rPr>
                <w:b/>
                <w:i/>
              </w:rPr>
              <w:t>Fraværet af fordrejning for så vidt angår en eksporterende producents omkostninger til en given produktionsfaktor og pålideligheden heraf skal bl.a. vurderes ud fra de mængder, der er tale om, deres andel i forhold til de samlede omkostninger for den pågældende produktionsfaktor og den faktiske anvendelse i produktionen.</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pPr>
            <w:r w:rsidRPr="000B3CE8">
              <w:rPr>
                <w:b/>
                <w:i/>
              </w:rPr>
              <w:t>Sådanne individuelle resultater skal ikke påvirke den normale værdi for andre eksporterende producenter og skal derfor ikke ekstrapoleres til hele landet eller sektoren uagtet anvendelsen af artikel 17 i forordning (EU) 2016/1036.</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pPr>
            <w:r w:rsidRPr="000B3CE8">
              <w:rPr>
                <w:b/>
                <w:i/>
              </w:rPr>
              <w:t>Den beregnede normale værdi skal indbefatte et ikke-fordrejet og rimeligt beløb til dækning af salgs- og administrationsomkostninger og andre generalomkostninger samt fortjeneste. Såfremt en eksporterende producent eller myndighederne i et land, hvor der vurderes at foreligge én eller flere væsentlige fordrejninger, nægter at samarbejde ved udarbejdelsen af rapporten, anvendes artikel 18 i forordning (EU) 2016/1036.</w:t>
            </w:r>
          </w:p>
        </w:tc>
      </w:tr>
    </w:tbl>
    <w:p w:rsidR="00FD282A" w:rsidRPr="000B3CE8" w:rsidRDefault="00FD282A" w:rsidP="00FD282A"/>
    <w:p w:rsidR="00FD282A" w:rsidRPr="000B3CE8" w:rsidRDefault="00FD282A" w:rsidP="00FD282A">
      <w:pPr>
        <w:pStyle w:val="AMNumberTabs"/>
        <w:keepNext/>
      </w:pPr>
      <w:r w:rsidRPr="000B3CE8">
        <w:t>Ændringsforslag</w:t>
      </w:r>
      <w:r w:rsidRPr="000B3CE8">
        <w:tab/>
      </w:r>
      <w:r w:rsidRPr="000B3CE8">
        <w:tab/>
        <w:t>6</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keepNext/>
      </w:pPr>
      <w:r w:rsidRPr="000B3CE8">
        <w:t>Artikel 1 – stk. 1 – nr. 1</w:t>
      </w:r>
    </w:p>
    <w:p w:rsidR="00FD282A" w:rsidRPr="000B3CE8" w:rsidRDefault="00FD282A" w:rsidP="00FD282A">
      <w:pPr>
        <w:keepNext/>
      </w:pPr>
      <w:r w:rsidRPr="000B3CE8">
        <w:t>Forordning (EU) 2016/1036</w:t>
      </w:r>
    </w:p>
    <w:p w:rsidR="00FD282A" w:rsidRPr="000B3CE8" w:rsidRDefault="00FD282A" w:rsidP="00FD282A">
      <w:r w:rsidRPr="000B3CE8">
        <w:t>Artikel 2 – stk. 6a – litra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D282A" w:rsidRPr="000B3CE8" w:rsidTr="006D6397">
        <w:trPr>
          <w:jc w:val="center"/>
        </w:trPr>
        <w:tc>
          <w:tcPr>
            <w:tcW w:w="9752" w:type="dxa"/>
            <w:gridSpan w:val="2"/>
          </w:tcPr>
          <w:p w:rsidR="00FD282A" w:rsidRPr="000B3CE8" w:rsidRDefault="00FD282A" w:rsidP="006D6397">
            <w:pPr>
              <w:keepNext/>
            </w:pPr>
          </w:p>
        </w:tc>
      </w:tr>
      <w:tr w:rsidR="00FD282A" w:rsidRPr="000B3CE8" w:rsidTr="006D6397">
        <w:trPr>
          <w:jc w:val="center"/>
        </w:trPr>
        <w:tc>
          <w:tcPr>
            <w:tcW w:w="4876" w:type="dxa"/>
          </w:tcPr>
          <w:p w:rsidR="00FD282A" w:rsidRPr="000B3CE8" w:rsidRDefault="00FD282A" w:rsidP="006D6397">
            <w:pPr>
              <w:pStyle w:val="ColumnHeading"/>
              <w:keepNext/>
            </w:pPr>
            <w:r w:rsidRPr="000B3CE8">
              <w:t>Kommissionens forslag</w:t>
            </w:r>
          </w:p>
        </w:tc>
        <w:tc>
          <w:tcPr>
            <w:tcW w:w="4876" w:type="dxa"/>
          </w:tcPr>
          <w:p w:rsidR="00FD282A" w:rsidRPr="000B3CE8" w:rsidRDefault="00FD282A" w:rsidP="006D6397">
            <w:pPr>
              <w:pStyle w:val="ColumnHeading"/>
              <w:keepNext/>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r w:rsidRPr="000B3CE8">
              <w:t xml:space="preserve">b) </w:t>
            </w:r>
            <w:r w:rsidRPr="000B3CE8">
              <w:rPr>
                <w:b/>
                <w:i/>
              </w:rPr>
              <w:t xml:space="preserve">Der kan anses for at foreligge </w:t>
            </w:r>
            <w:r w:rsidRPr="000B3CE8">
              <w:t>væsentlige fordrejninger</w:t>
            </w:r>
            <w:r w:rsidRPr="000B3CE8">
              <w:rPr>
                <w:b/>
                <w:i/>
              </w:rPr>
              <w:t xml:space="preserve"> med hensyn til det pågældende produkt</w:t>
            </w:r>
            <w:r w:rsidRPr="000B3CE8">
              <w:t xml:space="preserve">, </w:t>
            </w:r>
            <w:r w:rsidRPr="000B3CE8">
              <w:rPr>
                <w:b/>
                <w:i/>
              </w:rPr>
              <w:t>jf. litra a)</w:t>
            </w:r>
            <w:r w:rsidRPr="000B3CE8">
              <w:t>, når de indberettede priser eller omkostninger, herunder omkostningerne til råmaterialer, ikke udspringer af frie markedskræfter, fordi de er blevet påvirket af statslig indgriben.</w:t>
            </w:r>
            <w:r w:rsidRPr="000B3CE8">
              <w:rPr>
                <w:b/>
                <w:i/>
              </w:rPr>
              <w:t xml:space="preserve"> </w:t>
            </w:r>
            <w:r w:rsidRPr="000B3CE8">
              <w:t xml:space="preserve">Ved vurderingen af, hvorvidt der foreligger væsentlige fordrejninger, </w:t>
            </w:r>
            <w:r w:rsidRPr="000B3CE8">
              <w:rPr>
                <w:b/>
                <w:i/>
              </w:rPr>
              <w:t>kan</w:t>
            </w:r>
            <w:r w:rsidRPr="000B3CE8">
              <w:t xml:space="preserve"> der bl.a. tages hensyn til mulig påvirkning fra følgende: at det pågældende </w:t>
            </w:r>
            <w:r w:rsidRPr="000B3CE8">
              <w:lastRenderedPageBreak/>
              <w:t>marked i vid udstrækning dækkes af virksomheder, der drives under ejerskab, kontrol, politisk tilsyn eller politisk vejledning fra eksportlandets myndigheders side; statslig tilstedeværelse i virksomheder, som muliggør statslig indgriben med hensyn til priser eller omkostninger; politiske tiltag eller foranstaltninger, der særbehandler til fordel for leverandører på hjemmemarkedet eller på anden måde påvirker de frie markedskræfter; samt adgang til finansiering fra institutioner, der opfylder politiske målsætninger.</w:t>
            </w:r>
          </w:p>
        </w:tc>
        <w:tc>
          <w:tcPr>
            <w:tcW w:w="4876" w:type="dxa"/>
          </w:tcPr>
          <w:p w:rsidR="00FD282A" w:rsidRPr="000B3CE8" w:rsidRDefault="00FD282A" w:rsidP="006D6397">
            <w:pPr>
              <w:pStyle w:val="Normal6"/>
              <w:rPr>
                <w:szCs w:val="24"/>
              </w:rPr>
            </w:pPr>
            <w:r w:rsidRPr="000B3CE8">
              <w:rPr>
                <w:szCs w:val="24"/>
              </w:rPr>
              <w:lastRenderedPageBreak/>
              <w:t>b) Væsentlige fordrejninger</w:t>
            </w:r>
            <w:r w:rsidRPr="000B3CE8">
              <w:rPr>
                <w:b/>
                <w:i/>
                <w:szCs w:val="24"/>
              </w:rPr>
              <w:t>, jf. litra a) er de fordrejninger</w:t>
            </w:r>
            <w:r w:rsidRPr="000B3CE8">
              <w:rPr>
                <w:szCs w:val="24"/>
              </w:rPr>
              <w:t xml:space="preserve">, </w:t>
            </w:r>
            <w:r w:rsidRPr="000B3CE8">
              <w:rPr>
                <w:b/>
                <w:i/>
                <w:szCs w:val="24"/>
              </w:rPr>
              <w:t>der opstår</w:t>
            </w:r>
            <w:r w:rsidRPr="000B3CE8">
              <w:rPr>
                <w:szCs w:val="24"/>
              </w:rPr>
              <w:t xml:space="preserve">, når de indberettede priser eller omkostninger, herunder omkostningerne til råmaterialer, </w:t>
            </w:r>
            <w:r w:rsidRPr="000B3CE8">
              <w:rPr>
                <w:b/>
                <w:i/>
                <w:szCs w:val="24"/>
              </w:rPr>
              <w:t xml:space="preserve">energi og andre produktionsfaktorer, </w:t>
            </w:r>
            <w:r w:rsidRPr="000B3CE8">
              <w:rPr>
                <w:szCs w:val="24"/>
              </w:rPr>
              <w:t>ikke udspringer af frie markedskræfter, fordi de er blevet påvirket af statslig indgriben</w:t>
            </w:r>
            <w:r w:rsidRPr="000B3CE8">
              <w:rPr>
                <w:b/>
                <w:i/>
                <w:szCs w:val="24"/>
              </w:rPr>
              <w:t>, eller ved manglende overholdelse af centrale ILO-konventioner, der er opført i bilag -I, multilaterale miljøaftaler, som Unionen er part i, samt relevante OECD-</w:t>
            </w:r>
            <w:r w:rsidRPr="000B3CE8">
              <w:rPr>
                <w:b/>
                <w:i/>
                <w:szCs w:val="24"/>
              </w:rPr>
              <w:lastRenderedPageBreak/>
              <w:t>overenskomster på skatteområdet, hvilket fører til konkurrencefordrejning</w:t>
            </w:r>
            <w:r w:rsidRPr="000B3CE8">
              <w:rPr>
                <w:szCs w:val="24"/>
              </w:rPr>
              <w:t>.</w:t>
            </w:r>
            <w:r w:rsidRPr="000B3CE8">
              <w:rPr>
                <w:b/>
                <w:i/>
                <w:szCs w:val="24"/>
              </w:rPr>
              <w:t xml:space="preserve"> </w:t>
            </w:r>
            <w:r w:rsidRPr="000B3CE8">
              <w:rPr>
                <w:szCs w:val="24"/>
              </w:rPr>
              <w:t xml:space="preserve">Ved vurderingen af, hvorvidt der foreligger væsentlige fordrejninger, </w:t>
            </w:r>
            <w:r w:rsidRPr="000B3CE8">
              <w:rPr>
                <w:b/>
                <w:i/>
                <w:szCs w:val="24"/>
              </w:rPr>
              <w:t>skal</w:t>
            </w:r>
            <w:r w:rsidRPr="000B3CE8">
              <w:rPr>
                <w:szCs w:val="24"/>
              </w:rPr>
              <w:t xml:space="preserve"> der bl.a. tages hensyn til mulig påvirkning fra følgende: </w:t>
            </w:r>
            <w:r w:rsidRPr="000B3CE8">
              <w:rPr>
                <w:b/>
                <w:i/>
                <w:szCs w:val="24"/>
              </w:rPr>
              <w:t xml:space="preserve">en høj grad af statslig indflydelse på ressourceallokering, beslutninger og virksomheder, enten direkte eller indirekte </w:t>
            </w:r>
            <w:r w:rsidRPr="000B3CE8">
              <w:rPr>
                <w:szCs w:val="24"/>
              </w:rPr>
              <w:t xml:space="preserve">at det pågældende marked i vid udstrækning dækkes af virksomheder, der drives under ejerskab, kontrol, politisk tilsyn eller politisk vejledning fra eksportlandets myndigheders side; statslig tilstedeværelse i virksomheder, som muliggør statslig indgriben med hensyn til priser eller omkostninger; politiske tiltag eller foranstaltninger, der særbehandler til fordel for leverandører på hjemmemarkedet eller på anden måde påvirker de frie markedskræfter; </w:t>
            </w:r>
            <w:r w:rsidRPr="000B3CE8">
              <w:rPr>
                <w:b/>
                <w:i/>
                <w:szCs w:val="24"/>
              </w:rPr>
              <w:t>mangel på, diskriminatorisk anvendelse eller utilstrækkelig håndhævelse af en gennemsigtig og effektivt fungerende selskabsret, der sikrer tilstrækkelig virksomhedsledelse; mangel på, diskriminatorisk anvendelse eller utilstrækkelig håndhævelse af et gennemsigtigt og effektivt sæt af love, der sikrer respekt for ejendomsretten og velfungerende konkursregler; lønsatser, der ikke er et resultat af frie forhandlinger mellem arbejdstagere og ledelse; mangel på et gennemsigtigt sæt af love, hvilket har diskriminerende konsekvenser for joint venture-aftaler og udenlandske investeringer samt adgang til finansiering fra institutioner, der opfylder politiske målsætninger, herunder ved hjælp af sektorbestemte subsidier, eller tilstedeværelsen af et oligopol eller et monopol med hensyn til produktionsfaktorer og andre omstændigheder, som af Kommissionen anses for relevante med henblik på at vurdere tilstedeværelsen af væsentlige fordrejninger.</w:t>
            </w:r>
          </w:p>
        </w:tc>
      </w:tr>
    </w:tbl>
    <w:p w:rsidR="00FD282A" w:rsidRPr="000B3CE8" w:rsidRDefault="00FD282A" w:rsidP="00FD282A"/>
    <w:p w:rsidR="00FD282A" w:rsidRPr="000B3CE8" w:rsidRDefault="00FD282A" w:rsidP="00FD282A">
      <w:pPr>
        <w:pStyle w:val="AMNumberTabs"/>
        <w:keepNext/>
      </w:pPr>
      <w:r w:rsidRPr="000B3CE8">
        <w:lastRenderedPageBreak/>
        <w:t>Ændringsforslag</w:t>
      </w:r>
      <w:r w:rsidRPr="000B3CE8">
        <w:tab/>
      </w:r>
      <w:r w:rsidRPr="000B3CE8">
        <w:tab/>
        <w:t>7</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keepNext/>
      </w:pPr>
      <w:r w:rsidRPr="000B3CE8">
        <w:t>Artikel 1 – stk. 1 – nr. 1</w:t>
      </w:r>
    </w:p>
    <w:p w:rsidR="00FD282A" w:rsidRPr="000B3CE8" w:rsidRDefault="00FD282A" w:rsidP="00FD282A">
      <w:pPr>
        <w:keepNext/>
      </w:pPr>
      <w:r w:rsidRPr="000B3CE8">
        <w:t>Forordning (EU) 2016/1036</w:t>
      </w:r>
    </w:p>
    <w:p w:rsidR="00FD282A" w:rsidRPr="000B3CE8" w:rsidRDefault="00FD282A" w:rsidP="00FD282A">
      <w:r w:rsidRPr="000B3CE8">
        <w:t>Artikel 2 – stk. 6a – litra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D282A" w:rsidRPr="000B3CE8" w:rsidTr="006D6397">
        <w:trPr>
          <w:jc w:val="center"/>
        </w:trPr>
        <w:tc>
          <w:tcPr>
            <w:tcW w:w="9752" w:type="dxa"/>
            <w:gridSpan w:val="2"/>
          </w:tcPr>
          <w:p w:rsidR="00FD282A" w:rsidRPr="000B3CE8" w:rsidRDefault="00FD282A" w:rsidP="006D6397">
            <w:pPr>
              <w:keepNext/>
            </w:pPr>
          </w:p>
        </w:tc>
      </w:tr>
      <w:tr w:rsidR="00FD282A" w:rsidRPr="000B3CE8" w:rsidTr="006D6397">
        <w:trPr>
          <w:jc w:val="center"/>
        </w:trPr>
        <w:tc>
          <w:tcPr>
            <w:tcW w:w="4876" w:type="dxa"/>
          </w:tcPr>
          <w:p w:rsidR="00FD282A" w:rsidRPr="000B3CE8" w:rsidRDefault="00FD282A" w:rsidP="006D6397">
            <w:pPr>
              <w:pStyle w:val="ColumnHeading"/>
              <w:keepNext/>
            </w:pPr>
            <w:r w:rsidRPr="000B3CE8">
              <w:t>Kommissionens forslag</w:t>
            </w:r>
          </w:p>
        </w:tc>
        <w:tc>
          <w:tcPr>
            <w:tcW w:w="4876" w:type="dxa"/>
          </w:tcPr>
          <w:p w:rsidR="00FD282A" w:rsidRPr="000B3CE8" w:rsidRDefault="00FD282A" w:rsidP="006D6397">
            <w:pPr>
              <w:pStyle w:val="ColumnHeading"/>
              <w:keepNext/>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r w:rsidRPr="000B3CE8">
              <w:t xml:space="preserve">c) </w:t>
            </w:r>
            <w:r w:rsidRPr="000B3CE8">
              <w:rPr>
                <w:b/>
                <w:i/>
              </w:rPr>
              <w:t xml:space="preserve">Hvis det er relevant, kan </w:t>
            </w:r>
            <w:r w:rsidRPr="000B3CE8">
              <w:t xml:space="preserve">Kommissionens tjenestegrene </w:t>
            </w:r>
            <w:r w:rsidRPr="000B3CE8">
              <w:rPr>
                <w:b/>
                <w:i/>
              </w:rPr>
              <w:t>udarbejde</w:t>
            </w:r>
            <w:r w:rsidRPr="000B3CE8">
              <w:t xml:space="preserve"> en rapport med beskrivelse af den specifikke situation i et givet land eller en given sektor vedrørende de i litra b) opførte kriterier. En sådan rapport og det bevismateriale, som den bygger på, </w:t>
            </w:r>
            <w:r w:rsidRPr="000B3CE8">
              <w:rPr>
                <w:b/>
                <w:i/>
              </w:rPr>
              <w:t>kan</w:t>
            </w:r>
            <w:r w:rsidRPr="000B3CE8">
              <w:t xml:space="preserve"> indgå i sagsakterne til eventuelle undersøgelser vedrørende det pågældende land eller den pågældende sektor. Interesserede parter skal gives rig lejlighed til at</w:t>
            </w:r>
            <w:r w:rsidRPr="000B3CE8">
              <w:rPr>
                <w:b/>
                <w:i/>
              </w:rPr>
              <w:t xml:space="preserve"> supplere,</w:t>
            </w:r>
            <w:r w:rsidRPr="000B3CE8">
              <w:t xml:space="preserve"> fremsætte bemærkninger til og støtte sig til rapporten og det bevismateriale, som den bygger på, i forbindelse med undersøgelser, hvori rapporten og bevismaterialet anvendes. </w:t>
            </w:r>
            <w:r w:rsidRPr="000B3CE8">
              <w:rPr>
                <w:b/>
                <w:i/>
              </w:rPr>
              <w:t>Fastsættelserne skal ske under hensyntagen til alle relevante beviser, som indgår i sagsakterne.</w:t>
            </w:r>
          </w:p>
        </w:tc>
        <w:tc>
          <w:tcPr>
            <w:tcW w:w="4876" w:type="dxa"/>
          </w:tcPr>
          <w:p w:rsidR="00FD282A" w:rsidRPr="000B3CE8" w:rsidRDefault="00FD282A" w:rsidP="006D6397">
            <w:pPr>
              <w:pStyle w:val="Normal6"/>
              <w:rPr>
                <w:szCs w:val="24"/>
              </w:rPr>
            </w:pPr>
            <w:r w:rsidRPr="000B3CE8">
              <w:rPr>
                <w:szCs w:val="24"/>
              </w:rPr>
              <w:t xml:space="preserve">c) Kommissionens tjenestegrene </w:t>
            </w:r>
            <w:r w:rsidRPr="000B3CE8">
              <w:rPr>
                <w:b/>
                <w:i/>
                <w:szCs w:val="24"/>
              </w:rPr>
              <w:t>udarbejder</w:t>
            </w:r>
            <w:r w:rsidRPr="000B3CE8">
              <w:rPr>
                <w:szCs w:val="24"/>
              </w:rPr>
              <w:t xml:space="preserve"> en</w:t>
            </w:r>
            <w:r w:rsidRPr="000B3CE8">
              <w:rPr>
                <w:b/>
                <w:i/>
                <w:szCs w:val="24"/>
              </w:rPr>
              <w:t xml:space="preserve"> detaljeret</w:t>
            </w:r>
            <w:r w:rsidRPr="000B3CE8">
              <w:rPr>
                <w:szCs w:val="24"/>
              </w:rPr>
              <w:t xml:space="preserve"> rapport med beskrivelse af den specifikke situation i et givet land eller en given sektor vedrørende de i litra b) opførte kriterier. </w:t>
            </w:r>
            <w:r w:rsidRPr="000B3CE8">
              <w:rPr>
                <w:b/>
                <w:i/>
                <w:szCs w:val="24"/>
              </w:rPr>
              <w:t>For de lande, hvor der er indledt et betydeligt antal antidumpingsager, skal rapporten være vedtaget inden den ... [indsæt datoen for nærværende forordnings ikrafttræden + 15 dage].</w:t>
            </w:r>
            <w:r w:rsidRPr="000B3CE8">
              <w:rPr>
                <w:szCs w:val="24"/>
              </w:rPr>
              <w:t xml:space="preserve"> En sådan rapport og det bevismateriale, som den bygger på, </w:t>
            </w:r>
            <w:r w:rsidRPr="000B3CE8">
              <w:rPr>
                <w:b/>
                <w:i/>
                <w:szCs w:val="24"/>
              </w:rPr>
              <w:t>skal</w:t>
            </w:r>
            <w:r w:rsidRPr="000B3CE8">
              <w:rPr>
                <w:szCs w:val="24"/>
              </w:rPr>
              <w:t xml:space="preserve"> indgå i sagsakterne til eventuelle undersøgelser vedrørende det pågældende land eller den pågældende sektor. Interesserede parter</w:t>
            </w:r>
            <w:r w:rsidRPr="000B3CE8">
              <w:rPr>
                <w:b/>
                <w:i/>
                <w:szCs w:val="24"/>
              </w:rPr>
              <w:t>, heriblandt EU-erhvervsgrenen og fagforeninger,</w:t>
            </w:r>
            <w:r w:rsidRPr="000B3CE8">
              <w:rPr>
                <w:szCs w:val="24"/>
              </w:rPr>
              <w:t xml:space="preserve"> skal gives rig lejlighed til at fremsætte bemærkninger til og støtte sig til rapporten og det bevismateriale, som den bygger på, i forbindelse med undersøgelser, hvori rapporten og bevismaterialet anvendes. </w:t>
            </w:r>
            <w:r w:rsidRPr="000B3CE8">
              <w:rPr>
                <w:b/>
                <w:i/>
                <w:szCs w:val="24"/>
              </w:rPr>
              <w:t xml:space="preserve">Sådanne indikatorer skal tages i betragtning, når der tages beslutning om udarbejdelse eller ajourføring af de relevante rapporter. Ved udarbejdelsen af sin rapport skal Kommissionen tage hensyn til SMV'ernes økonomiske og handelsmæssige karakteristika og hjælpe dem i processen med at anvende rapporterne. Kommissionen skal, når den træffer sine afgørelser, tage hensyn til alle de relevante bevismaterialer, der indgår i sagsakterne. Kommissionen skal efter anmodning fra Europa-Parlamentet eller en medlemsstat eller på eget initiativ, når forholdene i et specifikt land eller en specifik sektor har ændret sig, påbegynde eller ajourføre rapporten. Kommissionen skal lade en analyse af gennemførelsen af denne forordning indgå i sin årlige rapport om Unionens antidumping-, </w:t>
            </w:r>
            <w:r w:rsidRPr="000B3CE8">
              <w:rPr>
                <w:b/>
                <w:i/>
                <w:szCs w:val="24"/>
              </w:rPr>
              <w:lastRenderedPageBreak/>
              <w:t>antisubsidie- og beskyttelsesforanstaltninger og forelægge den for Europa-Parlamentet.</w:t>
            </w:r>
          </w:p>
        </w:tc>
      </w:tr>
    </w:tbl>
    <w:p w:rsidR="00FD282A" w:rsidRPr="000B3CE8" w:rsidRDefault="00FD282A" w:rsidP="00FD282A"/>
    <w:p w:rsidR="00FD282A" w:rsidRPr="000B3CE8" w:rsidRDefault="00FD282A" w:rsidP="00FD282A">
      <w:pPr>
        <w:pStyle w:val="AMNumberTabs"/>
        <w:keepNext/>
      </w:pPr>
      <w:r w:rsidRPr="000B3CE8">
        <w:t>Ændringsforslag</w:t>
      </w:r>
      <w:r w:rsidRPr="000B3CE8">
        <w:tab/>
      </w:r>
      <w:r w:rsidRPr="000B3CE8">
        <w:tab/>
        <w:t>8</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keepNext/>
      </w:pPr>
      <w:r w:rsidRPr="000B3CE8">
        <w:t>Artikel 1 – stk. 1 – nr. 1</w:t>
      </w:r>
    </w:p>
    <w:p w:rsidR="00FD282A" w:rsidRPr="000B3CE8" w:rsidRDefault="00FD282A" w:rsidP="00FD282A">
      <w:pPr>
        <w:keepNext/>
      </w:pPr>
      <w:r w:rsidRPr="000B3CE8">
        <w:t>Forordning (EU) 2016/1036</w:t>
      </w:r>
    </w:p>
    <w:p w:rsidR="00FD282A" w:rsidRPr="000B3CE8" w:rsidRDefault="00FD282A" w:rsidP="00FD282A">
      <w:r w:rsidRPr="000B3CE8">
        <w:t>Artikel 2 – stk. 6a – litra d</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D282A" w:rsidRPr="000B3CE8" w:rsidTr="006D6397">
        <w:trPr>
          <w:jc w:val="center"/>
        </w:trPr>
        <w:tc>
          <w:tcPr>
            <w:tcW w:w="9752" w:type="dxa"/>
            <w:gridSpan w:val="2"/>
          </w:tcPr>
          <w:p w:rsidR="00FD282A" w:rsidRPr="000B3CE8" w:rsidRDefault="00FD282A" w:rsidP="006D6397">
            <w:pPr>
              <w:keepNext/>
            </w:pPr>
          </w:p>
        </w:tc>
      </w:tr>
      <w:tr w:rsidR="00FD282A" w:rsidRPr="000B3CE8" w:rsidTr="006D6397">
        <w:trPr>
          <w:jc w:val="center"/>
        </w:trPr>
        <w:tc>
          <w:tcPr>
            <w:tcW w:w="4876" w:type="dxa"/>
          </w:tcPr>
          <w:p w:rsidR="00FD282A" w:rsidRPr="000B3CE8" w:rsidRDefault="00FD282A" w:rsidP="006D6397">
            <w:pPr>
              <w:pStyle w:val="ColumnHeading"/>
              <w:keepNext/>
            </w:pPr>
            <w:r w:rsidRPr="000B3CE8">
              <w:t>Kommissionens forslag</w:t>
            </w:r>
          </w:p>
        </w:tc>
        <w:tc>
          <w:tcPr>
            <w:tcW w:w="4876" w:type="dxa"/>
          </w:tcPr>
          <w:p w:rsidR="00FD282A" w:rsidRPr="000B3CE8" w:rsidRDefault="00FD282A" w:rsidP="006D6397">
            <w:pPr>
              <w:pStyle w:val="ColumnHeading"/>
              <w:keepNext/>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r w:rsidRPr="000B3CE8">
              <w:t>d) EU-erhvervsgrenen kan støtte sig til den i litra c) nævnte rapport i forbindelse med beregningen af den normale værdi, når den indgiver en klage i henhold til artikel 5 eller en anmodning om undersøgelse i henhold til artikel 11.</w:t>
            </w:r>
          </w:p>
        </w:tc>
        <w:tc>
          <w:tcPr>
            <w:tcW w:w="4876" w:type="dxa"/>
          </w:tcPr>
          <w:p w:rsidR="00FD282A" w:rsidRPr="000B3CE8" w:rsidRDefault="00FD282A" w:rsidP="006D6397">
            <w:pPr>
              <w:pStyle w:val="Normal6"/>
              <w:rPr>
                <w:szCs w:val="24"/>
              </w:rPr>
            </w:pPr>
            <w:r w:rsidRPr="000B3CE8">
              <w:rPr>
                <w:szCs w:val="24"/>
              </w:rPr>
              <w:t xml:space="preserve">d) EU-erhvervsgrenen kan støtte sig til den i litra c) nævnte rapport i forbindelse med beregningen af den normale værdi, når den indgiver en klage i henhold til artikel 5, en anmodning om undersøgelse i henhold til artikel 11 </w:t>
            </w:r>
            <w:r w:rsidRPr="000B3CE8">
              <w:rPr>
                <w:b/>
                <w:i/>
                <w:szCs w:val="24"/>
              </w:rPr>
              <w:t>eller en anmodning om</w:t>
            </w:r>
            <w:r w:rsidRPr="000B3CE8">
              <w:rPr>
                <w:szCs w:val="24"/>
              </w:rPr>
              <w:t xml:space="preserve"> </w:t>
            </w:r>
            <w:r w:rsidRPr="000B3CE8">
              <w:rPr>
                <w:b/>
                <w:i/>
                <w:szCs w:val="24"/>
              </w:rPr>
              <w:t>en fornyet undersøgelse i henhold til artikel</w:t>
            </w:r>
            <w:r w:rsidRPr="000B3CE8">
              <w:rPr>
                <w:szCs w:val="24"/>
              </w:rPr>
              <w:t xml:space="preserve"> </w:t>
            </w:r>
            <w:r w:rsidRPr="000B3CE8">
              <w:rPr>
                <w:b/>
                <w:i/>
                <w:szCs w:val="24"/>
              </w:rPr>
              <w:t>12. Når rapporten viser, at der er foreligger én eller flere væsentlige fordrejninger, udgør rapporten i henhold til litra c) tilstrækkeligt bevis for at begrunde beregningen af den normale værdi i henhold til litra a). EU-erhvervsgrenen skal under alle omstændigheder ikke pålægges yderligere byrder med hensyn til fastlæggelsen af, at der foreligger væsentlige fordrejninger i et tredjeland eller en sektor. I mangel af en rapport skal Kommissionen anvende alle tilgængelige oplysninger eller data til at fastslå eksistensen af én eller flere væsentlige fordrejninger og anvende den metode, der er nævnt i litra a), hvis de relevante betingelser er opfyldt.</w:t>
            </w:r>
          </w:p>
        </w:tc>
      </w:tr>
    </w:tbl>
    <w:p w:rsidR="00FD282A" w:rsidRPr="000B3CE8" w:rsidRDefault="00FD282A" w:rsidP="00FD282A"/>
    <w:p w:rsidR="00FD282A" w:rsidRPr="000B3CE8" w:rsidRDefault="00FD282A" w:rsidP="00FD282A">
      <w:pPr>
        <w:pStyle w:val="AMNumberTabs"/>
        <w:keepNext/>
      </w:pPr>
      <w:r w:rsidRPr="000B3CE8">
        <w:t>Ændringsforslag</w:t>
      </w:r>
      <w:r w:rsidRPr="000B3CE8">
        <w:tab/>
      </w:r>
      <w:r w:rsidRPr="000B3CE8">
        <w:tab/>
        <w:t>9</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keepNext/>
      </w:pPr>
      <w:r w:rsidRPr="000B3CE8">
        <w:t>Artikel 1 – stk. 1 – nr. 1</w:t>
      </w:r>
    </w:p>
    <w:p w:rsidR="00FD282A" w:rsidRPr="000B3CE8" w:rsidRDefault="00FD282A" w:rsidP="00FD282A">
      <w:pPr>
        <w:keepNext/>
      </w:pPr>
      <w:r w:rsidRPr="000B3CE8">
        <w:t>Forordning (EU) 2016/1036</w:t>
      </w:r>
    </w:p>
    <w:p w:rsidR="00FD282A" w:rsidRPr="000B3CE8" w:rsidRDefault="00FD282A" w:rsidP="00FD282A">
      <w:r w:rsidRPr="000B3CE8">
        <w:t>Artikel 2 – stk. 6a – litra e</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D282A" w:rsidRPr="000B3CE8" w:rsidTr="006D6397">
        <w:trPr>
          <w:jc w:val="center"/>
        </w:trPr>
        <w:tc>
          <w:tcPr>
            <w:tcW w:w="9752" w:type="dxa"/>
            <w:gridSpan w:val="2"/>
          </w:tcPr>
          <w:p w:rsidR="00FD282A" w:rsidRPr="000B3CE8" w:rsidRDefault="00FD282A" w:rsidP="006D6397">
            <w:pPr>
              <w:keepNext/>
            </w:pPr>
          </w:p>
        </w:tc>
      </w:tr>
      <w:tr w:rsidR="00FD282A" w:rsidRPr="000B3CE8" w:rsidTr="006D6397">
        <w:trPr>
          <w:jc w:val="center"/>
        </w:trPr>
        <w:tc>
          <w:tcPr>
            <w:tcW w:w="4876" w:type="dxa"/>
          </w:tcPr>
          <w:p w:rsidR="00FD282A" w:rsidRPr="000B3CE8" w:rsidRDefault="00FD282A" w:rsidP="006D6397">
            <w:pPr>
              <w:pStyle w:val="ColumnHeading"/>
              <w:keepNext/>
            </w:pPr>
            <w:r w:rsidRPr="000B3CE8">
              <w:t>Kommissionens forslag</w:t>
            </w:r>
          </w:p>
        </w:tc>
        <w:tc>
          <w:tcPr>
            <w:tcW w:w="4876" w:type="dxa"/>
          </w:tcPr>
          <w:p w:rsidR="00FD282A" w:rsidRPr="000B3CE8" w:rsidRDefault="00FD282A" w:rsidP="006D6397">
            <w:pPr>
              <w:pStyle w:val="ColumnHeading"/>
              <w:keepNext/>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r w:rsidRPr="000B3CE8">
              <w:t xml:space="preserve">e) Umiddelbart efter iværksættelsen af undersøgelsen underrettes parterne i undersøgelsen om de relevante kilder, som Kommissionen påtænker at anvende, jf. litra a), og parterne indrømmes en frist på </w:t>
            </w:r>
            <w:r w:rsidRPr="000B3CE8">
              <w:rPr>
                <w:b/>
                <w:i/>
              </w:rPr>
              <w:t>10 dage</w:t>
            </w:r>
            <w:r w:rsidRPr="000B3CE8">
              <w:t xml:space="preserve"> til at fremsætte bemærkninger. Med henblik herpå gives de interesserede parter adgang til sagsakten, herunder til eventuelt bevismateriale, som den undersøgende myndighed støtter sig til, med forbehold af artikel 19.</w:t>
            </w:r>
          </w:p>
        </w:tc>
        <w:tc>
          <w:tcPr>
            <w:tcW w:w="4876" w:type="dxa"/>
          </w:tcPr>
          <w:p w:rsidR="00FD282A" w:rsidRPr="000B3CE8" w:rsidRDefault="00FD282A" w:rsidP="006D6397">
            <w:pPr>
              <w:pStyle w:val="Normal6"/>
              <w:rPr>
                <w:szCs w:val="24"/>
              </w:rPr>
            </w:pPr>
            <w:r w:rsidRPr="000B3CE8">
              <w:rPr>
                <w:szCs w:val="24"/>
              </w:rPr>
              <w:t xml:space="preserve">e) Umiddelbart efter iværksættelsen af undersøgelsen underrettes parterne i undersøgelsen om de relevante kilder, som Kommissionen påtænker at anvende, jf. litra a), </w:t>
            </w:r>
            <w:r w:rsidRPr="000B3CE8">
              <w:rPr>
                <w:b/>
                <w:i/>
                <w:szCs w:val="24"/>
              </w:rPr>
              <w:t xml:space="preserve">herunder en foreløbig afgørelse om, at der foreligger væsentlige fordrejninger, </w:t>
            </w:r>
            <w:r w:rsidRPr="000B3CE8">
              <w:rPr>
                <w:szCs w:val="24"/>
              </w:rPr>
              <w:t xml:space="preserve">og parterne indrømmes en frist på </w:t>
            </w:r>
            <w:r w:rsidRPr="000B3CE8">
              <w:rPr>
                <w:b/>
                <w:i/>
                <w:szCs w:val="24"/>
              </w:rPr>
              <w:t>ti arbejdsdage</w:t>
            </w:r>
            <w:r w:rsidRPr="000B3CE8">
              <w:rPr>
                <w:szCs w:val="24"/>
              </w:rPr>
              <w:t xml:space="preserve"> til at fremsætte bemærkninger. Med henblik herpå gives de interesserede parter </w:t>
            </w:r>
            <w:r w:rsidRPr="000B3CE8">
              <w:rPr>
                <w:b/>
                <w:i/>
                <w:szCs w:val="24"/>
              </w:rPr>
              <w:t xml:space="preserve">efter registrering i et register, som føres af Kommissionen, </w:t>
            </w:r>
            <w:r w:rsidRPr="000B3CE8">
              <w:rPr>
                <w:szCs w:val="24"/>
              </w:rPr>
              <w:t xml:space="preserve">adgang til sagsakten, herunder til eventuelt bevismateriale, som den undersøgende myndighed støtter sig til, med forbehold af artikel 19. </w:t>
            </w:r>
            <w:r w:rsidRPr="000B3CE8">
              <w:rPr>
                <w:b/>
                <w:i/>
                <w:szCs w:val="24"/>
              </w:rPr>
              <w:t>Kommissionen skal foretage en definitiv fastsættelse af, at der foreligger én eller flere væsentlige fordrejninger i eksportlandets økonomi som helhed eller i en sektor heraf, og meddele dette til parterne, senest 60 dage efter undersøgelsen er påbegyndt.</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pPr>
            <w:r w:rsidRPr="000B3CE8">
              <w:rPr>
                <w:b/>
                <w:i/>
                <w:szCs w:val="24"/>
              </w:rPr>
              <w:t>En fastsættelse af, at der findes væsentlige fordrejninger i et givet land eller en given sektor, skal forblive i kraft, indtil den tilbagekaldes, og tilbagekaldelsen skal kun ske, hvis der er tilstrækkeligt bevismateriale, som entydigt viser, at der ikke længere foreligger væsentlige fordrejninger i det pågældende land eller den pågældende sektor.</w:t>
            </w:r>
          </w:p>
        </w:tc>
      </w:tr>
    </w:tbl>
    <w:p w:rsidR="00FD282A" w:rsidRPr="000B3CE8" w:rsidRDefault="00FD282A" w:rsidP="00FD282A"/>
    <w:p w:rsidR="00FD282A" w:rsidRPr="000B3CE8" w:rsidRDefault="00FD282A" w:rsidP="00FD282A">
      <w:pPr>
        <w:pStyle w:val="AMNumberTabs"/>
      </w:pPr>
      <w:r w:rsidRPr="000B3CE8">
        <w:t>Ændringsforslag</w:t>
      </w:r>
      <w:r w:rsidRPr="000B3CE8">
        <w:tab/>
      </w:r>
      <w:r w:rsidRPr="000B3CE8">
        <w:tab/>
        <w:t>10</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pPr>
      <w:r w:rsidRPr="000B3CE8">
        <w:t>Artikel 1 – stk. 1 – nr. 2</w:t>
      </w:r>
    </w:p>
    <w:p w:rsidR="00FD282A" w:rsidRPr="000B3CE8" w:rsidRDefault="00FD282A" w:rsidP="00FD282A">
      <w:r w:rsidRPr="000B3CE8">
        <w:t>Forordning (EU) 2016/1036</w:t>
      </w:r>
    </w:p>
    <w:p w:rsidR="00FD282A" w:rsidRPr="000B3CE8" w:rsidRDefault="00FD282A" w:rsidP="00FD282A">
      <w:r w:rsidRPr="000B3CE8">
        <w:t>Artikel 2 – stk. 7 – afsnit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2A" w:rsidRPr="000B3CE8" w:rsidTr="006D6397">
        <w:trPr>
          <w:trHeight w:val="240"/>
          <w:jc w:val="center"/>
        </w:trPr>
        <w:tc>
          <w:tcPr>
            <w:tcW w:w="9752" w:type="dxa"/>
            <w:gridSpan w:val="2"/>
          </w:tcPr>
          <w:p w:rsidR="00FD282A" w:rsidRPr="000B3CE8" w:rsidRDefault="00FD282A" w:rsidP="006D6397"/>
        </w:tc>
      </w:tr>
      <w:tr w:rsidR="00FD282A" w:rsidRPr="000B3CE8" w:rsidTr="006D6397">
        <w:trPr>
          <w:trHeight w:val="240"/>
          <w:jc w:val="center"/>
        </w:trPr>
        <w:tc>
          <w:tcPr>
            <w:tcW w:w="4876" w:type="dxa"/>
            <w:hideMark/>
          </w:tcPr>
          <w:p w:rsidR="00FD282A" w:rsidRPr="000B3CE8" w:rsidRDefault="00FD282A" w:rsidP="006D6397">
            <w:pPr>
              <w:pStyle w:val="ColumnHeading"/>
            </w:pPr>
            <w:r w:rsidRPr="000B3CE8">
              <w:t>Kommissionens forslag</w:t>
            </w:r>
          </w:p>
        </w:tc>
        <w:tc>
          <w:tcPr>
            <w:tcW w:w="4876" w:type="dxa"/>
            <w:hideMark/>
          </w:tcPr>
          <w:p w:rsidR="00FD282A" w:rsidRPr="000B3CE8" w:rsidRDefault="00FD282A" w:rsidP="006D6397">
            <w:pPr>
              <w:pStyle w:val="ColumnHeading"/>
            </w:pPr>
            <w:r w:rsidRPr="000B3CE8">
              <w:t>Ændringsforslag</w:t>
            </w:r>
          </w:p>
        </w:tc>
      </w:tr>
      <w:tr w:rsidR="00FD282A" w:rsidRPr="000B3CE8" w:rsidTr="006D6397">
        <w:trPr>
          <w:jc w:val="center"/>
        </w:trPr>
        <w:tc>
          <w:tcPr>
            <w:tcW w:w="4876" w:type="dxa"/>
            <w:hideMark/>
          </w:tcPr>
          <w:p w:rsidR="00FD282A" w:rsidRPr="000B3CE8" w:rsidRDefault="00FD282A" w:rsidP="006D6397">
            <w:pPr>
              <w:pStyle w:val="Normal6"/>
            </w:pPr>
            <w:r w:rsidRPr="000B3CE8">
              <w:t xml:space="preserve">Ved indførsel fra lande, der på tidspunktet for indledningen af undersøgelsen ikke er medlemmer af WTO, og som står opført i bilag I til forordning (EU) 2015/755, fastsættes den normale værdi på grundlag </w:t>
            </w:r>
            <w:r w:rsidRPr="000B3CE8">
              <w:lastRenderedPageBreak/>
              <w:t xml:space="preserve">af prisen eller den beregnede værdi i et </w:t>
            </w:r>
            <w:r w:rsidRPr="000B3CE8">
              <w:rPr>
                <w:b/>
                <w:i/>
              </w:rPr>
              <w:t>tredjeland med markedsøkonomi</w:t>
            </w:r>
            <w:r w:rsidRPr="000B3CE8">
              <w:t xml:space="preserve"> eller prisen ved salg fra et sådant tredjeland til andre lande, herunder Unionen, eller, hvis dette ikke er muligt, på ethvert andet rimeligt grundlag, herunder den pris, der faktisk er betalt eller skal betales i Unionen for samme vare, om nødvendigt justeret for at indregne en rimelig fortjenstmargen.</w:t>
            </w:r>
          </w:p>
        </w:tc>
        <w:tc>
          <w:tcPr>
            <w:tcW w:w="4876" w:type="dxa"/>
            <w:hideMark/>
          </w:tcPr>
          <w:p w:rsidR="00FD282A" w:rsidRPr="000B3CE8" w:rsidRDefault="00DF2C38" w:rsidP="006D6397">
            <w:pPr>
              <w:pStyle w:val="Normal6"/>
            </w:pPr>
            <w:r w:rsidRPr="000D0A39">
              <w:rPr>
                <w:b/>
                <w:i/>
              </w:rPr>
              <w:lastRenderedPageBreak/>
              <w:t>7)</w:t>
            </w:r>
            <w:r w:rsidRPr="000B3CE8">
              <w:t xml:space="preserve"> </w:t>
            </w:r>
            <w:r w:rsidR="00FD282A" w:rsidRPr="000B3CE8">
              <w:t xml:space="preserve">Ved indførsel fra lande, der på tidspunktet for indledningen af undersøgelsen ikke er medlemmer af WTO, og som står opført i bilag I til forordning (EU) 2015/755, fastsættes den </w:t>
            </w:r>
            <w:r w:rsidR="00FD282A" w:rsidRPr="000B3CE8">
              <w:lastRenderedPageBreak/>
              <w:t xml:space="preserve">normale værdi på grundlag af prisen eller den beregnede værdi i et </w:t>
            </w:r>
            <w:r w:rsidR="00FD282A" w:rsidRPr="000B3CE8">
              <w:rPr>
                <w:b/>
                <w:i/>
              </w:rPr>
              <w:t>egnet repræsentativt land, der enten er medlem af WTO</w:t>
            </w:r>
            <w:r w:rsidR="00FD282A" w:rsidRPr="000B3CE8">
              <w:t xml:space="preserve"> eller</w:t>
            </w:r>
            <w:r w:rsidR="00FD282A" w:rsidRPr="000B3CE8">
              <w:rPr>
                <w:b/>
                <w:i/>
              </w:rPr>
              <w:t xml:space="preserve"> ikke står opført i bilag I til forordning (EU) 2015/755. I modsat fald fastsættes den normale værdi på grundlag af</w:t>
            </w:r>
            <w:r w:rsidR="00FD282A" w:rsidRPr="000B3CE8">
              <w:t xml:space="preserve"> prisen ved salg fra et sådant tredjeland til andre lande, herunder Unionen, eller, hvis dette ikke er muligt, på ethvert andet rimeligt grundlag, herunder den pris, der faktisk er betalt eller skal betales i Unionen for samme vare, om nødvendigt justeret for at indregne en rimelig fortjenstmargen.</w:t>
            </w:r>
          </w:p>
        </w:tc>
      </w:tr>
    </w:tbl>
    <w:p w:rsidR="00FD282A" w:rsidRPr="000B3CE8" w:rsidRDefault="00FD282A" w:rsidP="00FD282A"/>
    <w:p w:rsidR="00FD282A" w:rsidRPr="000B3CE8" w:rsidRDefault="00FD282A" w:rsidP="00FD282A">
      <w:pPr>
        <w:pStyle w:val="AMNumberTabs"/>
      </w:pPr>
      <w:r w:rsidRPr="000B3CE8">
        <w:t>Ændringsforslag</w:t>
      </w:r>
      <w:r w:rsidRPr="000B3CE8">
        <w:tab/>
      </w:r>
      <w:r w:rsidRPr="000B3CE8">
        <w:tab/>
        <w:t>11</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pPr>
      <w:r w:rsidRPr="000B3CE8">
        <w:t>Artikel 1 – stk. 1 – nr. 2</w:t>
      </w:r>
    </w:p>
    <w:p w:rsidR="00FD282A" w:rsidRPr="000B3CE8" w:rsidRDefault="00FD282A" w:rsidP="00FD282A">
      <w:r w:rsidRPr="000B3CE8">
        <w:t>Forordning (EU) 2016/1036</w:t>
      </w:r>
    </w:p>
    <w:p w:rsidR="00FD282A" w:rsidRPr="000B3CE8" w:rsidRDefault="00FD282A" w:rsidP="00FD282A">
      <w:r w:rsidRPr="000B3CE8">
        <w:t>Artikel 2 – stk. 7 – afsnit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2A" w:rsidRPr="000B3CE8" w:rsidTr="006D6397">
        <w:trPr>
          <w:trHeight w:val="240"/>
          <w:jc w:val="center"/>
        </w:trPr>
        <w:tc>
          <w:tcPr>
            <w:tcW w:w="9752" w:type="dxa"/>
            <w:gridSpan w:val="2"/>
          </w:tcPr>
          <w:p w:rsidR="00FD282A" w:rsidRPr="000B3CE8" w:rsidRDefault="00FD282A" w:rsidP="006D6397"/>
        </w:tc>
      </w:tr>
      <w:tr w:rsidR="00FD282A" w:rsidRPr="000B3CE8" w:rsidTr="006D6397">
        <w:trPr>
          <w:trHeight w:val="240"/>
          <w:jc w:val="center"/>
        </w:trPr>
        <w:tc>
          <w:tcPr>
            <w:tcW w:w="4876" w:type="dxa"/>
            <w:hideMark/>
          </w:tcPr>
          <w:p w:rsidR="00FD282A" w:rsidRPr="000B3CE8" w:rsidRDefault="00FD282A" w:rsidP="006D6397">
            <w:pPr>
              <w:pStyle w:val="ColumnHeading"/>
            </w:pPr>
            <w:r w:rsidRPr="000B3CE8">
              <w:t>Kommissionens forslag</w:t>
            </w:r>
          </w:p>
        </w:tc>
        <w:tc>
          <w:tcPr>
            <w:tcW w:w="4876" w:type="dxa"/>
            <w:hideMark/>
          </w:tcPr>
          <w:p w:rsidR="00FD282A" w:rsidRPr="000B3CE8" w:rsidRDefault="00FD282A" w:rsidP="006D6397">
            <w:pPr>
              <w:pStyle w:val="ColumnHeading"/>
            </w:pPr>
            <w:r w:rsidRPr="000B3CE8">
              <w:t>Ændringsforslag</w:t>
            </w:r>
          </w:p>
        </w:tc>
      </w:tr>
      <w:tr w:rsidR="00FD282A" w:rsidRPr="000B3CE8" w:rsidTr="006D6397">
        <w:trPr>
          <w:jc w:val="center"/>
        </w:trPr>
        <w:tc>
          <w:tcPr>
            <w:tcW w:w="4876" w:type="dxa"/>
            <w:hideMark/>
          </w:tcPr>
          <w:p w:rsidR="00FD282A" w:rsidRPr="000B3CE8" w:rsidRDefault="00FD282A" w:rsidP="006D6397">
            <w:pPr>
              <w:pStyle w:val="Normal6"/>
            </w:pPr>
            <w:r w:rsidRPr="000B3CE8">
              <w:t xml:space="preserve">Et egnet </w:t>
            </w:r>
            <w:r w:rsidRPr="000B3CE8">
              <w:rPr>
                <w:b/>
                <w:i/>
              </w:rPr>
              <w:t>tredjeland med markedsøkonomi</w:t>
            </w:r>
            <w:r w:rsidRPr="000B3CE8">
              <w:t xml:space="preserve"> udvælges på en ikke urimelig måde under skyldig hensyntagen til alle pålidelige oplysninger, der er fremlagt på tidspunktet for udvælgelsen. Der tages også hensyn til tidsfrister. Er det relevant, anvendes et </w:t>
            </w:r>
            <w:r w:rsidRPr="000B3CE8">
              <w:rPr>
                <w:b/>
                <w:i/>
              </w:rPr>
              <w:t>tredjeland med markedsøkonomi</w:t>
            </w:r>
            <w:r w:rsidRPr="000B3CE8">
              <w:t>, som er omfattet af samme undersøgelse.</w:t>
            </w:r>
          </w:p>
        </w:tc>
        <w:tc>
          <w:tcPr>
            <w:tcW w:w="4876" w:type="dxa"/>
            <w:hideMark/>
          </w:tcPr>
          <w:p w:rsidR="00FD282A" w:rsidRPr="000B3CE8" w:rsidRDefault="00FD282A" w:rsidP="006D6397">
            <w:pPr>
              <w:pStyle w:val="Normal6"/>
            </w:pPr>
            <w:r w:rsidRPr="000B3CE8">
              <w:t xml:space="preserve">Et egnet </w:t>
            </w:r>
            <w:r w:rsidRPr="000B3CE8">
              <w:rPr>
                <w:b/>
                <w:i/>
              </w:rPr>
              <w:t>repræsentativt land</w:t>
            </w:r>
            <w:r w:rsidRPr="000B3CE8">
              <w:t xml:space="preserve"> udvælges på en ikke urimelig måde under skyldig hensyntagen til alle pålidelige oplysninger, der er fremlagt på tidspunktet for udvælgelsen. Der tages også hensyn til tidsfrister. Er det relevant, anvendes et </w:t>
            </w:r>
            <w:r w:rsidRPr="000B3CE8">
              <w:rPr>
                <w:b/>
                <w:i/>
              </w:rPr>
              <w:t>egnet repræsentativt land</w:t>
            </w:r>
            <w:r w:rsidRPr="000B3CE8">
              <w:t>, som er omfattet af samme undersøgelse.</w:t>
            </w:r>
          </w:p>
        </w:tc>
      </w:tr>
    </w:tbl>
    <w:p w:rsidR="00FD282A" w:rsidRPr="000B3CE8" w:rsidRDefault="00FD282A" w:rsidP="00FD282A"/>
    <w:p w:rsidR="00FD282A" w:rsidRPr="000B3CE8" w:rsidRDefault="00FD282A" w:rsidP="00FD282A">
      <w:pPr>
        <w:pStyle w:val="AMNumberTabs"/>
      </w:pPr>
      <w:r w:rsidRPr="000B3CE8">
        <w:t>Ændringsforslag</w:t>
      </w:r>
      <w:r w:rsidRPr="000B3CE8">
        <w:tab/>
      </w:r>
      <w:r w:rsidRPr="000B3CE8">
        <w:tab/>
        <w:t>12</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pPr>
      <w:r w:rsidRPr="000B3CE8">
        <w:t>Artikel 1 – stk. 1 – nr. 2</w:t>
      </w:r>
    </w:p>
    <w:p w:rsidR="00FD282A" w:rsidRPr="000B3CE8" w:rsidRDefault="00FD282A" w:rsidP="00FD282A">
      <w:r w:rsidRPr="000B3CE8">
        <w:t>Forordning (EU) 2016/1036</w:t>
      </w:r>
    </w:p>
    <w:p w:rsidR="00FD282A" w:rsidRPr="000B3CE8" w:rsidRDefault="00FD282A" w:rsidP="00FD282A">
      <w:r w:rsidRPr="000B3CE8">
        <w:t>Artikel 2 – stk. 7 –afsnit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2A" w:rsidRPr="000B3CE8" w:rsidTr="006D6397">
        <w:trPr>
          <w:trHeight w:val="240"/>
          <w:jc w:val="center"/>
        </w:trPr>
        <w:tc>
          <w:tcPr>
            <w:tcW w:w="9752" w:type="dxa"/>
            <w:gridSpan w:val="2"/>
          </w:tcPr>
          <w:p w:rsidR="00FD282A" w:rsidRPr="000B3CE8" w:rsidRDefault="00FD282A" w:rsidP="006D6397"/>
        </w:tc>
      </w:tr>
      <w:tr w:rsidR="00FD282A" w:rsidRPr="000B3CE8" w:rsidTr="006D6397">
        <w:trPr>
          <w:trHeight w:val="240"/>
          <w:jc w:val="center"/>
        </w:trPr>
        <w:tc>
          <w:tcPr>
            <w:tcW w:w="4876" w:type="dxa"/>
            <w:hideMark/>
          </w:tcPr>
          <w:p w:rsidR="00FD282A" w:rsidRPr="000B3CE8" w:rsidRDefault="00FD282A" w:rsidP="006D6397">
            <w:pPr>
              <w:pStyle w:val="ColumnHeading"/>
            </w:pPr>
            <w:r w:rsidRPr="000B3CE8">
              <w:t>Kommissionens forslag</w:t>
            </w:r>
          </w:p>
        </w:tc>
        <w:tc>
          <w:tcPr>
            <w:tcW w:w="4876" w:type="dxa"/>
            <w:hideMark/>
          </w:tcPr>
          <w:p w:rsidR="00FD282A" w:rsidRPr="000B3CE8" w:rsidRDefault="00FD282A" w:rsidP="006D6397">
            <w:pPr>
              <w:pStyle w:val="ColumnHeading"/>
            </w:pPr>
            <w:r w:rsidRPr="000B3CE8">
              <w:t>Ændringsforslag</w:t>
            </w:r>
          </w:p>
        </w:tc>
      </w:tr>
      <w:tr w:rsidR="00FD282A" w:rsidRPr="000B3CE8" w:rsidTr="006D6397">
        <w:trPr>
          <w:jc w:val="center"/>
        </w:trPr>
        <w:tc>
          <w:tcPr>
            <w:tcW w:w="4876" w:type="dxa"/>
            <w:hideMark/>
          </w:tcPr>
          <w:p w:rsidR="00FD282A" w:rsidRPr="000B3CE8" w:rsidRDefault="00FD282A" w:rsidP="006D6397">
            <w:pPr>
              <w:pStyle w:val="Normal6"/>
            </w:pPr>
            <w:r w:rsidRPr="000B3CE8">
              <w:t xml:space="preserve">Umiddelbart efter iværksættelsen af undersøgelsen underrettes parterne i undersøgelsen om det påtænkte </w:t>
            </w:r>
            <w:r w:rsidRPr="000B3CE8">
              <w:rPr>
                <w:b/>
                <w:i/>
              </w:rPr>
              <w:t>tredjeland med markedsøkonomi</w:t>
            </w:r>
            <w:r w:rsidRPr="000B3CE8">
              <w:t xml:space="preserve">, og de indrømmes en frist på </w:t>
            </w:r>
            <w:r w:rsidRPr="000B3CE8">
              <w:rPr>
                <w:b/>
                <w:i/>
              </w:rPr>
              <w:t>10</w:t>
            </w:r>
            <w:r w:rsidRPr="000B3CE8">
              <w:t xml:space="preserve"> dage til at fremsætte bemærkninger.</w:t>
            </w:r>
          </w:p>
        </w:tc>
        <w:tc>
          <w:tcPr>
            <w:tcW w:w="4876" w:type="dxa"/>
            <w:hideMark/>
          </w:tcPr>
          <w:p w:rsidR="00FD282A" w:rsidRPr="000B3CE8" w:rsidRDefault="00FD282A" w:rsidP="006D6397">
            <w:pPr>
              <w:pStyle w:val="Normal6"/>
            </w:pPr>
            <w:r w:rsidRPr="000B3CE8">
              <w:t xml:space="preserve">Umiddelbart efter iværksættelsen af undersøgelsen underrettes parterne i undersøgelsen om det påtænkte </w:t>
            </w:r>
            <w:r w:rsidRPr="000B3CE8">
              <w:rPr>
                <w:b/>
                <w:i/>
              </w:rPr>
              <w:t>egnede repræsentative land</w:t>
            </w:r>
            <w:r w:rsidRPr="000B3CE8">
              <w:t xml:space="preserve">, og de indrømmes en frist på </w:t>
            </w:r>
            <w:r w:rsidRPr="000B3CE8">
              <w:rPr>
                <w:b/>
                <w:i/>
              </w:rPr>
              <w:t>ti</w:t>
            </w:r>
            <w:r w:rsidRPr="000B3CE8">
              <w:t xml:space="preserve"> dage til at fremsætte bemærkninger.</w:t>
            </w:r>
          </w:p>
        </w:tc>
      </w:tr>
    </w:tbl>
    <w:p w:rsidR="00FD282A" w:rsidRPr="000B3CE8" w:rsidRDefault="00FD282A" w:rsidP="00FD282A"/>
    <w:p w:rsidR="00FD282A" w:rsidRPr="000B3CE8" w:rsidRDefault="00FD282A" w:rsidP="00FD282A">
      <w:pPr>
        <w:pStyle w:val="AMNumberTabs"/>
      </w:pPr>
      <w:r w:rsidRPr="000B3CE8">
        <w:t>Ændringsforslag</w:t>
      </w:r>
      <w:r w:rsidRPr="000B3CE8">
        <w:tab/>
      </w:r>
      <w:r w:rsidRPr="000B3CE8">
        <w:tab/>
        <w:t>13</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pPr>
      <w:r w:rsidRPr="000B3CE8">
        <w:t>Artikel 1 – stk. 1 – nr. 2 a (nyt)</w:t>
      </w:r>
    </w:p>
    <w:p w:rsidR="00FD282A" w:rsidRPr="000B3CE8" w:rsidRDefault="00FD282A" w:rsidP="00FD282A">
      <w:r w:rsidRPr="000B3CE8">
        <w:t>Forordning (EU) 2016/1036</w:t>
      </w:r>
    </w:p>
    <w:p w:rsidR="00FD282A" w:rsidRPr="000B3CE8" w:rsidRDefault="00FD282A" w:rsidP="00FD282A">
      <w:r w:rsidRPr="000B3CE8">
        <w:t>Artikel 3 – stk.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2A" w:rsidRPr="000B3CE8" w:rsidTr="006D6397">
        <w:trPr>
          <w:trHeight w:val="240"/>
          <w:jc w:val="center"/>
        </w:trPr>
        <w:tc>
          <w:tcPr>
            <w:tcW w:w="9752" w:type="dxa"/>
            <w:gridSpan w:val="2"/>
          </w:tcPr>
          <w:p w:rsidR="00FD282A" w:rsidRPr="000B3CE8" w:rsidRDefault="00FD282A" w:rsidP="006D6397"/>
        </w:tc>
      </w:tr>
      <w:tr w:rsidR="00FD282A" w:rsidRPr="000B3CE8" w:rsidTr="006D6397">
        <w:trPr>
          <w:trHeight w:val="240"/>
          <w:jc w:val="center"/>
        </w:trPr>
        <w:tc>
          <w:tcPr>
            <w:tcW w:w="4876" w:type="dxa"/>
            <w:hideMark/>
          </w:tcPr>
          <w:p w:rsidR="00FD282A" w:rsidRPr="000B3CE8" w:rsidRDefault="00FD282A" w:rsidP="006D6397">
            <w:pPr>
              <w:pStyle w:val="ColumnHeading"/>
            </w:pPr>
            <w:r w:rsidRPr="000B3CE8">
              <w:t>Gældende tekst</w:t>
            </w:r>
          </w:p>
        </w:tc>
        <w:tc>
          <w:tcPr>
            <w:tcW w:w="4876" w:type="dxa"/>
            <w:hideMark/>
          </w:tcPr>
          <w:p w:rsidR="00FD282A" w:rsidRPr="000B3CE8" w:rsidRDefault="00FD282A" w:rsidP="006D6397">
            <w:pPr>
              <w:pStyle w:val="ColumnHeading"/>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p>
        </w:tc>
        <w:tc>
          <w:tcPr>
            <w:tcW w:w="4876" w:type="dxa"/>
            <w:hideMark/>
          </w:tcPr>
          <w:p w:rsidR="00FD282A" w:rsidRPr="000B3CE8" w:rsidRDefault="00FD282A" w:rsidP="006D6397">
            <w:pPr>
              <w:pStyle w:val="Normal6"/>
            </w:pPr>
            <w:r w:rsidRPr="000B3CE8">
              <w:rPr>
                <w:b/>
                <w:i/>
              </w:rPr>
              <w:t>2a)</w:t>
            </w:r>
            <w:r w:rsidRPr="000B3CE8">
              <w:tab/>
            </w:r>
            <w:r w:rsidRPr="000B3CE8">
              <w:rPr>
                <w:b/>
                <w:i/>
              </w:rPr>
              <w:t>Artikel 3, stk. 6, ændres således:</w:t>
            </w:r>
          </w:p>
        </w:tc>
      </w:tr>
      <w:tr w:rsidR="00FD282A" w:rsidRPr="000B3CE8" w:rsidTr="006D6397">
        <w:trPr>
          <w:jc w:val="center"/>
        </w:trPr>
        <w:tc>
          <w:tcPr>
            <w:tcW w:w="4876" w:type="dxa"/>
            <w:hideMark/>
          </w:tcPr>
          <w:p w:rsidR="00FD282A" w:rsidRPr="000B3CE8" w:rsidRDefault="00FD282A" w:rsidP="006D6397">
            <w:pPr>
              <w:pStyle w:val="Normal6"/>
            </w:pPr>
            <w:r w:rsidRPr="000B3CE8">
              <w:t>"6. Det skal på grundlag af alle de relevante beviser, der er fremlagt i forbindelse med stk.</w:t>
            </w:r>
            <w:r w:rsidRPr="000B3CE8">
              <w:rPr>
                <w:b/>
                <w:i/>
              </w:rPr>
              <w:t xml:space="preserve"> </w:t>
            </w:r>
            <w:r w:rsidRPr="000B3CE8">
              <w:t>2, påvises, at dumpingimporten forvolder skade som defineret i denne forordning. Dette indebærer navnlig en påvisning af, at de mængder og/eller priser, der er fastlagt i henhold til stk. 3, er årsag til de følgevirkninger for en erhvervsgren i Unionen, som er omhandlet i stk. 5, og at følgevirkningerne er væsentlige."</w:t>
            </w:r>
          </w:p>
        </w:tc>
        <w:tc>
          <w:tcPr>
            <w:tcW w:w="4876" w:type="dxa"/>
            <w:hideMark/>
          </w:tcPr>
          <w:p w:rsidR="00FD282A" w:rsidRPr="000B3CE8" w:rsidRDefault="00FD282A" w:rsidP="006D6397">
            <w:pPr>
              <w:pStyle w:val="Normal6"/>
            </w:pPr>
            <w:r w:rsidRPr="000B3CE8">
              <w:t>"6. Det skal på grundlag af alle de relevante beviser</w:t>
            </w:r>
            <w:r w:rsidRPr="000B3CE8">
              <w:rPr>
                <w:b/>
                <w:i/>
              </w:rPr>
              <w:t xml:space="preserve"> og de bedste tilgængelige oplysninger</w:t>
            </w:r>
            <w:r w:rsidRPr="000B3CE8">
              <w:t>, der er fremlagt i forbindelse med stk.</w:t>
            </w:r>
            <w:r w:rsidRPr="000B3CE8">
              <w:rPr>
                <w:b/>
                <w:i/>
              </w:rPr>
              <w:t> </w:t>
            </w:r>
            <w:r w:rsidRPr="000B3CE8">
              <w:t>2, påvises, at dumpingimporten forvolder skade som defineret i denne forordning. Dette indebærer navnlig en påvisning af, at de mængder og/eller priser, der er fastlagt i henhold til stk. 3, er årsag til de følgevirkninger for en erhvervsgren i Unionen, som er omhandlet i stk. 5, og at følgevirkningerne er væsentlige."</w:t>
            </w:r>
          </w:p>
        </w:tc>
      </w:tr>
    </w:tbl>
    <w:p w:rsidR="00FD282A" w:rsidRPr="000B3CE8" w:rsidRDefault="00FD282A" w:rsidP="00FD282A"/>
    <w:p w:rsidR="00FD282A" w:rsidRPr="000B3CE8" w:rsidRDefault="00FD282A" w:rsidP="00FD282A">
      <w:pPr>
        <w:pStyle w:val="AMNumberTabs"/>
      </w:pPr>
      <w:r w:rsidRPr="000B3CE8">
        <w:t>Ændringsforslag</w:t>
      </w:r>
      <w:r w:rsidRPr="000B3CE8">
        <w:tab/>
      </w:r>
      <w:r w:rsidRPr="000B3CE8">
        <w:tab/>
        <w:t>14</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pPr>
      <w:r w:rsidRPr="000B3CE8">
        <w:t>Artikel 1 – stk. 1 – nr. 3</w:t>
      </w:r>
    </w:p>
    <w:p w:rsidR="00FD282A" w:rsidRPr="000B3CE8" w:rsidRDefault="00FD282A" w:rsidP="00FD282A">
      <w:r w:rsidRPr="000B3CE8">
        <w:t>Forordning (EU) 2016/1036</w:t>
      </w:r>
    </w:p>
    <w:p w:rsidR="00FD282A" w:rsidRPr="000B3CE8" w:rsidRDefault="00FD282A" w:rsidP="00FD282A">
      <w:r w:rsidRPr="000B3CE8">
        <w:t>Artikel 11 – stk. 3 – afsnit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2A" w:rsidRPr="000B3CE8" w:rsidTr="006D6397">
        <w:trPr>
          <w:trHeight w:val="240"/>
          <w:jc w:val="center"/>
        </w:trPr>
        <w:tc>
          <w:tcPr>
            <w:tcW w:w="9752" w:type="dxa"/>
            <w:gridSpan w:val="2"/>
          </w:tcPr>
          <w:p w:rsidR="00FD282A" w:rsidRPr="000B3CE8" w:rsidRDefault="00FD282A" w:rsidP="006D6397"/>
        </w:tc>
      </w:tr>
      <w:tr w:rsidR="00FD282A" w:rsidRPr="000B3CE8" w:rsidTr="006D6397">
        <w:trPr>
          <w:trHeight w:val="240"/>
          <w:jc w:val="center"/>
        </w:trPr>
        <w:tc>
          <w:tcPr>
            <w:tcW w:w="4876" w:type="dxa"/>
            <w:hideMark/>
          </w:tcPr>
          <w:p w:rsidR="00FD282A" w:rsidRPr="000B3CE8" w:rsidRDefault="00FD282A" w:rsidP="006D6397">
            <w:pPr>
              <w:pStyle w:val="ColumnHeading"/>
            </w:pPr>
            <w:r w:rsidRPr="000B3CE8">
              <w:t>Kommissionens forslag</w:t>
            </w:r>
          </w:p>
        </w:tc>
        <w:tc>
          <w:tcPr>
            <w:tcW w:w="4876" w:type="dxa"/>
            <w:hideMark/>
          </w:tcPr>
          <w:p w:rsidR="00FD282A" w:rsidRPr="000B3CE8" w:rsidRDefault="00FD282A" w:rsidP="006D6397">
            <w:pPr>
              <w:pStyle w:val="ColumnHeading"/>
            </w:pPr>
            <w:r w:rsidRPr="000B3CE8">
              <w:t>Ændringsforslag</w:t>
            </w:r>
          </w:p>
        </w:tc>
      </w:tr>
      <w:tr w:rsidR="00FD282A" w:rsidRPr="000B3CE8" w:rsidTr="006D6397">
        <w:trPr>
          <w:jc w:val="center"/>
        </w:trPr>
        <w:tc>
          <w:tcPr>
            <w:tcW w:w="4876" w:type="dxa"/>
            <w:hideMark/>
          </w:tcPr>
          <w:p w:rsidR="00FD282A" w:rsidRPr="000B3CE8" w:rsidRDefault="00FD282A" w:rsidP="006D6397">
            <w:pPr>
              <w:pStyle w:val="Normal6"/>
            </w:pPr>
            <w:r w:rsidRPr="000B3CE8">
              <w:rPr>
                <w:b/>
                <w:i/>
              </w:rPr>
              <w:t>Såfremt der er en overgang fra</w:t>
            </w:r>
            <w:r w:rsidRPr="000B3CE8">
              <w:t xml:space="preserve"> en normal værdi, der er beregnet i henhold til artikel 2, stk. 7, litra a) eller b)</w:t>
            </w:r>
            <w:r w:rsidRPr="000B3CE8">
              <w:rPr>
                <w:b/>
                <w:i/>
              </w:rPr>
              <w:t>, til en normal værdi</w:t>
            </w:r>
            <w:r w:rsidRPr="000B3CE8">
              <w:t xml:space="preserve">, </w:t>
            </w:r>
            <w:r w:rsidRPr="000B3CE8">
              <w:rPr>
                <w:b/>
                <w:i/>
              </w:rPr>
              <w:t>der er beregnet</w:t>
            </w:r>
            <w:r w:rsidRPr="000B3CE8">
              <w:t xml:space="preserve"> i</w:t>
            </w:r>
            <w:r w:rsidRPr="000B3CE8">
              <w:rPr>
                <w:b/>
                <w:i/>
              </w:rPr>
              <w:t xml:space="preserve"> henhold til</w:t>
            </w:r>
            <w:r w:rsidRPr="000B3CE8">
              <w:t xml:space="preserve"> artikel 2, stk. </w:t>
            </w:r>
            <w:r w:rsidRPr="000B3CE8">
              <w:rPr>
                <w:b/>
                <w:i/>
              </w:rPr>
              <w:t>1-</w:t>
            </w:r>
            <w:r w:rsidRPr="000B3CE8">
              <w:t xml:space="preserve">6a, </w:t>
            </w:r>
            <w:r w:rsidRPr="000B3CE8">
              <w:rPr>
                <w:b/>
                <w:i/>
              </w:rPr>
              <w:t>anses</w:t>
            </w:r>
            <w:r w:rsidRPr="000B3CE8">
              <w:t xml:space="preserve"> den </w:t>
            </w:r>
            <w:r w:rsidRPr="000B3CE8">
              <w:rPr>
                <w:b/>
                <w:i/>
              </w:rPr>
              <w:t>rimelige periode for at udløbe på</w:t>
            </w:r>
            <w:r w:rsidRPr="000B3CE8">
              <w:t xml:space="preserve"> den </w:t>
            </w:r>
            <w:r w:rsidRPr="000B3CE8">
              <w:rPr>
                <w:b/>
                <w:i/>
              </w:rPr>
              <w:t>dato</w:t>
            </w:r>
            <w:r w:rsidRPr="000B3CE8">
              <w:t xml:space="preserve">, </w:t>
            </w:r>
            <w:r w:rsidRPr="000B3CE8">
              <w:rPr>
                <w:b/>
                <w:i/>
              </w:rPr>
              <w:t>hvor</w:t>
            </w:r>
            <w:r w:rsidRPr="000B3CE8">
              <w:t xml:space="preserve"> den første undersøgelse efter </w:t>
            </w:r>
            <w:r w:rsidRPr="000B3CE8">
              <w:rPr>
                <w:b/>
                <w:i/>
              </w:rPr>
              <w:t>overgangen indledes</w:t>
            </w:r>
            <w:r w:rsidRPr="000B3CE8">
              <w:t>.</w:t>
            </w:r>
          </w:p>
        </w:tc>
        <w:tc>
          <w:tcPr>
            <w:tcW w:w="4876" w:type="dxa"/>
            <w:hideMark/>
          </w:tcPr>
          <w:p w:rsidR="00FD282A" w:rsidRPr="000B3CE8" w:rsidRDefault="00FD282A" w:rsidP="006D6397">
            <w:pPr>
              <w:pStyle w:val="Normal6"/>
            </w:pPr>
            <w:r w:rsidRPr="000B3CE8">
              <w:rPr>
                <w:b/>
                <w:i/>
              </w:rPr>
              <w:t>Hvor eksisterende antidumpingforanstaltninger er baseret på</w:t>
            </w:r>
            <w:r w:rsidRPr="000B3CE8">
              <w:t xml:space="preserve"> en normal værdi, der er beregnet i henhold til artikel 2, stk. 7, litra a) eller b),</w:t>
            </w:r>
            <w:r w:rsidRPr="000B3CE8">
              <w:rPr>
                <w:b/>
                <w:i/>
              </w:rPr>
              <w:t xml:space="preserve"> i forordning (EU) 2016/1036</w:t>
            </w:r>
            <w:r w:rsidRPr="000B3CE8">
              <w:t xml:space="preserve">, </w:t>
            </w:r>
            <w:r w:rsidRPr="000B3CE8">
              <w:rPr>
                <w:b/>
                <w:i/>
              </w:rPr>
              <w:t>erstatter metoden</w:t>
            </w:r>
            <w:r w:rsidRPr="000B3CE8">
              <w:t xml:space="preserve"> i artikel 2, stk. 6a, </w:t>
            </w:r>
            <w:r w:rsidRPr="000B3CE8">
              <w:rPr>
                <w:b/>
                <w:i/>
              </w:rPr>
              <w:t>ikke</w:t>
            </w:r>
            <w:r w:rsidRPr="000B3CE8">
              <w:t xml:space="preserve"> den </w:t>
            </w:r>
            <w:r w:rsidRPr="000B3CE8">
              <w:rPr>
                <w:b/>
                <w:i/>
              </w:rPr>
              <w:t>oprindelige metode, der bruges til fastsættelse af</w:t>
            </w:r>
            <w:r w:rsidRPr="000B3CE8">
              <w:t xml:space="preserve"> den </w:t>
            </w:r>
            <w:r w:rsidRPr="000B3CE8">
              <w:rPr>
                <w:b/>
                <w:i/>
              </w:rPr>
              <w:t>normale værdi, indtil datoen</w:t>
            </w:r>
            <w:r w:rsidRPr="000B3CE8">
              <w:t xml:space="preserve">, </w:t>
            </w:r>
            <w:r w:rsidRPr="000B3CE8">
              <w:rPr>
                <w:b/>
                <w:i/>
              </w:rPr>
              <w:t>hvorpå</w:t>
            </w:r>
            <w:r w:rsidRPr="000B3CE8">
              <w:t xml:space="preserve"> den første undersøgelse </w:t>
            </w:r>
            <w:r w:rsidRPr="000B3CE8">
              <w:rPr>
                <w:b/>
                <w:i/>
              </w:rPr>
              <w:t xml:space="preserve">af disse foranstaltninger </w:t>
            </w:r>
            <w:r w:rsidRPr="000B3CE8">
              <w:t xml:space="preserve">efter </w:t>
            </w:r>
            <w:r w:rsidRPr="000B3CE8">
              <w:rPr>
                <w:b/>
                <w:i/>
              </w:rPr>
              <w:t>ikrafttrædelsen af forordning ... afsluttes</w:t>
            </w:r>
            <w:r w:rsidRPr="000B3CE8">
              <w:t>.</w:t>
            </w:r>
          </w:p>
        </w:tc>
      </w:tr>
    </w:tbl>
    <w:p w:rsidR="00FD282A" w:rsidRPr="000B3CE8" w:rsidRDefault="00FD282A" w:rsidP="00FD282A"/>
    <w:p w:rsidR="00FD282A" w:rsidRPr="000B3CE8" w:rsidRDefault="00FD282A" w:rsidP="00FD282A">
      <w:pPr>
        <w:pStyle w:val="AMNumberTabs"/>
      </w:pPr>
      <w:r w:rsidRPr="000B3CE8">
        <w:t>Ændringsforslag</w:t>
      </w:r>
      <w:r w:rsidRPr="000B3CE8">
        <w:tab/>
      </w:r>
      <w:r w:rsidRPr="000B3CE8">
        <w:tab/>
        <w:t>15</w:t>
      </w:r>
    </w:p>
    <w:p w:rsidR="00FD282A" w:rsidRPr="000B3CE8" w:rsidRDefault="00FD282A" w:rsidP="00FD282A">
      <w:pPr>
        <w:pStyle w:val="NormalBold12b"/>
        <w:keepNext/>
      </w:pPr>
      <w:r w:rsidRPr="000B3CE8">
        <w:lastRenderedPageBreak/>
        <w:t>Forslag til forordning</w:t>
      </w:r>
    </w:p>
    <w:p w:rsidR="00FD282A" w:rsidRPr="000B3CE8" w:rsidRDefault="00FD282A" w:rsidP="00FD282A">
      <w:pPr>
        <w:pStyle w:val="NormalBold"/>
      </w:pPr>
      <w:r w:rsidRPr="000B3CE8">
        <w:t>Artikel 1 – stk. 1 – nr. 4</w:t>
      </w:r>
    </w:p>
    <w:p w:rsidR="00FD282A" w:rsidRPr="000B3CE8" w:rsidRDefault="00FD282A" w:rsidP="00FD282A">
      <w:r w:rsidRPr="000B3CE8">
        <w:t>Forordning (EU) 2016/1036</w:t>
      </w:r>
    </w:p>
    <w:p w:rsidR="00FD282A" w:rsidRPr="000B3CE8" w:rsidRDefault="00FD282A" w:rsidP="00FD282A">
      <w:r w:rsidRPr="000B3CE8">
        <w:t>Artikel 11 – stk. 4 – afsnit 4a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2A" w:rsidRPr="000B3CE8" w:rsidTr="006D6397">
        <w:trPr>
          <w:trHeight w:val="240"/>
          <w:jc w:val="center"/>
        </w:trPr>
        <w:tc>
          <w:tcPr>
            <w:tcW w:w="9752" w:type="dxa"/>
            <w:gridSpan w:val="2"/>
          </w:tcPr>
          <w:p w:rsidR="00FD282A" w:rsidRPr="000B3CE8" w:rsidRDefault="00FD282A" w:rsidP="006D6397"/>
        </w:tc>
      </w:tr>
      <w:tr w:rsidR="00FD282A" w:rsidRPr="000B3CE8" w:rsidTr="006D6397">
        <w:trPr>
          <w:trHeight w:val="240"/>
          <w:jc w:val="center"/>
        </w:trPr>
        <w:tc>
          <w:tcPr>
            <w:tcW w:w="4876" w:type="dxa"/>
            <w:hideMark/>
          </w:tcPr>
          <w:p w:rsidR="00FD282A" w:rsidRPr="000B3CE8" w:rsidRDefault="00FD282A" w:rsidP="006D6397">
            <w:pPr>
              <w:pStyle w:val="ColumnHeading"/>
            </w:pPr>
            <w:r w:rsidRPr="000B3CE8">
              <w:t>Kommissionens forslag</w:t>
            </w:r>
          </w:p>
        </w:tc>
        <w:tc>
          <w:tcPr>
            <w:tcW w:w="4876" w:type="dxa"/>
            <w:hideMark/>
          </w:tcPr>
          <w:p w:rsidR="00FD282A" w:rsidRPr="000B3CE8" w:rsidRDefault="00FD282A" w:rsidP="006D6397">
            <w:pPr>
              <w:pStyle w:val="ColumnHeading"/>
            </w:pPr>
            <w:r w:rsidRPr="000B3CE8">
              <w:t>Ændringsforslag</w:t>
            </w:r>
          </w:p>
        </w:tc>
      </w:tr>
      <w:tr w:rsidR="00FD282A" w:rsidRPr="000B3CE8" w:rsidTr="006D6397">
        <w:trPr>
          <w:jc w:val="center"/>
        </w:trPr>
        <w:tc>
          <w:tcPr>
            <w:tcW w:w="4876" w:type="dxa"/>
            <w:hideMark/>
          </w:tcPr>
          <w:p w:rsidR="00FD282A" w:rsidRPr="000B3CE8" w:rsidRDefault="00FD282A" w:rsidP="006D6397">
            <w:pPr>
              <w:pStyle w:val="Normal6"/>
            </w:pPr>
            <w:r w:rsidRPr="000B3CE8">
              <w:rPr>
                <w:b/>
                <w:i/>
              </w:rPr>
              <w:t>Såfremt der er en overgang fra</w:t>
            </w:r>
            <w:r w:rsidRPr="000B3CE8">
              <w:t xml:space="preserve"> en normal værdi, der er beregnet i henhold til artikel 2, stk. 7, litra a) eller b)</w:t>
            </w:r>
            <w:r w:rsidRPr="000B3CE8">
              <w:rPr>
                <w:b/>
                <w:i/>
              </w:rPr>
              <w:t>, til en normal værdi</w:t>
            </w:r>
            <w:r w:rsidRPr="000B3CE8">
              <w:t xml:space="preserve">, </w:t>
            </w:r>
            <w:r w:rsidRPr="000B3CE8">
              <w:rPr>
                <w:b/>
                <w:i/>
              </w:rPr>
              <w:t>der er beregnet</w:t>
            </w:r>
            <w:r w:rsidRPr="000B3CE8">
              <w:t xml:space="preserve"> i</w:t>
            </w:r>
            <w:r w:rsidRPr="000B3CE8">
              <w:rPr>
                <w:b/>
                <w:i/>
              </w:rPr>
              <w:t xml:space="preserve"> henhold til</w:t>
            </w:r>
            <w:r w:rsidRPr="000B3CE8">
              <w:t xml:space="preserve"> artikel 2, stk. </w:t>
            </w:r>
            <w:r w:rsidRPr="000B3CE8">
              <w:rPr>
                <w:b/>
                <w:i/>
              </w:rPr>
              <w:t>1-</w:t>
            </w:r>
            <w:r w:rsidRPr="000B3CE8">
              <w:t xml:space="preserve">6a, </w:t>
            </w:r>
            <w:r w:rsidRPr="000B3CE8">
              <w:rPr>
                <w:b/>
                <w:i/>
              </w:rPr>
              <w:t>udsættes en eventuel undersøgelse i henhold dette afsnit til</w:t>
            </w:r>
            <w:r w:rsidRPr="000B3CE8">
              <w:t xml:space="preserve"> den </w:t>
            </w:r>
            <w:r w:rsidRPr="000B3CE8">
              <w:rPr>
                <w:b/>
                <w:i/>
              </w:rPr>
              <w:t>dato</w:t>
            </w:r>
            <w:r w:rsidRPr="000B3CE8">
              <w:t xml:space="preserve">, </w:t>
            </w:r>
            <w:r w:rsidRPr="000B3CE8">
              <w:rPr>
                <w:b/>
                <w:i/>
              </w:rPr>
              <w:t>hvor</w:t>
            </w:r>
            <w:r w:rsidRPr="000B3CE8">
              <w:t xml:space="preserve"> den første undersøgelse efter </w:t>
            </w:r>
            <w:r w:rsidRPr="000B3CE8">
              <w:rPr>
                <w:b/>
                <w:i/>
              </w:rPr>
              <w:t>overgangen indledes</w:t>
            </w:r>
            <w:r w:rsidRPr="000B3CE8">
              <w:t>.</w:t>
            </w:r>
          </w:p>
        </w:tc>
        <w:tc>
          <w:tcPr>
            <w:tcW w:w="4876" w:type="dxa"/>
            <w:hideMark/>
          </w:tcPr>
          <w:p w:rsidR="00FD282A" w:rsidRPr="000B3CE8" w:rsidRDefault="00FD282A" w:rsidP="006D6397">
            <w:pPr>
              <w:pStyle w:val="Normal6"/>
            </w:pPr>
            <w:r w:rsidRPr="000B3CE8">
              <w:rPr>
                <w:b/>
                <w:i/>
              </w:rPr>
              <w:t>Hvor eksisterende antidumpingforanstaltninger er baseret på</w:t>
            </w:r>
            <w:r w:rsidRPr="000B3CE8">
              <w:t xml:space="preserve"> en normal værdi, der er beregnet i henhold til artikel 2, stk. 7, litra a) eller </w:t>
            </w:r>
            <w:r w:rsidRPr="000B3CE8">
              <w:rPr>
                <w:b/>
                <w:i/>
              </w:rPr>
              <w:t xml:space="preserve">litra </w:t>
            </w:r>
            <w:r w:rsidRPr="000B3CE8">
              <w:t>b)</w:t>
            </w:r>
            <w:r w:rsidRPr="000B3CE8">
              <w:rPr>
                <w:b/>
                <w:i/>
              </w:rPr>
              <w:t xml:space="preserve"> i forordning (EU) 2016/1036</w:t>
            </w:r>
            <w:r w:rsidRPr="000B3CE8">
              <w:t xml:space="preserve">, </w:t>
            </w:r>
            <w:r w:rsidRPr="000B3CE8">
              <w:rPr>
                <w:b/>
                <w:i/>
              </w:rPr>
              <w:t>erstatter metoden</w:t>
            </w:r>
            <w:r w:rsidRPr="000B3CE8">
              <w:t xml:space="preserve"> i artikel 2, stk. 6a, </w:t>
            </w:r>
            <w:r w:rsidRPr="000B3CE8">
              <w:rPr>
                <w:b/>
                <w:i/>
              </w:rPr>
              <w:t>ikke den oprindelige metode, der bruges til fastsættelse af</w:t>
            </w:r>
            <w:r w:rsidRPr="000B3CE8">
              <w:t xml:space="preserve"> den </w:t>
            </w:r>
            <w:r w:rsidRPr="000B3CE8">
              <w:rPr>
                <w:b/>
                <w:i/>
              </w:rPr>
              <w:t>normale værdi</w:t>
            </w:r>
            <w:r w:rsidRPr="000B3CE8">
              <w:t xml:space="preserve">, </w:t>
            </w:r>
            <w:r w:rsidRPr="000B3CE8">
              <w:rPr>
                <w:b/>
                <w:i/>
              </w:rPr>
              <w:t>indtil datoen, hvorpå</w:t>
            </w:r>
            <w:r w:rsidRPr="000B3CE8">
              <w:t xml:space="preserve"> den første undersøgelse </w:t>
            </w:r>
            <w:r w:rsidRPr="000B3CE8">
              <w:rPr>
                <w:b/>
                <w:i/>
              </w:rPr>
              <w:t xml:space="preserve">af disse foranstaltninger </w:t>
            </w:r>
            <w:r w:rsidRPr="000B3CE8">
              <w:t xml:space="preserve">efter </w:t>
            </w:r>
            <w:r w:rsidRPr="000B3CE8">
              <w:rPr>
                <w:b/>
                <w:i/>
              </w:rPr>
              <w:t>ikrafttrædelsen af forordning ... afsluttes</w:t>
            </w:r>
            <w:r w:rsidRPr="000B3CE8">
              <w:t>.</w:t>
            </w:r>
          </w:p>
        </w:tc>
      </w:tr>
    </w:tbl>
    <w:p w:rsidR="00FD282A" w:rsidRPr="000B3CE8" w:rsidRDefault="00FD282A" w:rsidP="00FD282A"/>
    <w:p w:rsidR="00FD282A" w:rsidRPr="000B3CE8" w:rsidRDefault="00FD282A" w:rsidP="00FD282A">
      <w:pPr>
        <w:pStyle w:val="AMNumberTabs"/>
      </w:pPr>
      <w:r w:rsidRPr="000B3CE8">
        <w:t>Ændringsforslag</w:t>
      </w:r>
      <w:r w:rsidRPr="000B3CE8">
        <w:tab/>
      </w:r>
      <w:r w:rsidRPr="000B3CE8">
        <w:tab/>
        <w:t>16</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pPr>
      <w:r w:rsidRPr="000B3CE8">
        <w:t>Artikel 1 – stk. 1 – nr. 5 a (nyt)</w:t>
      </w:r>
    </w:p>
    <w:p w:rsidR="00FD282A" w:rsidRPr="000B3CE8" w:rsidRDefault="00FD282A" w:rsidP="00FD282A">
      <w:r w:rsidRPr="000B3CE8">
        <w:t>Forordning (EU) 2016/1036</w:t>
      </w:r>
    </w:p>
    <w:p w:rsidR="00FD282A" w:rsidRPr="000B3CE8" w:rsidRDefault="00FD282A" w:rsidP="00FD282A">
      <w:r w:rsidRPr="000B3CE8">
        <w:t>Artikel 16 – stk.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2A" w:rsidRPr="000B3CE8" w:rsidTr="006D6397">
        <w:trPr>
          <w:trHeight w:val="240"/>
          <w:jc w:val="center"/>
        </w:trPr>
        <w:tc>
          <w:tcPr>
            <w:tcW w:w="9752" w:type="dxa"/>
            <w:gridSpan w:val="2"/>
          </w:tcPr>
          <w:p w:rsidR="00FD282A" w:rsidRPr="000B3CE8" w:rsidRDefault="00FD282A" w:rsidP="006D6397"/>
        </w:tc>
      </w:tr>
      <w:tr w:rsidR="00FD282A" w:rsidRPr="000B3CE8" w:rsidTr="006D6397">
        <w:trPr>
          <w:trHeight w:val="240"/>
          <w:jc w:val="center"/>
        </w:trPr>
        <w:tc>
          <w:tcPr>
            <w:tcW w:w="4876" w:type="dxa"/>
            <w:hideMark/>
          </w:tcPr>
          <w:p w:rsidR="00FD282A" w:rsidRPr="000B3CE8" w:rsidRDefault="00FD282A" w:rsidP="006D6397">
            <w:pPr>
              <w:pStyle w:val="ColumnHeading"/>
            </w:pPr>
            <w:r w:rsidRPr="000B3CE8">
              <w:t>Gældende tekst</w:t>
            </w:r>
          </w:p>
        </w:tc>
        <w:tc>
          <w:tcPr>
            <w:tcW w:w="4876" w:type="dxa"/>
            <w:hideMark/>
          </w:tcPr>
          <w:p w:rsidR="00FD282A" w:rsidRPr="000B3CE8" w:rsidRDefault="00FD282A" w:rsidP="006D6397">
            <w:pPr>
              <w:pStyle w:val="ColumnHeading"/>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p>
        </w:tc>
        <w:tc>
          <w:tcPr>
            <w:tcW w:w="4876" w:type="dxa"/>
            <w:hideMark/>
          </w:tcPr>
          <w:p w:rsidR="00FD282A" w:rsidRPr="000B3CE8" w:rsidRDefault="00FD282A" w:rsidP="006D6397">
            <w:pPr>
              <w:pStyle w:val="Normal6"/>
            </w:pPr>
            <w:r w:rsidRPr="000B3CE8">
              <w:rPr>
                <w:b/>
                <w:i/>
              </w:rPr>
              <w:t>5a)</w:t>
            </w:r>
            <w:r w:rsidRPr="000B3CE8">
              <w:tab/>
            </w:r>
            <w:r w:rsidRPr="000B3CE8">
              <w:rPr>
                <w:b/>
                <w:i/>
              </w:rPr>
              <w:t>Artikel 16, stk. 1, ændres således:</w:t>
            </w:r>
          </w:p>
        </w:tc>
      </w:tr>
      <w:tr w:rsidR="00FD282A" w:rsidRPr="000B3CE8" w:rsidTr="006D6397">
        <w:trPr>
          <w:jc w:val="center"/>
        </w:trPr>
        <w:tc>
          <w:tcPr>
            <w:tcW w:w="4876" w:type="dxa"/>
            <w:hideMark/>
          </w:tcPr>
          <w:p w:rsidR="00FD282A" w:rsidRPr="000B3CE8" w:rsidRDefault="00FD282A" w:rsidP="006D6397">
            <w:pPr>
              <w:pStyle w:val="Normal6"/>
            </w:pPr>
            <w:r w:rsidRPr="000B3CE8">
              <w:t xml:space="preserve">"1. Anser Kommissionen det for påkrævet, </w:t>
            </w:r>
            <w:r w:rsidRPr="000B3CE8">
              <w:rPr>
                <w:b/>
                <w:i/>
              </w:rPr>
              <w:t>aflægger</w:t>
            </w:r>
            <w:r w:rsidRPr="000B3CE8">
              <w:t xml:space="preserve"> den besøg hos importører, eksportører, handlende, repræsentanter, producenter samt erhvervssammenslutninger og -organisationer for at undersøge disses optegnelser og efterprøve oplysninger, der er indgivet om dumping og skade. Foreligger der ikke et behørigt svar i rette tid, kan Kommissionen undlade at gennemføre et kontrolbesøg."</w:t>
            </w:r>
          </w:p>
        </w:tc>
        <w:tc>
          <w:tcPr>
            <w:tcW w:w="4876" w:type="dxa"/>
            <w:hideMark/>
          </w:tcPr>
          <w:p w:rsidR="00FD282A" w:rsidRPr="000B3CE8" w:rsidRDefault="00FD282A" w:rsidP="006D6397">
            <w:pPr>
              <w:pStyle w:val="Normal6"/>
            </w:pPr>
            <w:r w:rsidRPr="000B3CE8">
              <w:t xml:space="preserve">"1. Anser Kommissionen det for påkrævet, </w:t>
            </w:r>
            <w:r w:rsidRPr="000B3CE8">
              <w:rPr>
                <w:b/>
                <w:i/>
              </w:rPr>
              <w:t>sender</w:t>
            </w:r>
            <w:r w:rsidRPr="000B3CE8">
              <w:t xml:space="preserve"> den</w:t>
            </w:r>
            <w:r w:rsidRPr="000B3CE8">
              <w:rPr>
                <w:b/>
                <w:i/>
              </w:rPr>
              <w:t xml:space="preserve"> erfarne tjenestemænd til at aflægge</w:t>
            </w:r>
            <w:r w:rsidRPr="000B3CE8">
              <w:t xml:space="preserve"> besøg hos importører, eksportører, handlende, repræsentanter, producenter samt erhvervssammenslutninger og -organisationer for at undersøge disses optegnelser og efterprøve oplysninger, der er indgivet om dumping og skade. Foreligger der ikke et behørigt svar i rette tid, kan Kommissionen undlade at gennemføre et kontrolbesøg."</w:t>
            </w:r>
          </w:p>
        </w:tc>
      </w:tr>
    </w:tbl>
    <w:p w:rsidR="00FD282A" w:rsidRPr="000B3CE8" w:rsidRDefault="00FD282A" w:rsidP="00FD282A">
      <w:pPr>
        <w:pStyle w:val="CrossRef"/>
        <w:jc w:val="left"/>
      </w:pPr>
    </w:p>
    <w:p w:rsidR="00FD282A" w:rsidRPr="000B3CE8" w:rsidRDefault="00FD282A" w:rsidP="00FD282A">
      <w:pPr>
        <w:pStyle w:val="AMNumberTabs"/>
      </w:pPr>
      <w:r w:rsidRPr="000B3CE8">
        <w:t>Ændringsforslag</w:t>
      </w:r>
      <w:r w:rsidRPr="000B3CE8">
        <w:tab/>
      </w:r>
      <w:r w:rsidRPr="000B3CE8">
        <w:tab/>
        <w:t>17</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pPr>
      <w:r w:rsidRPr="000B3CE8">
        <w:t>Artikel 1 – stk. 1 – nr. 5 b (ny)</w:t>
      </w:r>
    </w:p>
    <w:p w:rsidR="00FD282A" w:rsidRPr="000B3CE8" w:rsidRDefault="00FD282A" w:rsidP="00FD282A">
      <w:r w:rsidRPr="000B3CE8">
        <w:t>Forordning (EU) 2016/1036</w:t>
      </w:r>
    </w:p>
    <w:p w:rsidR="00FD282A" w:rsidRPr="000B3CE8" w:rsidRDefault="00FD282A" w:rsidP="00FD282A">
      <w:r w:rsidRPr="000B3CE8">
        <w:lastRenderedPageBreak/>
        <w:t>Artikel 18 – stk. 1 – afsnit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2A" w:rsidRPr="000B3CE8" w:rsidTr="006D6397">
        <w:trPr>
          <w:trHeight w:val="240"/>
          <w:jc w:val="center"/>
        </w:trPr>
        <w:tc>
          <w:tcPr>
            <w:tcW w:w="9752" w:type="dxa"/>
            <w:gridSpan w:val="2"/>
          </w:tcPr>
          <w:p w:rsidR="00FD282A" w:rsidRPr="000B3CE8" w:rsidRDefault="00FD282A" w:rsidP="006D6397"/>
        </w:tc>
      </w:tr>
      <w:tr w:rsidR="00FD282A" w:rsidRPr="000B3CE8" w:rsidTr="006D6397">
        <w:trPr>
          <w:trHeight w:val="240"/>
          <w:jc w:val="center"/>
        </w:trPr>
        <w:tc>
          <w:tcPr>
            <w:tcW w:w="4876" w:type="dxa"/>
            <w:hideMark/>
          </w:tcPr>
          <w:p w:rsidR="00FD282A" w:rsidRPr="000B3CE8" w:rsidRDefault="00FD282A" w:rsidP="006D6397">
            <w:pPr>
              <w:pStyle w:val="ColumnHeading"/>
            </w:pPr>
            <w:r w:rsidRPr="000B3CE8">
              <w:t>Gældende tekst</w:t>
            </w:r>
          </w:p>
        </w:tc>
        <w:tc>
          <w:tcPr>
            <w:tcW w:w="4876" w:type="dxa"/>
            <w:hideMark/>
          </w:tcPr>
          <w:p w:rsidR="00FD282A" w:rsidRPr="000B3CE8" w:rsidRDefault="00FD282A" w:rsidP="006D6397">
            <w:pPr>
              <w:pStyle w:val="ColumnHeading"/>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p>
        </w:tc>
        <w:tc>
          <w:tcPr>
            <w:tcW w:w="4876" w:type="dxa"/>
            <w:hideMark/>
          </w:tcPr>
          <w:p w:rsidR="00FD282A" w:rsidRPr="000B3CE8" w:rsidRDefault="00FD282A" w:rsidP="006D6397">
            <w:pPr>
              <w:pStyle w:val="Normal6"/>
            </w:pPr>
            <w:r w:rsidRPr="000B3CE8">
              <w:rPr>
                <w:b/>
                <w:i/>
              </w:rPr>
              <w:t>5b)</w:t>
            </w:r>
            <w:r w:rsidRPr="000B3CE8">
              <w:tab/>
            </w:r>
            <w:r w:rsidRPr="000B3CE8">
              <w:rPr>
                <w:b/>
                <w:i/>
              </w:rPr>
              <w:t>Artikel 18, stk. 1, afsnit 1, ændres således:</w:t>
            </w:r>
          </w:p>
        </w:tc>
      </w:tr>
      <w:tr w:rsidR="00FD282A" w:rsidRPr="000B3CE8" w:rsidTr="006D6397">
        <w:trPr>
          <w:jc w:val="center"/>
        </w:trPr>
        <w:tc>
          <w:tcPr>
            <w:tcW w:w="4876" w:type="dxa"/>
            <w:hideMark/>
          </w:tcPr>
          <w:p w:rsidR="00FD282A" w:rsidRPr="000B3CE8" w:rsidRDefault="00FD282A" w:rsidP="006D6397">
            <w:pPr>
              <w:pStyle w:val="Normal6"/>
            </w:pPr>
            <w:r w:rsidRPr="000B3CE8">
              <w:t>"</w:t>
            </w:r>
            <w:r w:rsidR="00DF2C38" w:rsidRPr="000B3CE8">
              <w:t xml:space="preserve">1) </w:t>
            </w:r>
            <w:r w:rsidRPr="000B3CE8">
              <w:t xml:space="preserve">I tilfælde, hvor en af de berørte parter nægter at give adgang til nødvendige oplysninger eller undlader at meddele dem inden for de frister, der er fastsat i denne forordning, eller lægger væsentlige hindringer i vejen for undersøgelsen, </w:t>
            </w:r>
            <w:r w:rsidRPr="000B3CE8">
              <w:rPr>
                <w:b/>
                <w:i/>
              </w:rPr>
              <w:t>kan</w:t>
            </w:r>
            <w:r w:rsidRPr="000B3CE8">
              <w:t xml:space="preserve"> der træffes foreløbige eller endelige afgørelser</w:t>
            </w:r>
            <w:r w:rsidRPr="000B3CE8">
              <w:rPr>
                <w:b/>
                <w:i/>
              </w:rPr>
              <w:t>, positive eller negative,</w:t>
            </w:r>
            <w:r w:rsidRPr="000B3CE8">
              <w:t xml:space="preserve"> på grundlag af de </w:t>
            </w:r>
            <w:r w:rsidRPr="000B3CE8">
              <w:rPr>
                <w:b/>
                <w:i/>
              </w:rPr>
              <w:t>foreliggende faktiske</w:t>
            </w:r>
            <w:r w:rsidRPr="000B3CE8">
              <w:t xml:space="preserve"> oplysninger.</w:t>
            </w:r>
          </w:p>
        </w:tc>
        <w:tc>
          <w:tcPr>
            <w:tcW w:w="4876" w:type="dxa"/>
            <w:hideMark/>
          </w:tcPr>
          <w:p w:rsidR="00FD282A" w:rsidRPr="000B3CE8" w:rsidRDefault="00FD282A" w:rsidP="006D6397">
            <w:pPr>
              <w:pStyle w:val="Normal6"/>
            </w:pPr>
            <w:r w:rsidRPr="000B3CE8">
              <w:t>"</w:t>
            </w:r>
            <w:r w:rsidR="00DF2C38" w:rsidRPr="000B3CE8">
              <w:t xml:space="preserve">1) </w:t>
            </w:r>
            <w:r w:rsidRPr="000B3CE8">
              <w:t xml:space="preserve">I tilfælde, hvor en af de berørte parter nægter at give adgang til nødvendige oplysninger eller undlader at meddele dem inden for de frister, der er fastsat i denne forordning, eller lægger væsentlige hindringer i vejen for undersøgelsen, </w:t>
            </w:r>
            <w:r w:rsidRPr="000B3CE8">
              <w:rPr>
                <w:b/>
                <w:i/>
              </w:rPr>
              <w:t>skal</w:t>
            </w:r>
            <w:r w:rsidRPr="000B3CE8">
              <w:t xml:space="preserve"> der træffes foreløbige eller endelige afgørelser på grundlag af de </w:t>
            </w:r>
            <w:r w:rsidRPr="000B3CE8">
              <w:rPr>
                <w:b/>
                <w:i/>
              </w:rPr>
              <w:t>bedste foreliggende</w:t>
            </w:r>
            <w:r w:rsidRPr="000B3CE8">
              <w:t xml:space="preserve"> oplysninger.</w:t>
            </w:r>
          </w:p>
        </w:tc>
      </w:tr>
    </w:tbl>
    <w:p w:rsidR="00FD282A" w:rsidRPr="000B3CE8" w:rsidRDefault="00FD282A" w:rsidP="00FD282A">
      <w:pPr>
        <w:pStyle w:val="CrossRef"/>
      </w:pPr>
    </w:p>
    <w:p w:rsidR="00FD282A" w:rsidRPr="000B3CE8" w:rsidRDefault="00FD282A" w:rsidP="00FD282A"/>
    <w:p w:rsidR="00FD282A" w:rsidRPr="000B3CE8" w:rsidRDefault="00FD282A" w:rsidP="00FD282A">
      <w:pPr>
        <w:pStyle w:val="AMNumberTabs"/>
      </w:pPr>
      <w:r w:rsidRPr="000B3CE8">
        <w:t>Ændringsforslag</w:t>
      </w:r>
      <w:r w:rsidRPr="000B3CE8">
        <w:tab/>
      </w:r>
      <w:r w:rsidRPr="000B3CE8">
        <w:tab/>
        <w:t>18</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pPr>
      <w:r w:rsidRPr="000B3CE8">
        <w:t>Artikel 1 – stk. 1 – nr. 5 c (nyt)</w:t>
      </w:r>
    </w:p>
    <w:p w:rsidR="00FD282A" w:rsidRPr="000B3CE8" w:rsidRDefault="00FD282A" w:rsidP="00FD282A">
      <w:r w:rsidRPr="000B3CE8">
        <w:t>Forordning (EU) 2016/1036</w:t>
      </w:r>
    </w:p>
    <w:p w:rsidR="00FD282A" w:rsidRPr="000B3CE8" w:rsidRDefault="00FD282A" w:rsidP="00FD282A">
      <w:r w:rsidRPr="000B3CE8">
        <w:t>Artikel 18 – stk. 1 – afsnit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2A" w:rsidRPr="000B3CE8" w:rsidTr="006D6397">
        <w:trPr>
          <w:trHeight w:val="240"/>
          <w:jc w:val="center"/>
        </w:trPr>
        <w:tc>
          <w:tcPr>
            <w:tcW w:w="9752" w:type="dxa"/>
            <w:gridSpan w:val="2"/>
          </w:tcPr>
          <w:p w:rsidR="00FD282A" w:rsidRPr="000B3CE8" w:rsidRDefault="00FD282A" w:rsidP="006D6397"/>
        </w:tc>
      </w:tr>
      <w:tr w:rsidR="00FD282A" w:rsidRPr="000B3CE8" w:rsidTr="006D6397">
        <w:trPr>
          <w:trHeight w:val="240"/>
          <w:jc w:val="center"/>
        </w:trPr>
        <w:tc>
          <w:tcPr>
            <w:tcW w:w="4876" w:type="dxa"/>
            <w:hideMark/>
          </w:tcPr>
          <w:p w:rsidR="00FD282A" w:rsidRPr="000B3CE8" w:rsidRDefault="00FD282A" w:rsidP="006D6397">
            <w:pPr>
              <w:pStyle w:val="ColumnHeading"/>
            </w:pPr>
            <w:r w:rsidRPr="000B3CE8">
              <w:t>Gældende tekst</w:t>
            </w:r>
          </w:p>
        </w:tc>
        <w:tc>
          <w:tcPr>
            <w:tcW w:w="4876" w:type="dxa"/>
            <w:hideMark/>
          </w:tcPr>
          <w:p w:rsidR="00FD282A" w:rsidRPr="000B3CE8" w:rsidRDefault="00FD282A" w:rsidP="006D6397">
            <w:pPr>
              <w:pStyle w:val="ColumnHeading"/>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p>
        </w:tc>
        <w:tc>
          <w:tcPr>
            <w:tcW w:w="4876" w:type="dxa"/>
            <w:hideMark/>
          </w:tcPr>
          <w:p w:rsidR="00FD282A" w:rsidRPr="000B3CE8" w:rsidRDefault="00FD282A" w:rsidP="006D6397">
            <w:pPr>
              <w:pStyle w:val="Normal6"/>
            </w:pPr>
            <w:r w:rsidRPr="000B3CE8">
              <w:rPr>
                <w:b/>
                <w:i/>
              </w:rPr>
              <w:t>5c)</w:t>
            </w:r>
            <w:r w:rsidRPr="000B3CE8">
              <w:tab/>
            </w:r>
            <w:r w:rsidRPr="000B3CE8">
              <w:rPr>
                <w:b/>
                <w:i/>
              </w:rPr>
              <w:t>Artikel 18, stk. 1, afsnit 3, ændres således:</w:t>
            </w:r>
          </w:p>
        </w:tc>
      </w:tr>
      <w:tr w:rsidR="00FD282A" w:rsidRPr="000B3CE8" w:rsidTr="006D6397">
        <w:trPr>
          <w:jc w:val="center"/>
        </w:trPr>
        <w:tc>
          <w:tcPr>
            <w:tcW w:w="4876" w:type="dxa"/>
            <w:hideMark/>
          </w:tcPr>
          <w:p w:rsidR="00FD282A" w:rsidRPr="000B3CE8" w:rsidRDefault="00FD282A" w:rsidP="006D6397">
            <w:pPr>
              <w:pStyle w:val="Normal6"/>
            </w:pPr>
            <w:r w:rsidRPr="000B3CE8">
              <w:t>"Berørte parter gøres bekendt med følgerne af manglende samarbejde."</w:t>
            </w:r>
          </w:p>
        </w:tc>
        <w:tc>
          <w:tcPr>
            <w:tcW w:w="4876" w:type="dxa"/>
            <w:hideMark/>
          </w:tcPr>
          <w:p w:rsidR="00FD282A" w:rsidRPr="000B3CE8" w:rsidRDefault="00FD282A" w:rsidP="006D6397">
            <w:pPr>
              <w:pStyle w:val="Normal6"/>
            </w:pPr>
            <w:r w:rsidRPr="000B3CE8">
              <w:t>"Berørte parter gøres bekendt med følgerne af manglende samarbejde</w:t>
            </w:r>
            <w:r w:rsidRPr="000B3CE8">
              <w:rPr>
                <w:b/>
                <w:i/>
              </w:rPr>
              <w:t xml:space="preserve"> og opføres i et register, ved hjælp af hvilket Kommissionen og partnerlandene vil være i stand til at øge opmærksomheden om disse parters aktiviteter</w:t>
            </w:r>
            <w:r w:rsidRPr="000B3CE8">
              <w:t>."</w:t>
            </w:r>
          </w:p>
        </w:tc>
      </w:tr>
    </w:tbl>
    <w:p w:rsidR="00FD282A" w:rsidRPr="000B3CE8" w:rsidRDefault="00FD282A" w:rsidP="00FD282A"/>
    <w:p w:rsidR="00FD282A" w:rsidRPr="000B3CE8" w:rsidRDefault="00FD282A" w:rsidP="00FD282A">
      <w:pPr>
        <w:pStyle w:val="AMNumberTabs"/>
      </w:pPr>
      <w:r w:rsidRPr="000B3CE8">
        <w:t>Ændringsforslag</w:t>
      </w:r>
      <w:r w:rsidRPr="000B3CE8">
        <w:tab/>
      </w:r>
      <w:r w:rsidRPr="000B3CE8">
        <w:tab/>
        <w:t>19</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pPr>
      <w:r w:rsidRPr="000B3CE8">
        <w:t>Artikel 1 – stk. 1 – nr. 5 d (nyt)</w:t>
      </w:r>
    </w:p>
    <w:p w:rsidR="00FD282A" w:rsidRPr="000B3CE8" w:rsidRDefault="00FD282A" w:rsidP="00FD282A">
      <w:r w:rsidRPr="000B3CE8">
        <w:t>Forordning (EU) 2016/1036</w:t>
      </w:r>
    </w:p>
    <w:p w:rsidR="00FD282A" w:rsidRPr="000B3CE8" w:rsidRDefault="00FD282A" w:rsidP="00FD282A">
      <w:r w:rsidRPr="000B3CE8">
        <w:t>Bilag -I (nyt)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282A" w:rsidRPr="000B3CE8" w:rsidTr="006D6397">
        <w:trPr>
          <w:trHeight w:val="240"/>
          <w:jc w:val="center"/>
        </w:trPr>
        <w:tc>
          <w:tcPr>
            <w:tcW w:w="9752" w:type="dxa"/>
            <w:gridSpan w:val="2"/>
          </w:tcPr>
          <w:p w:rsidR="00FD282A" w:rsidRPr="000B3CE8" w:rsidRDefault="00FD282A" w:rsidP="006D6397"/>
        </w:tc>
      </w:tr>
      <w:tr w:rsidR="00FD282A" w:rsidRPr="000B3CE8" w:rsidTr="006D6397">
        <w:trPr>
          <w:trHeight w:val="240"/>
          <w:jc w:val="center"/>
        </w:trPr>
        <w:tc>
          <w:tcPr>
            <w:tcW w:w="4876" w:type="dxa"/>
            <w:hideMark/>
          </w:tcPr>
          <w:p w:rsidR="00FD282A" w:rsidRPr="000B3CE8" w:rsidRDefault="00FD282A" w:rsidP="006D6397">
            <w:pPr>
              <w:pStyle w:val="ColumnHeading"/>
            </w:pPr>
            <w:r w:rsidRPr="000B3CE8">
              <w:t>Kommissionens forslag</w:t>
            </w:r>
          </w:p>
        </w:tc>
        <w:tc>
          <w:tcPr>
            <w:tcW w:w="4876" w:type="dxa"/>
            <w:hideMark/>
          </w:tcPr>
          <w:p w:rsidR="00FD282A" w:rsidRPr="000B3CE8" w:rsidRDefault="00FD282A" w:rsidP="006D6397">
            <w:pPr>
              <w:pStyle w:val="ColumnHeading"/>
            </w:pPr>
            <w:r w:rsidRPr="000B3CE8">
              <w:t>Ændringsforslag</w:t>
            </w:r>
          </w:p>
        </w:tc>
      </w:tr>
      <w:tr w:rsidR="00FD282A" w:rsidRPr="000B3CE8" w:rsidTr="006D6397">
        <w:trPr>
          <w:jc w:val="center"/>
        </w:trPr>
        <w:tc>
          <w:tcPr>
            <w:tcW w:w="4876" w:type="dxa"/>
          </w:tcPr>
          <w:p w:rsidR="00FD282A" w:rsidRPr="000B3CE8" w:rsidRDefault="00FD282A" w:rsidP="006D6397">
            <w:pPr>
              <w:pStyle w:val="Normal6"/>
            </w:pPr>
          </w:p>
        </w:tc>
        <w:tc>
          <w:tcPr>
            <w:tcW w:w="4876" w:type="dxa"/>
            <w:hideMark/>
          </w:tcPr>
          <w:p w:rsidR="00FD282A" w:rsidRPr="000B3CE8" w:rsidRDefault="00FD282A" w:rsidP="006D6397">
            <w:pPr>
              <w:pStyle w:val="Normal6"/>
            </w:pPr>
            <w:r w:rsidRPr="000B3CE8">
              <w:rPr>
                <w:b/>
                <w:i/>
              </w:rPr>
              <w:t>5d)</w:t>
            </w:r>
            <w:r w:rsidRPr="000B3CE8">
              <w:tab/>
            </w:r>
            <w:r w:rsidRPr="000B3CE8">
              <w:rPr>
                <w:b/>
                <w:i/>
              </w:rPr>
              <w:t>Følgende bilag indsættes:</w:t>
            </w:r>
          </w:p>
        </w:tc>
      </w:tr>
      <w:tr w:rsidR="00FD282A" w:rsidRPr="000B3CE8" w:rsidTr="006D6397">
        <w:trPr>
          <w:jc w:val="center"/>
        </w:trPr>
        <w:tc>
          <w:tcPr>
            <w:tcW w:w="4876" w:type="dxa"/>
            <w:hideMark/>
          </w:tcPr>
          <w:p w:rsidR="00FD282A" w:rsidRPr="000B3CE8" w:rsidRDefault="00FD282A" w:rsidP="006D6397">
            <w:pPr>
              <w:pStyle w:val="Normal6"/>
            </w:pPr>
          </w:p>
        </w:tc>
        <w:tc>
          <w:tcPr>
            <w:tcW w:w="4876" w:type="dxa"/>
            <w:hideMark/>
          </w:tcPr>
          <w:p w:rsidR="00FD282A" w:rsidRPr="000B3CE8" w:rsidRDefault="00FD282A" w:rsidP="006D6397">
            <w:pPr>
              <w:pStyle w:val="Normal6"/>
            </w:pPr>
            <w:r w:rsidRPr="000B3CE8">
              <w:rPr>
                <w:b/>
                <w:i/>
              </w:rPr>
              <w:t>"Bilag -I</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rPr>
                <w:b/>
                <w:i/>
              </w:rPr>
            </w:pPr>
            <w:r w:rsidRPr="000B3CE8">
              <w:rPr>
                <w:b/>
                <w:i/>
              </w:rPr>
              <w:t>1. Konvention om afskaffelse af tvangsarbejde, nr. 29 (1930)</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rPr>
                <w:b/>
                <w:i/>
              </w:rPr>
            </w:pPr>
            <w:r w:rsidRPr="000B3CE8">
              <w:rPr>
                <w:b/>
                <w:i/>
              </w:rPr>
              <w:t>2. Konvention om foreningsfrihed og beskyttelse af retten til at organisere sig, nr. 87 (1948)</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rPr>
                <w:b/>
                <w:i/>
              </w:rPr>
            </w:pPr>
            <w:r w:rsidRPr="000B3CE8">
              <w:rPr>
                <w:b/>
                <w:i/>
              </w:rPr>
              <w:t>3. Konvention om retten til at organisere sig og føre kollektive forhandlinger, nr. 98 (1949)</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rPr>
                <w:b/>
                <w:i/>
              </w:rPr>
            </w:pPr>
            <w:r w:rsidRPr="000B3CE8">
              <w:rPr>
                <w:b/>
                <w:i/>
              </w:rPr>
              <w:t>4. Konvention vedrørende lige løn til mandlige og kvindelige arbejdere for arbejde af samme værdi, nr. 100 (1951)</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rPr>
                <w:b/>
                <w:i/>
              </w:rPr>
            </w:pPr>
            <w:r w:rsidRPr="000B3CE8">
              <w:rPr>
                <w:b/>
                <w:i/>
              </w:rPr>
              <w:t>5. Konvention om afskaffelse af tvangsarbejde, nr. 105 (1957)</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rPr>
                <w:b/>
                <w:i/>
              </w:rPr>
            </w:pPr>
            <w:r w:rsidRPr="000B3CE8">
              <w:rPr>
                <w:b/>
                <w:i/>
              </w:rPr>
              <w:t>6. Konvention vedrørende forskelsbehandling med hensyn til beskæftigelse og erhverv, nr. 111 (1958)</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rPr>
                <w:b/>
                <w:i/>
              </w:rPr>
            </w:pPr>
            <w:r w:rsidRPr="000B3CE8">
              <w:rPr>
                <w:b/>
                <w:i/>
              </w:rPr>
              <w:t>7. Konvention om mindstealder for adgang til beskæftigelse, nr. 138 (1973)</w:t>
            </w:r>
          </w:p>
        </w:tc>
      </w:tr>
      <w:tr w:rsidR="00FD282A" w:rsidRPr="000B3CE8" w:rsidTr="006D6397">
        <w:trPr>
          <w:jc w:val="center"/>
        </w:trPr>
        <w:tc>
          <w:tcPr>
            <w:tcW w:w="4876" w:type="dxa"/>
          </w:tcPr>
          <w:p w:rsidR="00FD282A" w:rsidRPr="000B3CE8" w:rsidRDefault="00FD282A" w:rsidP="006D6397">
            <w:pPr>
              <w:pStyle w:val="Normal6"/>
            </w:pPr>
          </w:p>
        </w:tc>
        <w:tc>
          <w:tcPr>
            <w:tcW w:w="4876" w:type="dxa"/>
          </w:tcPr>
          <w:p w:rsidR="00FD282A" w:rsidRPr="000B3CE8" w:rsidRDefault="00FD282A" w:rsidP="006D6397">
            <w:pPr>
              <w:pStyle w:val="Normal6"/>
              <w:rPr>
                <w:b/>
                <w:i/>
              </w:rPr>
            </w:pPr>
            <w:r w:rsidRPr="000B3CE8">
              <w:rPr>
                <w:b/>
                <w:i/>
              </w:rPr>
              <w:t>8. Konventionen om forbud mod og omgående indsats til afskaffelse af de værste former for børnearbejde, nr. 182 (1999)."</w:t>
            </w:r>
          </w:p>
        </w:tc>
      </w:tr>
    </w:tbl>
    <w:p w:rsidR="00463422" w:rsidRPr="000B3CE8" w:rsidRDefault="00463422" w:rsidP="00FD282A"/>
    <w:p w:rsidR="00463422" w:rsidRPr="000B3CE8" w:rsidRDefault="00463422" w:rsidP="00463422">
      <w:pPr>
        <w:pStyle w:val="AMNumberTabs"/>
      </w:pPr>
      <w:r w:rsidRPr="000B3CE8">
        <w:t>Ændringsforslag</w:t>
      </w:r>
      <w:r w:rsidRPr="000B3CE8">
        <w:tab/>
      </w:r>
      <w:r w:rsidRPr="000B3CE8">
        <w:tab/>
        <w:t>20</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pPr>
      <w:r w:rsidRPr="000B3CE8">
        <w:t>Artikel 2 – stk. 1</w:t>
      </w:r>
    </w:p>
    <w:p w:rsidR="00FD282A" w:rsidRPr="000B3CE8" w:rsidRDefault="00FD282A" w:rsidP="00FD282A">
      <w:r w:rsidRPr="000B3CE8">
        <w:t>Forordning (EU) 2016/1037</w:t>
      </w:r>
    </w:p>
    <w:p w:rsidR="00FD282A" w:rsidRPr="000B3CE8" w:rsidRDefault="00FD282A" w:rsidP="00FD282A">
      <w:r w:rsidRPr="000B3CE8">
        <w:t>Artikel 10 – stk. 7 – afsnit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282A" w:rsidRPr="000B3CE8" w:rsidTr="006D6397">
        <w:trPr>
          <w:trHeight w:val="240"/>
          <w:jc w:val="center"/>
        </w:trPr>
        <w:tc>
          <w:tcPr>
            <w:tcW w:w="9752" w:type="dxa"/>
            <w:gridSpan w:val="2"/>
          </w:tcPr>
          <w:p w:rsidR="00FD282A" w:rsidRPr="000B3CE8" w:rsidRDefault="00FD282A" w:rsidP="006D6397"/>
        </w:tc>
      </w:tr>
      <w:tr w:rsidR="00FD282A" w:rsidRPr="000B3CE8" w:rsidTr="006D6397">
        <w:trPr>
          <w:trHeight w:val="240"/>
          <w:jc w:val="center"/>
        </w:trPr>
        <w:tc>
          <w:tcPr>
            <w:tcW w:w="4876" w:type="dxa"/>
            <w:hideMark/>
          </w:tcPr>
          <w:p w:rsidR="00FD282A" w:rsidRPr="000B3CE8" w:rsidRDefault="00FD282A" w:rsidP="006D6397">
            <w:pPr>
              <w:pStyle w:val="ColumnHeading"/>
            </w:pPr>
            <w:r w:rsidRPr="000B3CE8">
              <w:t>Kommissionens forslag</w:t>
            </w:r>
          </w:p>
        </w:tc>
        <w:tc>
          <w:tcPr>
            <w:tcW w:w="4876" w:type="dxa"/>
            <w:hideMark/>
          </w:tcPr>
          <w:p w:rsidR="00FD282A" w:rsidRPr="000B3CE8" w:rsidRDefault="00FD282A" w:rsidP="006D6397">
            <w:pPr>
              <w:pStyle w:val="ColumnHeading"/>
            </w:pPr>
            <w:r w:rsidRPr="000B3CE8">
              <w:t>Ændringsforslag</w:t>
            </w:r>
          </w:p>
        </w:tc>
      </w:tr>
      <w:tr w:rsidR="00FD282A" w:rsidRPr="000B3CE8" w:rsidTr="006D6397">
        <w:trPr>
          <w:jc w:val="center"/>
        </w:trPr>
        <w:tc>
          <w:tcPr>
            <w:tcW w:w="4876" w:type="dxa"/>
            <w:hideMark/>
          </w:tcPr>
          <w:p w:rsidR="00FD282A" w:rsidRPr="000B3CE8" w:rsidRDefault="00FD282A" w:rsidP="006D6397">
            <w:pPr>
              <w:pStyle w:val="Normal6"/>
            </w:pPr>
            <w:r w:rsidRPr="000B3CE8">
              <w:t xml:space="preserve">Kommissionen tilbyder også konsultationer til det pågældende oprindelses- og/eller eksportland med hensyn til andre subsidier, som er blevet konstateret i løbet af undersøgelsen. Kommissionen fremsender i disse tilfælde et sammendrag af de væsentligste elementer vedrørende andre subsidier, navnlig dem, der er omhandlet i denne artikels stk. 2, litra c). Hvis de ekstra subsidier ikke omfattes af </w:t>
            </w:r>
            <w:r w:rsidRPr="000B3CE8">
              <w:lastRenderedPageBreak/>
              <w:t>indledningsmeddelelsen, ændres indledningsmeddelelsen, og den ændrede udgave offentliggøres i Den Europæiske Unions Tidende</w:t>
            </w:r>
            <w:r w:rsidRPr="000B3CE8">
              <w:rPr>
                <w:b/>
                <w:i/>
              </w:rPr>
              <w:t xml:space="preserve"> med opfordring til alle interesserede parter om</w:t>
            </w:r>
            <w:r w:rsidRPr="000B3CE8">
              <w:t xml:space="preserve"> at fremsætte bemærkninger.</w:t>
            </w:r>
          </w:p>
        </w:tc>
        <w:tc>
          <w:tcPr>
            <w:tcW w:w="4876" w:type="dxa"/>
            <w:hideMark/>
          </w:tcPr>
          <w:p w:rsidR="00FD282A" w:rsidRPr="000B3CE8" w:rsidRDefault="00FD282A" w:rsidP="006D6397">
            <w:pPr>
              <w:pStyle w:val="Normal6"/>
            </w:pPr>
            <w:r w:rsidRPr="000B3CE8">
              <w:lastRenderedPageBreak/>
              <w:t xml:space="preserve">Kommissionen tilbyder også konsultationer til det pågældende oprindelses- og/eller eksportland med hensyn til andre subsidier, som er blevet konstateret i løbet af undersøgelsen. Kommissionen fremsender i disse tilfælde et sammendrag af de væsentligste elementer vedrørende andre subsidier, navnlig dem, der er omhandlet i denne artikels stk. 2, litra c). Hvis de ekstra subsidier ikke omfattes af </w:t>
            </w:r>
            <w:r w:rsidRPr="000B3CE8">
              <w:lastRenderedPageBreak/>
              <w:t>indledningsmeddelelsen, ændres indledningsmeddelelsen, og den ændrede udgave offentliggøres i Den Europæiske Unions Tidende</w:t>
            </w:r>
            <w:r w:rsidRPr="000B3CE8">
              <w:rPr>
                <w:b/>
                <w:i/>
              </w:rPr>
              <w:t>.</w:t>
            </w:r>
            <w:r w:rsidRPr="000B3CE8">
              <w:t xml:space="preserve"> </w:t>
            </w:r>
            <w:r w:rsidRPr="000B3CE8">
              <w:rPr>
                <w:b/>
                <w:i/>
              </w:rPr>
              <w:t>Alle interesserede parter gives yderligere og tilstrækkelig tid til</w:t>
            </w:r>
            <w:r w:rsidRPr="000B3CE8">
              <w:t xml:space="preserve"> at fremsætte bemærkninger.</w:t>
            </w:r>
          </w:p>
        </w:tc>
      </w:tr>
    </w:tbl>
    <w:p w:rsidR="00FD282A" w:rsidRPr="000B3CE8" w:rsidRDefault="00FD282A" w:rsidP="00FD282A"/>
    <w:p w:rsidR="00FD282A" w:rsidRPr="000B3CE8" w:rsidRDefault="00FD282A" w:rsidP="00FD282A">
      <w:pPr>
        <w:pStyle w:val="AMNumberTabs"/>
      </w:pPr>
      <w:r w:rsidRPr="000B3CE8">
        <w:t>Ændringsforslag</w:t>
      </w:r>
      <w:r w:rsidRPr="000B3CE8">
        <w:tab/>
      </w:r>
      <w:r w:rsidRPr="000B3CE8">
        <w:tab/>
        <w:t>21</w:t>
      </w:r>
    </w:p>
    <w:p w:rsidR="00FD282A" w:rsidRPr="000B3CE8" w:rsidRDefault="00FD282A" w:rsidP="00FD282A">
      <w:pPr>
        <w:pStyle w:val="NormalBold12b"/>
        <w:keepNext/>
      </w:pPr>
      <w:r w:rsidRPr="000B3CE8">
        <w:t>Forslag til forordning</w:t>
      </w:r>
    </w:p>
    <w:p w:rsidR="00FD282A" w:rsidRPr="000B3CE8" w:rsidRDefault="00FD282A" w:rsidP="00FD282A">
      <w:pPr>
        <w:pStyle w:val="NormalBold"/>
      </w:pPr>
      <w:r w:rsidRPr="000B3CE8">
        <w:t>Artikel 4 – stk.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282A" w:rsidRPr="000B3CE8" w:rsidTr="006D6397">
        <w:trPr>
          <w:trHeight w:val="240"/>
          <w:jc w:val="center"/>
        </w:trPr>
        <w:tc>
          <w:tcPr>
            <w:tcW w:w="9752" w:type="dxa"/>
            <w:gridSpan w:val="2"/>
          </w:tcPr>
          <w:p w:rsidR="00FD282A" w:rsidRPr="000B3CE8" w:rsidRDefault="00FD282A" w:rsidP="006D6397"/>
        </w:tc>
      </w:tr>
      <w:tr w:rsidR="00FD282A" w:rsidRPr="000B3CE8" w:rsidTr="006D6397">
        <w:trPr>
          <w:trHeight w:val="240"/>
          <w:jc w:val="center"/>
        </w:trPr>
        <w:tc>
          <w:tcPr>
            <w:tcW w:w="4876" w:type="dxa"/>
            <w:hideMark/>
          </w:tcPr>
          <w:p w:rsidR="00FD282A" w:rsidRPr="000B3CE8" w:rsidRDefault="00FD282A" w:rsidP="006D6397">
            <w:pPr>
              <w:pStyle w:val="ColumnHeading"/>
            </w:pPr>
            <w:r w:rsidRPr="000B3CE8">
              <w:t>Kommissionens forslag</w:t>
            </w:r>
          </w:p>
        </w:tc>
        <w:tc>
          <w:tcPr>
            <w:tcW w:w="4876" w:type="dxa"/>
            <w:hideMark/>
          </w:tcPr>
          <w:p w:rsidR="00FD282A" w:rsidRPr="000B3CE8" w:rsidRDefault="00FD282A" w:rsidP="006D6397">
            <w:pPr>
              <w:pStyle w:val="ColumnHeading"/>
            </w:pPr>
            <w:r w:rsidRPr="000B3CE8">
              <w:t>Ændringsforslag</w:t>
            </w:r>
          </w:p>
        </w:tc>
      </w:tr>
      <w:tr w:rsidR="00FD282A" w:rsidRPr="000B3CE8" w:rsidTr="006D6397">
        <w:trPr>
          <w:jc w:val="center"/>
        </w:trPr>
        <w:tc>
          <w:tcPr>
            <w:tcW w:w="4876" w:type="dxa"/>
            <w:hideMark/>
          </w:tcPr>
          <w:p w:rsidR="00FD282A" w:rsidRPr="000B3CE8" w:rsidRDefault="00FD282A" w:rsidP="006D6397">
            <w:pPr>
              <w:pStyle w:val="Normal6"/>
            </w:pPr>
            <w:r w:rsidRPr="000B3CE8">
              <w:t xml:space="preserve">Nærværende forordning finder anvendelse på alle </w:t>
            </w:r>
            <w:r w:rsidRPr="000B3CE8">
              <w:rPr>
                <w:b/>
                <w:i/>
              </w:rPr>
              <w:t>afgørelser om at indlede procedurer samt på alle procedurer</w:t>
            </w:r>
            <w:r w:rsidRPr="000B3CE8">
              <w:t xml:space="preserve">, </w:t>
            </w:r>
            <w:r w:rsidRPr="000B3CE8">
              <w:rPr>
                <w:b/>
                <w:i/>
              </w:rPr>
              <w:t>herunder oprindelige undersøgelser</w:t>
            </w:r>
            <w:r w:rsidRPr="000B3CE8">
              <w:t xml:space="preserve"> og </w:t>
            </w:r>
            <w:r w:rsidRPr="000B3CE8">
              <w:rPr>
                <w:b/>
                <w:i/>
              </w:rPr>
              <w:t>genoptagede</w:t>
            </w:r>
            <w:r w:rsidRPr="000B3CE8">
              <w:t xml:space="preserve"> undersøgelser</w:t>
            </w:r>
            <w:r w:rsidRPr="000B3CE8">
              <w:rPr>
                <w:b/>
                <w:i/>
              </w:rPr>
              <w:t>, som indledes på eller efter</w:t>
            </w:r>
            <w:r w:rsidRPr="000B3CE8">
              <w:t xml:space="preserve"> den dato, </w:t>
            </w:r>
            <w:r w:rsidRPr="000B3CE8">
              <w:rPr>
                <w:b/>
                <w:i/>
              </w:rPr>
              <w:t>hvor nærværende forordning træder i kraft</w:t>
            </w:r>
            <w:r w:rsidRPr="000B3CE8">
              <w:t>.</w:t>
            </w:r>
          </w:p>
        </w:tc>
        <w:tc>
          <w:tcPr>
            <w:tcW w:w="4876" w:type="dxa"/>
            <w:hideMark/>
          </w:tcPr>
          <w:p w:rsidR="00FD282A" w:rsidRPr="000B3CE8" w:rsidRDefault="00FD282A" w:rsidP="006D6397">
            <w:pPr>
              <w:pStyle w:val="Normal6"/>
            </w:pPr>
            <w:r w:rsidRPr="000B3CE8">
              <w:t xml:space="preserve">Nærværende forordning finder anvendelse på alle </w:t>
            </w:r>
            <w:r w:rsidRPr="000B3CE8">
              <w:rPr>
                <w:b/>
                <w:i/>
              </w:rPr>
              <w:t>undersøgelser i henhold til artikel 5 i forordning (EU) 2016/1036</w:t>
            </w:r>
            <w:r w:rsidRPr="000B3CE8">
              <w:t xml:space="preserve">, </w:t>
            </w:r>
            <w:r w:rsidRPr="000B3CE8">
              <w:rPr>
                <w:b/>
                <w:i/>
              </w:rPr>
              <w:t>som indledes fra</w:t>
            </w:r>
            <w:r w:rsidRPr="000B3CE8">
              <w:t xml:space="preserve"> og </w:t>
            </w:r>
            <w:r w:rsidRPr="000B3CE8">
              <w:rPr>
                <w:b/>
                <w:i/>
              </w:rPr>
              <w:t>med den ... [indsæt dato, hvor nærværende forordning træder i kraft].</w:t>
            </w:r>
            <w:r w:rsidRPr="000B3CE8">
              <w:t xml:space="preserve"> </w:t>
            </w:r>
            <w:r w:rsidRPr="000B3CE8">
              <w:rPr>
                <w:b/>
                <w:i/>
              </w:rPr>
              <w:t>For alle andre</w:t>
            </w:r>
            <w:r w:rsidRPr="000B3CE8">
              <w:t xml:space="preserve"> undersøgelser</w:t>
            </w:r>
            <w:r w:rsidRPr="000B3CE8">
              <w:rPr>
                <w:b/>
                <w:i/>
              </w:rPr>
              <w:t xml:space="preserve"> finder nærværende forordning anvendelse fra</w:t>
            </w:r>
            <w:r w:rsidRPr="000B3CE8">
              <w:t xml:space="preserve"> den dato, </w:t>
            </w:r>
            <w:r w:rsidRPr="000B3CE8">
              <w:rPr>
                <w:b/>
                <w:i/>
              </w:rPr>
              <w:t>hvorpå den første undersøgelse af de relevante foranstaltninger, som foretages efter denne dato, afsluttes</w:t>
            </w:r>
            <w:r w:rsidRPr="000B3CE8">
              <w:t>.</w:t>
            </w:r>
          </w:p>
        </w:tc>
      </w:tr>
    </w:tbl>
    <w:p w:rsidR="00FD282A" w:rsidRPr="000B3CE8" w:rsidRDefault="00FD282A" w:rsidP="00FD282A"/>
    <w:sectPr w:rsidR="00FD282A" w:rsidRPr="000B3CE8" w:rsidSect="00ED4C7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CC" w:rsidRPr="006406CC" w:rsidRDefault="006406CC">
      <w:r w:rsidRPr="006406CC">
        <w:separator/>
      </w:r>
    </w:p>
  </w:endnote>
  <w:endnote w:type="continuationSeparator" w:id="0">
    <w:p w:rsidR="006406CC" w:rsidRPr="006406CC" w:rsidRDefault="006406CC">
      <w:r w:rsidRPr="006406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E8" w:rsidRDefault="000B3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77" w:rsidRDefault="00ED4C77" w:rsidP="000B3CE8">
    <w:pPr>
      <w:pStyle w:val="Footer"/>
      <w:tabs>
        <w:tab w:val="clear" w:pos="9639"/>
        <w:tab w:val="right" w:pos="9184"/>
      </w:tabs>
    </w:pPr>
  </w:p>
  <w:p w:rsidR="000B3CE8" w:rsidRDefault="000B3CE8" w:rsidP="000B3CE8">
    <w:pPr>
      <w:pStyle w:val="Footer"/>
      <w:pBdr>
        <w:top w:val="single" w:sz="2" w:space="1" w:color="000000"/>
      </w:pBdr>
      <w:tabs>
        <w:tab w:val="clear" w:pos="9639"/>
        <w:tab w:val="right" w:pos="9184"/>
      </w:tabs>
    </w:pPr>
    <w:r>
      <w:tab/>
    </w:r>
    <w:r w:rsidRPr="000B3CE8">
      <w:rPr>
        <w:rStyle w:val="HideTWBExt"/>
      </w:rPr>
      <w:t>&lt;NuPE&gt;</w:t>
    </w:r>
    <w:r>
      <w:t>PE611.530</w:t>
    </w:r>
    <w:r w:rsidRPr="000B3CE8">
      <w:rPr>
        <w:rStyle w:val="HideTWBExt"/>
      </w:rPr>
      <w:t>&lt;/NuPE&gt;</w:t>
    </w:r>
    <w:r>
      <w:t xml:space="preserve">/ </w:t>
    </w:r>
    <w:r>
      <w:fldChar w:fldCharType="begin"/>
    </w:r>
    <w:r>
      <w:instrText xml:space="preserve"> PAGE  \* MERGEFORMAT </w:instrText>
    </w:r>
    <w:r>
      <w:fldChar w:fldCharType="separate"/>
    </w:r>
    <w:r w:rsidR="000D0A39">
      <w:rPr>
        <w:noProof/>
      </w:rPr>
      <w:t>2</w:t>
    </w:r>
    <w:r>
      <w:fldChar w:fldCharType="end"/>
    </w:r>
  </w:p>
  <w:p w:rsidR="000B3CE8" w:rsidRPr="000B3CE8" w:rsidRDefault="000B3CE8" w:rsidP="000B3CE8">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E8" w:rsidRDefault="000B3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CC" w:rsidRPr="006406CC" w:rsidRDefault="006406CC">
      <w:r w:rsidRPr="006406CC">
        <w:separator/>
      </w:r>
    </w:p>
  </w:footnote>
  <w:footnote w:type="continuationSeparator" w:id="0">
    <w:p w:rsidR="006406CC" w:rsidRPr="006406CC" w:rsidRDefault="006406CC">
      <w:r w:rsidRPr="006406C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E8" w:rsidRDefault="000B3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E8" w:rsidRDefault="000B3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E8" w:rsidRDefault="000B3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36/2017"/>
    <w:docVar w:name="dvlangue" w:val="DA"/>
    <w:docVar w:name="dvnumam" w:val="36"/>
    <w:docVar w:name="dvpe" w:val="602.983"/>
    <w:docVar w:name="dvrapporteur" w:val="Ordfører: "/>
    <w:docVar w:name="dvtitre" w:val="Europa-Parlamentets lovgivningsmæssige beslutning af xx.xx 2017 om forslag til Europa-Parlamentets og Rådets forordning om ændring af forordning (EU) 2016/1036 om beskyttelse mod dumpingimport fra lande, der ikke er medlemmer af Den Europæiske Union, og af forordning (EU) 2016/1037 om beskyttelse mod subsidieret indførsel fra lande, der ikke er medlemmer af Den Europæiske Union(COM(2016)0721 – C8-0456/2016 – 2016/0351(COD))"/>
    <w:docVar w:name="TA_Comm_A5Nr" w:val="A8-0236/2017"/>
    <w:docVar w:name="TA_Comm_Langue" w:val="DA"/>
    <w:docVar w:name="TA_Comm_NrAM" w:val="001-021"/>
    <w:docVar w:name="TA_Type" w:val="TA_COMM"/>
  </w:docVars>
  <w:rsids>
    <w:rsidRoot w:val="006406CC"/>
    <w:rsid w:val="00002272"/>
    <w:rsid w:val="000677B9"/>
    <w:rsid w:val="000B3CE8"/>
    <w:rsid w:val="000D0A39"/>
    <w:rsid w:val="000E7DD9"/>
    <w:rsid w:val="0010095E"/>
    <w:rsid w:val="00103BE5"/>
    <w:rsid w:val="00125B37"/>
    <w:rsid w:val="002767FF"/>
    <w:rsid w:val="002B5493"/>
    <w:rsid w:val="00361C00"/>
    <w:rsid w:val="00395FA1"/>
    <w:rsid w:val="003E15D4"/>
    <w:rsid w:val="00411CCE"/>
    <w:rsid w:val="0041666E"/>
    <w:rsid w:val="00421060"/>
    <w:rsid w:val="00463422"/>
    <w:rsid w:val="00494A28"/>
    <w:rsid w:val="0050519A"/>
    <w:rsid w:val="005072A1"/>
    <w:rsid w:val="00514517"/>
    <w:rsid w:val="006037C0"/>
    <w:rsid w:val="006406CC"/>
    <w:rsid w:val="00680577"/>
    <w:rsid w:val="006D3A14"/>
    <w:rsid w:val="006F74FA"/>
    <w:rsid w:val="00731ADD"/>
    <w:rsid w:val="00734777"/>
    <w:rsid w:val="00751A4A"/>
    <w:rsid w:val="00756632"/>
    <w:rsid w:val="007D1690"/>
    <w:rsid w:val="00865F67"/>
    <w:rsid w:val="00875F24"/>
    <w:rsid w:val="00881A7B"/>
    <w:rsid w:val="008840E5"/>
    <w:rsid w:val="008C2AC6"/>
    <w:rsid w:val="009509D8"/>
    <w:rsid w:val="00981893"/>
    <w:rsid w:val="009A1B1E"/>
    <w:rsid w:val="00A4678D"/>
    <w:rsid w:val="00A72143"/>
    <w:rsid w:val="00AF3B82"/>
    <w:rsid w:val="00B558F0"/>
    <w:rsid w:val="00BD7BD8"/>
    <w:rsid w:val="00C05BFE"/>
    <w:rsid w:val="00C23CD4"/>
    <w:rsid w:val="00C8794B"/>
    <w:rsid w:val="00C941CB"/>
    <w:rsid w:val="00CC2357"/>
    <w:rsid w:val="00D058B8"/>
    <w:rsid w:val="00D834A0"/>
    <w:rsid w:val="00D91E21"/>
    <w:rsid w:val="00DF2C38"/>
    <w:rsid w:val="00E365E1"/>
    <w:rsid w:val="00ED4235"/>
    <w:rsid w:val="00ED4C77"/>
    <w:rsid w:val="00F04346"/>
    <w:rsid w:val="00F075DC"/>
    <w:rsid w:val="00F5134D"/>
    <w:rsid w:val="00FD0C70"/>
    <w:rsid w:val="00FD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FB4D09-CECB-4EA7-932A-3D484C8E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FD282A"/>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FD282A"/>
    <w:rPr>
      <w:sz w:val="24"/>
      <w:lang w:val="fr-FR" w:eastAsia="fr-FR"/>
    </w:rPr>
  </w:style>
  <w:style w:type="character" w:customStyle="1" w:styleId="Heading3Char">
    <w:name w:val="Heading 3 Char"/>
    <w:link w:val="Heading3"/>
    <w:rsid w:val="00FD282A"/>
    <w:rPr>
      <w:rFonts w:ascii="Arial" w:hAnsi="Arial"/>
      <w:sz w:val="24"/>
      <w:lang w:val="fr-FR" w:eastAsia="fr-FR"/>
    </w:rPr>
  </w:style>
  <w:style w:type="character" w:customStyle="1" w:styleId="Heading4Char">
    <w:name w:val="Heading 4 Char"/>
    <w:link w:val="Heading4"/>
    <w:rsid w:val="00FD282A"/>
    <w:rPr>
      <w:sz w:val="24"/>
      <w:lang w:val="en-US" w:eastAsia="fr-FR"/>
    </w:rPr>
  </w:style>
  <w:style w:type="character" w:customStyle="1" w:styleId="Heading5Char">
    <w:name w:val="Heading 5 Char"/>
    <w:link w:val="Heading5"/>
    <w:rsid w:val="00FD282A"/>
    <w:rPr>
      <w:sz w:val="24"/>
      <w:lang w:val="en-US" w:eastAsia="fr-FR"/>
    </w:rPr>
  </w:style>
  <w:style w:type="character" w:customStyle="1" w:styleId="Heading6Char">
    <w:name w:val="Heading 6 Char"/>
    <w:link w:val="Heading6"/>
    <w:rsid w:val="00FD282A"/>
    <w:rPr>
      <w:i/>
      <w:sz w:val="22"/>
      <w:lang w:val="da-DK"/>
    </w:rPr>
  </w:style>
  <w:style w:type="character" w:customStyle="1" w:styleId="Heading7Char">
    <w:name w:val="Heading 7 Char"/>
    <w:link w:val="Heading7"/>
    <w:rsid w:val="00FD282A"/>
    <w:rPr>
      <w:rFonts w:ascii="Arial" w:hAnsi="Arial"/>
      <w:sz w:val="24"/>
      <w:lang w:val="da-DK"/>
    </w:rPr>
  </w:style>
  <w:style w:type="character" w:customStyle="1" w:styleId="Heading8Char">
    <w:name w:val="Heading 8 Char"/>
    <w:link w:val="Heading8"/>
    <w:rsid w:val="00FD282A"/>
    <w:rPr>
      <w:rFonts w:ascii="Arial" w:hAnsi="Arial"/>
      <w:i/>
      <w:sz w:val="24"/>
      <w:lang w:val="da-DK"/>
    </w:rPr>
  </w:style>
  <w:style w:type="character" w:customStyle="1" w:styleId="Heading9Char">
    <w:name w:val="Heading 9 Char"/>
    <w:link w:val="Heading9"/>
    <w:rsid w:val="00FD282A"/>
    <w:rPr>
      <w:rFonts w:ascii="Arial" w:hAnsi="Arial"/>
      <w:b/>
      <w:i/>
      <w:sz w:val="18"/>
      <w:lang w:val="da-DK"/>
    </w:rPr>
  </w:style>
  <w:style w:type="character" w:customStyle="1" w:styleId="FooterChar">
    <w:name w:val="Footer Char"/>
    <w:link w:val="Footer"/>
    <w:rsid w:val="00FD282A"/>
    <w:rPr>
      <w:sz w:val="22"/>
      <w:lang w:val="fr-FR" w:eastAsia="fr-FR"/>
    </w:rPr>
  </w:style>
  <w:style w:type="character" w:customStyle="1" w:styleId="Normal6Char">
    <w:name w:val="Normal6 Char"/>
    <w:link w:val="Normal6"/>
    <w:rsid w:val="00FD282A"/>
    <w:rPr>
      <w:sz w:val="24"/>
      <w:lang w:val="da-DK"/>
    </w:rPr>
  </w:style>
  <w:style w:type="character" w:customStyle="1" w:styleId="NormalBoldChar">
    <w:name w:val="NormalBold Char"/>
    <w:link w:val="NormalBold"/>
    <w:rsid w:val="00FD282A"/>
    <w:rPr>
      <w:b/>
      <w:sz w:val="24"/>
      <w:lang w:val="da-DK"/>
    </w:rPr>
  </w:style>
  <w:style w:type="paragraph" w:customStyle="1" w:styleId="Normal12Italic">
    <w:name w:val="Normal12Italic"/>
    <w:basedOn w:val="Normal"/>
    <w:rsid w:val="00FD282A"/>
    <w:pPr>
      <w:spacing w:before="240"/>
    </w:pPr>
    <w:rPr>
      <w:i/>
      <w:lang w:eastAsia="da-DK" w:bidi="da-DK"/>
    </w:rPr>
  </w:style>
  <w:style w:type="paragraph" w:customStyle="1" w:styleId="CrossRef">
    <w:name w:val="CrossRef"/>
    <w:basedOn w:val="Normal"/>
    <w:rsid w:val="00FD282A"/>
    <w:pPr>
      <w:spacing w:before="240"/>
      <w:jc w:val="center"/>
    </w:pPr>
    <w:rPr>
      <w:i/>
      <w:lang w:eastAsia="da-DK" w:bidi="da-DK"/>
    </w:rPr>
  </w:style>
  <w:style w:type="paragraph" w:customStyle="1" w:styleId="JustificationTitle">
    <w:name w:val="JustificationTitle"/>
    <w:basedOn w:val="Normal"/>
    <w:next w:val="Normal12"/>
    <w:rsid w:val="00FD282A"/>
    <w:pPr>
      <w:keepNext/>
      <w:spacing w:before="240"/>
      <w:jc w:val="center"/>
    </w:pPr>
    <w:rPr>
      <w:i/>
      <w:lang w:eastAsia="da-DK" w:bidi="da-DK"/>
    </w:rPr>
  </w:style>
  <w:style w:type="paragraph" w:customStyle="1" w:styleId="Normal12Centre">
    <w:name w:val="Normal12Centre"/>
    <w:basedOn w:val="Normal12"/>
    <w:rsid w:val="00FD282A"/>
    <w:pPr>
      <w:jc w:val="center"/>
    </w:pPr>
    <w:rPr>
      <w:lang w:eastAsia="da-DK" w:bidi="da-DK"/>
    </w:rPr>
  </w:style>
  <w:style w:type="paragraph" w:customStyle="1" w:styleId="Normal12Keep">
    <w:name w:val="Normal12Keep"/>
    <w:basedOn w:val="Normal12"/>
    <w:rsid w:val="00FD282A"/>
    <w:pPr>
      <w:keepNext/>
    </w:pPr>
    <w:rPr>
      <w:lang w:eastAsia="da-DK" w:bidi="da-DK"/>
    </w:rPr>
  </w:style>
  <w:style w:type="paragraph" w:customStyle="1" w:styleId="Normal12Tab">
    <w:name w:val="Normal12Tab"/>
    <w:basedOn w:val="Normal12"/>
    <w:rsid w:val="00FD282A"/>
    <w:pPr>
      <w:tabs>
        <w:tab w:val="left" w:pos="567"/>
      </w:tabs>
    </w:pPr>
    <w:rPr>
      <w:lang w:eastAsia="da-DK" w:bidi="da-DK"/>
    </w:rPr>
  </w:style>
  <w:style w:type="paragraph" w:customStyle="1" w:styleId="StarsAndIs">
    <w:name w:val="StarsAndIs"/>
    <w:basedOn w:val="Normal"/>
    <w:rsid w:val="00FD282A"/>
    <w:pPr>
      <w:ind w:left="1418"/>
    </w:pPr>
    <w:rPr>
      <w:rFonts w:ascii="Arial" w:hAnsi="Arial"/>
      <w:b/>
      <w:sz w:val="48"/>
      <w:lang w:eastAsia="da-DK" w:bidi="da-DK"/>
    </w:rPr>
  </w:style>
  <w:style w:type="paragraph" w:customStyle="1" w:styleId="Lgendesigne">
    <w:name w:val="Légende signe"/>
    <w:basedOn w:val="Normal"/>
    <w:rsid w:val="00FD282A"/>
    <w:pPr>
      <w:tabs>
        <w:tab w:val="right" w:pos="454"/>
        <w:tab w:val="left" w:pos="737"/>
      </w:tabs>
      <w:ind w:left="737" w:hanging="737"/>
    </w:pPr>
    <w:rPr>
      <w:snapToGrid w:val="0"/>
      <w:sz w:val="18"/>
      <w:lang w:eastAsia="da-DK" w:bidi="da-DK"/>
    </w:rPr>
  </w:style>
  <w:style w:type="paragraph" w:customStyle="1" w:styleId="TypeDoc">
    <w:name w:val="TypeDoc"/>
    <w:basedOn w:val="Normal24"/>
    <w:rsid w:val="00FD282A"/>
    <w:pPr>
      <w:ind w:left="1418"/>
    </w:pPr>
    <w:rPr>
      <w:rFonts w:ascii="Arial" w:hAnsi="Arial"/>
      <w:b/>
      <w:sz w:val="48"/>
      <w:lang w:eastAsia="da-DK" w:bidi="da-DK"/>
    </w:rPr>
  </w:style>
  <w:style w:type="paragraph" w:customStyle="1" w:styleId="ZDate">
    <w:name w:val="ZDate"/>
    <w:basedOn w:val="Normal"/>
    <w:rsid w:val="00FD282A"/>
    <w:pPr>
      <w:spacing w:after="1200"/>
    </w:pPr>
    <w:rPr>
      <w:lang w:eastAsia="da-DK" w:bidi="da-DK"/>
    </w:rPr>
  </w:style>
  <w:style w:type="character" w:customStyle="1" w:styleId="HeaderChar">
    <w:name w:val="Header Char"/>
    <w:link w:val="Header"/>
    <w:rsid w:val="00FD282A"/>
    <w:rPr>
      <w:sz w:val="24"/>
      <w:lang w:val="fr-FR" w:eastAsia="fr-FR"/>
    </w:rPr>
  </w:style>
  <w:style w:type="paragraph" w:customStyle="1" w:styleId="Olang">
    <w:name w:val="Olang"/>
    <w:basedOn w:val="Normal"/>
    <w:rsid w:val="00FD282A"/>
    <w:pPr>
      <w:spacing w:before="240" w:after="240"/>
      <w:jc w:val="right"/>
    </w:pPr>
    <w:rPr>
      <w:noProof/>
      <w:lang w:eastAsia="da-DK" w:bidi="da-DK"/>
    </w:rPr>
  </w:style>
  <w:style w:type="paragraph" w:customStyle="1" w:styleId="ColumnHeading">
    <w:name w:val="ColumnHeading"/>
    <w:basedOn w:val="Normal"/>
    <w:rsid w:val="00FD282A"/>
    <w:pPr>
      <w:spacing w:after="240"/>
      <w:jc w:val="center"/>
    </w:pPr>
    <w:rPr>
      <w:i/>
      <w:lang w:eastAsia="da-DK" w:bidi="da-DK"/>
    </w:rPr>
  </w:style>
  <w:style w:type="paragraph" w:customStyle="1" w:styleId="AMNumberTabs">
    <w:name w:val="AMNumberTabs"/>
    <w:basedOn w:val="Normal"/>
    <w:link w:val="AMNumberTabsChar"/>
    <w:rsid w:val="00FD282A"/>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da-DK" w:bidi="da-DK"/>
    </w:rPr>
  </w:style>
  <w:style w:type="paragraph" w:customStyle="1" w:styleId="NormalBold12b">
    <w:name w:val="NormalBold12b"/>
    <w:basedOn w:val="Normal"/>
    <w:rsid w:val="00FD282A"/>
    <w:pPr>
      <w:spacing w:before="240"/>
    </w:pPr>
    <w:rPr>
      <w:b/>
      <w:lang w:eastAsia="da-DK" w:bidi="da-DK"/>
    </w:rPr>
  </w:style>
  <w:style w:type="paragraph" w:customStyle="1" w:styleId="ZCommittee">
    <w:name w:val="ZCommittee"/>
    <w:basedOn w:val="Normal"/>
    <w:next w:val="Normal"/>
    <w:rsid w:val="00FD282A"/>
    <w:pPr>
      <w:jc w:val="center"/>
    </w:pPr>
    <w:rPr>
      <w:rFonts w:ascii="Arial" w:hAnsi="Arial" w:cs="Arial"/>
      <w:i/>
      <w:sz w:val="22"/>
      <w:szCs w:val="22"/>
      <w:lang w:eastAsia="da-DK" w:bidi="da-DK"/>
    </w:rPr>
  </w:style>
  <w:style w:type="paragraph" w:customStyle="1" w:styleId="Lgendetitre">
    <w:name w:val="Légende titre"/>
    <w:basedOn w:val="Normal"/>
    <w:rsid w:val="00FD282A"/>
    <w:pPr>
      <w:spacing w:before="240" w:after="240"/>
    </w:pPr>
    <w:rPr>
      <w:b/>
      <w:i/>
      <w:snapToGrid w:val="0"/>
      <w:lang w:eastAsia="da-DK" w:bidi="da-DK"/>
    </w:rPr>
  </w:style>
  <w:style w:type="paragraph" w:customStyle="1" w:styleId="Lgendestandard">
    <w:name w:val="Légende standard"/>
    <w:basedOn w:val="Lgendesigne"/>
    <w:rsid w:val="00FD282A"/>
    <w:pPr>
      <w:ind w:left="0" w:firstLine="0"/>
    </w:pPr>
  </w:style>
  <w:style w:type="paragraph" w:styleId="CommentText">
    <w:name w:val="annotation text"/>
    <w:basedOn w:val="Normal"/>
    <w:link w:val="CommentTextChar"/>
    <w:uiPriority w:val="99"/>
    <w:unhideWhenUsed/>
    <w:rsid w:val="00FD282A"/>
    <w:rPr>
      <w:sz w:val="20"/>
      <w:lang w:eastAsia="da-DK" w:bidi="da-DK"/>
    </w:rPr>
  </w:style>
  <w:style w:type="character" w:customStyle="1" w:styleId="CommentTextChar">
    <w:name w:val="Comment Text Char"/>
    <w:basedOn w:val="DefaultParagraphFont"/>
    <w:link w:val="CommentText"/>
    <w:uiPriority w:val="99"/>
    <w:rsid w:val="00FD282A"/>
    <w:rPr>
      <w:lang w:val="da-DK" w:eastAsia="da-DK" w:bidi="da-DK"/>
    </w:rPr>
  </w:style>
  <w:style w:type="character" w:styleId="CommentReference">
    <w:name w:val="annotation reference"/>
    <w:uiPriority w:val="99"/>
    <w:unhideWhenUsed/>
    <w:rsid w:val="00FD282A"/>
    <w:rPr>
      <w:sz w:val="16"/>
      <w:szCs w:val="16"/>
    </w:rPr>
  </w:style>
  <w:style w:type="character" w:customStyle="1" w:styleId="AMNumberTabsChar">
    <w:name w:val="AMNumberTabs Char"/>
    <w:link w:val="AMNumberTabs"/>
    <w:locked/>
    <w:rsid w:val="00FD282A"/>
    <w:rPr>
      <w:b/>
      <w:sz w:val="24"/>
      <w:lang w:val="da-DK" w:eastAsia="da-DK" w:bidi="da-DK"/>
    </w:rPr>
  </w:style>
  <w:style w:type="paragraph" w:customStyle="1" w:styleId="PageHeadingNotTOC">
    <w:name w:val="PageHeadingNotTOC"/>
    <w:basedOn w:val="Normal"/>
    <w:rsid w:val="00FD282A"/>
    <w:pPr>
      <w:keepNext/>
      <w:spacing w:before="240" w:after="240"/>
      <w:jc w:val="center"/>
    </w:pPr>
    <w:rPr>
      <w:rFonts w:ascii="Arial" w:hAnsi="Arial"/>
      <w:b/>
      <w:lang w:eastAsia="da-DK" w:bidi="da-DK"/>
    </w:rPr>
  </w:style>
  <w:style w:type="paragraph" w:customStyle="1" w:styleId="NormalTabs">
    <w:name w:val="NormalTabs"/>
    <w:basedOn w:val="Normal"/>
    <w:qFormat/>
    <w:rsid w:val="00FD282A"/>
    <w:pPr>
      <w:tabs>
        <w:tab w:val="center" w:pos="284"/>
        <w:tab w:val="left" w:pos="426"/>
      </w:tabs>
    </w:pPr>
    <w:rPr>
      <w:snapToGrid w:val="0"/>
      <w:lang w:eastAsia="en-US"/>
    </w:rPr>
  </w:style>
  <w:style w:type="paragraph" w:styleId="BalloonText">
    <w:name w:val="Balloon Text"/>
    <w:basedOn w:val="Normal"/>
    <w:link w:val="BalloonTextChar"/>
    <w:rsid w:val="00DF2C38"/>
    <w:rPr>
      <w:rFonts w:ascii="Segoe UI" w:hAnsi="Segoe UI" w:cs="Segoe UI"/>
      <w:sz w:val="18"/>
      <w:szCs w:val="18"/>
    </w:rPr>
  </w:style>
  <w:style w:type="character" w:customStyle="1" w:styleId="BalloonTextChar">
    <w:name w:val="Balloon Text Char"/>
    <w:basedOn w:val="DefaultParagraphFont"/>
    <w:link w:val="BalloonText"/>
    <w:rsid w:val="00DF2C38"/>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E256D344</Template>
  <TotalTime>0</TotalTime>
  <Pages>19</Pages>
  <Words>5762</Words>
  <Characters>35362</Characters>
  <Application>Microsoft Office Word</Application>
  <DocSecurity>0</DocSecurity>
  <Lines>1219</Lines>
  <Paragraphs>241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RASMUSSEN Malene Viftrup</dc:creator>
  <cp:keywords/>
  <cp:lastModifiedBy>RASMUSSEN Malene Viftrup</cp:lastModifiedBy>
  <cp:revision>2</cp:revision>
  <cp:lastPrinted>2004-11-19T15:42:00Z</cp:lastPrinted>
  <dcterms:created xsi:type="dcterms:W3CDTF">2017-11-08T11:41:00Z</dcterms:created>
  <dcterms:modified xsi:type="dcterms:W3CDTF">2017-11-08T11:41:00Z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A8-0236/2017</vt:lpwstr>
  </property>
  <property fmtid="{D5CDD505-2E9C-101B-9397-08002B2CF9AE}" pid="4" name="&lt;Type&gt;">
    <vt:lpwstr>RR</vt:lpwstr>
  </property>
</Properties>
</file>