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FA" w:rsidRDefault="00CB6FFA" w:rsidP="00CB6FFA">
      <w:pPr>
        <w:tabs>
          <w:tab w:val="right" w:pos="9184"/>
        </w:tabs>
      </w:pPr>
    </w:p>
    <w:p w:rsidR="00CB6FFA" w:rsidRDefault="00CB6FFA" w:rsidP="00CB6FFA">
      <w:pPr>
        <w:tabs>
          <w:tab w:val="right" w:pos="9184"/>
        </w:tabs>
      </w:pPr>
    </w:p>
    <w:p w:rsidR="00CB6FFA" w:rsidRDefault="00CB6FFA" w:rsidP="00CB6FFA">
      <w:pPr>
        <w:tabs>
          <w:tab w:val="right" w:pos="9184"/>
        </w:tabs>
      </w:pPr>
    </w:p>
    <w:p w:rsidR="00CB6FFA" w:rsidRDefault="00CB6FFA" w:rsidP="00CB6FFA">
      <w:pPr>
        <w:tabs>
          <w:tab w:val="right" w:pos="9184"/>
        </w:tabs>
      </w:pPr>
    </w:p>
    <w:p w:rsidR="00CB6FFA" w:rsidRDefault="00CB6FFA" w:rsidP="00CB6FFA">
      <w:pPr>
        <w:tabs>
          <w:tab w:val="right" w:pos="9184"/>
        </w:tabs>
      </w:pPr>
      <w:r w:rsidRPr="00CB6FFA">
        <w:rPr>
          <w:rStyle w:val="HideTWBExt"/>
        </w:rPr>
        <w:t>&lt;Date&gt;</w:t>
      </w:r>
      <w:r>
        <w:t>9.3.2018</w:t>
      </w:r>
      <w:r w:rsidRPr="00CB6FFA">
        <w:rPr>
          <w:rStyle w:val="HideTWBExt"/>
        </w:rPr>
        <w:t>&lt;/Date&gt;</w:t>
      </w:r>
      <w:r>
        <w:tab/>
        <w:t xml:space="preserve">A8-0244/ </w:t>
      </w:r>
      <w:r w:rsidRPr="00CB6FFA">
        <w:rPr>
          <w:rStyle w:val="HideTWBExt"/>
        </w:rPr>
        <w:t>&lt;NumOfAM&gt;</w:t>
      </w:r>
      <w:r>
        <w:t>001-092</w:t>
      </w:r>
      <w:bookmarkStart w:id="0" w:name="_GoBack"/>
      <w:bookmarkEnd w:id="0"/>
      <w:r w:rsidRPr="00CB6FFA">
        <w:rPr>
          <w:rStyle w:val="HideTWBExt"/>
        </w:rPr>
        <w:t>&lt;/NumOfAM&gt;</w:t>
      </w:r>
    </w:p>
    <w:p w:rsidR="00CB6FFA" w:rsidRDefault="00CB6FFA" w:rsidP="00CB6FFA">
      <w:pPr>
        <w:tabs>
          <w:tab w:val="right" w:pos="9184"/>
        </w:tabs>
      </w:pPr>
    </w:p>
    <w:p w:rsidR="00CB6FFA" w:rsidRDefault="00CB6FFA" w:rsidP="00CB6FFA">
      <w:pPr>
        <w:tabs>
          <w:tab w:val="right" w:pos="9184"/>
        </w:tabs>
      </w:pPr>
    </w:p>
    <w:p w:rsidR="00CB6FFA" w:rsidRDefault="00CB6FFA" w:rsidP="00CB6FFA">
      <w:pPr>
        <w:tabs>
          <w:tab w:val="right" w:pos="9184"/>
        </w:tabs>
      </w:pPr>
      <w:r>
        <w:rPr>
          <w:b/>
        </w:rPr>
        <w:t xml:space="preserve">MUUDATUSETTEPANEKUD 001-092 </w:t>
      </w:r>
    </w:p>
    <w:p w:rsidR="00CB6FFA" w:rsidRDefault="00CB6FFA" w:rsidP="00CB6FFA">
      <w:pPr>
        <w:tabs>
          <w:tab w:val="right" w:pos="9184"/>
        </w:tabs>
      </w:pPr>
      <w:r w:rsidRPr="00CB6FFA">
        <w:rPr>
          <w:rStyle w:val="HideTWBExt"/>
        </w:rPr>
        <w:t>&lt;Committee&gt;</w:t>
      </w:r>
      <w:r>
        <w:t>Tööhõive- ja sotsiaalkomisjon ning kultuuri- ja hariduskomisjon</w:t>
      </w:r>
      <w:r w:rsidRPr="00CB6FFA">
        <w:rPr>
          <w:rStyle w:val="HideTWBExt"/>
        </w:rPr>
        <w:t>&lt;/Committee&gt;</w:t>
      </w:r>
    </w:p>
    <w:p w:rsidR="00CB6FFA" w:rsidRDefault="00CB6FFA" w:rsidP="00CB6FFA">
      <w:pPr>
        <w:tabs>
          <w:tab w:val="right" w:pos="9184"/>
        </w:tabs>
      </w:pPr>
    </w:p>
    <w:p w:rsidR="00CB6FFA" w:rsidRDefault="00CB6FFA" w:rsidP="00CB6FFA">
      <w:pPr>
        <w:tabs>
          <w:tab w:val="right" w:pos="9184"/>
        </w:tabs>
        <w:rPr>
          <w:b/>
        </w:rPr>
      </w:pPr>
      <w:r>
        <w:rPr>
          <w:b/>
        </w:rPr>
        <w:t>Raport</w:t>
      </w:r>
    </w:p>
    <w:p w:rsidR="00CB6FFA" w:rsidRDefault="00CB6FFA" w:rsidP="00CB6FFA">
      <w:pPr>
        <w:tabs>
          <w:tab w:val="right" w:pos="9184"/>
        </w:tabs>
        <w:rPr>
          <w:b/>
        </w:rPr>
      </w:pPr>
      <w:r w:rsidRPr="00CB6FFA">
        <w:rPr>
          <w:rStyle w:val="HideTWBExt"/>
        </w:rPr>
        <w:t>&lt;Chairman&gt;</w:t>
      </w:r>
      <w:r>
        <w:rPr>
          <w:b/>
        </w:rPr>
        <w:t>Thomas Mann, Svetoslav Hristov Malinov</w:t>
      </w:r>
      <w:r w:rsidRPr="00CB6FFA">
        <w:rPr>
          <w:rStyle w:val="HideTWBExt"/>
        </w:rPr>
        <w:t>&lt;/Chairman&gt;</w:t>
      </w:r>
      <w:r>
        <w:rPr>
          <w:b/>
        </w:rPr>
        <w:tab/>
      </w:r>
      <w:r w:rsidRPr="00CB6FFA">
        <w:rPr>
          <w:rStyle w:val="HideTWBExt"/>
        </w:rPr>
        <w:t>&lt;A5Nr&gt;</w:t>
      </w:r>
      <w:r>
        <w:rPr>
          <w:b/>
        </w:rPr>
        <w:t>A8-0244/2017</w:t>
      </w:r>
      <w:r w:rsidRPr="00CB6FFA">
        <w:rPr>
          <w:rStyle w:val="HideTWBExt"/>
        </w:rPr>
        <w:t>&lt;/A5Nr&gt;</w:t>
      </w:r>
    </w:p>
    <w:p w:rsidR="00CB6FFA" w:rsidRDefault="00CB6FFA" w:rsidP="00CB6FFA">
      <w:pPr>
        <w:tabs>
          <w:tab w:val="right" w:pos="9184"/>
        </w:tabs>
      </w:pPr>
      <w:r w:rsidRPr="00CB6FFA">
        <w:rPr>
          <w:rStyle w:val="HideTWBExt"/>
        </w:rPr>
        <w:t>&lt;ShortTitel&gt;</w:t>
      </w:r>
      <w:r>
        <w:t>Europass: oskuste ja kvalifikatsioonide raamistik</w:t>
      </w:r>
      <w:r w:rsidRPr="00CB6FFA">
        <w:rPr>
          <w:rStyle w:val="HideTWBExt"/>
        </w:rPr>
        <w:t>&lt;/ShortTitel&gt;</w:t>
      </w:r>
    </w:p>
    <w:p w:rsidR="00CB6FFA" w:rsidRDefault="00CB6FFA" w:rsidP="00CB6FFA">
      <w:pPr>
        <w:tabs>
          <w:tab w:val="right" w:pos="9184"/>
        </w:tabs>
      </w:pPr>
    </w:p>
    <w:p w:rsidR="00CB6FFA" w:rsidRDefault="00CB6FFA" w:rsidP="00CB6FFA">
      <w:pPr>
        <w:tabs>
          <w:tab w:val="right" w:pos="9184"/>
        </w:tabs>
      </w:pPr>
      <w:r w:rsidRPr="00CB6FFA">
        <w:rPr>
          <w:rStyle w:val="HideTWBExt"/>
        </w:rPr>
        <w:t>&lt;Procedure&gt;</w:t>
      </w:r>
      <w:r>
        <w:t>Ettepanek võtta vastu otsus</w:t>
      </w:r>
      <w:r w:rsidRPr="00CB6FFA">
        <w:rPr>
          <w:rStyle w:val="HideTWBExt"/>
        </w:rPr>
        <w:t>&lt;/Procedure&gt;</w:t>
      </w:r>
      <w:r>
        <w:t xml:space="preserve"> </w:t>
      </w:r>
      <w:r w:rsidRPr="00CB6FFA">
        <w:rPr>
          <w:rStyle w:val="HideTWBExt"/>
        </w:rPr>
        <w:t>&lt;ReferenceNo&gt;</w:t>
      </w:r>
      <w:r>
        <w:t>(COM(2016)0625 – C8-0404/2016 – 2016/0304(COD))</w:t>
      </w:r>
      <w:r w:rsidRPr="00CB6FFA">
        <w:rPr>
          <w:rStyle w:val="HideTWBExt"/>
        </w:rPr>
        <w:t>&lt;/ReferenceNo&gt;</w:t>
      </w:r>
    </w:p>
    <w:p w:rsidR="00CB6FFA" w:rsidRDefault="00CB6FFA" w:rsidP="00CB6FFA">
      <w:pPr>
        <w:tabs>
          <w:tab w:val="right" w:pos="9184"/>
        </w:tabs>
      </w:pPr>
    </w:p>
    <w:p w:rsidR="00CB6FFA" w:rsidRDefault="00CB6FFA" w:rsidP="00CB6FFA">
      <w:pPr>
        <w:tabs>
          <w:tab w:val="right" w:pos="9184"/>
        </w:tabs>
      </w:pPr>
    </w:p>
    <w:p w:rsidR="00CB6FFA" w:rsidRDefault="00CB6FFA" w:rsidP="00CB6FFA">
      <w:pPr>
        <w:tabs>
          <w:tab w:val="right" w:pos="9184"/>
        </w:tabs>
      </w:pPr>
    </w:p>
    <w:p w:rsidR="00CB6FFA" w:rsidRDefault="00CB6FFA" w:rsidP="00CB6FFA">
      <w:pPr>
        <w:tabs>
          <w:tab w:val="right" w:pos="9184"/>
        </w:tabs>
        <w:jc w:val="center"/>
      </w:pPr>
      <w:r>
        <w:t>_____________________________________________________________</w:t>
      </w:r>
    </w:p>
    <w:p w:rsidR="00CB6FFA" w:rsidRDefault="00CB6FFA" w:rsidP="00CB6FFA">
      <w:pPr>
        <w:tabs>
          <w:tab w:val="right" w:pos="9184"/>
        </w:tabs>
        <w:jc w:val="center"/>
      </w:pPr>
    </w:p>
    <w:p w:rsidR="00CC3F13" w:rsidRPr="00CB6FFA" w:rsidRDefault="00CC3F13" w:rsidP="00CB6FFA">
      <w:pPr>
        <w:pStyle w:val="AMNumberTabs"/>
      </w:pPr>
      <w:r w:rsidRPr="00CB6FFA">
        <w:t>Muudatusettepanek</w:t>
      </w:r>
      <w:r w:rsidRPr="00CB6FFA">
        <w:tab/>
      </w:r>
      <w:r w:rsidRPr="00CB6FFA">
        <w:tab/>
        <w:t>1</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Põhjendus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834F11" w:rsidP="00834F11">
            <w:pPr>
              <w:pStyle w:val="Normal6"/>
            </w:pPr>
            <w:r w:rsidRPr="00CB6FFA">
              <w:t>(1)</w:t>
            </w:r>
            <w:r w:rsidR="00CC3F13" w:rsidRPr="00CB6FFA">
              <w:tab/>
              <w:t xml:space="preserve">Töö otsimisel või selle üle otsustamisel, mida või kus õppida või kus töötada, on inimestel vaja juurdepääsu teabele olemasolevate võimaluste kohta ning vahenditele, mille abil hinnata oma oskusi ja esitada teave oma oskuste ja </w:t>
            </w:r>
            <w:r w:rsidR="00CC3F13" w:rsidRPr="00CB6FFA">
              <w:rPr>
                <w:b/>
                <w:i/>
              </w:rPr>
              <w:t>kvalifikatsioonide</w:t>
            </w:r>
            <w:r w:rsidR="00CC3F13" w:rsidRPr="00CB6FFA">
              <w:t xml:space="preserve"> kohta</w:t>
            </w:r>
            <w:r w:rsidR="00CC3F13" w:rsidRPr="00CB6FFA">
              <w:rPr>
                <w:b/>
                <w:i/>
              </w:rPr>
              <w:t>.</w:t>
            </w:r>
            <w:r w:rsidR="00CC3F13" w:rsidRPr="00CB6FFA">
              <w:t xml:space="preserve"> </w:t>
            </w:r>
          </w:p>
        </w:tc>
        <w:tc>
          <w:tcPr>
            <w:tcW w:w="4876" w:type="dxa"/>
            <w:hideMark/>
          </w:tcPr>
          <w:p w:rsidR="00CC3F13" w:rsidRPr="00CB6FFA" w:rsidRDefault="00834F11" w:rsidP="00834F11">
            <w:pPr>
              <w:pStyle w:val="Normal6"/>
              <w:rPr>
                <w:szCs w:val="24"/>
              </w:rPr>
            </w:pPr>
            <w:r w:rsidRPr="00CB6FFA">
              <w:t>(1)</w:t>
            </w:r>
            <w:r w:rsidR="00CC3F13" w:rsidRPr="00CB6FFA">
              <w:tab/>
              <w:t>Töö otsimisel või selle üle otsustamisel, mida või kus õppida või kus töötada, on inimestel vaja juurdepääsu teabele olemasolevate võimaluste kohta ning vahenditele, mille abil hinnata oma oskusi ja esitada teave oma oskuste</w:t>
            </w:r>
            <w:r w:rsidR="00CC3F13" w:rsidRPr="00CB6FFA">
              <w:rPr>
                <w:b/>
                <w:i/>
              </w:rPr>
              <w:t>, kvalifikatsioonide</w:t>
            </w:r>
            <w:r w:rsidR="00CC3F13" w:rsidRPr="00CB6FFA">
              <w:t xml:space="preserve"> ja </w:t>
            </w:r>
            <w:r w:rsidR="00CC3F13" w:rsidRPr="00CB6FFA">
              <w:rPr>
                <w:b/>
                <w:i/>
              </w:rPr>
              <w:t>teadmiste</w:t>
            </w:r>
            <w:r w:rsidR="00CC3F13" w:rsidRPr="00CB6FFA">
              <w:t xml:space="preserve"> kohta</w:t>
            </w:r>
            <w:r w:rsidR="00CC3F13" w:rsidRPr="00CB6FFA">
              <w:rPr>
                <w:b/>
                <w:i/>
              </w:rPr>
              <w:t>, aga ka kutsenõustamisele.</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2</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Põhjendus 1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p>
        </w:tc>
        <w:tc>
          <w:tcPr>
            <w:tcW w:w="4876" w:type="dxa"/>
          </w:tcPr>
          <w:p w:rsidR="00CC3F13" w:rsidRPr="00CB6FFA" w:rsidRDefault="00CC3F13" w:rsidP="00834F11">
            <w:pPr>
              <w:pStyle w:val="Normal6"/>
            </w:pPr>
            <w:r w:rsidRPr="00CB6FFA">
              <w:rPr>
                <w:b/>
                <w:i/>
              </w:rPr>
              <w:t>(1a)</w:t>
            </w:r>
            <w:r w:rsidRPr="00CB6FFA">
              <w:tab/>
            </w:r>
            <w:r w:rsidRPr="00CB6FFA">
              <w:rPr>
                <w:b/>
                <w:i/>
              </w:rPr>
              <w:t xml:space="preserve">Tõendusmaterjal näitab, et Europassi kasutavad sotsiaalsed rühmad, kelle digitaalse kirjaoskuse tase on kõrge, samas kui ebasoodsamas olukorras olevad </w:t>
            </w:r>
            <w:r w:rsidRPr="00CB6FFA">
              <w:rPr>
                <w:b/>
                <w:i/>
              </w:rPr>
              <w:lastRenderedPageBreak/>
              <w:t>rühmad, näiteks madalama haridustasemega inimesed, eakad või pikaajalised töötud ei ole sageli selle olemasolust teadlikud ega saa seepärast Europassist ja selle olemasolevatest vahenditest kasu.</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3</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Põhjendus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834F11" w:rsidP="00834F11">
            <w:pPr>
              <w:pStyle w:val="Normal6"/>
            </w:pPr>
            <w:r w:rsidRPr="00CB6FFA">
              <w:t>(2)</w:t>
            </w:r>
            <w:r w:rsidR="00CC3F13" w:rsidRPr="00CB6FFA">
              <w:tab/>
              <w:t xml:space="preserve">Keelte, määratluste, dokumendivormingute ning hindamismeetodite ja kvalifikatsioonivalideerimise meetodite erinevused valmistavad märkimisväärseid probleeme nii isikutele, tööandjatele kui ka pädevatele asutustele. Need probleemid tekivad eelkõige siis, kui isikud lähevad välismaale, sh kolmandatesse riikidesse, või kui nad otsivad uut töökohta või asuvad õppima. </w:t>
            </w:r>
            <w:r w:rsidR="00CC3F13" w:rsidRPr="00CB6FFA">
              <w:rPr>
                <w:b/>
                <w:i/>
              </w:rPr>
              <w:t>Nende</w:t>
            </w:r>
            <w:r w:rsidR="00CC3F13" w:rsidRPr="00CB6FFA">
              <w:t xml:space="preserve"> probleemide lahendamiseks on vaja selget teavet</w:t>
            </w:r>
            <w:r w:rsidR="00CC3F13" w:rsidRPr="00CB6FFA">
              <w:rPr>
                <w:b/>
                <w:i/>
              </w:rPr>
              <w:t xml:space="preserve"> ja</w:t>
            </w:r>
            <w:r w:rsidR="00CC3F13" w:rsidRPr="00CB6FFA">
              <w:t xml:space="preserve"> ühist arusaama.</w:t>
            </w:r>
          </w:p>
        </w:tc>
        <w:tc>
          <w:tcPr>
            <w:tcW w:w="4876" w:type="dxa"/>
            <w:hideMark/>
          </w:tcPr>
          <w:p w:rsidR="00CC3F13" w:rsidRPr="00CB6FFA" w:rsidRDefault="00834F11" w:rsidP="00834F11">
            <w:pPr>
              <w:pStyle w:val="Normal6"/>
              <w:rPr>
                <w:szCs w:val="24"/>
              </w:rPr>
            </w:pPr>
            <w:r w:rsidRPr="00CB6FFA">
              <w:t>(2)</w:t>
            </w:r>
            <w:r w:rsidR="00CC3F13" w:rsidRPr="00CB6FFA">
              <w:tab/>
              <w:t xml:space="preserve">Keelte, määratluste, dokumendivormingute ning hindamismeetodite ja kvalifikatsioonivalideerimise meetodite erinevused valmistavad märkimisväärseid probleeme nii isikutele, tööandjatele kui ka pädevatele asutustele. Need probleemid tekivad eelkõige siis, kui isikud lähevad välismaale, sh kolmandatesse riikidesse, või kui nad otsivad uut töökohta või asuvad õppima. </w:t>
            </w:r>
            <w:r w:rsidR="00CC3F13" w:rsidRPr="00CB6FFA">
              <w:rPr>
                <w:b/>
                <w:i/>
              </w:rPr>
              <w:t>Nende</w:t>
            </w:r>
            <w:r w:rsidR="00CC3F13" w:rsidRPr="00CB6FFA">
              <w:t xml:space="preserve"> probleemide lahendamiseks</w:t>
            </w:r>
            <w:r w:rsidR="00CC3F13" w:rsidRPr="00CB6FFA">
              <w:rPr>
                <w:b/>
                <w:i/>
              </w:rPr>
              <w:t xml:space="preserve"> ja liikuvuse hõlbustamiseks</w:t>
            </w:r>
            <w:r w:rsidR="00CC3F13" w:rsidRPr="00CB6FFA">
              <w:t xml:space="preserve"> on vaja selget teavet</w:t>
            </w:r>
            <w:r w:rsidR="00CC3F13" w:rsidRPr="00CB6FFA">
              <w:rPr>
                <w:b/>
                <w:i/>
              </w:rPr>
              <w:t>, Europassi raamistiku lihtsustamist, teabe laiemat levitamist,</w:t>
            </w:r>
            <w:r w:rsidR="00CC3F13" w:rsidRPr="00CB6FFA">
              <w:t xml:space="preserve"> ühist arusaama</w:t>
            </w:r>
            <w:r w:rsidR="00CC3F13" w:rsidRPr="00CB6FFA">
              <w:rPr>
                <w:b/>
                <w:i/>
              </w:rPr>
              <w:t xml:space="preserve"> ja läbipaistvuse parandamist, tagades samal ajal piisava paindlikkuse liikmesriikide väljakujunenud tavade suhtes ning austades mitmekesisust, subsidiaarsust ja proportsionaalsust</w:t>
            </w:r>
            <w:r w:rsidR="00CC3F13" w:rsidRPr="00CB6FFA">
              <w:t xml:space="preserve">. </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4</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Põhjendus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834F11" w:rsidP="00834F11">
            <w:pPr>
              <w:pStyle w:val="Normal6"/>
            </w:pPr>
            <w:r w:rsidRPr="00CB6FFA">
              <w:t>(3)</w:t>
            </w:r>
            <w:r w:rsidR="00CC3F13" w:rsidRPr="00CB6FFA">
              <w:tab/>
              <w:t xml:space="preserve"> Euroopa Parlamendi ja nõukogu otsusega nr 2241/2004/EÜ</w:t>
            </w:r>
            <w:r w:rsidR="00CC3F13" w:rsidRPr="00CB6FFA">
              <w:rPr>
                <w:vertAlign w:val="superscript"/>
              </w:rPr>
              <w:t>24</w:t>
            </w:r>
            <w:r w:rsidR="00CC3F13" w:rsidRPr="00CB6FFA">
              <w:t xml:space="preserve"> loodi raamistik kõnealuste probleemide lahendamiseks. </w:t>
            </w:r>
            <w:r w:rsidR="00CC3F13" w:rsidRPr="00CB6FFA">
              <w:rPr>
                <w:b/>
                <w:i/>
              </w:rPr>
              <w:t>Eesmärk oli muuta</w:t>
            </w:r>
            <w:r w:rsidR="00CC3F13" w:rsidRPr="00CB6FFA">
              <w:t xml:space="preserve"> kvalifikatsioonid ja kompetentsid </w:t>
            </w:r>
            <w:r w:rsidR="00CC3F13" w:rsidRPr="00CB6FFA">
              <w:lastRenderedPageBreak/>
              <w:t>läbipaistvamaks tänu Europassi nime all tuntud dokumendikogule, mida isikud saavad kasutada vabatahtlikkuse alusel. Otsusega nr 2241/2004/EÜ nähti ette ka Europassi raamistiku rakendamise riiklikud asutused ehk riiklikud Europassi keskused.</w:t>
            </w:r>
          </w:p>
        </w:tc>
        <w:tc>
          <w:tcPr>
            <w:tcW w:w="4876" w:type="dxa"/>
            <w:hideMark/>
          </w:tcPr>
          <w:p w:rsidR="00CC3F13" w:rsidRPr="00CB6FFA" w:rsidRDefault="00834F11" w:rsidP="00834F11">
            <w:pPr>
              <w:pStyle w:val="Normal6"/>
              <w:rPr>
                <w:szCs w:val="24"/>
              </w:rPr>
            </w:pPr>
            <w:r w:rsidRPr="00CB6FFA">
              <w:lastRenderedPageBreak/>
              <w:t>(3)</w:t>
            </w:r>
            <w:r w:rsidR="00CC3F13" w:rsidRPr="00CB6FFA">
              <w:tab/>
              <w:t>Euroopa Pa</w:t>
            </w:r>
            <w:r w:rsidRPr="00CB6FFA">
              <w:t>rlamendi ja nõukogu otsusega nr </w:t>
            </w:r>
            <w:r w:rsidR="00CC3F13" w:rsidRPr="00CB6FFA">
              <w:t>2241/2004/EÜ</w:t>
            </w:r>
            <w:r w:rsidR="00CC3F13" w:rsidRPr="00CB6FFA">
              <w:rPr>
                <w:rStyle w:val="Sup"/>
                <w:color w:val="auto"/>
              </w:rPr>
              <w:t>24</w:t>
            </w:r>
            <w:r w:rsidR="00CC3F13" w:rsidRPr="00CB6FFA">
              <w:t xml:space="preserve"> loodi raamistik kõnealuste probleemide lahendamiseks. </w:t>
            </w:r>
            <w:r w:rsidR="00CC3F13" w:rsidRPr="00CB6FFA">
              <w:rPr>
                <w:b/>
                <w:i/>
              </w:rPr>
              <w:t>See muutis</w:t>
            </w:r>
            <w:r w:rsidR="00CC3F13" w:rsidRPr="00CB6FFA">
              <w:t xml:space="preserve"> kvalifikatsioonid ja kompetentsid </w:t>
            </w:r>
            <w:r w:rsidR="00CC3F13" w:rsidRPr="00CB6FFA">
              <w:lastRenderedPageBreak/>
              <w:t xml:space="preserve">läbipaistvamaks </w:t>
            </w:r>
            <w:r w:rsidR="00CC3F13" w:rsidRPr="00CB6FFA">
              <w:rPr>
                <w:b/>
                <w:i/>
              </w:rPr>
              <w:t xml:space="preserve">ja võrreldavamaks </w:t>
            </w:r>
            <w:r w:rsidR="00CC3F13" w:rsidRPr="00CB6FFA">
              <w:t>tänu Europassi nime all tuntud dokumendikogule, mida isikud saavad kasutada vabatahtlikkuse alusel</w:t>
            </w:r>
            <w:r w:rsidR="00CC3F13" w:rsidRPr="00CB6FFA">
              <w:rPr>
                <w:b/>
                <w:i/>
              </w:rPr>
              <w:t xml:space="preserve"> – funktsioon, mis tuleks säilitada</w:t>
            </w:r>
            <w:r w:rsidR="00CC3F13" w:rsidRPr="00CB6FFA">
              <w:t>. Otsusega nr</w:t>
            </w:r>
            <w:r w:rsidRPr="00CB6FFA">
              <w:t> </w:t>
            </w:r>
            <w:r w:rsidR="00CC3F13" w:rsidRPr="00CB6FFA">
              <w:t>2241/2004/EÜ nähti ette ka Europassi raamistiku rakendamise riiklikud asutused ehk riiklikud Europassi keskused.</w:t>
            </w:r>
            <w:r w:rsidR="00CC3F13" w:rsidRPr="00CB6FFA">
              <w:rPr>
                <w:b/>
                <w:i/>
              </w:rPr>
              <w:t xml:space="preserve"> </w:t>
            </w:r>
          </w:p>
        </w:tc>
      </w:tr>
      <w:tr w:rsidR="00CC3F13" w:rsidRPr="00CB6FFA" w:rsidTr="00834F11">
        <w:trPr>
          <w:jc w:val="center"/>
        </w:trPr>
        <w:tc>
          <w:tcPr>
            <w:tcW w:w="4876" w:type="dxa"/>
          </w:tcPr>
          <w:p w:rsidR="00CC3F13" w:rsidRPr="00CB6FFA" w:rsidRDefault="00CC3F13" w:rsidP="00834F11">
            <w:pPr>
              <w:pStyle w:val="Normal6"/>
            </w:pPr>
            <w:r w:rsidRPr="00CB6FFA">
              <w:lastRenderedPageBreak/>
              <w:t>__________________</w:t>
            </w:r>
          </w:p>
        </w:tc>
        <w:tc>
          <w:tcPr>
            <w:tcW w:w="4876" w:type="dxa"/>
          </w:tcPr>
          <w:p w:rsidR="00CC3F13" w:rsidRPr="00CB6FFA" w:rsidRDefault="00CC3F13" w:rsidP="00834F11">
            <w:pPr>
              <w:pStyle w:val="Normal6"/>
              <w:rPr>
                <w:b/>
              </w:rPr>
            </w:pPr>
            <w:r w:rsidRPr="00CB6FFA">
              <w:t>__________________</w:t>
            </w:r>
          </w:p>
        </w:tc>
      </w:tr>
      <w:tr w:rsidR="00CC3F13" w:rsidRPr="00CB6FFA" w:rsidTr="00834F11">
        <w:trPr>
          <w:jc w:val="center"/>
        </w:trPr>
        <w:tc>
          <w:tcPr>
            <w:tcW w:w="4876" w:type="dxa"/>
          </w:tcPr>
          <w:p w:rsidR="00CC3F13" w:rsidRPr="00CB6FFA" w:rsidRDefault="00CC3F13" w:rsidP="00834F11">
            <w:pPr>
              <w:pStyle w:val="Normal6"/>
            </w:pPr>
            <w:r w:rsidRPr="00CB6FFA">
              <w:rPr>
                <w:vertAlign w:val="superscript"/>
              </w:rPr>
              <w:t xml:space="preserve">24 </w:t>
            </w:r>
            <w:r w:rsidRPr="00CB6FFA">
              <w:t xml:space="preserve">ELT L 390, 31.12.2004, lk 6. </w:t>
            </w:r>
          </w:p>
        </w:tc>
        <w:tc>
          <w:tcPr>
            <w:tcW w:w="4876" w:type="dxa"/>
          </w:tcPr>
          <w:p w:rsidR="00CC3F13" w:rsidRPr="00CB6FFA" w:rsidRDefault="00CC3F13" w:rsidP="00834F11">
            <w:pPr>
              <w:pStyle w:val="Normal6"/>
              <w:rPr>
                <w:b/>
              </w:rPr>
            </w:pPr>
            <w:r w:rsidRPr="00CB6FFA">
              <w:rPr>
                <w:vertAlign w:val="superscript"/>
              </w:rPr>
              <w:t xml:space="preserve">24 </w:t>
            </w:r>
            <w:r w:rsidR="00834F11" w:rsidRPr="00CB6FFA">
              <w:t>ELT </w:t>
            </w:r>
            <w:r w:rsidRPr="00CB6FFA">
              <w:t>L</w:t>
            </w:r>
            <w:r w:rsidR="00834F11" w:rsidRPr="00CB6FFA">
              <w:t> </w:t>
            </w:r>
            <w:r w:rsidRPr="00CB6FFA">
              <w:t>390, 31.12.2004, lk</w:t>
            </w:r>
            <w:r w:rsidR="00834F11" w:rsidRPr="00CB6FFA">
              <w:t> </w:t>
            </w:r>
            <w:r w:rsidRPr="00CB6FFA">
              <w:t>6.</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5</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Põhjendus 3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p>
        </w:tc>
        <w:tc>
          <w:tcPr>
            <w:tcW w:w="4876" w:type="dxa"/>
          </w:tcPr>
          <w:p w:rsidR="00CC3F13" w:rsidRPr="00CB6FFA" w:rsidRDefault="00CC3F13" w:rsidP="00834F11">
            <w:pPr>
              <w:pStyle w:val="Normal6"/>
            </w:pPr>
            <w:r w:rsidRPr="00CB6FFA">
              <w:rPr>
                <w:b/>
                <w:i/>
              </w:rPr>
              <w:t>(3a)</w:t>
            </w:r>
            <w:r w:rsidRPr="00CB6FFA">
              <w:tab/>
            </w:r>
            <w:r w:rsidRPr="00CB6FFA">
              <w:rPr>
                <w:b/>
                <w:i/>
              </w:rPr>
              <w:t>Europassi dokumente tuleks arendada, et need võimaldaksid kirjeldada eri liiki õpikogemusi ja oskusi, eelkõige selliseid, mis on saadud mitteformaalse ja informaalse õppimise teel.</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6</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Põhjendus 3 b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p>
        </w:tc>
        <w:tc>
          <w:tcPr>
            <w:tcW w:w="4876" w:type="dxa"/>
          </w:tcPr>
          <w:p w:rsidR="00CC3F13" w:rsidRPr="00CB6FFA" w:rsidRDefault="00834F11" w:rsidP="00834F11">
            <w:pPr>
              <w:pStyle w:val="Normal6"/>
            </w:pPr>
            <w:r w:rsidRPr="00CB6FFA">
              <w:rPr>
                <w:b/>
                <w:i/>
              </w:rPr>
              <w:t>(3</w:t>
            </w:r>
            <w:r w:rsidR="00CC3F13" w:rsidRPr="00CB6FFA">
              <w:rPr>
                <w:b/>
                <w:i/>
              </w:rPr>
              <w:t>b)</w:t>
            </w:r>
            <w:r w:rsidR="00CC3F13" w:rsidRPr="00CB6FFA">
              <w:tab/>
            </w:r>
            <w:r w:rsidR="00CC3F13" w:rsidRPr="00CB6FFA">
              <w:rPr>
                <w:b/>
                <w:i/>
              </w:rPr>
              <w:t xml:space="preserve">Käesolevas määruses sätestatud uues Europassi raamistikus kohandatakse olemasolevad teenused kasutajate ja teenuseosutajate – nimelt õpilaste, tööotsijate, töötajate, tööandjate (eelkõige väikesed ja keskmise suurusega ettevõtjad), riiklike tööturuasutuste, nõustajate, hariduse ja koolituse pakkujate, sotsiaalpartnerite, vabatahtlike, noorteorganisatsioonide, noorsootöö pakkujate, riiklike Europassi keskuste ja vastutavate riiklike asutuste – vajaduste ja ootustega. Selle otsuse peamised eesmärgid on lihtsustamine, tulemuslikkus ja tõhusus koos austusega riiklike struktuuride ja halduskorralduse </w:t>
            </w:r>
            <w:r w:rsidR="00CC3F13" w:rsidRPr="00CB6FFA">
              <w:rPr>
                <w:b/>
                <w:i/>
              </w:rPr>
              <w:lastRenderedPageBreak/>
              <w:t>vastu. Kõik õigusaktid ja vahendid tuleks kujundada ja kohandada selliselt, et nende konkreetsed eesmärgid ei kattuks ja nad ei koormaks Europassi.</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7</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Põhjendus 3 c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p>
        </w:tc>
        <w:tc>
          <w:tcPr>
            <w:tcW w:w="4876" w:type="dxa"/>
            <w:hideMark/>
          </w:tcPr>
          <w:p w:rsidR="00CC3F13" w:rsidRPr="00CB6FFA" w:rsidRDefault="00834F11" w:rsidP="00834F11">
            <w:pPr>
              <w:pStyle w:val="Normal6"/>
              <w:rPr>
                <w:szCs w:val="24"/>
              </w:rPr>
            </w:pPr>
            <w:r w:rsidRPr="00CB6FFA">
              <w:rPr>
                <w:b/>
                <w:i/>
              </w:rPr>
              <w:t>(3</w:t>
            </w:r>
            <w:r w:rsidR="00CC3F13" w:rsidRPr="00CB6FFA">
              <w:rPr>
                <w:b/>
                <w:i/>
              </w:rPr>
              <w:t>c)</w:t>
            </w:r>
            <w:r w:rsidR="00CC3F13" w:rsidRPr="00CB6FFA">
              <w:rPr>
                <w:b/>
                <w:i/>
              </w:rPr>
              <w:tab/>
              <w:t>Üldise põhimõttena peaksid liikmesriikide kohustused ning haldus- ja finantskoormus olema selgelt prognoositavad ning kulude ja kasu osas tasakaalustatud.</w:t>
            </w:r>
          </w:p>
        </w:tc>
      </w:tr>
    </w:tbl>
    <w:p w:rsidR="00834F11" w:rsidRPr="00CB6FFA" w:rsidRDefault="00834F11" w:rsidP="00CC3F13">
      <w:pPr>
        <w:pStyle w:val="AMNumberTabs"/>
        <w:keepNext/>
      </w:pPr>
    </w:p>
    <w:p w:rsidR="00CC3F13" w:rsidRPr="00CB6FFA" w:rsidRDefault="00CC3F13" w:rsidP="00CC3F13">
      <w:pPr>
        <w:pStyle w:val="AMNumberTabs"/>
        <w:keepNext/>
      </w:pPr>
      <w:r w:rsidRPr="00CB6FFA">
        <w:t>Muudatusettepanek</w:t>
      </w:r>
      <w:r w:rsidRPr="00CB6FFA">
        <w:tab/>
      </w:r>
      <w:r w:rsidRPr="00CB6FFA">
        <w:tab/>
        <w:t>8</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Põhjendus 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CC3F13" w:rsidP="00834F11">
            <w:pPr>
              <w:pStyle w:val="Normal6"/>
              <w:rPr>
                <w:vertAlign w:val="superscript"/>
              </w:rPr>
            </w:pPr>
            <w:r w:rsidRPr="00CB6FFA">
              <w:t>(4)</w:t>
            </w:r>
            <w:r w:rsidRPr="00CB6FFA">
              <w:tab/>
              <w:t xml:space="preserve">Europassi raamistiku põhieesmärgi täitmiseks olid raamistiku keskmes oskuste ja kvalifikatsioonide dokumenteerimise vahendid. Neid vahendeid on laialdaselt kasutatud. Riiklikud Europassi keskused </w:t>
            </w:r>
            <w:r w:rsidRPr="00CB6FFA">
              <w:rPr>
                <w:b/>
                <w:i/>
              </w:rPr>
              <w:t>toetavad ja</w:t>
            </w:r>
            <w:r w:rsidRPr="00CB6FFA">
              <w:t xml:space="preserve"> edendavad oskuste ja kvalifikatsioonide dokumenteerimist</w:t>
            </w:r>
            <w:r w:rsidRPr="00CB6FFA">
              <w:rPr>
                <w:b/>
                <w:i/>
                <w:vertAlign w:val="superscript"/>
              </w:rPr>
              <w:t>25</w:t>
            </w:r>
            <w:r w:rsidRPr="00CB6FFA">
              <w:t>.</w:t>
            </w:r>
          </w:p>
        </w:tc>
        <w:tc>
          <w:tcPr>
            <w:tcW w:w="4876" w:type="dxa"/>
            <w:hideMark/>
          </w:tcPr>
          <w:p w:rsidR="00CC3F13" w:rsidRPr="00CB6FFA" w:rsidRDefault="00CC3F13" w:rsidP="00834F11">
            <w:pPr>
              <w:pStyle w:val="Normal6"/>
              <w:rPr>
                <w:szCs w:val="24"/>
              </w:rPr>
            </w:pPr>
            <w:r w:rsidRPr="00CB6FFA">
              <w:t>(4)</w:t>
            </w:r>
            <w:r w:rsidRPr="00CB6FFA">
              <w:tab/>
              <w:t>Europassi raamistiku põhieesmärgi täitmiseks olid raamistiku keskmes oskuste ja kvalifikatsioonide dokumenteerimise vahendid. Neid vahendeid on laialdaselt kasutatud</w:t>
            </w:r>
            <w:r w:rsidRPr="00CB6FFA">
              <w:rPr>
                <w:b/>
                <w:i/>
              </w:rPr>
              <w:t>, kuid sõltuvalt geograafilisest asukohast ja vanuserühmast eri määral, ning nende kasutamise määr tööturu eri sektorites on olnud väga erinev</w:t>
            </w:r>
            <w:r w:rsidRPr="00CB6FFA">
              <w:t xml:space="preserve">. Riiklikud Europassi keskused </w:t>
            </w:r>
            <w:r w:rsidRPr="00CB6FFA">
              <w:rPr>
                <w:b/>
                <w:i/>
              </w:rPr>
              <w:t>pakuvad terviklikku tuge ning</w:t>
            </w:r>
            <w:r w:rsidRPr="00CB6FFA">
              <w:t xml:space="preserve"> edendavad oskuste ja kvalifikatsioonide dokumenteerimist</w:t>
            </w:r>
            <w:r w:rsidRPr="00CB6FFA">
              <w:rPr>
                <w:vertAlign w:val="superscript"/>
              </w:rPr>
              <w:t>25</w:t>
            </w:r>
            <w:r w:rsidRPr="00CB6FFA">
              <w:t>.</w:t>
            </w:r>
          </w:p>
        </w:tc>
      </w:tr>
      <w:tr w:rsidR="00CC3F13" w:rsidRPr="00CB6FFA" w:rsidTr="00834F11">
        <w:trPr>
          <w:jc w:val="center"/>
        </w:trPr>
        <w:tc>
          <w:tcPr>
            <w:tcW w:w="4876" w:type="dxa"/>
          </w:tcPr>
          <w:p w:rsidR="00CC3F13" w:rsidRPr="00CB6FFA" w:rsidRDefault="00CC3F13" w:rsidP="00834F11">
            <w:pPr>
              <w:pStyle w:val="Normal6"/>
            </w:pPr>
            <w:r w:rsidRPr="00CB6FFA">
              <w:t>__________________</w:t>
            </w:r>
          </w:p>
        </w:tc>
        <w:tc>
          <w:tcPr>
            <w:tcW w:w="4876" w:type="dxa"/>
          </w:tcPr>
          <w:p w:rsidR="00CC3F13" w:rsidRPr="00CB6FFA" w:rsidRDefault="00CC3F13" w:rsidP="00834F11">
            <w:pPr>
              <w:pStyle w:val="Normal6"/>
            </w:pPr>
            <w:r w:rsidRPr="00CB6FFA">
              <w:t>__________________</w:t>
            </w:r>
          </w:p>
        </w:tc>
      </w:tr>
      <w:tr w:rsidR="00CC3F13" w:rsidRPr="00CB6FFA" w:rsidTr="00834F11">
        <w:trPr>
          <w:jc w:val="center"/>
        </w:trPr>
        <w:tc>
          <w:tcPr>
            <w:tcW w:w="4876" w:type="dxa"/>
          </w:tcPr>
          <w:p w:rsidR="00CC3F13" w:rsidRPr="00CB6FFA" w:rsidRDefault="00CC3F13" w:rsidP="00834F11">
            <w:pPr>
              <w:pStyle w:val="Normal6"/>
            </w:pPr>
            <w:r w:rsidRPr="00CB6FFA">
              <w:rPr>
                <w:vertAlign w:val="superscript"/>
              </w:rPr>
              <w:t xml:space="preserve">25 </w:t>
            </w:r>
            <w:r w:rsidRPr="00CB6FFA">
              <w:t>Kvalifikatsioonide ja kompetentside läbipaistvuse ühtset ühenduse raamistikku (Europass) käsitleva Euroopa Parlamendi ja nõukogu otsuse teine hindamine, COM(2013) 899 final.</w:t>
            </w:r>
          </w:p>
        </w:tc>
        <w:tc>
          <w:tcPr>
            <w:tcW w:w="4876" w:type="dxa"/>
          </w:tcPr>
          <w:p w:rsidR="00CC3F13" w:rsidRPr="00CB6FFA" w:rsidRDefault="00CC3F13" w:rsidP="00834F11">
            <w:pPr>
              <w:pStyle w:val="Normal6"/>
            </w:pPr>
            <w:r w:rsidRPr="00CB6FFA">
              <w:rPr>
                <w:vertAlign w:val="superscript"/>
              </w:rPr>
              <w:t xml:space="preserve">25 </w:t>
            </w:r>
            <w:r w:rsidRPr="00CB6FFA">
              <w:t>Kvalifikatsioonide ja kompetentside läbipaistvuse ühtset ühenduse raamistikku (Europass) käsitleva Euroopa Parlamendi ja nõukogu ot</w:t>
            </w:r>
            <w:r w:rsidR="00834F11" w:rsidRPr="00CB6FFA">
              <w:t>suse teine hindamine, COM(2013) </w:t>
            </w:r>
            <w:r w:rsidRPr="00CB6FFA">
              <w:t>899 final.</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9</w:t>
      </w:r>
    </w:p>
    <w:p w:rsidR="00CC3F13" w:rsidRPr="00CB6FFA" w:rsidRDefault="00CC3F13" w:rsidP="00CC3F13">
      <w:pPr>
        <w:pStyle w:val="NormalBold12b"/>
      </w:pPr>
      <w:r w:rsidRPr="00CB6FFA">
        <w:lastRenderedPageBreak/>
        <w:t>Ettepanek võtta vastu otsus</w:t>
      </w:r>
    </w:p>
    <w:p w:rsidR="00CC3F13" w:rsidRPr="00CB6FFA" w:rsidRDefault="00CC3F13" w:rsidP="00CC3F13">
      <w:pPr>
        <w:pStyle w:val="NormalBold"/>
      </w:pPr>
      <w:r w:rsidRPr="00CB6FFA">
        <w:t>Põhjendus 4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p>
        </w:tc>
        <w:tc>
          <w:tcPr>
            <w:tcW w:w="4876" w:type="dxa"/>
          </w:tcPr>
          <w:p w:rsidR="00CC3F13" w:rsidRPr="00CB6FFA" w:rsidRDefault="00834F11" w:rsidP="00834F11">
            <w:pPr>
              <w:pStyle w:val="Normal6"/>
            </w:pPr>
            <w:r w:rsidRPr="00CB6FFA">
              <w:rPr>
                <w:b/>
                <w:i/>
              </w:rPr>
              <w:t>(4</w:t>
            </w:r>
            <w:r w:rsidR="00CC3F13" w:rsidRPr="00CB6FFA">
              <w:rPr>
                <w:b/>
                <w:i/>
              </w:rPr>
              <w:t>a)</w:t>
            </w:r>
            <w:r w:rsidR="00CC3F13" w:rsidRPr="00CB6FFA">
              <w:tab/>
            </w:r>
            <w:r w:rsidR="00CC3F13" w:rsidRPr="00CB6FFA">
              <w:rPr>
                <w:b/>
                <w:i/>
              </w:rPr>
              <w:t>Riiklike Europassi keskuste tegevustega tagatakse kasutajatele tugi ja edendatakse oskuste ja kvalifikatsioonide dokumenteerimist. Ka Euroguidance’i võrgustik on andnud oma panuse oskusi ja kvalifikatsioone käsitlevatest liidu vahenditest teavitamise parandamisse. Tagada tuleks kõnealuste riiklike teenuste toetamine ja parem koordineerimine, et suurendada nende mõju, austades samas riiklike süsteemide mitmekesisust.</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10</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Põhjendus 7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p>
        </w:tc>
        <w:tc>
          <w:tcPr>
            <w:tcW w:w="4876" w:type="dxa"/>
          </w:tcPr>
          <w:p w:rsidR="00CC3F13" w:rsidRPr="00CB6FFA" w:rsidRDefault="00CC3F13" w:rsidP="00834F11">
            <w:pPr>
              <w:pStyle w:val="Normal6"/>
            </w:pPr>
            <w:r w:rsidRPr="00CB6FFA">
              <w:rPr>
                <w:b/>
                <w:i/>
              </w:rPr>
              <w:t>(7a)</w:t>
            </w:r>
            <w:r w:rsidRPr="00CB6FFA">
              <w:tab/>
            </w:r>
            <w:r w:rsidR="00834F11" w:rsidRPr="00CB6FFA">
              <w:rPr>
                <w:b/>
                <w:i/>
              </w:rPr>
              <w:t>Nõukogu 20. detsembri 2012. </w:t>
            </w:r>
            <w:r w:rsidRPr="00CB6FFA">
              <w:rPr>
                <w:b/>
                <w:i/>
              </w:rPr>
              <w:t>aasta soovituses mitteformaalse ja informaalse õppe valideerimise kohta kutsutakse liikmesriike üles kehtestama hiljemalt 2018.</w:t>
            </w:r>
            <w:r w:rsidR="00834F11" w:rsidRPr="00CB6FFA">
              <w:rPr>
                <w:b/>
                <w:i/>
              </w:rPr>
              <w:t> </w:t>
            </w:r>
            <w:r w:rsidRPr="00CB6FFA">
              <w:rPr>
                <w:b/>
                <w:i/>
              </w:rPr>
              <w:t>aastaks, riigi olusid ja eripära arvesse võttes ning neile sobivatel tingimustel, mitteformaalse ja informaalse õppe valideerimise korda, mis võimaldab isikute mitteformaalse ja informaalse õppimise teel saadud teadmiste, oskuste ja kompetentside valideerimist ning võimaldab neil saada täiskvalifikatsiooni või vajaduse korral osalise kvalifikatsiooni.</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11</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Põhjendus 10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CC3F13" w:rsidP="00834F11">
            <w:pPr>
              <w:pStyle w:val="Normal6"/>
            </w:pPr>
            <w:r w:rsidRPr="00CB6FFA">
              <w:t xml:space="preserve">(10) </w:t>
            </w:r>
            <w:r w:rsidRPr="00CB6FFA">
              <w:tab/>
              <w:t xml:space="preserve">Komisjon on </w:t>
            </w:r>
            <w:r w:rsidRPr="00CB6FFA">
              <w:rPr>
                <w:b/>
                <w:i/>
              </w:rPr>
              <w:t>katsetanud</w:t>
            </w:r>
            <w:r w:rsidRPr="00CB6FFA">
              <w:t xml:space="preserve"> oskuste, kompetentside, kvalifikatsioonide ja </w:t>
            </w:r>
            <w:r w:rsidRPr="00CB6FFA">
              <w:lastRenderedPageBreak/>
              <w:t>ametite Euroopa klassifikaatorit (ESCO) kui haridus- / koolitus- ja tööhõivevaldkonna ühise terminoloogia allikat ja töövahendit</w:t>
            </w:r>
            <w:r w:rsidRPr="00CB6FFA">
              <w:rPr>
                <w:b/>
                <w:i/>
                <w:vertAlign w:val="superscript"/>
              </w:rPr>
              <w:t>30</w:t>
            </w:r>
            <w:r w:rsidRPr="00CB6FFA">
              <w:t xml:space="preserve">. </w:t>
            </w:r>
            <w:r w:rsidRPr="00CB6FFA">
              <w:rPr>
                <w:b/>
                <w:i/>
              </w:rPr>
              <w:t>ESCOs on</w:t>
            </w:r>
            <w:r w:rsidRPr="00CB6FFA">
              <w:t xml:space="preserve"> ELi tööturu ning haridus- ja koolitusvaldkonna jaoks </w:t>
            </w:r>
            <w:r w:rsidRPr="00CB6FFA">
              <w:rPr>
                <w:b/>
                <w:i/>
              </w:rPr>
              <w:t>olulised üldmõisted</w:t>
            </w:r>
            <w:r w:rsidRPr="00CB6FFA">
              <w:t xml:space="preserve"> jaotatud kolme omavahel seotud kategooriasse: i) ametid, ii) teadmised, oskused ja kompetentsid ning iii) kvalifikatsioonid. </w:t>
            </w:r>
            <w:r w:rsidRPr="00CB6FFA">
              <w:rPr>
                <w:b/>
                <w:i/>
              </w:rPr>
              <w:t>Neid</w:t>
            </w:r>
            <w:r w:rsidRPr="00CB6FFA">
              <w:t xml:space="preserve"> ESCO </w:t>
            </w:r>
            <w:r w:rsidRPr="00CB6FFA">
              <w:rPr>
                <w:b/>
                <w:i/>
              </w:rPr>
              <w:t>kategooriaid saab</w:t>
            </w:r>
            <w:r w:rsidRPr="00CB6FFA">
              <w:t xml:space="preserve"> täiendada muid seonduvaid valdkondi, nt tööga seotud küsimusi, haridus- ja </w:t>
            </w:r>
            <w:r w:rsidRPr="00CB6FFA">
              <w:rPr>
                <w:b/>
                <w:i/>
              </w:rPr>
              <w:t>koolitusvaldkondi</w:t>
            </w:r>
            <w:r w:rsidRPr="00CB6FFA">
              <w:t xml:space="preserve"> ning </w:t>
            </w:r>
            <w:r w:rsidRPr="00CB6FFA">
              <w:rPr>
                <w:b/>
                <w:i/>
              </w:rPr>
              <w:t>majandussektoreid</w:t>
            </w:r>
            <w:r w:rsidRPr="00CB6FFA">
              <w:t xml:space="preserve"> hõlmava sõnavaraga.</w:t>
            </w:r>
          </w:p>
        </w:tc>
        <w:tc>
          <w:tcPr>
            <w:tcW w:w="4876" w:type="dxa"/>
            <w:hideMark/>
          </w:tcPr>
          <w:p w:rsidR="00CC3F13" w:rsidRPr="00CB6FFA" w:rsidRDefault="00CC3F13" w:rsidP="00834F11">
            <w:pPr>
              <w:pStyle w:val="Normal6"/>
              <w:rPr>
                <w:szCs w:val="24"/>
              </w:rPr>
            </w:pPr>
            <w:r w:rsidRPr="00CB6FFA">
              <w:lastRenderedPageBreak/>
              <w:t>(10)</w:t>
            </w:r>
            <w:r w:rsidRPr="00CB6FFA">
              <w:tab/>
              <w:t xml:space="preserve">Komisjon on </w:t>
            </w:r>
            <w:r w:rsidRPr="00CB6FFA">
              <w:rPr>
                <w:b/>
                <w:i/>
              </w:rPr>
              <w:t>välja töötamas ja katsetamas</w:t>
            </w:r>
            <w:r w:rsidRPr="00CB6FFA">
              <w:t xml:space="preserve"> oskuste, kompetentside, </w:t>
            </w:r>
            <w:r w:rsidRPr="00CB6FFA">
              <w:lastRenderedPageBreak/>
              <w:t>kvalifikatsioonide ja ametite Euroopa klassifikaatorit (ESCO) kui haridus- / koolitus- ja tööhõivevaldkonna ühise terminoloogia allikat ja töövahendit</w:t>
            </w:r>
            <w:r w:rsidRPr="00CB6FFA">
              <w:rPr>
                <w:rStyle w:val="Sup"/>
                <w:color w:val="auto"/>
              </w:rPr>
              <w:t>30</w:t>
            </w:r>
            <w:r w:rsidRPr="00CB6FFA">
              <w:t xml:space="preserve">. </w:t>
            </w:r>
            <w:r w:rsidRPr="00CB6FFA">
              <w:rPr>
                <w:b/>
                <w:i/>
              </w:rPr>
              <w:t>ESCO abil soovitakse välja töötada</w:t>
            </w:r>
            <w:r w:rsidRPr="00CB6FFA">
              <w:t xml:space="preserve"> ELi tööturu ning haridus- ja koolitusvaldkonna jaoks </w:t>
            </w:r>
            <w:r w:rsidRPr="00CB6FFA">
              <w:rPr>
                <w:b/>
                <w:i/>
              </w:rPr>
              <w:t>oluliste üldmõistete struktuur, mis on</w:t>
            </w:r>
            <w:r w:rsidRPr="00CB6FFA">
              <w:t xml:space="preserve"> jaotatud kolme omavahel seotud kategooriasse: i) ametid, ii) teadmised, oskused ja kompetentsid ning iii) kvalifikatsioonid</w:t>
            </w:r>
            <w:r w:rsidRPr="00CB6FFA">
              <w:rPr>
                <w:b/>
                <w:i/>
              </w:rPr>
              <w:t>,</w:t>
            </w:r>
            <w:r w:rsidRPr="00CB6FFA">
              <w:t xml:space="preserve"> </w:t>
            </w:r>
            <w:r w:rsidRPr="00CB6FFA">
              <w:rPr>
                <w:b/>
                <w:i/>
              </w:rPr>
              <w:t>mis võivad vabatahtlikkuse alusel aidata selgitada oskuste ja kvalifikatsioonide omavahel seotud valdkondi</w:t>
            </w:r>
            <w:r w:rsidRPr="00CB6FFA">
              <w:t xml:space="preserve">. </w:t>
            </w:r>
            <w:r w:rsidRPr="00CB6FFA">
              <w:rPr>
                <w:b/>
                <w:i/>
              </w:rPr>
              <w:t>Kui ESCO on liikmesriikides täielikult välja töötatud ja katsetatud, võiks seda kasutada Europassi viiteterminoloogia alusena. Lisaks saaks ESCO klassifikatsiooni</w:t>
            </w:r>
            <w:r w:rsidRPr="00CB6FFA">
              <w:t xml:space="preserve"> täiendada muid seonduvaid valdkondi, nt tööga seotud küsimusi, haridus- ja </w:t>
            </w:r>
            <w:r w:rsidRPr="00CB6FFA">
              <w:rPr>
                <w:b/>
                <w:i/>
              </w:rPr>
              <w:t>koolitusvaldkonda</w:t>
            </w:r>
            <w:r w:rsidRPr="00CB6FFA">
              <w:t xml:space="preserve"> ning </w:t>
            </w:r>
            <w:r w:rsidRPr="00CB6FFA">
              <w:rPr>
                <w:b/>
                <w:i/>
              </w:rPr>
              <w:t>majandussektorit</w:t>
            </w:r>
            <w:r w:rsidRPr="00CB6FFA">
              <w:t xml:space="preserve"> hõlmava sõnavaraga.</w:t>
            </w:r>
          </w:p>
        </w:tc>
      </w:tr>
      <w:tr w:rsidR="00CC3F13" w:rsidRPr="00CB6FFA" w:rsidTr="00834F11">
        <w:trPr>
          <w:jc w:val="center"/>
        </w:trPr>
        <w:tc>
          <w:tcPr>
            <w:tcW w:w="4876" w:type="dxa"/>
            <w:hideMark/>
          </w:tcPr>
          <w:p w:rsidR="00CC3F13" w:rsidRPr="00CB6FFA" w:rsidRDefault="00CC3F13" w:rsidP="00834F11">
            <w:pPr>
              <w:pStyle w:val="Normal6"/>
            </w:pPr>
            <w:r w:rsidRPr="00CB6FFA">
              <w:lastRenderedPageBreak/>
              <w:t>__________________</w:t>
            </w:r>
          </w:p>
        </w:tc>
        <w:tc>
          <w:tcPr>
            <w:tcW w:w="4876" w:type="dxa"/>
            <w:hideMark/>
          </w:tcPr>
          <w:p w:rsidR="00CC3F13" w:rsidRPr="00CB6FFA" w:rsidRDefault="00CC3F13" w:rsidP="00834F11">
            <w:pPr>
              <w:pStyle w:val="Normal6"/>
              <w:rPr>
                <w:szCs w:val="24"/>
              </w:rPr>
            </w:pPr>
            <w:r w:rsidRPr="00CB6FFA">
              <w:t>__________________</w:t>
            </w:r>
          </w:p>
        </w:tc>
      </w:tr>
      <w:tr w:rsidR="00CC3F13" w:rsidRPr="00CB6FFA" w:rsidTr="00834F11">
        <w:trPr>
          <w:jc w:val="center"/>
        </w:trPr>
        <w:tc>
          <w:tcPr>
            <w:tcW w:w="4876" w:type="dxa"/>
            <w:hideMark/>
          </w:tcPr>
          <w:p w:rsidR="00CC3F13" w:rsidRPr="00CB6FFA" w:rsidRDefault="00CC3F13" w:rsidP="00834F11">
            <w:pPr>
              <w:pStyle w:val="Normal6"/>
            </w:pPr>
            <w:r w:rsidRPr="00CB6FFA">
              <w:rPr>
                <w:vertAlign w:val="superscript"/>
              </w:rPr>
              <w:t xml:space="preserve">30 </w:t>
            </w:r>
            <w:r w:rsidRPr="00CB6FFA">
              <w:t>Komisjoni töö sellise raamistikuga on lisatud strateegiasse „Euroopa 2020“ (Komisjoni teatis „Euroopa 2020. aastal. Aruka, jätkusuutliku ja kaasava majanduskasvu strateegia“, KOM(2010) 2020 (lõplik)).</w:t>
            </w:r>
          </w:p>
        </w:tc>
        <w:tc>
          <w:tcPr>
            <w:tcW w:w="4876" w:type="dxa"/>
            <w:hideMark/>
          </w:tcPr>
          <w:p w:rsidR="00CC3F13" w:rsidRPr="00CB6FFA" w:rsidRDefault="00CC3F13" w:rsidP="00834F11">
            <w:pPr>
              <w:pStyle w:val="Normal6"/>
              <w:rPr>
                <w:szCs w:val="24"/>
              </w:rPr>
            </w:pPr>
            <w:r w:rsidRPr="00CB6FFA">
              <w:rPr>
                <w:vertAlign w:val="superscript"/>
              </w:rPr>
              <w:t xml:space="preserve">30 </w:t>
            </w:r>
            <w:r w:rsidRPr="00CB6FFA">
              <w:t xml:space="preserve">Komisjoni töö sellise raamistikuga on lisatud strateegiasse </w:t>
            </w:r>
            <w:r w:rsidR="00834F11" w:rsidRPr="00CB6FFA">
              <w:t>„Euroopa </w:t>
            </w:r>
            <w:r w:rsidRPr="00CB6FFA">
              <w:t>2</w:t>
            </w:r>
            <w:r w:rsidR="00834F11" w:rsidRPr="00CB6FFA">
              <w:t xml:space="preserve">020“ (Komisjoni teatis „Euroopa </w:t>
            </w:r>
            <w:r w:rsidRPr="00CB6FFA">
              <w:t>2020.</w:t>
            </w:r>
            <w:r w:rsidR="00834F11" w:rsidRPr="00CB6FFA">
              <w:t> </w:t>
            </w:r>
            <w:r w:rsidRPr="00CB6FFA">
              <w:t>aastal. Aruka, jätkusuutliku ja kaasava majan</w:t>
            </w:r>
            <w:r w:rsidR="00834F11" w:rsidRPr="00CB6FFA">
              <w:t>duskasvu strateegia“, KOM(2010) </w:t>
            </w:r>
            <w:r w:rsidRPr="00CB6FFA">
              <w:t>2020 (lõplik)).</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12</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Põhjendus 10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p>
        </w:tc>
        <w:tc>
          <w:tcPr>
            <w:tcW w:w="4876" w:type="dxa"/>
          </w:tcPr>
          <w:p w:rsidR="00CC3F13" w:rsidRPr="00CB6FFA" w:rsidRDefault="00834F11" w:rsidP="00834F11">
            <w:pPr>
              <w:pStyle w:val="Normal6"/>
            </w:pPr>
            <w:r w:rsidRPr="00CB6FFA">
              <w:rPr>
                <w:b/>
                <w:i/>
              </w:rPr>
              <w:t>(10</w:t>
            </w:r>
            <w:r w:rsidR="00CC3F13" w:rsidRPr="00CB6FFA">
              <w:rPr>
                <w:b/>
                <w:i/>
              </w:rPr>
              <w:t>a)</w:t>
            </w:r>
            <w:r w:rsidR="00CC3F13" w:rsidRPr="00CB6FFA">
              <w:tab/>
            </w:r>
            <w:r w:rsidR="00CC3F13" w:rsidRPr="00CB6FFA">
              <w:rPr>
                <w:b/>
                <w:i/>
              </w:rPr>
              <w:t xml:space="preserve">ESCOt ei saa praegu pidada Europassi viiteterminoloogia aluseks. Kuna ESCO on veel käimasolev projekt, on see vahend, mis ei ole täielikult välja töötatud ja katsetatud ja mida liikmesriigid ei ole heaks kiitnud. ESCO viiteterminoloogiana kasutamine sõltub seetõttu komisjoni jõupingutusest hinnata selle vastuvõttu kasutajate poolt ning selle kasulikkust kasutajatele ja teistele sidusrühmadele ning samuti </w:t>
            </w:r>
            <w:r w:rsidR="00CC3F13" w:rsidRPr="00CB6FFA">
              <w:rPr>
                <w:b/>
                <w:i/>
              </w:rPr>
              <w:lastRenderedPageBreak/>
              <w:t>jõupingutusest näidata ESCO paigutamist liidu vahendite hulka, et näidata selle kasutamisest tulenevat lisaväärtust tööturgudele, tööandjatele, töötajatele ja tööotsijatele ning ESCO kasutamisega loodud sünergiaid viisil, mis on kooskõlas Euroopa kvalifikatsiooniraamistikuga Europassis. Niipea kui ESCOt tunnustatakse vastuvõetava Europassi viiteterminoloogiana, tuleks seda korrapäraselt ajakohastada tihedas koostöös liikmesriikide ja sidusrühmadega, nagu sotsiaalpartnerid, kutseliidud, haridus- ja koolitusasutused ning uurimis-, statistika- ja tööturuasutused.</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13</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Põhjendus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CC3F13" w:rsidP="00834F11">
            <w:pPr>
              <w:pStyle w:val="Normal6"/>
            </w:pPr>
            <w:r w:rsidRPr="00CB6FFA">
              <w:t>(11)</w:t>
            </w:r>
            <w:r w:rsidRPr="00CB6FFA">
              <w:tab/>
              <w:t>Euroopa Parlamendi ja nõukogu määrusega (EL) 2016/589</w:t>
            </w:r>
            <w:r w:rsidRPr="00CB6FFA">
              <w:rPr>
                <w:vertAlign w:val="superscript"/>
              </w:rPr>
              <w:t>31</w:t>
            </w:r>
            <w:r w:rsidRPr="00CB6FFA">
              <w:t xml:space="preserve"> loodi Euroopa tööturuasutuste võrgustik (EURES), mis hõlmab tööturuasutusi ja toimib mehhanismina, mis võimaldab inimesed ja töökohad automaatselt EURESe ühise IT-platvormi kaudu kokku sobitada. Et selle mehhanismi abil saaks vabade töökohtade alast teavet vahetada ning vabu töökohti ja kandidaate sobitada, </w:t>
            </w:r>
            <w:r w:rsidRPr="00CB6FFA">
              <w:rPr>
                <w:b/>
                <w:i/>
              </w:rPr>
              <w:t>on vaja ühist mitmekeelset</w:t>
            </w:r>
            <w:r w:rsidRPr="00CB6FFA">
              <w:t xml:space="preserve"> oskuste, kompetentside ja ametite loetelu. ESCO väljatöötamisega </w:t>
            </w:r>
            <w:r w:rsidRPr="00CB6FFA">
              <w:rPr>
                <w:b/>
                <w:i/>
              </w:rPr>
              <w:t>tagab</w:t>
            </w:r>
            <w:r w:rsidRPr="00CB6FFA">
              <w:t xml:space="preserve"> komisjon </w:t>
            </w:r>
            <w:r w:rsidRPr="00CB6FFA">
              <w:rPr>
                <w:b/>
                <w:i/>
              </w:rPr>
              <w:t>selleks otstarbeks sobiva</w:t>
            </w:r>
            <w:r w:rsidRPr="00CB6FFA">
              <w:t xml:space="preserve"> mitmekeelse oskuste, kompetentside ja ametite klassifitseerimise süsteemi.</w:t>
            </w:r>
          </w:p>
        </w:tc>
        <w:tc>
          <w:tcPr>
            <w:tcW w:w="4876" w:type="dxa"/>
            <w:hideMark/>
          </w:tcPr>
          <w:p w:rsidR="00CC3F13" w:rsidRPr="00CB6FFA" w:rsidRDefault="00CC3F13" w:rsidP="00834F11">
            <w:pPr>
              <w:pStyle w:val="Normal6"/>
              <w:rPr>
                <w:szCs w:val="24"/>
              </w:rPr>
            </w:pPr>
            <w:r w:rsidRPr="00CB6FFA">
              <w:t>(11)</w:t>
            </w:r>
            <w:r w:rsidRPr="00CB6FFA">
              <w:tab/>
              <w:t>Euroopa Parlamendi ja nõukogu määrusega (EL)</w:t>
            </w:r>
            <w:r w:rsidR="00834F11" w:rsidRPr="00CB6FFA">
              <w:t> </w:t>
            </w:r>
            <w:r w:rsidRPr="00CB6FFA">
              <w:t>2016/589</w:t>
            </w:r>
            <w:r w:rsidRPr="00CB6FFA">
              <w:rPr>
                <w:vertAlign w:val="superscript"/>
              </w:rPr>
              <w:t>31</w:t>
            </w:r>
            <w:r w:rsidRPr="00CB6FFA">
              <w:t xml:space="preserve"> loodi Euroopa tööturuasutuste võrgustik (EURES), mis hõlmab tööturuasutusi ja toimib mehhanismina, mis võimaldab inimesed ja töökohad automaatselt EURESe ühise IT-platvormi kaudu kokku sobitada. Et selle mehhanismi abil saaks vabade töökohtade alast teavet vahetada ning vabu töökohti ja kandidaate sobitada, </w:t>
            </w:r>
            <w:r w:rsidRPr="00CB6FFA">
              <w:rPr>
                <w:b/>
                <w:i/>
              </w:rPr>
              <w:t>võiks mehhanismile kasuks olla ühine mitmekeelne</w:t>
            </w:r>
            <w:r w:rsidRPr="00CB6FFA">
              <w:t xml:space="preserve"> oskuste, kompetentside ja ametite loetelu. ESCO väljatöötamisega </w:t>
            </w:r>
            <w:r w:rsidRPr="00CB6FFA">
              <w:rPr>
                <w:b/>
                <w:i/>
              </w:rPr>
              <w:t>soovib</w:t>
            </w:r>
            <w:r w:rsidRPr="00CB6FFA">
              <w:t xml:space="preserve"> komisjon </w:t>
            </w:r>
            <w:r w:rsidRPr="00CB6FFA">
              <w:rPr>
                <w:b/>
                <w:i/>
              </w:rPr>
              <w:t>luua</w:t>
            </w:r>
            <w:r w:rsidRPr="00CB6FFA">
              <w:t xml:space="preserve"> mitmekeelse oskuste, kompetentside ja ametite klassifitseerimise süsteemi</w:t>
            </w:r>
            <w:r w:rsidRPr="00CB6FFA">
              <w:rPr>
                <w:b/>
                <w:i/>
              </w:rPr>
              <w:t>, mis võiks pärast piisava aja jooksul tehtavat põhjalikku läbivaatamist selle eesmärgi täitmisele kaasa aidata.</w:t>
            </w:r>
            <w:r w:rsidRPr="00CB6FFA">
              <w:t xml:space="preserve"> </w:t>
            </w:r>
            <w:r w:rsidRPr="00CB6FFA">
              <w:rPr>
                <w:b/>
                <w:i/>
              </w:rPr>
              <w:t xml:space="preserve">EURESe võrgustiku raames pakutakse abi tööotsijatele, kes soovivad kolida teise riiki, ning tööandjatele, kes otsivad töötajaid muust riigist. Europassi ja EURESe portaalide vaheline ühendatus ja koostöö võiks tuua kaasa mõlema </w:t>
            </w:r>
            <w:r w:rsidRPr="00CB6FFA">
              <w:rPr>
                <w:b/>
                <w:i/>
              </w:rPr>
              <w:lastRenderedPageBreak/>
              <w:t>teenuse tõhusama kasutamise.</w:t>
            </w:r>
          </w:p>
        </w:tc>
      </w:tr>
      <w:tr w:rsidR="00CC3F13" w:rsidRPr="00CB6FFA" w:rsidTr="00834F11">
        <w:trPr>
          <w:jc w:val="center"/>
        </w:trPr>
        <w:tc>
          <w:tcPr>
            <w:tcW w:w="4876" w:type="dxa"/>
            <w:hideMark/>
          </w:tcPr>
          <w:p w:rsidR="00CC3F13" w:rsidRPr="00CB6FFA" w:rsidRDefault="00CC3F13" w:rsidP="00834F11">
            <w:pPr>
              <w:pStyle w:val="Normal6"/>
            </w:pPr>
            <w:r w:rsidRPr="00CB6FFA">
              <w:lastRenderedPageBreak/>
              <w:t>__________________</w:t>
            </w:r>
          </w:p>
        </w:tc>
        <w:tc>
          <w:tcPr>
            <w:tcW w:w="4876" w:type="dxa"/>
            <w:hideMark/>
          </w:tcPr>
          <w:p w:rsidR="00CC3F13" w:rsidRPr="00CB6FFA" w:rsidRDefault="00CC3F13" w:rsidP="00834F11">
            <w:pPr>
              <w:pStyle w:val="Normal6"/>
              <w:rPr>
                <w:szCs w:val="24"/>
              </w:rPr>
            </w:pPr>
            <w:r w:rsidRPr="00CB6FFA">
              <w:t>__________________</w:t>
            </w:r>
          </w:p>
        </w:tc>
      </w:tr>
      <w:tr w:rsidR="00CC3F13" w:rsidRPr="00CB6FFA" w:rsidTr="00834F11">
        <w:trPr>
          <w:jc w:val="center"/>
        </w:trPr>
        <w:tc>
          <w:tcPr>
            <w:tcW w:w="4876" w:type="dxa"/>
            <w:hideMark/>
          </w:tcPr>
          <w:p w:rsidR="00CC3F13" w:rsidRPr="00CB6FFA" w:rsidRDefault="00CC3F13" w:rsidP="00834F11">
            <w:pPr>
              <w:pStyle w:val="Normal6"/>
            </w:pPr>
            <w:r w:rsidRPr="00CB6FFA">
              <w:rPr>
                <w:vertAlign w:val="superscript"/>
              </w:rPr>
              <w:t xml:space="preserve">31 </w:t>
            </w:r>
            <w:r w:rsidRPr="00CB6FFA">
              <w:t>ELT L 107, 22.4.2016, lk 1.</w:t>
            </w:r>
          </w:p>
        </w:tc>
        <w:tc>
          <w:tcPr>
            <w:tcW w:w="4876" w:type="dxa"/>
            <w:hideMark/>
          </w:tcPr>
          <w:p w:rsidR="00CC3F13" w:rsidRPr="00CB6FFA" w:rsidRDefault="00CC3F13" w:rsidP="00834F11">
            <w:pPr>
              <w:pStyle w:val="Normal6"/>
              <w:rPr>
                <w:szCs w:val="24"/>
              </w:rPr>
            </w:pPr>
            <w:r w:rsidRPr="00CB6FFA">
              <w:rPr>
                <w:vertAlign w:val="superscript"/>
              </w:rPr>
              <w:t xml:space="preserve">31 </w:t>
            </w:r>
            <w:r w:rsidR="00834F11" w:rsidRPr="00CB6FFA">
              <w:t>ELT L 107, 22.4.2016, lk </w:t>
            </w:r>
            <w:r w:rsidRPr="00CB6FFA">
              <w:t>1.</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14</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Põhjendus 13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t>(13)</w:t>
            </w:r>
            <w:r w:rsidRPr="00CB6FFA">
              <w:tab/>
            </w:r>
            <w:r w:rsidRPr="00CB6FFA">
              <w:rPr>
                <w:b/>
                <w:i/>
              </w:rPr>
              <w:t>Haridus-</w:t>
            </w:r>
            <w:r w:rsidRPr="00CB6FFA">
              <w:t xml:space="preserve"> ja </w:t>
            </w:r>
            <w:r w:rsidRPr="00CB6FFA">
              <w:rPr>
                <w:b/>
                <w:i/>
              </w:rPr>
              <w:t>koolitusteenuseid</w:t>
            </w:r>
            <w:r w:rsidRPr="00CB6FFA">
              <w:t xml:space="preserve"> osutavad üha laialdasemalt eri teenuseosutajad uutmoodi kujul ja keskkonnas, eelkõige digitehnoloogia ja -platvormide abil. Ka oskuste, kogemuste ja õpisaavutuste tunnustamiseks on eri viise, näiteks avatud tunnistused. Neid kasutatakse ka mitteformaalsel teel, nt noorsootöö kaudu omandatud oskuste puhul.</w:t>
            </w:r>
          </w:p>
        </w:tc>
        <w:tc>
          <w:tcPr>
            <w:tcW w:w="4876" w:type="dxa"/>
          </w:tcPr>
          <w:p w:rsidR="00CC3F13" w:rsidRPr="00CB6FFA" w:rsidRDefault="00CC3F13" w:rsidP="00834F11">
            <w:pPr>
              <w:pStyle w:val="Normal6"/>
              <w:rPr>
                <w:szCs w:val="24"/>
              </w:rPr>
            </w:pPr>
            <w:r w:rsidRPr="00CB6FFA">
              <w:t>(13)</w:t>
            </w:r>
            <w:r w:rsidRPr="00CB6FFA">
              <w:tab/>
            </w:r>
            <w:r w:rsidRPr="00CB6FFA">
              <w:rPr>
                <w:b/>
                <w:i/>
              </w:rPr>
              <w:t>Formaalse, mitteformaalse ja informaalse hariduse</w:t>
            </w:r>
            <w:r w:rsidRPr="00CB6FFA">
              <w:t xml:space="preserve"> ja </w:t>
            </w:r>
            <w:r w:rsidRPr="00CB6FFA">
              <w:rPr>
                <w:b/>
                <w:i/>
              </w:rPr>
              <w:t>koolituse teenuseid</w:t>
            </w:r>
            <w:r w:rsidRPr="00CB6FFA">
              <w:t xml:space="preserve"> osutavad üha laialdasemalt eri teenuseosutajad </w:t>
            </w:r>
            <w:r w:rsidRPr="00CB6FFA">
              <w:rPr>
                <w:b/>
                <w:i/>
              </w:rPr>
              <w:t xml:space="preserve">– sh mitteformaalse haridusteenuse osutajad ja vabaühendused – </w:t>
            </w:r>
            <w:r w:rsidRPr="00CB6FFA">
              <w:t>uutmoodi kujul ja keskkonnas</w:t>
            </w:r>
            <w:r w:rsidRPr="00CB6FFA">
              <w:rPr>
                <w:b/>
                <w:i/>
              </w:rPr>
              <w:t>, näiteks avatud õppematerjalid</w:t>
            </w:r>
            <w:r w:rsidRPr="00CB6FFA">
              <w:t>, eelkõige digitehnoloogia ja -platvormide</w:t>
            </w:r>
            <w:r w:rsidRPr="00CB6FFA">
              <w:rPr>
                <w:b/>
                <w:i/>
              </w:rPr>
              <w:t>, kaugõppe, e</w:t>
            </w:r>
            <w:r w:rsidR="00834F11" w:rsidRPr="00CB6FFA">
              <w:rPr>
                <w:b/>
                <w:i/>
              </w:rPr>
              <w:noBreakHyphen/>
            </w:r>
            <w:r w:rsidRPr="00CB6FFA">
              <w:rPr>
                <w:b/>
                <w:i/>
              </w:rPr>
              <w:t>õppe, teistelt õppimise ja laialt avatud e</w:t>
            </w:r>
            <w:r w:rsidR="00834F11" w:rsidRPr="00CB6FFA">
              <w:rPr>
                <w:b/>
                <w:i/>
              </w:rPr>
              <w:noBreakHyphen/>
            </w:r>
            <w:r w:rsidRPr="00CB6FFA">
              <w:rPr>
                <w:b/>
                <w:i/>
              </w:rPr>
              <w:t>õppe (MOOC)</w:t>
            </w:r>
            <w:r w:rsidRPr="00CB6FFA">
              <w:t xml:space="preserve"> abil. Ka oskuste, kogemuste ja õpisaavutuste tunnustamiseks on eri viise, näiteks avatud tunnistused</w:t>
            </w:r>
            <w:r w:rsidRPr="00CB6FFA">
              <w:rPr>
                <w:b/>
                <w:i/>
              </w:rPr>
              <w:t xml:space="preserve"> ja muud tunnustatud hindamisvahendid, sh enesehindamisvahendid</w:t>
            </w:r>
            <w:r w:rsidRPr="00CB6FFA">
              <w:t xml:space="preserve">. Neid kasutatakse ka mitteformaalsel </w:t>
            </w:r>
            <w:r w:rsidRPr="00CB6FFA">
              <w:rPr>
                <w:b/>
                <w:i/>
              </w:rPr>
              <w:t xml:space="preserve">ja informaalsel </w:t>
            </w:r>
            <w:r w:rsidRPr="00CB6FFA">
              <w:t xml:space="preserve">teel, nt noorsootöö </w:t>
            </w:r>
            <w:r w:rsidRPr="00CB6FFA">
              <w:rPr>
                <w:b/>
                <w:i/>
              </w:rPr>
              <w:t xml:space="preserve">ja vabatahtliku töö, spordi ja muude tegevuste </w:t>
            </w:r>
            <w:r w:rsidRPr="00CB6FFA">
              <w:t>kaudu omandatud</w:t>
            </w:r>
            <w:r w:rsidRPr="00CB6FFA">
              <w:rPr>
                <w:b/>
                <w:i/>
              </w:rPr>
              <w:t xml:space="preserve"> valdkonnaüleste ja pehmete</w:t>
            </w:r>
            <w:r w:rsidRPr="00CB6FFA">
              <w:t xml:space="preserve"> oskuste puhul.</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15</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Põhjendus 14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rPr>
                <w:szCs w:val="24"/>
              </w:rPr>
              <w:t>(14)</w:t>
            </w:r>
            <w:r w:rsidRPr="00CB6FFA">
              <w:rPr>
                <w:szCs w:val="24"/>
              </w:rPr>
              <w:tab/>
            </w:r>
            <w:r w:rsidRPr="00CB6FFA">
              <w:rPr>
                <w:b/>
                <w:i/>
                <w:szCs w:val="24"/>
              </w:rPr>
              <w:t>On üldteada, et järjest olulisemaks muutuvad</w:t>
            </w:r>
            <w:r w:rsidRPr="00CB6FFA">
              <w:rPr>
                <w:szCs w:val="24"/>
              </w:rPr>
              <w:t xml:space="preserve"> eri valdkondades kasutust leida </w:t>
            </w:r>
            <w:r w:rsidRPr="00CB6FFA">
              <w:rPr>
                <w:b/>
                <w:i/>
                <w:szCs w:val="24"/>
              </w:rPr>
              <w:t>võivad valdkonnaülesed</w:t>
            </w:r>
            <w:r w:rsidRPr="00CB6FFA">
              <w:rPr>
                <w:szCs w:val="24"/>
              </w:rPr>
              <w:t xml:space="preserve"> ehk </w:t>
            </w:r>
            <w:r w:rsidRPr="00CB6FFA">
              <w:rPr>
                <w:b/>
                <w:i/>
                <w:szCs w:val="24"/>
              </w:rPr>
              <w:t>pehmed</w:t>
            </w:r>
            <w:r w:rsidRPr="00CB6FFA">
              <w:rPr>
                <w:szCs w:val="24"/>
              </w:rPr>
              <w:t xml:space="preserve"> oskused. Inimestel on nende ja muudegi oskuste, nt digi- ja keeleoskuste ise hindamiseks ja kirjeldamiseks vaja vahendeid ja nõuandeid</w:t>
            </w:r>
            <w:r w:rsidRPr="00CB6FFA">
              <w:rPr>
                <w:b/>
                <w:i/>
                <w:szCs w:val="24"/>
              </w:rPr>
              <w:t>.</w:t>
            </w:r>
            <w:r w:rsidRPr="00CB6FFA">
              <w:rPr>
                <w:szCs w:val="24"/>
              </w:rPr>
              <w:t xml:space="preserve"> </w:t>
            </w:r>
          </w:p>
        </w:tc>
        <w:tc>
          <w:tcPr>
            <w:tcW w:w="4876" w:type="dxa"/>
          </w:tcPr>
          <w:p w:rsidR="00CC3F13" w:rsidRPr="00CB6FFA" w:rsidRDefault="00CC3F13" w:rsidP="00834F11">
            <w:pPr>
              <w:pStyle w:val="Normal6"/>
              <w:rPr>
                <w:szCs w:val="24"/>
              </w:rPr>
            </w:pPr>
            <w:r w:rsidRPr="00CB6FFA">
              <w:rPr>
                <w:szCs w:val="24"/>
              </w:rPr>
              <w:t>(14)</w:t>
            </w:r>
            <w:r w:rsidRPr="00CB6FFA">
              <w:rPr>
                <w:szCs w:val="24"/>
              </w:rPr>
              <w:tab/>
            </w:r>
            <w:r w:rsidRPr="00CB6FFA">
              <w:rPr>
                <w:b/>
                <w:i/>
                <w:szCs w:val="24"/>
              </w:rPr>
              <w:t>Lisaks nn tugevate oskuste tuntud tähtsusele tunnustatakse ka järjest rohkem</w:t>
            </w:r>
            <w:r w:rsidRPr="00CB6FFA">
              <w:rPr>
                <w:szCs w:val="24"/>
              </w:rPr>
              <w:t xml:space="preserve"> eri valdkondades kasutust leida </w:t>
            </w:r>
            <w:r w:rsidRPr="00CB6FFA">
              <w:rPr>
                <w:b/>
                <w:i/>
                <w:szCs w:val="24"/>
              </w:rPr>
              <w:t>võivaid valdkonnaüleseid</w:t>
            </w:r>
            <w:r w:rsidRPr="00CB6FFA">
              <w:rPr>
                <w:szCs w:val="24"/>
              </w:rPr>
              <w:t xml:space="preserve"> ehk </w:t>
            </w:r>
            <w:r w:rsidRPr="00CB6FFA">
              <w:rPr>
                <w:b/>
                <w:i/>
                <w:szCs w:val="24"/>
              </w:rPr>
              <w:t>pehmeid oskusi, näiteks kriitiline mõtlemine, meeskonnatöö, probleemide lahendamine, loovus ja erinevad elus toimetulekuks vajalikud</w:t>
            </w:r>
            <w:r w:rsidRPr="00CB6FFA">
              <w:rPr>
                <w:szCs w:val="24"/>
              </w:rPr>
              <w:t xml:space="preserve"> oskused</w:t>
            </w:r>
            <w:r w:rsidRPr="00CB6FFA">
              <w:rPr>
                <w:b/>
                <w:i/>
                <w:szCs w:val="24"/>
              </w:rPr>
              <w:t xml:space="preserve">, mis on isikliku ja </w:t>
            </w:r>
            <w:r w:rsidRPr="00CB6FFA">
              <w:rPr>
                <w:b/>
                <w:i/>
                <w:szCs w:val="24"/>
              </w:rPr>
              <w:lastRenderedPageBreak/>
              <w:t>tööalase eneseteostuse oluline eeldus ja võivad seega töö, hariduse ja kutsehariduse valdkonnas kasutust leida</w:t>
            </w:r>
            <w:r w:rsidRPr="00CB6FFA">
              <w:rPr>
                <w:szCs w:val="24"/>
              </w:rPr>
              <w:t xml:space="preserve">. </w:t>
            </w:r>
            <w:r w:rsidRPr="00CB6FFA">
              <w:t>Inimestel on nende ja muudegi oskuste, nt digi- ja keeleoskuste ise hindamiseks ja kirjeldamiseks</w:t>
            </w:r>
            <w:r w:rsidRPr="00CB6FFA">
              <w:rPr>
                <w:b/>
                <w:i/>
              </w:rPr>
              <w:t xml:space="preserve"> ning neist kasu saamiseks</w:t>
            </w:r>
            <w:r w:rsidRPr="00CB6FFA">
              <w:t xml:space="preserve"> vaja vahendeid ja nõuandeid</w:t>
            </w:r>
            <w:r w:rsidRPr="00CB6FFA">
              <w:rPr>
                <w:b/>
                <w:i/>
              </w:rPr>
              <w:t>, nagu on määratletud võtmepädevuste Euroopa raamistikus.</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16</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Põhjendus 16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CC3F13" w:rsidP="00834F11">
            <w:pPr>
              <w:pStyle w:val="Normal6"/>
            </w:pPr>
            <w:r w:rsidRPr="00CB6FFA">
              <w:t>(16)</w:t>
            </w:r>
            <w:r w:rsidRPr="00CB6FFA">
              <w:tab/>
              <w:t xml:space="preserve">Vabade töökohtade ja muude tööturusuundumuste analüüsimine on laialt levinud meetod oskuste prognoosimiseks, et mõista </w:t>
            </w:r>
            <w:r w:rsidRPr="00CB6FFA">
              <w:rPr>
                <w:b/>
                <w:i/>
              </w:rPr>
              <w:t xml:space="preserve">selliseid probleeme nagu </w:t>
            </w:r>
            <w:r w:rsidRPr="00CB6FFA">
              <w:t xml:space="preserve">oskuste </w:t>
            </w:r>
            <w:r w:rsidRPr="00CB6FFA">
              <w:rPr>
                <w:b/>
                <w:i/>
              </w:rPr>
              <w:t>nappus</w:t>
            </w:r>
            <w:r w:rsidRPr="00CB6FFA">
              <w:t xml:space="preserve"> ning kvalifikatsioonide nõudlusele </w:t>
            </w:r>
            <w:r w:rsidRPr="00CB6FFA">
              <w:rPr>
                <w:b/>
                <w:i/>
              </w:rPr>
              <w:t>mittevastavus</w:t>
            </w:r>
            <w:r w:rsidRPr="00CB6FFA">
              <w:t xml:space="preserve">. Infotehnoloogia </w:t>
            </w:r>
            <w:r w:rsidRPr="00CB6FFA">
              <w:rPr>
                <w:b/>
                <w:i/>
              </w:rPr>
              <w:t>(nt ämblikotsingu</w:t>
            </w:r>
            <w:r w:rsidRPr="00CB6FFA">
              <w:t xml:space="preserve"> ja </w:t>
            </w:r>
            <w:r w:rsidRPr="00CB6FFA">
              <w:rPr>
                <w:b/>
                <w:i/>
              </w:rPr>
              <w:t>suurandmete) kasutamisega saab</w:t>
            </w:r>
            <w:r w:rsidRPr="00CB6FFA">
              <w:t xml:space="preserve"> oskuste prognoosimist parandada ja seega oskuste nõudlusele mittevastavust vähendada.</w:t>
            </w:r>
          </w:p>
        </w:tc>
        <w:tc>
          <w:tcPr>
            <w:tcW w:w="4876" w:type="dxa"/>
            <w:hideMark/>
          </w:tcPr>
          <w:p w:rsidR="00CC3F13" w:rsidRPr="00CB6FFA" w:rsidRDefault="00CC3F13" w:rsidP="00834F11">
            <w:pPr>
              <w:pStyle w:val="Normal6"/>
              <w:rPr>
                <w:szCs w:val="24"/>
              </w:rPr>
            </w:pPr>
            <w:r w:rsidRPr="00CB6FFA">
              <w:t>(16)</w:t>
            </w:r>
            <w:r w:rsidRPr="00CB6FFA">
              <w:tab/>
              <w:t xml:space="preserve">Vabade töökohtade ja muude tööturusuundumuste analüüsimine on </w:t>
            </w:r>
            <w:r w:rsidRPr="00CB6FFA">
              <w:rPr>
                <w:b/>
                <w:i/>
              </w:rPr>
              <w:t>liikmesriikides</w:t>
            </w:r>
            <w:r w:rsidRPr="00CB6FFA">
              <w:t xml:space="preserve"> laialt levinud meetod oskuste prognoosimiseks, et mõista oskuste </w:t>
            </w:r>
            <w:r w:rsidRPr="00CB6FFA">
              <w:rPr>
                <w:b/>
                <w:i/>
              </w:rPr>
              <w:t>nappust</w:t>
            </w:r>
            <w:r w:rsidRPr="00CB6FFA">
              <w:t xml:space="preserve"> ning kvalifikatsioonide nõudlusele </w:t>
            </w:r>
            <w:r w:rsidRPr="00CB6FFA">
              <w:rPr>
                <w:b/>
                <w:i/>
              </w:rPr>
              <w:t>mittevastavust</w:t>
            </w:r>
            <w:r w:rsidRPr="00CB6FFA">
              <w:t xml:space="preserve">. Infotehnoloogia </w:t>
            </w:r>
            <w:r w:rsidRPr="00CB6FFA">
              <w:rPr>
                <w:b/>
                <w:i/>
              </w:rPr>
              <w:t>kasutamine</w:t>
            </w:r>
            <w:r w:rsidRPr="00CB6FFA">
              <w:t xml:space="preserve"> ja </w:t>
            </w:r>
            <w:r w:rsidRPr="00CB6FFA">
              <w:rPr>
                <w:b/>
                <w:i/>
              </w:rPr>
              <w:t>andmevahetus võivad aidata</w:t>
            </w:r>
            <w:r w:rsidRPr="00CB6FFA">
              <w:t xml:space="preserve"> oskuste prognoosimist parandada ja seega oskuste nõudlusele mittevastavust vähendada. </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17</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Põhjendus 17</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CC3F13" w:rsidP="00834F11">
            <w:pPr>
              <w:pStyle w:val="Normal6"/>
            </w:pPr>
            <w:r w:rsidRPr="00CB6FFA">
              <w:rPr>
                <w:szCs w:val="24"/>
              </w:rPr>
              <w:t>(</w:t>
            </w:r>
            <w:r w:rsidRPr="00CB6FFA">
              <w:t>17)</w:t>
            </w:r>
            <w:r w:rsidRPr="00CB6FFA">
              <w:tab/>
              <w:t xml:space="preserve">Europassi raamistiku </w:t>
            </w:r>
            <w:r w:rsidRPr="00CB6FFA">
              <w:rPr>
                <w:b/>
                <w:i/>
              </w:rPr>
              <w:t>praegune dokumendikeskne lähenemine</w:t>
            </w:r>
            <w:r w:rsidRPr="00CB6FFA">
              <w:t xml:space="preserve"> on praeguste ja edaspidiste vajaduste rahuldamiseks liiga piiratud. Oskuste ja kvalifikatsioonide kirjeldamiseks ning töö- ja </w:t>
            </w:r>
            <w:r w:rsidRPr="00CB6FFA">
              <w:rPr>
                <w:b/>
                <w:i/>
              </w:rPr>
              <w:t>õppimisvõimaluste</w:t>
            </w:r>
            <w:r w:rsidRPr="00CB6FFA">
              <w:t xml:space="preserve"> kohta otsuste tegemiseks on kasutajatel vaja juurdepääsu teabele ja vahenditele, mis on vajalikud oskuste ja kvalifikatsioonide mõistmiseks ning nende endi oskuste ja kvalifikatsioonide dokumenteerimiseks.</w:t>
            </w:r>
          </w:p>
        </w:tc>
        <w:tc>
          <w:tcPr>
            <w:tcW w:w="4876" w:type="dxa"/>
            <w:hideMark/>
          </w:tcPr>
          <w:p w:rsidR="00CC3F13" w:rsidRPr="00CB6FFA" w:rsidRDefault="00CC3F13" w:rsidP="00834F11">
            <w:pPr>
              <w:pStyle w:val="Normal6"/>
              <w:rPr>
                <w:szCs w:val="24"/>
              </w:rPr>
            </w:pPr>
            <w:r w:rsidRPr="00CB6FFA">
              <w:t>(17)</w:t>
            </w:r>
            <w:r w:rsidRPr="00CB6FFA">
              <w:tab/>
              <w:t xml:space="preserve">Europassi raamistiku </w:t>
            </w:r>
            <w:r w:rsidRPr="00CB6FFA">
              <w:rPr>
                <w:b/>
                <w:i/>
              </w:rPr>
              <w:t>praeguses käsituses on vaja välja arendada dokumentatsiooni ühtne terminoloogia, mis hetkel</w:t>
            </w:r>
            <w:r w:rsidRPr="00CB6FFA">
              <w:t xml:space="preserve"> on praeguste ja edaspidiste vajaduste rahuldamiseks liiga piiratud. Oskuste ja kvalifikatsioonide kirjeldamiseks ning töö-</w:t>
            </w:r>
            <w:r w:rsidRPr="00CB6FFA">
              <w:rPr>
                <w:b/>
                <w:i/>
              </w:rPr>
              <w:t>, õppimis-</w:t>
            </w:r>
            <w:r w:rsidRPr="00CB6FFA">
              <w:t xml:space="preserve"> ja </w:t>
            </w:r>
            <w:r w:rsidRPr="00CB6FFA">
              <w:rPr>
                <w:b/>
                <w:i/>
              </w:rPr>
              <w:t>valideerimisvõimaluste</w:t>
            </w:r>
            <w:r w:rsidRPr="00CB6FFA">
              <w:t xml:space="preserve"> kohta otsuste tegemiseks on kasutajatel vaja juurdepääsu </w:t>
            </w:r>
            <w:r w:rsidRPr="00CB6FFA">
              <w:rPr>
                <w:b/>
                <w:i/>
              </w:rPr>
              <w:t xml:space="preserve">ajakohasele </w:t>
            </w:r>
            <w:r w:rsidRPr="00CB6FFA">
              <w:t xml:space="preserve">teabele ja vahenditele, mis on vajalikud oskuste ja kvalifikatsioonide mõistmiseks ning nende endi oskuste ja </w:t>
            </w:r>
            <w:r w:rsidRPr="00CB6FFA">
              <w:lastRenderedPageBreak/>
              <w:t>kvalifikatsioonide dokumenteerimiseks</w:t>
            </w:r>
            <w:r w:rsidRPr="00CB6FFA">
              <w:rPr>
                <w:b/>
                <w:i/>
              </w:rPr>
              <w:t xml:space="preserve"> vastavalt Euroopa kvalifikatsiooniraamistikule</w:t>
            </w:r>
            <w:r w:rsidRPr="00CB6FFA">
              <w:t xml:space="preserve">. </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18</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Põhjendus 18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CC3F13" w:rsidP="00834F11">
            <w:pPr>
              <w:pStyle w:val="Normal6"/>
            </w:pPr>
            <w:r w:rsidRPr="00CB6FFA">
              <w:rPr>
                <w:szCs w:val="24"/>
              </w:rPr>
              <w:t>(18)</w:t>
            </w:r>
            <w:r w:rsidRPr="00CB6FFA">
              <w:rPr>
                <w:szCs w:val="24"/>
              </w:rPr>
              <w:tab/>
              <w:t>Oskuste ja kvalifikatsioonidega seotud liidu vahendeid ja teenuseid tuleks kohandada muutuvate tavade ja tehnoloogia arenguga, et need oleksid asjakohased ja kasutajatele kasulikud. Selleks tuleks muu hulgas suurendada seonduvate (sh kolmandate isikute väljatöötatud) vahendite ja teenuste sünergiat, et pakkuda ulatuslikumat ja paremaid tulemusi andvat teenust.</w:t>
            </w:r>
          </w:p>
        </w:tc>
        <w:tc>
          <w:tcPr>
            <w:tcW w:w="4876" w:type="dxa"/>
            <w:hideMark/>
          </w:tcPr>
          <w:p w:rsidR="00CC3F13" w:rsidRPr="00CB6FFA" w:rsidRDefault="00CC3F13" w:rsidP="00834F11">
            <w:pPr>
              <w:pStyle w:val="Normal6"/>
              <w:rPr>
                <w:szCs w:val="24"/>
              </w:rPr>
            </w:pPr>
            <w:r w:rsidRPr="00CB6FFA">
              <w:rPr>
                <w:szCs w:val="24"/>
              </w:rPr>
              <w:t>(18)</w:t>
            </w:r>
            <w:r w:rsidRPr="00CB6FFA">
              <w:rPr>
                <w:szCs w:val="24"/>
              </w:rPr>
              <w:tab/>
              <w:t xml:space="preserve">Oskuste ja kvalifikatsioonidega seotud liidu vahendeid ja teenuseid tuleks kohandada muutuvate tavade ja tehnoloogia arenguga, et need oleksid asjakohased ja kasutajatele kasulikud. Selleks tuleks muu hulgas suurendada seonduvate </w:t>
            </w:r>
            <w:r w:rsidRPr="00CB6FFA">
              <w:rPr>
                <w:b/>
                <w:i/>
                <w:szCs w:val="24"/>
              </w:rPr>
              <w:t xml:space="preserve">liidu ja riikide </w:t>
            </w:r>
            <w:r w:rsidRPr="00CB6FFA">
              <w:rPr>
                <w:szCs w:val="24"/>
              </w:rPr>
              <w:t>(sh kolmandate isikute väljatöötatud) vahendite ja teenuste sünergiat, et pakkuda ulatuslikumat ja paremaid tulemusi andvat teenust</w:t>
            </w:r>
            <w:r w:rsidRPr="00CB6FFA">
              <w:rPr>
                <w:b/>
                <w:i/>
                <w:szCs w:val="24"/>
              </w:rPr>
              <w:t>, võttes arvesse puuetega inimeste erivajadusi, ning suurendada liikmesriikide vahel parimate tavade vahetust</w:t>
            </w:r>
            <w:r w:rsidRPr="00CB6FFA">
              <w:rPr>
                <w:szCs w:val="24"/>
              </w:rPr>
              <w:t>.</w:t>
            </w:r>
            <w:r w:rsidRPr="00CB6FFA">
              <w:rPr>
                <w:b/>
                <w:i/>
                <w:szCs w:val="24"/>
              </w:rPr>
              <w:t xml:space="preserve"> Lisaks võidakse kasutada autentimismeetmeid, et toetada oskusi ja kvalifikatsioone tõendavate digidokumentide kontrollimist. </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19</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Põhjendus 19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CC3F13" w:rsidP="00834F11">
            <w:pPr>
              <w:pStyle w:val="Normal6"/>
            </w:pPr>
            <w:r w:rsidRPr="00CB6FFA">
              <w:rPr>
                <w:szCs w:val="24"/>
              </w:rPr>
              <w:t>(19)</w:t>
            </w:r>
            <w:r w:rsidRPr="00CB6FFA">
              <w:rPr>
                <w:szCs w:val="24"/>
              </w:rPr>
              <w:tab/>
              <w:t>Läbivaadatud Europassi raamistikus tuleks arvesse võtta kõikvõimalike kasutajate, sh õppijate, tööotsijate, töötajate, tööandjate, nõustajate, avalike tööturuasutuste, sotsiaalpartnerite, haridus- ja koolitusteenuste osutajate, noorsootööorganisatsioonide ning poliitikakujundajate vajadusi.</w:t>
            </w:r>
          </w:p>
        </w:tc>
        <w:tc>
          <w:tcPr>
            <w:tcW w:w="4876" w:type="dxa"/>
            <w:hideMark/>
          </w:tcPr>
          <w:p w:rsidR="00CC3F13" w:rsidRPr="00CB6FFA" w:rsidRDefault="00CC3F13" w:rsidP="00834F11">
            <w:pPr>
              <w:pStyle w:val="Normal6"/>
              <w:rPr>
                <w:szCs w:val="24"/>
              </w:rPr>
            </w:pPr>
            <w:r w:rsidRPr="00CB6FFA">
              <w:rPr>
                <w:szCs w:val="24"/>
              </w:rPr>
              <w:t>(19)</w:t>
            </w:r>
            <w:r w:rsidRPr="00CB6FFA">
              <w:rPr>
                <w:szCs w:val="24"/>
              </w:rPr>
              <w:tab/>
            </w:r>
            <w:r w:rsidRPr="00CB6FFA">
              <w:t xml:space="preserve">Läbivaadatud Europassi raamistikus tuleks </w:t>
            </w:r>
            <w:r w:rsidRPr="00CB6FFA">
              <w:rPr>
                <w:b/>
                <w:i/>
              </w:rPr>
              <w:t xml:space="preserve">austada Europassi vabatahtlikku iseloomu ning </w:t>
            </w:r>
            <w:r w:rsidRPr="00CB6FFA">
              <w:t xml:space="preserve">arvesse võtta kõikvõimalike kasutajate, sh õppijate, tööotsijate, </w:t>
            </w:r>
            <w:r w:rsidRPr="00CB6FFA">
              <w:rPr>
                <w:b/>
                <w:i/>
              </w:rPr>
              <w:t xml:space="preserve">puuetega inimeste, </w:t>
            </w:r>
            <w:r w:rsidRPr="00CB6FFA">
              <w:t>töötajate, tööandjate</w:t>
            </w:r>
            <w:r w:rsidRPr="00CB6FFA">
              <w:rPr>
                <w:b/>
                <w:i/>
              </w:rPr>
              <w:t xml:space="preserve"> (eelkõige väikestes ja keskmise suurusega ettevõtjates)</w:t>
            </w:r>
            <w:r w:rsidRPr="00CB6FFA">
              <w:t xml:space="preserve">, nõustajate, avalike tööturuasutuste, sotsiaalpartnerite, haridus- ja koolitusteenuste osutajate, </w:t>
            </w:r>
            <w:r w:rsidRPr="00CB6FFA">
              <w:rPr>
                <w:b/>
                <w:i/>
              </w:rPr>
              <w:t xml:space="preserve">vabatahtlike, noorteorganisatsioonide ja </w:t>
            </w:r>
            <w:r w:rsidRPr="00CB6FFA">
              <w:t xml:space="preserve">noorsootööorganisatsioonide ning </w:t>
            </w:r>
            <w:r w:rsidRPr="00CB6FFA">
              <w:rPr>
                <w:b/>
                <w:i/>
              </w:rPr>
              <w:t xml:space="preserve">muude noorsootöö pakkujate ja </w:t>
            </w:r>
            <w:r w:rsidRPr="00CB6FFA">
              <w:lastRenderedPageBreak/>
              <w:t>poliitikakujundajate vajadusi.</w:t>
            </w:r>
            <w:r w:rsidRPr="00CB6FFA">
              <w:rPr>
                <w:szCs w:val="24"/>
              </w:rPr>
              <w:t xml:space="preserve"> </w:t>
            </w:r>
            <w:r w:rsidRPr="00CB6FFA">
              <w:rPr>
                <w:b/>
                <w:i/>
                <w:szCs w:val="24"/>
              </w:rPr>
              <w:t xml:space="preserve">Juhtpõhimõtteks peaks olema Europassi raamistiku tõendatud vastavus lõppkasutajate vajadustele ning sidusrühmad peaksid olema tihedalt kaasatud. </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20</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Põhjendus 19 a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p>
        </w:tc>
        <w:tc>
          <w:tcPr>
            <w:tcW w:w="4876" w:type="dxa"/>
            <w:hideMark/>
          </w:tcPr>
          <w:p w:rsidR="00CC3F13" w:rsidRPr="00CB6FFA" w:rsidRDefault="00834F11" w:rsidP="00834F11">
            <w:pPr>
              <w:pStyle w:val="Normal6"/>
              <w:rPr>
                <w:szCs w:val="24"/>
              </w:rPr>
            </w:pPr>
            <w:r w:rsidRPr="00CB6FFA">
              <w:rPr>
                <w:b/>
                <w:i/>
              </w:rPr>
              <w:t>(19</w:t>
            </w:r>
            <w:r w:rsidR="00CC3F13" w:rsidRPr="00CB6FFA">
              <w:rPr>
                <w:b/>
                <w:i/>
              </w:rPr>
              <w:t>a)</w:t>
            </w:r>
            <w:r w:rsidR="00CC3F13" w:rsidRPr="00CB6FFA">
              <w:rPr>
                <w:b/>
                <w:i/>
              </w:rPr>
              <w:tab/>
              <w:t>Isikuandmete töötlemisel tuleks kohaldada liidu andmekaitsealaseid õigusakte. Kasutajatel peaks olema võimalik valida mitme variandi vahel, et piirata juurdepääsu oma andmetele või nende teatavatele tunnustele.</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21</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Põhjendus 20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rPr>
                <w:b/>
                <w:i/>
              </w:rPr>
              <w:t>(20)</w:t>
            </w:r>
            <w:r w:rsidRPr="00CB6FFA">
              <w:tab/>
            </w:r>
            <w:r w:rsidRPr="00CB6FFA">
              <w:rPr>
                <w:b/>
                <w:i/>
              </w:rPr>
              <w:t>Teenuseid tuleks osutada elektrooniliselt liidu tasandil. Need peaksid hõlmama ka avatud standardite, metaandmeskeemide ja semantikavarade arendamist ja kasutamist, et võimaldada tulemuslikku teabevahetust, asjakohaste autentimismeetmete kasutamist digidokumentide usaldusväärsuse tagamiseks ning oskuste prognoosimist ja nendega seotud teabe esitamist. Lisaks tuleks pakkuda riigi tasandi tugiteenuseid, et eespool nimetatud teenuseid tutvustada ja need laiale kasutajaskonnale, sh kolmandate riikide kodanikele kättesaadavaks teha.</w:t>
            </w:r>
          </w:p>
        </w:tc>
        <w:tc>
          <w:tcPr>
            <w:tcW w:w="4876" w:type="dxa"/>
          </w:tcPr>
          <w:p w:rsidR="00CC3F13" w:rsidRPr="00CB6FFA" w:rsidRDefault="00CC3F13" w:rsidP="00834F11">
            <w:pPr>
              <w:pStyle w:val="Normal6"/>
            </w:pPr>
            <w:r w:rsidRPr="00CB6FFA">
              <w:rPr>
                <w:b/>
                <w:i/>
              </w:rPr>
              <w:t>välja jäetud</w:t>
            </w:r>
          </w:p>
        </w:tc>
      </w:tr>
    </w:tbl>
    <w:p w:rsidR="00CC3F13" w:rsidRPr="00CB6FFA" w:rsidRDefault="00CC3F13" w:rsidP="00CC3F13"/>
    <w:p w:rsidR="00CC3F13" w:rsidRPr="00CB6FFA" w:rsidRDefault="00CC3F13" w:rsidP="00CC3F13">
      <w:pPr>
        <w:pStyle w:val="AMNumberTabs"/>
        <w:keepNext/>
      </w:pPr>
      <w:r w:rsidRPr="00CB6FFA">
        <w:lastRenderedPageBreak/>
        <w:t>Muudatusettepanek</w:t>
      </w:r>
      <w:r w:rsidRPr="00CB6FFA">
        <w:tab/>
      </w:r>
      <w:r w:rsidRPr="00CB6FFA">
        <w:tab/>
        <w:t>22</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Põhjendus 21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CC3F13" w:rsidP="00834F11">
            <w:pPr>
              <w:pStyle w:val="Normal6"/>
            </w:pPr>
            <w:r w:rsidRPr="00CB6FFA">
              <w:rPr>
                <w:szCs w:val="24"/>
              </w:rPr>
              <w:t xml:space="preserve">(21) </w:t>
            </w:r>
            <w:r w:rsidRPr="00CB6FFA">
              <w:rPr>
                <w:szCs w:val="24"/>
              </w:rPr>
              <w:tab/>
            </w:r>
            <w:r w:rsidRPr="00CB6FFA">
              <w:rPr>
                <w:b/>
                <w:i/>
                <w:szCs w:val="24"/>
              </w:rPr>
              <w:t>Seepärast</w:t>
            </w:r>
            <w:r w:rsidRPr="00CB6FFA">
              <w:rPr>
                <w:szCs w:val="24"/>
              </w:rPr>
              <w:t xml:space="preserve"> tuleks otsusega nr</w:t>
            </w:r>
            <w:r w:rsidRPr="00CB6FFA">
              <w:rPr>
                <w:b/>
                <w:i/>
                <w:szCs w:val="24"/>
              </w:rPr>
              <w:t xml:space="preserve"> </w:t>
            </w:r>
            <w:r w:rsidRPr="00CB6FFA">
              <w:rPr>
                <w:szCs w:val="24"/>
              </w:rPr>
              <w:t>2241/2004/EÜ loodud Europassi raamistik asendada muutuvate vajaduste arvessevõtmiseks uue raamistikuga.</w:t>
            </w:r>
          </w:p>
        </w:tc>
        <w:tc>
          <w:tcPr>
            <w:tcW w:w="4876" w:type="dxa"/>
            <w:hideMark/>
          </w:tcPr>
          <w:p w:rsidR="00CC3F13" w:rsidRPr="00CB6FFA" w:rsidRDefault="00CC3F13" w:rsidP="00834F11">
            <w:pPr>
              <w:pStyle w:val="Normal6"/>
              <w:rPr>
                <w:szCs w:val="24"/>
              </w:rPr>
            </w:pPr>
            <w:r w:rsidRPr="00CB6FFA">
              <w:rPr>
                <w:szCs w:val="24"/>
              </w:rPr>
              <w:t>(21)</w:t>
            </w:r>
            <w:r w:rsidRPr="00CB6FFA">
              <w:rPr>
                <w:b/>
                <w:i/>
                <w:szCs w:val="24"/>
              </w:rPr>
              <w:tab/>
              <w:t>Selleks</w:t>
            </w:r>
            <w:r w:rsidRPr="00CB6FFA">
              <w:rPr>
                <w:szCs w:val="24"/>
              </w:rPr>
              <w:t xml:space="preserve"> </w:t>
            </w:r>
            <w:r w:rsidRPr="00CB6FFA">
              <w:rPr>
                <w:b/>
                <w:i/>
                <w:szCs w:val="24"/>
              </w:rPr>
              <w:t>et määratleda eesmärgid kvalifikatsioonide ja mitteformaalse õppe süsteemide terminoloogia ühise tunnustamise vallas,</w:t>
            </w:r>
            <w:r w:rsidRPr="00CB6FFA">
              <w:rPr>
                <w:szCs w:val="24"/>
              </w:rPr>
              <w:t xml:space="preserve"> tuleks otsusega nr</w:t>
            </w:r>
            <w:r w:rsidRPr="00CB6FFA">
              <w:rPr>
                <w:b/>
                <w:i/>
                <w:szCs w:val="24"/>
              </w:rPr>
              <w:t> </w:t>
            </w:r>
            <w:r w:rsidRPr="00CB6FFA">
              <w:rPr>
                <w:szCs w:val="24"/>
              </w:rPr>
              <w:t xml:space="preserve">2241/2004/EÜ loodud Europassi raamistik asendada muutuvate vajaduste </w:t>
            </w:r>
            <w:r w:rsidRPr="00CB6FFA">
              <w:rPr>
                <w:b/>
                <w:i/>
                <w:szCs w:val="24"/>
              </w:rPr>
              <w:t xml:space="preserve">ja tehnoloogia arengu </w:t>
            </w:r>
            <w:r w:rsidRPr="00CB6FFA">
              <w:rPr>
                <w:szCs w:val="24"/>
              </w:rPr>
              <w:t xml:space="preserve">arvessevõtmiseks uue </w:t>
            </w:r>
            <w:r w:rsidRPr="00CB6FFA">
              <w:rPr>
                <w:b/>
                <w:i/>
                <w:szCs w:val="24"/>
              </w:rPr>
              <w:t xml:space="preserve">ja ajakohastatud vabatahtliku </w:t>
            </w:r>
            <w:r w:rsidRPr="00CB6FFA">
              <w:rPr>
                <w:szCs w:val="24"/>
              </w:rPr>
              <w:t>raamistikuga</w:t>
            </w:r>
            <w:r w:rsidRPr="00CB6FFA">
              <w:rPr>
                <w:b/>
                <w:i/>
                <w:szCs w:val="24"/>
              </w:rPr>
              <w:t>, ilma et see piiraks riiklike asutuste koordinatsiooniraamistikku</w:t>
            </w:r>
            <w:r w:rsidRPr="00CB6FFA">
              <w:rPr>
                <w:szCs w:val="24"/>
              </w:rPr>
              <w:t>.</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23</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Põhjendus 22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rPr>
                <w:b/>
                <w:i/>
              </w:rPr>
              <w:t>(22)</w:t>
            </w:r>
            <w:r w:rsidRPr="00CB6FFA">
              <w:tab/>
            </w:r>
            <w:r w:rsidRPr="00CB6FFA">
              <w:rPr>
                <w:b/>
                <w:i/>
              </w:rPr>
              <w:t>EURES on koostöövõrgustik, mis hõlbustab teabevahetust ning tööotsijate ja -andjate omavahelist suhtlemist. Võrgustik pakub tasuta abi välismaale tööle asuda soovijatele ning aitab tööandjaid, kes soovivad välismaalt töötajaid värvata. Europassi ja EURESe sünergiat ja koostööd tuleks suurendada, et tagada mõlema teenuse suurem mõju.</w:t>
            </w:r>
          </w:p>
        </w:tc>
        <w:tc>
          <w:tcPr>
            <w:tcW w:w="4876" w:type="dxa"/>
          </w:tcPr>
          <w:p w:rsidR="00CC3F13" w:rsidRPr="00CB6FFA" w:rsidRDefault="00CC3F13" w:rsidP="00834F11">
            <w:pPr>
              <w:pStyle w:val="Normal6"/>
            </w:pPr>
            <w:r w:rsidRPr="00CB6FFA">
              <w:rPr>
                <w:b/>
                <w:i/>
              </w:rPr>
              <w:t>välja jäetud</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24</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Põhjendus 23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CC3F13" w:rsidP="00834F11">
            <w:pPr>
              <w:pStyle w:val="Normal6"/>
            </w:pPr>
            <w:r w:rsidRPr="00CB6FFA">
              <w:t>(23)</w:t>
            </w:r>
            <w:r w:rsidRPr="00CB6FFA">
              <w:tab/>
              <w:t>Raamistik peaks hõlmama CV vormi/vorme, sh juba olemasolev Europassi CV, ja kvalifikatsioonilisade vormi/vorme. Vormid peaksid olema elektrooniliselt kättesaadavad.</w:t>
            </w:r>
          </w:p>
        </w:tc>
        <w:tc>
          <w:tcPr>
            <w:tcW w:w="4876" w:type="dxa"/>
            <w:hideMark/>
          </w:tcPr>
          <w:p w:rsidR="00CC3F13" w:rsidRPr="00CB6FFA" w:rsidRDefault="00CC3F13" w:rsidP="00834F11">
            <w:pPr>
              <w:pStyle w:val="Normal6"/>
              <w:rPr>
                <w:szCs w:val="24"/>
              </w:rPr>
            </w:pPr>
            <w:r w:rsidRPr="00CB6FFA">
              <w:t>(23)</w:t>
            </w:r>
            <w:r w:rsidRPr="00CB6FFA">
              <w:tab/>
              <w:t xml:space="preserve">Raamistik peaks hõlmama CV vormi/vorme, sh juba olemasolev Europassi CV, ja kvalifikatsioonilisade vormi/vorme. Vormid peaksid olema </w:t>
            </w:r>
            <w:r w:rsidRPr="00CB6FFA">
              <w:rPr>
                <w:b/>
                <w:i/>
              </w:rPr>
              <w:t xml:space="preserve">interaktiivsed, muudetavad, kõigi jaoks juurdepääsetavad, </w:t>
            </w:r>
            <w:r w:rsidRPr="00CB6FFA">
              <w:t xml:space="preserve">elektrooniliselt </w:t>
            </w:r>
            <w:r w:rsidRPr="00CB6FFA">
              <w:lastRenderedPageBreak/>
              <w:t>kättesaadavad</w:t>
            </w:r>
            <w:r w:rsidRPr="00CB6FFA">
              <w:rPr>
                <w:b/>
                <w:i/>
              </w:rPr>
              <w:t xml:space="preserve"> ning kohandatud lõppkasutajate vajaduste järgi</w:t>
            </w:r>
            <w:r w:rsidRPr="00CB6FFA">
              <w:t>.</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25</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Põhjendus 23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p>
        </w:tc>
        <w:tc>
          <w:tcPr>
            <w:tcW w:w="4876" w:type="dxa"/>
          </w:tcPr>
          <w:p w:rsidR="00CC3F13" w:rsidRPr="00CB6FFA" w:rsidRDefault="00CC3F13" w:rsidP="00834F11">
            <w:pPr>
              <w:pStyle w:val="Normal6"/>
            </w:pPr>
            <w:r w:rsidRPr="00CB6FFA">
              <w:rPr>
                <w:b/>
                <w:i/>
              </w:rPr>
              <w:t>(23a)</w:t>
            </w:r>
            <w:r w:rsidRPr="00CB6FFA">
              <w:tab/>
            </w:r>
            <w:r w:rsidRPr="00CB6FFA">
              <w:rPr>
                <w:b/>
                <w:i/>
              </w:rPr>
              <w:t>CVsid tuleks Europassis töödelda anonüümselt, et aidata ennetada diskrimineerimist rassilise või etnilise päritolu, soo või vanuse alusel ning toetada kaasavate tööturgude arenemist.</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26</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Põhjendus 24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CC3F13" w:rsidP="00834F11">
            <w:pPr>
              <w:pStyle w:val="Normal6"/>
            </w:pPr>
            <w:r w:rsidRPr="00CB6FFA">
              <w:rPr>
                <w:b/>
                <w:i/>
              </w:rPr>
              <w:t>(24)</w:t>
            </w:r>
            <w:r w:rsidRPr="00CB6FFA">
              <w:rPr>
                <w:b/>
                <w:i/>
              </w:rPr>
              <w:tab/>
              <w:t>Riiklike oskuste koordineerimise asutuste kui peamiste kokkupuutepunktide ja liidu rahaliste vahendite saajate määramine hõlbustab haldamist ja aruandlust ning võib toetada suuremat koostööd ja koordineerimist riigisiseste teenuste, sh olemasolevate riiklike Europassi keskuste, riiklike Euroopa kvalifikatsiooniraamistiku koordineerimise asutuste ja Euroguidance’i võrgustiku vahel, mõjutamata samas nende riigisisest rakendus- ja töökorda.</w:t>
            </w:r>
          </w:p>
        </w:tc>
        <w:tc>
          <w:tcPr>
            <w:tcW w:w="4876" w:type="dxa"/>
            <w:hideMark/>
          </w:tcPr>
          <w:p w:rsidR="00CC3F13" w:rsidRPr="00CB6FFA" w:rsidRDefault="00CC3F13" w:rsidP="00834F11">
            <w:pPr>
              <w:pStyle w:val="Normal6"/>
              <w:rPr>
                <w:szCs w:val="24"/>
              </w:rPr>
            </w:pPr>
            <w:r w:rsidRPr="00CB6FFA">
              <w:rPr>
                <w:b/>
                <w:i/>
              </w:rPr>
              <w:t>välja jäetud</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27</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Põhjendus 26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p>
        </w:tc>
        <w:tc>
          <w:tcPr>
            <w:tcW w:w="4876" w:type="dxa"/>
          </w:tcPr>
          <w:p w:rsidR="00CC3F13" w:rsidRPr="00CB6FFA" w:rsidRDefault="00CC3F13" w:rsidP="00834F11">
            <w:pPr>
              <w:pStyle w:val="Normal6"/>
            </w:pPr>
            <w:r w:rsidRPr="00CB6FFA">
              <w:rPr>
                <w:b/>
                <w:i/>
              </w:rPr>
              <w:t>(26a)</w:t>
            </w:r>
            <w:r w:rsidRPr="00CB6FFA">
              <w:tab/>
            </w:r>
            <w:r w:rsidRPr="00CB6FFA">
              <w:rPr>
                <w:b/>
                <w:i/>
              </w:rPr>
              <w:t xml:space="preserve">Konstruktiivne koostöö komisjoni, liikmesriikide, tööturuasutuste, nõustajate, haridus- ja koolitusteenuste </w:t>
            </w:r>
            <w:r w:rsidRPr="00CB6FFA">
              <w:rPr>
                <w:b/>
                <w:i/>
              </w:rPr>
              <w:lastRenderedPageBreak/>
              <w:t>osutajate, sotsiaalpartnerite, näiteks ametiühingute ja tööandjate organisatsioonide vahel on Europassi raamistiku edukaks väljatöötamiseks ja rakendamiseks ülimalt tähtis.</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28</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Põhjendus 27</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CC3F13" w:rsidP="00834F11">
            <w:pPr>
              <w:pStyle w:val="Normal6"/>
            </w:pPr>
            <w:r w:rsidRPr="00CB6FFA">
              <w:t>(27)</w:t>
            </w:r>
            <w:r w:rsidRPr="00CB6FFA">
              <w:tab/>
              <w:t xml:space="preserve">Komisjon </w:t>
            </w:r>
            <w:r w:rsidRPr="00CB6FFA">
              <w:rPr>
                <w:b/>
                <w:i/>
              </w:rPr>
              <w:t>tagab</w:t>
            </w:r>
            <w:r w:rsidRPr="00CB6FFA">
              <w:t xml:space="preserve"> liikmesriikide ja asjakohaste </w:t>
            </w:r>
            <w:r w:rsidRPr="00CB6FFA">
              <w:rPr>
                <w:b/>
                <w:i/>
              </w:rPr>
              <w:t>sidusrühmadega koostöö tegemise platvormi, et kindlustada käesoleva otsuse ühtne rakendamine</w:t>
            </w:r>
            <w:r w:rsidRPr="00CB6FFA">
              <w:t xml:space="preserve"> ja </w:t>
            </w:r>
            <w:r w:rsidRPr="00CB6FFA">
              <w:rPr>
                <w:b/>
                <w:i/>
              </w:rPr>
              <w:t>järelevalve</w:t>
            </w:r>
            <w:r w:rsidRPr="00CB6FFA">
              <w:t>.</w:t>
            </w:r>
          </w:p>
        </w:tc>
        <w:tc>
          <w:tcPr>
            <w:tcW w:w="4876" w:type="dxa"/>
            <w:hideMark/>
          </w:tcPr>
          <w:p w:rsidR="00CC3F13" w:rsidRPr="00CB6FFA" w:rsidRDefault="00834F11" w:rsidP="00834F11">
            <w:pPr>
              <w:pStyle w:val="Normal6"/>
              <w:rPr>
                <w:b/>
                <w:szCs w:val="24"/>
              </w:rPr>
            </w:pPr>
            <w:r w:rsidRPr="00CB6FFA">
              <w:t>(27)</w:t>
            </w:r>
            <w:r w:rsidR="00CC3F13" w:rsidRPr="00CB6FFA">
              <w:tab/>
              <w:t xml:space="preserve">Komisjon </w:t>
            </w:r>
            <w:r w:rsidR="00CC3F13" w:rsidRPr="00CB6FFA">
              <w:rPr>
                <w:b/>
                <w:i/>
              </w:rPr>
              <w:t>peaks käesoleva otsuse ühtse rakendamise ja järelevalve tagama</w:t>
            </w:r>
            <w:r w:rsidR="00CC3F13" w:rsidRPr="00CB6FFA">
              <w:t xml:space="preserve"> liikmesriikide ja asjakohaste </w:t>
            </w:r>
            <w:r w:rsidR="00CC3F13" w:rsidRPr="00CB6FFA">
              <w:rPr>
                <w:b/>
                <w:i/>
              </w:rPr>
              <w:t>sidusrühmade esindajatest koosneva Europassi eksperdirühma kaudu. Eksperdirühm peaks eelkõige andma nõu oskusi ja kvalifikatsioone käsitleva teabe dokumenteerimiseks mõeldud veebivahendite väljatöötamise ja Europassi veebiplatvormi kaudu pakutava teabe kohta.</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29</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Põhjendus 28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t>(28)</w:t>
            </w:r>
            <w:r w:rsidRPr="00CB6FFA">
              <w:tab/>
              <w:t xml:space="preserve">Kuna liikmesriigid ei suuda üksi piisaval määral saavutada käesoleva otsuse eesmärki luua hariduse ja tööhõivega seotud vahendite, teenuste ja teabe </w:t>
            </w:r>
            <w:r w:rsidRPr="00CB6FFA">
              <w:rPr>
                <w:b/>
                <w:i/>
              </w:rPr>
              <w:t>ulatuslik</w:t>
            </w:r>
            <w:r w:rsidRPr="00CB6FFA">
              <w:t xml:space="preserve"> ja </w:t>
            </w:r>
            <w:r w:rsidRPr="00CB6FFA">
              <w:rPr>
                <w:b/>
                <w:i/>
              </w:rPr>
              <w:t>koostalitlusvõimeline</w:t>
            </w:r>
            <w:r w:rsidRPr="00CB6FFA">
              <w:t xml:space="preserve"> raamistik, vaid see on meetme mõju tõttu paremini saavutatav liidu tasandil, võib liit võtta rakendusmeetmeid kooskõlas aluslepingu artiklis 5 sätestatud subsidiaarsuse põhimõttega. Kõnealuses artiklis sätestatud proportsionaalsuse põhimõtte kohaselt ei lähe käesolev otsus nimetatud eesmärgi saavutamiseks vajalikust kaugemale.</w:t>
            </w:r>
          </w:p>
        </w:tc>
        <w:tc>
          <w:tcPr>
            <w:tcW w:w="4876" w:type="dxa"/>
          </w:tcPr>
          <w:p w:rsidR="00CC3F13" w:rsidRPr="00CB6FFA" w:rsidRDefault="00CC3F13" w:rsidP="00834F11">
            <w:pPr>
              <w:pStyle w:val="Normal6"/>
              <w:rPr>
                <w:szCs w:val="24"/>
              </w:rPr>
            </w:pPr>
            <w:r w:rsidRPr="00CB6FFA">
              <w:t>(28)</w:t>
            </w:r>
            <w:r w:rsidRPr="00CB6FFA">
              <w:tab/>
              <w:t xml:space="preserve">Kuna liikmesriigid ei suuda üksi piisaval määral saavutada käesoleva otsuse eesmärki luua hariduse ja tööhõivega seotud vahendite, </w:t>
            </w:r>
            <w:r w:rsidRPr="00CB6FFA">
              <w:rPr>
                <w:b/>
                <w:i/>
              </w:rPr>
              <w:t xml:space="preserve">lihtsustatud ja kättesaadavate </w:t>
            </w:r>
            <w:r w:rsidRPr="00CB6FFA">
              <w:t>teenuste ja</w:t>
            </w:r>
            <w:r w:rsidRPr="00CB6FFA">
              <w:rPr>
                <w:b/>
                <w:i/>
              </w:rPr>
              <w:t xml:space="preserve"> selge</w:t>
            </w:r>
            <w:r w:rsidRPr="00CB6FFA">
              <w:t xml:space="preserve"> teabe </w:t>
            </w:r>
            <w:r w:rsidRPr="00CB6FFA">
              <w:rPr>
                <w:b/>
                <w:i/>
              </w:rPr>
              <w:t>tulemuslik, koostalitlusvõimeline</w:t>
            </w:r>
            <w:r w:rsidRPr="00CB6FFA">
              <w:t xml:space="preserve"> ja </w:t>
            </w:r>
            <w:r w:rsidRPr="00CB6FFA">
              <w:rPr>
                <w:b/>
                <w:i/>
              </w:rPr>
              <w:t>kasutajasõbralik</w:t>
            </w:r>
            <w:r w:rsidRPr="00CB6FFA">
              <w:t xml:space="preserve"> raamistik, vaid see on meetme mõju tõttu paremini saavutatav liidu tasandil, võib liit võtta rakendusmeetmeid kooskõlas aluslepingu artiklis</w:t>
            </w:r>
            <w:r w:rsidR="00834F11" w:rsidRPr="00CB6FFA">
              <w:t> </w:t>
            </w:r>
            <w:r w:rsidRPr="00CB6FFA">
              <w:t>5 sätestatud subsidiaarsuse põhimõttega. Kõnealuses artiklis sätestatud proportsionaalsuse põhimõtte kohaselt ei lähe käesolev otsus nimetatud eesmärgi saavutamiseks vajalikust kaugemale.</w:t>
            </w:r>
          </w:p>
        </w:tc>
      </w:tr>
    </w:tbl>
    <w:p w:rsidR="00CC3F13" w:rsidRPr="00CB6FFA" w:rsidRDefault="00CC3F13" w:rsidP="00CC3F13">
      <w:pPr>
        <w:pStyle w:val="AMNumberTabs"/>
      </w:pPr>
      <w:r w:rsidRPr="00CB6FFA">
        <w:lastRenderedPageBreak/>
        <w:t>Muudatusettepanek</w:t>
      </w:r>
      <w:r w:rsidRPr="00CB6FFA">
        <w:tab/>
      </w:r>
      <w:r w:rsidRPr="00CB6FFA">
        <w:tab/>
        <w:t>30</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Põhjendus 29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t>(29)</w:t>
            </w:r>
            <w:r w:rsidRPr="00CB6FFA">
              <w:tab/>
              <w:t xml:space="preserve">Käesoleva otsuse raames meetmete võtmisel kasutatakse liidu ametitelt, eelkõige Euroopa Kutseõppe Arenduskeskuselt (Cedefop) </w:t>
            </w:r>
            <w:r w:rsidRPr="00CB6FFA">
              <w:rPr>
                <w:b/>
                <w:i/>
              </w:rPr>
              <w:t xml:space="preserve">saadud oskusteavet </w:t>
            </w:r>
            <w:r w:rsidRPr="00CB6FFA">
              <w:t>nende pädevusvaldkonda kuuluvates küsimustes</w:t>
            </w:r>
            <w:r w:rsidRPr="00CB6FFA">
              <w:rPr>
                <w:b/>
                <w:i/>
              </w:rPr>
              <w:t>,</w:t>
            </w:r>
          </w:p>
        </w:tc>
        <w:tc>
          <w:tcPr>
            <w:tcW w:w="4876" w:type="dxa"/>
          </w:tcPr>
          <w:p w:rsidR="00CC3F13" w:rsidRPr="00CB6FFA" w:rsidRDefault="00CC3F13" w:rsidP="00834F11">
            <w:pPr>
              <w:pStyle w:val="Normal6"/>
            </w:pPr>
            <w:r w:rsidRPr="00CB6FFA">
              <w:t>(29)</w:t>
            </w:r>
            <w:r w:rsidRPr="00CB6FFA">
              <w:tab/>
              <w:t>Käesoleva otsuse raames meetmete võtmisel kasutatakse liidu ametitelt, eelkõige Euroopa Kutseõppe Arenduskeskuselt (Cedefop) nende pädevusvaldkonda kuuluvates küsimustes</w:t>
            </w:r>
            <w:r w:rsidRPr="00CB6FFA">
              <w:rPr>
                <w:b/>
                <w:i/>
              </w:rPr>
              <w:t xml:space="preserve"> saadud oskusteavet vastavalt nõukogu määr</w:t>
            </w:r>
            <w:r w:rsidR="00834F11" w:rsidRPr="00CB6FFA">
              <w:rPr>
                <w:b/>
                <w:i/>
              </w:rPr>
              <w:t>usele (EMÜ) nr </w:t>
            </w:r>
            <w:r w:rsidRPr="00CB6FFA">
              <w:rPr>
                <w:b/>
                <w:i/>
              </w:rPr>
              <w:t>337/75.</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31</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Põhjendus 29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p>
        </w:tc>
        <w:tc>
          <w:tcPr>
            <w:tcW w:w="4876" w:type="dxa"/>
          </w:tcPr>
          <w:p w:rsidR="00CC3F13" w:rsidRPr="00CB6FFA" w:rsidRDefault="00834F11" w:rsidP="00834F11">
            <w:pPr>
              <w:pStyle w:val="Normal6"/>
            </w:pPr>
            <w:r w:rsidRPr="00CB6FFA">
              <w:rPr>
                <w:b/>
                <w:i/>
              </w:rPr>
              <w:t>(29</w:t>
            </w:r>
            <w:r w:rsidR="00CC3F13" w:rsidRPr="00CB6FFA">
              <w:rPr>
                <w:b/>
                <w:i/>
              </w:rPr>
              <w:t>a)</w:t>
            </w:r>
            <w:r w:rsidR="00CC3F13" w:rsidRPr="00CB6FFA">
              <w:tab/>
            </w:r>
            <w:r w:rsidR="00CC3F13" w:rsidRPr="00CB6FFA">
              <w:rPr>
                <w:b/>
                <w:i/>
              </w:rPr>
              <w:t>Liikmesriigid ja liit on võtnud endale kohustuse võtta sobivaid meetmeid, et tagada puuetega inimeste võrdne juurdepääs tööturule ning info- ja kommunikatsioonitehnoloogiatele ja -süsteemidele.</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32</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1 – lõige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834F11" w:rsidP="00834F11">
            <w:pPr>
              <w:pStyle w:val="Normal6"/>
            </w:pPr>
            <w:r w:rsidRPr="00CB6FFA">
              <w:rPr>
                <w:szCs w:val="24"/>
              </w:rPr>
              <w:t>1.</w:t>
            </w:r>
            <w:r w:rsidR="00CC3F13" w:rsidRPr="00CB6FFA">
              <w:rPr>
                <w:szCs w:val="24"/>
              </w:rPr>
              <w:tab/>
              <w:t xml:space="preserve">Käesoleva otsusega kehtestatakse Euroopa raamistik, mis hõlmab veebivahendeid, teavet ja avatud standardite väljatöötamist oskuste ja kvalifikatsioonide läbipaistvuse ja arusaadavuse edendamiseks. </w:t>
            </w:r>
            <w:r w:rsidR="00CC3F13" w:rsidRPr="00CB6FFA">
              <w:rPr>
                <w:b/>
                <w:i/>
                <w:szCs w:val="24"/>
              </w:rPr>
              <w:t>Raamistiku nimi</w:t>
            </w:r>
            <w:r w:rsidR="00CC3F13" w:rsidRPr="00CB6FFA">
              <w:rPr>
                <w:szCs w:val="24"/>
              </w:rPr>
              <w:t xml:space="preserve"> on </w:t>
            </w:r>
            <w:r w:rsidR="00CC3F13" w:rsidRPr="00CB6FFA">
              <w:rPr>
                <w:b/>
                <w:i/>
                <w:szCs w:val="24"/>
              </w:rPr>
              <w:t>Europass</w:t>
            </w:r>
            <w:r w:rsidR="00CC3F13" w:rsidRPr="00CB6FFA">
              <w:rPr>
                <w:szCs w:val="24"/>
              </w:rPr>
              <w:t>.</w:t>
            </w:r>
          </w:p>
        </w:tc>
        <w:tc>
          <w:tcPr>
            <w:tcW w:w="4876" w:type="dxa"/>
            <w:hideMark/>
          </w:tcPr>
          <w:p w:rsidR="00CC3F13" w:rsidRPr="00CB6FFA" w:rsidRDefault="00834F11" w:rsidP="00834F11">
            <w:pPr>
              <w:pStyle w:val="Normal6"/>
              <w:rPr>
                <w:szCs w:val="24"/>
              </w:rPr>
            </w:pPr>
            <w:r w:rsidRPr="00CB6FFA">
              <w:rPr>
                <w:szCs w:val="24"/>
              </w:rPr>
              <w:t>1.</w:t>
            </w:r>
            <w:r w:rsidR="00CC3F13" w:rsidRPr="00CB6FFA">
              <w:rPr>
                <w:szCs w:val="24"/>
              </w:rPr>
              <w:tab/>
              <w:t xml:space="preserve">Käesoleva otsusega kehtestatakse Euroopa raamistik, </w:t>
            </w:r>
            <w:r w:rsidR="00CC3F13" w:rsidRPr="00CB6FFA">
              <w:rPr>
                <w:b/>
                <w:i/>
                <w:szCs w:val="24"/>
              </w:rPr>
              <w:t xml:space="preserve">mida tuntakse nimetuse all „Europass“ ja mis põhineb vabatahtlikul isiklikul dokumendikaustal, et muuta kvalifikatsioonid ja pädevused liikmesriikide vahel läbipaistvaks ja koostalitlusvõimeliseks, ning </w:t>
            </w:r>
            <w:r w:rsidR="00CC3F13" w:rsidRPr="00CB6FFA">
              <w:rPr>
                <w:szCs w:val="24"/>
              </w:rPr>
              <w:t>mis hõlmab</w:t>
            </w:r>
            <w:r w:rsidR="00CC3F13" w:rsidRPr="00CB6FFA">
              <w:rPr>
                <w:b/>
                <w:i/>
                <w:szCs w:val="24"/>
              </w:rPr>
              <w:t xml:space="preserve"> juurdepääsetavaid</w:t>
            </w:r>
            <w:r w:rsidR="00CC3F13" w:rsidRPr="00CB6FFA">
              <w:rPr>
                <w:szCs w:val="24"/>
              </w:rPr>
              <w:t xml:space="preserve"> veebivahendeid, teavet ja avatud standardite väljatöötamist </w:t>
            </w:r>
            <w:r w:rsidR="00CC3F13" w:rsidRPr="00CB6FFA">
              <w:rPr>
                <w:b/>
                <w:i/>
                <w:szCs w:val="24"/>
              </w:rPr>
              <w:t xml:space="preserve">formaalse, mitteformaalse ja informaalse õppe ja praktiliste kogemuste, sh liikuvuse kaudu omandatud </w:t>
            </w:r>
            <w:r w:rsidR="00CC3F13" w:rsidRPr="00CB6FFA">
              <w:rPr>
                <w:szCs w:val="24"/>
              </w:rPr>
              <w:t xml:space="preserve">oskuste ja </w:t>
            </w:r>
            <w:r w:rsidR="00CC3F13" w:rsidRPr="00CB6FFA">
              <w:rPr>
                <w:szCs w:val="24"/>
              </w:rPr>
              <w:lastRenderedPageBreak/>
              <w:t xml:space="preserve">kvalifikatsioonide läbipaistvuse ja arusaadavuse </w:t>
            </w:r>
            <w:r w:rsidR="00CC3F13" w:rsidRPr="00CB6FFA">
              <w:rPr>
                <w:b/>
                <w:i/>
                <w:szCs w:val="24"/>
              </w:rPr>
              <w:t xml:space="preserve">paremaks </w:t>
            </w:r>
            <w:r w:rsidR="00CC3F13" w:rsidRPr="00CB6FFA">
              <w:rPr>
                <w:szCs w:val="24"/>
              </w:rPr>
              <w:t>edendamiseks</w:t>
            </w:r>
            <w:r w:rsidR="00CC3F13" w:rsidRPr="00CB6FFA">
              <w:rPr>
                <w:b/>
                <w:i/>
                <w:szCs w:val="24"/>
              </w:rPr>
              <w:t xml:space="preserve"> liikmesriikide vahel</w:t>
            </w:r>
            <w:r w:rsidR="00CC3F13" w:rsidRPr="00CB6FFA">
              <w:rPr>
                <w:szCs w:val="24"/>
              </w:rPr>
              <w:t xml:space="preserve">. </w:t>
            </w:r>
            <w:r w:rsidR="00CC3F13" w:rsidRPr="00CB6FFA">
              <w:rPr>
                <w:b/>
                <w:i/>
                <w:szCs w:val="24"/>
              </w:rPr>
              <w:t>Need veebivahendid ja asjakohane kättesaadav teave</w:t>
            </w:r>
            <w:r w:rsidR="00CC3F13" w:rsidRPr="00CB6FFA">
              <w:rPr>
                <w:szCs w:val="24"/>
              </w:rPr>
              <w:t xml:space="preserve"> on </w:t>
            </w:r>
            <w:r w:rsidR="00CC3F13" w:rsidRPr="00CB6FFA">
              <w:rPr>
                <w:b/>
                <w:i/>
                <w:szCs w:val="24"/>
              </w:rPr>
              <w:t>mõeldud selleks, et aidata kasutajatel oma oskusi ja kvalifikatsioone paremini tutvustada ja esitada</w:t>
            </w:r>
            <w:r w:rsidR="00CC3F13" w:rsidRPr="00CB6FFA">
              <w:rPr>
                <w:szCs w:val="24"/>
              </w:rPr>
              <w:t>.</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33</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1 – lõige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CC3F13" w:rsidP="00834F11">
            <w:pPr>
              <w:pStyle w:val="Normal6"/>
            </w:pPr>
            <w:r w:rsidRPr="00CB6FFA">
              <w:rPr>
                <w:szCs w:val="24"/>
              </w:rPr>
              <w:t>2.</w:t>
            </w:r>
            <w:r w:rsidRPr="00CB6FFA">
              <w:rPr>
                <w:szCs w:val="24"/>
              </w:rPr>
              <w:tab/>
              <w:t xml:space="preserve">Europassi haldab komisjon ja seda toetavad riiklikud </w:t>
            </w:r>
            <w:r w:rsidRPr="00CB6FFA">
              <w:rPr>
                <w:b/>
                <w:i/>
                <w:szCs w:val="24"/>
              </w:rPr>
              <w:t>oskuste koordineerimise asutused</w:t>
            </w:r>
            <w:r w:rsidRPr="00CB6FFA">
              <w:rPr>
                <w:szCs w:val="24"/>
              </w:rPr>
              <w:t>.</w:t>
            </w:r>
          </w:p>
        </w:tc>
        <w:tc>
          <w:tcPr>
            <w:tcW w:w="4876" w:type="dxa"/>
            <w:hideMark/>
          </w:tcPr>
          <w:p w:rsidR="00CC3F13" w:rsidRPr="00CB6FFA" w:rsidRDefault="00CC3F13" w:rsidP="00834F11">
            <w:pPr>
              <w:pStyle w:val="Normal6"/>
              <w:rPr>
                <w:szCs w:val="24"/>
              </w:rPr>
            </w:pPr>
            <w:r w:rsidRPr="00CB6FFA">
              <w:rPr>
                <w:szCs w:val="24"/>
              </w:rPr>
              <w:t>2.</w:t>
            </w:r>
            <w:r w:rsidRPr="00CB6FFA">
              <w:rPr>
                <w:szCs w:val="24"/>
              </w:rPr>
              <w:tab/>
              <w:t xml:space="preserve">Europassi haldab komisjon ja seda toetavad riiklikud </w:t>
            </w:r>
            <w:r w:rsidRPr="00CB6FFA">
              <w:rPr>
                <w:b/>
                <w:i/>
                <w:szCs w:val="24"/>
              </w:rPr>
              <w:t>Europassi keskused kooskõlas liikmesriikide struktuuride ja halduskorraldusega</w:t>
            </w:r>
            <w:r w:rsidRPr="00CB6FFA">
              <w:rPr>
                <w:szCs w:val="24"/>
              </w:rPr>
              <w:t>.</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34</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1 – lõige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t>3.</w:t>
            </w:r>
            <w:r w:rsidRPr="00CB6FFA">
              <w:tab/>
              <w:t xml:space="preserve">Europassi </w:t>
            </w:r>
            <w:r w:rsidRPr="00CB6FFA">
              <w:rPr>
                <w:b/>
                <w:i/>
              </w:rPr>
              <w:t>kasutamisega</w:t>
            </w:r>
            <w:r w:rsidRPr="00CB6FFA">
              <w:t xml:space="preserve"> ei kaasne mingeid kohustusi ega õigusi peale nende, mis on kindlaks määratud käesolevas otsuses.</w:t>
            </w:r>
          </w:p>
        </w:tc>
        <w:tc>
          <w:tcPr>
            <w:tcW w:w="4876" w:type="dxa"/>
          </w:tcPr>
          <w:p w:rsidR="00CC3F13" w:rsidRPr="00CB6FFA" w:rsidRDefault="00CC3F13" w:rsidP="00834F11">
            <w:pPr>
              <w:pStyle w:val="Normal6"/>
            </w:pPr>
            <w:r w:rsidRPr="00CB6FFA">
              <w:t>3.</w:t>
            </w:r>
            <w:r w:rsidRPr="00CB6FFA">
              <w:tab/>
              <w:t xml:space="preserve">Europassi </w:t>
            </w:r>
            <w:r w:rsidRPr="00CB6FFA">
              <w:rPr>
                <w:b/>
                <w:i/>
              </w:rPr>
              <w:t>kasutamine on vabatahtlik ja sellega</w:t>
            </w:r>
            <w:r w:rsidRPr="00CB6FFA">
              <w:t xml:space="preserve"> ei kaasne mingeid kohustusi ega õigusi peale nende, mis on kindlaks määratud käesolevas otsuses.</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35</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2 – lõik 1 – punkt a</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rPr>
                <w:b/>
                <w:i/>
              </w:rPr>
              <w:t>(</w:t>
            </w:r>
            <w:r w:rsidRPr="00CB6FFA">
              <w:t>a)</w:t>
            </w:r>
            <w:r w:rsidRPr="00CB6FFA">
              <w:tab/>
              <w:t xml:space="preserve">„kutsetunnistuse lisa“ – </w:t>
            </w:r>
            <w:r w:rsidRPr="00CB6FFA">
              <w:rPr>
                <w:b/>
                <w:i/>
              </w:rPr>
              <w:t>kutsetunnistusele</w:t>
            </w:r>
            <w:r w:rsidRPr="00CB6FFA">
              <w:t xml:space="preserve"> lisatud dokument, mis aitab kolmandatel isikutel paremini aru saada kvalifikatsiooni omaniku saavutatud õpiväljunditest ning läbitud õpingute laadist, tasemest, kontekstist, sisust ja staatusest; </w:t>
            </w:r>
          </w:p>
        </w:tc>
        <w:tc>
          <w:tcPr>
            <w:tcW w:w="4876" w:type="dxa"/>
          </w:tcPr>
          <w:p w:rsidR="00CC3F13" w:rsidRPr="00CB6FFA" w:rsidRDefault="00CC3F13" w:rsidP="00834F11">
            <w:pPr>
              <w:pStyle w:val="Normal6"/>
              <w:rPr>
                <w:szCs w:val="24"/>
              </w:rPr>
            </w:pPr>
            <w:r w:rsidRPr="00CB6FFA">
              <w:t>a)</w:t>
            </w:r>
            <w:r w:rsidRPr="00CB6FFA">
              <w:tab/>
              <w:t xml:space="preserve">„kutsetunnistuse lisa“ – </w:t>
            </w:r>
            <w:r w:rsidRPr="00CB6FFA">
              <w:rPr>
                <w:b/>
                <w:i/>
              </w:rPr>
              <w:t>kutsehariduse ja -õppe tunnistusele või erialatunnistusele</w:t>
            </w:r>
            <w:r w:rsidRPr="00CB6FFA">
              <w:t xml:space="preserve"> lisatud dokument, mis aitab kolmandatel isikutel paremini aru saada kvalifikatsiooni omaniku saavutatud õpiväljunditest ning läbitud õpingute </w:t>
            </w:r>
            <w:r w:rsidRPr="00CB6FFA">
              <w:rPr>
                <w:b/>
                <w:i/>
              </w:rPr>
              <w:t xml:space="preserve">ja omandatud oskuste </w:t>
            </w:r>
            <w:r w:rsidRPr="00CB6FFA">
              <w:t xml:space="preserve">laadist, tasemest, </w:t>
            </w:r>
            <w:r w:rsidRPr="00CB6FFA">
              <w:lastRenderedPageBreak/>
              <w:t xml:space="preserve">kontekstist, sisust ja staatusest; </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36</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2 – lõik 1 – punkt c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p>
        </w:tc>
        <w:tc>
          <w:tcPr>
            <w:tcW w:w="4876" w:type="dxa"/>
          </w:tcPr>
          <w:p w:rsidR="00CC3F13" w:rsidRPr="00CB6FFA" w:rsidRDefault="00CC3F13" w:rsidP="00834F11">
            <w:pPr>
              <w:pStyle w:val="Normal6"/>
            </w:pPr>
            <w:r w:rsidRPr="00CB6FFA">
              <w:rPr>
                <w:b/>
                <w:i/>
              </w:rPr>
              <w:t>ca)</w:t>
            </w:r>
            <w:r w:rsidRPr="00CB6FFA">
              <w:tab/>
            </w:r>
            <w:r w:rsidRPr="00CB6FFA">
              <w:rPr>
                <w:b/>
                <w:i/>
              </w:rPr>
              <w:t>„nõustamine“ – pidev protsess, mis aitab isikutel teha kindlaks oma võimed, oskused ja huvid, teha haridus-, koolitus- ja tööalaseid otsuseid ning kujundada oma elu hariduse, töö ja muus vallas, kus kõnealuseid võimeid ja oskuseid õpitakse või kasutatakse;</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37</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2 – lõik 1 – punkt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rPr>
                <w:b/>
                <w:i/>
              </w:rPr>
              <w:t>(d)</w:t>
            </w:r>
            <w:r w:rsidRPr="00CB6FFA">
              <w:tab/>
            </w:r>
            <w:r w:rsidRPr="00CB6FFA">
              <w:rPr>
                <w:b/>
                <w:i/>
              </w:rPr>
              <w:t>„metaandmed“ – andmed, mis annavad teavet muude Europassi dokumentides kasutatud andmete kohta;</w:t>
            </w:r>
          </w:p>
        </w:tc>
        <w:tc>
          <w:tcPr>
            <w:tcW w:w="4876" w:type="dxa"/>
          </w:tcPr>
          <w:p w:rsidR="00CC3F13" w:rsidRPr="00CB6FFA" w:rsidRDefault="00CC3F13" w:rsidP="00834F11">
            <w:pPr>
              <w:pStyle w:val="Normal6"/>
            </w:pPr>
            <w:r w:rsidRPr="00CB6FFA">
              <w:rPr>
                <w:b/>
                <w:i/>
              </w:rPr>
              <w:t>välja jäetud</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38</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2 – lõik 1 – punkt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rPr>
                <w:b/>
                <w:i/>
              </w:rPr>
              <w:t>(e)</w:t>
            </w:r>
            <w:r w:rsidRPr="00CB6FFA">
              <w:tab/>
            </w:r>
            <w:r w:rsidRPr="00CB6FFA">
              <w:rPr>
                <w:b/>
                <w:i/>
              </w:rPr>
              <w:t>„metaandmeskeemid“ – metaandmeelementide, nende võimalike väärtuste, väärtuste kohustuslikkuse määra ja kõnealuste metaandmeelementide omavahelise seose kirjeldus;</w:t>
            </w:r>
          </w:p>
        </w:tc>
        <w:tc>
          <w:tcPr>
            <w:tcW w:w="4876" w:type="dxa"/>
          </w:tcPr>
          <w:p w:rsidR="00CC3F13" w:rsidRPr="00CB6FFA" w:rsidRDefault="00CC3F13" w:rsidP="00834F11">
            <w:pPr>
              <w:pStyle w:val="Normal6"/>
            </w:pPr>
            <w:r w:rsidRPr="00CB6FFA">
              <w:rPr>
                <w:b/>
                <w:i/>
              </w:rPr>
              <w:t>välja jäetud</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39</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2 – lõik 1 – punkt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CC3F13" w:rsidP="00834F11">
            <w:pPr>
              <w:pStyle w:val="Normal6"/>
            </w:pPr>
            <w:r w:rsidRPr="00CB6FFA">
              <w:rPr>
                <w:b/>
                <w:i/>
              </w:rPr>
              <w:t>(</w:t>
            </w:r>
            <w:r w:rsidRPr="00CB6FFA">
              <w:t>f)</w:t>
            </w:r>
            <w:r w:rsidRPr="00CB6FFA">
              <w:tab/>
              <w:t xml:space="preserve">„amet“ – </w:t>
            </w:r>
            <w:r w:rsidRPr="00CB6FFA">
              <w:rPr>
                <w:b/>
                <w:i/>
              </w:rPr>
              <w:t>sarnaseid</w:t>
            </w:r>
            <w:r w:rsidRPr="00CB6FFA">
              <w:t xml:space="preserve"> ülesandeid</w:t>
            </w:r>
            <w:r w:rsidRPr="00CB6FFA">
              <w:rPr>
                <w:b/>
                <w:i/>
              </w:rPr>
              <w:t xml:space="preserve"> hõlmavate</w:t>
            </w:r>
            <w:r w:rsidRPr="00CB6FFA">
              <w:t xml:space="preserve"> ja </w:t>
            </w:r>
            <w:r w:rsidRPr="00CB6FFA">
              <w:rPr>
                <w:b/>
                <w:i/>
              </w:rPr>
              <w:t>sarnaseid oskusi nõudvate tööde kogum</w:t>
            </w:r>
            <w:r w:rsidRPr="00CB6FFA">
              <w:t>;</w:t>
            </w:r>
          </w:p>
        </w:tc>
        <w:tc>
          <w:tcPr>
            <w:tcW w:w="4876" w:type="dxa"/>
            <w:hideMark/>
          </w:tcPr>
          <w:p w:rsidR="00CC3F13" w:rsidRPr="00CB6FFA" w:rsidRDefault="00CC3F13" w:rsidP="00834F11">
            <w:pPr>
              <w:pStyle w:val="Normal6"/>
              <w:rPr>
                <w:szCs w:val="24"/>
              </w:rPr>
            </w:pPr>
            <w:r w:rsidRPr="00CB6FFA">
              <w:t>f)</w:t>
            </w:r>
            <w:r w:rsidRPr="00CB6FFA">
              <w:tab/>
              <w:t xml:space="preserve">„amet“ – </w:t>
            </w:r>
            <w:r w:rsidRPr="00CB6FFA">
              <w:rPr>
                <w:b/>
                <w:i/>
              </w:rPr>
              <w:t>tööde kogum, mille peamisi</w:t>
            </w:r>
            <w:r w:rsidRPr="00CB6FFA">
              <w:t xml:space="preserve"> ülesandeid ja </w:t>
            </w:r>
            <w:r w:rsidRPr="00CB6FFA">
              <w:rPr>
                <w:b/>
                <w:i/>
              </w:rPr>
              <w:t>kohustusi iseloomustab suur sarnasus</w:t>
            </w:r>
            <w:r w:rsidRPr="00CB6FFA">
              <w:t>;</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40</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2 – lõik 1 – punkt g</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834F11" w:rsidP="00834F11">
            <w:pPr>
              <w:pStyle w:val="Normal6"/>
            </w:pPr>
            <w:r w:rsidRPr="00CB6FFA">
              <w:rPr>
                <w:b/>
                <w:i/>
                <w:szCs w:val="24"/>
              </w:rPr>
              <w:t>(</w:t>
            </w:r>
            <w:r w:rsidRPr="00CB6FFA">
              <w:rPr>
                <w:szCs w:val="24"/>
              </w:rPr>
              <w:t>g)</w:t>
            </w:r>
            <w:r w:rsidR="00CC3F13" w:rsidRPr="00CB6FFA">
              <w:rPr>
                <w:szCs w:val="24"/>
              </w:rPr>
              <w:tab/>
              <w:t xml:space="preserve">„organisatsioonid“ – haridus-, koolitus- ja tööhõiveküsimustest huvitatud </w:t>
            </w:r>
            <w:r w:rsidR="00CC3F13" w:rsidRPr="00CB6FFA">
              <w:rPr>
                <w:b/>
                <w:i/>
                <w:szCs w:val="24"/>
              </w:rPr>
              <w:t>tööandjad</w:t>
            </w:r>
            <w:r w:rsidR="00CC3F13" w:rsidRPr="00CB6FFA">
              <w:rPr>
                <w:szCs w:val="24"/>
              </w:rPr>
              <w:t>, värbajad, haridus- ja koolitusasutused ning muud sidusrühmad;</w:t>
            </w:r>
          </w:p>
        </w:tc>
        <w:tc>
          <w:tcPr>
            <w:tcW w:w="4876" w:type="dxa"/>
            <w:hideMark/>
          </w:tcPr>
          <w:p w:rsidR="00CC3F13" w:rsidRPr="00CB6FFA" w:rsidRDefault="00834F11" w:rsidP="00834F11">
            <w:pPr>
              <w:pStyle w:val="Normal6"/>
              <w:rPr>
                <w:szCs w:val="24"/>
              </w:rPr>
            </w:pPr>
            <w:r w:rsidRPr="00CB6FFA">
              <w:rPr>
                <w:szCs w:val="24"/>
              </w:rPr>
              <w:t>g)</w:t>
            </w:r>
            <w:r w:rsidR="00CC3F13" w:rsidRPr="00CB6FFA">
              <w:rPr>
                <w:szCs w:val="24"/>
              </w:rPr>
              <w:tab/>
            </w:r>
            <w:r w:rsidR="00CC3F13" w:rsidRPr="00CB6FFA">
              <w:t xml:space="preserve">„organisatsioonid“ – haridus-, koolitus- ja tööhõiveküsimustest huvitatud </w:t>
            </w:r>
            <w:r w:rsidR="00CC3F13" w:rsidRPr="00CB6FFA">
              <w:rPr>
                <w:b/>
                <w:i/>
              </w:rPr>
              <w:t>tööturu osapooled</w:t>
            </w:r>
            <w:r w:rsidR="00CC3F13" w:rsidRPr="00CB6FFA">
              <w:t>, värbajad, haridus- ja koolitusasutused ning muud sidusrühmad</w:t>
            </w:r>
            <w:r w:rsidR="00CC3F13" w:rsidRPr="00CB6FFA">
              <w:rPr>
                <w:b/>
                <w:i/>
              </w:rPr>
              <w:t>, nagu kaubanduskojad, mitteformaalse hariduse pakkujad ja kodanikuühiskonna organisatsioonid</w:t>
            </w:r>
            <w:r w:rsidR="00CC3F13" w:rsidRPr="00CB6FFA">
              <w:t>;</w:t>
            </w:r>
            <w:r w:rsidR="00CC3F13" w:rsidRPr="00CB6FFA">
              <w:rPr>
                <w:szCs w:val="24"/>
              </w:rPr>
              <w:t xml:space="preserve"> </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41</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2 – lõik 1 – punkt h</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rPr>
                <w:b/>
                <w:i/>
              </w:rPr>
              <w:t>(</w:t>
            </w:r>
            <w:r w:rsidRPr="00CB6FFA">
              <w:t>h)</w:t>
            </w:r>
            <w:r w:rsidRPr="00CB6FFA">
              <w:tab/>
              <w:t>„kvalifikatsioon“ – sellise hindamis- ja valideerimisprotsessi ametlik tulemus, mille käigus pädev asutus otsustab, et isik on saavutanud teatavatele standarditele vastavad õpiväljundid;</w:t>
            </w:r>
          </w:p>
        </w:tc>
        <w:tc>
          <w:tcPr>
            <w:tcW w:w="4876" w:type="dxa"/>
          </w:tcPr>
          <w:p w:rsidR="00CC3F13" w:rsidRPr="00CB6FFA" w:rsidRDefault="00CC3F13" w:rsidP="00834F11">
            <w:pPr>
              <w:pStyle w:val="Normal6"/>
            </w:pPr>
            <w:r w:rsidRPr="00CB6FFA">
              <w:t>h)</w:t>
            </w:r>
            <w:r w:rsidRPr="00CB6FFA">
              <w:tab/>
              <w:t xml:space="preserve">„kvalifikatsioon“ – sellise hindamis- ja valideerimisprotsessi ametlik tulemus, mille käigus pädev asutus </w:t>
            </w:r>
            <w:r w:rsidRPr="00CB6FFA">
              <w:rPr>
                <w:b/>
                <w:i/>
              </w:rPr>
              <w:t xml:space="preserve">(nt seaduse kohaselt vastutavaks määratud riiklik asutus) </w:t>
            </w:r>
            <w:r w:rsidRPr="00CB6FFA">
              <w:t>otsustab, et isik on saavutanud teatavatele standarditele vastavad õpiväljundid;</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42</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2 – lõik 1 – punkt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CC3F13" w:rsidP="00834F11">
            <w:pPr>
              <w:pStyle w:val="Normal6"/>
            </w:pPr>
            <w:r w:rsidRPr="00CB6FFA">
              <w:rPr>
                <w:b/>
                <w:i/>
              </w:rPr>
              <w:t>(i)</w:t>
            </w:r>
            <w:r w:rsidRPr="00CB6FFA">
              <w:rPr>
                <w:b/>
                <w:i/>
              </w:rPr>
              <w:tab/>
              <w:t xml:space="preserve">„semantikavara“ – süsteemiarendamiseks kasutatavate, laialdast korduskasutust võimaldavate </w:t>
            </w:r>
            <w:r w:rsidRPr="00CB6FFA">
              <w:rPr>
                <w:b/>
                <w:i/>
              </w:rPr>
              <w:lastRenderedPageBreak/>
              <w:t>meta- või viiteandmete (nt koodiloendid, klassifikatsioonisüsteemid, sõnaraamatud või sõnastikud) kogum;</w:t>
            </w:r>
          </w:p>
        </w:tc>
        <w:tc>
          <w:tcPr>
            <w:tcW w:w="4876" w:type="dxa"/>
            <w:hideMark/>
          </w:tcPr>
          <w:p w:rsidR="00CC3F13" w:rsidRPr="00CB6FFA" w:rsidRDefault="00CC3F13" w:rsidP="00834F11">
            <w:pPr>
              <w:pStyle w:val="Normal6"/>
              <w:rPr>
                <w:szCs w:val="24"/>
              </w:rPr>
            </w:pPr>
            <w:r w:rsidRPr="00CB6FFA">
              <w:rPr>
                <w:b/>
                <w:i/>
              </w:rPr>
              <w:lastRenderedPageBreak/>
              <w:t>välja jäetud</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43</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2 – lõik 1 – punkt 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rPr>
                <w:b/>
                <w:i/>
              </w:rPr>
              <w:t>(</w:t>
            </w:r>
            <w:r w:rsidRPr="00CB6FFA">
              <w:t>j)</w:t>
            </w:r>
            <w:r w:rsidRPr="00CB6FFA">
              <w:tab/>
              <w:t>„oskuste hindamine“ – isikute oskuste hindamise, mõõtmise ja kirjeldamise protsess või meetod. See võib hõlmata enesehindamist või hindamist, mille kohta on tõendi andnud kolmas isik;</w:t>
            </w:r>
          </w:p>
        </w:tc>
        <w:tc>
          <w:tcPr>
            <w:tcW w:w="4876" w:type="dxa"/>
          </w:tcPr>
          <w:p w:rsidR="00CC3F13" w:rsidRPr="00CB6FFA" w:rsidRDefault="00CC3F13" w:rsidP="00834F11">
            <w:pPr>
              <w:pStyle w:val="Normal6"/>
            </w:pPr>
            <w:r w:rsidRPr="00CB6FFA">
              <w:t>j)</w:t>
            </w:r>
            <w:r w:rsidRPr="00CB6FFA">
              <w:tab/>
              <w:t xml:space="preserve">„oskuste hindamine“ – isikute </w:t>
            </w:r>
            <w:r w:rsidRPr="00CB6FFA">
              <w:rPr>
                <w:b/>
                <w:i/>
              </w:rPr>
              <w:t xml:space="preserve">formaalsel või mitteformaalsel teel omandatud </w:t>
            </w:r>
            <w:r w:rsidRPr="00CB6FFA">
              <w:t>oskuste hindamise, mõõtmise ja kirjeldamise protsess või meetod. See võib hõlmata enesehindamist või hindamist, mille kohta on tõendi andnud kolmas isik;</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44</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2 – lõik 1 – punkt k</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rPr>
                <w:b/>
                <w:i/>
              </w:rPr>
              <w:t>(</w:t>
            </w:r>
            <w:r w:rsidRPr="00CB6FFA">
              <w:t>k)</w:t>
            </w:r>
            <w:r w:rsidRPr="00CB6FFA">
              <w:tab/>
              <w:t>„standardid“ – teatavale tootele, teenusele, protsessile või meetodile kehtivaid kriteeriume või spetsifikaate käsitlevad tunnustatud kokkulepped</w:t>
            </w:r>
            <w:r w:rsidRPr="00CB6FFA">
              <w:rPr>
                <w:b/>
                <w:i/>
              </w:rPr>
              <w:t>, sh metaandmeskeemid ja semantikavarad</w:t>
            </w:r>
            <w:r w:rsidRPr="00CB6FFA">
              <w:t>.</w:t>
            </w:r>
          </w:p>
        </w:tc>
        <w:tc>
          <w:tcPr>
            <w:tcW w:w="4876" w:type="dxa"/>
          </w:tcPr>
          <w:p w:rsidR="00CC3F13" w:rsidRPr="00CB6FFA" w:rsidRDefault="00CC3F13" w:rsidP="00834F11">
            <w:pPr>
              <w:pStyle w:val="Normal6"/>
            </w:pPr>
            <w:r w:rsidRPr="00CB6FFA">
              <w:t>k)</w:t>
            </w:r>
            <w:r w:rsidRPr="00CB6FFA">
              <w:tab/>
              <w:t>„standardid“ – teatavale tootele, teenusele, protsessile või meetodile kehtivaid kriteeriume või spetsifikaate käsitlevad tunnustatud kokkulepped.</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45</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3 – lõige 1 – sissejuhatav osa</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CC3F13" w:rsidP="00834F11">
            <w:pPr>
              <w:pStyle w:val="Normal6"/>
            </w:pPr>
            <w:r w:rsidRPr="00CB6FFA">
              <w:rPr>
                <w:szCs w:val="24"/>
              </w:rPr>
              <w:t xml:space="preserve">Europass </w:t>
            </w:r>
            <w:r w:rsidRPr="00CB6FFA">
              <w:rPr>
                <w:b/>
                <w:i/>
                <w:szCs w:val="24"/>
              </w:rPr>
              <w:t>hõlmab</w:t>
            </w:r>
            <w:r w:rsidRPr="00CB6FFA">
              <w:rPr>
                <w:szCs w:val="24"/>
              </w:rPr>
              <w:t xml:space="preserve"> järgmisi veebivahendeid: </w:t>
            </w:r>
          </w:p>
        </w:tc>
        <w:tc>
          <w:tcPr>
            <w:tcW w:w="4876" w:type="dxa"/>
            <w:hideMark/>
          </w:tcPr>
          <w:p w:rsidR="00CC3F13" w:rsidRPr="00CB6FFA" w:rsidRDefault="00CC3F13" w:rsidP="00834F11">
            <w:pPr>
              <w:pStyle w:val="Normal6"/>
              <w:rPr>
                <w:szCs w:val="24"/>
              </w:rPr>
            </w:pPr>
            <w:r w:rsidRPr="00CB6FFA">
              <w:rPr>
                <w:szCs w:val="24"/>
              </w:rPr>
              <w:t xml:space="preserve">Europass </w:t>
            </w:r>
            <w:r w:rsidRPr="00CB6FFA">
              <w:rPr>
                <w:b/>
                <w:i/>
                <w:szCs w:val="24"/>
              </w:rPr>
              <w:t>pakub kättesaadaval viisil</w:t>
            </w:r>
            <w:r w:rsidRPr="00CB6FFA">
              <w:rPr>
                <w:szCs w:val="24"/>
              </w:rPr>
              <w:t xml:space="preserve"> järgmisi veebivahendeid</w:t>
            </w:r>
            <w:r w:rsidRPr="00CB6FFA">
              <w:rPr>
                <w:b/>
                <w:i/>
                <w:szCs w:val="24"/>
              </w:rPr>
              <w:t xml:space="preserve"> ja lisasid</w:t>
            </w:r>
            <w:r w:rsidRPr="00CB6FFA">
              <w:rPr>
                <w:szCs w:val="24"/>
              </w:rPr>
              <w:t>:</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46</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lastRenderedPageBreak/>
        <w:t>Artikkel 3 – lõige 1 – punkt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p>
        </w:tc>
        <w:tc>
          <w:tcPr>
            <w:tcW w:w="4876" w:type="dxa"/>
          </w:tcPr>
          <w:p w:rsidR="00CC3F13" w:rsidRPr="00CB6FFA" w:rsidRDefault="00CC3F13" w:rsidP="00834F11">
            <w:pPr>
              <w:pStyle w:val="Normal6"/>
            </w:pPr>
            <w:r w:rsidRPr="00CB6FFA">
              <w:rPr>
                <w:b/>
                <w:i/>
              </w:rPr>
              <w:t>-a)</w:t>
            </w:r>
            <w:r w:rsidRPr="00CB6FFA">
              <w:tab/>
            </w:r>
            <w:r w:rsidRPr="00CB6FFA">
              <w:rPr>
                <w:b/>
                <w:i/>
              </w:rPr>
              <w:t>vahendid töö- ja õpikogemuste, sh piiriülese liikuvuse kaudu omandatud oskuste ja kvalifikatsioonide dokumenteerimiseks ja kirjeldamiseks;</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47</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3 – lõige 1 – punkt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rPr>
                <w:b/>
                <w:i/>
              </w:rPr>
              <w:t>(</w:t>
            </w:r>
            <w:r w:rsidRPr="00CB6FFA">
              <w:t>b)</w:t>
            </w:r>
            <w:r w:rsidRPr="00CB6FFA">
              <w:tab/>
              <w:t>vahendid, mis võimaldavad individuaalseid oskusi (ise) hinnata, kasutades muu hulgas küsimustikke, kasutusel olevaid oskuste kirjeldusi või muudest olemasolevatest ELi enesehindamisvahenditest (nt noortepass) pärit andmeid;</w:t>
            </w:r>
          </w:p>
        </w:tc>
        <w:tc>
          <w:tcPr>
            <w:tcW w:w="4876" w:type="dxa"/>
          </w:tcPr>
          <w:p w:rsidR="00CC3F13" w:rsidRPr="00CB6FFA" w:rsidRDefault="00CC3F13" w:rsidP="00834F11">
            <w:pPr>
              <w:pStyle w:val="Normal6"/>
            </w:pPr>
            <w:r w:rsidRPr="00CB6FFA">
              <w:t>b)</w:t>
            </w:r>
            <w:r w:rsidRPr="00CB6FFA">
              <w:tab/>
              <w:t xml:space="preserve">vahendid, mis võimaldavad individuaalseid oskusi </w:t>
            </w:r>
            <w:r w:rsidRPr="00CB6FFA">
              <w:rPr>
                <w:b/>
                <w:i/>
              </w:rPr>
              <w:t xml:space="preserve">võimalikult ulatuslikult valideeritud meetodite abil </w:t>
            </w:r>
            <w:r w:rsidRPr="00CB6FFA">
              <w:t xml:space="preserve">(ise) hinnata, kasutades muu hulgas küsimustikke, kasutusel olevaid oskuste kirjeldusi või muudest olemasolevatest </w:t>
            </w:r>
            <w:r w:rsidRPr="00CB6FFA">
              <w:rPr>
                <w:b/>
                <w:i/>
              </w:rPr>
              <w:t xml:space="preserve">ühtlustatud ja sünkroniseeritud </w:t>
            </w:r>
            <w:r w:rsidRPr="00CB6FFA">
              <w:t>ELi enesehindamisvahenditest (nt noortepass) pärit andmeid</w:t>
            </w:r>
            <w:r w:rsidRPr="00CB6FFA">
              <w:rPr>
                <w:b/>
                <w:i/>
              </w:rPr>
              <w:t xml:space="preserve"> ning muid tunnustatud (enese)hindamisvahendeid, mille on loonud ja mida kasutavad noorteorganisatsioonid (nt avatud tunnistused)</w:t>
            </w:r>
            <w:r w:rsidRPr="00CB6FFA">
              <w:t>;</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48</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3 – lõige 1 – punkt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CC3F13" w:rsidP="00834F11">
            <w:pPr>
              <w:pStyle w:val="Normal6"/>
            </w:pPr>
            <w:r w:rsidRPr="00CB6FFA">
              <w:rPr>
                <w:b/>
                <w:i/>
              </w:rPr>
              <w:t>(</w:t>
            </w:r>
            <w:r w:rsidRPr="00CB6FFA">
              <w:t>c)</w:t>
            </w:r>
            <w:r w:rsidRPr="00CB6FFA">
              <w:tab/>
            </w:r>
            <w:r w:rsidRPr="00CB6FFA">
              <w:rPr>
                <w:b/>
                <w:i/>
              </w:rPr>
              <w:t>artikli 5 kohased Europassi kvalifikatsioonilisade vormid</w:t>
            </w:r>
            <w:r w:rsidRPr="00CB6FFA">
              <w:t>;</w:t>
            </w:r>
          </w:p>
        </w:tc>
        <w:tc>
          <w:tcPr>
            <w:tcW w:w="4876" w:type="dxa"/>
            <w:hideMark/>
          </w:tcPr>
          <w:p w:rsidR="00CC3F13" w:rsidRPr="00CB6FFA" w:rsidRDefault="00CC3F13" w:rsidP="00834F11">
            <w:pPr>
              <w:pStyle w:val="Normal6"/>
              <w:rPr>
                <w:szCs w:val="24"/>
              </w:rPr>
            </w:pPr>
            <w:r w:rsidRPr="00CB6FFA">
              <w:t>c)</w:t>
            </w:r>
            <w:r w:rsidRPr="00CB6FFA">
              <w:tab/>
            </w:r>
            <w:r w:rsidRPr="00CB6FFA">
              <w:rPr>
                <w:b/>
                <w:i/>
              </w:rPr>
              <w:t>Europassi akadeemiline õiend ja kutsetunnistuse lisad</w:t>
            </w:r>
            <w:r w:rsidRPr="00CB6FFA">
              <w:t>;</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49</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3 – lõige 1 – punkt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rPr>
                <w:b/>
                <w:i/>
              </w:rPr>
              <w:lastRenderedPageBreak/>
              <w:t>(</w:t>
            </w:r>
            <w:r w:rsidRPr="00CB6FFA">
              <w:t>d)</w:t>
            </w:r>
            <w:r w:rsidRPr="00CB6FFA">
              <w:tab/>
            </w:r>
            <w:r w:rsidRPr="00CB6FFA">
              <w:rPr>
                <w:b/>
                <w:i/>
              </w:rPr>
              <w:t>organisatsioonide</w:t>
            </w:r>
            <w:r w:rsidRPr="00CB6FFA">
              <w:t xml:space="preserve"> teabeesituse ja -vahetuse toetamiseks</w:t>
            </w:r>
            <w:r w:rsidRPr="00CB6FFA">
              <w:rPr>
                <w:b/>
                <w:i/>
              </w:rPr>
              <w:t xml:space="preserve"> vajalikud vahendid</w:t>
            </w:r>
            <w:r w:rsidRPr="00CB6FFA">
              <w:t>.</w:t>
            </w:r>
          </w:p>
        </w:tc>
        <w:tc>
          <w:tcPr>
            <w:tcW w:w="4876" w:type="dxa"/>
          </w:tcPr>
          <w:p w:rsidR="00CC3F13" w:rsidRPr="00CB6FFA" w:rsidRDefault="00CC3F13" w:rsidP="00834F11">
            <w:pPr>
              <w:pStyle w:val="Normal6"/>
            </w:pPr>
            <w:r w:rsidRPr="00CB6FFA">
              <w:t>d)</w:t>
            </w:r>
            <w:r w:rsidRPr="00CB6FFA">
              <w:tab/>
            </w:r>
            <w:r w:rsidRPr="00CB6FFA">
              <w:rPr>
                <w:b/>
                <w:i/>
              </w:rPr>
              <w:t>vahendid organisatsioonide</w:t>
            </w:r>
            <w:r w:rsidRPr="00CB6FFA">
              <w:t xml:space="preserve"> teabeesituse ja -vahetuse toetamiseks.</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50</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3 – lõige 2 – sissejuhatav osa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CC3F13" w:rsidP="00834F11">
            <w:pPr>
              <w:pStyle w:val="Normal6"/>
            </w:pPr>
            <w:r w:rsidRPr="00CB6FFA">
              <w:t>2.</w:t>
            </w:r>
            <w:r w:rsidRPr="00CB6FFA">
              <w:tab/>
            </w:r>
            <w:r w:rsidRPr="00CB6FFA">
              <w:rPr>
                <w:b/>
                <w:i/>
              </w:rPr>
              <w:t>Europassist saab</w:t>
            </w:r>
            <w:r w:rsidRPr="00CB6FFA">
              <w:t xml:space="preserve"> teavet järgmise kohta:</w:t>
            </w:r>
          </w:p>
        </w:tc>
        <w:tc>
          <w:tcPr>
            <w:tcW w:w="4876" w:type="dxa"/>
            <w:hideMark/>
          </w:tcPr>
          <w:p w:rsidR="00CC3F13" w:rsidRPr="00CB6FFA" w:rsidRDefault="00CC3F13" w:rsidP="00834F11">
            <w:pPr>
              <w:pStyle w:val="Normal6"/>
              <w:rPr>
                <w:szCs w:val="24"/>
              </w:rPr>
            </w:pPr>
            <w:r w:rsidRPr="00CB6FFA">
              <w:t>2.</w:t>
            </w:r>
            <w:r w:rsidRPr="00CB6FFA">
              <w:tab/>
            </w:r>
            <w:r w:rsidRPr="00CB6FFA">
              <w:rPr>
                <w:b/>
                <w:i/>
              </w:rPr>
              <w:t>Europassis võib koostöös liikmesriikidega esitada</w:t>
            </w:r>
            <w:r w:rsidRPr="00CB6FFA">
              <w:t xml:space="preserve"> teavet järgmise kohta:</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51</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3 – lõige 2 – punkt a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p>
        </w:tc>
        <w:tc>
          <w:tcPr>
            <w:tcW w:w="4876" w:type="dxa"/>
          </w:tcPr>
          <w:p w:rsidR="00CC3F13" w:rsidRPr="00CB6FFA" w:rsidRDefault="00834F11" w:rsidP="00834F11">
            <w:pPr>
              <w:pStyle w:val="Normal6"/>
            </w:pPr>
            <w:r w:rsidRPr="00CB6FFA">
              <w:rPr>
                <w:b/>
                <w:i/>
              </w:rPr>
              <w:t>a</w:t>
            </w:r>
            <w:r w:rsidR="00CC3F13" w:rsidRPr="00CB6FFA">
              <w:rPr>
                <w:b/>
                <w:i/>
              </w:rPr>
              <w:t>a)</w:t>
            </w:r>
            <w:r w:rsidR="00CC3F13" w:rsidRPr="00CB6FFA">
              <w:tab/>
            </w:r>
            <w:r w:rsidR="00CC3F13" w:rsidRPr="00CB6FFA">
              <w:rPr>
                <w:b/>
                <w:i/>
              </w:rPr>
              <w:t>kvalifikatsioonid ja kvalifikatsiooniraamistikud;</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52</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3 – lõige 2 – punkt c</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834F11" w:rsidP="00834F11">
            <w:pPr>
              <w:pStyle w:val="Normal6"/>
            </w:pPr>
            <w:r w:rsidRPr="00CB6FFA">
              <w:rPr>
                <w:b/>
                <w:i/>
                <w:szCs w:val="24"/>
              </w:rPr>
              <w:t>(</w:t>
            </w:r>
            <w:r w:rsidRPr="00CB6FFA">
              <w:rPr>
                <w:szCs w:val="24"/>
              </w:rPr>
              <w:t>c)</w:t>
            </w:r>
            <w:r w:rsidR="00CC3F13" w:rsidRPr="00CB6FFA">
              <w:rPr>
                <w:szCs w:val="24"/>
              </w:rPr>
              <w:tab/>
              <w:t xml:space="preserve">eri riikides, sh kolmandates riikides kasutusel olevad </w:t>
            </w:r>
            <w:r w:rsidR="00CC3F13" w:rsidRPr="00CB6FFA">
              <w:rPr>
                <w:b/>
                <w:i/>
                <w:szCs w:val="24"/>
              </w:rPr>
              <w:t>tunnustamistavad</w:t>
            </w:r>
            <w:r w:rsidR="00CC3F13" w:rsidRPr="00CB6FFA">
              <w:rPr>
                <w:szCs w:val="24"/>
              </w:rPr>
              <w:t xml:space="preserve"> ja </w:t>
            </w:r>
            <w:r w:rsidR="00CC3F13" w:rsidRPr="00CB6FFA">
              <w:rPr>
                <w:b/>
                <w:i/>
                <w:szCs w:val="24"/>
              </w:rPr>
              <w:t>-otsused</w:t>
            </w:r>
            <w:r w:rsidR="00CC3F13" w:rsidRPr="00CB6FFA">
              <w:rPr>
                <w:szCs w:val="24"/>
              </w:rPr>
              <w:t xml:space="preserve">, et aidata üksikisikutel ja muudel sidusrühmadel </w:t>
            </w:r>
            <w:r w:rsidR="00CC3F13" w:rsidRPr="00CB6FFA">
              <w:rPr>
                <w:b/>
                <w:i/>
                <w:szCs w:val="24"/>
              </w:rPr>
              <w:t>kvalifikatsioonidest</w:t>
            </w:r>
            <w:r w:rsidR="00CC3F13" w:rsidRPr="00CB6FFA">
              <w:rPr>
                <w:szCs w:val="24"/>
              </w:rPr>
              <w:t xml:space="preserve"> paremini aru saada;</w:t>
            </w:r>
          </w:p>
        </w:tc>
        <w:tc>
          <w:tcPr>
            <w:tcW w:w="4876" w:type="dxa"/>
            <w:hideMark/>
          </w:tcPr>
          <w:p w:rsidR="00CC3F13" w:rsidRPr="00CB6FFA" w:rsidRDefault="00CC3F13" w:rsidP="00834F11">
            <w:pPr>
              <w:pStyle w:val="Normal6"/>
              <w:rPr>
                <w:szCs w:val="24"/>
              </w:rPr>
            </w:pPr>
            <w:r w:rsidRPr="00CB6FFA">
              <w:rPr>
                <w:szCs w:val="24"/>
              </w:rPr>
              <w:t>c)</w:t>
            </w:r>
            <w:r w:rsidRPr="00CB6FFA">
              <w:rPr>
                <w:b/>
                <w:i/>
                <w:szCs w:val="24"/>
              </w:rPr>
              <w:tab/>
            </w:r>
            <w:r w:rsidRPr="00CB6FFA">
              <w:rPr>
                <w:szCs w:val="24"/>
              </w:rPr>
              <w:t xml:space="preserve">eri riikides, sh kolmandates riikides kasutusel olevad </w:t>
            </w:r>
            <w:r w:rsidRPr="00CB6FFA">
              <w:rPr>
                <w:b/>
                <w:i/>
                <w:szCs w:val="24"/>
              </w:rPr>
              <w:t>tunnustamist käsitlevad õigusaktid, tavad</w:t>
            </w:r>
            <w:r w:rsidRPr="00CB6FFA">
              <w:rPr>
                <w:szCs w:val="24"/>
              </w:rPr>
              <w:t xml:space="preserve"> ja </w:t>
            </w:r>
            <w:r w:rsidRPr="00CB6FFA">
              <w:rPr>
                <w:b/>
                <w:i/>
                <w:szCs w:val="24"/>
              </w:rPr>
              <w:t>otsused</w:t>
            </w:r>
            <w:r w:rsidRPr="00CB6FFA">
              <w:rPr>
                <w:szCs w:val="24"/>
              </w:rPr>
              <w:t xml:space="preserve">, et aidata üksikisikutel ja muudel sidusrühmadel </w:t>
            </w:r>
            <w:r w:rsidRPr="00CB6FFA">
              <w:rPr>
                <w:b/>
                <w:i/>
                <w:szCs w:val="24"/>
              </w:rPr>
              <w:t>kvalifikatsioone võrrelda ja neist</w:t>
            </w:r>
            <w:r w:rsidRPr="00CB6FFA">
              <w:rPr>
                <w:szCs w:val="24"/>
              </w:rPr>
              <w:t xml:space="preserve"> paremini aru saada;</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53</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3 – lõige 2 – punkt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rPr>
                <w:b/>
                <w:i/>
              </w:rPr>
              <w:lastRenderedPageBreak/>
              <w:t>(e)</w:t>
            </w:r>
            <w:r w:rsidRPr="00CB6FFA">
              <w:tab/>
            </w:r>
            <w:r w:rsidRPr="00CB6FFA">
              <w:rPr>
                <w:b/>
                <w:i/>
              </w:rPr>
              <w:t>olemasolevate ja vajalike oskuste suundumuste analüüs ning muu oskuste prognoosimine muu hulgas geograafilisel ja sektorite tasandil, kasutades selliseid tehnilisi vahendeid nagu suurandmete analüüs ja ämblikotsing;</w:t>
            </w:r>
          </w:p>
        </w:tc>
        <w:tc>
          <w:tcPr>
            <w:tcW w:w="4876" w:type="dxa"/>
          </w:tcPr>
          <w:p w:rsidR="00CC3F13" w:rsidRPr="00CB6FFA" w:rsidRDefault="00CC3F13" w:rsidP="00834F11">
            <w:pPr>
              <w:pStyle w:val="Normal6"/>
            </w:pPr>
            <w:r w:rsidRPr="00CB6FFA">
              <w:rPr>
                <w:b/>
                <w:i/>
              </w:rPr>
              <w:t>välja jäetud</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54</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3 – lõige 2 – punkt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rPr>
                <w:b/>
                <w:i/>
              </w:rPr>
              <w:t>(</w:t>
            </w:r>
            <w:r w:rsidRPr="00CB6FFA">
              <w:t>f)</w:t>
            </w:r>
            <w:r w:rsidRPr="00CB6FFA">
              <w:tab/>
              <w:t xml:space="preserve">muu oskusi ja kvalifikatsioone käsitlev lisateave, mis võib olla vajalik liitu saabuvate või liidus elavate </w:t>
            </w:r>
            <w:r w:rsidRPr="00CB6FFA">
              <w:rPr>
                <w:b/>
                <w:i/>
              </w:rPr>
              <w:t>rändajate</w:t>
            </w:r>
            <w:r w:rsidRPr="00CB6FFA">
              <w:t xml:space="preserve"> erivajaduste jaoks, et toetada nende lõimumist.</w:t>
            </w:r>
          </w:p>
        </w:tc>
        <w:tc>
          <w:tcPr>
            <w:tcW w:w="4876" w:type="dxa"/>
          </w:tcPr>
          <w:p w:rsidR="00CC3F13" w:rsidRPr="00CB6FFA" w:rsidRDefault="00CC3F13" w:rsidP="00834F11">
            <w:pPr>
              <w:pStyle w:val="Normal6"/>
            </w:pPr>
            <w:r w:rsidRPr="00CB6FFA">
              <w:t>f)</w:t>
            </w:r>
            <w:r w:rsidRPr="00CB6FFA">
              <w:tab/>
              <w:t xml:space="preserve">muu oskusi ja kvalifikatsioone käsitlev lisateave, mis võib olla vajalik </w:t>
            </w:r>
            <w:r w:rsidRPr="00CB6FFA">
              <w:rPr>
                <w:b/>
                <w:i/>
              </w:rPr>
              <w:t xml:space="preserve">seaduslikke võimalusi kasutades </w:t>
            </w:r>
            <w:r w:rsidRPr="00CB6FFA">
              <w:t xml:space="preserve">liitu saabuvate või liidus elavate </w:t>
            </w:r>
            <w:r w:rsidRPr="00CB6FFA">
              <w:rPr>
                <w:b/>
                <w:i/>
              </w:rPr>
              <w:t>kolmandate riikide kodanike</w:t>
            </w:r>
            <w:r w:rsidRPr="00CB6FFA">
              <w:t xml:space="preserve"> erivajaduste jaoks, et toetada nende lõimumist.</w:t>
            </w:r>
          </w:p>
        </w:tc>
      </w:tr>
    </w:tbl>
    <w:p w:rsidR="00CC3F13" w:rsidRPr="00CB6FFA" w:rsidRDefault="00CC3F13" w:rsidP="00CC3F13">
      <w:pPr>
        <w:pStyle w:val="AMNumberTabs"/>
        <w:keepNext/>
      </w:pPr>
      <w:r w:rsidRPr="00CB6FFA">
        <w:t>Muudatusettepanek</w:t>
      </w:r>
      <w:r w:rsidRPr="00CB6FFA">
        <w:tab/>
      </w:r>
      <w:r w:rsidRPr="00CB6FFA">
        <w:tab/>
        <w:t>55</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3 – lõige 2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p>
        </w:tc>
        <w:tc>
          <w:tcPr>
            <w:tcW w:w="4876" w:type="dxa"/>
            <w:hideMark/>
          </w:tcPr>
          <w:p w:rsidR="00CC3F13" w:rsidRPr="00CB6FFA" w:rsidRDefault="00834F11" w:rsidP="00834F11">
            <w:pPr>
              <w:pStyle w:val="Normal6"/>
              <w:rPr>
                <w:szCs w:val="24"/>
              </w:rPr>
            </w:pPr>
            <w:r w:rsidRPr="00CB6FFA">
              <w:rPr>
                <w:b/>
                <w:i/>
              </w:rPr>
              <w:t>2</w:t>
            </w:r>
            <w:r w:rsidR="00CC3F13" w:rsidRPr="00CB6FFA">
              <w:rPr>
                <w:b/>
                <w:i/>
              </w:rPr>
              <w:t>a.</w:t>
            </w:r>
            <w:r w:rsidR="00CC3F13" w:rsidRPr="00CB6FFA">
              <w:rPr>
                <w:b/>
                <w:i/>
              </w:rPr>
              <w:tab/>
              <w:t>Europassis esitatakse pärast asjaomaste liikmesriikidega konsulteerimist lõike 2 kohast teavet.</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56</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3 – lõige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834F11" w:rsidP="00834F11">
            <w:pPr>
              <w:pStyle w:val="Normal6"/>
            </w:pPr>
            <w:r w:rsidRPr="00CB6FFA">
              <w:rPr>
                <w:szCs w:val="24"/>
              </w:rPr>
              <w:t>3.</w:t>
            </w:r>
            <w:r w:rsidR="00CC3F13" w:rsidRPr="00CB6FFA">
              <w:tab/>
            </w:r>
            <w:r w:rsidR="00CC3F13" w:rsidRPr="00CB6FFA">
              <w:rPr>
                <w:szCs w:val="24"/>
              </w:rPr>
              <w:t>Europassiga toetatakse koostööd avatud standardite</w:t>
            </w:r>
            <w:r w:rsidR="00CC3F13" w:rsidRPr="00CB6FFA">
              <w:rPr>
                <w:b/>
                <w:i/>
                <w:szCs w:val="24"/>
              </w:rPr>
              <w:t>, sh metaandmeskeemide ja semantikavarade</w:t>
            </w:r>
            <w:r w:rsidR="00CC3F13" w:rsidRPr="00CB6FFA">
              <w:rPr>
                <w:szCs w:val="24"/>
              </w:rPr>
              <w:t xml:space="preserve"> arendamisel, kasutamisel ja levitamisel, et ELi tasandil ning liikmesriikidel ja kolmandatel riikidel oleks võimalik oskuste ja kvalifikatsioonidega seotud teavet tulemuslikumalt vahetada. </w:t>
            </w:r>
            <w:r w:rsidR="00CC3F13" w:rsidRPr="00CB6FFA">
              <w:rPr>
                <w:b/>
                <w:i/>
                <w:szCs w:val="24"/>
              </w:rPr>
              <w:t xml:space="preserve">Seda tööd </w:t>
            </w:r>
            <w:r w:rsidR="00CC3F13" w:rsidRPr="00CB6FFA">
              <w:rPr>
                <w:b/>
                <w:i/>
                <w:szCs w:val="24"/>
              </w:rPr>
              <w:lastRenderedPageBreak/>
              <w:t>toetatakse artikli 6 kohase mitmekeelse klassifitseerimissüsteemiga ESCO (oskuste, kompetentside, kvalifikatsioonide ja ametite Euroopa klassifikaator).</w:t>
            </w:r>
          </w:p>
        </w:tc>
        <w:tc>
          <w:tcPr>
            <w:tcW w:w="4876" w:type="dxa"/>
            <w:hideMark/>
          </w:tcPr>
          <w:p w:rsidR="00CC3F13" w:rsidRPr="00CB6FFA" w:rsidRDefault="00834F11" w:rsidP="00834F11">
            <w:pPr>
              <w:pStyle w:val="Normal6"/>
              <w:rPr>
                <w:szCs w:val="24"/>
              </w:rPr>
            </w:pPr>
            <w:r w:rsidRPr="00CB6FFA">
              <w:rPr>
                <w:szCs w:val="24"/>
              </w:rPr>
              <w:lastRenderedPageBreak/>
              <w:t>3.</w:t>
            </w:r>
            <w:r w:rsidR="00CC3F13" w:rsidRPr="00CB6FFA">
              <w:tab/>
              <w:t>Europassiga toetatakse koostööd avatud standardite arendamisel, kasutamisel ja levitamisel, et ELi tasandil ning liikmesriikidel ja kolmandatel riikidel oleks võimalik oskuste ja kvalifikatsioonidega seotud teavet tulemuslikumalt vahetada.</w:t>
            </w:r>
            <w:r w:rsidR="00CC3F13" w:rsidRPr="00CB6FFA">
              <w:rPr>
                <w:szCs w:val="24"/>
              </w:rPr>
              <w:t xml:space="preserve"> </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57</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4 – lõige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CC3F13" w:rsidP="00834F11">
            <w:pPr>
              <w:pStyle w:val="Normal6"/>
            </w:pPr>
            <w:r w:rsidRPr="00CB6FFA">
              <w:t>1.</w:t>
            </w:r>
            <w:r w:rsidRPr="00CB6FFA">
              <w:tab/>
              <w:t>Teave</w:t>
            </w:r>
            <w:r w:rsidRPr="00CB6FFA">
              <w:rPr>
                <w:b/>
                <w:i/>
              </w:rPr>
              <w:t xml:space="preserve"> ja avatud standardid</w:t>
            </w:r>
            <w:r w:rsidRPr="00CB6FFA">
              <w:t>, mis Europassi kaudu kättesaadavaks tehakse, avaldatakse liikmesriikidele ja muudele sidusrühmadele vabatahtlikuks tasuta kasutamiseks.</w:t>
            </w:r>
          </w:p>
        </w:tc>
        <w:tc>
          <w:tcPr>
            <w:tcW w:w="4876" w:type="dxa"/>
            <w:hideMark/>
          </w:tcPr>
          <w:p w:rsidR="00CC3F13" w:rsidRPr="00CB6FFA" w:rsidRDefault="00CC3F13" w:rsidP="00834F11">
            <w:pPr>
              <w:pStyle w:val="Normal6"/>
              <w:rPr>
                <w:szCs w:val="24"/>
              </w:rPr>
            </w:pPr>
            <w:r w:rsidRPr="00CB6FFA">
              <w:t>1.</w:t>
            </w:r>
            <w:r w:rsidRPr="00CB6FFA">
              <w:tab/>
              <w:t>Teave, mis Europassi kaudu kättesaadavaks tehakse, avaldatakse liikmesriikidele ja muudele sidusrühmadele vabatahtlikuks tasuta kasutamiseks.</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58</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4 – lõige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CC3F13" w:rsidP="00834F11">
            <w:pPr>
              <w:pStyle w:val="Normal6"/>
            </w:pPr>
            <w:r w:rsidRPr="00CB6FFA">
              <w:t>2.</w:t>
            </w:r>
            <w:r w:rsidRPr="00CB6FFA">
              <w:tab/>
              <w:t>Europassi eesmärk on parandada formaalsel, mitteformaalsel ja informaalsel teel ning praktiliste, sh liikuvuskogemuste kaudu omandatud teadmiste läbipaistvust ja arusaadavust.</w:t>
            </w:r>
          </w:p>
        </w:tc>
        <w:tc>
          <w:tcPr>
            <w:tcW w:w="4876" w:type="dxa"/>
            <w:hideMark/>
          </w:tcPr>
          <w:p w:rsidR="00CC3F13" w:rsidRPr="00CB6FFA" w:rsidRDefault="00834F11" w:rsidP="00834F11">
            <w:pPr>
              <w:pStyle w:val="Normal6"/>
              <w:rPr>
                <w:szCs w:val="24"/>
              </w:rPr>
            </w:pPr>
            <w:r w:rsidRPr="00CB6FFA">
              <w:t>2.</w:t>
            </w:r>
            <w:r w:rsidR="00CC3F13" w:rsidRPr="00CB6FFA">
              <w:tab/>
              <w:t xml:space="preserve">Europassi eesmärk on parandada formaalsel, mitteformaalsel ja informaalsel teel ning praktiliste, sh </w:t>
            </w:r>
            <w:r w:rsidR="00CC3F13" w:rsidRPr="00CB6FFA">
              <w:rPr>
                <w:b/>
                <w:i/>
              </w:rPr>
              <w:t xml:space="preserve">pika- ja lühiajaliste </w:t>
            </w:r>
            <w:r w:rsidR="00CC3F13" w:rsidRPr="00CB6FFA">
              <w:t>liikuvuskogemuste kaudu omandatud teadmiste läbipaistvust ja arusaadavust</w:t>
            </w:r>
            <w:r w:rsidR="00CC3F13" w:rsidRPr="00CB6FFA">
              <w:rPr>
                <w:b/>
                <w:i/>
              </w:rPr>
              <w:t xml:space="preserve"> hariduse ja vabatahtliku töö igal tasandil. Hindamisvahendid läbivad enne Europassi lõimimist kvaliteedi tagamise protsessi</w:t>
            </w:r>
            <w:r w:rsidR="00CC3F13" w:rsidRPr="00CB6FFA">
              <w:t>.</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59</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4 – lõige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t>3.</w:t>
            </w:r>
            <w:r w:rsidRPr="00CB6FFA">
              <w:tab/>
              <w:t xml:space="preserve">Europass hõlmab vahendeid, mis aitavad kolmanda isiku poolse hindamise ja isikute enesehindamise põhjal oskustest </w:t>
            </w:r>
            <w:r w:rsidRPr="00CB6FFA">
              <w:lastRenderedPageBreak/>
              <w:t>paremini aru saada.</w:t>
            </w:r>
          </w:p>
        </w:tc>
        <w:tc>
          <w:tcPr>
            <w:tcW w:w="4876" w:type="dxa"/>
          </w:tcPr>
          <w:p w:rsidR="00CC3F13" w:rsidRPr="00CB6FFA" w:rsidRDefault="00CC3F13" w:rsidP="00834F11">
            <w:pPr>
              <w:pStyle w:val="Normal6"/>
            </w:pPr>
            <w:r w:rsidRPr="00CB6FFA">
              <w:lastRenderedPageBreak/>
              <w:t>3.</w:t>
            </w:r>
            <w:r w:rsidRPr="00CB6FFA">
              <w:tab/>
              <w:t xml:space="preserve">Europass hõlmab </w:t>
            </w:r>
            <w:r w:rsidRPr="00CB6FFA">
              <w:rPr>
                <w:b/>
                <w:i/>
              </w:rPr>
              <w:t xml:space="preserve">koordineeritud ja tõendatud </w:t>
            </w:r>
            <w:r w:rsidRPr="00CB6FFA">
              <w:t xml:space="preserve">vahendeid, mis aitavad kolmanda isiku poolse hindamise ja isikute </w:t>
            </w:r>
            <w:r w:rsidRPr="00CB6FFA">
              <w:lastRenderedPageBreak/>
              <w:t>enesehindamise põhjal oskustest paremini aru saada.</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60</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4 – lõige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t>4.</w:t>
            </w:r>
            <w:r w:rsidRPr="00CB6FFA">
              <w:tab/>
              <w:t xml:space="preserve">Europassis teabe esitamist toetava raamistikuna </w:t>
            </w:r>
            <w:r w:rsidRPr="00CB6FFA">
              <w:rPr>
                <w:b/>
                <w:i/>
              </w:rPr>
              <w:t>kasutatakse</w:t>
            </w:r>
            <w:r w:rsidRPr="00CB6FFA">
              <w:t xml:space="preserve"> Euroopa kvalifikatsiooniraamistikku (EQF). Euroopa kvalifikatsiooniraamistikku kasutatakse viiteallikana kvalifikatsioone käsitlevas teabes, riikide haridus- ja koolitussüsteemide kirjeldamisel ning muude asjakohaste teemade puhul.</w:t>
            </w:r>
          </w:p>
        </w:tc>
        <w:tc>
          <w:tcPr>
            <w:tcW w:w="4876" w:type="dxa"/>
          </w:tcPr>
          <w:p w:rsidR="00CC3F13" w:rsidRPr="00CB6FFA" w:rsidRDefault="00CC3F13" w:rsidP="00834F11">
            <w:pPr>
              <w:pStyle w:val="Normal6"/>
            </w:pPr>
            <w:r w:rsidRPr="00CB6FFA">
              <w:t>4.</w:t>
            </w:r>
            <w:r w:rsidRPr="00CB6FFA">
              <w:tab/>
              <w:t xml:space="preserve">Europassis teabe esitamist toetava raamistikuna </w:t>
            </w:r>
            <w:r w:rsidRPr="00CB6FFA">
              <w:rPr>
                <w:b/>
                <w:i/>
              </w:rPr>
              <w:t>võib kasutada</w:t>
            </w:r>
            <w:r w:rsidRPr="00CB6FFA">
              <w:t xml:space="preserve"> Euroopa kvalifikatsiooniraamistikku (EQF). Euroopa kvalifikatsiooniraamistikku kasutatakse viiteallikana kvalifikatsioone käsitlevas teabes, riikide haridus- ja koolitussüsteemide kirjeldamisel ning muude asjakohaste teemade puhul. </w:t>
            </w:r>
            <w:r w:rsidRPr="00CB6FFA">
              <w:rPr>
                <w:b/>
                <w:i/>
              </w:rPr>
              <w:t>Enne Europassi rakendamist kõrvaldatakse mis tahes lahkhelid Euroopa kvalifikatsiooniraamistiku ja ESCO pakutud raamistike vahel.</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61</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4 – lõige 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1E49BF" w:rsidP="00834F11">
            <w:pPr>
              <w:pStyle w:val="Normal6"/>
            </w:pPr>
            <w:r w:rsidRPr="00CB6FFA">
              <w:rPr>
                <w:szCs w:val="24"/>
              </w:rPr>
              <w:t>5.</w:t>
            </w:r>
            <w:r w:rsidR="00CC3F13" w:rsidRPr="00CB6FFA">
              <w:rPr>
                <w:szCs w:val="24"/>
              </w:rPr>
              <w:tab/>
            </w:r>
            <w:r w:rsidR="00CC3F13" w:rsidRPr="00CB6FFA">
              <w:rPr>
                <w:b/>
                <w:i/>
                <w:szCs w:val="24"/>
              </w:rPr>
              <w:t>Europassis kasutatakse</w:t>
            </w:r>
            <w:r w:rsidR="00CC3F13" w:rsidRPr="00CB6FFA">
              <w:rPr>
                <w:szCs w:val="24"/>
              </w:rPr>
              <w:t xml:space="preserve"> artikli 6 kohast oskuste, kompetentside, kvalifikatsioonide ja ametite Euroopa klassifikaatorit (ESCO), mis tagab dokumenteerimis- ja teabevahendite semantilise koostalitlusvõime. Lisaks </w:t>
            </w:r>
            <w:r w:rsidR="00CC3F13" w:rsidRPr="00CB6FFA">
              <w:rPr>
                <w:b/>
                <w:i/>
                <w:szCs w:val="24"/>
              </w:rPr>
              <w:t>võimaldab</w:t>
            </w:r>
            <w:r w:rsidR="00CC3F13" w:rsidRPr="00CB6FFA">
              <w:rPr>
                <w:szCs w:val="24"/>
              </w:rPr>
              <w:t xml:space="preserve"> ESCO tagada koostalitlusvõime muude asjakohaste teenustega, näiteks tööturu väljatöötatud teenused.</w:t>
            </w:r>
          </w:p>
        </w:tc>
        <w:tc>
          <w:tcPr>
            <w:tcW w:w="4876" w:type="dxa"/>
            <w:hideMark/>
          </w:tcPr>
          <w:p w:rsidR="00CC3F13" w:rsidRPr="00CB6FFA" w:rsidRDefault="00CC3F13" w:rsidP="001E49BF">
            <w:pPr>
              <w:pStyle w:val="Normal6"/>
              <w:rPr>
                <w:szCs w:val="24"/>
              </w:rPr>
            </w:pPr>
            <w:r w:rsidRPr="00CB6FFA">
              <w:rPr>
                <w:szCs w:val="24"/>
              </w:rPr>
              <w:t>5.</w:t>
            </w:r>
            <w:r w:rsidRPr="00CB6FFA">
              <w:rPr>
                <w:b/>
                <w:i/>
                <w:szCs w:val="24"/>
              </w:rPr>
              <w:tab/>
            </w:r>
            <w:r w:rsidRPr="00CB6FFA">
              <w:rPr>
                <w:b/>
                <w:i/>
              </w:rPr>
              <w:t>Kui Europass on täielikult katsetatud ja liikmesriigid on selle heaks kiitnud, võib Europassis tulemuslikult edasi arendada</w:t>
            </w:r>
            <w:r w:rsidRPr="00CB6FFA">
              <w:t xml:space="preserve"> artikli</w:t>
            </w:r>
            <w:r w:rsidR="001E49BF" w:rsidRPr="00CB6FFA">
              <w:t> </w:t>
            </w:r>
            <w:r w:rsidRPr="00CB6FFA">
              <w:t>6 kohast oskuste, kompetentside, kvalifikatsioonide ja ametite Euroopa klassifikaatorit (ESCO), mis tagab dokumenteerimis- ja teabevahendite semantilise koostalitlusvõime.</w:t>
            </w:r>
            <w:r w:rsidRPr="00CB6FFA">
              <w:rPr>
                <w:szCs w:val="24"/>
              </w:rPr>
              <w:t xml:space="preserve"> </w:t>
            </w:r>
            <w:r w:rsidRPr="00CB6FFA">
              <w:t xml:space="preserve">Lisaks </w:t>
            </w:r>
            <w:r w:rsidRPr="00CB6FFA">
              <w:rPr>
                <w:b/>
                <w:i/>
              </w:rPr>
              <w:t>võib</w:t>
            </w:r>
            <w:r w:rsidRPr="00CB6FFA">
              <w:t xml:space="preserve"> ESCO tagada koostalitlusvõime muude asjakohaste teenustega, näiteks tööturu väljatöötatud teenused. </w:t>
            </w:r>
          </w:p>
        </w:tc>
      </w:tr>
    </w:tbl>
    <w:p w:rsidR="00CC3F13" w:rsidRPr="00CB6FFA" w:rsidRDefault="00CC3F13" w:rsidP="00CC3F13"/>
    <w:p w:rsidR="00CC3F13" w:rsidRPr="00CB6FFA" w:rsidRDefault="00CC3F13" w:rsidP="00CC3F13">
      <w:pPr>
        <w:pStyle w:val="AMNumberTabs"/>
        <w:keepNext/>
      </w:pPr>
      <w:r w:rsidRPr="00CB6FFA">
        <w:lastRenderedPageBreak/>
        <w:t>Muudatusettepanek</w:t>
      </w:r>
      <w:r w:rsidRPr="00CB6FFA">
        <w:tab/>
      </w:r>
      <w:r w:rsidRPr="00CB6FFA">
        <w:tab/>
        <w:t>62</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4 – lõige 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1E49BF" w:rsidP="00834F11">
            <w:pPr>
              <w:pStyle w:val="Normal6"/>
            </w:pPr>
            <w:r w:rsidRPr="00CB6FFA">
              <w:t>6.</w:t>
            </w:r>
            <w:r w:rsidR="00CC3F13" w:rsidRPr="00CB6FFA">
              <w:tab/>
              <w:t xml:space="preserve">Europassi raamistik võib hõlmata </w:t>
            </w:r>
            <w:r w:rsidR="00CC3F13" w:rsidRPr="00CB6FFA">
              <w:rPr>
                <w:b/>
                <w:i/>
              </w:rPr>
              <w:t>kasutaja isikuandmete</w:t>
            </w:r>
            <w:r w:rsidR="00CC3F13" w:rsidRPr="00CB6FFA">
              <w:t xml:space="preserve">, nt </w:t>
            </w:r>
            <w:r w:rsidR="00CC3F13" w:rsidRPr="00CB6FFA">
              <w:rPr>
                <w:b/>
                <w:i/>
              </w:rPr>
              <w:t>isikliku</w:t>
            </w:r>
            <w:r w:rsidR="00CC3F13" w:rsidRPr="00CB6FFA">
              <w:t xml:space="preserve"> profiili</w:t>
            </w:r>
            <w:r w:rsidR="00CC3F13" w:rsidRPr="00CB6FFA">
              <w:rPr>
                <w:b/>
                <w:i/>
              </w:rPr>
              <w:t xml:space="preserve"> salvestamise võimalust</w:t>
            </w:r>
            <w:r w:rsidR="00CC3F13" w:rsidRPr="00CB6FFA">
              <w:t>.</w:t>
            </w:r>
          </w:p>
        </w:tc>
        <w:tc>
          <w:tcPr>
            <w:tcW w:w="4876" w:type="dxa"/>
            <w:hideMark/>
          </w:tcPr>
          <w:p w:rsidR="00CC3F13" w:rsidRPr="00CB6FFA" w:rsidRDefault="001E49BF" w:rsidP="00834F11">
            <w:pPr>
              <w:pStyle w:val="Normal6"/>
              <w:rPr>
                <w:szCs w:val="24"/>
              </w:rPr>
            </w:pPr>
            <w:r w:rsidRPr="00CB6FFA">
              <w:t>6.</w:t>
            </w:r>
            <w:r w:rsidR="00CC3F13" w:rsidRPr="00CB6FFA">
              <w:tab/>
              <w:t xml:space="preserve">Europassi raamistik võib hõlmata </w:t>
            </w:r>
            <w:r w:rsidR="00CC3F13" w:rsidRPr="00CB6FFA">
              <w:rPr>
                <w:b/>
                <w:i/>
              </w:rPr>
              <w:t>kasutajate jaoks võimalust salvestada oma isikuandmeid</w:t>
            </w:r>
            <w:r w:rsidR="00CC3F13" w:rsidRPr="00CB6FFA">
              <w:t xml:space="preserve">, nt </w:t>
            </w:r>
            <w:r w:rsidR="00CC3F13" w:rsidRPr="00CB6FFA">
              <w:rPr>
                <w:b/>
                <w:i/>
              </w:rPr>
              <w:t>isiklikku</w:t>
            </w:r>
            <w:r w:rsidR="00CC3F13" w:rsidRPr="00CB6FFA">
              <w:t xml:space="preserve"> profiili</w:t>
            </w:r>
            <w:r w:rsidR="00CC3F13" w:rsidRPr="00CB6FFA">
              <w:rPr>
                <w:b/>
                <w:i/>
              </w:rPr>
              <w:t>, kusjuures samas tagatakse eraelu puutumatus ja andmekaitse</w:t>
            </w:r>
            <w:r w:rsidR="00CC3F13" w:rsidRPr="00CB6FFA">
              <w:t xml:space="preserve">. </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63</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4 – lõige 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1E49BF" w:rsidP="00834F11">
            <w:pPr>
              <w:pStyle w:val="Normal6"/>
            </w:pPr>
            <w:r w:rsidRPr="00CB6FFA">
              <w:t>8.</w:t>
            </w:r>
            <w:r w:rsidR="00CC3F13" w:rsidRPr="00CB6FFA">
              <w:tab/>
              <w:t>Europassi veebivahendid tehakse kättesaadavaks Euroopa Liidu ametlikes keeltes.</w:t>
            </w:r>
          </w:p>
        </w:tc>
        <w:tc>
          <w:tcPr>
            <w:tcW w:w="4876" w:type="dxa"/>
            <w:hideMark/>
          </w:tcPr>
          <w:p w:rsidR="00CC3F13" w:rsidRPr="00CB6FFA" w:rsidRDefault="001E49BF" w:rsidP="00834F11">
            <w:pPr>
              <w:pStyle w:val="Normal6"/>
              <w:rPr>
                <w:szCs w:val="24"/>
              </w:rPr>
            </w:pPr>
            <w:r w:rsidRPr="00CB6FFA">
              <w:t>8.</w:t>
            </w:r>
            <w:r w:rsidR="00CC3F13" w:rsidRPr="00CB6FFA">
              <w:tab/>
              <w:t xml:space="preserve">Europassi </w:t>
            </w:r>
            <w:r w:rsidR="00CC3F13" w:rsidRPr="00CB6FFA">
              <w:rPr>
                <w:b/>
                <w:i/>
              </w:rPr>
              <w:t xml:space="preserve">koostalitlusvõimelised ja turvalised </w:t>
            </w:r>
            <w:r w:rsidR="00CC3F13" w:rsidRPr="00CB6FFA">
              <w:t xml:space="preserve">veebivahendid tehakse kättesaadavaks Euroopa Liidu </w:t>
            </w:r>
            <w:r w:rsidR="00CC3F13" w:rsidRPr="00CB6FFA">
              <w:rPr>
                <w:b/>
                <w:i/>
              </w:rPr>
              <w:t xml:space="preserve">kõigis </w:t>
            </w:r>
            <w:r w:rsidR="00CC3F13" w:rsidRPr="00CB6FFA">
              <w:t>ametlikes keeltes</w:t>
            </w:r>
            <w:r w:rsidR="00CC3F13" w:rsidRPr="00CB6FFA">
              <w:rPr>
                <w:b/>
                <w:i/>
              </w:rPr>
              <w:t>, nad on koostalitlusvõimelised ja turvalised ning juurdepääsetavad puuetega inimestele</w:t>
            </w:r>
            <w:r w:rsidR="00CC3F13" w:rsidRPr="00CB6FFA">
              <w:t>.</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64</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4 – lõige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CC3F13" w:rsidP="00834F11">
            <w:pPr>
              <w:pStyle w:val="Normal6"/>
            </w:pPr>
            <w:r w:rsidRPr="00CB6FFA">
              <w:t>10.</w:t>
            </w:r>
            <w:r w:rsidRPr="00CB6FFA">
              <w:tab/>
              <w:t xml:space="preserve">Europass toimib viisil, mis toetab muid liidu ja riikide tasandil pakutavaid vahendeid ja teenuseid ning tagab nendega sünergia. </w:t>
            </w:r>
            <w:r w:rsidRPr="00CB6FFA">
              <w:rPr>
                <w:b/>
                <w:i/>
              </w:rPr>
              <w:t>Avatud metaandmeskeeme koostatakse määruse (EL) 2016/589 alusel kohaldatavate tehniliste standardite kohaselt.</w:t>
            </w:r>
          </w:p>
        </w:tc>
        <w:tc>
          <w:tcPr>
            <w:tcW w:w="4876" w:type="dxa"/>
            <w:hideMark/>
          </w:tcPr>
          <w:p w:rsidR="00CC3F13" w:rsidRPr="00CB6FFA" w:rsidRDefault="00CC3F13" w:rsidP="00834F11">
            <w:pPr>
              <w:pStyle w:val="Normal6"/>
              <w:rPr>
                <w:szCs w:val="24"/>
              </w:rPr>
            </w:pPr>
            <w:r w:rsidRPr="00CB6FFA">
              <w:t>10.</w:t>
            </w:r>
            <w:r w:rsidRPr="00CB6FFA">
              <w:tab/>
              <w:t>Europass toimib viisil, mis toetab muid liidu ja riikide tasandil pakutavaid vahendeid ja teenuseid ning tagab nendega sünergia.</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65</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4 – lõige 10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lastRenderedPageBreak/>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p>
        </w:tc>
        <w:tc>
          <w:tcPr>
            <w:tcW w:w="4876" w:type="dxa"/>
          </w:tcPr>
          <w:p w:rsidR="00CC3F13" w:rsidRPr="00CB6FFA" w:rsidRDefault="001E49BF" w:rsidP="00834F11">
            <w:pPr>
              <w:pStyle w:val="Normal6"/>
            </w:pPr>
            <w:r w:rsidRPr="00CB6FFA">
              <w:rPr>
                <w:b/>
                <w:i/>
              </w:rPr>
              <w:t>10</w:t>
            </w:r>
            <w:r w:rsidR="00CC3F13" w:rsidRPr="00CB6FFA">
              <w:rPr>
                <w:b/>
                <w:i/>
              </w:rPr>
              <w:t>a.</w:t>
            </w:r>
            <w:r w:rsidR="00CC3F13" w:rsidRPr="00CB6FFA">
              <w:tab/>
            </w:r>
            <w:r w:rsidR="00CC3F13" w:rsidRPr="00CB6FFA">
              <w:rPr>
                <w:b/>
                <w:i/>
              </w:rPr>
              <w:t>Europass tagab alati oma kasutajate andmete kaitse. Kasutaja otsustab, milline teave on tööandjatele ja kasutajatele nähtav ja otsitav.</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66</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5 – lõige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t>1.</w:t>
            </w:r>
            <w:r w:rsidRPr="00CB6FFA">
              <w:tab/>
              <w:t>Europassi kvalifikatsioonilisad annavad välja riikide pädevad asutused, kasutades Euroopa Komisjoni ja muude sidusrühmade, nagu Euroopa Nõukogu ja UNESCO koostatud vorme</w:t>
            </w:r>
            <w:r w:rsidRPr="00CB6FFA">
              <w:rPr>
                <w:rStyle w:val="Sup"/>
                <w:b/>
                <w:i/>
                <w:color w:val="auto"/>
              </w:rPr>
              <w:t>32</w:t>
            </w:r>
            <w:r w:rsidRPr="00CB6FFA">
              <w:t>.</w:t>
            </w:r>
          </w:p>
        </w:tc>
        <w:tc>
          <w:tcPr>
            <w:tcW w:w="4876" w:type="dxa"/>
          </w:tcPr>
          <w:p w:rsidR="00CC3F13" w:rsidRPr="00CB6FFA" w:rsidRDefault="00CC3F13" w:rsidP="00834F11">
            <w:pPr>
              <w:pStyle w:val="Normal6"/>
            </w:pPr>
            <w:r w:rsidRPr="00CB6FFA">
              <w:t>1.</w:t>
            </w:r>
            <w:r w:rsidRPr="00CB6FFA">
              <w:tab/>
              <w:t>Europassi kvalifikatsioonilisad annavad välja riikide pädevad asutused</w:t>
            </w:r>
            <w:r w:rsidRPr="00CB6FFA">
              <w:rPr>
                <w:b/>
                <w:i/>
              </w:rPr>
              <w:t xml:space="preserve"> või tunnustatud kutseliidud ja -asutused</w:t>
            </w:r>
            <w:r w:rsidRPr="00CB6FFA">
              <w:t>, kasutades Euroopa Komisjoni ja muude sidusrühmade</w:t>
            </w:r>
            <w:r w:rsidRPr="00CB6FFA">
              <w:rPr>
                <w:rStyle w:val="Sup"/>
                <w:b/>
                <w:i/>
                <w:color w:val="auto"/>
              </w:rPr>
              <w:t>32</w:t>
            </w:r>
            <w:r w:rsidRPr="00CB6FFA">
              <w:t>, nagu Euroopa Nõukogu ja UNESCO koostatud vorme</w:t>
            </w:r>
            <w:r w:rsidRPr="00CB6FFA">
              <w:rPr>
                <w:b/>
                <w:i/>
              </w:rPr>
              <w:t>, kui need on sobivad.</w:t>
            </w:r>
            <w:r w:rsidRPr="00CB6FFA">
              <w:t xml:space="preserve"> </w:t>
            </w:r>
            <w:r w:rsidRPr="00CB6FFA">
              <w:rPr>
                <w:b/>
                <w:i/>
              </w:rPr>
              <w:t>Mis tahes muudatustes selles valdkonnas tuleks võtta arvesse Bologna protsessi jälgimise rühma diplomilisa läbivaatamise nõuanderühma töö tulemusi, neile viidata ja nendega kooskõla tagada.</w:t>
            </w:r>
          </w:p>
        </w:tc>
      </w:tr>
      <w:tr w:rsidR="00CC3F13" w:rsidRPr="00CB6FFA" w:rsidTr="00834F11">
        <w:trPr>
          <w:jc w:val="center"/>
        </w:trPr>
        <w:tc>
          <w:tcPr>
            <w:tcW w:w="4876" w:type="dxa"/>
          </w:tcPr>
          <w:p w:rsidR="00CC3F13" w:rsidRPr="00CB6FFA" w:rsidRDefault="00CC3F13" w:rsidP="00834F11">
            <w:pPr>
              <w:pStyle w:val="Normal6"/>
            </w:pPr>
            <w:r w:rsidRPr="00CB6FFA">
              <w:t>_________________</w:t>
            </w:r>
          </w:p>
        </w:tc>
        <w:tc>
          <w:tcPr>
            <w:tcW w:w="4876" w:type="dxa"/>
          </w:tcPr>
          <w:p w:rsidR="00CC3F13" w:rsidRPr="00CB6FFA" w:rsidRDefault="00CC3F13" w:rsidP="00834F11">
            <w:pPr>
              <w:pStyle w:val="Normal6"/>
            </w:pPr>
            <w:r w:rsidRPr="00CB6FFA">
              <w:t>_________________</w:t>
            </w:r>
          </w:p>
        </w:tc>
      </w:tr>
      <w:tr w:rsidR="00CC3F13" w:rsidRPr="00CB6FFA" w:rsidTr="00834F11">
        <w:trPr>
          <w:jc w:val="center"/>
        </w:trPr>
        <w:tc>
          <w:tcPr>
            <w:tcW w:w="4876" w:type="dxa"/>
          </w:tcPr>
          <w:p w:rsidR="00CC3F13" w:rsidRPr="00CB6FFA" w:rsidRDefault="00CC3F13" w:rsidP="00834F11">
            <w:pPr>
              <w:pStyle w:val="Normal6"/>
            </w:pPr>
            <w:r w:rsidRPr="00CB6FFA">
              <w:rPr>
                <w:rStyle w:val="Sup"/>
                <w:color w:val="auto"/>
              </w:rPr>
              <w:t>32</w:t>
            </w:r>
            <w:r w:rsidRPr="00CB6FFA">
              <w:t xml:space="preserve"> Praegused kvalifikatsioonilisad on kutsetunnistuse lisa ja akadeemiline õiend.</w:t>
            </w:r>
          </w:p>
        </w:tc>
        <w:tc>
          <w:tcPr>
            <w:tcW w:w="4876" w:type="dxa"/>
          </w:tcPr>
          <w:p w:rsidR="00CC3F13" w:rsidRPr="00CB6FFA" w:rsidRDefault="00CC3F13" w:rsidP="00834F11">
            <w:pPr>
              <w:pStyle w:val="Normal6"/>
            </w:pPr>
            <w:r w:rsidRPr="00CB6FFA">
              <w:rPr>
                <w:rStyle w:val="Sup"/>
                <w:color w:val="auto"/>
              </w:rPr>
              <w:t>32</w:t>
            </w:r>
            <w:r w:rsidRPr="00CB6FFA">
              <w:t xml:space="preserve"> Praegused kvalifikatsioonilisad on kutsetunnistuse lisa ja akadeemiline õiend.</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67</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5 – lõige 2 – punkt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rPr>
                <w:b/>
                <w:i/>
              </w:rPr>
              <w:t>(</w:t>
            </w:r>
            <w:r w:rsidRPr="00CB6FFA">
              <w:t>a)</w:t>
            </w:r>
            <w:r w:rsidRPr="00CB6FFA">
              <w:tab/>
              <w:t>riikide asjakohased ametiasutused peavad neid järgima kvalifikatsioonilisade koostamisel ja väljaandmisel. Eelkõige tuleks järgida andmeelementide järjekorda ja täita tuleb kõik väljad, et tagada arusaadavus ja terviklik teave;</w:t>
            </w:r>
          </w:p>
        </w:tc>
        <w:tc>
          <w:tcPr>
            <w:tcW w:w="4876" w:type="dxa"/>
          </w:tcPr>
          <w:p w:rsidR="00CC3F13" w:rsidRPr="00CB6FFA" w:rsidRDefault="00CC3F13" w:rsidP="00834F11">
            <w:pPr>
              <w:pStyle w:val="Normal6"/>
            </w:pPr>
            <w:r w:rsidRPr="00CB6FFA">
              <w:t>a)</w:t>
            </w:r>
            <w:r w:rsidRPr="00CB6FFA">
              <w:tab/>
              <w:t xml:space="preserve">riikide asjakohased ametiasutused </w:t>
            </w:r>
            <w:r w:rsidRPr="00CB6FFA">
              <w:rPr>
                <w:b/>
                <w:i/>
              </w:rPr>
              <w:t xml:space="preserve">ning tunnustatud kutseliidud ja -asutused </w:t>
            </w:r>
            <w:r w:rsidRPr="00CB6FFA">
              <w:t>peavad neid järgima kvalifikatsioonilisade koostamisel ja väljaandmisel. Eelkõige tuleks järgida andmeelementide järjekorda ja täita tuleb kõik väljad, et tagada arusaadavus ja terviklik teave;</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68</w:t>
      </w:r>
    </w:p>
    <w:p w:rsidR="00CC3F13" w:rsidRPr="00CB6FFA" w:rsidRDefault="00CC3F13" w:rsidP="00CC3F13">
      <w:pPr>
        <w:pStyle w:val="NormalBold12b"/>
      </w:pPr>
      <w:r w:rsidRPr="00CB6FFA">
        <w:lastRenderedPageBreak/>
        <w:t>Ettepanek võtta vastu otsus</w:t>
      </w:r>
    </w:p>
    <w:p w:rsidR="00CC3F13" w:rsidRPr="00CB6FFA" w:rsidRDefault="00CC3F13" w:rsidP="00CC3F13">
      <w:pPr>
        <w:pStyle w:val="NormalBold"/>
      </w:pPr>
      <w:r w:rsidRPr="00CB6FFA">
        <w:t>Artikkel 5 – lõige 2 – punkt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rPr>
                <w:b/>
                <w:i/>
              </w:rPr>
              <w:t>(</w:t>
            </w:r>
            <w:r w:rsidRPr="00CB6FFA">
              <w:t>d)</w:t>
            </w:r>
            <w:r w:rsidRPr="00CB6FFA">
              <w:tab/>
              <w:t>need tuleb asjakohasuse ja kasutatavuse tagamiseks korrapäraselt läbi vaadata.</w:t>
            </w:r>
          </w:p>
        </w:tc>
        <w:tc>
          <w:tcPr>
            <w:tcW w:w="4876" w:type="dxa"/>
          </w:tcPr>
          <w:p w:rsidR="00CC3F13" w:rsidRPr="00CB6FFA" w:rsidRDefault="00CC3F13" w:rsidP="00834F11">
            <w:pPr>
              <w:pStyle w:val="Normal6"/>
            </w:pPr>
            <w:r w:rsidRPr="00CB6FFA">
              <w:t>d)</w:t>
            </w:r>
            <w:r w:rsidRPr="00CB6FFA">
              <w:tab/>
              <w:t>need tuleb asjakohasuse ja kasutatavuse tagamiseks korrapäraselt läbi vaadata</w:t>
            </w:r>
            <w:r w:rsidRPr="00CB6FFA">
              <w:rPr>
                <w:b/>
                <w:i/>
              </w:rPr>
              <w:t>, korraldades muu hulgas kasutajate rahuloluküsitlusi ning võttes arvesse riiklike Europassi keskuste ja eksperdirühmade soovitusi</w:t>
            </w:r>
            <w:r w:rsidRPr="00CB6FFA">
              <w:t>.</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69</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5 – lõige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CC3F13" w:rsidP="001E49BF">
            <w:pPr>
              <w:pStyle w:val="Normal6"/>
            </w:pPr>
            <w:r w:rsidRPr="00CB6FFA">
              <w:rPr>
                <w:szCs w:val="24"/>
              </w:rPr>
              <w:t>3.</w:t>
            </w:r>
            <w:r w:rsidRPr="00CB6FFA">
              <w:tab/>
            </w:r>
            <w:r w:rsidRPr="00CB6FFA">
              <w:rPr>
                <w:szCs w:val="24"/>
              </w:rPr>
              <w:t xml:space="preserve">Kõik volitatud asutuste välja antavad Europassi kvalifikatsioonilisad antakse välja automaatselt, tasuta, elektrooniliselt ning riigikeeles ja/või ühes peamistest Euroopa keeltest, järgides väljaandvate asutuste ja artiklis 8 osutatud riiklike </w:t>
            </w:r>
            <w:r w:rsidRPr="00CB6FFA">
              <w:rPr>
                <w:b/>
                <w:i/>
                <w:szCs w:val="24"/>
              </w:rPr>
              <w:t>oskuste koordineerimise asutuste</w:t>
            </w:r>
            <w:r w:rsidRPr="00CB6FFA">
              <w:rPr>
                <w:szCs w:val="24"/>
              </w:rPr>
              <w:t xml:space="preserve"> vahel kokku lepitud korda ning </w:t>
            </w:r>
            <w:r w:rsidRPr="00CB6FFA">
              <w:rPr>
                <w:b/>
                <w:i/>
                <w:szCs w:val="24"/>
              </w:rPr>
              <w:t xml:space="preserve">Euroopa </w:t>
            </w:r>
            <w:r w:rsidRPr="00CB6FFA">
              <w:rPr>
                <w:szCs w:val="24"/>
              </w:rPr>
              <w:t xml:space="preserve">Komisjoni ja sidusrühmade vahel kokku lepitud </w:t>
            </w:r>
            <w:r w:rsidRPr="00CB6FFA">
              <w:rPr>
                <w:b/>
                <w:i/>
                <w:szCs w:val="24"/>
              </w:rPr>
              <w:t xml:space="preserve">mis tahes </w:t>
            </w:r>
            <w:r w:rsidRPr="00CB6FFA">
              <w:rPr>
                <w:szCs w:val="24"/>
              </w:rPr>
              <w:t xml:space="preserve">korda. </w:t>
            </w:r>
          </w:p>
        </w:tc>
        <w:tc>
          <w:tcPr>
            <w:tcW w:w="4876" w:type="dxa"/>
            <w:hideMark/>
          </w:tcPr>
          <w:p w:rsidR="00CC3F13" w:rsidRPr="00CB6FFA" w:rsidRDefault="001E49BF" w:rsidP="00834F11">
            <w:pPr>
              <w:pStyle w:val="Normal6"/>
              <w:rPr>
                <w:szCs w:val="24"/>
              </w:rPr>
            </w:pPr>
            <w:r w:rsidRPr="00CB6FFA">
              <w:rPr>
                <w:szCs w:val="24"/>
              </w:rPr>
              <w:t>3.</w:t>
            </w:r>
            <w:r w:rsidR="00CC3F13" w:rsidRPr="00CB6FFA">
              <w:tab/>
              <w:t xml:space="preserve">Kõik volitatud asutuste välja antavad Europassi kvalifikatsioonilisad antakse välja automaatselt, tasuta, elektrooniliselt ning riigikeeles ja/või ühes peamistest Euroopa keeltest, järgides väljaandvate asutuste ja artiklis 8 osutatud riiklike </w:t>
            </w:r>
            <w:r w:rsidR="00CC3F13" w:rsidRPr="00CB6FFA">
              <w:rPr>
                <w:b/>
                <w:i/>
              </w:rPr>
              <w:t>Europassi keskuste</w:t>
            </w:r>
            <w:r w:rsidR="00CC3F13" w:rsidRPr="00CB6FFA">
              <w:t xml:space="preserve"> vahel kokku lepitud korda ning komisjoni ja sidusrühmade vahel kokku lepitud korda.</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70</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CC3F13" w:rsidP="00834F11">
            <w:pPr>
              <w:pStyle w:val="Normal6"/>
              <w:jc w:val="center"/>
            </w:pPr>
            <w:r w:rsidRPr="00CB6FFA">
              <w:rPr>
                <w:b/>
                <w:i/>
              </w:rPr>
              <w:t>Artikkel 6</w:t>
            </w:r>
          </w:p>
        </w:tc>
        <w:tc>
          <w:tcPr>
            <w:tcW w:w="4876" w:type="dxa"/>
            <w:hideMark/>
          </w:tcPr>
          <w:p w:rsidR="00CC3F13" w:rsidRPr="00CB6FFA" w:rsidRDefault="00CC3F13" w:rsidP="00834F11">
            <w:pPr>
              <w:pStyle w:val="Normal6"/>
              <w:rPr>
                <w:szCs w:val="24"/>
              </w:rPr>
            </w:pPr>
            <w:r w:rsidRPr="00CB6FFA">
              <w:rPr>
                <w:b/>
                <w:i/>
              </w:rPr>
              <w:t>välja jäetud</w:t>
            </w:r>
          </w:p>
        </w:tc>
      </w:tr>
      <w:tr w:rsidR="00CC3F13" w:rsidRPr="00CB6FFA" w:rsidTr="00834F11">
        <w:trPr>
          <w:jc w:val="center"/>
        </w:trPr>
        <w:tc>
          <w:tcPr>
            <w:tcW w:w="4876" w:type="dxa"/>
            <w:hideMark/>
          </w:tcPr>
          <w:p w:rsidR="00CC3F13" w:rsidRPr="00CB6FFA" w:rsidRDefault="00CC3F13" w:rsidP="00834F11">
            <w:pPr>
              <w:pStyle w:val="Normal6"/>
              <w:jc w:val="center"/>
            </w:pPr>
            <w:r w:rsidRPr="00CB6FFA">
              <w:rPr>
                <w:b/>
                <w:i/>
              </w:rPr>
              <w:t>Oskuste, kompetentside, kvalifikatsioonide ja ametite Euroopa klassifikaator (ESCO)</w:t>
            </w:r>
          </w:p>
        </w:tc>
        <w:tc>
          <w:tcPr>
            <w:tcW w:w="4876" w:type="dxa"/>
          </w:tcPr>
          <w:p w:rsidR="00CC3F13" w:rsidRPr="00CB6FFA" w:rsidRDefault="00CC3F13" w:rsidP="00834F11">
            <w:pPr>
              <w:pStyle w:val="Normal6"/>
              <w:rPr>
                <w:szCs w:val="24"/>
              </w:rPr>
            </w:pPr>
          </w:p>
        </w:tc>
      </w:tr>
      <w:tr w:rsidR="00CC3F13" w:rsidRPr="00CB6FFA" w:rsidTr="00834F11">
        <w:trPr>
          <w:jc w:val="center"/>
        </w:trPr>
        <w:tc>
          <w:tcPr>
            <w:tcW w:w="4876" w:type="dxa"/>
            <w:hideMark/>
          </w:tcPr>
          <w:p w:rsidR="00CC3F13" w:rsidRPr="00CB6FFA" w:rsidRDefault="00CC3F13" w:rsidP="00834F11">
            <w:pPr>
              <w:pStyle w:val="Normal6"/>
            </w:pPr>
            <w:r w:rsidRPr="00CB6FFA">
              <w:rPr>
                <w:b/>
                <w:i/>
              </w:rPr>
              <w:t xml:space="preserve">1. </w:t>
            </w:r>
            <w:r w:rsidRPr="00CB6FFA">
              <w:rPr>
                <w:b/>
                <w:i/>
              </w:rPr>
              <w:tab/>
              <w:t xml:space="preserve">Komisjon haldab oskuste, kompetentside, kvalifikatsioonide ja ametite Euroopa klassifikaatorit (ESCO), mis on mitmekeelne ELi tööturu ning haridus- ja koolitussüsteemi jaoks asjakohaste üldmõistete klassifitseerimise </w:t>
            </w:r>
            <w:r w:rsidRPr="00CB6FFA">
              <w:rPr>
                <w:b/>
                <w:i/>
              </w:rPr>
              <w:lastRenderedPageBreak/>
              <w:t>süsteem.</w:t>
            </w:r>
          </w:p>
        </w:tc>
        <w:tc>
          <w:tcPr>
            <w:tcW w:w="4876" w:type="dxa"/>
          </w:tcPr>
          <w:p w:rsidR="00CC3F13" w:rsidRPr="00CB6FFA" w:rsidRDefault="00CC3F13" w:rsidP="00834F11">
            <w:pPr>
              <w:pStyle w:val="Normal6"/>
              <w:rPr>
                <w:szCs w:val="24"/>
              </w:rPr>
            </w:pPr>
          </w:p>
        </w:tc>
      </w:tr>
      <w:tr w:rsidR="00CC3F13" w:rsidRPr="00CB6FFA" w:rsidTr="00834F11">
        <w:trPr>
          <w:jc w:val="center"/>
        </w:trPr>
        <w:tc>
          <w:tcPr>
            <w:tcW w:w="4876" w:type="dxa"/>
            <w:hideMark/>
          </w:tcPr>
          <w:p w:rsidR="00CC3F13" w:rsidRPr="00CB6FFA" w:rsidRDefault="00CC3F13" w:rsidP="00834F11">
            <w:pPr>
              <w:pStyle w:val="Normal6"/>
            </w:pPr>
            <w:r w:rsidRPr="00CB6FFA">
              <w:rPr>
                <w:b/>
                <w:i/>
              </w:rPr>
              <w:t xml:space="preserve">2. </w:t>
            </w:r>
            <w:r w:rsidRPr="00CB6FFA">
              <w:rPr>
                <w:b/>
                <w:i/>
              </w:rPr>
              <w:tab/>
              <w:t>ESCO klassifikatsiooniga toetatakse vahetult Europassi toimimist, sest sellega tagatakse ühine viiteterminoloogia oskusi ja kvalifikatsioone käsitlevate andmete ja dokumentide vahetamiseks, töö otsimiseks, tööotsijate ja töökohtade kokkuviimiseks, haridus- ja koolitusvõimaluste otsimiseks ning õppe- ja kutsenõustamisteenuste pakkumiseks.</w:t>
            </w:r>
          </w:p>
        </w:tc>
        <w:tc>
          <w:tcPr>
            <w:tcW w:w="4876" w:type="dxa"/>
          </w:tcPr>
          <w:p w:rsidR="00CC3F13" w:rsidRPr="00CB6FFA" w:rsidRDefault="00CC3F13" w:rsidP="00834F11">
            <w:pPr>
              <w:pStyle w:val="Normal6"/>
              <w:rPr>
                <w:szCs w:val="24"/>
              </w:rPr>
            </w:pP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71</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7 – lõige 1 – sissejuhatav osa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t>1.</w:t>
            </w:r>
            <w:r w:rsidRPr="00CB6FFA">
              <w:tab/>
              <w:t>Komisjon teeb koostöös liikmesriikidega järgmist:</w:t>
            </w:r>
          </w:p>
        </w:tc>
        <w:tc>
          <w:tcPr>
            <w:tcW w:w="4876" w:type="dxa"/>
          </w:tcPr>
          <w:p w:rsidR="00CC3F13" w:rsidRPr="00CB6FFA" w:rsidRDefault="00CC3F13" w:rsidP="00834F11">
            <w:pPr>
              <w:pStyle w:val="Normal6"/>
            </w:pPr>
            <w:r w:rsidRPr="00CB6FFA">
              <w:t>1.</w:t>
            </w:r>
            <w:r w:rsidRPr="00CB6FFA">
              <w:tab/>
              <w:t xml:space="preserve">Komisjon teeb </w:t>
            </w:r>
            <w:r w:rsidRPr="00CB6FFA">
              <w:rPr>
                <w:b/>
                <w:i/>
              </w:rPr>
              <w:t xml:space="preserve">pärast liikmesriikidega konsulteerimist ja </w:t>
            </w:r>
            <w:r w:rsidRPr="00CB6FFA">
              <w:t>koostöös liikmesriikidega</w:t>
            </w:r>
            <w:r w:rsidRPr="00CB6FFA">
              <w:rPr>
                <w:b/>
                <w:i/>
              </w:rPr>
              <w:t>, austades samal ajal täielikult liikmesriikide vastutust haridus- ja koolituspoliitika eest,</w:t>
            </w:r>
            <w:r w:rsidRPr="00CB6FFA">
              <w:t xml:space="preserve"> järgmist:</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72</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7 – lõige 1 – punkt a</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rPr>
                <w:b/>
                <w:i/>
              </w:rPr>
              <w:t>(</w:t>
            </w:r>
            <w:r w:rsidRPr="00CB6FFA">
              <w:t>a)</w:t>
            </w:r>
            <w:r w:rsidRPr="00CB6FFA">
              <w:tab/>
              <w:t xml:space="preserve">töötab välja Europassi toimimiseks vajalikud </w:t>
            </w:r>
            <w:r w:rsidRPr="00CB6FFA">
              <w:rPr>
                <w:b/>
                <w:i/>
              </w:rPr>
              <w:t>veebivahendid</w:t>
            </w:r>
            <w:r w:rsidRPr="00CB6FFA">
              <w:t>;</w:t>
            </w:r>
          </w:p>
        </w:tc>
        <w:tc>
          <w:tcPr>
            <w:tcW w:w="4876" w:type="dxa"/>
          </w:tcPr>
          <w:p w:rsidR="00CC3F13" w:rsidRPr="00CB6FFA" w:rsidRDefault="00CC3F13" w:rsidP="00834F11">
            <w:pPr>
              <w:pStyle w:val="Normal6"/>
            </w:pPr>
            <w:r w:rsidRPr="00CB6FFA">
              <w:t>a)</w:t>
            </w:r>
            <w:r w:rsidRPr="00CB6FFA">
              <w:tab/>
              <w:t>töötab välja</w:t>
            </w:r>
            <w:r w:rsidRPr="00CB6FFA">
              <w:rPr>
                <w:b/>
                <w:i/>
              </w:rPr>
              <w:t xml:space="preserve"> </w:t>
            </w:r>
            <w:r w:rsidRPr="00CB6FFA">
              <w:t xml:space="preserve">Europassi toimimiseks vajalikud </w:t>
            </w:r>
            <w:r w:rsidRPr="00CB6FFA">
              <w:rPr>
                <w:b/>
                <w:i/>
              </w:rPr>
              <w:t>koostalitlusvõimelised, kasutajasõbralikud ja turvalised veebipõhised vahendid, mis on hõlpsasti kõigile kasutajatele juurdepääsetavad</w:t>
            </w:r>
            <w:r w:rsidRPr="00CB6FFA">
              <w:t xml:space="preserve">; </w:t>
            </w:r>
            <w:r w:rsidRPr="00CB6FFA">
              <w:rPr>
                <w:b/>
                <w:i/>
              </w:rPr>
              <w:t>Europassi dokumendid, millele on osutatud otsuse nr 2241/2004/EÜ artiklis 2, lisatakse käesoleva otsusega kehtestatud Europassi raamistikku;</w:t>
            </w:r>
            <w:r w:rsidRPr="00CB6FFA">
              <w:t xml:space="preserve"> </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73</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7 – lõige 1 – punkt a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lastRenderedPageBreak/>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p>
        </w:tc>
        <w:tc>
          <w:tcPr>
            <w:tcW w:w="4876" w:type="dxa"/>
          </w:tcPr>
          <w:p w:rsidR="00CC3F13" w:rsidRPr="00CB6FFA" w:rsidRDefault="001E49BF" w:rsidP="00834F11">
            <w:pPr>
              <w:pStyle w:val="Normal6"/>
            </w:pPr>
            <w:r w:rsidRPr="00CB6FFA">
              <w:rPr>
                <w:b/>
                <w:i/>
              </w:rPr>
              <w:t>a</w:t>
            </w:r>
            <w:r w:rsidR="00CC3F13" w:rsidRPr="00CB6FFA">
              <w:rPr>
                <w:b/>
                <w:i/>
              </w:rPr>
              <w:t>a)</w:t>
            </w:r>
            <w:r w:rsidR="00CC3F13" w:rsidRPr="00CB6FFA">
              <w:tab/>
            </w:r>
            <w:r w:rsidR="00CC3F13" w:rsidRPr="00CB6FFA">
              <w:rPr>
                <w:b/>
                <w:i/>
              </w:rPr>
              <w:t>hoiab end kursis uusima teabega veebisaitide ja mobiilirakenduste kohta, mis võivad parandada Europassi juurdepääsetavust eakate ja puuetega inimeste jaoks, ja rakendab seda teavet;</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74</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7 – lõige 1 – punkt b</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rPr>
                <w:b/>
                <w:i/>
                <w:szCs w:val="32"/>
              </w:rPr>
              <w:t>(</w:t>
            </w:r>
            <w:r w:rsidRPr="00CB6FFA">
              <w:rPr>
                <w:szCs w:val="32"/>
              </w:rPr>
              <w:t>b)</w:t>
            </w:r>
            <w:r w:rsidRPr="00CB6FFA">
              <w:rPr>
                <w:szCs w:val="32"/>
              </w:rPr>
              <w:tab/>
              <w:t xml:space="preserve">tagab, et asjakohaste kasutajate ja sidusrühmadeni jõudmiseks tehakse liidu ja riikide tasandil piisavat tutvustus- ja </w:t>
            </w:r>
            <w:r w:rsidRPr="00CB6FFA">
              <w:rPr>
                <w:b/>
                <w:i/>
                <w:szCs w:val="32"/>
              </w:rPr>
              <w:t>teavitustööd</w:t>
            </w:r>
            <w:r w:rsidRPr="00CB6FFA">
              <w:rPr>
                <w:szCs w:val="32"/>
              </w:rPr>
              <w:t>;</w:t>
            </w:r>
          </w:p>
        </w:tc>
        <w:tc>
          <w:tcPr>
            <w:tcW w:w="4876" w:type="dxa"/>
          </w:tcPr>
          <w:p w:rsidR="00CC3F13" w:rsidRPr="00CB6FFA" w:rsidRDefault="00CC3F13" w:rsidP="00834F11">
            <w:pPr>
              <w:pStyle w:val="Normal6"/>
            </w:pPr>
            <w:r w:rsidRPr="00CB6FFA">
              <w:rPr>
                <w:szCs w:val="24"/>
              </w:rPr>
              <w:t>b)</w:t>
            </w:r>
            <w:r w:rsidRPr="00CB6FFA">
              <w:rPr>
                <w:szCs w:val="24"/>
              </w:rPr>
              <w:tab/>
            </w:r>
            <w:r w:rsidRPr="00CB6FFA">
              <w:t>tagab, et asjakohaste kasutajate</w:t>
            </w:r>
            <w:r w:rsidRPr="00CB6FFA">
              <w:rPr>
                <w:b/>
                <w:i/>
              </w:rPr>
              <w:t>(sh puuetega inimeste)</w:t>
            </w:r>
            <w:r w:rsidRPr="00CB6FFA">
              <w:t xml:space="preserve"> ja sidusrühmadeni jõudmiseks tehakse liidu ja riikide tasandil piisavat </w:t>
            </w:r>
            <w:r w:rsidRPr="00CB6FFA">
              <w:rPr>
                <w:b/>
                <w:i/>
              </w:rPr>
              <w:t>ning mõjusat</w:t>
            </w:r>
            <w:r w:rsidRPr="00CB6FFA">
              <w:t xml:space="preserve"> tutvustus-</w:t>
            </w:r>
            <w:r w:rsidRPr="00CB6FFA">
              <w:rPr>
                <w:b/>
                <w:i/>
              </w:rPr>
              <w:t>, teavitus-</w:t>
            </w:r>
            <w:r w:rsidRPr="00CB6FFA">
              <w:t xml:space="preserve"> ja </w:t>
            </w:r>
            <w:r w:rsidRPr="00CB6FFA">
              <w:rPr>
                <w:b/>
                <w:i/>
              </w:rPr>
              <w:t>nõustamistööd</w:t>
            </w:r>
            <w:r w:rsidRPr="00CB6FFA">
              <w:t>;</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75</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7 – lõige 1 – punkt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rPr>
                <w:b/>
                <w:i/>
              </w:rPr>
              <w:t>(d)</w:t>
            </w:r>
            <w:r w:rsidRPr="00CB6FFA">
              <w:tab/>
            </w:r>
            <w:r w:rsidRPr="00CB6FFA">
              <w:rPr>
                <w:b/>
                <w:i/>
              </w:rPr>
              <w:t>ajakohastab korrapäraselt ESCO klassifikatsiooni tihedas koostöös liikmesriikide ja sidusrühmadega, nagu sotsiaalpartnerid, kutseliidud, haridus- ja koolitusasutused ning uurimis-, statistika- ja tööturuasutused.</w:t>
            </w:r>
          </w:p>
        </w:tc>
        <w:tc>
          <w:tcPr>
            <w:tcW w:w="4876" w:type="dxa"/>
          </w:tcPr>
          <w:p w:rsidR="00CC3F13" w:rsidRPr="00CB6FFA" w:rsidRDefault="00CC3F13" w:rsidP="00834F11">
            <w:pPr>
              <w:pStyle w:val="Normal6"/>
            </w:pPr>
            <w:r w:rsidRPr="00CB6FFA">
              <w:rPr>
                <w:b/>
                <w:i/>
              </w:rPr>
              <w:t>välja jäetud</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76</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7 – lõige 3 – punkt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rPr>
                <w:b/>
                <w:i/>
              </w:rPr>
              <w:t>(</w:t>
            </w:r>
            <w:r w:rsidRPr="00CB6FFA">
              <w:t>a)</w:t>
            </w:r>
            <w:r w:rsidRPr="00CB6FFA">
              <w:tab/>
              <w:t>edendab ja jälgib Europassi veebivahendite tulemuslikkust ning ajakohastab ja arendab Europassi teenuseid vastavalt kasutajavajadustele;</w:t>
            </w:r>
          </w:p>
        </w:tc>
        <w:tc>
          <w:tcPr>
            <w:tcW w:w="4876" w:type="dxa"/>
          </w:tcPr>
          <w:p w:rsidR="00CC3F13" w:rsidRPr="00CB6FFA" w:rsidRDefault="00CC3F13" w:rsidP="00834F11">
            <w:pPr>
              <w:pStyle w:val="Normal6"/>
            </w:pPr>
            <w:r w:rsidRPr="00CB6FFA">
              <w:t>a)</w:t>
            </w:r>
            <w:r w:rsidRPr="00CB6FFA">
              <w:tab/>
              <w:t xml:space="preserve">edendab ja jälgib Europassi </w:t>
            </w:r>
            <w:r w:rsidRPr="00CB6FFA">
              <w:rPr>
                <w:b/>
                <w:i/>
              </w:rPr>
              <w:t xml:space="preserve">koostalitlusvõimeliste, kõigile hõlpsasti juurdepääsetavate, kasutajasõbralike ja turvaliste </w:t>
            </w:r>
            <w:r w:rsidRPr="00CB6FFA">
              <w:t>veebivahendite tulemuslikkust</w:t>
            </w:r>
            <w:r w:rsidRPr="00CB6FFA">
              <w:rPr>
                <w:b/>
                <w:i/>
              </w:rPr>
              <w:t xml:space="preserve">, sealhulgas nende juurdepääsetavust </w:t>
            </w:r>
            <w:r w:rsidRPr="00CB6FFA">
              <w:rPr>
                <w:b/>
                <w:i/>
              </w:rPr>
              <w:lastRenderedPageBreak/>
              <w:t>puuetega inimeste jaoks,</w:t>
            </w:r>
            <w:r w:rsidRPr="00CB6FFA">
              <w:t xml:space="preserve"> ning ajakohastab ja arendab Europassi teenuseid vastavalt kasutajavajadustele;</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77</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7 – lõige 3 – punkt b</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1E49BF" w:rsidP="00834F11">
            <w:pPr>
              <w:pStyle w:val="Normal6"/>
            </w:pPr>
            <w:r w:rsidRPr="00CB6FFA">
              <w:rPr>
                <w:b/>
                <w:i/>
              </w:rPr>
              <w:t>(</w:t>
            </w:r>
            <w:r w:rsidRPr="00CB6FFA">
              <w:t>b)</w:t>
            </w:r>
            <w:r w:rsidR="00CC3F13" w:rsidRPr="00CB6FFA">
              <w:tab/>
              <w:t>jälgib, kui tulemuslikult toetatakse avatud standardite</w:t>
            </w:r>
            <w:r w:rsidR="00CC3F13" w:rsidRPr="00CB6FFA">
              <w:rPr>
                <w:b/>
                <w:i/>
              </w:rPr>
              <w:t>, metaandmeskeemide ja semantikavarade</w:t>
            </w:r>
            <w:r w:rsidR="00CC3F13" w:rsidRPr="00CB6FFA">
              <w:t xml:space="preserve"> arendamist</w:t>
            </w:r>
            <w:r w:rsidR="00CC3F13" w:rsidRPr="00CB6FFA">
              <w:rPr>
                <w:b/>
                <w:i/>
              </w:rPr>
              <w:t xml:space="preserve"> koostalitlusvõime tagamiseks</w:t>
            </w:r>
            <w:r w:rsidR="00CC3F13" w:rsidRPr="00CB6FFA">
              <w:t>;</w:t>
            </w:r>
          </w:p>
        </w:tc>
        <w:tc>
          <w:tcPr>
            <w:tcW w:w="4876" w:type="dxa"/>
            <w:hideMark/>
          </w:tcPr>
          <w:p w:rsidR="00CC3F13" w:rsidRPr="00CB6FFA" w:rsidRDefault="001E49BF" w:rsidP="00834F11">
            <w:pPr>
              <w:pStyle w:val="Normal6"/>
              <w:rPr>
                <w:szCs w:val="24"/>
              </w:rPr>
            </w:pPr>
            <w:r w:rsidRPr="00CB6FFA">
              <w:rPr>
                <w:szCs w:val="24"/>
              </w:rPr>
              <w:t>b)</w:t>
            </w:r>
            <w:r w:rsidR="00CC3F13" w:rsidRPr="00CB6FFA">
              <w:rPr>
                <w:szCs w:val="24"/>
              </w:rPr>
              <w:tab/>
              <w:t>jälgib, kui tulemuslikult toetatakse avatud standardite arendamist;</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78</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7 – lõige 3 – punkt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rPr>
                <w:b/>
                <w:i/>
              </w:rPr>
              <w:t>(c)</w:t>
            </w:r>
            <w:r w:rsidRPr="00CB6FFA">
              <w:tab/>
            </w:r>
            <w:r w:rsidRPr="00CB6FFA">
              <w:rPr>
                <w:b/>
                <w:i/>
              </w:rPr>
              <w:t>toetab määruse (EL) 2016/589 artikli 14 rakendamist ESCO klassifikatsiooni suhtes ja ESCO pidevat ajakohastamist;</w:t>
            </w:r>
          </w:p>
        </w:tc>
        <w:tc>
          <w:tcPr>
            <w:tcW w:w="4876" w:type="dxa"/>
          </w:tcPr>
          <w:p w:rsidR="00CC3F13" w:rsidRPr="00CB6FFA" w:rsidRDefault="00CC3F13" w:rsidP="00834F11">
            <w:pPr>
              <w:pStyle w:val="Normal6"/>
            </w:pPr>
            <w:r w:rsidRPr="00CB6FFA">
              <w:rPr>
                <w:b/>
                <w:i/>
              </w:rPr>
              <w:t>välja jäetud</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79</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7 – lõige 3 – punkt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rPr>
                <w:b/>
                <w:i/>
              </w:rPr>
              <w:t>(</w:t>
            </w:r>
            <w:r w:rsidRPr="00CB6FFA">
              <w:t>e)</w:t>
            </w:r>
            <w:r w:rsidRPr="00CB6FFA">
              <w:tab/>
              <w:t>toetab tunnustamistavasid ja -otsuseid käsitleva teabe vahetamist;</w:t>
            </w:r>
          </w:p>
        </w:tc>
        <w:tc>
          <w:tcPr>
            <w:tcW w:w="4876" w:type="dxa"/>
          </w:tcPr>
          <w:p w:rsidR="00CC3F13" w:rsidRPr="00CB6FFA" w:rsidRDefault="00CC3F13" w:rsidP="00834F11">
            <w:pPr>
              <w:pStyle w:val="Normal6"/>
            </w:pPr>
            <w:r w:rsidRPr="00CB6FFA">
              <w:t>e)</w:t>
            </w:r>
            <w:r w:rsidRPr="00CB6FFA">
              <w:tab/>
              <w:t xml:space="preserve">toetab </w:t>
            </w:r>
            <w:r w:rsidRPr="00CB6FFA">
              <w:rPr>
                <w:b/>
                <w:i/>
              </w:rPr>
              <w:t xml:space="preserve">võrreldavus- ja </w:t>
            </w:r>
            <w:r w:rsidRPr="00CB6FFA">
              <w:t>tunnustamistavasid ja -otsuseid käsitleva teabe vahetamist;</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80</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7 – lõige 3 – punkt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rPr>
                <w:b/>
                <w:i/>
              </w:rPr>
              <w:lastRenderedPageBreak/>
              <w:t>(</w:t>
            </w:r>
            <w:r w:rsidRPr="00CB6FFA">
              <w:t>f)</w:t>
            </w:r>
            <w:r w:rsidRPr="00CB6FFA">
              <w:tab/>
              <w:t>toetab nõustamispoliitika ja -teenuste arendamist;</w:t>
            </w:r>
          </w:p>
        </w:tc>
        <w:tc>
          <w:tcPr>
            <w:tcW w:w="4876" w:type="dxa"/>
          </w:tcPr>
          <w:p w:rsidR="00CC3F13" w:rsidRPr="00CB6FFA" w:rsidRDefault="00CC3F13" w:rsidP="00834F11">
            <w:pPr>
              <w:pStyle w:val="Normal6"/>
            </w:pPr>
            <w:r w:rsidRPr="00CB6FFA">
              <w:t>f)</w:t>
            </w:r>
            <w:r w:rsidRPr="00CB6FFA">
              <w:tab/>
              <w:t>toetab nõustamispoliitika ja -teenuste arendamist</w:t>
            </w:r>
            <w:r w:rsidRPr="00CB6FFA">
              <w:rPr>
                <w:b/>
                <w:i/>
              </w:rPr>
              <w:t>, sealhulgas inimestega otsekontakti kaudu</w:t>
            </w:r>
            <w:r w:rsidRPr="00CB6FFA">
              <w:t>;</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81</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7 – lõige 3 – punkt g</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1E49BF" w:rsidP="00834F11">
            <w:pPr>
              <w:pStyle w:val="Normal6"/>
            </w:pPr>
            <w:r w:rsidRPr="00CB6FFA">
              <w:rPr>
                <w:b/>
                <w:i/>
                <w:szCs w:val="24"/>
              </w:rPr>
              <w:t>(</w:t>
            </w:r>
            <w:r w:rsidRPr="00CB6FFA">
              <w:rPr>
                <w:szCs w:val="24"/>
              </w:rPr>
              <w:t>g)</w:t>
            </w:r>
            <w:r w:rsidR="00CC3F13" w:rsidRPr="00CB6FFA">
              <w:rPr>
                <w:szCs w:val="24"/>
              </w:rPr>
              <w:tab/>
              <w:t xml:space="preserve">jälgib riiklike </w:t>
            </w:r>
            <w:r w:rsidR="00CC3F13" w:rsidRPr="00CB6FFA">
              <w:rPr>
                <w:b/>
                <w:i/>
                <w:szCs w:val="24"/>
              </w:rPr>
              <w:t>oskuste koordineerimise asutuste tegevust,</w:t>
            </w:r>
            <w:r w:rsidR="00CC3F13" w:rsidRPr="00CB6FFA">
              <w:rPr>
                <w:szCs w:val="24"/>
              </w:rPr>
              <w:t xml:space="preserve"> nende asutuste poolt olemasolevate ja vajalike oskuste suundumuste analüüsimiseks esitatud teabe järjepidevust ning nende poolt asjakohasesse liidu portaali edastatud teavet õppimisvõimaluste kohta;</w:t>
            </w:r>
          </w:p>
        </w:tc>
        <w:tc>
          <w:tcPr>
            <w:tcW w:w="4876" w:type="dxa"/>
            <w:hideMark/>
          </w:tcPr>
          <w:p w:rsidR="00CC3F13" w:rsidRPr="00CB6FFA" w:rsidRDefault="001E49BF" w:rsidP="00834F11">
            <w:pPr>
              <w:pStyle w:val="Normal6"/>
              <w:rPr>
                <w:szCs w:val="24"/>
              </w:rPr>
            </w:pPr>
            <w:r w:rsidRPr="00CB6FFA">
              <w:rPr>
                <w:szCs w:val="24"/>
              </w:rPr>
              <w:t>g)</w:t>
            </w:r>
            <w:r w:rsidR="00CC3F13" w:rsidRPr="00CB6FFA">
              <w:rPr>
                <w:szCs w:val="24"/>
              </w:rPr>
              <w:tab/>
              <w:t xml:space="preserve">jälgib riiklike </w:t>
            </w:r>
            <w:r w:rsidR="00CC3F13" w:rsidRPr="00CB6FFA">
              <w:rPr>
                <w:b/>
                <w:i/>
                <w:szCs w:val="24"/>
              </w:rPr>
              <w:t>Europassi keskuste tegevust ja</w:t>
            </w:r>
            <w:r w:rsidR="00CC3F13" w:rsidRPr="00CB6FFA">
              <w:rPr>
                <w:szCs w:val="24"/>
              </w:rPr>
              <w:t xml:space="preserve"> nende asutuste poolt olemasolevate ja vajalike oskuste suundumuste analüüsimiseks esitatud teabe järjepidevust ning nende poolt asjakohasesse liidu portaali edastatud teavet õppimisvõimaluste kohta; </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82</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7 – lõige 3 – punkt h</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CC3F13" w:rsidP="00834F11">
            <w:pPr>
              <w:pStyle w:val="Normal6"/>
            </w:pPr>
            <w:r w:rsidRPr="00CB6FFA">
              <w:rPr>
                <w:b/>
                <w:i/>
              </w:rPr>
              <w:t>(</w:t>
            </w:r>
            <w:r w:rsidRPr="00CB6FFA">
              <w:t>h)</w:t>
            </w:r>
            <w:r w:rsidRPr="00CB6FFA">
              <w:tab/>
              <w:t xml:space="preserve">korraldab liikmesriikide vahel </w:t>
            </w:r>
            <w:r w:rsidRPr="00CB6FFA">
              <w:rPr>
                <w:b/>
                <w:i/>
              </w:rPr>
              <w:t xml:space="preserve">vastastikust hindamist ja </w:t>
            </w:r>
            <w:r w:rsidRPr="00CB6FFA">
              <w:t>parimate tavade jagamist.</w:t>
            </w:r>
          </w:p>
        </w:tc>
        <w:tc>
          <w:tcPr>
            <w:tcW w:w="4876" w:type="dxa"/>
            <w:hideMark/>
          </w:tcPr>
          <w:p w:rsidR="00CC3F13" w:rsidRPr="00CB6FFA" w:rsidRDefault="00CC3F13" w:rsidP="00834F11">
            <w:pPr>
              <w:pStyle w:val="Normal6"/>
              <w:rPr>
                <w:szCs w:val="24"/>
              </w:rPr>
            </w:pPr>
            <w:r w:rsidRPr="00CB6FFA">
              <w:t>h)</w:t>
            </w:r>
            <w:r w:rsidRPr="00CB6FFA">
              <w:tab/>
              <w:t>korraldab liikmesriikide vahel parimate tavade jagamist.</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83</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8 – lõige 1 – punkt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r w:rsidRPr="00CB6FFA">
              <w:rPr>
                <w:b/>
                <w:i/>
              </w:rPr>
              <w:t>(</w:t>
            </w:r>
            <w:r w:rsidRPr="00CB6FFA">
              <w:t>a)</w:t>
            </w:r>
            <w:r w:rsidRPr="00CB6FFA">
              <w:tab/>
              <w:t xml:space="preserve">määrab riigi olusid arvesse võttes riikliku </w:t>
            </w:r>
            <w:r w:rsidRPr="00CB6FFA">
              <w:rPr>
                <w:b/>
                <w:i/>
              </w:rPr>
              <w:t>oskuste koordineerimise asutuse</w:t>
            </w:r>
            <w:r w:rsidRPr="00CB6FFA">
              <w:t xml:space="preserve"> ja haldab seda, et toetada käesolevas otsuses osutatud riigisiseste teenuste vahelist koordineerimist ja koostööd;</w:t>
            </w:r>
          </w:p>
        </w:tc>
        <w:tc>
          <w:tcPr>
            <w:tcW w:w="4876" w:type="dxa"/>
          </w:tcPr>
          <w:p w:rsidR="00CC3F13" w:rsidRPr="00CB6FFA" w:rsidRDefault="00CC3F13" w:rsidP="00834F11">
            <w:pPr>
              <w:pStyle w:val="Normal6"/>
            </w:pPr>
            <w:r w:rsidRPr="00CB6FFA">
              <w:t>a)</w:t>
            </w:r>
            <w:r w:rsidRPr="00CB6FFA">
              <w:tab/>
              <w:t xml:space="preserve">määrab riigi olusid arvesse võttes riikliku </w:t>
            </w:r>
            <w:r w:rsidRPr="00CB6FFA">
              <w:rPr>
                <w:b/>
                <w:i/>
              </w:rPr>
              <w:t>Europassi keskuse</w:t>
            </w:r>
            <w:r w:rsidRPr="00CB6FFA">
              <w:t xml:space="preserve"> ja haldab seda, et toetada</w:t>
            </w:r>
            <w:r w:rsidRPr="00CB6FFA">
              <w:rPr>
                <w:b/>
                <w:i/>
              </w:rPr>
              <w:t xml:space="preserve"> nii</w:t>
            </w:r>
            <w:r w:rsidRPr="00CB6FFA">
              <w:t xml:space="preserve"> käesolevas otsuses osutatud</w:t>
            </w:r>
            <w:r w:rsidRPr="00CB6FFA">
              <w:rPr>
                <w:b/>
                <w:i/>
              </w:rPr>
              <w:t xml:space="preserve"> konkreetsete tegevuste kui ka</w:t>
            </w:r>
            <w:r w:rsidRPr="00CB6FFA">
              <w:t xml:space="preserve"> riigisiseste teenuste vahelist koordineerimist ja koostööd;</w:t>
            </w:r>
          </w:p>
        </w:tc>
      </w:tr>
    </w:tbl>
    <w:p w:rsidR="00CC3F13" w:rsidRPr="00CB6FFA" w:rsidRDefault="00CC3F13" w:rsidP="00CC3F13"/>
    <w:p w:rsidR="00CC3F13" w:rsidRPr="00CB6FFA" w:rsidRDefault="00CC3F13" w:rsidP="00CC3F13">
      <w:pPr>
        <w:pStyle w:val="AMNumberTabs"/>
        <w:keepNext/>
      </w:pPr>
      <w:r w:rsidRPr="00CB6FFA">
        <w:lastRenderedPageBreak/>
        <w:t>Muudatusettepanek</w:t>
      </w:r>
      <w:r w:rsidRPr="00CB6FFA">
        <w:tab/>
      </w:r>
      <w:r w:rsidRPr="00CB6FFA">
        <w:tab/>
        <w:t>84</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8 – lõige 1 – punkt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CC3F13" w:rsidP="00834F11">
            <w:pPr>
              <w:pStyle w:val="Normal6"/>
            </w:pPr>
            <w:r w:rsidRPr="00CB6FFA">
              <w:rPr>
                <w:b/>
                <w:i/>
              </w:rPr>
              <w:t>(</w:t>
            </w:r>
            <w:r w:rsidRPr="00CB6FFA">
              <w:t>b)</w:t>
            </w:r>
            <w:r w:rsidRPr="00CB6FFA">
              <w:tab/>
              <w:t xml:space="preserve">tagab riikliku </w:t>
            </w:r>
            <w:r w:rsidRPr="00CB6FFA">
              <w:rPr>
                <w:b/>
                <w:i/>
              </w:rPr>
              <w:t>oskuste koordineerimise asutuse</w:t>
            </w:r>
            <w:r w:rsidRPr="00CB6FFA">
              <w:t xml:space="preserve"> kaudu, et riigi tasandil kättesaadavad andmed ja teave esitatakse õigeaegselt ja tulemuslikult Europassi raamistiku ajakohastamiseks;</w:t>
            </w:r>
          </w:p>
        </w:tc>
        <w:tc>
          <w:tcPr>
            <w:tcW w:w="4876" w:type="dxa"/>
            <w:hideMark/>
          </w:tcPr>
          <w:p w:rsidR="00CC3F13" w:rsidRPr="00CB6FFA" w:rsidRDefault="00CC3F13" w:rsidP="00834F11">
            <w:pPr>
              <w:pStyle w:val="Normal6"/>
              <w:rPr>
                <w:szCs w:val="24"/>
              </w:rPr>
            </w:pPr>
            <w:r w:rsidRPr="00CB6FFA">
              <w:t>b)</w:t>
            </w:r>
            <w:r w:rsidRPr="00CB6FFA">
              <w:tab/>
              <w:t xml:space="preserve">tagab riikliku </w:t>
            </w:r>
            <w:r w:rsidRPr="00CB6FFA">
              <w:rPr>
                <w:b/>
                <w:i/>
              </w:rPr>
              <w:t>Europassi keskuse</w:t>
            </w:r>
            <w:r w:rsidRPr="00CB6FFA">
              <w:t xml:space="preserve"> kaudu, et riigi tasandil kättesaadavad andmed ja teave esitatakse õigeaegselt ja tulemuslikult Europassi raamistiku ajakohastamiseks;</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85</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8 – lõige 1 – punkt c</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1E49BF" w:rsidP="00834F11">
            <w:pPr>
              <w:pStyle w:val="Normal6"/>
            </w:pPr>
            <w:r w:rsidRPr="00CB6FFA">
              <w:rPr>
                <w:b/>
                <w:i/>
                <w:szCs w:val="24"/>
              </w:rPr>
              <w:t>(</w:t>
            </w:r>
            <w:r w:rsidRPr="00CB6FFA">
              <w:rPr>
                <w:szCs w:val="24"/>
              </w:rPr>
              <w:t>c)</w:t>
            </w:r>
            <w:r w:rsidR="00CC3F13" w:rsidRPr="00CB6FFA">
              <w:rPr>
                <w:szCs w:val="24"/>
              </w:rPr>
              <w:tab/>
              <w:t xml:space="preserve">tagab Europassi kasutajatele juurdepääsu liikmesriigis kättesaadavatele andmetele ja asjakohasele teabele, eelkõige teabele </w:t>
            </w:r>
            <w:r w:rsidR="00CC3F13" w:rsidRPr="00CB6FFA">
              <w:rPr>
                <w:b/>
                <w:i/>
                <w:szCs w:val="24"/>
              </w:rPr>
              <w:t>õppimisvõimaluste</w:t>
            </w:r>
            <w:r w:rsidR="00CC3F13" w:rsidRPr="00CB6FFA">
              <w:rPr>
                <w:szCs w:val="24"/>
              </w:rPr>
              <w:t>, kvalifikatsioonide ja kvalifikatsioonisüsteemide kohta, ning riigi tasandi semantikavaradele;</w:t>
            </w:r>
          </w:p>
        </w:tc>
        <w:tc>
          <w:tcPr>
            <w:tcW w:w="4876" w:type="dxa"/>
            <w:hideMark/>
          </w:tcPr>
          <w:p w:rsidR="00CC3F13" w:rsidRPr="00CB6FFA" w:rsidRDefault="001E49BF" w:rsidP="00834F11">
            <w:pPr>
              <w:pStyle w:val="Normal6"/>
              <w:rPr>
                <w:szCs w:val="24"/>
              </w:rPr>
            </w:pPr>
            <w:r w:rsidRPr="00CB6FFA">
              <w:t>c)</w:t>
            </w:r>
            <w:r w:rsidR="00CC3F13" w:rsidRPr="00CB6FFA">
              <w:tab/>
              <w:t xml:space="preserve">tagab Europassi kasutajatele </w:t>
            </w:r>
            <w:r w:rsidR="00CC3F13" w:rsidRPr="00CB6FFA">
              <w:rPr>
                <w:b/>
                <w:i/>
              </w:rPr>
              <w:t xml:space="preserve">lihtsal, tulemuslikul ja kulutõhusal viisil </w:t>
            </w:r>
            <w:r w:rsidR="00CC3F13" w:rsidRPr="00CB6FFA">
              <w:t xml:space="preserve">juurdepääsu liikmesriigis kättesaadavatele andmetele ja asjakohasele teabele, eelkõige teabele </w:t>
            </w:r>
            <w:r w:rsidR="00CC3F13" w:rsidRPr="00CB6FFA">
              <w:rPr>
                <w:b/>
                <w:i/>
              </w:rPr>
              <w:t>õppimis- ja valideerimisvõimaluste</w:t>
            </w:r>
            <w:r w:rsidR="00CC3F13" w:rsidRPr="00CB6FFA">
              <w:t>, kvalifikatsioonide ja kvalifikatsioonisüsteemide kohta, ning riigi tasandi semantikavaradele;</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86</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8 – lõige 1 – punkt d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CC3F13" w:rsidP="00834F11">
            <w:pPr>
              <w:pStyle w:val="Normal6"/>
            </w:pPr>
          </w:p>
        </w:tc>
        <w:tc>
          <w:tcPr>
            <w:tcW w:w="4876" w:type="dxa"/>
          </w:tcPr>
          <w:p w:rsidR="00CC3F13" w:rsidRPr="00CB6FFA" w:rsidRDefault="001E49BF" w:rsidP="00834F11">
            <w:pPr>
              <w:pStyle w:val="Normal6"/>
            </w:pPr>
            <w:r w:rsidRPr="00CB6FFA">
              <w:rPr>
                <w:b/>
                <w:i/>
              </w:rPr>
              <w:t>d</w:t>
            </w:r>
            <w:r w:rsidR="00CC3F13" w:rsidRPr="00CB6FFA">
              <w:rPr>
                <w:b/>
                <w:i/>
              </w:rPr>
              <w:t>a)</w:t>
            </w:r>
            <w:r w:rsidR="00CC3F13" w:rsidRPr="00CB6FFA">
              <w:tab/>
            </w:r>
            <w:r w:rsidR="00CC3F13" w:rsidRPr="00CB6FFA">
              <w:rPr>
                <w:b/>
                <w:i/>
              </w:rPr>
              <w:t>tagab Europassi nähtavuse ja selle edendamise riiklikul tasandil haridus- ja koolitusasutuste ning muude hariduse, koolituse ja tööhõive valdkonna sidusrühmade kaudu;</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87</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8 – lõige 2 – sissejuhatav osa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CC3F13" w:rsidP="00834F11">
            <w:pPr>
              <w:pStyle w:val="Normal6"/>
            </w:pPr>
            <w:r w:rsidRPr="00CB6FFA">
              <w:t>2.</w:t>
            </w:r>
            <w:r w:rsidRPr="00CB6FFA">
              <w:tab/>
              <w:t xml:space="preserve">Riiklik </w:t>
            </w:r>
            <w:r w:rsidRPr="00CB6FFA">
              <w:rPr>
                <w:b/>
                <w:i/>
              </w:rPr>
              <w:t>oskuste koordineerimise asutus</w:t>
            </w:r>
            <w:r w:rsidRPr="00CB6FFA">
              <w:t xml:space="preserve"> teeb järgmist:</w:t>
            </w:r>
          </w:p>
        </w:tc>
        <w:tc>
          <w:tcPr>
            <w:tcW w:w="4876" w:type="dxa"/>
            <w:hideMark/>
          </w:tcPr>
          <w:p w:rsidR="00CC3F13" w:rsidRPr="00CB6FFA" w:rsidRDefault="00CC3F13" w:rsidP="00834F11">
            <w:pPr>
              <w:pStyle w:val="Normal6"/>
              <w:rPr>
                <w:szCs w:val="24"/>
              </w:rPr>
            </w:pPr>
            <w:r w:rsidRPr="00CB6FFA">
              <w:t>2.</w:t>
            </w:r>
            <w:r w:rsidRPr="00CB6FFA">
              <w:tab/>
              <w:t xml:space="preserve">Riiklik </w:t>
            </w:r>
            <w:r w:rsidRPr="00CB6FFA">
              <w:rPr>
                <w:b/>
                <w:i/>
              </w:rPr>
              <w:t>Europassi keskus</w:t>
            </w:r>
            <w:r w:rsidRPr="00CB6FFA">
              <w:t xml:space="preserve"> teeb järgmist:</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88</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8 – lõige 2 – punkt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1E49BF" w:rsidP="00834F11">
            <w:pPr>
              <w:pStyle w:val="Normal6"/>
            </w:pPr>
            <w:r w:rsidRPr="00CB6FFA">
              <w:rPr>
                <w:b/>
                <w:i/>
              </w:rPr>
              <w:t>(</w:t>
            </w:r>
            <w:r w:rsidRPr="00CB6FFA">
              <w:t>b)</w:t>
            </w:r>
            <w:r w:rsidR="00CC3F13" w:rsidRPr="00CB6FFA">
              <w:tab/>
              <w:t>levitab ja annab teavet õppe- ja kutsenõustamisteenuste kohta</w:t>
            </w:r>
            <w:r w:rsidR="00CC3F13" w:rsidRPr="00CB6FFA">
              <w:rPr>
                <w:b/>
                <w:i/>
              </w:rPr>
              <w:t xml:space="preserve"> ning teeb riigi tasandil ja liidu veebivahendis üldsusele kättesaadavaks õppimisvõimalusi käsitleva teabe</w:t>
            </w:r>
            <w:r w:rsidR="00CC3F13" w:rsidRPr="00CB6FFA">
              <w:t xml:space="preserve">; </w:t>
            </w:r>
          </w:p>
        </w:tc>
        <w:tc>
          <w:tcPr>
            <w:tcW w:w="4876" w:type="dxa"/>
            <w:hideMark/>
          </w:tcPr>
          <w:p w:rsidR="00CC3F13" w:rsidRPr="00CB6FFA" w:rsidRDefault="00CC3F13" w:rsidP="00834F11">
            <w:pPr>
              <w:pStyle w:val="Normal6"/>
            </w:pPr>
            <w:r w:rsidRPr="00CB6FFA">
              <w:t>b)</w:t>
            </w:r>
            <w:r w:rsidRPr="00CB6FFA">
              <w:tab/>
              <w:t>levitab ja annab teavet õppe- ja kutsenõustamisteenuste kohta</w:t>
            </w:r>
            <w:r w:rsidRPr="00CB6FFA">
              <w:rPr>
                <w:b/>
                <w:i/>
              </w:rPr>
              <w:t>, kui see on asjakohane</w:t>
            </w:r>
            <w:r w:rsidRPr="00CB6FFA">
              <w:t xml:space="preserve">; </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89</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8 – lõige 2 – punkt c</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tcPr>
          <w:p w:rsidR="00CC3F13" w:rsidRPr="00CB6FFA" w:rsidRDefault="00CC3F13" w:rsidP="00834F11">
            <w:pPr>
              <w:pStyle w:val="Normal6"/>
              <w:rPr>
                <w:b/>
                <w:i/>
              </w:rPr>
            </w:pPr>
            <w:r w:rsidRPr="00CB6FFA">
              <w:rPr>
                <w:b/>
                <w:i/>
              </w:rPr>
              <w:t>(c)</w:t>
            </w:r>
            <w:r w:rsidRPr="00CB6FFA">
              <w:rPr>
                <w:b/>
                <w:i/>
              </w:rPr>
              <w:tab/>
              <w:t>jälgib tõenditel põhineva ja reaalajas saadava oskusi käsitleva teabe kogumist ja levitamist riigi ja piirkondade tasandil;</w:t>
            </w:r>
          </w:p>
        </w:tc>
        <w:tc>
          <w:tcPr>
            <w:tcW w:w="4876" w:type="dxa"/>
          </w:tcPr>
          <w:p w:rsidR="00CC3F13" w:rsidRPr="00CB6FFA" w:rsidRDefault="00CC3F13" w:rsidP="00834F11">
            <w:pPr>
              <w:pStyle w:val="Normal6"/>
              <w:rPr>
                <w:b/>
                <w:i/>
                <w:szCs w:val="24"/>
              </w:rPr>
            </w:pPr>
            <w:r w:rsidRPr="00CB6FFA">
              <w:rPr>
                <w:b/>
                <w:i/>
                <w:szCs w:val="24"/>
              </w:rPr>
              <w:t>välja jäetud</w:t>
            </w:r>
          </w:p>
        </w:tc>
      </w:tr>
    </w:tbl>
    <w:p w:rsidR="00CC3F13" w:rsidRPr="00CB6FFA" w:rsidRDefault="00CC3F13" w:rsidP="00CC3F13"/>
    <w:p w:rsidR="00CC3F13" w:rsidRPr="00CB6FFA" w:rsidRDefault="00CC3F13" w:rsidP="00CC3F13">
      <w:pPr>
        <w:pStyle w:val="AMNumberTabs"/>
        <w:keepNext/>
      </w:pPr>
      <w:r w:rsidRPr="00CB6FFA">
        <w:t>Muudatusettepanek</w:t>
      </w:r>
      <w:r w:rsidRPr="00CB6FFA">
        <w:tab/>
      </w:r>
      <w:r w:rsidRPr="00CB6FFA">
        <w:tab/>
        <w:t>90</w:t>
      </w:r>
    </w:p>
    <w:p w:rsidR="00CC3F13" w:rsidRPr="00CB6FFA" w:rsidRDefault="00CC3F13" w:rsidP="00CC3F13">
      <w:pPr>
        <w:pStyle w:val="NormalBold12b"/>
        <w:keepNext/>
      </w:pPr>
      <w:r w:rsidRPr="00CB6FFA">
        <w:t>Ettepanek võtta vastu otsus</w:t>
      </w:r>
    </w:p>
    <w:p w:rsidR="00CC3F13" w:rsidRPr="00CB6FFA" w:rsidRDefault="00CC3F13" w:rsidP="00CC3F13">
      <w:pPr>
        <w:pStyle w:val="NormalBold"/>
      </w:pPr>
      <w:r w:rsidRPr="00CB6FFA">
        <w:t>Artikkel 8 – lõige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jc w:val="center"/>
        </w:trPr>
        <w:tc>
          <w:tcPr>
            <w:tcW w:w="9752" w:type="dxa"/>
            <w:gridSpan w:val="2"/>
          </w:tcPr>
          <w:p w:rsidR="00CC3F13" w:rsidRPr="00CB6FFA" w:rsidRDefault="00CC3F13" w:rsidP="00834F11">
            <w:pPr>
              <w:keepNext/>
            </w:pPr>
          </w:p>
        </w:tc>
      </w:tr>
      <w:tr w:rsidR="00CC3F13" w:rsidRPr="00CB6FFA" w:rsidTr="00834F11">
        <w:trPr>
          <w:jc w:val="center"/>
        </w:trPr>
        <w:tc>
          <w:tcPr>
            <w:tcW w:w="4876" w:type="dxa"/>
            <w:hideMark/>
          </w:tcPr>
          <w:p w:rsidR="00CC3F13" w:rsidRPr="00CB6FFA" w:rsidRDefault="00CC3F13" w:rsidP="00834F11">
            <w:pPr>
              <w:pStyle w:val="ColumnHeading"/>
              <w:keepNext/>
            </w:pPr>
            <w:r w:rsidRPr="00CB6FFA">
              <w:t>Komisjoni ettepanek</w:t>
            </w:r>
          </w:p>
        </w:tc>
        <w:tc>
          <w:tcPr>
            <w:tcW w:w="4876" w:type="dxa"/>
            <w:hideMark/>
          </w:tcPr>
          <w:p w:rsidR="00CC3F13" w:rsidRPr="00CB6FFA" w:rsidRDefault="00CC3F13" w:rsidP="00834F11">
            <w:pPr>
              <w:pStyle w:val="ColumnHeading"/>
              <w:keepNext/>
            </w:pPr>
            <w:r w:rsidRPr="00CB6FFA">
              <w:t>Muudatusettepanek</w:t>
            </w:r>
          </w:p>
        </w:tc>
      </w:tr>
      <w:tr w:rsidR="00CC3F13" w:rsidRPr="00CB6FFA" w:rsidTr="00834F11">
        <w:trPr>
          <w:jc w:val="center"/>
        </w:trPr>
        <w:tc>
          <w:tcPr>
            <w:tcW w:w="4876" w:type="dxa"/>
            <w:hideMark/>
          </w:tcPr>
          <w:p w:rsidR="00CC3F13" w:rsidRPr="00CB6FFA" w:rsidRDefault="00CC3F13" w:rsidP="00834F11">
            <w:pPr>
              <w:pStyle w:val="Normal6"/>
            </w:pPr>
            <w:r w:rsidRPr="00CB6FFA">
              <w:t>3.</w:t>
            </w:r>
            <w:r w:rsidRPr="00CB6FFA">
              <w:tab/>
              <w:t xml:space="preserve">Riiklikud </w:t>
            </w:r>
            <w:r w:rsidRPr="00CB6FFA">
              <w:rPr>
                <w:b/>
                <w:i/>
              </w:rPr>
              <w:t>oskuste koordineerimise asutused</w:t>
            </w:r>
            <w:r w:rsidRPr="00CB6FFA">
              <w:t xml:space="preserve"> on käesoleva otsuse rakendamiseks eraldatud liidu rahaliste vahendite saajad.</w:t>
            </w:r>
          </w:p>
        </w:tc>
        <w:tc>
          <w:tcPr>
            <w:tcW w:w="4876" w:type="dxa"/>
            <w:hideMark/>
          </w:tcPr>
          <w:p w:rsidR="00CC3F13" w:rsidRPr="00CB6FFA" w:rsidRDefault="00CC3F13" w:rsidP="00834F11">
            <w:pPr>
              <w:pStyle w:val="Normal6"/>
              <w:rPr>
                <w:szCs w:val="24"/>
              </w:rPr>
            </w:pPr>
            <w:r w:rsidRPr="00CB6FFA">
              <w:t>3.</w:t>
            </w:r>
            <w:r w:rsidRPr="00CB6FFA">
              <w:tab/>
              <w:t xml:space="preserve">Riiklikud </w:t>
            </w:r>
            <w:r w:rsidRPr="00CB6FFA">
              <w:rPr>
                <w:b/>
                <w:i/>
              </w:rPr>
              <w:t>Europassi keskused</w:t>
            </w:r>
            <w:r w:rsidRPr="00CB6FFA">
              <w:t xml:space="preserve"> on käesoleva otsuse rakendamiseks eraldatud liidu rahaliste vahendite saajad.</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91</w:t>
      </w:r>
    </w:p>
    <w:p w:rsidR="00CC3F13" w:rsidRPr="00CB6FFA" w:rsidRDefault="00CC3F13" w:rsidP="00CC3F13">
      <w:pPr>
        <w:pStyle w:val="NormalBold12b"/>
      </w:pPr>
      <w:r w:rsidRPr="00CB6FFA">
        <w:lastRenderedPageBreak/>
        <w:t>Ettepanek võtta vastu otsus</w:t>
      </w:r>
    </w:p>
    <w:p w:rsidR="00CC3F13" w:rsidRPr="00CB6FFA" w:rsidRDefault="00CC3F13" w:rsidP="00CC3F13">
      <w:pPr>
        <w:pStyle w:val="NormalBold"/>
      </w:pPr>
      <w:r w:rsidRPr="00CB6FFA">
        <w:t>Artikkel 9 – lõik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766C19">
        <w:trPr>
          <w:jc w:val="center"/>
        </w:trPr>
        <w:tc>
          <w:tcPr>
            <w:tcW w:w="4876" w:type="dxa"/>
          </w:tcPr>
          <w:p w:rsidR="00CC3F13" w:rsidRPr="00CB6FFA" w:rsidRDefault="00CC3F13" w:rsidP="00834F11">
            <w:pPr>
              <w:pStyle w:val="Normal6"/>
            </w:pPr>
            <w:r w:rsidRPr="00CB6FFA">
              <w:t>Käesoleva otsusega ette nähtud meetmeid viiakse ellu kooskõlas isikuandmete kaitset käsitlevate ELi õigusaktidega, eelkõige direktiiviga 95/46/EÜ ja määrusega (EÜ) nr 45/2001</w:t>
            </w:r>
            <w:r w:rsidRPr="00CB6FFA">
              <w:rPr>
                <w:rStyle w:val="Sup"/>
                <w:color w:val="auto"/>
              </w:rPr>
              <w:t>33</w:t>
            </w:r>
            <w:r w:rsidRPr="00CB6FFA">
              <w:t>.</w:t>
            </w:r>
          </w:p>
        </w:tc>
        <w:tc>
          <w:tcPr>
            <w:tcW w:w="4876" w:type="dxa"/>
            <w:shd w:val="clear" w:color="auto" w:fill="auto"/>
          </w:tcPr>
          <w:p w:rsidR="00CC3F13" w:rsidRPr="00CB6FFA" w:rsidRDefault="00CC3F13" w:rsidP="00766C19">
            <w:pPr>
              <w:pStyle w:val="Normal6"/>
            </w:pPr>
            <w:r w:rsidRPr="00CB6FFA">
              <w:t>Käesoleva otsusega ette nähtud meetmeid viiakse ellu kooskõlas isikuandmete kaitset käsitlevate ELi õigusaktidega, eelkõige direktii</w:t>
            </w:r>
            <w:r w:rsidR="00766C19" w:rsidRPr="00CB6FFA">
              <w:t xml:space="preserve">viga 95/46/EÜ ja määrusega (EÜ) </w:t>
            </w:r>
            <w:r w:rsidRPr="00CB6FFA">
              <w:t>nr</w:t>
            </w:r>
            <w:r w:rsidR="00766C19" w:rsidRPr="00CB6FFA">
              <w:t> </w:t>
            </w:r>
            <w:r w:rsidRPr="00CB6FFA">
              <w:t>45/2001</w:t>
            </w:r>
            <w:r w:rsidRPr="00CB6FFA">
              <w:rPr>
                <w:rStyle w:val="Sup"/>
                <w:color w:val="auto"/>
              </w:rPr>
              <w:t>33</w:t>
            </w:r>
            <w:r w:rsidRPr="00CB6FFA">
              <w:t>.</w:t>
            </w:r>
            <w:r w:rsidRPr="00CB6FFA">
              <w:br/>
            </w:r>
            <w:r w:rsidRPr="00CB6FFA">
              <w:rPr>
                <w:b/>
                <w:i/>
              </w:rPr>
              <w:t>Isikuandmeid kaitstakse kõrgeimate standardite kohaselt. Isikuandmed jäävad andmesubjekti käsutusse, kes on võib neid parandada või kustutada. Kui isikuandmeid töödeldakse Europassi jaoks, muudetakse need anonüümseks.</w:t>
            </w:r>
          </w:p>
        </w:tc>
      </w:tr>
      <w:tr w:rsidR="00CC3F13" w:rsidRPr="00CB6FFA" w:rsidTr="00834F11">
        <w:trPr>
          <w:jc w:val="center"/>
        </w:trPr>
        <w:tc>
          <w:tcPr>
            <w:tcW w:w="4876" w:type="dxa"/>
          </w:tcPr>
          <w:p w:rsidR="00CC3F13" w:rsidRPr="00CB6FFA" w:rsidRDefault="00CC3F13" w:rsidP="00834F11">
            <w:pPr>
              <w:pStyle w:val="Normal6"/>
            </w:pPr>
            <w:r w:rsidRPr="00CB6FFA">
              <w:t>_________________</w:t>
            </w:r>
          </w:p>
        </w:tc>
        <w:tc>
          <w:tcPr>
            <w:tcW w:w="4876" w:type="dxa"/>
          </w:tcPr>
          <w:p w:rsidR="00CC3F13" w:rsidRPr="00CB6FFA" w:rsidRDefault="00CC3F13" w:rsidP="00834F11">
            <w:pPr>
              <w:pStyle w:val="Normal6"/>
            </w:pPr>
            <w:r w:rsidRPr="00CB6FFA">
              <w:t>_________________</w:t>
            </w:r>
          </w:p>
        </w:tc>
      </w:tr>
      <w:tr w:rsidR="00CC3F13" w:rsidRPr="00CB6FFA" w:rsidTr="00834F11">
        <w:trPr>
          <w:jc w:val="center"/>
        </w:trPr>
        <w:tc>
          <w:tcPr>
            <w:tcW w:w="4876" w:type="dxa"/>
          </w:tcPr>
          <w:p w:rsidR="00CC3F13" w:rsidRPr="00CB6FFA" w:rsidRDefault="00CC3F13" w:rsidP="00834F11">
            <w:pPr>
              <w:pStyle w:val="Normal6"/>
            </w:pPr>
            <w:r w:rsidRPr="00CB6FFA">
              <w:rPr>
                <w:rStyle w:val="Sup"/>
                <w:color w:val="auto"/>
              </w:rPr>
              <w:t>33</w:t>
            </w:r>
            <w:r w:rsidRPr="00CB6FFA">
              <w:t xml:space="preserve"> Euroopa Parlamendi ja nõukogu 27. aprilli 2016. aasta määrus (EL) 2016/679 füüsiliste isikute kaitse kohta isikuandmete töötlemisel ja selliste andmete vaba liikumise ning direktiivi 95/46/EÜ kehtetuks tunnistamise kohta (isikuandmete kaitse üldmäärus) (ELT L 119, 4.5.2016, lk 1).</w:t>
            </w:r>
          </w:p>
        </w:tc>
        <w:tc>
          <w:tcPr>
            <w:tcW w:w="4876" w:type="dxa"/>
          </w:tcPr>
          <w:p w:rsidR="00CC3F13" w:rsidRPr="00CB6FFA" w:rsidRDefault="00CC3F13" w:rsidP="001E49BF">
            <w:pPr>
              <w:pStyle w:val="Normal6"/>
            </w:pPr>
            <w:r w:rsidRPr="00CB6FFA">
              <w:rPr>
                <w:rStyle w:val="Sup"/>
                <w:color w:val="auto"/>
              </w:rPr>
              <w:t>33</w:t>
            </w:r>
            <w:r w:rsidRPr="00CB6FFA">
              <w:t xml:space="preserve"> Eu</w:t>
            </w:r>
            <w:r w:rsidR="001E49BF" w:rsidRPr="00CB6FFA">
              <w:t>roopa Parlamendi ja nõukogu 27. </w:t>
            </w:r>
            <w:r w:rsidRPr="00CB6FFA">
              <w:t>aprilli 2016.</w:t>
            </w:r>
            <w:r w:rsidR="001E49BF" w:rsidRPr="00CB6FFA">
              <w:t> aasta määrus (EL) </w:t>
            </w:r>
            <w:r w:rsidRPr="00CB6FFA">
              <w:t>2016/679 füüsiliste isikute kaitse kohta isikuandmete töötlemisel ja selliste andmete</w:t>
            </w:r>
            <w:r w:rsidR="001E49BF" w:rsidRPr="00CB6FFA">
              <w:t xml:space="preserve"> vaba liikumise ning direktiivi </w:t>
            </w:r>
            <w:r w:rsidRPr="00CB6FFA">
              <w:t>95/46/EÜ kehtetuks tunnistamise kohta (isikua</w:t>
            </w:r>
            <w:r w:rsidR="001E49BF" w:rsidRPr="00CB6FFA">
              <w:t>ndmete kaitse üldmäärus) (ELT L </w:t>
            </w:r>
            <w:r w:rsidRPr="00CB6FFA">
              <w:t>119, 4.5.2016, lk</w:t>
            </w:r>
            <w:r w:rsidR="001E49BF" w:rsidRPr="00CB6FFA">
              <w:t> </w:t>
            </w:r>
            <w:r w:rsidRPr="00CB6FFA">
              <w:t>1).</w:t>
            </w:r>
          </w:p>
        </w:tc>
      </w:tr>
    </w:tbl>
    <w:p w:rsidR="00CC3F13" w:rsidRPr="00CB6FFA" w:rsidRDefault="00CC3F13" w:rsidP="00CC3F13"/>
    <w:p w:rsidR="00CC3F13" w:rsidRPr="00CB6FFA" w:rsidRDefault="00CC3F13" w:rsidP="00CC3F13">
      <w:pPr>
        <w:pStyle w:val="AMNumberTabs"/>
      </w:pPr>
      <w:r w:rsidRPr="00CB6FFA">
        <w:t>Muudatusettepanek</w:t>
      </w:r>
      <w:r w:rsidRPr="00CB6FFA">
        <w:tab/>
      </w:r>
      <w:r w:rsidRPr="00CB6FFA">
        <w:tab/>
        <w:t>92</w:t>
      </w:r>
    </w:p>
    <w:p w:rsidR="00CC3F13" w:rsidRPr="00CB6FFA" w:rsidRDefault="00CC3F13" w:rsidP="00CC3F13">
      <w:pPr>
        <w:pStyle w:val="NormalBold12b"/>
      </w:pPr>
      <w:r w:rsidRPr="00CB6FFA">
        <w:t>Ettepanek võtta vastu otsus</w:t>
      </w:r>
    </w:p>
    <w:p w:rsidR="00CC3F13" w:rsidRPr="00CB6FFA" w:rsidRDefault="00CC3F13" w:rsidP="00CC3F13">
      <w:pPr>
        <w:pStyle w:val="NormalBold"/>
      </w:pPr>
      <w:r w:rsidRPr="00CB6FFA">
        <w:t>Artikkel 12 – lõik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3F13" w:rsidRPr="00CB6FFA" w:rsidTr="00834F11">
        <w:trPr>
          <w:trHeight w:hRule="exact" w:val="240"/>
          <w:jc w:val="center"/>
        </w:trPr>
        <w:tc>
          <w:tcPr>
            <w:tcW w:w="9752" w:type="dxa"/>
            <w:gridSpan w:val="2"/>
          </w:tcPr>
          <w:p w:rsidR="00CC3F13" w:rsidRPr="00CB6FFA" w:rsidRDefault="00CC3F13" w:rsidP="00834F11"/>
        </w:tc>
      </w:tr>
      <w:tr w:rsidR="00CC3F13" w:rsidRPr="00CB6FFA" w:rsidTr="00834F11">
        <w:trPr>
          <w:trHeight w:val="240"/>
          <w:jc w:val="center"/>
        </w:trPr>
        <w:tc>
          <w:tcPr>
            <w:tcW w:w="4876" w:type="dxa"/>
          </w:tcPr>
          <w:p w:rsidR="00CC3F13" w:rsidRPr="00CB6FFA" w:rsidRDefault="00CC3F13" w:rsidP="00834F11">
            <w:pPr>
              <w:pStyle w:val="ColumnHeading"/>
            </w:pPr>
            <w:r w:rsidRPr="00CB6FFA">
              <w:t>Komisjoni ettepanek</w:t>
            </w:r>
          </w:p>
        </w:tc>
        <w:tc>
          <w:tcPr>
            <w:tcW w:w="4876" w:type="dxa"/>
          </w:tcPr>
          <w:p w:rsidR="00CC3F13" w:rsidRPr="00CB6FFA" w:rsidRDefault="00CC3F13" w:rsidP="00834F11">
            <w:pPr>
              <w:pStyle w:val="ColumnHeading"/>
            </w:pPr>
            <w:r w:rsidRPr="00CB6FFA">
              <w:t>Muudatusettepanek</w:t>
            </w:r>
          </w:p>
        </w:tc>
      </w:tr>
      <w:tr w:rsidR="00CC3F13" w:rsidRPr="00CB6FFA" w:rsidTr="00834F11">
        <w:trPr>
          <w:jc w:val="center"/>
        </w:trPr>
        <w:tc>
          <w:tcPr>
            <w:tcW w:w="4876" w:type="dxa"/>
          </w:tcPr>
          <w:p w:rsidR="00CC3F13" w:rsidRPr="00CB6FFA" w:rsidRDefault="001E49BF" w:rsidP="00834F11">
            <w:pPr>
              <w:pStyle w:val="Normal6"/>
            </w:pPr>
            <w:r w:rsidRPr="00CB6FFA">
              <w:t>1.</w:t>
            </w:r>
            <w:r w:rsidR="00CC3F13" w:rsidRPr="00CB6FFA">
              <w:tab/>
            </w:r>
            <w:r w:rsidR="00CC3F13" w:rsidRPr="00CB6FFA">
              <w:rPr>
                <w:b/>
                <w:i/>
              </w:rPr>
              <w:t>Käesoleva otsuse rakendamist kaasrahastatakse liidu programmide</w:t>
            </w:r>
            <w:r w:rsidR="00CC3F13" w:rsidRPr="00CB6FFA">
              <w:t xml:space="preserve"> kaudu.</w:t>
            </w:r>
            <w:r w:rsidR="00CC3F13" w:rsidRPr="00CB6FFA">
              <w:rPr>
                <w:b/>
                <w:i/>
              </w:rPr>
              <w:t xml:space="preserve"> Euroopa Parlament ja nõukogu kinnitavad iga-aastased assigneeringud finantsraamistiku piires.</w:t>
            </w:r>
          </w:p>
        </w:tc>
        <w:tc>
          <w:tcPr>
            <w:tcW w:w="4876" w:type="dxa"/>
          </w:tcPr>
          <w:p w:rsidR="00CC3F13" w:rsidRPr="00CB6FFA" w:rsidRDefault="001E49BF" w:rsidP="00834F11">
            <w:pPr>
              <w:pStyle w:val="Normal6"/>
            </w:pPr>
            <w:r w:rsidRPr="00CB6FFA">
              <w:t>1.</w:t>
            </w:r>
            <w:r w:rsidR="00CC3F13" w:rsidRPr="00CB6FFA">
              <w:tab/>
            </w:r>
            <w:r w:rsidR="00CC3F13" w:rsidRPr="00CB6FFA">
              <w:rPr>
                <w:b/>
                <w:i/>
              </w:rPr>
              <w:t>Käesolevat otsust rakendatakse Europassi riiklikele keskustele antavate mitmeaastaste tegevustoetuste</w:t>
            </w:r>
            <w:r w:rsidR="00CC3F13" w:rsidRPr="00CB6FFA">
              <w:t xml:space="preserve"> kaudu.</w:t>
            </w:r>
            <w:r w:rsidR="00CC3F13" w:rsidRPr="00CB6FFA">
              <w:rPr>
                <w:b/>
                <w:bCs/>
                <w:i/>
                <w:iCs/>
              </w:rPr>
              <w:t xml:space="preserve"> Komisjon esitab viie aasta prognoosi, milles on toodud eeldatavad kulud liikmesriikidele.</w:t>
            </w:r>
            <w:r w:rsidR="00CC3F13" w:rsidRPr="00CB6FFA">
              <w:t xml:space="preserve"> </w:t>
            </w:r>
          </w:p>
        </w:tc>
      </w:tr>
    </w:tbl>
    <w:p w:rsidR="00CC3F13" w:rsidRPr="00CB6FFA" w:rsidRDefault="00CC3F13" w:rsidP="00CC3F13"/>
    <w:p w:rsidR="00E365E1" w:rsidRPr="00CB6FFA" w:rsidRDefault="00E365E1" w:rsidP="00CC3F13">
      <w:bookmarkStart w:id="1" w:name="TextBodyEnd"/>
      <w:bookmarkEnd w:id="1"/>
    </w:p>
    <w:sectPr w:rsidR="00E365E1" w:rsidRPr="00CB6FFA" w:rsidSect="003E573B">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F11" w:rsidRPr="003E573B" w:rsidRDefault="00834F11">
      <w:r w:rsidRPr="003E573B">
        <w:separator/>
      </w:r>
    </w:p>
  </w:endnote>
  <w:endnote w:type="continuationSeparator" w:id="0">
    <w:p w:rsidR="00834F11" w:rsidRPr="003E573B" w:rsidRDefault="00834F11">
      <w:r w:rsidRPr="003E573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FFA" w:rsidRDefault="00CB6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11" w:rsidRDefault="00834F11" w:rsidP="00CB6FFA">
    <w:pPr>
      <w:pStyle w:val="Footer"/>
      <w:tabs>
        <w:tab w:val="clear" w:pos="9639"/>
        <w:tab w:val="right" w:pos="9184"/>
      </w:tabs>
    </w:pPr>
  </w:p>
  <w:p w:rsidR="00CB6FFA" w:rsidRDefault="00CB6FFA" w:rsidP="00CB6FFA">
    <w:pPr>
      <w:pStyle w:val="Footer"/>
      <w:pBdr>
        <w:top w:val="single" w:sz="2" w:space="1" w:color="000000"/>
      </w:pBdr>
      <w:tabs>
        <w:tab w:val="clear" w:pos="9639"/>
        <w:tab w:val="right" w:pos="9184"/>
      </w:tabs>
    </w:pPr>
    <w:r>
      <w:tab/>
    </w:r>
    <w:r w:rsidRPr="00CB6FFA">
      <w:rPr>
        <w:rStyle w:val="HideTWBExt"/>
      </w:rPr>
      <w:t>&lt;NuPE&gt;</w:t>
    </w:r>
    <w:r>
      <w:t>PE616.071</w:t>
    </w:r>
    <w:r w:rsidRPr="00CB6FFA">
      <w:rPr>
        <w:rStyle w:val="HideTWBExt"/>
      </w:rPr>
      <w:t>&lt;/NuPE&gt;</w:t>
    </w:r>
    <w:r>
      <w:t xml:space="preserve">/ </w:t>
    </w:r>
    <w:r>
      <w:fldChar w:fldCharType="begin"/>
    </w:r>
    <w:r>
      <w:instrText xml:space="preserve"> PAGE  \* MERGEFORMAT </w:instrText>
    </w:r>
    <w:r>
      <w:fldChar w:fldCharType="separate"/>
    </w:r>
    <w:r w:rsidR="00692F8E">
      <w:rPr>
        <w:noProof/>
      </w:rPr>
      <w:t>1</w:t>
    </w:r>
    <w:r>
      <w:fldChar w:fldCharType="end"/>
    </w:r>
  </w:p>
  <w:p w:rsidR="00CB6FFA" w:rsidRPr="00CB6FFA" w:rsidRDefault="00CB6FFA" w:rsidP="00CB6FFA">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FFA" w:rsidRDefault="00CB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F11" w:rsidRPr="003E573B" w:rsidRDefault="00834F11">
      <w:r w:rsidRPr="003E573B">
        <w:separator/>
      </w:r>
    </w:p>
  </w:footnote>
  <w:footnote w:type="continuationSeparator" w:id="0">
    <w:p w:rsidR="00834F11" w:rsidRPr="003E573B" w:rsidRDefault="00834F11">
      <w:r w:rsidRPr="003E573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FFA" w:rsidRDefault="00CB6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FFA" w:rsidRDefault="00CB6F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FFA" w:rsidRDefault="00CB6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44/2017"/>
    <w:docVar w:name="dvlangue" w:val="ET"/>
    <w:docVar w:name="dvnumam" w:val="0"/>
    <w:docVar w:name="dvpe" w:val="601.044"/>
    <w:docVar w:name="dvrapporteur" w:val="Raportöörid: "/>
    <w:docVar w:name="dvtitre" w:val="Euroopa Parlamendi .... 2018. aasta seadusandlik resolutsioon ettepaneku kohta võtta vastu Euroopa Parlamendi ja nõukogu otsus, milles käsitletakse oskuste ja kvalifikatsioonidega seotud paremate teenuste pakkumise ühist raamistikku (Europass) ning millega tunnistatakse kehtetuks otsus nr 2241/2004/EÜ (COM(2016)0625 – C8-0404/2016 – 2016/0304(COD))"/>
    <w:docVar w:name="TA_Comm_A5Nr" w:val="A8-0244/2017"/>
    <w:docVar w:name="TA_Comm_Langue" w:val="ET"/>
    <w:docVar w:name="TA_Comm_NrAM" w:val="001-092"/>
    <w:docVar w:name="TA_Type" w:val="TA_COMM"/>
  </w:docVars>
  <w:rsids>
    <w:rsidRoot w:val="00677DFF"/>
    <w:rsid w:val="00002272"/>
    <w:rsid w:val="000677B9"/>
    <w:rsid w:val="00072E1C"/>
    <w:rsid w:val="000E7DD9"/>
    <w:rsid w:val="0010095E"/>
    <w:rsid w:val="00125B37"/>
    <w:rsid w:val="001E49BF"/>
    <w:rsid w:val="00214AD4"/>
    <w:rsid w:val="00260A92"/>
    <w:rsid w:val="002767FF"/>
    <w:rsid w:val="002B5493"/>
    <w:rsid w:val="00361C00"/>
    <w:rsid w:val="00395FA1"/>
    <w:rsid w:val="003E15D4"/>
    <w:rsid w:val="003E573B"/>
    <w:rsid w:val="00411CCE"/>
    <w:rsid w:val="0041666E"/>
    <w:rsid w:val="00421060"/>
    <w:rsid w:val="00494A28"/>
    <w:rsid w:val="0050519A"/>
    <w:rsid w:val="005072A1"/>
    <w:rsid w:val="00514517"/>
    <w:rsid w:val="00583008"/>
    <w:rsid w:val="006037C0"/>
    <w:rsid w:val="00612B38"/>
    <w:rsid w:val="00677DFF"/>
    <w:rsid w:val="00680577"/>
    <w:rsid w:val="00692F8E"/>
    <w:rsid w:val="006A028E"/>
    <w:rsid w:val="006F74FA"/>
    <w:rsid w:val="00731ADD"/>
    <w:rsid w:val="00734777"/>
    <w:rsid w:val="00751A4A"/>
    <w:rsid w:val="00756632"/>
    <w:rsid w:val="00766C19"/>
    <w:rsid w:val="007D1690"/>
    <w:rsid w:val="00834F11"/>
    <w:rsid w:val="00865F67"/>
    <w:rsid w:val="0087696F"/>
    <w:rsid w:val="00881A7B"/>
    <w:rsid w:val="008840E5"/>
    <w:rsid w:val="008C2AC6"/>
    <w:rsid w:val="009509D8"/>
    <w:rsid w:val="00981893"/>
    <w:rsid w:val="00A4678D"/>
    <w:rsid w:val="00AF3B82"/>
    <w:rsid w:val="00B558F0"/>
    <w:rsid w:val="00BD7BD8"/>
    <w:rsid w:val="00C05BFE"/>
    <w:rsid w:val="00C23CD4"/>
    <w:rsid w:val="00C941CB"/>
    <w:rsid w:val="00CB6FFA"/>
    <w:rsid w:val="00CC2357"/>
    <w:rsid w:val="00CC3F13"/>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BB54F4-A70E-41CF-94D1-0AEA03E9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t-EE"/>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CC3F13"/>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CC3F13"/>
    <w:rPr>
      <w:sz w:val="24"/>
      <w:lang w:val="fr-FR" w:eastAsia="fr-FR"/>
    </w:rPr>
  </w:style>
  <w:style w:type="character" w:customStyle="1" w:styleId="Heading3Char">
    <w:name w:val="Heading 3 Char"/>
    <w:link w:val="Heading3"/>
    <w:rsid w:val="00CC3F13"/>
    <w:rPr>
      <w:rFonts w:ascii="Arial" w:hAnsi="Arial"/>
      <w:sz w:val="24"/>
      <w:lang w:val="fr-FR" w:eastAsia="fr-FR"/>
    </w:rPr>
  </w:style>
  <w:style w:type="character" w:customStyle="1" w:styleId="Heading4Char">
    <w:name w:val="Heading 4 Char"/>
    <w:link w:val="Heading4"/>
    <w:rsid w:val="00CC3F13"/>
    <w:rPr>
      <w:sz w:val="24"/>
      <w:lang w:val="en-US" w:eastAsia="fr-FR"/>
    </w:rPr>
  </w:style>
  <w:style w:type="character" w:customStyle="1" w:styleId="Heading5Char">
    <w:name w:val="Heading 5 Char"/>
    <w:link w:val="Heading5"/>
    <w:rsid w:val="00CC3F13"/>
    <w:rPr>
      <w:sz w:val="24"/>
      <w:lang w:val="en-US" w:eastAsia="fr-FR"/>
    </w:rPr>
  </w:style>
  <w:style w:type="character" w:customStyle="1" w:styleId="Heading6Char">
    <w:name w:val="Heading 6 Char"/>
    <w:link w:val="Heading6"/>
    <w:rsid w:val="00CC3F13"/>
    <w:rPr>
      <w:i/>
      <w:sz w:val="22"/>
      <w:lang w:val="et-EE"/>
    </w:rPr>
  </w:style>
  <w:style w:type="character" w:customStyle="1" w:styleId="Heading7Char">
    <w:name w:val="Heading 7 Char"/>
    <w:link w:val="Heading7"/>
    <w:rsid w:val="00CC3F13"/>
    <w:rPr>
      <w:rFonts w:ascii="Arial" w:hAnsi="Arial"/>
      <w:sz w:val="24"/>
      <w:lang w:val="et-EE"/>
    </w:rPr>
  </w:style>
  <w:style w:type="character" w:customStyle="1" w:styleId="Heading8Char">
    <w:name w:val="Heading 8 Char"/>
    <w:link w:val="Heading8"/>
    <w:rsid w:val="00CC3F13"/>
    <w:rPr>
      <w:rFonts w:ascii="Arial" w:hAnsi="Arial"/>
      <w:i/>
      <w:sz w:val="24"/>
      <w:lang w:val="et-EE"/>
    </w:rPr>
  </w:style>
  <w:style w:type="character" w:customStyle="1" w:styleId="Heading9Char">
    <w:name w:val="Heading 9 Char"/>
    <w:link w:val="Heading9"/>
    <w:rsid w:val="00CC3F13"/>
    <w:rPr>
      <w:rFonts w:ascii="Arial" w:hAnsi="Arial"/>
      <w:b/>
      <w:i/>
      <w:sz w:val="18"/>
      <w:lang w:val="et-EE"/>
    </w:rPr>
  </w:style>
  <w:style w:type="character" w:customStyle="1" w:styleId="FooterChar">
    <w:name w:val="Footer Char"/>
    <w:link w:val="Footer"/>
    <w:rsid w:val="00CC3F13"/>
    <w:rPr>
      <w:sz w:val="22"/>
      <w:lang w:val="fr-FR" w:eastAsia="fr-FR"/>
    </w:rPr>
  </w:style>
  <w:style w:type="character" w:customStyle="1" w:styleId="Normal6Char">
    <w:name w:val="Normal6 Char"/>
    <w:link w:val="Normal6"/>
    <w:rsid w:val="00CC3F13"/>
    <w:rPr>
      <w:sz w:val="24"/>
      <w:lang w:val="et-EE"/>
    </w:rPr>
  </w:style>
  <w:style w:type="character" w:customStyle="1" w:styleId="NormalBoldChar">
    <w:name w:val="NormalBold Char"/>
    <w:link w:val="NormalBold"/>
    <w:rsid w:val="00CC3F13"/>
    <w:rPr>
      <w:b/>
      <w:sz w:val="24"/>
      <w:lang w:val="et-EE"/>
    </w:rPr>
  </w:style>
  <w:style w:type="paragraph" w:customStyle="1" w:styleId="Normal12Italic">
    <w:name w:val="Normal12Italic"/>
    <w:basedOn w:val="Normal"/>
    <w:rsid w:val="00CC3F13"/>
    <w:pPr>
      <w:spacing w:before="240"/>
    </w:pPr>
    <w:rPr>
      <w:i/>
      <w:lang w:eastAsia="et-EE" w:bidi="et-EE"/>
    </w:rPr>
  </w:style>
  <w:style w:type="paragraph" w:customStyle="1" w:styleId="CrossRef">
    <w:name w:val="CrossRef"/>
    <w:basedOn w:val="Normal"/>
    <w:rsid w:val="00CC3F13"/>
    <w:pPr>
      <w:spacing w:before="240"/>
      <w:jc w:val="center"/>
    </w:pPr>
    <w:rPr>
      <w:i/>
      <w:lang w:eastAsia="et-EE" w:bidi="et-EE"/>
    </w:rPr>
  </w:style>
  <w:style w:type="paragraph" w:customStyle="1" w:styleId="JustificationTitle">
    <w:name w:val="JustificationTitle"/>
    <w:basedOn w:val="Normal"/>
    <w:next w:val="Normal12"/>
    <w:rsid w:val="00CC3F13"/>
    <w:pPr>
      <w:keepNext/>
      <w:spacing w:before="240"/>
      <w:jc w:val="center"/>
    </w:pPr>
    <w:rPr>
      <w:i/>
      <w:lang w:eastAsia="et-EE" w:bidi="et-EE"/>
    </w:rPr>
  </w:style>
  <w:style w:type="paragraph" w:customStyle="1" w:styleId="Normal12Centre">
    <w:name w:val="Normal12Centre"/>
    <w:basedOn w:val="Normal12"/>
    <w:rsid w:val="00CC3F13"/>
    <w:pPr>
      <w:jc w:val="center"/>
    </w:pPr>
    <w:rPr>
      <w:lang w:eastAsia="et-EE" w:bidi="et-EE"/>
    </w:rPr>
  </w:style>
  <w:style w:type="paragraph" w:customStyle="1" w:styleId="Normal12Keep">
    <w:name w:val="Normal12Keep"/>
    <w:basedOn w:val="Normal12"/>
    <w:rsid w:val="00CC3F13"/>
    <w:pPr>
      <w:keepNext/>
    </w:pPr>
    <w:rPr>
      <w:lang w:eastAsia="et-EE" w:bidi="et-EE"/>
    </w:rPr>
  </w:style>
  <w:style w:type="paragraph" w:customStyle="1" w:styleId="Normal12Tab">
    <w:name w:val="Normal12Tab"/>
    <w:basedOn w:val="Normal12"/>
    <w:rsid w:val="00CC3F13"/>
    <w:pPr>
      <w:tabs>
        <w:tab w:val="left" w:pos="567"/>
      </w:tabs>
    </w:pPr>
    <w:rPr>
      <w:lang w:eastAsia="et-EE" w:bidi="et-EE"/>
    </w:rPr>
  </w:style>
  <w:style w:type="paragraph" w:customStyle="1" w:styleId="StarsAndIs">
    <w:name w:val="StarsAndIs"/>
    <w:basedOn w:val="Normal"/>
    <w:rsid w:val="00CC3F13"/>
    <w:pPr>
      <w:ind w:left="1418"/>
    </w:pPr>
    <w:rPr>
      <w:rFonts w:ascii="Arial" w:hAnsi="Arial"/>
      <w:b/>
      <w:sz w:val="48"/>
      <w:lang w:eastAsia="et-EE" w:bidi="et-EE"/>
    </w:rPr>
  </w:style>
  <w:style w:type="paragraph" w:customStyle="1" w:styleId="Lgendesigne">
    <w:name w:val="Légende signe"/>
    <w:basedOn w:val="Normal"/>
    <w:rsid w:val="00CC3F13"/>
    <w:pPr>
      <w:tabs>
        <w:tab w:val="right" w:pos="454"/>
        <w:tab w:val="left" w:pos="737"/>
      </w:tabs>
      <w:ind w:left="737" w:hanging="737"/>
    </w:pPr>
    <w:rPr>
      <w:snapToGrid w:val="0"/>
      <w:sz w:val="18"/>
      <w:lang w:eastAsia="et-EE" w:bidi="et-EE"/>
    </w:rPr>
  </w:style>
  <w:style w:type="paragraph" w:customStyle="1" w:styleId="TypeDoc">
    <w:name w:val="TypeDoc"/>
    <w:basedOn w:val="Normal24"/>
    <w:rsid w:val="00CC3F13"/>
    <w:pPr>
      <w:ind w:left="1418"/>
    </w:pPr>
    <w:rPr>
      <w:rFonts w:ascii="Arial" w:hAnsi="Arial"/>
      <w:b/>
      <w:sz w:val="48"/>
      <w:lang w:eastAsia="et-EE" w:bidi="et-EE"/>
    </w:rPr>
  </w:style>
  <w:style w:type="paragraph" w:customStyle="1" w:styleId="ZDate">
    <w:name w:val="ZDate"/>
    <w:basedOn w:val="Normal"/>
    <w:rsid w:val="00CC3F13"/>
    <w:pPr>
      <w:spacing w:after="1200"/>
    </w:pPr>
    <w:rPr>
      <w:lang w:eastAsia="et-EE" w:bidi="et-EE"/>
    </w:rPr>
  </w:style>
  <w:style w:type="character" w:customStyle="1" w:styleId="HeaderChar">
    <w:name w:val="Header Char"/>
    <w:link w:val="Header"/>
    <w:rsid w:val="00CC3F13"/>
    <w:rPr>
      <w:sz w:val="24"/>
      <w:lang w:val="fr-FR" w:eastAsia="fr-FR"/>
    </w:rPr>
  </w:style>
  <w:style w:type="paragraph" w:customStyle="1" w:styleId="Olang">
    <w:name w:val="Olang"/>
    <w:basedOn w:val="Normal"/>
    <w:rsid w:val="00CC3F13"/>
    <w:pPr>
      <w:spacing w:before="240" w:after="240"/>
      <w:jc w:val="right"/>
    </w:pPr>
    <w:rPr>
      <w:noProof/>
      <w:lang w:eastAsia="et-EE" w:bidi="et-EE"/>
    </w:rPr>
  </w:style>
  <w:style w:type="paragraph" w:customStyle="1" w:styleId="ColumnHeading">
    <w:name w:val="ColumnHeading"/>
    <w:basedOn w:val="Normal"/>
    <w:rsid w:val="00CC3F13"/>
    <w:pPr>
      <w:spacing w:after="240"/>
      <w:jc w:val="center"/>
    </w:pPr>
    <w:rPr>
      <w:i/>
      <w:lang w:eastAsia="et-EE" w:bidi="et-EE"/>
    </w:rPr>
  </w:style>
  <w:style w:type="paragraph" w:customStyle="1" w:styleId="AMNumberTabs">
    <w:name w:val="AMNumberTabs"/>
    <w:basedOn w:val="Normal"/>
    <w:rsid w:val="00CC3F1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et-EE" w:bidi="et-EE"/>
    </w:rPr>
  </w:style>
  <w:style w:type="paragraph" w:customStyle="1" w:styleId="NormalBold12b">
    <w:name w:val="NormalBold12b"/>
    <w:basedOn w:val="Normal"/>
    <w:rsid w:val="00CC3F13"/>
    <w:pPr>
      <w:spacing w:before="240"/>
    </w:pPr>
    <w:rPr>
      <w:b/>
      <w:lang w:eastAsia="et-EE" w:bidi="et-EE"/>
    </w:rPr>
  </w:style>
  <w:style w:type="paragraph" w:customStyle="1" w:styleId="ZCommittee">
    <w:name w:val="ZCommittee"/>
    <w:basedOn w:val="Normal"/>
    <w:next w:val="Normal"/>
    <w:rsid w:val="00CC3F13"/>
    <w:pPr>
      <w:jc w:val="center"/>
    </w:pPr>
    <w:rPr>
      <w:rFonts w:ascii="Arial" w:hAnsi="Arial" w:cs="Arial"/>
      <w:i/>
      <w:sz w:val="22"/>
      <w:szCs w:val="22"/>
      <w:lang w:eastAsia="et-EE" w:bidi="et-EE"/>
    </w:rPr>
  </w:style>
  <w:style w:type="paragraph" w:customStyle="1" w:styleId="Lgendetitre">
    <w:name w:val="Légende titre"/>
    <w:basedOn w:val="Normal"/>
    <w:rsid w:val="00CC3F13"/>
    <w:pPr>
      <w:spacing w:before="240" w:after="240"/>
    </w:pPr>
    <w:rPr>
      <w:b/>
      <w:i/>
      <w:snapToGrid w:val="0"/>
      <w:lang w:eastAsia="et-EE" w:bidi="et-EE"/>
    </w:rPr>
  </w:style>
  <w:style w:type="paragraph" w:customStyle="1" w:styleId="Lgendestandard">
    <w:name w:val="Légende standard"/>
    <w:basedOn w:val="Lgendesigne"/>
    <w:rsid w:val="00CC3F13"/>
    <w:pPr>
      <w:ind w:left="0" w:firstLine="0"/>
    </w:pPr>
  </w:style>
  <w:style w:type="character" w:customStyle="1" w:styleId="Normal12Char">
    <w:name w:val="Normal12 Char"/>
    <w:link w:val="Normal12"/>
    <w:locked/>
    <w:rsid w:val="00CC3F13"/>
    <w:rPr>
      <w:sz w:val="24"/>
      <w:lang w:val="et-EE"/>
    </w:rPr>
  </w:style>
  <w:style w:type="paragraph" w:customStyle="1" w:styleId="CommitteeAM">
    <w:name w:val="CommitteeAM"/>
    <w:basedOn w:val="Normal"/>
    <w:rsid w:val="00CC3F13"/>
    <w:pPr>
      <w:spacing w:before="240" w:after="600"/>
      <w:jc w:val="center"/>
    </w:pPr>
    <w:rPr>
      <w:i/>
      <w:lang w:eastAsia="et-EE" w:bidi="et-EE"/>
    </w:rPr>
  </w:style>
  <w:style w:type="paragraph" w:customStyle="1" w:styleId="ZDateAM">
    <w:name w:val="ZDateAM"/>
    <w:basedOn w:val="Normal"/>
    <w:rsid w:val="00CC3F13"/>
    <w:pPr>
      <w:tabs>
        <w:tab w:val="right" w:pos="9356"/>
      </w:tabs>
      <w:spacing w:after="480"/>
    </w:pPr>
    <w:rPr>
      <w:noProof/>
      <w:lang w:eastAsia="et-EE" w:bidi="et-EE"/>
    </w:rPr>
  </w:style>
  <w:style w:type="paragraph" w:customStyle="1" w:styleId="ProjRap">
    <w:name w:val="ProjRap"/>
    <w:basedOn w:val="Normal"/>
    <w:rsid w:val="00CC3F13"/>
    <w:pPr>
      <w:tabs>
        <w:tab w:val="right" w:pos="9356"/>
      </w:tabs>
    </w:pPr>
    <w:rPr>
      <w:b/>
      <w:noProof/>
      <w:lang w:eastAsia="et-EE" w:bidi="et-EE"/>
    </w:rPr>
  </w:style>
  <w:style w:type="character" w:customStyle="1" w:styleId="Footer2Middle">
    <w:name w:val="Footer2Middle"/>
    <w:rsid w:val="00CC3F13"/>
    <w:rPr>
      <w:rFonts w:ascii="Arial" w:hAnsi="Arial" w:cs="Arial" w:hint="default"/>
      <w:b w:val="0"/>
      <w:bCs w:val="0"/>
      <w:i/>
      <w:iCs w:val="0"/>
      <w:color w:val="C0C0C0"/>
      <w:sz w:val="22"/>
    </w:rPr>
  </w:style>
  <w:style w:type="paragraph" w:customStyle="1" w:styleId="Style1">
    <w:name w:val="Style1"/>
    <w:basedOn w:val="TOC1"/>
    <w:qFormat/>
    <w:rsid w:val="00CC3F13"/>
    <w:pPr>
      <w:keepNext w:val="0"/>
      <w:keepLines w:val="0"/>
      <w:widowControl w:val="0"/>
      <w:tabs>
        <w:tab w:val="right" w:leader="dot" w:pos="9060"/>
      </w:tabs>
      <w:spacing w:before="0" w:after="240"/>
    </w:pPr>
    <w:rPr>
      <w:b w:val="0"/>
      <w:noProof w:val="0"/>
      <w:lang w:val="et-EE" w:eastAsia="et-EE" w:bidi="et-EE"/>
    </w:rPr>
  </w:style>
  <w:style w:type="paragraph" w:styleId="BalloonText">
    <w:name w:val="Balloon Text"/>
    <w:basedOn w:val="Normal"/>
    <w:link w:val="BalloonTextChar"/>
    <w:rsid w:val="00CC3F13"/>
    <w:rPr>
      <w:rFonts w:ascii="Segoe UI" w:hAnsi="Segoe UI" w:cs="Segoe UI"/>
      <w:sz w:val="18"/>
      <w:szCs w:val="18"/>
      <w:lang w:eastAsia="et-EE" w:bidi="et-EE"/>
    </w:rPr>
  </w:style>
  <w:style w:type="character" w:customStyle="1" w:styleId="BalloonTextChar">
    <w:name w:val="Balloon Text Char"/>
    <w:basedOn w:val="DefaultParagraphFont"/>
    <w:link w:val="BalloonText"/>
    <w:rsid w:val="00CC3F13"/>
    <w:rPr>
      <w:rFonts w:ascii="Segoe UI" w:hAnsi="Segoe UI" w:cs="Segoe UI"/>
      <w:sz w:val="18"/>
      <w:szCs w:val="18"/>
      <w:lang w:val="et-EE" w:eastAsia="et-EE" w:bidi="et-EE"/>
    </w:rPr>
  </w:style>
  <w:style w:type="character" w:styleId="CommentReference">
    <w:name w:val="annotation reference"/>
    <w:unhideWhenUsed/>
    <w:rsid w:val="00CC3F13"/>
    <w:rPr>
      <w:sz w:val="16"/>
      <w:szCs w:val="16"/>
    </w:rPr>
  </w:style>
  <w:style w:type="paragraph" w:styleId="CommentText">
    <w:name w:val="annotation text"/>
    <w:basedOn w:val="Normal"/>
    <w:link w:val="CommentTextChar"/>
    <w:unhideWhenUsed/>
    <w:rsid w:val="00CC3F13"/>
    <w:rPr>
      <w:sz w:val="20"/>
      <w:lang w:eastAsia="et-EE" w:bidi="et-EE"/>
    </w:rPr>
  </w:style>
  <w:style w:type="character" w:customStyle="1" w:styleId="CommentTextChar">
    <w:name w:val="Comment Text Char"/>
    <w:basedOn w:val="DefaultParagraphFont"/>
    <w:link w:val="CommentText"/>
    <w:rsid w:val="00CC3F13"/>
    <w:rPr>
      <w:lang w:val="et-EE" w:eastAsia="et-EE" w:bidi="et-EE"/>
    </w:rPr>
  </w:style>
  <w:style w:type="paragraph" w:styleId="CommentSubject">
    <w:name w:val="annotation subject"/>
    <w:basedOn w:val="CommentText"/>
    <w:next w:val="CommentText"/>
    <w:link w:val="CommentSubjectChar"/>
    <w:rsid w:val="00CC3F13"/>
    <w:rPr>
      <w:b/>
      <w:bCs/>
    </w:rPr>
  </w:style>
  <w:style w:type="character" w:customStyle="1" w:styleId="CommentSubjectChar">
    <w:name w:val="Comment Subject Char"/>
    <w:basedOn w:val="CommentTextChar"/>
    <w:link w:val="CommentSubject"/>
    <w:rsid w:val="00CC3F13"/>
    <w:rPr>
      <w:b/>
      <w:bCs/>
      <w:lang w:val="et-EE" w:eastAsia="et-EE" w:bidi="et-EE"/>
    </w:rPr>
  </w:style>
  <w:style w:type="character" w:customStyle="1" w:styleId="Sup">
    <w:name w:val="Sup"/>
    <w:rsid w:val="00CC3F13"/>
    <w:rPr>
      <w:color w:val="000000"/>
      <w:vertAlign w:val="superscript"/>
    </w:rPr>
  </w:style>
  <w:style w:type="paragraph" w:customStyle="1" w:styleId="Default">
    <w:name w:val="Default"/>
    <w:rsid w:val="00CC3F13"/>
    <w:pPr>
      <w:autoSpaceDE w:val="0"/>
      <w:autoSpaceDN w:val="0"/>
      <w:adjustRightInd w:val="0"/>
    </w:pPr>
    <w:rPr>
      <w:color w:val="000000"/>
      <w:sz w:val="24"/>
      <w:szCs w:val="24"/>
      <w:lang w:val="et-EE"/>
    </w:rPr>
  </w:style>
  <w:style w:type="paragraph" w:styleId="ListParagraph">
    <w:name w:val="List Paragraph"/>
    <w:basedOn w:val="Normal"/>
    <w:uiPriority w:val="34"/>
    <w:qFormat/>
    <w:rsid w:val="00CC3F13"/>
    <w:pPr>
      <w:ind w:left="720"/>
      <w:contextualSpacing/>
    </w:pPr>
  </w:style>
  <w:style w:type="paragraph" w:customStyle="1" w:styleId="NormalTabs">
    <w:name w:val="NormalTabs"/>
    <w:basedOn w:val="Normal"/>
    <w:qFormat/>
    <w:rsid w:val="00CC3F13"/>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7219003E</Template>
  <TotalTime>0</TotalTime>
  <Pages>24</Pages>
  <Words>6158</Words>
  <Characters>47948</Characters>
  <Application>Microsoft Office Word</Application>
  <DocSecurity>0</DocSecurity>
  <Lines>1997</Lines>
  <Paragraphs>751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53355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RAUDNASK Juta</dc:creator>
  <cp:keywords/>
  <cp:lastModifiedBy>RAUDNASK Juta</cp:lastModifiedBy>
  <cp:revision>2</cp:revision>
  <cp:lastPrinted>2004-11-19T15:42:00Z</cp:lastPrinted>
  <dcterms:created xsi:type="dcterms:W3CDTF">2018-03-09T11:00:00Z</dcterms:created>
  <dcterms:modified xsi:type="dcterms:W3CDTF">2018-03-09T11:00:00Z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A8-0244_001-092</vt:lpwstr>
  </property>
  <property fmtid="{D5CDD505-2E9C-101B-9397-08002B2CF9AE}" pid="4" name="&lt;Type&gt;">
    <vt:lpwstr>AM</vt:lpwstr>
  </property>
</Properties>
</file>