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D6D68" w:rsidRPr="00823A1C" w:rsidTr="00644A7E">
        <w:trPr>
          <w:trHeight w:hRule="exact" w:val="1418"/>
        </w:trPr>
        <w:tc>
          <w:tcPr>
            <w:tcW w:w="6804" w:type="dxa"/>
            <w:shd w:val="clear" w:color="auto" w:fill="auto"/>
            <w:vAlign w:val="center"/>
          </w:tcPr>
          <w:p w:rsidR="002D6D68" w:rsidRPr="00823A1C" w:rsidRDefault="00291DD9" w:rsidP="00644A7E">
            <w:pPr>
              <w:pStyle w:val="EPName"/>
            </w:pPr>
            <w:r w:rsidRPr="00823A1C">
              <w:t>Europos Parlamentas</w:t>
            </w:r>
          </w:p>
          <w:p w:rsidR="002D6D68" w:rsidRPr="00823A1C" w:rsidRDefault="00F20AD5" w:rsidP="00F20AD5">
            <w:pPr>
              <w:pStyle w:val="EPTerm"/>
              <w:rPr>
                <w:rStyle w:val="HideTWBExt"/>
                <w:noProof w:val="0"/>
                <w:vanish w:val="0"/>
                <w:color w:val="auto"/>
              </w:rPr>
            </w:pPr>
            <w:r w:rsidRPr="00823A1C">
              <w:t>2014-2019</w:t>
            </w:r>
          </w:p>
        </w:tc>
        <w:tc>
          <w:tcPr>
            <w:tcW w:w="2268" w:type="dxa"/>
            <w:shd w:val="clear" w:color="auto" w:fill="auto"/>
          </w:tcPr>
          <w:p w:rsidR="002D6D68" w:rsidRPr="00823A1C" w:rsidRDefault="001556B4" w:rsidP="00644A7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233823" w:rsidRPr="00823A1C" w:rsidRDefault="00233823" w:rsidP="00233823">
      <w:pPr>
        <w:pStyle w:val="LineTop"/>
      </w:pPr>
    </w:p>
    <w:p w:rsidR="00233823" w:rsidRPr="00823A1C" w:rsidRDefault="00D84C0E" w:rsidP="00233823">
      <w:pPr>
        <w:pStyle w:val="ZCommittee"/>
      </w:pPr>
      <w:r w:rsidRPr="00823A1C">
        <w:t>Plenarinio posėdžio dokumentas</w:t>
      </w:r>
    </w:p>
    <w:p w:rsidR="00233823" w:rsidRPr="00823A1C" w:rsidRDefault="00233823" w:rsidP="00233823">
      <w:pPr>
        <w:pStyle w:val="LineBottom"/>
      </w:pPr>
    </w:p>
    <w:p w:rsidR="00C23ADB" w:rsidRPr="00823A1C" w:rsidRDefault="00D84C0E">
      <w:pPr>
        <w:pStyle w:val="RefProc"/>
      </w:pPr>
      <w:r w:rsidRPr="00823A1C">
        <w:rPr>
          <w:rStyle w:val="HideTWBExt"/>
          <w:noProof w:val="0"/>
        </w:rPr>
        <w:t>&lt;NoDocSe&gt;</w:t>
      </w:r>
      <w:r w:rsidRPr="00823A1C">
        <w:t>A8-0281/2017</w:t>
      </w:r>
      <w:r w:rsidRPr="00823A1C">
        <w:rPr>
          <w:rStyle w:val="HideTWBExt"/>
          <w:noProof w:val="0"/>
        </w:rPr>
        <w:t>&lt;/NoDocSe&gt;</w:t>
      </w:r>
    </w:p>
    <w:p w:rsidR="00C23ADB" w:rsidRPr="00823A1C" w:rsidRDefault="00C23ADB">
      <w:pPr>
        <w:pStyle w:val="ZDate"/>
      </w:pPr>
      <w:r w:rsidRPr="00823A1C">
        <w:rPr>
          <w:rStyle w:val="HideTWBExt"/>
          <w:noProof w:val="0"/>
        </w:rPr>
        <w:t>&lt;Date&gt;</w:t>
      </w:r>
      <w:r w:rsidRPr="00823A1C">
        <w:rPr>
          <w:rStyle w:val="HideTWBInt"/>
        </w:rPr>
        <w:t>{05/09/2017}</w:t>
      </w:r>
      <w:r w:rsidRPr="00823A1C">
        <w:t>5.9.2017</w:t>
      </w:r>
      <w:r w:rsidRPr="00823A1C">
        <w:rPr>
          <w:rStyle w:val="HideTWBExt"/>
          <w:noProof w:val="0"/>
        </w:rPr>
        <w:t>&lt;/Date&gt;</w:t>
      </w:r>
    </w:p>
    <w:p w:rsidR="00C23ADB" w:rsidRPr="00823A1C" w:rsidRDefault="00C23ADB">
      <w:pPr>
        <w:pStyle w:val="TypeDoc"/>
      </w:pPr>
      <w:r w:rsidRPr="00823A1C">
        <w:rPr>
          <w:rStyle w:val="HideTWBExt"/>
          <w:b w:val="0"/>
          <w:noProof w:val="0"/>
        </w:rPr>
        <w:t>&lt;TitreType&gt;</w:t>
      </w:r>
      <w:r w:rsidRPr="00823A1C">
        <w:t>PRANEŠIMAS</w:t>
      </w:r>
      <w:r w:rsidRPr="00823A1C">
        <w:rPr>
          <w:rStyle w:val="HideTWBExt"/>
          <w:b w:val="0"/>
          <w:noProof w:val="0"/>
        </w:rPr>
        <w:t>&lt;/TitreType&gt;</w:t>
      </w:r>
    </w:p>
    <w:p w:rsidR="00D5123D" w:rsidRPr="00823A1C" w:rsidRDefault="00D5123D" w:rsidP="00D5123D">
      <w:pPr>
        <w:pStyle w:val="CoverNormal"/>
      </w:pPr>
      <w:r w:rsidRPr="00823A1C">
        <w:rPr>
          <w:rStyle w:val="HideTWBExt"/>
          <w:noProof w:val="0"/>
        </w:rPr>
        <w:t>&lt;Titre&gt;</w:t>
      </w:r>
      <w:r w:rsidRPr="00823A1C">
        <w:t>dėl Tarybos pozicijos dėl Europos Sąjungos 2017 finansinių metų Taisomojo biudžeto Nr. 4/2017 projekto, pridedamo prie pasiūlymo mobilizuoti Europos Sąjungos solidarumo fondo lėšas siekiant suteikti pagalbą Italijai</w:t>
      </w:r>
      <w:r w:rsidRPr="00823A1C">
        <w:rPr>
          <w:rStyle w:val="HideTWBExt"/>
          <w:noProof w:val="0"/>
        </w:rPr>
        <w:t>&lt;/Titre&gt;</w:t>
      </w:r>
    </w:p>
    <w:p w:rsidR="00C23ADB" w:rsidRPr="00823A1C" w:rsidRDefault="00D5123D" w:rsidP="00D5123D">
      <w:pPr>
        <w:pStyle w:val="Cover24"/>
      </w:pPr>
      <w:r w:rsidRPr="00823A1C">
        <w:rPr>
          <w:rStyle w:val="HideTWBExt"/>
          <w:noProof w:val="0"/>
        </w:rPr>
        <w:t>&lt;DocRef&gt;</w:t>
      </w:r>
      <w:r w:rsidRPr="00823A1C">
        <w:t>(11813/2017 – C8-0304/2017 – 2017/2109(BUD))</w:t>
      </w:r>
      <w:r w:rsidRPr="00823A1C">
        <w:rPr>
          <w:rStyle w:val="HideTWBExt"/>
          <w:noProof w:val="0"/>
        </w:rPr>
        <w:t>&lt;/DocRef&gt;</w:t>
      </w:r>
    </w:p>
    <w:p w:rsidR="00C23ADB" w:rsidRPr="00823A1C" w:rsidRDefault="00C23ADB" w:rsidP="00702830">
      <w:pPr>
        <w:pStyle w:val="Cover24"/>
      </w:pPr>
      <w:r w:rsidRPr="00823A1C">
        <w:rPr>
          <w:rStyle w:val="HideTWBExt"/>
          <w:noProof w:val="0"/>
        </w:rPr>
        <w:t>&lt;Commission&gt;</w:t>
      </w:r>
      <w:r w:rsidRPr="00823A1C">
        <w:rPr>
          <w:rStyle w:val="HideTWBInt"/>
        </w:rPr>
        <w:t>{BUDG}</w:t>
      </w:r>
      <w:r w:rsidRPr="00823A1C">
        <w:t>Biudžeto komitetas</w:t>
      </w:r>
      <w:r w:rsidRPr="00823A1C">
        <w:rPr>
          <w:rStyle w:val="HideTWBExt"/>
          <w:noProof w:val="0"/>
        </w:rPr>
        <w:t>&lt;/Commission&gt;</w:t>
      </w:r>
    </w:p>
    <w:p w:rsidR="00C23ADB" w:rsidRPr="00823A1C" w:rsidRDefault="00F20AD5">
      <w:pPr>
        <w:pStyle w:val="Cover24"/>
      </w:pPr>
      <w:r w:rsidRPr="00823A1C">
        <w:t xml:space="preserve">Pranešėjas: </w:t>
      </w:r>
      <w:r w:rsidRPr="00823A1C">
        <w:rPr>
          <w:rStyle w:val="HideTWBExt"/>
          <w:noProof w:val="0"/>
        </w:rPr>
        <w:t>&lt;Depute&gt;</w:t>
      </w:r>
      <w:r w:rsidRPr="00823A1C">
        <w:t>Jens Geier</w:t>
      </w:r>
      <w:r w:rsidRPr="00823A1C">
        <w:rPr>
          <w:rStyle w:val="HideTWBExt"/>
          <w:noProof w:val="0"/>
        </w:rPr>
        <w:t>&lt;/Depute&gt;</w:t>
      </w:r>
    </w:p>
    <w:p w:rsidR="00C23ADB" w:rsidRPr="00823A1C" w:rsidRDefault="00C23ADB">
      <w:pPr>
        <w:widowControl/>
        <w:tabs>
          <w:tab w:val="center" w:pos="4677"/>
        </w:tabs>
        <w:jc w:val="both"/>
      </w:pPr>
      <w:r w:rsidRPr="00823A1C">
        <w:br w:type="page"/>
      </w:r>
    </w:p>
    <w:p w:rsidR="00C23ADB" w:rsidRPr="00823A1C" w:rsidRDefault="00291DD9">
      <w:pPr>
        <w:widowControl/>
        <w:tabs>
          <w:tab w:val="center" w:pos="4677"/>
        </w:tabs>
        <w:jc w:val="both"/>
      </w:pPr>
      <w:r w:rsidRPr="00823A1C">
        <w:t>PR_BUD_DABam</w:t>
      </w:r>
    </w:p>
    <w:p w:rsidR="00C23ADB" w:rsidRPr="00823A1C" w:rsidRDefault="00291DD9">
      <w:pPr>
        <w:pStyle w:val="TOCHeading"/>
      </w:pPr>
      <w:r w:rsidRPr="00823A1C">
        <w:t>TURINYS</w:t>
      </w:r>
    </w:p>
    <w:p w:rsidR="00C23ADB" w:rsidRPr="00823A1C" w:rsidRDefault="00291DD9">
      <w:pPr>
        <w:pStyle w:val="TOCPage"/>
      </w:pPr>
      <w:r w:rsidRPr="00823A1C">
        <w:t>Psl.</w:t>
      </w:r>
    </w:p>
    <w:p w:rsidR="001556B4" w:rsidRDefault="00C96001">
      <w:pPr>
        <w:pStyle w:val="TOC1"/>
        <w:tabs>
          <w:tab w:val="right" w:leader="dot" w:pos="9060"/>
        </w:tabs>
        <w:rPr>
          <w:rFonts w:asciiTheme="minorHAnsi" w:eastAsiaTheme="minorEastAsia" w:hAnsiTheme="minorHAnsi" w:cstheme="minorBidi"/>
          <w:noProof/>
          <w:sz w:val="22"/>
          <w:szCs w:val="22"/>
          <w:lang w:val="en-GB"/>
        </w:rPr>
      </w:pPr>
      <w:r w:rsidRPr="00823A1C">
        <w:fldChar w:fldCharType="begin"/>
      </w:r>
      <w:r w:rsidRPr="00823A1C">
        <w:instrText xml:space="preserve"> TOC \t "PageHeading</w:instrText>
      </w:r>
      <w:r w:rsidR="00D84C0E" w:rsidRPr="00823A1C">
        <w:instrText>;</w:instrText>
      </w:r>
      <w:r w:rsidRPr="00823A1C">
        <w:instrText xml:space="preserve">1" </w:instrText>
      </w:r>
      <w:r w:rsidRPr="00823A1C">
        <w:fldChar w:fldCharType="separate"/>
      </w:r>
      <w:r w:rsidR="001556B4">
        <w:rPr>
          <w:noProof/>
        </w:rPr>
        <w:t>PASIŪLYMAS DĖL EUROPOS PARLAMENTO REZOLIUCIJOS</w:t>
      </w:r>
      <w:r w:rsidR="001556B4">
        <w:rPr>
          <w:noProof/>
        </w:rPr>
        <w:tab/>
      </w:r>
      <w:r w:rsidR="001556B4">
        <w:rPr>
          <w:noProof/>
        </w:rPr>
        <w:fldChar w:fldCharType="begin"/>
      </w:r>
      <w:r w:rsidR="001556B4">
        <w:rPr>
          <w:noProof/>
        </w:rPr>
        <w:instrText xml:space="preserve"> PAGEREF _Toc492627997 \h </w:instrText>
      </w:r>
      <w:r w:rsidR="001556B4">
        <w:rPr>
          <w:noProof/>
        </w:rPr>
      </w:r>
      <w:r w:rsidR="001556B4">
        <w:rPr>
          <w:noProof/>
        </w:rPr>
        <w:fldChar w:fldCharType="separate"/>
      </w:r>
      <w:r w:rsidR="001556B4">
        <w:rPr>
          <w:noProof/>
        </w:rPr>
        <w:t>3</w:t>
      </w:r>
      <w:r w:rsidR="001556B4">
        <w:rPr>
          <w:noProof/>
        </w:rPr>
        <w:fldChar w:fldCharType="end"/>
      </w:r>
    </w:p>
    <w:p w:rsidR="001556B4" w:rsidRDefault="001556B4">
      <w:pPr>
        <w:pStyle w:val="TOC1"/>
        <w:tabs>
          <w:tab w:val="right" w:leader="dot" w:pos="9060"/>
        </w:tabs>
        <w:rPr>
          <w:rFonts w:asciiTheme="minorHAnsi" w:eastAsiaTheme="minorEastAsia" w:hAnsiTheme="minorHAnsi" w:cstheme="minorBidi"/>
          <w:noProof/>
          <w:sz w:val="22"/>
          <w:szCs w:val="22"/>
          <w:lang w:val="en-GB"/>
        </w:rPr>
      </w:pPr>
      <w:r>
        <w:rPr>
          <w:noProof/>
        </w:rPr>
        <w:t>PRIEDAS: REGIONINĖS PLĖTROS KOMITETO LAIŠKAS</w:t>
      </w:r>
      <w:r>
        <w:rPr>
          <w:noProof/>
        </w:rPr>
        <w:tab/>
      </w:r>
      <w:r>
        <w:rPr>
          <w:noProof/>
        </w:rPr>
        <w:fldChar w:fldCharType="begin"/>
      </w:r>
      <w:r>
        <w:rPr>
          <w:noProof/>
        </w:rPr>
        <w:instrText xml:space="preserve"> PAGEREF _Toc492627998 \h </w:instrText>
      </w:r>
      <w:r>
        <w:rPr>
          <w:noProof/>
        </w:rPr>
      </w:r>
      <w:r>
        <w:rPr>
          <w:noProof/>
        </w:rPr>
        <w:fldChar w:fldCharType="separate"/>
      </w:r>
      <w:r>
        <w:rPr>
          <w:noProof/>
        </w:rPr>
        <w:t>5</w:t>
      </w:r>
      <w:r>
        <w:rPr>
          <w:noProof/>
        </w:rPr>
        <w:fldChar w:fldCharType="end"/>
      </w:r>
    </w:p>
    <w:p w:rsidR="001556B4" w:rsidRDefault="001556B4">
      <w:pPr>
        <w:pStyle w:val="TOC1"/>
        <w:tabs>
          <w:tab w:val="right" w:leader="dot" w:pos="9060"/>
        </w:tabs>
        <w:rPr>
          <w:rFonts w:asciiTheme="minorHAnsi" w:eastAsiaTheme="minorEastAsia" w:hAnsiTheme="minorHAnsi" w:cstheme="minorBidi"/>
          <w:noProof/>
          <w:sz w:val="22"/>
          <w:szCs w:val="22"/>
          <w:lang w:val="en-GB"/>
        </w:rPr>
      </w:pPr>
      <w:r>
        <w:rPr>
          <w:noProof/>
        </w:rPr>
        <w:t>INFORMACIJA APIE PRIĖMIMĄ ATSAKINGAME KOMITETE</w:t>
      </w:r>
      <w:r>
        <w:rPr>
          <w:noProof/>
        </w:rPr>
        <w:tab/>
      </w:r>
      <w:r>
        <w:rPr>
          <w:noProof/>
        </w:rPr>
        <w:fldChar w:fldCharType="begin"/>
      </w:r>
      <w:r>
        <w:rPr>
          <w:noProof/>
        </w:rPr>
        <w:instrText xml:space="preserve"> PAGEREF _Toc492627999 \h </w:instrText>
      </w:r>
      <w:r>
        <w:rPr>
          <w:noProof/>
        </w:rPr>
      </w:r>
      <w:r>
        <w:rPr>
          <w:noProof/>
        </w:rPr>
        <w:fldChar w:fldCharType="separate"/>
      </w:r>
      <w:r>
        <w:rPr>
          <w:noProof/>
        </w:rPr>
        <w:t>7</w:t>
      </w:r>
      <w:r>
        <w:rPr>
          <w:noProof/>
        </w:rPr>
        <w:fldChar w:fldCharType="end"/>
      </w:r>
    </w:p>
    <w:p w:rsidR="001556B4" w:rsidRDefault="001556B4">
      <w:pPr>
        <w:pStyle w:val="TOC1"/>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_Toc492628000 \h </w:instrText>
      </w:r>
      <w:r>
        <w:rPr>
          <w:noProof/>
        </w:rPr>
      </w:r>
      <w:r>
        <w:rPr>
          <w:noProof/>
        </w:rPr>
        <w:fldChar w:fldCharType="separate"/>
      </w:r>
      <w:r>
        <w:rPr>
          <w:noProof/>
        </w:rPr>
        <w:t>8</w:t>
      </w:r>
      <w:r>
        <w:rPr>
          <w:noProof/>
        </w:rPr>
        <w:fldChar w:fldCharType="end"/>
      </w:r>
    </w:p>
    <w:p w:rsidR="00C23ADB" w:rsidRPr="00823A1C" w:rsidRDefault="00C96001">
      <w:pPr>
        <w:widowControl/>
        <w:tabs>
          <w:tab w:val="center" w:pos="4677"/>
        </w:tabs>
        <w:jc w:val="both"/>
      </w:pPr>
      <w:r w:rsidRPr="00823A1C">
        <w:fldChar w:fldCharType="end"/>
      </w:r>
    </w:p>
    <w:p w:rsidR="00C23ADB" w:rsidRPr="00823A1C" w:rsidRDefault="00C23ADB" w:rsidP="00C96001">
      <w:pPr>
        <w:pStyle w:val="PageHeading"/>
      </w:pPr>
      <w:r w:rsidRPr="00823A1C">
        <w:br w:type="page"/>
      </w:r>
      <w:bookmarkStart w:id="0" w:name="_Toc492627997"/>
      <w:r w:rsidRPr="00823A1C">
        <w:lastRenderedPageBreak/>
        <w:t>PASIŪLYMAS DĖL EUROPOS PARLAMENTO REZOLIUCIJOS</w:t>
      </w:r>
      <w:bookmarkEnd w:id="0"/>
    </w:p>
    <w:p w:rsidR="00D5123D" w:rsidRPr="00823A1C" w:rsidRDefault="00D5123D" w:rsidP="00D5123D">
      <w:pPr>
        <w:pStyle w:val="NormalBold"/>
      </w:pPr>
      <w:r w:rsidRPr="00823A1C">
        <w:t>dėl Tarybos pozicijos dėl Europos Sąjungos 2017 finansinių metų Taisomojo biudžeto Nr. 4/2017 projekto, pridedamo prie pasiūlymo mobilizuoti Europos Sąjungos solidarumo fondo lėšas siekiant suteikti pagalbą Italijai</w:t>
      </w:r>
    </w:p>
    <w:p w:rsidR="00C23ADB" w:rsidRPr="00823A1C" w:rsidRDefault="00D5123D" w:rsidP="00D5123D">
      <w:pPr>
        <w:pStyle w:val="Normal12Bold"/>
      </w:pPr>
      <w:r w:rsidRPr="00823A1C">
        <w:t>(11813/2017 – C8-0304/2017 – 2017/2109(BUD))</w:t>
      </w:r>
    </w:p>
    <w:p w:rsidR="00C23ADB" w:rsidRPr="00823A1C" w:rsidRDefault="00291DD9">
      <w:pPr>
        <w:pStyle w:val="Normal12"/>
      </w:pPr>
      <w:r w:rsidRPr="00823A1C">
        <w:rPr>
          <w:i/>
        </w:rPr>
        <w:t>Europos Parlamentas</w:t>
      </w:r>
      <w:r w:rsidRPr="00823A1C">
        <w:t>,</w:t>
      </w:r>
    </w:p>
    <w:p w:rsidR="00D5123D" w:rsidRPr="00823A1C" w:rsidRDefault="00D5123D" w:rsidP="00D5123D">
      <w:pPr>
        <w:pStyle w:val="Normal12Hanging"/>
      </w:pPr>
      <w:r w:rsidRPr="00823A1C">
        <w:t>–</w:t>
      </w:r>
      <w:r w:rsidRPr="00823A1C">
        <w:tab/>
        <w:t>atsižvelgdamas į Sutarties dėl Europos Sąjungos veikimo 314 straipsnį,</w:t>
      </w:r>
    </w:p>
    <w:p w:rsidR="00D5123D" w:rsidRPr="00823A1C" w:rsidRDefault="00D5123D" w:rsidP="00D5123D">
      <w:pPr>
        <w:pStyle w:val="Normal12Hanging"/>
      </w:pPr>
      <w:r w:rsidRPr="00823A1C">
        <w:t>–</w:t>
      </w:r>
      <w:r w:rsidRPr="00823A1C">
        <w:tab/>
        <w:t>atsižvelgdamas į Europos atominės energijos bendrijos steigimo sutarties 106a straipsnį,</w:t>
      </w:r>
    </w:p>
    <w:p w:rsidR="00D5123D" w:rsidRPr="00823A1C" w:rsidRDefault="00D5123D" w:rsidP="00D5123D">
      <w:pPr>
        <w:pStyle w:val="Normal12Hanging"/>
      </w:pPr>
      <w:r w:rsidRPr="00823A1C">
        <w:t>–</w:t>
      </w:r>
      <w:r w:rsidRPr="00823A1C">
        <w:tab/>
        <w:t>atsižvelgdamas į 2012 m. spalio 25 d. Europos Parlamento ir Tarybos reglamentą (ES, Euratomas) Nr. 966/2012 dėl Sąjungos bendrajam biudžetui taikomų finansinių taisyklių ir kuriuo panaikinamas Tarybos reglamentas (EB, Euratomas) Nr. 1605/2002</w:t>
      </w:r>
      <w:r w:rsidRPr="00823A1C">
        <w:rPr>
          <w:rStyle w:val="FootnoteReference"/>
        </w:rPr>
        <w:footnoteReference w:id="1"/>
      </w:r>
      <w:r w:rsidRPr="00823A1C">
        <w:t>, ypač į jo 41 straipsnį,</w:t>
      </w:r>
    </w:p>
    <w:p w:rsidR="00D5123D" w:rsidRPr="00823A1C" w:rsidRDefault="00D5123D" w:rsidP="00D5123D">
      <w:pPr>
        <w:pStyle w:val="Normal12Hanging"/>
      </w:pPr>
      <w:r w:rsidRPr="00823A1C">
        <w:t>–</w:t>
      </w:r>
      <w:r w:rsidRPr="00823A1C">
        <w:tab/>
        <w:t>atsižvelgdamas į Europos Sąjungos 2017 finansinių metų bendrąjį biudžetą, galutinai priimtą 2016 m. gruodžio 1 d.</w:t>
      </w:r>
      <w:r w:rsidRPr="00823A1C">
        <w:rPr>
          <w:rStyle w:val="FootnoteReference"/>
        </w:rPr>
        <w:footnoteReference w:id="2"/>
      </w:r>
      <w:r w:rsidRPr="00823A1C">
        <w:t>,</w:t>
      </w:r>
    </w:p>
    <w:p w:rsidR="00D5123D" w:rsidRPr="00823A1C" w:rsidRDefault="00D5123D" w:rsidP="00D5123D">
      <w:pPr>
        <w:pStyle w:val="Normal12Hanging"/>
      </w:pPr>
      <w:r w:rsidRPr="00823A1C">
        <w:t>–</w:t>
      </w:r>
      <w:r w:rsidRPr="00823A1C">
        <w:tab/>
        <w:t>atsižvelgdamas į 2013 m. gruodžio 2 d. Tarybos reglamentą (ES, Euratomas) Nr. 1311/2013, kuriuo nustatoma 2014–2020 m. daugiametė finansinė programa</w:t>
      </w:r>
      <w:r w:rsidRPr="00823A1C">
        <w:rPr>
          <w:rStyle w:val="FootnoteReference"/>
        </w:rPr>
        <w:footnoteReference w:id="3"/>
      </w:r>
      <w:r w:rsidRPr="00823A1C">
        <w:t xml:space="preserve"> (DFP reglamentas),</w:t>
      </w:r>
    </w:p>
    <w:p w:rsidR="00D5123D" w:rsidRPr="00823A1C" w:rsidRDefault="00D5123D" w:rsidP="00D5123D">
      <w:pPr>
        <w:pStyle w:val="Normal12Hanging"/>
      </w:pPr>
      <w:r w:rsidRPr="00823A1C">
        <w:t>–</w:t>
      </w:r>
      <w:r w:rsidRPr="00823A1C">
        <w:tab/>
        <w:t>atsižvelgdamas į 2013 m. gruodžio 2 d. Europos Parlamento, Tarybos ir Komisijos tarpinstitucinį susitarimą dėl biudžetinės drausmės, bendradarbiavimo biudžeto klausimais ir patikimo finansų valdymo</w:t>
      </w:r>
      <w:r w:rsidRPr="00823A1C">
        <w:rPr>
          <w:rStyle w:val="FootnoteReference"/>
        </w:rPr>
        <w:footnoteReference w:id="4"/>
      </w:r>
      <w:r w:rsidRPr="00823A1C">
        <w:t>,</w:t>
      </w:r>
    </w:p>
    <w:p w:rsidR="00D5123D" w:rsidRPr="00823A1C" w:rsidRDefault="00D5123D" w:rsidP="00D5123D">
      <w:pPr>
        <w:pStyle w:val="Normal12Hanging"/>
      </w:pPr>
      <w:r w:rsidRPr="00823A1C">
        <w:t>–</w:t>
      </w:r>
      <w:r w:rsidRPr="00823A1C">
        <w:tab/>
        <w:t>atsižvelgdamas į 2014 m. gegužės 26 d. Tarybos sprendimą Nr. 2014/335/ES, Euratomas dėl Europos Sąjungos nuosavų išteklių sistemos</w:t>
      </w:r>
      <w:r w:rsidRPr="00823A1C">
        <w:rPr>
          <w:rStyle w:val="FootnoteReference"/>
        </w:rPr>
        <w:footnoteReference w:id="5"/>
      </w:r>
      <w:r w:rsidRPr="00823A1C">
        <w:t>,</w:t>
      </w:r>
    </w:p>
    <w:p w:rsidR="00D5123D" w:rsidRPr="00823A1C" w:rsidRDefault="00D5123D" w:rsidP="00D5123D">
      <w:pPr>
        <w:pStyle w:val="Normal12Hanging"/>
      </w:pPr>
      <w:r w:rsidRPr="00823A1C">
        <w:t>–</w:t>
      </w:r>
      <w:r w:rsidRPr="00823A1C">
        <w:tab/>
        <w:t>atsižvelgdamas į Taisomojo biudžeto Nr. 4/2017 projektą, kurį Komisija priėmė 2017 m. birželio 26 d. (COM(2017) 0541),</w:t>
      </w:r>
    </w:p>
    <w:p w:rsidR="00D5123D" w:rsidRPr="00823A1C" w:rsidRDefault="00D5123D" w:rsidP="00D5123D">
      <w:pPr>
        <w:pStyle w:val="Normal12Hanging"/>
      </w:pPr>
      <w:r w:rsidRPr="00823A1C">
        <w:t>–</w:t>
      </w:r>
      <w:r w:rsidRPr="00823A1C">
        <w:tab/>
        <w:t>atsižvelgdamas į 2017 m. rugsėjo 4 d. priimtą ir tą pačią dieną Europos Parlamentui perduotą Tarybos poziciją dėl Taisomojo biudžeto Nr. 4/2017 projekto (11813/2017 – C8-0304/2017),</w:t>
      </w:r>
    </w:p>
    <w:p w:rsidR="00D5123D" w:rsidRPr="00823A1C" w:rsidRDefault="00D5123D" w:rsidP="00D5123D">
      <w:pPr>
        <w:pStyle w:val="Normal12Hanging"/>
      </w:pPr>
      <w:r w:rsidRPr="00823A1C">
        <w:t>–</w:t>
      </w:r>
      <w:r w:rsidRPr="00823A1C">
        <w:tab/>
        <w:t>atsižvelgdamas į Darbo tvarkos taisyklių 88 ir 91 straipsnius,</w:t>
      </w:r>
    </w:p>
    <w:p w:rsidR="00D5123D" w:rsidRPr="00823A1C" w:rsidRDefault="00D5123D" w:rsidP="00D5123D">
      <w:pPr>
        <w:pStyle w:val="Normal12Hanging"/>
      </w:pPr>
      <w:r w:rsidRPr="00823A1C">
        <w:t>–</w:t>
      </w:r>
      <w:r w:rsidRPr="00823A1C">
        <w:tab/>
        <w:t>atsižvelgdamas į Biudžeto komiteto pranešimą (A8-0281/2017),</w:t>
      </w:r>
    </w:p>
    <w:p w:rsidR="00D5123D" w:rsidRPr="00823A1C" w:rsidRDefault="00D5123D" w:rsidP="00D5123D">
      <w:pPr>
        <w:pStyle w:val="Normal12Hanging"/>
      </w:pPr>
      <w:r w:rsidRPr="00823A1C">
        <w:t>A.</w:t>
      </w:r>
      <w:r w:rsidRPr="00823A1C">
        <w:tab/>
        <w:t xml:space="preserve">kadangi Taisomojo biudžeto projektas Nr. 4/2017 yra susijęs su pasiūlymu mobilizuoti </w:t>
      </w:r>
      <w:r w:rsidRPr="00823A1C">
        <w:lastRenderedPageBreak/>
        <w:t>Europos Sąjungos solidarumo fondo lėšas (1 196 797 579 EUR) siekiant suteikti pagalbą Italijai dėl 2016 m. rugpjūčio mėn. – 2017 m. sausio mėn. Abrucų, Lacijaus, Markės ir Umbrijos regionuose įvykusių žemės drebėjimų;</w:t>
      </w:r>
    </w:p>
    <w:p w:rsidR="00D5123D" w:rsidRPr="00823A1C" w:rsidRDefault="00D5123D" w:rsidP="00D5123D">
      <w:pPr>
        <w:spacing w:after="240"/>
        <w:ind w:left="567" w:hanging="567"/>
        <w:jc w:val="both"/>
      </w:pPr>
      <w:r w:rsidRPr="00823A1C">
        <w:t>B.</w:t>
      </w:r>
      <w:r w:rsidRPr="00823A1C">
        <w:tab/>
        <w:t>kadangi dėl šio Europos Sąjungos solidarumo fondo panaudojimo atvejo iš 2016 m. Sąjungos biudžeto avansu jau buvo išmokėta 30 000 000 EUR suma;</w:t>
      </w:r>
    </w:p>
    <w:p w:rsidR="00D5123D" w:rsidRPr="00823A1C" w:rsidRDefault="00D5123D" w:rsidP="00D5123D">
      <w:pPr>
        <w:spacing w:after="240"/>
        <w:ind w:left="567" w:hanging="567"/>
        <w:jc w:val="both"/>
      </w:pPr>
      <w:r w:rsidRPr="00823A1C">
        <w:t>C.</w:t>
      </w:r>
      <w:r w:rsidRPr="00823A1C">
        <w:tab/>
        <w:t>kadangi šis mobilizavimas yra didžiausias Europos Sąjungos solidarumo fondo lėšų mobilizavimas;</w:t>
      </w:r>
    </w:p>
    <w:p w:rsidR="00D5123D" w:rsidRPr="00823A1C" w:rsidRDefault="00D5123D" w:rsidP="00D5123D">
      <w:pPr>
        <w:spacing w:after="240"/>
        <w:ind w:left="567" w:hanging="567"/>
        <w:jc w:val="both"/>
      </w:pPr>
      <w:r w:rsidRPr="00823A1C">
        <w:t>D.</w:t>
      </w:r>
      <w:r w:rsidRPr="00823A1C">
        <w:tab/>
        <w:t>kadangi Taisomojo biudžeto Nr. 4/2017 projekto tikslas – oficialiai įtraukti šį biudžeto patikslinimą į 2017 m. Sąjungos biudžetą;</w:t>
      </w:r>
    </w:p>
    <w:p w:rsidR="00D5123D" w:rsidRPr="00823A1C" w:rsidRDefault="00D5123D" w:rsidP="00D5123D">
      <w:pPr>
        <w:spacing w:after="240"/>
        <w:ind w:left="567" w:hanging="567"/>
        <w:jc w:val="both"/>
      </w:pPr>
      <w:r w:rsidRPr="00823A1C">
        <w:t>E.</w:t>
      </w:r>
      <w:r w:rsidRPr="00823A1C">
        <w:tab/>
        <w:t>kadangi todėl Komisija siūlo iš dalies pakeisti 2017 m. biudžetą ir padidinti biudžeto straipsnio Nr. 13 06 01 „Pagalba valstybėms narėms didelės gaivalinės nelaimės atveju, kai itin nukenčia gyvenimo sąlygos, gamtinė aplinka ar ekonomika“ lėšas 1 166 797 579 EUR suma – tiek įsipareigojimų, tiek mokėjimų asignavimų;</w:t>
      </w:r>
    </w:p>
    <w:p w:rsidR="00D5123D" w:rsidRPr="00823A1C" w:rsidRDefault="00D5123D" w:rsidP="00D5123D">
      <w:pPr>
        <w:spacing w:after="240"/>
        <w:ind w:left="567" w:hanging="567"/>
        <w:jc w:val="both"/>
      </w:pPr>
      <w:r w:rsidRPr="00823A1C">
        <w:t>F.</w:t>
      </w:r>
      <w:r w:rsidRPr="00823A1C">
        <w:tab/>
        <w:t>kadangi, nors bendra turima suma, kurią numatyta mobilizuoti iš Europos Sąjungos solidarumo fondo, šiuo metu yra 293 971 080 EUR mažesnė suma, Komisija siūlo padengti šį skirtumą iš metinės 2018 m. biudžeto sumos, kaip nustatyta DFP reglamento 10 straipsnio 2 dalyje; kadangi tokia galimybe niekada nebuvo pasinaudota anksčiau;</w:t>
      </w:r>
    </w:p>
    <w:p w:rsidR="00D5123D" w:rsidRPr="00823A1C" w:rsidRDefault="00D5123D" w:rsidP="00D5123D">
      <w:pPr>
        <w:spacing w:after="240"/>
        <w:ind w:left="567" w:hanging="567"/>
        <w:jc w:val="both"/>
      </w:pPr>
      <w:r w:rsidRPr="00823A1C">
        <w:t>G.</w:t>
      </w:r>
      <w:r w:rsidRPr="00823A1C">
        <w:tab/>
        <w:t>kadangi Europos Sąjungos solidarumo fondas yra speciali priemonė kaip apibrėžta DFP reglamente ir atitinkami įsipareigojimų ir mokėjimų asignavimai turi būti įtraukti į biudžetą viršijant DFP viršutines ribas;</w:t>
      </w:r>
    </w:p>
    <w:p w:rsidR="00D5123D" w:rsidRPr="00823A1C" w:rsidRDefault="00D5123D" w:rsidP="00D5123D">
      <w:pPr>
        <w:spacing w:after="240"/>
        <w:ind w:left="567" w:hanging="567"/>
        <w:jc w:val="both"/>
      </w:pPr>
      <w:r w:rsidRPr="00823A1C">
        <w:t>H.</w:t>
      </w:r>
      <w:r w:rsidRPr="00823A1C">
        <w:tab/>
        <w:t>kadangi Komisija siūlo perskirstyti visus dėl šio Europos Sąjungos solidarumo fondo lėšų mobilizavimo reikalingus mokėjimų asignavimus neviršijant 2017 m. biudžeto, o neigiamą rezervą, susidariusį Taisomajame biudžete Nr. 1/2017 (70 402 434 EUR), papildyti iš biudžeto eilučių, skirtų tam tikroms 2007–2013 m. struktūrinių fondų programoms;</w:t>
      </w:r>
    </w:p>
    <w:p w:rsidR="00D5123D" w:rsidRPr="00823A1C" w:rsidRDefault="00D5123D" w:rsidP="00D5123D">
      <w:pPr>
        <w:tabs>
          <w:tab w:val="left" w:pos="709"/>
        </w:tabs>
        <w:spacing w:after="240"/>
        <w:ind w:left="567" w:hanging="567"/>
        <w:jc w:val="both"/>
        <w:rPr>
          <w:szCs w:val="24"/>
        </w:rPr>
      </w:pPr>
      <w:r w:rsidRPr="00823A1C">
        <w:t>1.</w:t>
      </w:r>
      <w:r w:rsidRPr="00823A1C">
        <w:tab/>
        <w:t>pabrėžia, kad regionams, nukentėjusiems nuo šių gaivalinių nelaimių, reikia kuo skubiau suteikti finansinę paramą iš Europos Sąjungos solidarumo fondo; pažymi, kad itin svarbus yra visų turimų Sąjungos priemonių sąveikos sukūrimas, taip užtikrinant, kad ištekliai būtų veiksmingai naudojami atkūrimo veiklai ir visiems kitiems būtiniems veiksmams;</w:t>
      </w:r>
    </w:p>
    <w:p w:rsidR="00D5123D" w:rsidRPr="00823A1C" w:rsidRDefault="00D5123D" w:rsidP="00D5123D">
      <w:pPr>
        <w:tabs>
          <w:tab w:val="left" w:pos="709"/>
        </w:tabs>
        <w:spacing w:after="240"/>
        <w:ind w:left="567" w:hanging="567"/>
        <w:jc w:val="both"/>
        <w:rPr>
          <w:szCs w:val="24"/>
        </w:rPr>
      </w:pPr>
      <w:r w:rsidRPr="00823A1C">
        <w:t>2.</w:t>
      </w:r>
      <w:r w:rsidRPr="00823A1C">
        <w:tab/>
        <w:t>atkreipia dėmesį į Komisijos pateiktą Taisomojo biudžeto Nr. 4/2017 projektą;</w:t>
      </w:r>
    </w:p>
    <w:p w:rsidR="00D5123D" w:rsidRPr="00823A1C" w:rsidRDefault="00D5123D" w:rsidP="00D5123D">
      <w:pPr>
        <w:tabs>
          <w:tab w:val="left" w:pos="567"/>
        </w:tabs>
        <w:spacing w:after="240"/>
        <w:jc w:val="both"/>
        <w:rPr>
          <w:szCs w:val="24"/>
        </w:rPr>
      </w:pPr>
      <w:r w:rsidRPr="00823A1C">
        <w:t>3.</w:t>
      </w:r>
      <w:r w:rsidRPr="00823A1C">
        <w:tab/>
        <w:t>patvirtina Tarybos poziciją dėl Taisomojo biudžeto Nr. 4/2017 projekto;</w:t>
      </w:r>
    </w:p>
    <w:p w:rsidR="00D5123D" w:rsidRPr="00823A1C" w:rsidRDefault="00D5123D" w:rsidP="00D5123D">
      <w:pPr>
        <w:spacing w:after="240"/>
        <w:ind w:left="567" w:hanging="567"/>
        <w:jc w:val="both"/>
      </w:pPr>
      <w:r w:rsidRPr="00823A1C">
        <w:t>4.</w:t>
      </w:r>
      <w:r w:rsidRPr="00823A1C">
        <w:tab/>
        <w:t xml:space="preserve">paveda Pirmininkui paskelbti, kad Taisomasis biudžetas Nr. 4/2017 yra galutinai priimtas, ir pasirūpinti, kad jis būtų paskelbtas </w:t>
      </w:r>
      <w:r w:rsidRPr="00823A1C">
        <w:rPr>
          <w:i/>
        </w:rPr>
        <w:t>Europos Sąjungos oficialiajame leidinyje</w:t>
      </w:r>
      <w:r w:rsidRPr="00823A1C">
        <w:t>;</w:t>
      </w:r>
    </w:p>
    <w:p w:rsidR="00F20AD5" w:rsidRPr="00823A1C" w:rsidRDefault="00D5123D" w:rsidP="00D5123D">
      <w:pPr>
        <w:ind w:left="567" w:hanging="567"/>
      </w:pPr>
      <w:r w:rsidRPr="00823A1C">
        <w:t>5.</w:t>
      </w:r>
      <w:r w:rsidRPr="00823A1C">
        <w:tab/>
        <w:t>paveda Pirmininkui perduoti šią rezoliuciją Tarybai, Komisijai, Audito Rūmams ir nacionaliniams parlamentams.</w:t>
      </w:r>
    </w:p>
    <w:p w:rsidR="00D5123D" w:rsidRPr="00823A1C" w:rsidRDefault="00D5123D" w:rsidP="00D5123D">
      <w:pPr>
        <w:ind w:left="567" w:hanging="567"/>
      </w:pPr>
    </w:p>
    <w:p w:rsidR="00D5123D" w:rsidRPr="00823A1C" w:rsidRDefault="00D5123D" w:rsidP="00D5123D">
      <w:pPr>
        <w:pStyle w:val="PageHeading"/>
      </w:pPr>
      <w:r w:rsidRPr="00823A1C">
        <w:br w:type="page"/>
      </w:r>
      <w:bookmarkStart w:id="1" w:name="_Toc492377901"/>
      <w:bookmarkStart w:id="2" w:name="_Toc492627998"/>
      <w:r w:rsidRPr="00823A1C">
        <w:lastRenderedPageBreak/>
        <w:t>PRIEDAS: REGIONINĖS PLĖTROS KOMITETO LAIŠKAS</w:t>
      </w:r>
      <w:bookmarkEnd w:id="1"/>
      <w:bookmarkEnd w:id="2"/>
    </w:p>
    <w:p w:rsidR="00D5123D" w:rsidRPr="00823A1C" w:rsidRDefault="00D5123D" w:rsidP="00D5123D">
      <w:pPr>
        <w:ind w:left="567" w:hanging="567"/>
      </w:pPr>
    </w:p>
    <w:p w:rsidR="00D5123D" w:rsidRPr="00823A1C" w:rsidRDefault="00D5123D" w:rsidP="00D5123D">
      <w:pPr>
        <w:widowControl/>
        <w:rPr>
          <w:szCs w:val="24"/>
        </w:rPr>
      </w:pPr>
      <w:r w:rsidRPr="00823A1C">
        <w:t>Jeanui ARTHUIS,</w:t>
      </w:r>
    </w:p>
    <w:p w:rsidR="00D5123D" w:rsidRPr="00823A1C" w:rsidRDefault="00A73A1C" w:rsidP="00D5123D">
      <w:pPr>
        <w:widowControl/>
        <w:rPr>
          <w:szCs w:val="24"/>
        </w:rPr>
      </w:pPr>
      <w:r w:rsidRPr="00823A1C">
        <w:t>Biudžeto komiteto</w:t>
      </w:r>
    </w:p>
    <w:p w:rsidR="00D5123D" w:rsidRPr="00823A1C" w:rsidRDefault="00A73A1C" w:rsidP="00D5123D">
      <w:pPr>
        <w:widowControl/>
        <w:rPr>
          <w:szCs w:val="24"/>
        </w:rPr>
      </w:pPr>
      <w:r w:rsidRPr="00823A1C">
        <w:t>pirmininkui</w:t>
      </w:r>
    </w:p>
    <w:p w:rsidR="00D5123D" w:rsidRPr="00823A1C" w:rsidRDefault="008B51A5" w:rsidP="00D5123D">
      <w:pPr>
        <w:widowControl/>
      </w:pPr>
      <w:r w:rsidRPr="00823A1C">
        <w:t>Europos Parlamentas</w:t>
      </w:r>
    </w:p>
    <w:p w:rsidR="00D5123D" w:rsidRPr="00823A1C" w:rsidRDefault="00D5123D" w:rsidP="00D5123D">
      <w:pPr>
        <w:widowControl/>
        <w:rPr>
          <w:szCs w:val="24"/>
          <w:lang w:eastAsia="en-US"/>
        </w:rPr>
      </w:pPr>
    </w:p>
    <w:p w:rsidR="00D5123D" w:rsidRPr="00823A1C" w:rsidRDefault="00D5123D" w:rsidP="00D5123D">
      <w:pPr>
        <w:widowControl/>
        <w:rPr>
          <w:szCs w:val="24"/>
          <w:lang w:eastAsia="en-US"/>
        </w:rPr>
      </w:pPr>
    </w:p>
    <w:p w:rsidR="00D5123D" w:rsidRPr="00823A1C" w:rsidRDefault="00D5123D" w:rsidP="00D5123D">
      <w:pPr>
        <w:widowControl/>
        <w:rPr>
          <w:szCs w:val="24"/>
          <w:lang w:eastAsia="en-US"/>
        </w:rPr>
      </w:pPr>
    </w:p>
    <w:p w:rsidR="00D5123D" w:rsidRPr="00823A1C" w:rsidRDefault="00A73A1C" w:rsidP="00D5123D">
      <w:pPr>
        <w:widowControl/>
        <w:ind w:left="1440" w:hanging="1440"/>
        <w:jc w:val="both"/>
        <w:rPr>
          <w:b/>
          <w:szCs w:val="24"/>
        </w:rPr>
      </w:pPr>
      <w:r w:rsidRPr="001556B4">
        <w:rPr>
          <w:u w:val="single"/>
        </w:rPr>
        <w:t>Tema</w:t>
      </w:r>
      <w:r w:rsidRPr="00823A1C">
        <w:t>:</w:t>
      </w:r>
      <w:r w:rsidRPr="00823A1C">
        <w:tab/>
      </w:r>
      <w:r w:rsidRPr="00823A1C">
        <w:rPr>
          <w:b/>
        </w:rPr>
        <w:t>Europos Sąjungos solidarumo fondo lėšų mobilizavimas siekiant suteikti pagalbą Italijai</w:t>
      </w:r>
    </w:p>
    <w:p w:rsidR="00D5123D" w:rsidRPr="00823A1C" w:rsidRDefault="00D5123D" w:rsidP="00D5123D">
      <w:pPr>
        <w:widowControl/>
        <w:rPr>
          <w:szCs w:val="24"/>
          <w:lang w:eastAsia="en-US"/>
        </w:rPr>
      </w:pPr>
    </w:p>
    <w:p w:rsidR="00D5123D" w:rsidRPr="00823A1C" w:rsidRDefault="00D5123D" w:rsidP="00D5123D">
      <w:pPr>
        <w:widowControl/>
        <w:rPr>
          <w:szCs w:val="24"/>
          <w:lang w:eastAsia="en-US"/>
        </w:rPr>
      </w:pPr>
    </w:p>
    <w:p w:rsidR="00A73A1C" w:rsidRPr="00823A1C" w:rsidRDefault="00A73A1C" w:rsidP="00A73A1C">
      <w:pPr>
        <w:pStyle w:val="Normal18"/>
      </w:pPr>
      <w:r w:rsidRPr="00823A1C">
        <w:t>Gerb. J. Arthuis,</w:t>
      </w:r>
    </w:p>
    <w:p w:rsidR="00A73A1C" w:rsidRPr="00823A1C" w:rsidRDefault="00A73A1C" w:rsidP="00A73A1C">
      <w:pPr>
        <w:jc w:val="both"/>
      </w:pPr>
      <w:r w:rsidRPr="00823A1C">
        <w:t>Europos Komisija perdavė Europos Parlamentui savo pasiūlymą dėl Europos Parlamento ir Tarybos sprendimo dėl Europos Sąjungos solidarumo fondo lėšų mobilizavimo (COM(2017)0540), remdamasi Italijos pateikta paraiška dėl fondo lėšų mobilizavimo po laikotarpiu tarp 2016 m. rugpjūčio mėn. ir 2017 m. sausio mėn. Abrucų, Lacijaus, Markės ir Umbrijos regionuose vienas po kito įvykusių žemės drebėjimų.</w:t>
      </w:r>
      <w:r w:rsidRPr="00823A1C">
        <w:rPr>
          <w:rFonts w:ascii="TimesNewRoman" w:hAnsi="TimesNewRoman"/>
        </w:rPr>
        <w:t xml:space="preserve"> </w:t>
      </w:r>
    </w:p>
    <w:p w:rsidR="00A73A1C" w:rsidRPr="00823A1C" w:rsidRDefault="00A73A1C" w:rsidP="00A73A1C">
      <w:pPr>
        <w:jc w:val="both"/>
      </w:pPr>
    </w:p>
    <w:p w:rsidR="00A73A1C" w:rsidRPr="00823A1C" w:rsidRDefault="00A73A1C" w:rsidP="00A73A1C">
      <w:pPr>
        <w:jc w:val="both"/>
      </w:pPr>
      <w:r w:rsidRPr="00823A1C">
        <w:t>Komisija siūlo mobilizuoti Europos Sąjungos solidarumo fondo lėšas dėl nelaimių patirtus nuostolius įvertinant taip:</w:t>
      </w:r>
    </w:p>
    <w:p w:rsidR="00A73A1C" w:rsidRPr="00823A1C" w:rsidRDefault="00A73A1C" w:rsidP="00A73A1C">
      <w:pPr>
        <w:jc w:val="both"/>
      </w:pPr>
    </w:p>
    <w:tbl>
      <w:tblPr>
        <w:tblW w:w="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153"/>
        <w:gridCol w:w="1320"/>
        <w:gridCol w:w="1320"/>
        <w:gridCol w:w="1440"/>
        <w:gridCol w:w="1680"/>
        <w:gridCol w:w="1385"/>
      </w:tblGrid>
      <w:tr w:rsidR="00A73A1C" w:rsidRPr="00823A1C" w:rsidTr="003B5FA3">
        <w:trPr>
          <w:trHeight w:val="788"/>
          <w:jc w:val="center"/>
        </w:trPr>
        <w:tc>
          <w:tcPr>
            <w:tcW w:w="2153" w:type="dxa"/>
            <w:tcBorders>
              <w:top w:val="single" w:sz="4" w:space="0" w:color="auto"/>
              <w:left w:val="single" w:sz="4" w:space="0" w:color="auto"/>
              <w:bottom w:val="dotted" w:sz="4" w:space="0" w:color="auto"/>
              <w:right w:val="dotted" w:sz="4" w:space="0" w:color="auto"/>
            </w:tcBorders>
            <w:shd w:val="clear" w:color="auto" w:fill="EEECE1"/>
            <w:vAlign w:val="center"/>
            <w:hideMark/>
          </w:tcPr>
          <w:p w:rsidR="00A73A1C" w:rsidRPr="00823A1C" w:rsidRDefault="00A73A1C" w:rsidP="003B5FA3">
            <w:pPr>
              <w:spacing w:line="276" w:lineRule="auto"/>
              <w:rPr>
                <w:b/>
                <w:sz w:val="18"/>
                <w:szCs w:val="18"/>
              </w:rPr>
            </w:pPr>
            <w:r w:rsidRPr="00823A1C">
              <w:rPr>
                <w:b/>
                <w:sz w:val="18"/>
                <w:szCs w:val="18"/>
              </w:rPr>
              <w:t>Nelaimė</w:t>
            </w:r>
          </w:p>
        </w:tc>
        <w:tc>
          <w:tcPr>
            <w:tcW w:w="1320" w:type="dxa"/>
            <w:tcBorders>
              <w:top w:val="single" w:sz="4" w:space="0" w:color="auto"/>
              <w:left w:val="dotted" w:sz="4" w:space="0" w:color="auto"/>
              <w:bottom w:val="dotted" w:sz="4" w:space="0" w:color="auto"/>
              <w:right w:val="dotted" w:sz="4" w:space="0" w:color="auto"/>
            </w:tcBorders>
            <w:shd w:val="clear" w:color="auto" w:fill="EEECE1"/>
            <w:hideMark/>
          </w:tcPr>
          <w:p w:rsidR="00A73A1C" w:rsidRPr="00823A1C" w:rsidRDefault="00A73A1C" w:rsidP="003B5FA3">
            <w:pPr>
              <w:spacing w:line="276" w:lineRule="auto"/>
              <w:ind w:right="59"/>
              <w:jc w:val="center"/>
              <w:rPr>
                <w:i/>
                <w:sz w:val="18"/>
                <w:szCs w:val="18"/>
              </w:rPr>
            </w:pPr>
            <w:r w:rsidRPr="00823A1C">
              <w:rPr>
                <w:i/>
                <w:sz w:val="18"/>
                <w:szCs w:val="18"/>
              </w:rPr>
              <w:t xml:space="preserve">Bendra tiesioginė žala    </w:t>
            </w:r>
          </w:p>
          <w:p w:rsidR="00A73A1C" w:rsidRPr="00823A1C" w:rsidRDefault="00A73A1C" w:rsidP="003B5FA3">
            <w:pPr>
              <w:spacing w:line="276" w:lineRule="auto"/>
              <w:ind w:right="59"/>
              <w:jc w:val="center"/>
              <w:rPr>
                <w:i/>
                <w:sz w:val="18"/>
                <w:szCs w:val="18"/>
              </w:rPr>
            </w:pPr>
            <w:r w:rsidRPr="00823A1C">
              <w:rPr>
                <w:i/>
                <w:sz w:val="18"/>
                <w:szCs w:val="18"/>
              </w:rPr>
              <w:t xml:space="preserve">                      </w:t>
            </w:r>
          </w:p>
          <w:p w:rsidR="00A73A1C" w:rsidRPr="00823A1C" w:rsidRDefault="00A73A1C" w:rsidP="003B5FA3">
            <w:pPr>
              <w:spacing w:line="276" w:lineRule="auto"/>
              <w:ind w:right="59"/>
              <w:rPr>
                <w:i/>
                <w:sz w:val="18"/>
                <w:szCs w:val="18"/>
              </w:rPr>
            </w:pPr>
            <w:r w:rsidRPr="00823A1C">
              <w:rPr>
                <w:i/>
                <w:sz w:val="18"/>
                <w:szCs w:val="18"/>
              </w:rPr>
              <w:t>(mln. EUR)</w:t>
            </w:r>
          </w:p>
        </w:tc>
        <w:tc>
          <w:tcPr>
            <w:tcW w:w="1320" w:type="dxa"/>
            <w:tcBorders>
              <w:top w:val="single" w:sz="4" w:space="0" w:color="auto"/>
              <w:left w:val="dotted" w:sz="4" w:space="0" w:color="auto"/>
              <w:bottom w:val="dotted" w:sz="4" w:space="0" w:color="auto"/>
              <w:right w:val="dotted" w:sz="4" w:space="0" w:color="auto"/>
            </w:tcBorders>
            <w:shd w:val="clear" w:color="auto" w:fill="EEECE1"/>
          </w:tcPr>
          <w:p w:rsidR="00A73A1C" w:rsidRPr="00823A1C" w:rsidRDefault="00A73A1C" w:rsidP="003B5FA3">
            <w:pPr>
              <w:spacing w:line="276" w:lineRule="auto"/>
              <w:jc w:val="center"/>
              <w:rPr>
                <w:i/>
                <w:sz w:val="18"/>
                <w:szCs w:val="18"/>
              </w:rPr>
            </w:pPr>
            <w:r w:rsidRPr="00823A1C">
              <w:rPr>
                <w:i/>
                <w:sz w:val="18"/>
                <w:szCs w:val="18"/>
              </w:rPr>
              <w:t>Didelės nelaimės riba</w:t>
            </w:r>
          </w:p>
          <w:p w:rsidR="00A73A1C" w:rsidRPr="00823A1C" w:rsidRDefault="00A73A1C" w:rsidP="003B5FA3">
            <w:pPr>
              <w:spacing w:line="276" w:lineRule="auto"/>
              <w:jc w:val="center"/>
              <w:rPr>
                <w:i/>
                <w:sz w:val="18"/>
                <w:szCs w:val="18"/>
              </w:rPr>
            </w:pPr>
          </w:p>
          <w:p w:rsidR="00A73A1C" w:rsidRPr="00823A1C" w:rsidRDefault="00A73A1C" w:rsidP="003B5FA3">
            <w:pPr>
              <w:spacing w:line="276" w:lineRule="auto"/>
              <w:jc w:val="center"/>
              <w:rPr>
                <w:i/>
                <w:sz w:val="18"/>
                <w:szCs w:val="18"/>
              </w:rPr>
            </w:pPr>
            <w:r w:rsidRPr="00823A1C">
              <w:rPr>
                <w:i/>
                <w:sz w:val="18"/>
                <w:szCs w:val="18"/>
              </w:rPr>
              <w:t>(mln. EUR)</w:t>
            </w:r>
          </w:p>
        </w:tc>
        <w:tc>
          <w:tcPr>
            <w:tcW w:w="1440" w:type="dxa"/>
            <w:tcBorders>
              <w:top w:val="single" w:sz="4" w:space="0" w:color="auto"/>
              <w:left w:val="dotted" w:sz="4" w:space="0" w:color="auto"/>
              <w:bottom w:val="dotted" w:sz="4" w:space="0" w:color="auto"/>
              <w:right w:val="dotted" w:sz="4" w:space="0" w:color="auto"/>
            </w:tcBorders>
            <w:shd w:val="clear" w:color="auto" w:fill="EEECE1"/>
            <w:hideMark/>
          </w:tcPr>
          <w:p w:rsidR="00A73A1C" w:rsidRPr="00823A1C" w:rsidRDefault="00A73A1C" w:rsidP="003B5FA3">
            <w:pPr>
              <w:spacing w:line="276" w:lineRule="auto"/>
              <w:jc w:val="center"/>
              <w:rPr>
                <w:i/>
                <w:sz w:val="18"/>
                <w:szCs w:val="18"/>
              </w:rPr>
            </w:pPr>
            <w:r w:rsidRPr="00823A1C">
              <w:rPr>
                <w:i/>
                <w:sz w:val="18"/>
                <w:szCs w:val="18"/>
              </w:rPr>
              <w:t xml:space="preserve">2,5 % tiesioginės žalos, nesiekiančios ribos (EUR) </w:t>
            </w:r>
          </w:p>
          <w:p w:rsidR="00A73A1C" w:rsidRPr="00823A1C" w:rsidRDefault="00A73A1C" w:rsidP="003B5FA3">
            <w:pPr>
              <w:spacing w:line="276" w:lineRule="auto"/>
              <w:jc w:val="center"/>
              <w:rPr>
                <w:i/>
                <w:sz w:val="18"/>
                <w:szCs w:val="18"/>
              </w:rPr>
            </w:pPr>
            <w:r w:rsidRPr="00823A1C">
              <w:rPr>
                <w:i/>
                <w:sz w:val="18"/>
                <w:szCs w:val="18"/>
              </w:rPr>
              <w:t xml:space="preserve"> (mln. EUR)</w:t>
            </w:r>
          </w:p>
          <w:p w:rsidR="00A73A1C" w:rsidRPr="00823A1C" w:rsidRDefault="00A73A1C" w:rsidP="003B5FA3">
            <w:pPr>
              <w:spacing w:line="276" w:lineRule="auto"/>
              <w:jc w:val="center"/>
              <w:rPr>
                <w:i/>
                <w:sz w:val="18"/>
                <w:szCs w:val="18"/>
              </w:rPr>
            </w:pPr>
          </w:p>
        </w:tc>
        <w:tc>
          <w:tcPr>
            <w:tcW w:w="1680" w:type="dxa"/>
            <w:tcBorders>
              <w:top w:val="single" w:sz="4" w:space="0" w:color="auto"/>
              <w:left w:val="dotted" w:sz="4" w:space="0" w:color="auto"/>
              <w:bottom w:val="dotted" w:sz="4" w:space="0" w:color="auto"/>
              <w:right w:val="dotted" w:sz="4" w:space="0" w:color="auto"/>
            </w:tcBorders>
            <w:shd w:val="clear" w:color="auto" w:fill="EEECE1"/>
            <w:hideMark/>
          </w:tcPr>
          <w:p w:rsidR="00A73A1C" w:rsidRPr="00823A1C" w:rsidRDefault="00A73A1C" w:rsidP="003B5FA3">
            <w:pPr>
              <w:spacing w:line="276" w:lineRule="auto"/>
              <w:jc w:val="center"/>
              <w:rPr>
                <w:b/>
                <w:i/>
                <w:sz w:val="18"/>
                <w:szCs w:val="18"/>
              </w:rPr>
            </w:pPr>
            <w:r w:rsidRPr="00823A1C">
              <w:rPr>
                <w:i/>
                <w:sz w:val="18"/>
                <w:szCs w:val="18"/>
              </w:rPr>
              <w:t>6 % tiesioginės žalos, viršijančios ribą</w:t>
            </w:r>
            <w:r w:rsidRPr="00823A1C">
              <w:rPr>
                <w:i/>
                <w:sz w:val="18"/>
                <w:szCs w:val="18"/>
              </w:rPr>
              <w:br/>
              <w:t>(EUR)</w:t>
            </w:r>
          </w:p>
        </w:tc>
        <w:tc>
          <w:tcPr>
            <w:tcW w:w="1385" w:type="dxa"/>
            <w:tcBorders>
              <w:top w:val="single" w:sz="4" w:space="0" w:color="auto"/>
              <w:left w:val="dotted" w:sz="4" w:space="0" w:color="auto"/>
              <w:bottom w:val="dotted" w:sz="4" w:space="0" w:color="auto"/>
              <w:right w:val="single" w:sz="4" w:space="0" w:color="auto"/>
            </w:tcBorders>
            <w:shd w:val="clear" w:color="auto" w:fill="EEECE1"/>
          </w:tcPr>
          <w:p w:rsidR="00A73A1C" w:rsidRPr="00823A1C" w:rsidRDefault="00A73A1C" w:rsidP="003B5FA3">
            <w:pPr>
              <w:spacing w:line="276" w:lineRule="auto"/>
              <w:jc w:val="center"/>
              <w:rPr>
                <w:b/>
                <w:i/>
                <w:sz w:val="18"/>
                <w:szCs w:val="18"/>
              </w:rPr>
            </w:pPr>
            <w:r w:rsidRPr="00823A1C">
              <w:rPr>
                <w:b/>
                <w:i/>
                <w:sz w:val="18"/>
                <w:szCs w:val="18"/>
              </w:rPr>
              <w:t>Bendra siūlomos pagalbos suma</w:t>
            </w:r>
          </w:p>
          <w:p w:rsidR="00A73A1C" w:rsidRPr="00823A1C" w:rsidRDefault="00A73A1C" w:rsidP="003B5FA3">
            <w:pPr>
              <w:spacing w:line="276" w:lineRule="auto"/>
              <w:jc w:val="center"/>
              <w:rPr>
                <w:b/>
                <w:i/>
                <w:sz w:val="18"/>
                <w:szCs w:val="18"/>
              </w:rPr>
            </w:pPr>
          </w:p>
          <w:p w:rsidR="00A73A1C" w:rsidRPr="00823A1C" w:rsidRDefault="00A73A1C" w:rsidP="003B5FA3">
            <w:pPr>
              <w:spacing w:line="276" w:lineRule="auto"/>
              <w:jc w:val="center"/>
              <w:rPr>
                <w:i/>
                <w:sz w:val="18"/>
                <w:szCs w:val="18"/>
              </w:rPr>
            </w:pPr>
            <w:r w:rsidRPr="00823A1C">
              <w:rPr>
                <w:b/>
                <w:i/>
                <w:sz w:val="18"/>
                <w:szCs w:val="18"/>
              </w:rPr>
              <w:t>(EUR)</w:t>
            </w:r>
          </w:p>
        </w:tc>
      </w:tr>
      <w:tr w:rsidR="00A73A1C" w:rsidRPr="00823A1C" w:rsidTr="003B5FA3">
        <w:trPr>
          <w:jc w:val="center"/>
        </w:trPr>
        <w:tc>
          <w:tcPr>
            <w:tcW w:w="2153" w:type="dxa"/>
            <w:tcBorders>
              <w:top w:val="dotted" w:sz="4" w:space="0" w:color="auto"/>
              <w:left w:val="single" w:sz="4" w:space="0" w:color="auto"/>
              <w:bottom w:val="single" w:sz="4" w:space="0" w:color="auto"/>
              <w:right w:val="dotted" w:sz="4" w:space="0" w:color="auto"/>
            </w:tcBorders>
            <w:shd w:val="clear" w:color="auto" w:fill="EEECE1"/>
            <w:vAlign w:val="center"/>
            <w:hideMark/>
          </w:tcPr>
          <w:p w:rsidR="00A73A1C" w:rsidRPr="00823A1C" w:rsidRDefault="00A73A1C" w:rsidP="003B5FA3">
            <w:pPr>
              <w:spacing w:before="40" w:after="40" w:line="276" w:lineRule="auto"/>
              <w:rPr>
                <w:sz w:val="18"/>
                <w:szCs w:val="18"/>
              </w:rPr>
            </w:pPr>
            <w:r w:rsidRPr="00823A1C">
              <w:rPr>
                <w:sz w:val="18"/>
                <w:szCs w:val="18"/>
              </w:rPr>
              <w:t xml:space="preserve">ITALIJA </w:t>
            </w:r>
          </w:p>
        </w:tc>
        <w:tc>
          <w:tcPr>
            <w:tcW w:w="1320" w:type="dxa"/>
            <w:tcBorders>
              <w:top w:val="dotted" w:sz="4" w:space="0" w:color="auto"/>
              <w:left w:val="dotted" w:sz="4" w:space="0" w:color="auto"/>
              <w:bottom w:val="single" w:sz="4" w:space="0" w:color="auto"/>
              <w:right w:val="dotted" w:sz="4" w:space="0" w:color="auto"/>
            </w:tcBorders>
            <w:vAlign w:val="center"/>
            <w:hideMark/>
          </w:tcPr>
          <w:p w:rsidR="00A73A1C" w:rsidRPr="00823A1C" w:rsidRDefault="00A73A1C" w:rsidP="003B5FA3">
            <w:pPr>
              <w:spacing w:line="276" w:lineRule="auto"/>
              <w:jc w:val="right"/>
              <w:rPr>
                <w:i/>
                <w:iCs/>
                <w:sz w:val="18"/>
                <w:szCs w:val="18"/>
              </w:rPr>
            </w:pPr>
            <w:r w:rsidRPr="00823A1C">
              <w:rPr>
                <w:i/>
                <w:iCs/>
                <w:sz w:val="18"/>
                <w:szCs w:val="18"/>
              </w:rPr>
              <w:t>21 878,767</w:t>
            </w:r>
          </w:p>
        </w:tc>
        <w:tc>
          <w:tcPr>
            <w:tcW w:w="1320" w:type="dxa"/>
            <w:tcBorders>
              <w:top w:val="dotted" w:sz="4" w:space="0" w:color="auto"/>
              <w:left w:val="dotted" w:sz="4" w:space="0" w:color="auto"/>
              <w:bottom w:val="single" w:sz="4" w:space="0" w:color="auto"/>
              <w:right w:val="dotted" w:sz="4" w:space="0" w:color="auto"/>
            </w:tcBorders>
            <w:vAlign w:val="center"/>
            <w:hideMark/>
          </w:tcPr>
          <w:p w:rsidR="00A73A1C" w:rsidRPr="00823A1C" w:rsidRDefault="00A73A1C" w:rsidP="003B5FA3">
            <w:pPr>
              <w:spacing w:line="276" w:lineRule="auto"/>
              <w:jc w:val="right"/>
              <w:rPr>
                <w:i/>
                <w:iCs/>
                <w:sz w:val="18"/>
                <w:szCs w:val="18"/>
              </w:rPr>
            </w:pPr>
            <w:r w:rsidRPr="00823A1C">
              <w:rPr>
                <w:i/>
                <w:iCs/>
                <w:sz w:val="18"/>
                <w:szCs w:val="18"/>
              </w:rPr>
              <w:t>3 312,242 </w:t>
            </w:r>
          </w:p>
        </w:tc>
        <w:tc>
          <w:tcPr>
            <w:tcW w:w="1440" w:type="dxa"/>
            <w:tcBorders>
              <w:top w:val="dotted" w:sz="4" w:space="0" w:color="auto"/>
              <w:left w:val="dotted" w:sz="4" w:space="0" w:color="auto"/>
              <w:bottom w:val="single" w:sz="4" w:space="0" w:color="auto"/>
              <w:right w:val="dotted" w:sz="4" w:space="0" w:color="auto"/>
            </w:tcBorders>
            <w:vAlign w:val="center"/>
            <w:hideMark/>
          </w:tcPr>
          <w:p w:rsidR="00A73A1C" w:rsidRPr="00823A1C" w:rsidRDefault="00A73A1C" w:rsidP="003B5FA3">
            <w:pPr>
              <w:spacing w:line="276" w:lineRule="auto"/>
              <w:jc w:val="right"/>
              <w:rPr>
                <w:i/>
                <w:iCs/>
                <w:sz w:val="18"/>
                <w:szCs w:val="18"/>
              </w:rPr>
            </w:pPr>
            <w:r w:rsidRPr="00823A1C">
              <w:rPr>
                <w:i/>
                <w:iCs/>
                <w:sz w:val="18"/>
                <w:szCs w:val="18"/>
              </w:rPr>
              <w:t xml:space="preserve">82 806 050 </w:t>
            </w:r>
          </w:p>
        </w:tc>
        <w:tc>
          <w:tcPr>
            <w:tcW w:w="1680" w:type="dxa"/>
            <w:tcBorders>
              <w:top w:val="dotted" w:sz="4" w:space="0" w:color="auto"/>
              <w:left w:val="dotted" w:sz="4" w:space="0" w:color="auto"/>
              <w:bottom w:val="single" w:sz="4" w:space="0" w:color="auto"/>
              <w:right w:val="dotted" w:sz="4" w:space="0" w:color="auto"/>
            </w:tcBorders>
            <w:vAlign w:val="center"/>
            <w:hideMark/>
          </w:tcPr>
          <w:p w:rsidR="00A73A1C" w:rsidRPr="00823A1C" w:rsidRDefault="00A73A1C" w:rsidP="003B5FA3">
            <w:pPr>
              <w:spacing w:line="276" w:lineRule="auto"/>
              <w:jc w:val="right"/>
              <w:rPr>
                <w:i/>
                <w:iCs/>
                <w:sz w:val="18"/>
                <w:szCs w:val="18"/>
              </w:rPr>
            </w:pPr>
            <w:r w:rsidRPr="00823A1C">
              <w:rPr>
                <w:i/>
                <w:iCs/>
                <w:sz w:val="18"/>
                <w:szCs w:val="18"/>
              </w:rPr>
              <w:t>1 113 991 529</w:t>
            </w:r>
          </w:p>
        </w:tc>
        <w:tc>
          <w:tcPr>
            <w:tcW w:w="1385" w:type="dxa"/>
            <w:tcBorders>
              <w:top w:val="dotted" w:sz="4" w:space="0" w:color="auto"/>
              <w:left w:val="dotted" w:sz="4" w:space="0" w:color="auto"/>
              <w:bottom w:val="single" w:sz="4" w:space="0" w:color="auto"/>
              <w:right w:val="single" w:sz="4" w:space="0" w:color="auto"/>
            </w:tcBorders>
            <w:vAlign w:val="center"/>
            <w:hideMark/>
          </w:tcPr>
          <w:p w:rsidR="00A73A1C" w:rsidRPr="00823A1C" w:rsidRDefault="00A73A1C" w:rsidP="003B5FA3">
            <w:pPr>
              <w:spacing w:line="276" w:lineRule="auto"/>
              <w:jc w:val="right"/>
              <w:rPr>
                <w:b/>
                <w:i/>
                <w:iCs/>
                <w:sz w:val="18"/>
                <w:szCs w:val="18"/>
              </w:rPr>
            </w:pPr>
            <w:r w:rsidRPr="00823A1C">
              <w:rPr>
                <w:b/>
                <w:i/>
                <w:iCs/>
                <w:sz w:val="18"/>
                <w:szCs w:val="18"/>
              </w:rPr>
              <w:t>1 196 797 579</w:t>
            </w:r>
          </w:p>
        </w:tc>
      </w:tr>
      <w:tr w:rsidR="00A73A1C" w:rsidRPr="00823A1C" w:rsidTr="003B5FA3">
        <w:trPr>
          <w:jc w:val="center"/>
        </w:trPr>
        <w:tc>
          <w:tcPr>
            <w:tcW w:w="7913" w:type="dxa"/>
            <w:gridSpan w:val="5"/>
            <w:tcBorders>
              <w:top w:val="single" w:sz="4" w:space="0" w:color="auto"/>
              <w:left w:val="single" w:sz="4" w:space="0" w:color="auto"/>
              <w:bottom w:val="single" w:sz="4" w:space="0" w:color="auto"/>
              <w:right w:val="dotted" w:sz="4" w:space="0" w:color="auto"/>
            </w:tcBorders>
            <w:shd w:val="clear" w:color="auto" w:fill="EEECE1"/>
            <w:vAlign w:val="center"/>
            <w:hideMark/>
          </w:tcPr>
          <w:p w:rsidR="00A73A1C" w:rsidRPr="00823A1C" w:rsidRDefault="00A73A1C" w:rsidP="003B5FA3">
            <w:pPr>
              <w:spacing w:line="276" w:lineRule="auto"/>
              <w:rPr>
                <w:i/>
                <w:iCs/>
                <w:sz w:val="18"/>
                <w:szCs w:val="18"/>
              </w:rPr>
            </w:pPr>
            <w:r w:rsidRPr="00823A1C">
              <w:rPr>
                <w:b/>
                <w:sz w:val="18"/>
                <w:szCs w:val="18"/>
              </w:rPr>
              <w:t>IŠ VISO</w:t>
            </w:r>
          </w:p>
        </w:tc>
        <w:tc>
          <w:tcPr>
            <w:tcW w:w="1385" w:type="dxa"/>
            <w:tcBorders>
              <w:top w:val="single" w:sz="4" w:space="0" w:color="auto"/>
              <w:left w:val="dotted" w:sz="4" w:space="0" w:color="auto"/>
              <w:bottom w:val="single" w:sz="4" w:space="0" w:color="auto"/>
              <w:right w:val="single" w:sz="4" w:space="0" w:color="auto"/>
            </w:tcBorders>
            <w:vAlign w:val="center"/>
            <w:hideMark/>
          </w:tcPr>
          <w:p w:rsidR="00A73A1C" w:rsidRPr="00823A1C" w:rsidRDefault="00A73A1C" w:rsidP="003B5FA3">
            <w:pPr>
              <w:spacing w:line="276" w:lineRule="auto"/>
              <w:jc w:val="right"/>
              <w:rPr>
                <w:b/>
                <w:bCs/>
                <w:i/>
                <w:iCs/>
                <w:sz w:val="18"/>
                <w:szCs w:val="18"/>
              </w:rPr>
            </w:pPr>
            <w:r w:rsidRPr="00823A1C">
              <w:rPr>
                <w:b/>
                <w:bCs/>
                <w:i/>
                <w:iCs/>
                <w:sz w:val="18"/>
                <w:szCs w:val="18"/>
              </w:rPr>
              <w:t>1 196 797 579</w:t>
            </w:r>
          </w:p>
        </w:tc>
      </w:tr>
    </w:tbl>
    <w:p w:rsidR="00A73A1C" w:rsidRPr="00823A1C" w:rsidRDefault="00A73A1C" w:rsidP="00A73A1C">
      <w:pPr>
        <w:jc w:val="both"/>
      </w:pPr>
    </w:p>
    <w:p w:rsidR="00A73A1C" w:rsidRPr="00823A1C" w:rsidRDefault="00A73A1C" w:rsidP="00A73A1C">
      <w:pPr>
        <w:jc w:val="both"/>
      </w:pPr>
      <w:r w:rsidRPr="00823A1C">
        <w:t>Atsižvelgdama į tai, kad 30 000 000 EUR suma dėl šios Europos Sąjungos solidarumo fondo bylos jau buvo sumokėta iš anksto iš 2016 m. biudžeto, Komisija siūlo 2017 m. taisomojo biudžeto Nr. 4 projektą (COM(2017)0541 final) siekdama padengti pirmiau nurodytą siūlomą Europos Sąjungos solidarumo fondo lėšų mobilizavimą padidinant biudžeto 06 01 13 eilutės „Pagalba valstybėms narėms didelės gaivalinės nelaimės atveju, kai itin nukenčia gyvenimo sąlygos, gamtinė aplinka ar ekonomika“ lėšas 1 166 797 579 EUR įsipareigojimų ir mokėjimų asignavimų suma.</w:t>
      </w:r>
    </w:p>
    <w:p w:rsidR="00A73A1C" w:rsidRPr="00823A1C" w:rsidRDefault="00A73A1C" w:rsidP="00A73A1C">
      <w:pPr>
        <w:jc w:val="both"/>
      </w:pPr>
    </w:p>
    <w:p w:rsidR="00A73A1C" w:rsidRPr="00823A1C" w:rsidRDefault="00A73A1C" w:rsidP="00A73A1C">
      <w:pPr>
        <w:jc w:val="both"/>
      </w:pPr>
      <w:r w:rsidRPr="00823A1C">
        <w:t xml:space="preserve">Komiteto koordinatoriai įvertino šiuos pasiūlymus ir paprašė Jums raštu pranešti, kad dauguma šio komiteto narių neprieštarauja šiam Europos Sąjungos solidarumo fondo lėšų mobilizavimui siekiant skirti minėtą sumą, kaip siūlo Komisija, ir pritaria Komisijos siūlomam Taisomojo biudžeto Nr. 4/2017 projektui. </w:t>
      </w:r>
    </w:p>
    <w:p w:rsidR="00A73A1C" w:rsidRPr="00823A1C" w:rsidRDefault="00A73A1C" w:rsidP="00A73A1C"/>
    <w:p w:rsidR="00A73A1C" w:rsidRPr="00823A1C" w:rsidRDefault="00A73A1C" w:rsidP="00A73A1C">
      <w:r w:rsidRPr="00823A1C">
        <w:t>Pagarbiai</w:t>
      </w:r>
    </w:p>
    <w:p w:rsidR="00A73A1C" w:rsidRPr="00823A1C" w:rsidRDefault="00A73A1C" w:rsidP="00A73A1C"/>
    <w:p w:rsidR="00A73A1C" w:rsidRPr="00823A1C" w:rsidRDefault="00A73A1C" w:rsidP="00A73A1C"/>
    <w:p w:rsidR="00A73A1C" w:rsidRPr="00823A1C" w:rsidRDefault="00A73A1C" w:rsidP="00A73A1C"/>
    <w:p w:rsidR="00A73A1C" w:rsidRPr="00823A1C" w:rsidRDefault="00A73A1C" w:rsidP="00A73A1C"/>
    <w:p w:rsidR="00A73A1C" w:rsidRPr="00823A1C" w:rsidRDefault="00A73A1C" w:rsidP="00A73A1C"/>
    <w:p w:rsidR="00D5123D" w:rsidRPr="00823A1C" w:rsidRDefault="00A73A1C" w:rsidP="00A73A1C">
      <w:r w:rsidRPr="00823A1C">
        <w:t>Iskra MIHAYLOVA</w:t>
      </w:r>
    </w:p>
    <w:p w:rsidR="00D5123D" w:rsidRPr="00823A1C" w:rsidRDefault="00D5123D" w:rsidP="00D5123D">
      <w:pPr>
        <w:pStyle w:val="PageHeading"/>
      </w:pPr>
      <w:r w:rsidRPr="00823A1C">
        <w:br w:type="page"/>
      </w:r>
      <w:bookmarkStart w:id="3" w:name="_Toc492627999"/>
      <w:r w:rsidRPr="00823A1C">
        <w:lastRenderedPageBreak/>
        <w:t>INFORMACIJA APIE PRIĖMIMĄ ATSAKINGAME KOMITETE</w:t>
      </w:r>
      <w:bookmarkEnd w:id="3"/>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5123D" w:rsidRPr="00823A1C" w:rsidTr="00D512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b/>
                <w:bCs/>
                <w:color w:val="000000"/>
                <w:sz w:val="20"/>
              </w:rPr>
            </w:pPr>
            <w:r w:rsidRPr="00823A1C">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5123D" w:rsidRPr="00823A1C" w:rsidRDefault="00D5123D" w:rsidP="003B5FA3">
            <w:pPr>
              <w:autoSpaceDE w:val="0"/>
              <w:autoSpaceDN w:val="0"/>
              <w:adjustRightInd w:val="0"/>
              <w:rPr>
                <w:color w:val="000000"/>
                <w:sz w:val="20"/>
              </w:rPr>
            </w:pPr>
            <w:r w:rsidRPr="00823A1C">
              <w:rPr>
                <w:color w:val="000000"/>
                <w:sz w:val="20"/>
              </w:rPr>
              <w:t>30.8.2017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5123D" w:rsidRPr="00823A1C" w:rsidRDefault="00D5123D" w:rsidP="003B5F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5123D" w:rsidRPr="00823A1C" w:rsidRDefault="00D5123D" w:rsidP="003B5F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rFonts w:ascii="sans-serif" w:hAnsi="sans-serif" w:cs="sans-serif"/>
                <w:color w:val="000000"/>
                <w:szCs w:val="24"/>
              </w:rPr>
            </w:pPr>
          </w:p>
        </w:tc>
      </w:tr>
      <w:tr w:rsidR="00D5123D" w:rsidRPr="00823A1C" w:rsidTr="00D512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b/>
                <w:bCs/>
                <w:color w:val="000000"/>
                <w:sz w:val="20"/>
              </w:rPr>
            </w:pPr>
            <w:r w:rsidRPr="00823A1C">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5123D" w:rsidRPr="00823A1C" w:rsidRDefault="00D5123D" w:rsidP="003B5FA3">
            <w:pPr>
              <w:autoSpaceDE w:val="0"/>
              <w:autoSpaceDN w:val="0"/>
              <w:adjustRightInd w:val="0"/>
              <w:rPr>
                <w:color w:val="000000"/>
                <w:sz w:val="20"/>
              </w:rPr>
            </w:pPr>
            <w:r w:rsidRPr="00823A1C">
              <w:rPr>
                <w:color w:val="000000"/>
                <w:sz w:val="20"/>
              </w:rPr>
              <w:t>+:</w:t>
            </w:r>
          </w:p>
          <w:p w:rsidR="00D5123D" w:rsidRPr="00823A1C" w:rsidRDefault="00D5123D" w:rsidP="003B5FA3">
            <w:pPr>
              <w:autoSpaceDE w:val="0"/>
              <w:autoSpaceDN w:val="0"/>
              <w:adjustRightInd w:val="0"/>
              <w:rPr>
                <w:color w:val="000000"/>
                <w:sz w:val="20"/>
              </w:rPr>
            </w:pPr>
            <w:r w:rsidRPr="00823A1C">
              <w:rPr>
                <w:color w:val="000000"/>
                <w:sz w:val="20"/>
              </w:rPr>
              <w:t>–:</w:t>
            </w:r>
          </w:p>
          <w:p w:rsidR="00D5123D" w:rsidRPr="00823A1C" w:rsidRDefault="00D5123D" w:rsidP="003B5FA3">
            <w:pPr>
              <w:autoSpaceDE w:val="0"/>
              <w:autoSpaceDN w:val="0"/>
              <w:adjustRightInd w:val="0"/>
              <w:rPr>
                <w:color w:val="000000"/>
                <w:sz w:val="20"/>
              </w:rPr>
            </w:pPr>
            <w:r w:rsidRPr="00823A1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color w:val="000000"/>
                <w:sz w:val="20"/>
              </w:rPr>
            </w:pPr>
            <w:r w:rsidRPr="00823A1C">
              <w:rPr>
                <w:color w:val="000000"/>
                <w:sz w:val="20"/>
              </w:rPr>
              <w:t>35</w:t>
            </w:r>
          </w:p>
          <w:p w:rsidR="00D5123D" w:rsidRPr="00823A1C" w:rsidRDefault="00D5123D" w:rsidP="003B5FA3">
            <w:pPr>
              <w:autoSpaceDE w:val="0"/>
              <w:autoSpaceDN w:val="0"/>
              <w:adjustRightInd w:val="0"/>
              <w:rPr>
                <w:color w:val="000000"/>
                <w:sz w:val="20"/>
              </w:rPr>
            </w:pPr>
            <w:r w:rsidRPr="00823A1C">
              <w:rPr>
                <w:color w:val="000000"/>
                <w:sz w:val="20"/>
              </w:rPr>
              <w:t>1</w:t>
            </w:r>
          </w:p>
          <w:p w:rsidR="00D5123D" w:rsidRPr="00823A1C" w:rsidRDefault="00D5123D" w:rsidP="003B5FA3">
            <w:pPr>
              <w:autoSpaceDE w:val="0"/>
              <w:autoSpaceDN w:val="0"/>
              <w:adjustRightInd w:val="0"/>
              <w:rPr>
                <w:color w:val="000000"/>
                <w:sz w:val="20"/>
              </w:rPr>
            </w:pPr>
            <w:r w:rsidRPr="00823A1C">
              <w:rPr>
                <w:color w:val="000000"/>
                <w:sz w:val="20"/>
              </w:rPr>
              <w:t>0</w:t>
            </w:r>
          </w:p>
        </w:tc>
      </w:tr>
      <w:tr w:rsidR="00D5123D" w:rsidRPr="00823A1C" w:rsidTr="00D5123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b/>
                <w:bCs/>
                <w:color w:val="000000"/>
                <w:sz w:val="20"/>
              </w:rPr>
            </w:pPr>
            <w:r w:rsidRPr="00823A1C">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color w:val="000000"/>
                <w:sz w:val="20"/>
              </w:rPr>
            </w:pPr>
            <w:r w:rsidRPr="00823A1C">
              <w:rPr>
                <w:color w:val="000000"/>
                <w:sz w:val="20"/>
              </w:rPr>
              <w:t>Jean Arthuis, Richard Ashworth, Reimer Böge, Lefteris Christoforou, Gérard Deprez, Manuel dos Santos, André Elissen, José Manuel Fernandes, Eider Gardiazabal Rubial, Jens Geier, Iris Hoffmann, Monika Hohlmeier, John Howarth, Bernd Kölmel, Zbigniew Kuźmiuk, Vladimír Maňka, Siegfried Mureşan, Liadh Ní Riada, Jan Olbrycht, Younous Omarjee, Urmas Paet, Pina Picierno, Paul Rübig, Petri Sarvamaa, Jordi Solé, Patricija Šulin, Indrek Tarand, Isabelle Thomas, Inese Vaidere, Monika Vana, Daniele Viotti, Tiemo Wölken, Marco Zanni</w:t>
            </w:r>
          </w:p>
        </w:tc>
      </w:tr>
      <w:tr w:rsidR="00D5123D" w:rsidRPr="00823A1C" w:rsidTr="00D512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b/>
                <w:bCs/>
                <w:color w:val="000000"/>
                <w:sz w:val="20"/>
              </w:rPr>
            </w:pPr>
            <w:r w:rsidRPr="00823A1C">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color w:val="000000"/>
                <w:sz w:val="20"/>
              </w:rPr>
            </w:pPr>
            <w:r w:rsidRPr="00823A1C">
              <w:rPr>
                <w:color w:val="000000"/>
                <w:sz w:val="20"/>
              </w:rPr>
              <w:t>Giovanni La Via, Tomáš Zdechovský</w:t>
            </w:r>
          </w:p>
        </w:tc>
      </w:tr>
      <w:tr w:rsidR="00D5123D" w:rsidRPr="00823A1C" w:rsidTr="00D5123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b/>
                <w:bCs/>
                <w:color w:val="000000"/>
                <w:sz w:val="20"/>
              </w:rPr>
            </w:pPr>
            <w:r w:rsidRPr="00823A1C">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5123D" w:rsidRPr="00823A1C" w:rsidRDefault="00D5123D" w:rsidP="003B5FA3">
            <w:pPr>
              <w:autoSpaceDE w:val="0"/>
              <w:autoSpaceDN w:val="0"/>
              <w:adjustRightInd w:val="0"/>
              <w:rPr>
                <w:color w:val="000000"/>
                <w:sz w:val="20"/>
              </w:rPr>
            </w:pPr>
            <w:r w:rsidRPr="00823A1C">
              <w:rPr>
                <w:color w:val="000000"/>
                <w:sz w:val="20"/>
              </w:rPr>
              <w:t>Fabio Massimo Castaldo</w:t>
            </w:r>
          </w:p>
        </w:tc>
      </w:tr>
    </w:tbl>
    <w:p w:rsidR="00D5123D" w:rsidRPr="00823A1C" w:rsidRDefault="00D5123D" w:rsidP="00D5123D">
      <w:pPr>
        <w:autoSpaceDE w:val="0"/>
        <w:autoSpaceDN w:val="0"/>
        <w:adjustRightInd w:val="0"/>
        <w:rPr>
          <w:rFonts w:ascii="Arial" w:hAnsi="Arial" w:cs="Arial"/>
          <w:szCs w:val="24"/>
        </w:rPr>
      </w:pPr>
    </w:p>
    <w:p w:rsidR="00D5123D" w:rsidRPr="00823A1C" w:rsidRDefault="00D5123D" w:rsidP="00D5123D">
      <w:pPr>
        <w:pStyle w:val="PageHeading"/>
      </w:pPr>
      <w:r w:rsidRPr="00823A1C">
        <w:br w:type="page"/>
      </w:r>
      <w:bookmarkStart w:id="4" w:name="_Toc492377903"/>
      <w:bookmarkStart w:id="5" w:name="RollCallPageRR"/>
      <w:bookmarkStart w:id="6" w:name="_Toc492628000"/>
      <w:r w:rsidRPr="00823A1C">
        <w:lastRenderedPageBreak/>
        <w:t>GALUTINIS VARDINIS BALSAVIMAS ATSAKINGAME KOMITETE</w:t>
      </w:r>
      <w:bookmarkEnd w:id="4"/>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5123D" w:rsidRPr="00823A1C" w:rsidTr="003B5FA3">
        <w:trPr>
          <w:cantSplit/>
        </w:trPr>
        <w:tc>
          <w:tcPr>
            <w:tcW w:w="1701" w:type="dxa"/>
            <w:shd w:val="pct10" w:color="000000" w:fill="FFFFFF"/>
            <w:vAlign w:val="center"/>
          </w:tcPr>
          <w:p w:rsidR="00D5123D" w:rsidRPr="00823A1C" w:rsidRDefault="00D5123D" w:rsidP="003B5FA3">
            <w:pPr>
              <w:spacing w:before="120" w:after="120"/>
              <w:jc w:val="center"/>
              <w:rPr>
                <w:b/>
                <w:sz w:val="20"/>
              </w:rPr>
            </w:pPr>
            <w:r w:rsidRPr="00823A1C">
              <w:rPr>
                <w:b/>
                <w:sz w:val="20"/>
              </w:rPr>
              <w:t>35</w:t>
            </w:r>
          </w:p>
        </w:tc>
        <w:tc>
          <w:tcPr>
            <w:tcW w:w="7371" w:type="dxa"/>
            <w:shd w:val="pct10" w:color="000000" w:fill="FFFFFF"/>
          </w:tcPr>
          <w:p w:rsidR="00D5123D" w:rsidRPr="00823A1C" w:rsidRDefault="00D5123D" w:rsidP="003B5FA3">
            <w:pPr>
              <w:spacing w:before="120" w:after="120"/>
              <w:jc w:val="center"/>
              <w:rPr>
                <w:rFonts w:ascii="Arial" w:hAnsi="Arial" w:cs="Arial"/>
                <w:b/>
                <w:sz w:val="28"/>
                <w:szCs w:val="28"/>
              </w:rPr>
            </w:pPr>
            <w:r w:rsidRPr="00823A1C">
              <w:rPr>
                <w:rFonts w:ascii="Arial" w:hAnsi="Arial"/>
                <w:b/>
                <w:sz w:val="28"/>
                <w:szCs w:val="28"/>
              </w:rPr>
              <w:t>+</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ALDE</w:t>
            </w:r>
          </w:p>
        </w:tc>
        <w:tc>
          <w:tcPr>
            <w:tcW w:w="7371" w:type="dxa"/>
            <w:shd w:val="clear" w:color="auto" w:fill="FFFFFF"/>
          </w:tcPr>
          <w:p w:rsidR="00D5123D" w:rsidRPr="00823A1C" w:rsidRDefault="00D5123D" w:rsidP="003B5FA3">
            <w:pPr>
              <w:spacing w:before="120" w:after="120"/>
              <w:rPr>
                <w:sz w:val="20"/>
              </w:rPr>
            </w:pPr>
            <w:r w:rsidRPr="00823A1C">
              <w:rPr>
                <w:sz w:val="20"/>
              </w:rPr>
              <w:t xml:space="preserve">Jean Arthuis, Gérard Deprez, Urmas Paet, </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ECR</w:t>
            </w:r>
          </w:p>
        </w:tc>
        <w:tc>
          <w:tcPr>
            <w:tcW w:w="7371" w:type="dxa"/>
            <w:shd w:val="clear" w:color="auto" w:fill="FFFFFF"/>
          </w:tcPr>
          <w:p w:rsidR="00D5123D" w:rsidRPr="00823A1C" w:rsidRDefault="00D5123D" w:rsidP="003B5FA3">
            <w:pPr>
              <w:spacing w:before="120" w:after="120"/>
              <w:rPr>
                <w:sz w:val="20"/>
              </w:rPr>
            </w:pPr>
            <w:r w:rsidRPr="00823A1C">
              <w:rPr>
                <w:sz w:val="20"/>
              </w:rPr>
              <w:t xml:space="preserve">Richard Ashworth, Zbigniew Kuźmiuk, Bernd Kölmel, </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EFDD</w:t>
            </w:r>
          </w:p>
        </w:tc>
        <w:tc>
          <w:tcPr>
            <w:tcW w:w="7371" w:type="dxa"/>
            <w:shd w:val="clear" w:color="auto" w:fill="FFFFFF"/>
          </w:tcPr>
          <w:p w:rsidR="00D5123D" w:rsidRPr="00823A1C" w:rsidRDefault="00D5123D" w:rsidP="003B5FA3">
            <w:pPr>
              <w:spacing w:before="120" w:after="120"/>
              <w:rPr>
                <w:sz w:val="20"/>
              </w:rPr>
            </w:pPr>
            <w:r w:rsidRPr="00823A1C">
              <w:rPr>
                <w:sz w:val="20"/>
              </w:rPr>
              <w:t xml:space="preserve">Fabio Massimo Castaldo </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ENF</w:t>
            </w:r>
          </w:p>
        </w:tc>
        <w:tc>
          <w:tcPr>
            <w:tcW w:w="7371" w:type="dxa"/>
            <w:shd w:val="clear" w:color="auto" w:fill="FFFFFF"/>
          </w:tcPr>
          <w:p w:rsidR="00D5123D" w:rsidRPr="00823A1C" w:rsidRDefault="00D5123D" w:rsidP="003B5FA3">
            <w:pPr>
              <w:spacing w:before="120" w:after="120"/>
              <w:rPr>
                <w:sz w:val="20"/>
              </w:rPr>
            </w:pPr>
            <w:r w:rsidRPr="00823A1C">
              <w:rPr>
                <w:sz w:val="20"/>
              </w:rPr>
              <w:t>Marco Zanni,</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GUE/NGL</w:t>
            </w:r>
          </w:p>
        </w:tc>
        <w:tc>
          <w:tcPr>
            <w:tcW w:w="7371" w:type="dxa"/>
            <w:shd w:val="clear" w:color="auto" w:fill="FFFFFF"/>
          </w:tcPr>
          <w:p w:rsidR="00D5123D" w:rsidRPr="00823A1C" w:rsidRDefault="00D5123D" w:rsidP="003B5FA3">
            <w:pPr>
              <w:spacing w:before="120" w:after="120"/>
              <w:rPr>
                <w:sz w:val="20"/>
              </w:rPr>
            </w:pPr>
            <w:r w:rsidRPr="00823A1C">
              <w:rPr>
                <w:sz w:val="20"/>
              </w:rPr>
              <w:t xml:space="preserve">Liadh Ní Riada, Younous Omarjee, </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PPE</w:t>
            </w:r>
          </w:p>
        </w:tc>
        <w:tc>
          <w:tcPr>
            <w:tcW w:w="7371" w:type="dxa"/>
            <w:shd w:val="clear" w:color="auto" w:fill="FFFFFF"/>
          </w:tcPr>
          <w:p w:rsidR="00D5123D" w:rsidRPr="00823A1C" w:rsidRDefault="00D5123D" w:rsidP="003B5FA3">
            <w:pPr>
              <w:spacing w:before="120" w:after="120"/>
              <w:rPr>
                <w:sz w:val="20"/>
              </w:rPr>
            </w:pPr>
            <w:r w:rsidRPr="00823A1C">
              <w:rPr>
                <w:sz w:val="20"/>
              </w:rPr>
              <w:t xml:space="preserve">Reimer Böge, Lefteris Christoforou, José Manuel Fernandes, Monika Hohlmeier, Giovanni La Via, Siegfried Mureşan, Jan Olbrycht, Paul Rübig, Petri Sarvamaa, Patricija Šulin, Inese Vaidere, Tomáš Zdechovský, </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S&amp;D</w:t>
            </w:r>
          </w:p>
        </w:tc>
        <w:tc>
          <w:tcPr>
            <w:tcW w:w="7371" w:type="dxa"/>
            <w:shd w:val="clear" w:color="auto" w:fill="FFFFFF"/>
          </w:tcPr>
          <w:p w:rsidR="00D5123D" w:rsidRPr="00823A1C" w:rsidRDefault="00D5123D" w:rsidP="003B5FA3">
            <w:pPr>
              <w:spacing w:before="120" w:after="120"/>
              <w:rPr>
                <w:sz w:val="20"/>
              </w:rPr>
            </w:pPr>
            <w:r w:rsidRPr="00823A1C">
              <w:rPr>
                <w:sz w:val="20"/>
              </w:rPr>
              <w:t xml:space="preserve">Eider Gardiazabal Rubial, Jens Geier, Iris Hoffmann, John Howarth, Vladimír Maňka, Pina Picierno, Isabelle Thomas, Daniele Viotti, Tiemo Wölken, Manuel dos Santos, </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VERTS/ALE</w:t>
            </w:r>
          </w:p>
        </w:tc>
        <w:tc>
          <w:tcPr>
            <w:tcW w:w="7371" w:type="dxa"/>
            <w:shd w:val="clear" w:color="auto" w:fill="FFFFFF"/>
          </w:tcPr>
          <w:p w:rsidR="00D5123D" w:rsidRPr="00823A1C" w:rsidRDefault="00D5123D" w:rsidP="003B5FA3">
            <w:pPr>
              <w:spacing w:before="120" w:after="120"/>
              <w:rPr>
                <w:sz w:val="20"/>
              </w:rPr>
            </w:pPr>
            <w:r w:rsidRPr="00823A1C">
              <w:rPr>
                <w:sz w:val="20"/>
              </w:rPr>
              <w:t xml:space="preserve">Jordi Solé, Indrek Tarand, Monika Vana, </w:t>
            </w:r>
          </w:p>
        </w:tc>
      </w:tr>
    </w:tbl>
    <w:p w:rsidR="00D5123D" w:rsidRPr="00823A1C" w:rsidRDefault="00D5123D" w:rsidP="00D5123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5123D" w:rsidRPr="00823A1C" w:rsidTr="003B5FA3">
        <w:trPr>
          <w:cantSplit/>
        </w:trPr>
        <w:tc>
          <w:tcPr>
            <w:tcW w:w="1701" w:type="dxa"/>
            <w:shd w:val="pct10" w:color="000000" w:fill="FFFFFF"/>
            <w:vAlign w:val="center"/>
          </w:tcPr>
          <w:p w:rsidR="00D5123D" w:rsidRPr="00823A1C" w:rsidRDefault="00D5123D" w:rsidP="003B5FA3">
            <w:pPr>
              <w:spacing w:before="120" w:after="120"/>
              <w:jc w:val="center"/>
              <w:rPr>
                <w:b/>
                <w:sz w:val="20"/>
              </w:rPr>
            </w:pPr>
            <w:r w:rsidRPr="00823A1C">
              <w:rPr>
                <w:b/>
                <w:sz w:val="20"/>
              </w:rPr>
              <w:t>1</w:t>
            </w:r>
          </w:p>
        </w:tc>
        <w:tc>
          <w:tcPr>
            <w:tcW w:w="7371" w:type="dxa"/>
            <w:shd w:val="pct10" w:color="000000" w:fill="FFFFFF"/>
          </w:tcPr>
          <w:p w:rsidR="00D5123D" w:rsidRPr="00823A1C" w:rsidRDefault="00D5123D" w:rsidP="003B5FA3">
            <w:pPr>
              <w:spacing w:before="120" w:after="120"/>
              <w:jc w:val="center"/>
              <w:rPr>
                <w:sz w:val="28"/>
                <w:szCs w:val="28"/>
              </w:rPr>
            </w:pPr>
            <w:r w:rsidRPr="00823A1C">
              <w:rPr>
                <w:rFonts w:ascii="Arial" w:hAnsi="Arial"/>
                <w:b/>
                <w:sz w:val="28"/>
                <w:szCs w:val="28"/>
              </w:rPr>
              <w:t>-</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r w:rsidRPr="00823A1C">
              <w:rPr>
                <w:sz w:val="20"/>
              </w:rPr>
              <w:t>ENF</w:t>
            </w:r>
          </w:p>
        </w:tc>
        <w:tc>
          <w:tcPr>
            <w:tcW w:w="7371" w:type="dxa"/>
            <w:shd w:val="clear" w:color="auto" w:fill="FFFFFF"/>
          </w:tcPr>
          <w:p w:rsidR="00D5123D" w:rsidRPr="00823A1C" w:rsidRDefault="00D5123D" w:rsidP="003B5FA3">
            <w:pPr>
              <w:spacing w:before="120" w:after="120"/>
              <w:rPr>
                <w:sz w:val="20"/>
              </w:rPr>
            </w:pPr>
            <w:r w:rsidRPr="00823A1C">
              <w:rPr>
                <w:sz w:val="20"/>
              </w:rPr>
              <w:t xml:space="preserve">André Elissen, </w:t>
            </w:r>
          </w:p>
        </w:tc>
      </w:tr>
    </w:tbl>
    <w:p w:rsidR="00D5123D" w:rsidRPr="00823A1C" w:rsidRDefault="00D5123D" w:rsidP="00D5123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5123D" w:rsidRPr="00823A1C" w:rsidTr="003B5FA3">
        <w:trPr>
          <w:cantSplit/>
        </w:trPr>
        <w:tc>
          <w:tcPr>
            <w:tcW w:w="1701" w:type="dxa"/>
            <w:shd w:val="pct10" w:color="000000" w:fill="FFFFFF"/>
            <w:vAlign w:val="center"/>
          </w:tcPr>
          <w:p w:rsidR="00D5123D" w:rsidRPr="00823A1C" w:rsidRDefault="00D5123D" w:rsidP="003B5FA3">
            <w:pPr>
              <w:spacing w:before="120" w:after="120"/>
              <w:jc w:val="center"/>
              <w:rPr>
                <w:b/>
                <w:sz w:val="20"/>
              </w:rPr>
            </w:pPr>
            <w:r w:rsidRPr="00823A1C">
              <w:rPr>
                <w:b/>
                <w:sz w:val="20"/>
              </w:rPr>
              <w:t>0</w:t>
            </w:r>
          </w:p>
        </w:tc>
        <w:tc>
          <w:tcPr>
            <w:tcW w:w="7371" w:type="dxa"/>
            <w:shd w:val="pct10" w:color="000000" w:fill="FFFFFF"/>
          </w:tcPr>
          <w:p w:rsidR="00D5123D" w:rsidRPr="00823A1C" w:rsidRDefault="00D5123D" w:rsidP="003B5FA3">
            <w:pPr>
              <w:spacing w:before="120" w:after="120"/>
              <w:jc w:val="center"/>
              <w:rPr>
                <w:sz w:val="28"/>
                <w:szCs w:val="28"/>
              </w:rPr>
            </w:pPr>
            <w:r w:rsidRPr="00823A1C">
              <w:rPr>
                <w:rFonts w:ascii="Arial" w:hAnsi="Arial"/>
                <w:b/>
                <w:sz w:val="28"/>
                <w:szCs w:val="28"/>
              </w:rPr>
              <w:t>0</w:t>
            </w:r>
          </w:p>
        </w:tc>
      </w:tr>
      <w:tr w:rsidR="00D5123D" w:rsidRPr="00823A1C" w:rsidTr="003B5FA3">
        <w:trPr>
          <w:cantSplit/>
        </w:trPr>
        <w:tc>
          <w:tcPr>
            <w:tcW w:w="1701" w:type="dxa"/>
            <w:shd w:val="clear" w:color="auto" w:fill="FFFFFF"/>
          </w:tcPr>
          <w:p w:rsidR="00D5123D" w:rsidRPr="00823A1C" w:rsidRDefault="00D5123D" w:rsidP="003B5FA3">
            <w:pPr>
              <w:spacing w:before="120" w:after="120"/>
              <w:rPr>
                <w:sz w:val="20"/>
              </w:rPr>
            </w:pPr>
            <w:bookmarkStart w:id="7" w:name="DocEPLastPosition"/>
            <w:bookmarkEnd w:id="7"/>
          </w:p>
        </w:tc>
        <w:tc>
          <w:tcPr>
            <w:tcW w:w="7371" w:type="dxa"/>
            <w:shd w:val="clear" w:color="auto" w:fill="FFFFFF"/>
          </w:tcPr>
          <w:p w:rsidR="00D5123D" w:rsidRPr="00823A1C" w:rsidRDefault="00D5123D" w:rsidP="003B5FA3">
            <w:pPr>
              <w:spacing w:before="120" w:after="120"/>
              <w:rPr>
                <w:sz w:val="20"/>
              </w:rPr>
            </w:pPr>
            <w:r w:rsidRPr="00823A1C">
              <w:rPr>
                <w:sz w:val="20"/>
              </w:rPr>
              <w:t xml:space="preserve"> </w:t>
            </w:r>
          </w:p>
        </w:tc>
      </w:tr>
    </w:tbl>
    <w:p w:rsidR="00D5123D" w:rsidRPr="00823A1C" w:rsidRDefault="00D5123D" w:rsidP="00D5123D">
      <w:pPr>
        <w:pStyle w:val="Normal12"/>
      </w:pPr>
    </w:p>
    <w:bookmarkEnd w:id="5"/>
    <w:p w:rsidR="00D5123D" w:rsidRPr="00823A1C" w:rsidRDefault="00D5123D" w:rsidP="00D5123D">
      <w:pPr>
        <w:pStyle w:val="NormalTabs"/>
      </w:pPr>
      <w:r w:rsidRPr="00823A1C">
        <w:t>Sutartiniai ženklai:</w:t>
      </w:r>
    </w:p>
    <w:p w:rsidR="00D5123D" w:rsidRPr="00823A1C" w:rsidRDefault="00D5123D" w:rsidP="00D5123D">
      <w:pPr>
        <w:pStyle w:val="NormalTabs"/>
      </w:pPr>
      <w:r w:rsidRPr="00823A1C">
        <w:t>+</w:t>
      </w:r>
      <w:r w:rsidRPr="00823A1C">
        <w:tab/>
        <w:t>:</w:t>
      </w:r>
      <w:r w:rsidRPr="00823A1C">
        <w:tab/>
        <w:t>už</w:t>
      </w:r>
    </w:p>
    <w:p w:rsidR="00D5123D" w:rsidRPr="00823A1C" w:rsidRDefault="00D5123D" w:rsidP="00D5123D">
      <w:pPr>
        <w:pStyle w:val="NormalTabs"/>
      </w:pPr>
      <w:r w:rsidRPr="00823A1C">
        <w:t>-</w:t>
      </w:r>
      <w:r w:rsidRPr="00823A1C">
        <w:tab/>
        <w:t>:</w:t>
      </w:r>
      <w:r w:rsidRPr="00823A1C">
        <w:tab/>
        <w:t>prieš</w:t>
      </w:r>
    </w:p>
    <w:p w:rsidR="00D5123D" w:rsidRPr="00823A1C" w:rsidRDefault="00D5123D" w:rsidP="00D5123D">
      <w:pPr>
        <w:pStyle w:val="NormalTabs"/>
      </w:pPr>
      <w:r w:rsidRPr="00823A1C">
        <w:t>0</w:t>
      </w:r>
      <w:r w:rsidRPr="00823A1C">
        <w:tab/>
        <w:t>:</w:t>
      </w:r>
      <w:r w:rsidRPr="00823A1C">
        <w:tab/>
        <w:t>susilaikė</w:t>
      </w:r>
    </w:p>
    <w:p w:rsidR="00D5123D" w:rsidRPr="00823A1C" w:rsidRDefault="00D5123D" w:rsidP="00D5123D">
      <w:pPr>
        <w:pStyle w:val="Normal12Hanging"/>
        <w:ind w:left="0" w:firstLine="0"/>
      </w:pPr>
      <w:bookmarkStart w:id="8" w:name="_GoBack"/>
      <w:bookmarkEnd w:id="8"/>
    </w:p>
    <w:sectPr w:rsidR="00D5123D" w:rsidRPr="00823A1C" w:rsidSect="00823A1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D9" w:rsidRPr="00823A1C" w:rsidRDefault="00291DD9">
      <w:r w:rsidRPr="00823A1C">
        <w:separator/>
      </w:r>
    </w:p>
  </w:endnote>
  <w:endnote w:type="continuationSeparator" w:id="0">
    <w:p w:rsidR="00291DD9" w:rsidRPr="00823A1C" w:rsidRDefault="00291DD9">
      <w:r w:rsidRPr="00823A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1C" w:rsidRPr="00823A1C" w:rsidRDefault="00823A1C" w:rsidP="00823A1C">
    <w:pPr>
      <w:pStyle w:val="Footer"/>
    </w:pPr>
    <w:r w:rsidRPr="00823A1C">
      <w:t>PE</w:t>
    </w:r>
    <w:r w:rsidRPr="00823A1C">
      <w:rPr>
        <w:rStyle w:val="HideTWBExt"/>
        <w:noProof w:val="0"/>
      </w:rPr>
      <w:t>&lt;NoPE&gt;</w:t>
    </w:r>
    <w:r w:rsidRPr="00823A1C">
      <w:t>607.951</w:t>
    </w:r>
    <w:r w:rsidRPr="00823A1C">
      <w:rPr>
        <w:rStyle w:val="HideTWBExt"/>
        <w:noProof w:val="0"/>
      </w:rPr>
      <w:t>&lt;/NoPE&gt;&lt;Version&gt;</w:t>
    </w:r>
    <w:r w:rsidRPr="00823A1C">
      <w:t>v03-00</w:t>
    </w:r>
    <w:r w:rsidRPr="00823A1C">
      <w:rPr>
        <w:rStyle w:val="HideTWBExt"/>
        <w:noProof w:val="0"/>
      </w:rPr>
      <w:t>&lt;/Version&gt;</w:t>
    </w:r>
    <w:r w:rsidRPr="00823A1C">
      <w:tab/>
    </w:r>
    <w:r w:rsidRPr="00823A1C">
      <w:fldChar w:fldCharType="begin"/>
    </w:r>
    <w:r w:rsidRPr="00823A1C">
      <w:instrText xml:space="preserve"> PAGE  \* MERGEFORMAT </w:instrText>
    </w:r>
    <w:r w:rsidRPr="00823A1C">
      <w:fldChar w:fldCharType="separate"/>
    </w:r>
    <w:r w:rsidR="001556B4">
      <w:rPr>
        <w:noProof/>
      </w:rPr>
      <w:t>8</w:t>
    </w:r>
    <w:r w:rsidRPr="00823A1C">
      <w:fldChar w:fldCharType="end"/>
    </w:r>
    <w:r w:rsidRPr="00823A1C">
      <w:t>/</w:t>
    </w:r>
    <w:r w:rsidR="001556B4">
      <w:fldChar w:fldCharType="begin"/>
    </w:r>
    <w:r w:rsidR="001556B4">
      <w:instrText xml:space="preserve"> NUMPAGES  \* MERGEFORMAT </w:instrText>
    </w:r>
    <w:r w:rsidR="001556B4">
      <w:fldChar w:fldCharType="separate"/>
    </w:r>
    <w:r w:rsidR="001556B4">
      <w:rPr>
        <w:noProof/>
      </w:rPr>
      <w:t>8</w:t>
    </w:r>
    <w:r w:rsidR="001556B4">
      <w:fldChar w:fldCharType="end"/>
    </w:r>
    <w:r w:rsidRPr="00823A1C">
      <w:tab/>
    </w:r>
    <w:r w:rsidRPr="00823A1C">
      <w:rPr>
        <w:rStyle w:val="HideTWBExt"/>
        <w:noProof w:val="0"/>
      </w:rPr>
      <w:t>&lt;PathFdR&gt;</w:t>
    </w:r>
    <w:r w:rsidRPr="00823A1C">
      <w:t>RR\1133473LT.docx</w:t>
    </w:r>
    <w:r w:rsidRPr="00823A1C">
      <w:rPr>
        <w:rStyle w:val="HideTWBExt"/>
        <w:noProof w:val="0"/>
      </w:rPr>
      <w:t>&lt;/PathFdR&gt;</w:t>
    </w:r>
  </w:p>
  <w:p w:rsidR="00ED7B03" w:rsidRPr="00823A1C" w:rsidRDefault="00823A1C" w:rsidP="00823A1C">
    <w:pPr>
      <w:pStyle w:val="Footer2"/>
    </w:pPr>
    <w:r w:rsidRPr="00823A1C">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1C" w:rsidRPr="00823A1C" w:rsidRDefault="00823A1C" w:rsidP="00823A1C">
    <w:pPr>
      <w:pStyle w:val="Footer"/>
    </w:pPr>
    <w:r w:rsidRPr="00823A1C">
      <w:rPr>
        <w:rStyle w:val="HideTWBExt"/>
        <w:noProof w:val="0"/>
      </w:rPr>
      <w:t>&lt;PathFdR&gt;</w:t>
    </w:r>
    <w:r w:rsidRPr="00823A1C">
      <w:t>RR\1133473LT.docx</w:t>
    </w:r>
    <w:r w:rsidRPr="00823A1C">
      <w:rPr>
        <w:rStyle w:val="HideTWBExt"/>
        <w:noProof w:val="0"/>
      </w:rPr>
      <w:t>&lt;/PathFdR&gt;</w:t>
    </w:r>
    <w:r w:rsidRPr="00823A1C">
      <w:tab/>
    </w:r>
    <w:r w:rsidRPr="00823A1C">
      <w:fldChar w:fldCharType="begin"/>
    </w:r>
    <w:r w:rsidRPr="00823A1C">
      <w:instrText xml:space="preserve"> PAGE  \* MERGEFORMAT </w:instrText>
    </w:r>
    <w:r w:rsidRPr="00823A1C">
      <w:fldChar w:fldCharType="separate"/>
    </w:r>
    <w:r w:rsidR="001556B4">
      <w:rPr>
        <w:noProof/>
      </w:rPr>
      <w:t>7</w:t>
    </w:r>
    <w:r w:rsidRPr="00823A1C">
      <w:fldChar w:fldCharType="end"/>
    </w:r>
    <w:r w:rsidRPr="00823A1C">
      <w:t>/</w:t>
    </w:r>
    <w:r w:rsidR="001556B4">
      <w:fldChar w:fldCharType="begin"/>
    </w:r>
    <w:r w:rsidR="001556B4">
      <w:instrText xml:space="preserve"> NUMPAGES  \* MERGEFORMAT </w:instrText>
    </w:r>
    <w:r w:rsidR="001556B4">
      <w:fldChar w:fldCharType="separate"/>
    </w:r>
    <w:r w:rsidR="001556B4">
      <w:rPr>
        <w:noProof/>
      </w:rPr>
      <w:t>8</w:t>
    </w:r>
    <w:r w:rsidR="001556B4">
      <w:fldChar w:fldCharType="end"/>
    </w:r>
    <w:r w:rsidRPr="00823A1C">
      <w:tab/>
      <w:t>PE</w:t>
    </w:r>
    <w:r w:rsidRPr="00823A1C">
      <w:rPr>
        <w:rStyle w:val="HideTWBExt"/>
        <w:noProof w:val="0"/>
      </w:rPr>
      <w:t>&lt;NoPE&gt;</w:t>
    </w:r>
    <w:r w:rsidRPr="00823A1C">
      <w:t>607.951</w:t>
    </w:r>
    <w:r w:rsidRPr="00823A1C">
      <w:rPr>
        <w:rStyle w:val="HideTWBExt"/>
        <w:noProof w:val="0"/>
      </w:rPr>
      <w:t>&lt;/NoPE&gt;&lt;Version&gt;</w:t>
    </w:r>
    <w:r w:rsidRPr="00823A1C">
      <w:t>v03-00</w:t>
    </w:r>
    <w:r w:rsidRPr="00823A1C">
      <w:rPr>
        <w:rStyle w:val="HideTWBExt"/>
        <w:noProof w:val="0"/>
      </w:rPr>
      <w:t>&lt;/Version&gt;</w:t>
    </w:r>
  </w:p>
  <w:p w:rsidR="00ED7B03" w:rsidRPr="00823A1C" w:rsidRDefault="00823A1C" w:rsidP="00823A1C">
    <w:pPr>
      <w:pStyle w:val="Footer2"/>
    </w:pPr>
    <w:r w:rsidRPr="00823A1C">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1C" w:rsidRPr="00823A1C" w:rsidRDefault="00823A1C" w:rsidP="00823A1C">
    <w:pPr>
      <w:pStyle w:val="Footer"/>
    </w:pPr>
    <w:r w:rsidRPr="00823A1C">
      <w:rPr>
        <w:rStyle w:val="HideTWBExt"/>
        <w:noProof w:val="0"/>
      </w:rPr>
      <w:t>&lt;PathFdR&gt;</w:t>
    </w:r>
    <w:r w:rsidRPr="00823A1C">
      <w:t>RR\1133473LT.docx</w:t>
    </w:r>
    <w:r w:rsidRPr="00823A1C">
      <w:rPr>
        <w:rStyle w:val="HideTWBExt"/>
        <w:noProof w:val="0"/>
      </w:rPr>
      <w:t>&lt;/PathFdR&gt;</w:t>
    </w:r>
    <w:r w:rsidRPr="00823A1C">
      <w:tab/>
    </w:r>
    <w:r w:rsidRPr="00823A1C">
      <w:tab/>
      <w:t>PE</w:t>
    </w:r>
    <w:r w:rsidRPr="00823A1C">
      <w:rPr>
        <w:rStyle w:val="HideTWBExt"/>
        <w:noProof w:val="0"/>
      </w:rPr>
      <w:t>&lt;NoPE&gt;</w:t>
    </w:r>
    <w:r w:rsidRPr="00823A1C">
      <w:t>607.951</w:t>
    </w:r>
    <w:r w:rsidRPr="00823A1C">
      <w:rPr>
        <w:rStyle w:val="HideTWBExt"/>
        <w:noProof w:val="0"/>
      </w:rPr>
      <w:t>&lt;/NoPE&gt;&lt;Version&gt;</w:t>
    </w:r>
    <w:r w:rsidRPr="00823A1C">
      <w:t>v03-00</w:t>
    </w:r>
    <w:r w:rsidRPr="00823A1C">
      <w:rPr>
        <w:rStyle w:val="HideTWBExt"/>
        <w:noProof w:val="0"/>
      </w:rPr>
      <w:t>&lt;/Version&gt;</w:t>
    </w:r>
  </w:p>
  <w:p w:rsidR="00ED7B03" w:rsidRPr="00823A1C" w:rsidRDefault="00823A1C" w:rsidP="00823A1C">
    <w:pPr>
      <w:pStyle w:val="Footer2"/>
      <w:tabs>
        <w:tab w:val="center" w:pos="4535"/>
      </w:tabs>
    </w:pPr>
    <w:r w:rsidRPr="00823A1C">
      <w:t>LT</w:t>
    </w:r>
    <w:r w:rsidRPr="00823A1C">
      <w:tab/>
    </w:r>
    <w:r w:rsidRPr="00823A1C">
      <w:rPr>
        <w:b w:val="0"/>
        <w:i/>
        <w:color w:val="C0C0C0"/>
        <w:sz w:val="22"/>
      </w:rPr>
      <w:t>Suvienijusi įvairovę</w:t>
    </w:r>
    <w:r w:rsidRPr="00823A1C">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D9" w:rsidRPr="00823A1C" w:rsidRDefault="00291DD9">
      <w:r w:rsidRPr="00823A1C">
        <w:separator/>
      </w:r>
    </w:p>
  </w:footnote>
  <w:footnote w:type="continuationSeparator" w:id="0">
    <w:p w:rsidR="00291DD9" w:rsidRPr="00823A1C" w:rsidRDefault="00291DD9">
      <w:r w:rsidRPr="00823A1C">
        <w:continuationSeparator/>
      </w:r>
    </w:p>
  </w:footnote>
  <w:footnote w:id="1">
    <w:p w:rsidR="00D5123D" w:rsidRPr="00823A1C" w:rsidRDefault="00D5123D" w:rsidP="00D5123D">
      <w:pPr>
        <w:pStyle w:val="FootnoteText"/>
        <w:ind w:left="567" w:hanging="567"/>
        <w:rPr>
          <w:sz w:val="24"/>
          <w:szCs w:val="24"/>
        </w:rPr>
      </w:pPr>
      <w:r w:rsidRPr="00823A1C">
        <w:rPr>
          <w:rStyle w:val="FootnoteReference"/>
          <w:sz w:val="24"/>
          <w:szCs w:val="24"/>
        </w:rPr>
        <w:footnoteRef/>
      </w:r>
      <w:r w:rsidRPr="00823A1C">
        <w:rPr>
          <w:sz w:val="24"/>
          <w:szCs w:val="24"/>
        </w:rPr>
        <w:t xml:space="preserve"> </w:t>
      </w:r>
      <w:r w:rsidRPr="00823A1C">
        <w:rPr>
          <w:sz w:val="24"/>
          <w:szCs w:val="24"/>
        </w:rPr>
        <w:tab/>
        <w:t>OL L 298, 2012 10 26, p. 1.</w:t>
      </w:r>
    </w:p>
  </w:footnote>
  <w:footnote w:id="2">
    <w:p w:rsidR="00D5123D" w:rsidRPr="00823A1C" w:rsidRDefault="00D5123D" w:rsidP="00D5123D">
      <w:pPr>
        <w:pStyle w:val="FootnoteText"/>
        <w:ind w:left="567" w:hanging="567"/>
        <w:rPr>
          <w:sz w:val="24"/>
          <w:szCs w:val="24"/>
        </w:rPr>
      </w:pPr>
      <w:r w:rsidRPr="00823A1C">
        <w:rPr>
          <w:rStyle w:val="FootnoteReference"/>
          <w:sz w:val="24"/>
          <w:szCs w:val="24"/>
        </w:rPr>
        <w:footnoteRef/>
      </w:r>
      <w:r w:rsidRPr="00823A1C">
        <w:rPr>
          <w:sz w:val="24"/>
          <w:szCs w:val="24"/>
        </w:rPr>
        <w:t xml:space="preserve"> </w:t>
      </w:r>
      <w:r w:rsidRPr="00823A1C">
        <w:rPr>
          <w:sz w:val="24"/>
          <w:szCs w:val="24"/>
        </w:rPr>
        <w:tab/>
        <w:t>OL L 51, 2017 2 28.</w:t>
      </w:r>
    </w:p>
  </w:footnote>
  <w:footnote w:id="3">
    <w:p w:rsidR="00D5123D" w:rsidRPr="00823A1C" w:rsidRDefault="00D5123D" w:rsidP="00D5123D">
      <w:pPr>
        <w:pStyle w:val="FootnoteText"/>
        <w:ind w:left="567" w:hanging="567"/>
        <w:rPr>
          <w:sz w:val="24"/>
          <w:szCs w:val="24"/>
        </w:rPr>
      </w:pPr>
      <w:r w:rsidRPr="00823A1C">
        <w:rPr>
          <w:rStyle w:val="FootnoteReference"/>
          <w:sz w:val="24"/>
          <w:szCs w:val="24"/>
        </w:rPr>
        <w:footnoteRef/>
      </w:r>
      <w:r w:rsidRPr="00823A1C">
        <w:rPr>
          <w:sz w:val="24"/>
          <w:szCs w:val="24"/>
        </w:rPr>
        <w:t xml:space="preserve"> </w:t>
      </w:r>
      <w:r w:rsidRPr="00823A1C">
        <w:rPr>
          <w:sz w:val="24"/>
          <w:szCs w:val="24"/>
        </w:rPr>
        <w:tab/>
        <w:t>OL L 347, 2013 12 20, p. 884.</w:t>
      </w:r>
    </w:p>
  </w:footnote>
  <w:footnote w:id="4">
    <w:p w:rsidR="00D5123D" w:rsidRPr="00823A1C" w:rsidRDefault="00D5123D" w:rsidP="00D5123D">
      <w:pPr>
        <w:pStyle w:val="FootnoteText"/>
        <w:ind w:left="567" w:hanging="567"/>
        <w:rPr>
          <w:sz w:val="24"/>
          <w:szCs w:val="24"/>
        </w:rPr>
      </w:pPr>
      <w:r w:rsidRPr="00823A1C">
        <w:rPr>
          <w:rStyle w:val="FootnoteReference"/>
          <w:sz w:val="24"/>
          <w:szCs w:val="24"/>
        </w:rPr>
        <w:footnoteRef/>
      </w:r>
      <w:r w:rsidRPr="00823A1C">
        <w:rPr>
          <w:sz w:val="24"/>
          <w:szCs w:val="24"/>
        </w:rPr>
        <w:t xml:space="preserve"> </w:t>
      </w:r>
      <w:r w:rsidRPr="00823A1C">
        <w:rPr>
          <w:sz w:val="24"/>
          <w:szCs w:val="24"/>
        </w:rPr>
        <w:tab/>
        <w:t>OL C 373, 2013 12 20, p. 1.</w:t>
      </w:r>
    </w:p>
  </w:footnote>
  <w:footnote w:id="5">
    <w:p w:rsidR="00D5123D" w:rsidRPr="00823A1C" w:rsidRDefault="00D5123D" w:rsidP="00D5123D">
      <w:pPr>
        <w:pStyle w:val="FootnoteText"/>
        <w:ind w:left="567" w:hanging="567"/>
      </w:pPr>
      <w:r w:rsidRPr="00823A1C">
        <w:rPr>
          <w:rStyle w:val="FootnoteReference"/>
          <w:sz w:val="24"/>
          <w:szCs w:val="24"/>
        </w:rPr>
        <w:footnoteRef/>
      </w:r>
      <w:r w:rsidRPr="00823A1C">
        <w:rPr>
          <w:sz w:val="24"/>
          <w:szCs w:val="24"/>
        </w:rPr>
        <w:t xml:space="preserve"> </w:t>
      </w:r>
      <w:r w:rsidRPr="00823A1C">
        <w:rPr>
          <w:sz w:val="24"/>
          <w:szCs w:val="24"/>
        </w:rPr>
        <w:tab/>
        <w:t>OL L 168, 2014 6 7, p.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B4" w:rsidRDefault="00155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B4" w:rsidRDefault="00155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B4" w:rsidRDefault="00155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ECTION1MNU" w:val=" 1"/>
    <w:docVar w:name="SECTIONSMNU" w:val=" 1"/>
    <w:docVar w:name="strDocTypeID" w:val="CONV"/>
    <w:docVar w:name="strSubDir" w:val="1133"/>
    <w:docVar w:name="TXTBUDYEAR" w:val="2017"/>
    <w:docVar w:name="TXTLANGUE" w:val="LT"/>
    <w:docVar w:name="TXTLANGUEMIN" w:val="lt"/>
    <w:docVar w:name="TXTNRBUD" w:val="2017/2109"/>
    <w:docVar w:name="TXTNRC" w:val="0000/2017"/>
    <w:docVar w:name="TXTNRCOM" w:val="(2017)0541"/>
    <w:docVar w:name="TXTNRCOUNC" w:val="00000/2017"/>
    <w:docVar w:name="TXTNRDAB" w:val="4"/>
    <w:docVar w:name="TXTNRPE" w:val="607.951"/>
    <w:docVar w:name="TXTPEorAP" w:val="PE"/>
    <w:docVar w:name="TXTROUTE" w:val="RR\1133473LT.docx"/>
    <w:docVar w:name="TXTVERSION" w:val="03-00"/>
  </w:docVars>
  <w:rsids>
    <w:rsidRoot w:val="00291DD9"/>
    <w:rsid w:val="000026DC"/>
    <w:rsid w:val="00007893"/>
    <w:rsid w:val="000324D4"/>
    <w:rsid w:val="000404FE"/>
    <w:rsid w:val="000D4230"/>
    <w:rsid w:val="000E3D68"/>
    <w:rsid w:val="001556B4"/>
    <w:rsid w:val="0017450C"/>
    <w:rsid w:val="00221B8F"/>
    <w:rsid w:val="002304FF"/>
    <w:rsid w:val="00233823"/>
    <w:rsid w:val="0025563C"/>
    <w:rsid w:val="00256425"/>
    <w:rsid w:val="0027085E"/>
    <w:rsid w:val="00282AB8"/>
    <w:rsid w:val="00287BD7"/>
    <w:rsid w:val="00291DD9"/>
    <w:rsid w:val="002930F3"/>
    <w:rsid w:val="002A3E24"/>
    <w:rsid w:val="002D2348"/>
    <w:rsid w:val="002D6D68"/>
    <w:rsid w:val="002D6EBB"/>
    <w:rsid w:val="00312C61"/>
    <w:rsid w:val="003477BB"/>
    <w:rsid w:val="00375D9B"/>
    <w:rsid w:val="003B4DB2"/>
    <w:rsid w:val="00427AF4"/>
    <w:rsid w:val="004E5CEC"/>
    <w:rsid w:val="00585EFA"/>
    <w:rsid w:val="005962B8"/>
    <w:rsid w:val="005B51D7"/>
    <w:rsid w:val="00644A7E"/>
    <w:rsid w:val="00653297"/>
    <w:rsid w:val="006E1229"/>
    <w:rsid w:val="00702830"/>
    <w:rsid w:val="00702C8D"/>
    <w:rsid w:val="00713BDA"/>
    <w:rsid w:val="00772EC8"/>
    <w:rsid w:val="007A2FF8"/>
    <w:rsid w:val="007B2901"/>
    <w:rsid w:val="007F7FA6"/>
    <w:rsid w:val="008239BD"/>
    <w:rsid w:val="00823A1C"/>
    <w:rsid w:val="00861324"/>
    <w:rsid w:val="00863BD9"/>
    <w:rsid w:val="008A65B1"/>
    <w:rsid w:val="008B51A5"/>
    <w:rsid w:val="0096454B"/>
    <w:rsid w:val="009A6474"/>
    <w:rsid w:val="009D3571"/>
    <w:rsid w:val="009E14E1"/>
    <w:rsid w:val="00A27774"/>
    <w:rsid w:val="00A73A1C"/>
    <w:rsid w:val="00AA6BCF"/>
    <w:rsid w:val="00AC252D"/>
    <w:rsid w:val="00AD20BC"/>
    <w:rsid w:val="00AD515A"/>
    <w:rsid w:val="00B118B3"/>
    <w:rsid w:val="00B46239"/>
    <w:rsid w:val="00BA48ED"/>
    <w:rsid w:val="00C224D8"/>
    <w:rsid w:val="00C23ADB"/>
    <w:rsid w:val="00C6226C"/>
    <w:rsid w:val="00C73CFE"/>
    <w:rsid w:val="00C96001"/>
    <w:rsid w:val="00CE548A"/>
    <w:rsid w:val="00D017C5"/>
    <w:rsid w:val="00D47DA0"/>
    <w:rsid w:val="00D5123D"/>
    <w:rsid w:val="00D84C0E"/>
    <w:rsid w:val="00DB3514"/>
    <w:rsid w:val="00ED7B03"/>
    <w:rsid w:val="00EF7859"/>
    <w:rsid w:val="00EF7CA1"/>
    <w:rsid w:val="00F07A21"/>
    <w:rsid w:val="00F20AD5"/>
    <w:rsid w:val="00F665AC"/>
    <w:rsid w:val="00F863C1"/>
    <w:rsid w:val="00F8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A7CC5F6-4B74-4707-835E-5AF43702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2D6D6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861324"/>
    <w:pPr>
      <w:tabs>
        <w:tab w:val="left" w:pos="567"/>
      </w:tabs>
    </w:pPr>
  </w:style>
  <w:style w:type="paragraph" w:customStyle="1" w:styleId="RefProc">
    <w:name w:val="RefProc"/>
    <w:basedOn w:val="Normal"/>
    <w:rsid w:val="000324D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Tab">
    <w:name w:val="CoverTab"/>
    <w:basedOn w:val="Normal24"/>
    <w:rsid w:val="00702C8D"/>
    <w:pPr>
      <w:tabs>
        <w:tab w:val="left" w:pos="3686"/>
        <w:tab w:val="left" w:pos="3969"/>
      </w:tabs>
      <w:spacing w:after="0"/>
      <w:ind w:left="1418"/>
    </w:pPr>
    <w:rPr>
      <w:snapToGrid w:val="0"/>
      <w:lang w:eastAsia="en-US"/>
    </w:rPr>
  </w:style>
  <w:style w:type="paragraph" w:customStyle="1" w:styleId="Cover24a24b">
    <w:name w:val="Cover24a24b"/>
    <w:basedOn w:val="Cover24"/>
    <w:rsid w:val="00702C8D"/>
    <w:pPr>
      <w:spacing w:before="480"/>
    </w:pPr>
  </w:style>
  <w:style w:type="table" w:styleId="TableGrid">
    <w:name w:val="Table Grid"/>
    <w:basedOn w:val="TableNormal"/>
    <w:rsid w:val="007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772EC8"/>
    <w:pPr>
      <w:jc w:val="center"/>
    </w:pPr>
    <w:rPr>
      <w:rFonts w:ascii="Arial" w:hAnsi="Arial" w:cs="Arial"/>
      <w:i/>
      <w:sz w:val="22"/>
      <w:szCs w:val="22"/>
    </w:rPr>
  </w:style>
  <w:style w:type="paragraph" w:customStyle="1" w:styleId="LineTop">
    <w:name w:val="LineTop"/>
    <w:basedOn w:val="Normal"/>
    <w:next w:val="ZCommittee"/>
    <w:rsid w:val="00772EC8"/>
    <w:pPr>
      <w:pBdr>
        <w:top w:val="single" w:sz="4" w:space="1" w:color="auto"/>
      </w:pBdr>
      <w:jc w:val="center"/>
    </w:pPr>
    <w:rPr>
      <w:rFonts w:ascii="Arial" w:hAnsi="Arial"/>
      <w:sz w:val="16"/>
      <w:szCs w:val="16"/>
    </w:rPr>
  </w:style>
  <w:style w:type="paragraph" w:customStyle="1" w:styleId="LineBottom">
    <w:name w:val="LineBottom"/>
    <w:basedOn w:val="Normal"/>
    <w:next w:val="Normal"/>
    <w:rsid w:val="00772EC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D6D68"/>
    <w:pPr>
      <w:spacing w:after="80"/>
    </w:pPr>
    <w:rPr>
      <w:rFonts w:ascii="Arial" w:hAnsi="Arial" w:cs="Arial"/>
      <w:sz w:val="20"/>
      <w:szCs w:val="22"/>
    </w:rPr>
  </w:style>
  <w:style w:type="paragraph" w:customStyle="1" w:styleId="EPLogo">
    <w:name w:val="EPLogo"/>
    <w:basedOn w:val="Normal"/>
    <w:qFormat/>
    <w:rsid w:val="002D6D68"/>
    <w:pPr>
      <w:jc w:val="right"/>
    </w:pPr>
  </w:style>
  <w:style w:type="paragraph" w:styleId="FootnoteText">
    <w:name w:val="footnote text"/>
    <w:basedOn w:val="Normal"/>
    <w:link w:val="FootnoteTextChar"/>
    <w:rsid w:val="00F20AD5"/>
    <w:rPr>
      <w:sz w:val="20"/>
    </w:rPr>
  </w:style>
  <w:style w:type="character" w:customStyle="1" w:styleId="FootnoteTextChar">
    <w:name w:val="Footnote Text Char"/>
    <w:basedOn w:val="DefaultParagraphFont"/>
    <w:link w:val="FootnoteText"/>
    <w:rsid w:val="00F20AD5"/>
    <w:rPr>
      <w:lang w:val="lt-LT"/>
    </w:rPr>
  </w:style>
  <w:style w:type="character" w:styleId="FootnoteReference">
    <w:name w:val="footnote reference"/>
    <w:basedOn w:val="DefaultParagraphFont"/>
    <w:rsid w:val="00F20AD5"/>
    <w:rPr>
      <w:vertAlign w:val="superscript"/>
    </w:rPr>
  </w:style>
  <w:style w:type="paragraph" w:customStyle="1" w:styleId="NormalTabs">
    <w:name w:val="NormalTabs"/>
    <w:basedOn w:val="Normal"/>
    <w:qFormat/>
    <w:rsid w:val="00D5123D"/>
    <w:pPr>
      <w:tabs>
        <w:tab w:val="center" w:pos="284"/>
        <w:tab w:val="left" w:pos="426"/>
      </w:tabs>
    </w:pPr>
    <w:rPr>
      <w:snapToGrid w:val="0"/>
      <w:lang w:eastAsia="en-US"/>
    </w:rPr>
  </w:style>
  <w:style w:type="paragraph" w:customStyle="1" w:styleId="Normal18">
    <w:name w:val="Normal18"/>
    <w:basedOn w:val="Normal"/>
    <w:rsid w:val="00A73A1C"/>
    <w:pPr>
      <w:spacing w:after="360"/>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92C93E5C.dotm</Template>
  <TotalTime>0</TotalTime>
  <Pages>8</Pages>
  <Words>1232</Words>
  <Characters>7879</Characters>
  <Application>Microsoft Office Word</Application>
  <DocSecurity>0</DocSecurity>
  <Lines>262</Lines>
  <Paragraphs>144</Paragraphs>
  <ScaleCrop>false</ScaleCrop>
  <HeadingPairs>
    <vt:vector size="2" baseType="variant">
      <vt:variant>
        <vt:lpstr>Title</vt:lpstr>
      </vt:variant>
      <vt:variant>
        <vt:i4>1</vt:i4>
      </vt:variant>
    </vt:vector>
  </HeadingPairs>
  <TitlesOfParts>
    <vt:vector size="1" baseType="lpstr">
      <vt:lpstr>PR_BUD_DABam</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PR_BUD_DABam</dc:title>
  <dc:subject/>
  <dc:creator>VAITIEKUTE Simona</dc:creator>
  <cp:keywords/>
  <dc:description/>
  <cp:lastModifiedBy>VAITIEKUTE Simona</cp:lastModifiedBy>
  <cp:revision>2</cp:revision>
  <cp:lastPrinted>2004-05-27T07:49:00Z</cp:lastPrinted>
  <dcterms:created xsi:type="dcterms:W3CDTF">2017-09-08T07:57:00Z</dcterms:created>
  <dcterms:modified xsi:type="dcterms:W3CDTF">2017-09-08T07:57:00Z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9.1.0 Build [20170814]</vt:lpwstr>
  </property>
  <property fmtid="{D5CDD505-2E9C-101B-9397-08002B2CF9AE}" pid="4" name="&lt;FdR&gt;">
    <vt:lpwstr>1133473</vt:lpwstr>
  </property>
  <property fmtid="{D5CDD505-2E9C-101B-9397-08002B2CF9AE}" pid="5" name="&lt;Type&gt;">
    <vt:lpwstr>RR</vt:lpwstr>
  </property>
  <property fmtid="{D5CDD505-2E9C-101B-9397-08002B2CF9AE}" pid="6" name="&lt;ModelCod&gt;">
    <vt:lpwstr>\\eiciLUXpr1\pdocep$\DocEP\DOCS\General\PR\PR_BUD\BUD\PR_BUD_DABam.dot(17/02/2016 11:44:25)</vt:lpwstr>
  </property>
  <property fmtid="{D5CDD505-2E9C-101B-9397-08002B2CF9AE}" pid="7" name="&lt;ModelTra&gt;">
    <vt:lpwstr>\\eiciLUXpr1\pdocep$\DocEP\TRANSFIL\LT\PR_BUD_DABam.LT(22/03/2017 17:01:29)</vt:lpwstr>
  </property>
  <property fmtid="{D5CDD505-2E9C-101B-9397-08002B2CF9AE}" pid="8" name="&lt;Model&gt;">
    <vt:lpwstr>PR_BUD_DABam</vt:lpwstr>
  </property>
  <property fmtid="{D5CDD505-2E9C-101B-9397-08002B2CF9AE}" pid="9" name="FooterPath">
    <vt:lpwstr>RR\1133473LT.docx</vt:lpwstr>
  </property>
  <property fmtid="{D5CDD505-2E9C-101B-9397-08002B2CF9AE}" pid="10" name="PE number">
    <vt:lpwstr>607.951</vt:lpwstr>
  </property>
  <property fmtid="{D5CDD505-2E9C-101B-9397-08002B2CF9AE}" pid="11" name="Bookout">
    <vt:lpwstr>OK - 2017/09/08 09:57</vt:lpwstr>
  </property>
  <property fmtid="{D5CDD505-2E9C-101B-9397-08002B2CF9AE}" pid="12" name="SDLStudio">
    <vt:lpwstr/>
  </property>
  <property fmtid="{D5CDD505-2E9C-101B-9397-08002B2CF9AE}" pid="13" name="&lt;Extension&gt;">
    <vt:lpwstr>LT</vt:lpwstr>
  </property>
</Properties>
</file>