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pPr>
      <w:r w:rsidRPr="00422026">
        <w:rPr>
          <w:rStyle w:val="HideTWBExt"/>
        </w:rPr>
        <w:t>&lt;Date&gt;</w:t>
      </w:r>
      <w:r>
        <w:t>10.4.2019</w:t>
      </w:r>
      <w:r w:rsidRPr="00422026">
        <w:rPr>
          <w:rStyle w:val="HideTWBExt"/>
        </w:rPr>
        <w:t>&lt;/Date&gt;</w:t>
      </w:r>
      <w:r>
        <w:tab/>
        <w:t xml:space="preserve">A8-0094/ </w:t>
      </w:r>
      <w:r w:rsidRPr="00422026">
        <w:rPr>
          <w:rStyle w:val="HideTWBExt"/>
        </w:rPr>
        <w:t>&lt;NumOfAM&gt;</w:t>
      </w:r>
      <w:r>
        <w:t>001-054</w:t>
      </w:r>
      <w:bookmarkStart w:id="0" w:name="_GoBack"/>
      <w:bookmarkEnd w:id="0"/>
      <w:r w:rsidRPr="00422026">
        <w:rPr>
          <w:rStyle w:val="HideTWBExt"/>
        </w:rPr>
        <w:t>&lt;/NumOfAM&gt;</w:t>
      </w:r>
    </w:p>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pPr>
      <w:r>
        <w:rPr>
          <w:b/>
        </w:rPr>
        <w:t xml:space="preserve">PREDLOGI SPREMEMB 001-054 </w:t>
      </w:r>
    </w:p>
    <w:p w:rsidR="00422026" w:rsidRDefault="00422026" w:rsidP="00422026">
      <w:pPr>
        <w:tabs>
          <w:tab w:val="right" w:pos="9184"/>
        </w:tabs>
      </w:pPr>
      <w:r>
        <w:t xml:space="preserve">vlagatelj: </w:t>
      </w:r>
      <w:r w:rsidRPr="00422026">
        <w:rPr>
          <w:rStyle w:val="HideTWBExt"/>
        </w:rPr>
        <w:t>&lt;Committee&gt;</w:t>
      </w:r>
      <w:r>
        <w:t>Odbor za industrijo, raziskave in energetiko</w:t>
      </w:r>
      <w:r w:rsidRPr="00422026">
        <w:rPr>
          <w:rStyle w:val="HideTWBExt"/>
        </w:rPr>
        <w:t>&lt;/Committee&gt;</w:t>
      </w:r>
    </w:p>
    <w:p w:rsidR="00422026" w:rsidRDefault="00422026" w:rsidP="00422026">
      <w:pPr>
        <w:tabs>
          <w:tab w:val="right" w:pos="9184"/>
        </w:tabs>
      </w:pPr>
    </w:p>
    <w:p w:rsidR="00422026" w:rsidRDefault="00422026" w:rsidP="00422026">
      <w:pPr>
        <w:tabs>
          <w:tab w:val="right" w:pos="9184"/>
        </w:tabs>
        <w:rPr>
          <w:b/>
        </w:rPr>
      </w:pPr>
      <w:r>
        <w:rPr>
          <w:b/>
        </w:rPr>
        <w:t>Poročilo</w:t>
      </w:r>
    </w:p>
    <w:p w:rsidR="00422026" w:rsidRDefault="00422026" w:rsidP="00422026">
      <w:pPr>
        <w:tabs>
          <w:tab w:val="right" w:pos="9184"/>
        </w:tabs>
        <w:rPr>
          <w:b/>
        </w:rPr>
      </w:pPr>
      <w:r w:rsidRPr="00422026">
        <w:rPr>
          <w:rStyle w:val="HideTWBExt"/>
        </w:rPr>
        <w:t>&lt;Chairman&gt;</w:t>
      </w:r>
      <w:r>
        <w:rPr>
          <w:b/>
        </w:rPr>
        <w:t>Janusz Lewandowski</w:t>
      </w:r>
      <w:r w:rsidRPr="00422026">
        <w:rPr>
          <w:rStyle w:val="HideTWBExt"/>
        </w:rPr>
        <w:t>&lt;/Chairman&gt;</w:t>
      </w:r>
      <w:r>
        <w:rPr>
          <w:b/>
        </w:rPr>
        <w:tab/>
      </w:r>
      <w:r w:rsidRPr="00422026">
        <w:rPr>
          <w:rStyle w:val="HideTWBExt"/>
        </w:rPr>
        <w:t>&lt;A5Nr&gt;</w:t>
      </w:r>
      <w:r>
        <w:rPr>
          <w:b/>
        </w:rPr>
        <w:t>A8-0094/2018</w:t>
      </w:r>
      <w:r w:rsidRPr="00422026">
        <w:rPr>
          <w:rStyle w:val="HideTWBExt"/>
        </w:rPr>
        <w:t>&lt;/A5Nr&gt;</w:t>
      </w:r>
    </w:p>
    <w:p w:rsidR="00422026" w:rsidRDefault="00422026" w:rsidP="00422026">
      <w:pPr>
        <w:tabs>
          <w:tab w:val="right" w:pos="9184"/>
        </w:tabs>
      </w:pPr>
      <w:r w:rsidRPr="00422026">
        <w:rPr>
          <w:rStyle w:val="HideTWBExt"/>
        </w:rPr>
        <w:t>&lt;ShortTitel&gt;</w:t>
      </w:r>
      <w:r>
        <w:t>Uredba o evropski statistiki podjetij</w:t>
      </w:r>
      <w:r w:rsidRPr="00422026">
        <w:rPr>
          <w:rStyle w:val="HideTWBExt"/>
        </w:rPr>
        <w:t>&lt;/ShortTitel&gt;</w:t>
      </w:r>
    </w:p>
    <w:p w:rsidR="00422026" w:rsidRDefault="00422026" w:rsidP="00422026">
      <w:pPr>
        <w:tabs>
          <w:tab w:val="right" w:pos="9184"/>
        </w:tabs>
      </w:pPr>
    </w:p>
    <w:p w:rsidR="00422026" w:rsidRDefault="00422026" w:rsidP="00422026">
      <w:pPr>
        <w:tabs>
          <w:tab w:val="right" w:pos="9184"/>
        </w:tabs>
      </w:pPr>
      <w:r w:rsidRPr="00422026">
        <w:rPr>
          <w:rStyle w:val="HideTWBExt"/>
        </w:rPr>
        <w:t>&lt;Procedure&gt;</w:t>
      </w:r>
      <w:r>
        <w:t>Predlog uredbe</w:t>
      </w:r>
      <w:r w:rsidRPr="00422026">
        <w:rPr>
          <w:rStyle w:val="HideTWBExt"/>
        </w:rPr>
        <w:t>&lt;/Procedure&gt;</w:t>
      </w:r>
      <w:r>
        <w:t xml:space="preserve"> </w:t>
      </w:r>
      <w:r w:rsidRPr="00422026">
        <w:rPr>
          <w:rStyle w:val="HideTWBExt"/>
        </w:rPr>
        <w:t>&lt;ReferenceNo&gt;</w:t>
      </w:r>
      <w:r>
        <w:t>(COM(2017)0114 – C8-0099/2017 – 2017/0048(COD))</w:t>
      </w:r>
      <w:r w:rsidRPr="00422026">
        <w:rPr>
          <w:rStyle w:val="HideTWBExt"/>
        </w:rPr>
        <w:t>&lt;/ReferenceNo&gt;</w:t>
      </w:r>
    </w:p>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pPr>
    </w:p>
    <w:p w:rsidR="00422026" w:rsidRDefault="00422026" w:rsidP="00422026">
      <w:pPr>
        <w:tabs>
          <w:tab w:val="right" w:pos="9184"/>
        </w:tabs>
        <w:jc w:val="center"/>
      </w:pPr>
      <w:r>
        <w:t>_____________________________________________________________</w:t>
      </w:r>
    </w:p>
    <w:p w:rsidR="00422026" w:rsidRDefault="00422026" w:rsidP="00422026">
      <w:pPr>
        <w:tabs>
          <w:tab w:val="right" w:pos="9184"/>
        </w:tabs>
        <w:jc w:val="center"/>
      </w:pPr>
    </w:p>
    <w:p w:rsidR="008B2568" w:rsidRPr="00422026" w:rsidRDefault="008B2568" w:rsidP="00422026">
      <w:pPr>
        <w:pStyle w:val="AMNumberTabs"/>
      </w:pPr>
      <w:r w:rsidRPr="00422026">
        <w:t>Predlog spremembe</w:t>
      </w:r>
      <w:r w:rsidRPr="00422026">
        <w:tab/>
      </w:r>
      <w:r w:rsidRPr="00422026">
        <w:tab/>
        <w:t>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rPr>
              <w:t>(3a)</w:t>
            </w:r>
            <w:r w:rsidRPr="00422026">
              <w:rPr>
                <w:b/>
                <w:i/>
              </w:rPr>
              <w:tab/>
              <w:t>Za evropsko statistiko podjetij so pomembne smernice Unije, na primer Priporočilo Komisije 2003/361/ES</w:t>
            </w:r>
            <w:r w:rsidRPr="00422026">
              <w:rPr>
                <w:b/>
                <w:i/>
                <w:vertAlign w:val="superscript"/>
              </w:rPr>
              <w:t>1a</w:t>
            </w:r>
            <w:r w:rsidRPr="00422026">
              <w:rPr>
                <w:b/>
                <w:i/>
              </w:rPr>
              <w:t xml:space="preserve"> . Za spodbujanje pravne varnosti in predvidljivosti poslovanja za mala in srednja podjetja v Uniji je potrebna jasna in harmonizirana opredelitev podjetja.</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rPr>
                <w:b/>
                <w:i/>
              </w:rPr>
            </w:pPr>
            <w:r w:rsidRPr="00422026">
              <w:rPr>
                <w:b/>
                <w:i/>
              </w:rPr>
              <w:t>______________________</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rPr>
                <w:b/>
                <w:i/>
              </w:rPr>
            </w:pPr>
            <w:r w:rsidRPr="00422026">
              <w:rPr>
                <w:b/>
                <w:i/>
                <w:vertAlign w:val="superscript"/>
              </w:rPr>
              <w:t>1a</w:t>
            </w:r>
            <w:r w:rsidRPr="00422026">
              <w:rPr>
                <w:b/>
                <w:i/>
              </w:rPr>
              <w:t xml:space="preserve"> Priporočilo Komisije o opredelitvi mikro, malih in srednjih podjetij (2003/361/ES) (UL L 124, 20.5.2003, str. 36).</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w:t>
      </w:r>
    </w:p>
    <w:p w:rsidR="00A7257D" w:rsidRPr="00422026" w:rsidRDefault="00A7257D" w:rsidP="00A7257D">
      <w:pPr>
        <w:pStyle w:val="NormalBold12b"/>
      </w:pPr>
      <w:r w:rsidRPr="00422026">
        <w:t>Predlog uredbe</w:t>
      </w:r>
    </w:p>
    <w:p w:rsidR="008B2568" w:rsidRPr="00422026" w:rsidRDefault="008B2568" w:rsidP="00A7257D">
      <w:pPr>
        <w:pStyle w:val="NormalBold"/>
        <w:keepNext/>
      </w:pPr>
      <w:r w:rsidRPr="00422026">
        <w:t>Uvodna izjava 5</w:t>
      </w:r>
    </w:p>
    <w:p w:rsidR="008B2568" w:rsidRPr="00422026" w:rsidRDefault="008B2568" w:rsidP="008B256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(5)</w:t>
            </w:r>
            <w:r w:rsidRPr="00422026">
              <w:tab/>
              <w:t xml:space="preserve">Upravno breme za mala in srednja </w:t>
            </w:r>
            <w:r w:rsidRPr="00422026">
              <w:rPr>
                <w:b/>
                <w:i/>
              </w:rPr>
              <w:t>podjetja</w:t>
            </w:r>
            <w:r w:rsidRPr="00422026">
              <w:t xml:space="preserve"> bi bilo treba čim bolj omejiti, pri tem pa čim bolj upoštevati druge podatkovne vire, ki niso statistične raziskave. Za zmanjšanje bremena za podjetja bi bilo treba omogočiti, da se določijo različne zahteve po podatkih glede na velikost in pomembnost podjetij držav članic.</w:t>
            </w:r>
          </w:p>
        </w:tc>
        <w:tc>
          <w:tcPr>
            <w:tcW w:w="4876" w:type="dxa"/>
          </w:tcPr>
          <w:p w:rsidR="008B2568" w:rsidRPr="00422026" w:rsidRDefault="008B2568" w:rsidP="00F4223F">
            <w:pPr>
              <w:pStyle w:val="Normal6"/>
              <w:rPr>
                <w:szCs w:val="24"/>
              </w:rPr>
            </w:pPr>
            <w:r w:rsidRPr="00422026">
              <w:t>(5)</w:t>
            </w:r>
            <w:r w:rsidRPr="00422026">
              <w:tab/>
              <w:t xml:space="preserve">Upravno breme za </w:t>
            </w:r>
            <w:r w:rsidRPr="00422026">
              <w:rPr>
                <w:b/>
                <w:i/>
              </w:rPr>
              <w:t xml:space="preserve">podjetja, zlasti </w:t>
            </w:r>
            <w:r w:rsidRPr="00422026">
              <w:t>mala in srednja</w:t>
            </w:r>
            <w:r w:rsidRPr="00422026">
              <w:rPr>
                <w:b/>
                <w:i/>
              </w:rPr>
              <w:t>,</w:t>
            </w:r>
            <w:r w:rsidRPr="00422026">
              <w:t xml:space="preserve"> bi bilo treba čim bolj omejiti, pri tem pa čim bolj upoštevati druge podatkovne vire, ki niso statistične raziskave. Za zmanjšanje bremena za podjetja bi bilo treba omogočiti, da se določijo različne zahteve po podatkih glede na velikost in pomembnost podjetij držav članic.</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rPr>
              <w:t>(20a)</w:t>
            </w:r>
            <w:r w:rsidRPr="00422026">
              <w:rPr>
                <w:b/>
                <w:i/>
              </w:rPr>
              <w:tab/>
              <w:t>Države članice ali pristojni nacionalni organi bi si morali prizadevati kolikor mogoče poenostaviti pridobivanje statističnih podatkov od evropskih podjetij. Pri vzpostavljanju instrumentov in metod za zbiranje statističnih podatkov v sistemu evropske statistike podjetij bi morali upoštevati najnovejši digitalni razvoj.</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w:t>
      </w:r>
    </w:p>
    <w:p w:rsidR="00A7257D" w:rsidRPr="00422026" w:rsidRDefault="00A7257D" w:rsidP="00A7257D">
      <w:pPr>
        <w:pStyle w:val="NormalBold12b"/>
      </w:pPr>
      <w:r w:rsidRPr="00422026">
        <w:t>Predlog uredbe</w:t>
      </w:r>
    </w:p>
    <w:p w:rsidR="008B2568" w:rsidRPr="00422026" w:rsidRDefault="008B2568" w:rsidP="00A7257D">
      <w:pPr>
        <w:pStyle w:val="NormalBold"/>
        <w:keepNext/>
      </w:pPr>
      <w:r w:rsidRPr="00422026">
        <w:t>Uvodna izjava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(21)</w:t>
            </w:r>
            <w:r w:rsidRPr="00422026">
              <w:tab/>
              <w:t xml:space="preserve">Zagotoviti je treba statistiko podjetij, ki je strukturirana po sektorju dejavnosti, s katero bi se merila produktivnost podjetij v Uniji. Zlasti se veča povpraševanje po statistiki o storitvenem sektorju, ki je najbolj dinamičen sektor sodobnih gospodarstev, zlasti v smislu njegovega potenciala za rast in ustvarjanje delovnih mest ter ob upoštevanju odnosa s predelovalno industrijo. Statistika o </w:t>
            </w:r>
            <w:r w:rsidRPr="00422026">
              <w:lastRenderedPageBreak/>
              <w:t>trgovini s storitvami je bistvena za spremljanje delovanja notranjega trga storitev in ocenjevanje učinka ovir na trgovino s storitvami.</w:t>
            </w:r>
          </w:p>
        </w:tc>
        <w:tc>
          <w:tcPr>
            <w:tcW w:w="4876" w:type="dxa"/>
          </w:tcPr>
          <w:p w:rsidR="008B2568" w:rsidRPr="00422026" w:rsidRDefault="008B2568" w:rsidP="00F4223F">
            <w:pPr>
              <w:pStyle w:val="Normal6"/>
              <w:rPr>
                <w:szCs w:val="24"/>
              </w:rPr>
            </w:pPr>
            <w:r w:rsidRPr="00422026">
              <w:lastRenderedPageBreak/>
              <w:t>(21)</w:t>
            </w:r>
            <w:r w:rsidRPr="00422026">
              <w:tab/>
              <w:t xml:space="preserve">Zagotoviti je treba statistiko podjetij, ki je strukturirana po sektorju dejavnosti, s katero bi se merila produktivnost podjetij v Uniji. Zlasti se veča povpraševanje po statistiki o storitvenem sektorju, ki je najbolj dinamičen sektor sodobnih gospodarstev, zlasti v smislu njegovega potenciala za rast in ustvarjanje delovnih mest ter ob upoštevanju odnosa s predelovalno industrijo. </w:t>
            </w:r>
            <w:r w:rsidRPr="00422026">
              <w:rPr>
                <w:b/>
                <w:i/>
              </w:rPr>
              <w:t xml:space="preserve">Ta trend se še </w:t>
            </w:r>
            <w:r w:rsidRPr="00422026">
              <w:rPr>
                <w:b/>
                <w:i/>
              </w:rPr>
              <w:lastRenderedPageBreak/>
              <w:t>dodatno krepi zaradi razvoja novih digitalnih storitev.</w:t>
            </w:r>
            <w:r w:rsidRPr="00422026">
              <w:t xml:space="preserve"> </w:t>
            </w:r>
            <w:r w:rsidRPr="00422026">
              <w:rPr>
                <w:b/>
                <w:i/>
              </w:rPr>
              <w:t>Vse večje povpraševanje po statističnih podatkih se kaže tudi v kreativnih in kulturnih panogah, kot je navedeno v resoluciji Evropskega parlamenta o skladni politiki EU za kulturno in kreativno industrijo</w:t>
            </w:r>
            <w:r w:rsidRPr="00422026">
              <w:rPr>
                <w:b/>
                <w:i/>
                <w:vertAlign w:val="superscript"/>
              </w:rPr>
              <w:t>1a</w:t>
            </w:r>
            <w:r w:rsidRPr="00422026">
              <w:rPr>
                <w:b/>
                <w:i/>
              </w:rPr>
              <w:t>.</w:t>
            </w:r>
            <w:r w:rsidRPr="00422026">
              <w:t xml:space="preserve"> Statistika o trgovini s storitvami je bistvena za spremljanje delovanja notranjega trga storitev in</w:t>
            </w:r>
            <w:r w:rsidRPr="00422026">
              <w:rPr>
                <w:b/>
                <w:i/>
              </w:rPr>
              <w:t xml:space="preserve"> enotnega digitalnega trga ter</w:t>
            </w:r>
            <w:r w:rsidRPr="00422026">
              <w:t xml:space="preserve"> ocenjevanje učinka ovir na trgovino s storitvami.</w:t>
            </w:r>
          </w:p>
        </w:tc>
      </w:tr>
      <w:tr w:rsidR="008B2568" w:rsidRPr="00422026" w:rsidTr="00F4223F">
        <w:tblPrEx>
          <w:tblLook w:val="04A0" w:firstRow="1" w:lastRow="0" w:firstColumn="1" w:lastColumn="0" w:noHBand="0" w:noVBand="1"/>
        </w:tblPrEx>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t>__________________</w:t>
            </w:r>
          </w:p>
        </w:tc>
      </w:tr>
      <w:tr w:rsidR="008B2568" w:rsidRPr="00422026" w:rsidTr="00F4223F">
        <w:tblPrEx>
          <w:tblLook w:val="04A0" w:firstRow="1" w:lastRow="0" w:firstColumn="1" w:lastColumn="0" w:noHBand="0" w:noVBand="1"/>
        </w:tblPrEx>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vertAlign w:val="superscript"/>
              </w:rPr>
              <w:t>1a</w:t>
            </w:r>
            <w:r w:rsidRPr="00422026">
              <w:rPr>
                <w:b/>
                <w:i/>
              </w:rPr>
              <w:t xml:space="preserve"> </w:t>
            </w:r>
            <w:r w:rsidR="00A7257D" w:rsidRPr="00422026">
              <w:rPr>
                <w:b/>
                <w:i/>
              </w:rPr>
              <w:t xml:space="preserve">Sprejeta besedila, </w:t>
            </w:r>
            <w:r w:rsidRPr="00422026">
              <w:rPr>
                <w:b/>
                <w:i/>
              </w:rPr>
              <w:t>P8_TA-PROV(2016)0486.</w:t>
            </w:r>
          </w:p>
        </w:tc>
      </w:tr>
    </w:tbl>
    <w:p w:rsidR="008B2568" w:rsidRPr="00422026" w:rsidRDefault="008B2568" w:rsidP="00A7257D">
      <w:pPr>
        <w:pStyle w:val="AMNumberTabs"/>
      </w:pPr>
      <w:r w:rsidRPr="00422026">
        <w:t>Predlog spremembe</w:t>
      </w:r>
      <w:r w:rsidRPr="00422026">
        <w:tab/>
      </w:r>
      <w:r w:rsidRPr="00422026">
        <w:tab/>
        <w:t>5</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(22)</w:t>
            </w:r>
            <w:r w:rsidRPr="00422026">
              <w:tab/>
              <w:t xml:space="preserve">Za spremljanje napredka pri doseganju ciljev, določenih v strategiji Evropa 2020, na ravni držav članic in Unije je v okviru gospodarstva Unije potrebna </w:t>
            </w:r>
            <w:r w:rsidRPr="00422026">
              <w:rPr>
                <w:b/>
                <w:i/>
              </w:rPr>
              <w:t>usklajena</w:t>
            </w:r>
            <w:r w:rsidRPr="00422026">
              <w:t xml:space="preserve"> statistika o raziskavah in razvoju, inovacijah, informacijski družbi, ki zajema tržne in netržne dejavnosti, ter celotnem poslovnem okolju, zlasti o demografiji podjetij in zaposlovanju, povezanem s tržnimi dejavnosti. Take informacije nosilcem odločitev omogočajo, da sprejemajo informirane politične odločitve za razvoj gospodarstva na podlagi znanja in inovacij, izboljšanje dostopa malih in srednjih podjetij do enotnega trga, razvoj podjetništva ter izboljšanje konkurenčnosti.</w:t>
            </w:r>
          </w:p>
        </w:tc>
        <w:tc>
          <w:tcPr>
            <w:tcW w:w="4876" w:type="dxa"/>
          </w:tcPr>
          <w:p w:rsidR="008B2568" w:rsidRPr="00422026" w:rsidRDefault="008B2568" w:rsidP="00F4223F">
            <w:pPr>
              <w:pStyle w:val="Normal6"/>
              <w:rPr>
                <w:szCs w:val="24"/>
              </w:rPr>
            </w:pPr>
            <w:r w:rsidRPr="00422026">
              <w:t>(22)</w:t>
            </w:r>
            <w:r w:rsidRPr="00422026">
              <w:tab/>
              <w:t xml:space="preserve">Za spremljanje napredka pri doseganju ciljev, določenih v strategiji Evropa 2020, na ravni držav članic in Unije je v okviru gospodarstva Unije potrebna </w:t>
            </w:r>
            <w:r w:rsidRPr="00422026">
              <w:rPr>
                <w:b/>
                <w:i/>
              </w:rPr>
              <w:t>harmonizirana</w:t>
            </w:r>
            <w:r w:rsidRPr="00422026">
              <w:t xml:space="preserve"> statistika o</w:t>
            </w:r>
            <w:r w:rsidRPr="00422026">
              <w:rPr>
                <w:b/>
                <w:i/>
              </w:rPr>
              <w:t xml:space="preserve"> podnebnih spremembah in učinkoviti rabi virov,</w:t>
            </w:r>
            <w:r w:rsidRPr="00422026">
              <w:t xml:space="preserve"> raziskavah in razvoju, inovacijah, informacijski družbi, ki zajema tržne in netržne dejavnosti, ter celotnem poslovnem okolju, zlasti o demografiji podjetij in zaposlovanju, povezanem s tržnimi dejavnosti. Take informacije nosilcem odločitev omogočajo, da sprejemajo informirane politične odločitve za razvoj gospodarstva na podlagi znanja in inovacij, izboljšanje dostopa malih in srednjih podjetij do enotnega trga, razvoj podjetništva ter izboljšanje</w:t>
            </w:r>
            <w:r w:rsidRPr="00422026">
              <w:rPr>
                <w:b/>
                <w:i/>
              </w:rPr>
              <w:t xml:space="preserve"> trajnosti in</w:t>
            </w:r>
            <w:r w:rsidRPr="00422026">
              <w:t xml:space="preserve"> konkurenčnosti.</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6</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(23)</w:t>
            </w:r>
            <w:r w:rsidRPr="00422026">
              <w:tab/>
              <w:t>Za usklajevanje ekonomskih politik v Uniji in euroobmočju ter zagotavljanje informacij gospodarskim subjektom znotraj enotnega trga so potrebni primerljivi podatki o razvoju na trgu dela, vključno s statistiko o stroških dela, dobičkih ter številu zasedenih in prostih delovnih mest. Poleg tega je vseživljenjsko učenje ključen element razvoja in spodbujanja kvalificirane, usposobljene in prilagojene delovne sile, posebno pozornost pa bi bilo treba nameniti poklicnemu usposabljanju v podjetjih, ki ključno prispeva k vseživljenjskemu učenju. Taki podatki se večinoma zbirajo od podjetij, v prihodnje pa bi morali biti določeni z zakonodajo in bolje povezani z drugo statistiko podjetij. Za ocenjevanje srednjeročnega razvoja gospodarstev Unije so potrebni podatki o ravni in sestavi stroškov dela ter strukturi in porazdelitvi dobičkov. Za kratkoročno spremljanje gospodarstev Unije so potrebni podatki o razvoju stroškov dela in prostih delovnih mestih, med drugim tudi za namene monetarne politike. Za spremljanje izvajanja strategije Unije za okrepljeno sodelovanje na področju poklicnega izobraževanja in usposabljanja so potrebni podatki o naložbah podjetij v nadaljevalno poklicno usposabljanje ter značilnostih in obsegu takega usposabljanja ter informacije o strategijah podjetij za poklicno usposabljanje.</w:t>
            </w:r>
          </w:p>
        </w:tc>
        <w:tc>
          <w:tcPr>
            <w:tcW w:w="4876" w:type="dxa"/>
            <w:hideMark/>
          </w:tcPr>
          <w:p w:rsidR="008B2568" w:rsidRPr="00422026" w:rsidRDefault="008B2568" w:rsidP="00F4223F">
            <w:pPr>
              <w:pStyle w:val="Normal6"/>
              <w:rPr>
                <w:szCs w:val="24"/>
              </w:rPr>
            </w:pPr>
            <w:r w:rsidRPr="00422026">
              <w:t>(23)</w:t>
            </w:r>
            <w:r w:rsidRPr="00422026">
              <w:tab/>
              <w:t xml:space="preserve">Za usklajevanje ekonomskih politik v Uniji in euroobmočju ter zagotavljanje informacij gospodarskim subjektom znotraj enotnega trga so potrebni primerljivi podatki o razvoju na trgu dela, vključno s statistiko o stroških dela, </w:t>
            </w:r>
            <w:r w:rsidRPr="00422026">
              <w:rPr>
                <w:b/>
                <w:i/>
              </w:rPr>
              <w:t xml:space="preserve">pogojih dela, </w:t>
            </w:r>
            <w:r w:rsidRPr="00422026">
              <w:t>dobičkih</w:t>
            </w:r>
            <w:r w:rsidRPr="00422026">
              <w:rPr>
                <w:b/>
                <w:i/>
              </w:rPr>
              <w:t>, razmerjem med plačami vodilnih delavcev in plačami 10 % najslabše plačanih delavcev,</w:t>
            </w:r>
            <w:r w:rsidRPr="00422026">
              <w:t xml:space="preserve"> ter številu zasedenih in prostih delovnih mest</w:t>
            </w:r>
            <w:r w:rsidRPr="00422026">
              <w:rPr>
                <w:b/>
                <w:i/>
              </w:rPr>
              <w:t>.</w:t>
            </w:r>
            <w:r w:rsidRPr="00422026">
              <w:t xml:space="preserve"> </w:t>
            </w:r>
            <w:r w:rsidRPr="00422026">
              <w:rPr>
                <w:b/>
                <w:bCs/>
                <w:i/>
              </w:rPr>
              <w:t>Skupaj z integriranim okvirom za evropsko statistiko glede oseb in gospodinjstev bodo ti podatki tudi prispevali k doseganju ciljev evropskega stebra socialnih pravic.</w:t>
            </w:r>
            <w:r w:rsidRPr="00422026">
              <w:t xml:space="preserve"> Poleg tega je vseživljenjsko učenje ključen element razvoja in spodbujanja kvalificirane, usposobljene in prilagojene delovne sile, posebno pozornost pa bi bilo treba nameniti poklicnemu usposabljanju v podjetjih, ki ključno prispeva k vseživljenjskemu učenju. Taki podatki se večinoma zbirajo od podjetij, v prihodnje pa bi morali biti določeni z zakonodajo in bolje povezani z drugo statistiko podjetij. Za ocenjevanje srednjeročnega razvoja gospodarstev Unije so potrebni podatki o ravni in sestavi stroškov dela ter strukturi in porazdelitvi dobičkov. Za kratkoročno spremljanje gospodarstev Unije so potrebni podatki o razvoju stroškov dela in prostih delovnih mestih, med drugim tudi za namene monetarne politike. Za spremljanje izvajanja strategije Unije za okrepljeno sodelovanje na področju poklicnega izobraževanja in usposabljanja so potrebni podatki o naložbah podjetij v nadaljevalno poklicno usposabljanje ter značilnostih in obsegu takega usposabljanja ter informacije o strategijah podjetij za poklicno usposabljanje.</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7</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(24)</w:t>
            </w:r>
            <w:r w:rsidRPr="00422026">
              <w:tab/>
              <w:t>Statistika o dejavnostih, povezanih z inovacijami, raziskavami in razvojem, je potrebna za razvoj in spremljanje politik, ki so namenjene okrepitvi konkurenčnosti držav članic ter povečanju njihovega srednjeročnega in dolgoročnega potenciala za pametno rast in zaposlovanje. Tudi širjenje digitalnega gospodarstva ter večja uporaba informacijskih in komunikacijskih tehnologij sta pomembna dejavnika za spodbujanje konkurenčnosti in rasti v Uniji, statistični podatki pa so potrebni za podporo povezanih strategij in politik.</w:t>
            </w:r>
          </w:p>
        </w:tc>
        <w:tc>
          <w:tcPr>
            <w:tcW w:w="4876" w:type="dxa"/>
          </w:tcPr>
          <w:p w:rsidR="008B2568" w:rsidRPr="00422026" w:rsidRDefault="008B2568" w:rsidP="00F4223F">
            <w:pPr>
              <w:pStyle w:val="Normal6"/>
              <w:rPr>
                <w:szCs w:val="24"/>
              </w:rPr>
            </w:pPr>
            <w:r w:rsidRPr="00422026">
              <w:t>(24)</w:t>
            </w:r>
            <w:r w:rsidRPr="00422026">
              <w:tab/>
              <w:t>Statistika o dejavnostih, povezanih z inovacijami, raziskavami in razvojem, je potrebna za razvoj in spremljanje politik, ki so namenjene okrepitvi konkurenčnosti držav članic ter povečanju njihovega srednjeročnega in dolgoročnega potenciala za pametno rast in zaposlovanje. Tudi širjenje digitalnega gospodarstva ter večja uporaba informacijskih in komunikacijskih tehnologij sta pomembna dejavnika za spodbujanje konkurenčnosti in rasti v Uniji, statistični podatki pa so potrebni za podporo povezanih strategij in politik</w:t>
            </w:r>
            <w:r w:rsidRPr="00422026">
              <w:rPr>
                <w:b/>
                <w:i/>
              </w:rPr>
              <w:t>, vključno z dokončanjem enotnega digitalnega trga</w:t>
            </w:r>
            <w:r w:rsidRPr="00422026">
              <w:t>.</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8</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rPr>
              <w:t>(25a)</w:t>
            </w:r>
            <w:r w:rsidRPr="00422026">
              <w:rPr>
                <w:b/>
                <w:i/>
              </w:rPr>
              <w:tab/>
              <w:t>Usklajeni statistični podatki o krožnem gospodarstvu, ki se zbirajo od podjetij, so potrebni za podpiranje politike Unije za razvoj trajnostnega, nizkoogljičnega in konkurenčnega gospodarstva, učinkovitega z viri, v državah članicah in Uniji. Izvedljivost zbiranja dodatnih informacij, potrebnih za ta namen, bi morala oceniti Komisija s pilotno študijo, preden se zakonsko uredi in bolje poveže z drugimi statistikami.</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9</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25 b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rPr>
                <w:szCs w:val="24"/>
              </w:rPr>
            </w:pPr>
            <w:r w:rsidRPr="00422026">
              <w:rPr>
                <w:b/>
                <w:i/>
              </w:rPr>
              <w:t>(25b)</w:t>
            </w:r>
            <w:r w:rsidRPr="00422026">
              <w:rPr>
                <w:b/>
                <w:i/>
              </w:rPr>
              <w:tab/>
              <w:t xml:space="preserve">Da bi ustrezno upoštevali vse širšo uporabo inovativnih tehnologij in čim bolj </w:t>
            </w:r>
            <w:r w:rsidRPr="00422026">
              <w:rPr>
                <w:b/>
                <w:i/>
              </w:rPr>
              <w:lastRenderedPageBreak/>
              <w:t>zmanjšali morebitne negativne učinke na podjetja, bi morali odgovorni nacionalni statistični organi zagotoviti uporabo teh tehnologij in bi jih bilo treba spodbujati k izvajanju inovativnih pristopov.</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10</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(26)</w:t>
            </w:r>
            <w:r w:rsidRPr="00422026">
              <w:tab/>
              <w:t>Komisija (Eurostat) in Evropska centralna banka sta v tesnem sodelovanju opredelili statistiko o mednarodni trgovini s storitvami, ki je potrebna za pripravo plačilne bilance Unije in euroobmočja.</w:t>
            </w:r>
          </w:p>
        </w:tc>
        <w:tc>
          <w:tcPr>
            <w:tcW w:w="4876" w:type="dxa"/>
            <w:hideMark/>
          </w:tcPr>
          <w:p w:rsidR="008B2568" w:rsidRPr="00422026" w:rsidRDefault="008B2568" w:rsidP="00F4223F">
            <w:pPr>
              <w:pStyle w:val="Normal6"/>
              <w:rPr>
                <w:szCs w:val="24"/>
              </w:rPr>
            </w:pPr>
            <w:r w:rsidRPr="00422026">
              <w:t>(26)</w:t>
            </w:r>
            <w:r w:rsidRPr="00422026">
              <w:tab/>
              <w:t xml:space="preserve">Komisija (Eurostat) in Evropska centralna banka sta v tesnem sodelovanju opredelili statistiko o mednarodni trgovini s storitvami, ki je potrebna za pripravo plačilne bilance Unije in euroobmočja. </w:t>
            </w:r>
            <w:r w:rsidRPr="00422026">
              <w:rPr>
                <w:b/>
                <w:i/>
              </w:rPr>
              <w:t>Komisija bi morala prednostno začeti izvajati pilotno študijo, ki bo pokrivala načine opravljanja mednarodne trgovine s storitvami in mednarodne trgovine s storitvami po značilnostih podjetij.</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28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(28)</w:t>
            </w:r>
            <w:r w:rsidRPr="00422026">
              <w:tab/>
              <w:t>Zahteve po podatkih bi morale čim bolj upoštevati ukrepe za poenostavitev, s katerimi se v skladu z načelom sorazmernosti olajša breme za podjetja držav članic, ki so razmeroma majhna, pri čemer je treba upoštevati tudi načelo zagotavljanja statistike podjetij o celotnem gospodarstvu.</w:t>
            </w:r>
          </w:p>
        </w:tc>
        <w:tc>
          <w:tcPr>
            <w:tcW w:w="4876" w:type="dxa"/>
          </w:tcPr>
          <w:p w:rsidR="008B2568" w:rsidRPr="00422026" w:rsidRDefault="008B2568" w:rsidP="00F4223F">
            <w:pPr>
              <w:pStyle w:val="Normal6"/>
              <w:rPr>
                <w:szCs w:val="24"/>
              </w:rPr>
            </w:pPr>
            <w:r w:rsidRPr="00422026">
              <w:t>(28)</w:t>
            </w:r>
            <w:r w:rsidRPr="00422026">
              <w:tab/>
              <w:t xml:space="preserve">Zahteve po podatkih bi morale čim bolj upoštevati ukrepe za poenostavitev, s katerimi se v skladu z načelom sorazmernosti olajša breme za podjetja držav članic, ki so razmeroma majhna, pri čemer je treba upoštevati tudi načelo zagotavljanja statistike podjetij o celotnem gospodarstvu. </w:t>
            </w:r>
            <w:r w:rsidRPr="00422026">
              <w:rPr>
                <w:b/>
                <w:i/>
              </w:rPr>
              <w:t>Dodatne zahteve za respondente ne bi smele predstavljati nesorazmernega upravnega bremena.</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12</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(30)</w:t>
            </w:r>
            <w:r w:rsidRPr="00422026">
              <w:tab/>
              <w:t xml:space="preserve">Za upoštevanje gospodarskega in tehničnega razvoja bi bilo treba v skladu s členom 290 Pogodbe na Komisijo prenesti pooblastilo za sprejetje aktov o podvsebinah, določenih v prilogah I in II, in stopnji zajetja za izvoz blaga znotraj Unije. Komisija bi morala biti pooblaščena tudi za dopolnitev vsebin s temami in značilnostmi za dinamično statistiko podjetij o IKT, inovacijah in globalnih vrednostnih verigah, </w:t>
            </w:r>
            <w:r w:rsidRPr="00422026">
              <w:rPr>
                <w:b/>
                <w:i/>
              </w:rPr>
              <w:t>točne informacije pa</w:t>
            </w:r>
            <w:r w:rsidRPr="00422026">
              <w:t xml:space="preserve"> zagotovijo </w:t>
            </w:r>
            <w:r w:rsidRPr="00422026">
              <w:rPr>
                <w:b/>
                <w:i/>
              </w:rPr>
              <w:t>davčni</w:t>
            </w:r>
            <w:r w:rsidRPr="00422026">
              <w:t xml:space="preserve"> in </w:t>
            </w:r>
            <w:r w:rsidRPr="00422026">
              <w:rPr>
                <w:b/>
                <w:i/>
              </w:rPr>
              <w:t>carinski organi</w:t>
            </w:r>
            <w:r w:rsidRPr="00422026">
              <w:t>. Zlasti je pomembno, da se Komisija pri svojem pripravljalnem delu ustrezno posvetuje, vključno na ravni strokovnjakov, in da se ta posvetovanja izvedejo v skladu z načeli, določenimi v Medinstitucionalnem sporazumu o boljši pripravi zakonodaje z dne 13. aprila 2016</w:t>
            </w:r>
            <w:r w:rsidRPr="00422026">
              <w:rPr>
                <w:vertAlign w:val="superscript"/>
              </w:rPr>
              <w:t>1</w:t>
            </w:r>
            <w:r w:rsidRPr="00422026">
              <w:t xml:space="preserve"> . Zlasti morata Evropski parlament in Svet zaradi zagotovitve enake udeležbe v pripravi delegiranih aktov vse dokumente prejeti istočasno kot strokovnjaki držav članic, njuni strokovnjaki pa morajo imeti sistematičen dostop do srečanj strokovnih skupin Komisije, ki obravnavajo pripravo delegiranih aktov.</w:t>
            </w:r>
          </w:p>
        </w:tc>
        <w:tc>
          <w:tcPr>
            <w:tcW w:w="4876" w:type="dxa"/>
            <w:hideMark/>
          </w:tcPr>
          <w:p w:rsidR="008B2568" w:rsidRPr="00422026" w:rsidRDefault="008B2568" w:rsidP="00F4223F">
            <w:pPr>
              <w:pStyle w:val="Normal6"/>
              <w:rPr>
                <w:szCs w:val="24"/>
              </w:rPr>
            </w:pPr>
            <w:r w:rsidRPr="00422026">
              <w:t>(30)</w:t>
            </w:r>
            <w:r w:rsidRPr="00422026">
              <w:tab/>
              <w:t xml:space="preserve">Za upoštevanje gospodarskega in tehničnega razvoja bi bilo treba v skladu s členom 290 Pogodbe na Komisijo prenesti pooblastilo za sprejetje aktov o podvsebinah, določenih v prilogah I in II, in stopnji zajetja za izvoz blaga znotraj Unije. Komisija bi morala biti pooblaščena tudi za dopolnitev vsebin s temami in značilnostmi za dinamično statistiko podjetij o IKT, inovacijah in globalnih vrednostnih verigah, </w:t>
            </w:r>
            <w:r w:rsidRPr="00422026">
              <w:rPr>
                <w:b/>
                <w:i/>
              </w:rPr>
              <w:t>za dopolnitev podvsebin v registru z opisnimi podrobnostmi, dopolnitev statističnih podatkovnih elementov za mikropodatke, zbrane z raziskovanji o blagovni menjavi znotraj Unije, ki se</w:t>
            </w:r>
            <w:r w:rsidRPr="00422026">
              <w:t xml:space="preserve"> zagotovijo </w:t>
            </w:r>
            <w:r w:rsidRPr="00422026">
              <w:rPr>
                <w:b/>
                <w:i/>
              </w:rPr>
              <w:t>državi članici uvoza,</w:t>
            </w:r>
            <w:r w:rsidRPr="00422026">
              <w:t xml:space="preserve"> in </w:t>
            </w:r>
            <w:r w:rsidRPr="00422026">
              <w:rPr>
                <w:b/>
                <w:i/>
              </w:rPr>
              <w:t>za dopolnitev točnih informacij, ki se zagotovijo davčnim in carinskim organom</w:t>
            </w:r>
            <w:r w:rsidRPr="00422026">
              <w:t>. Zlasti je pomembno, da se Komisija pri svojem pripravljalnem delu ustrezno posvetuje, vključno na ravni strokovnjakov, in da se ta posvetovanja izvedejo v skladu z načeli, določenimi v Medinstitucionalnem sporazumu o boljši pripravi zakonodaje z dne 13. aprila 2016</w:t>
            </w:r>
            <w:r w:rsidRPr="00422026">
              <w:rPr>
                <w:vertAlign w:val="superscript"/>
              </w:rPr>
              <w:t>1</w:t>
            </w:r>
            <w:r w:rsidRPr="00422026">
              <w:t xml:space="preserve"> . Zlasti morata Evropski parlament in Svet zaradi zagotovitve enake udeležbe v pripravi delegiranih aktov vse dokumente prejeti istočasno kot strokovnjaki držav članic, njuni strokovnjaki pa morajo imeti sistematičen dostop do srečanj strokovnih skupin Komisije, ki obravnavajo pripravo delegiranih aktov.</w:t>
            </w:r>
          </w:p>
        </w:tc>
      </w:tr>
      <w:tr w:rsidR="008B2568" w:rsidRPr="00422026" w:rsidTr="00F4223F">
        <w:trPr>
          <w:jc w:val="center"/>
        </w:trPr>
        <w:tc>
          <w:tcPr>
            <w:tcW w:w="4876" w:type="dxa"/>
          </w:tcPr>
          <w:p w:rsidR="008B2568" w:rsidRPr="00422026" w:rsidRDefault="008B2568" w:rsidP="00F4223F">
            <w:pPr>
              <w:pStyle w:val="Normal6"/>
            </w:pPr>
            <w:r w:rsidRPr="00422026">
              <w:t>__________________</w:t>
            </w:r>
          </w:p>
        </w:tc>
        <w:tc>
          <w:tcPr>
            <w:tcW w:w="4876" w:type="dxa"/>
          </w:tcPr>
          <w:p w:rsidR="008B2568" w:rsidRPr="00422026" w:rsidRDefault="008B2568" w:rsidP="00F4223F">
            <w:pPr>
              <w:pStyle w:val="Normal6"/>
            </w:pPr>
            <w:r w:rsidRPr="00422026">
              <w:t>__________________</w:t>
            </w:r>
          </w:p>
        </w:tc>
      </w:tr>
      <w:tr w:rsidR="008B2568" w:rsidRPr="00422026" w:rsidTr="00F4223F">
        <w:trPr>
          <w:jc w:val="center"/>
        </w:trPr>
        <w:tc>
          <w:tcPr>
            <w:tcW w:w="4876" w:type="dxa"/>
          </w:tcPr>
          <w:p w:rsidR="008B2568" w:rsidRPr="00422026" w:rsidRDefault="008B2568" w:rsidP="00F4223F">
            <w:pPr>
              <w:pStyle w:val="Normal6"/>
            </w:pPr>
            <w:r w:rsidRPr="00422026">
              <w:rPr>
                <w:rStyle w:val="FootnoteReference"/>
                <w:rFonts w:eastAsia="Calibri"/>
              </w:rPr>
              <w:footnoteRef/>
            </w:r>
            <w:r w:rsidRPr="00422026">
              <w:tab/>
              <w:t>UL L 123, 12.5.2016, str. 1.</w:t>
            </w:r>
          </w:p>
        </w:tc>
        <w:tc>
          <w:tcPr>
            <w:tcW w:w="4876" w:type="dxa"/>
          </w:tcPr>
          <w:p w:rsidR="008B2568" w:rsidRPr="00422026" w:rsidRDefault="008B2568" w:rsidP="00F4223F">
            <w:pPr>
              <w:pStyle w:val="Normal6"/>
            </w:pPr>
            <w:r w:rsidRPr="00422026">
              <w:rPr>
                <w:rStyle w:val="FootnoteReference"/>
                <w:rFonts w:eastAsia="Calibri"/>
              </w:rPr>
              <w:footnoteRef/>
            </w:r>
            <w:r w:rsidRPr="00422026">
              <w:tab/>
              <w:t>UL L 123, 12.5.2016, str. 1.</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(31)</w:t>
            </w:r>
            <w:r w:rsidRPr="00422026">
              <w:tab/>
              <w:t xml:space="preserve">Da se zagotovijo enotni pogoji, bi bilo treba na Komisijo prenesti izvedbena </w:t>
            </w:r>
            <w:r w:rsidRPr="00422026">
              <w:lastRenderedPageBreak/>
              <w:t xml:space="preserve">pooblastila za tehnično izvajanje nekaterih elementov zahtev, vključno za poslovne registre, določitev enotne oblike ter enotnih ukrepov za varnost in zaupnost ter enotnega postopka za izmenjavo zaupnih podatkov za namene evropske mreže statističnih poslovnih registrov, prenos podatkov in metapodatkov, pripravo poročil o kakovosti podatkov in metapodatkih ter za odobritev odstopanj. Z enakim namenom bi bilo treba na Komisijo prenesti izvedbena pooblastila za metode ter ukrepe v zvezi z obliko, varnostjo in zaupnostjo ter postopek za izmenjavo zaupnih podatkov za namen statistike o blagovni menjavi znotraj Unije, specifikacije ustreznih metapodatkov, časovni načrt, načine zbiranja podatkov in priprave statistike o izvozu blaga znotraj Unije, ki se zagotovijo državi članici uvoza, načine uporabe stopnje zajetja vsega izvoza blaga znotraj Unije, statistične podatkovne elemente za mikropodatke, zbrane z raziskovanjem blagovne menjave znotraj Unije, ki se zagotovijo državi članici uvoza, in </w:t>
            </w:r>
            <w:r w:rsidRPr="00422026">
              <w:rPr>
                <w:b/>
                <w:i/>
              </w:rPr>
              <w:t>povezane poenostavitve</w:t>
            </w:r>
            <w:r w:rsidRPr="00422026">
              <w:t>. Ta pooblastila bi bilo treba izvajati v skladu z Uredbo (EU) št. 182/2011 Evropskega parlamenta in Sveta</w:t>
            </w:r>
            <w:r w:rsidRPr="00422026">
              <w:rPr>
                <w:szCs w:val="24"/>
                <w:vertAlign w:val="superscript"/>
              </w:rPr>
              <w:t>1</w:t>
            </w:r>
            <w:r w:rsidRPr="00422026">
              <w:t xml:space="preserve"> .</w:t>
            </w:r>
            <w:r w:rsidRPr="00422026">
              <w:rPr>
                <w:szCs w:val="24"/>
              </w:rPr>
              <w:t xml:space="preserve"> </w:t>
            </w:r>
          </w:p>
        </w:tc>
        <w:tc>
          <w:tcPr>
            <w:tcW w:w="4876" w:type="dxa"/>
            <w:hideMark/>
          </w:tcPr>
          <w:p w:rsidR="008B2568" w:rsidRPr="00422026" w:rsidRDefault="008B2568" w:rsidP="00F4223F">
            <w:pPr>
              <w:pStyle w:val="Normal6"/>
              <w:rPr>
                <w:szCs w:val="24"/>
              </w:rPr>
            </w:pPr>
            <w:r w:rsidRPr="00422026">
              <w:rPr>
                <w:szCs w:val="24"/>
              </w:rPr>
              <w:lastRenderedPageBreak/>
              <w:t>(31)</w:t>
            </w:r>
            <w:r w:rsidRPr="00422026">
              <w:tab/>
            </w:r>
            <w:r w:rsidRPr="00422026">
              <w:rPr>
                <w:szCs w:val="24"/>
              </w:rPr>
              <w:t xml:space="preserve">Da se zagotovijo enotni pogoji, bi bilo treba na Komisijo prenesti izvedbena </w:t>
            </w:r>
            <w:r w:rsidRPr="00422026">
              <w:rPr>
                <w:szCs w:val="24"/>
              </w:rPr>
              <w:lastRenderedPageBreak/>
              <w:t xml:space="preserve">pooblastila za tehnično izvajanje nekaterih elementov zahtev, vključno za poslovne registre, določitev enotne oblike ter enotnih ukrepov za varnost in zaupnost ter enotnega postopka za izmenjavo zaupnih podatkov za namene evropske mreže statističnih poslovnih registrov, prenos podatkov in metapodatkov, pripravo poročil o kakovosti podatkov in metapodatkih ter za odobritev odstopanj. Z enakim namenom bi bilo treba na Komisijo prenesti izvedbena pooblastila za metode ter ukrepe v zvezi z obliko, varnostjo in zaupnostjo ter postopek za izmenjavo zaupnih podatkov za namen statistike o blagovni menjavi znotraj Unije, specifikacije ustreznih metapodatkov, časovni načrt, načine zbiranja podatkov in priprave statistike o izvozu blaga znotraj Unije, ki se zagotovijo državi članici uvoza, načine uporabe stopnje zajetja vsega izvoza blaga znotraj Unije, statistične podatkovne elemente za mikropodatke, zbrane z raziskovanjem blagovne menjave znotraj Unije, ki se zagotovijo državi članici uvoza, in </w:t>
            </w:r>
            <w:r w:rsidRPr="00422026">
              <w:rPr>
                <w:b/>
                <w:i/>
                <w:szCs w:val="24"/>
              </w:rPr>
              <w:t>podrobno ureditev za poenostavitev statističnih podatkovnih elementov za mikropodatke, zbrane z raziskovanji o blagovni menjavi znotraj Unije, ki se zagotovijo državi članici uvoza</w:t>
            </w:r>
            <w:r w:rsidRPr="00422026">
              <w:rPr>
                <w:szCs w:val="24"/>
              </w:rPr>
              <w:t>. Ta pooblastila bi bilo treba izvajati v skladu z Uredbo (EU) št. 182/2011 Evropskega parlamenta in Sveta</w:t>
            </w:r>
            <w:r w:rsidRPr="00422026">
              <w:rPr>
                <w:szCs w:val="24"/>
                <w:vertAlign w:val="superscript"/>
              </w:rPr>
              <w:t>1</w:t>
            </w:r>
            <w:r w:rsidRPr="00422026">
              <w:rPr>
                <w:szCs w:val="24"/>
              </w:rPr>
              <w:t xml:space="preserve"> .</w:t>
            </w:r>
          </w:p>
        </w:tc>
      </w:tr>
      <w:tr w:rsidR="008B2568" w:rsidRPr="00422026" w:rsidTr="00F4223F">
        <w:trPr>
          <w:jc w:val="center"/>
        </w:trPr>
        <w:tc>
          <w:tcPr>
            <w:tcW w:w="4876" w:type="dxa"/>
          </w:tcPr>
          <w:p w:rsidR="008B2568" w:rsidRPr="00422026" w:rsidRDefault="008B2568" w:rsidP="00F4223F">
            <w:pPr>
              <w:pStyle w:val="Normal6"/>
            </w:pPr>
            <w:r w:rsidRPr="00422026">
              <w:lastRenderedPageBreak/>
              <w:t>__________________</w:t>
            </w:r>
          </w:p>
        </w:tc>
        <w:tc>
          <w:tcPr>
            <w:tcW w:w="4876" w:type="dxa"/>
          </w:tcPr>
          <w:p w:rsidR="008B2568" w:rsidRPr="00422026" w:rsidRDefault="008B2568" w:rsidP="00F4223F">
            <w:pPr>
              <w:pStyle w:val="Normal6"/>
              <w:rPr>
                <w:szCs w:val="24"/>
              </w:rPr>
            </w:pPr>
            <w:r w:rsidRPr="00422026">
              <w:t>__________________</w:t>
            </w:r>
          </w:p>
        </w:tc>
      </w:tr>
      <w:tr w:rsidR="008B2568" w:rsidRPr="00422026" w:rsidTr="00F4223F">
        <w:trPr>
          <w:jc w:val="center"/>
        </w:trPr>
        <w:tc>
          <w:tcPr>
            <w:tcW w:w="4876" w:type="dxa"/>
          </w:tcPr>
          <w:p w:rsidR="008B2568" w:rsidRPr="00422026" w:rsidRDefault="008B2568" w:rsidP="00F4223F">
            <w:pPr>
              <w:pStyle w:val="Normal6"/>
            </w:pPr>
            <w:r w:rsidRPr="00422026">
              <w:rPr>
                <w:rStyle w:val="FootnoteReference"/>
                <w:rFonts w:eastAsia="Calibri"/>
              </w:rPr>
              <w:footnoteRef/>
            </w:r>
            <w:r w:rsidRPr="00422026">
              <w:tab/>
              <w:t>Uredba (EU) št. 182/2011 Evropskega parlamenta in Sveta z dne 16. februarja 2011 o določitvi splošnih pravil in načel, na podlagi katerih države članice nadzirajo izvajanje izvedbenih pooblastil Komisije (UL L 55, 28.2.2011, str. 13).</w:t>
            </w:r>
          </w:p>
        </w:tc>
        <w:tc>
          <w:tcPr>
            <w:tcW w:w="4876" w:type="dxa"/>
          </w:tcPr>
          <w:p w:rsidR="008B2568" w:rsidRPr="00422026" w:rsidRDefault="008B2568" w:rsidP="00F4223F">
            <w:pPr>
              <w:pStyle w:val="Normal6"/>
              <w:rPr>
                <w:szCs w:val="24"/>
              </w:rPr>
            </w:pPr>
            <w:r w:rsidRPr="00422026">
              <w:rPr>
                <w:rStyle w:val="FootnoteReference"/>
                <w:rFonts w:eastAsia="Calibri"/>
              </w:rPr>
              <w:footnoteRef/>
            </w:r>
            <w:r w:rsidRPr="00422026">
              <w:tab/>
              <w:t>Uredba (EU) št. 182/2011 Evropskega parlamenta in Sveta z dne 16. februarja 2011 o določitvi splošnih pravil in načel, na podlagi katerih države članice nadzirajo izvajanje izvedbenih pooblastil Komisije (UL L 55, 28.2.2011, str. 13).</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14</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Uvodna izjava 32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(32)</w:t>
            </w:r>
            <w:r w:rsidRPr="00422026">
              <w:tab/>
              <w:t>Komisija bi morala po potrebi opraviti analizo stroškov in koristi ter zagotoviti, da noben predlagani ukrep ne bo nalagal znatnega dodatnega bremena državam članicam ali respondentom, pri čemer upošteva pričakovane koristi za uporabnike.</w:t>
            </w:r>
          </w:p>
        </w:tc>
        <w:tc>
          <w:tcPr>
            <w:tcW w:w="4876" w:type="dxa"/>
          </w:tcPr>
          <w:p w:rsidR="008B2568" w:rsidRPr="00422026" w:rsidRDefault="008B2568" w:rsidP="00F4223F">
            <w:pPr>
              <w:pStyle w:val="Normal6"/>
              <w:rPr>
                <w:szCs w:val="24"/>
              </w:rPr>
            </w:pPr>
            <w:r w:rsidRPr="00422026">
              <w:t>(32)</w:t>
            </w:r>
            <w:r w:rsidRPr="00422026">
              <w:tab/>
              <w:t xml:space="preserve">Komisija bi morala po potrebi opraviti analizo stroškov in koristi ter zagotoviti, da noben predlagani ukrep ne bo nalagal znatnega dodatnega bremena državam članicam ali respondentom, </w:t>
            </w:r>
            <w:r w:rsidRPr="00422026">
              <w:rPr>
                <w:b/>
                <w:i/>
              </w:rPr>
              <w:t xml:space="preserve">zlasti malim in srednjim podjetjem, </w:t>
            </w:r>
            <w:r w:rsidRPr="00422026">
              <w:t>pri čemer upošteva pričakovane koristi za uporabnike</w:t>
            </w:r>
            <w:r w:rsidRPr="00422026">
              <w:rPr>
                <w:b/>
                <w:i/>
              </w:rPr>
              <w:t>, in da bo izboljšal kakovost statistike</w:t>
            </w:r>
            <w:r w:rsidRPr="00422026">
              <w:t>.</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15</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 – odstavek 1 – točka o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rPr>
                <w:szCs w:val="24"/>
              </w:rPr>
            </w:pPr>
            <w:r w:rsidRPr="00422026">
              <w:rPr>
                <w:b/>
                <w:i/>
              </w:rPr>
              <w:t>(oa)</w:t>
            </w:r>
            <w:r w:rsidRPr="00422026">
              <w:rPr>
                <w:b/>
                <w:i/>
              </w:rPr>
              <w:tab/>
              <w:t>„uspešnost“ pomeni vse ustrezne kazalnike za oceno gospodarskih, socialnih in okoljskih razsežnosti, ki se nanašajo na delovanje in rezultate podjetij;</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16</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3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w:t>
            </w:r>
            <w:r w:rsidRPr="00422026">
              <w:tab/>
              <w:t>Evropska mreža statističnih poslovnih registrov zajema nacionalne poslovne registre in register EuroGroups</w:t>
            </w:r>
            <w:r w:rsidRPr="00422026">
              <w:rPr>
                <w:b/>
                <w:i/>
              </w:rPr>
              <w:t>, kot</w:t>
            </w:r>
            <w:r w:rsidRPr="00422026">
              <w:t xml:space="preserve"> tudi izmenjave med njimi.</w:t>
            </w:r>
          </w:p>
        </w:tc>
        <w:tc>
          <w:tcPr>
            <w:tcW w:w="4876" w:type="dxa"/>
            <w:hideMark/>
          </w:tcPr>
          <w:p w:rsidR="008B2568" w:rsidRPr="00422026" w:rsidRDefault="008B2568" w:rsidP="00F4223F">
            <w:pPr>
              <w:pStyle w:val="Normal6"/>
              <w:rPr>
                <w:szCs w:val="24"/>
              </w:rPr>
            </w:pPr>
            <w:r w:rsidRPr="00422026">
              <w:t>2.</w:t>
            </w:r>
            <w:r w:rsidRPr="00422026">
              <w:tab/>
              <w:t xml:space="preserve">Evropska mreža statističnih poslovnih registrov zajema nacionalne </w:t>
            </w:r>
            <w:r w:rsidRPr="00422026">
              <w:rPr>
                <w:b/>
                <w:i/>
              </w:rPr>
              <w:t xml:space="preserve">statistične </w:t>
            </w:r>
            <w:r w:rsidRPr="00422026">
              <w:t>poslovne registre in register EuroGroups</w:t>
            </w:r>
            <w:r w:rsidRPr="00422026">
              <w:rPr>
                <w:b/>
                <w:i/>
              </w:rPr>
              <w:t xml:space="preserve"> ter</w:t>
            </w:r>
            <w:r w:rsidRPr="00422026">
              <w:t xml:space="preserve"> tudi izmenjave med njimi</w:t>
            </w:r>
            <w:r w:rsidRPr="00422026">
              <w:rPr>
                <w:b/>
                <w:i/>
              </w:rPr>
              <w:t xml:space="preserve"> v skladu s členom 10</w:t>
            </w:r>
            <w:r w:rsidRPr="00422026">
              <w:t>.</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17</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4 – odstavek 1 – uvodni del</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1.</w:t>
            </w:r>
            <w:r w:rsidRPr="00422026">
              <w:tab/>
              <w:t>Države članice pripravijo statistiko iz členov 6 in 7 ter nacionalne statistične poslovne registre iz člena 9, pri čemer uporabijo vse relevantne podatkovne vire in se izogibajo prekomerni obremenitvi respondentov ter ustrezno upoštevajo stroškovno učinkovitost nacionalnih statističnih organov. Nacionalni statistični organi lahko za pripravo statistike in nacionalnih statističnih poslovnih registrov, ki se zahtevajo s to uredbo, uporabijo naslednje podatkovne vire:</w:t>
            </w:r>
          </w:p>
        </w:tc>
        <w:tc>
          <w:tcPr>
            <w:tcW w:w="4876" w:type="dxa"/>
            <w:hideMark/>
          </w:tcPr>
          <w:p w:rsidR="008B2568" w:rsidRPr="00422026" w:rsidRDefault="008B2568" w:rsidP="00F4223F">
            <w:pPr>
              <w:pStyle w:val="Normal6"/>
              <w:rPr>
                <w:szCs w:val="24"/>
              </w:rPr>
            </w:pPr>
            <w:r w:rsidRPr="00422026">
              <w:t>1.</w:t>
            </w:r>
            <w:r w:rsidRPr="00422026">
              <w:tab/>
              <w:t xml:space="preserve">Države članice pripravijo statistiko iz členov 6 in 7 ter nacionalne statistične poslovne registre iz člena 9, pri čemer uporabijo vse relevantne </w:t>
            </w:r>
            <w:r w:rsidRPr="00422026">
              <w:rPr>
                <w:b/>
                <w:i/>
              </w:rPr>
              <w:t xml:space="preserve">in zanesljive </w:t>
            </w:r>
            <w:r w:rsidRPr="00422026">
              <w:t>podatkovne vire in se izogibajo prekomerni obremenitvi respondentov ter ustrezno upoštevajo stroškovno učinkovitost nacionalnih statističnih organov. Nacionalni statistični organi lahko za pripravo statistike in nacionalnih statističnih poslovnih registrov, ki se zahtevajo s to uredbo, uporabijo naslednje podatkovne vire:</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18</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4 – odstavek 1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(b)</w:t>
            </w:r>
            <w:r w:rsidRPr="00422026">
              <w:tab/>
              <w:t>upravne evidence, vključno z informacijami davčnih in carinskih organov;</w:t>
            </w:r>
          </w:p>
        </w:tc>
        <w:tc>
          <w:tcPr>
            <w:tcW w:w="4876" w:type="dxa"/>
            <w:hideMark/>
          </w:tcPr>
          <w:p w:rsidR="008B2568" w:rsidRPr="00422026" w:rsidRDefault="008B2568" w:rsidP="00F4223F">
            <w:pPr>
              <w:pStyle w:val="Normal6"/>
              <w:rPr>
                <w:szCs w:val="24"/>
              </w:rPr>
            </w:pPr>
            <w:r w:rsidRPr="00422026">
              <w:t>(b)</w:t>
            </w:r>
            <w:r w:rsidRPr="00422026">
              <w:tab/>
              <w:t>upravne evidence, vključno z informacijami davčnih in carinskih organov</w:t>
            </w:r>
            <w:r w:rsidRPr="00422026">
              <w:rPr>
                <w:b/>
                <w:i/>
              </w:rPr>
              <w:t>, kot so letni računovodski izkazi</w:t>
            </w:r>
            <w:r w:rsidRPr="00422026">
              <w:t>;</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19</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4 – odstavek 1 – točka da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rPr>
              <w:t>(da)</w:t>
            </w:r>
            <w:r w:rsidRPr="00422026">
              <w:rPr>
                <w:b/>
                <w:i/>
              </w:rPr>
              <w:tab/>
              <w:t>znanstveno podprte in dobro dokumentirane statistične metode ocenjevanja, imputacije in modeliranja.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20</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4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rPr>
                <w:b/>
                <w:i/>
              </w:rPr>
              <w:t>2.</w:t>
            </w:r>
            <w:r w:rsidRPr="00422026">
              <w:rPr>
                <w:b/>
                <w:i/>
              </w:rPr>
              <w:tab/>
              <w:t>Če potrebne statistike ni mogoče pripraviti s podatkovnimi viri iz odstavka 1, ki izpolnjujejo merila kakovosti iz člena 16, lahko države članice za pripravo navedene statistike uporabijo znanstveno podprte in dobro dokumentirane statistične ocene in metode imputacije.</w:t>
            </w:r>
          </w:p>
        </w:tc>
        <w:tc>
          <w:tcPr>
            <w:tcW w:w="4876" w:type="dxa"/>
            <w:hideMark/>
          </w:tcPr>
          <w:p w:rsidR="008B2568" w:rsidRPr="00422026" w:rsidRDefault="008B2568" w:rsidP="00F4223F">
            <w:pPr>
              <w:pStyle w:val="Normal6"/>
              <w:rPr>
                <w:szCs w:val="24"/>
              </w:rPr>
            </w:pPr>
            <w:r w:rsidRPr="00422026">
              <w:rPr>
                <w:b/>
                <w:i/>
              </w:rPr>
              <w:t>črtano</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5 – odstavek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4.</w:t>
            </w:r>
            <w:r w:rsidRPr="00422026">
              <w:tab/>
              <w:t xml:space="preserve">Za pripravo statistike o mednarodni blagovni menjavi in izboljšanje njene kakovosti si </w:t>
            </w:r>
            <w:r w:rsidRPr="00422026">
              <w:rPr>
                <w:b/>
                <w:i/>
              </w:rPr>
              <w:t>lahko</w:t>
            </w:r>
            <w:r w:rsidRPr="00422026">
              <w:t xml:space="preserve"> nacionalni statistični organi zadevnih držav članic izmenjajo podatke, ki jih prejmejo od svojih carinskih organov v zvezi z izvozom ali uvozom blaga</w:t>
            </w:r>
            <w:r w:rsidRPr="00422026">
              <w:rPr>
                <w:b/>
                <w:i/>
              </w:rPr>
              <w:t>, zlasti če so pri izvozu ali uvozu udeleženi carinski organi več kot ene države članice</w:t>
            </w:r>
            <w:r w:rsidRPr="00422026">
              <w:t>.</w:t>
            </w:r>
          </w:p>
        </w:tc>
        <w:tc>
          <w:tcPr>
            <w:tcW w:w="4876" w:type="dxa"/>
          </w:tcPr>
          <w:p w:rsidR="008B2568" w:rsidRPr="00422026" w:rsidRDefault="008B2568" w:rsidP="00F4223F">
            <w:pPr>
              <w:pStyle w:val="Normal6"/>
              <w:rPr>
                <w:szCs w:val="24"/>
              </w:rPr>
            </w:pPr>
            <w:r w:rsidRPr="00422026">
              <w:t>4.</w:t>
            </w:r>
            <w:r w:rsidRPr="00422026">
              <w:tab/>
              <w:t>Za pripravo statistike o mednarodni blagovni menjavi in izboljšanje njene kakovosti si nacionalni statistični organi zadevnih držav članic izmenjajo podatke, ki jih prejmejo od svojih carinskih organov v zvezi z izvozom ali uvozom blaga.</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22</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6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4.</w:t>
            </w:r>
            <w:r w:rsidRPr="00422026">
              <w:tab/>
              <w:t xml:space="preserve">Na Komisijo se prenese pooblastilo za </w:t>
            </w:r>
            <w:r w:rsidRPr="00422026">
              <w:rPr>
                <w:b/>
                <w:i/>
              </w:rPr>
              <w:t>sprejetje</w:t>
            </w:r>
            <w:r w:rsidRPr="00422026">
              <w:t xml:space="preserve"> delegiranih aktov v skladu s členom 21, s katerimi se spremenijo podvsebine, določene v Prilogi I, ter </w:t>
            </w:r>
            <w:r w:rsidRPr="00422026">
              <w:rPr>
                <w:b/>
                <w:i/>
              </w:rPr>
              <w:t>določijo</w:t>
            </w:r>
            <w:r w:rsidRPr="00422026">
              <w:t xml:space="preserve"> področja in značilnosti, ki jih zajemajo podvsebine inovacije, uporaba IKT in e-trgovanje ter globalne vrednostne verige.</w:t>
            </w:r>
          </w:p>
        </w:tc>
        <w:tc>
          <w:tcPr>
            <w:tcW w:w="4876" w:type="dxa"/>
            <w:hideMark/>
          </w:tcPr>
          <w:p w:rsidR="008B2568" w:rsidRPr="00422026" w:rsidRDefault="008B2568" w:rsidP="00F4223F">
            <w:pPr>
              <w:pStyle w:val="Normal6"/>
              <w:rPr>
                <w:szCs w:val="24"/>
              </w:rPr>
            </w:pPr>
            <w:r w:rsidRPr="00422026">
              <w:t>4.</w:t>
            </w:r>
            <w:r w:rsidRPr="00422026">
              <w:tab/>
              <w:t xml:space="preserve">Na Komisijo se prenese pooblastilo za </w:t>
            </w:r>
            <w:r w:rsidRPr="00422026">
              <w:rPr>
                <w:b/>
                <w:i/>
              </w:rPr>
              <w:t>sprejemanje</w:t>
            </w:r>
            <w:r w:rsidRPr="00422026">
              <w:t xml:space="preserve"> delegiranih aktov v skladu s členom 21, s katerimi se spremenijo podvsebine, določene v Prilogi I, ter </w:t>
            </w:r>
            <w:r w:rsidRPr="00422026">
              <w:rPr>
                <w:b/>
                <w:i/>
              </w:rPr>
              <w:t>dopolnijo</w:t>
            </w:r>
            <w:r w:rsidRPr="00422026">
              <w:t xml:space="preserve"> področja in značilnosti, ki jih zajemajo podvsebine inovacije, uporaba</w:t>
            </w:r>
            <w:r w:rsidRPr="00422026">
              <w:rPr>
                <w:b/>
                <w:i/>
              </w:rPr>
              <w:t xml:space="preserve"> IKT in e-trgovanje ter globalne vrednostne verige, in dopolnijo spremenljivke za vse podvsebine, razen za inovacije in uporabo</w:t>
            </w:r>
            <w:r w:rsidRPr="00422026">
              <w:t xml:space="preserve"> IKT in e-trgovanje ter globalne vrednostne verige.</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6 – odstavek 5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(b)</w:t>
            </w:r>
            <w:r w:rsidRPr="00422026">
              <w:tab/>
            </w:r>
            <w:r w:rsidRPr="00422026">
              <w:rPr>
                <w:b/>
                <w:i/>
              </w:rPr>
              <w:t>z obstoječim delegiranim aktom</w:t>
            </w:r>
            <w:r w:rsidRPr="00422026">
              <w:t xml:space="preserve"> se v petih zaporednih letih</w:t>
            </w:r>
            <w:r w:rsidRPr="00422026">
              <w:rPr>
                <w:b/>
                <w:i/>
              </w:rPr>
              <w:t xml:space="preserve"> dodajo ali</w:t>
            </w:r>
            <w:r w:rsidRPr="00422026">
              <w:t xml:space="preserve"> nadomestijo z drugo podvsebino največ ena podvsebina za področje „kratkoročna statistika podjetij“, pet podvsebin za področje „nacionalna statistika podjetij“, dve podvsebini za področje „regionalna statistika podjetij“ in dve podvsebini za področje „statistika o mednarodnih dejavnostih“</w:t>
            </w:r>
            <w:r w:rsidRPr="00422026">
              <w:rPr>
                <w:b/>
                <w:i/>
              </w:rPr>
              <w:t>.</w:t>
            </w:r>
            <w:r w:rsidRPr="00422026">
              <w:t xml:space="preserve"> Omejitev največjega števila sprememb ne velja za spremembe, ki izhajajo iz sporazumov, pogodb in konvencij ter drugih mednarodnih institucij, katerih članica je Unija, in spremembe, ki so posledica sprememb računovodskih okvirov za nacionalne in regionalne račune v skladu z Uredbo (EU) št. 549/2013 ali plačilnobilančne statistike v skladu z Uredbo (ES) št. 184/2005. Število značilnosti za podvsebine dinamične statistike podjetij se v dveh zaporednih referenčnih obdobjih ne poveča znatno in ne preseže števila značilnosti iz prvega leta izvajanja te uredbe;</w:t>
            </w:r>
          </w:p>
        </w:tc>
        <w:tc>
          <w:tcPr>
            <w:tcW w:w="4876" w:type="dxa"/>
            <w:hideMark/>
          </w:tcPr>
          <w:p w:rsidR="008B2568" w:rsidRPr="00422026" w:rsidRDefault="008B2568" w:rsidP="00F4223F">
            <w:pPr>
              <w:pStyle w:val="Normal6"/>
              <w:rPr>
                <w:szCs w:val="24"/>
              </w:rPr>
            </w:pPr>
            <w:r w:rsidRPr="00422026">
              <w:t>(b)</w:t>
            </w:r>
            <w:r w:rsidRPr="00422026">
              <w:tab/>
            </w:r>
            <w:r w:rsidRPr="00422026">
              <w:rPr>
                <w:b/>
                <w:i/>
              </w:rPr>
              <w:t>v obstoječem delegiranem aktu</w:t>
            </w:r>
            <w:r w:rsidRPr="00422026">
              <w:t xml:space="preserve"> se</w:t>
            </w:r>
            <w:r w:rsidRPr="00422026">
              <w:rPr>
                <w:b/>
                <w:i/>
              </w:rPr>
              <w:t xml:space="preserve"> lahko</w:t>
            </w:r>
            <w:r w:rsidRPr="00422026">
              <w:t xml:space="preserve"> v petih zaporednih letih nadomestijo z drugo podvsebino največ ena podvsebina za področje „kratkoročna statistika podjetij“, pet podvsebin za področje „nacionalna statistika podjetij“, dve podvsebini za področje „regionalna statistika podjetij“ in dve podvsebini za področje „statistika o mednarodnih dejavnostih“</w:t>
            </w:r>
            <w:r w:rsidRPr="00422026">
              <w:rPr>
                <w:b/>
                <w:i/>
              </w:rPr>
              <w:t>, medtem ko se lahko v obstoječem delegiranem aktu v petih zaporednih letih za navedena področja doda največ ena podvsebina.</w:t>
            </w:r>
            <w:r w:rsidRPr="00422026">
              <w:t xml:space="preserve"> Omejitev največjega števila sprememb ne velja za spremembe, ki izhajajo iz sporazumov, pogodb in konvencij ter drugih mednarodnih institucij, katerih članica je Unija, in spremembe, ki so posledica sprememb računovodskih okvirov za nacionalne in regionalne račune v skladu z Uredbo (EU) št. 549/2013 ali plačilnobilančne statistike v skladu z Uredbo (ES) št. 184/2005. Število značilnosti za podvsebine dinamične statistike podjetij se v dveh zaporednih referenčnih obdobjih ne poveča znatno in ne preseže števila značilnosti iz prvega leta izvajanja te uredbe;</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24</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6 – odstavek 5 – točka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(c)</w:t>
            </w:r>
            <w:r w:rsidRPr="00422026">
              <w:tab/>
              <w:t xml:space="preserve">delegirani akti se sprejmejo vsaj </w:t>
            </w:r>
            <w:r w:rsidRPr="00422026">
              <w:rPr>
                <w:b/>
                <w:i/>
              </w:rPr>
              <w:t>15</w:t>
            </w:r>
            <w:r w:rsidRPr="00422026">
              <w:t> mesecev pred koncem referenčnega obdobja podatkov, razen za vsebini „inovacije“ ter „uporaba IKT in e-</w:t>
            </w:r>
            <w:r w:rsidRPr="00422026">
              <w:lastRenderedPageBreak/>
              <w:t>trgovanje“, za kateri se delegirani akti sprejmejo vsaj šest oziroma 12 mesecev pred koncem referenčnega obdobja podatkov.</w:t>
            </w:r>
          </w:p>
        </w:tc>
        <w:tc>
          <w:tcPr>
            <w:tcW w:w="4876" w:type="dxa"/>
            <w:hideMark/>
          </w:tcPr>
          <w:p w:rsidR="008B2568" w:rsidRPr="00422026" w:rsidRDefault="008B2568" w:rsidP="00F4223F">
            <w:pPr>
              <w:pStyle w:val="Normal6"/>
              <w:rPr>
                <w:szCs w:val="24"/>
              </w:rPr>
            </w:pPr>
            <w:r w:rsidRPr="00422026">
              <w:lastRenderedPageBreak/>
              <w:t>(c)</w:t>
            </w:r>
            <w:r w:rsidRPr="00422026">
              <w:tab/>
              <w:t xml:space="preserve">delegirani akti se sprejmejo vsaj </w:t>
            </w:r>
            <w:r w:rsidRPr="00422026">
              <w:rPr>
                <w:b/>
                <w:i/>
              </w:rPr>
              <w:t>18</w:t>
            </w:r>
            <w:r w:rsidRPr="00422026">
              <w:t> mesecev pred koncem referenčnega obdobja podatkov, razen za vsebini „inovacije“ ter „uporaba IKT in e-</w:t>
            </w:r>
            <w:r w:rsidRPr="00422026">
              <w:lastRenderedPageBreak/>
              <w:t>trgovanje“, za kateri se delegirani akti sprejmejo vsaj šest oziroma 12 mesecev pred koncem referenčnega obdobja podatkov.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25</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7 – odstavek 1 – točka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rPr>
                <w:b/>
                <w:i/>
              </w:rPr>
              <w:t>(a)</w:t>
            </w:r>
            <w:r w:rsidRPr="00422026">
              <w:rPr>
                <w:b/>
                <w:i/>
              </w:rPr>
              <w:tab/>
              <w:t>spremenljivke (razen za podvsebini inovacije ter uporaba IKT in e-trgovanje ter globalne vrednostne verige);</w:t>
            </w:r>
          </w:p>
        </w:tc>
        <w:tc>
          <w:tcPr>
            <w:tcW w:w="4876" w:type="dxa"/>
            <w:hideMark/>
          </w:tcPr>
          <w:p w:rsidR="008B2568" w:rsidRPr="00422026" w:rsidRDefault="008B2568" w:rsidP="00F4223F">
            <w:pPr>
              <w:pStyle w:val="Normal6"/>
              <w:rPr>
                <w:szCs w:val="24"/>
              </w:rPr>
            </w:pPr>
            <w:r w:rsidRPr="00422026">
              <w:rPr>
                <w:b/>
                <w:i/>
              </w:rPr>
              <w:t>črtano</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26</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7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w:t>
            </w:r>
            <w:r w:rsidRPr="00422026">
              <w:tab/>
              <w:t xml:space="preserve">Pri izvajanju pooblastil iz odstavka 1 v zvezi s poenostavitvami Komisija v skladu z načelom sorazmernosti upošteva velikost in pomembnost podjetij, da se zmanjša breme za podjetja. Poleg tega Komisija zagotovi, da se ohranijo vhodni podatki, potrebni za pripravo računovodskih okvirov za nacionalne in regionalne račune v skladu z Uredbo (EU) št. 549/2013 in plačilnobilančne statistike v skladu z Uredbo (ES) št. 184/2005. Izvedbeni akti, razen tistih, ki urejajo prvo izvajanje te uredbe, se za vsebine iz Priloge I sprejmejo vsaj </w:t>
            </w:r>
            <w:r w:rsidRPr="00422026">
              <w:rPr>
                <w:b/>
                <w:i/>
              </w:rPr>
              <w:t>15</w:t>
            </w:r>
            <w:r w:rsidRPr="00422026">
              <w:t xml:space="preserve"> mesecev pred koncem referenčnega obdobja podatkov. </w:t>
            </w:r>
            <w:r w:rsidRPr="00422026">
              <w:rPr>
                <w:b/>
                <w:i/>
              </w:rPr>
              <w:t>Za vsebini „inovacije“ ter „uporaba IKT in e-trgovanje“ se izvedbeni akti sprejmejo vsaj šest oziroma 12 mesecev pred koncem referenčnega obdobja podatkov.</w:t>
            </w:r>
          </w:p>
        </w:tc>
        <w:tc>
          <w:tcPr>
            <w:tcW w:w="4876" w:type="dxa"/>
            <w:hideMark/>
          </w:tcPr>
          <w:p w:rsidR="008B2568" w:rsidRPr="00422026" w:rsidRDefault="008B2568" w:rsidP="00F4223F">
            <w:pPr>
              <w:pStyle w:val="Normal6"/>
              <w:rPr>
                <w:szCs w:val="24"/>
              </w:rPr>
            </w:pPr>
            <w:r w:rsidRPr="00422026">
              <w:t>2.</w:t>
            </w:r>
            <w:r w:rsidRPr="00422026">
              <w:tab/>
              <w:t xml:space="preserve">Pri izvajanju pooblastil iz odstavka 1 v zvezi s poenostavitvami Komisija v skladu z načelom sorazmernosti upošteva velikost in pomembnost podjetij, da se zmanjša breme za podjetja. Poleg tega Komisija zagotovi, da se ohranijo vhodni podatki, potrebni za pripravo računovodskih okvirov za nacionalne in regionalne račune v skladu z Uredbo (EU) št. 549/2013 in plačilnobilančne statistike v skladu z Uredbo (ES) št. 184/2005. Izvedbeni akti, razen tistih, ki urejajo prvo izvajanje te uredbe, se za vsebine iz Priloge I sprejmejo vsaj </w:t>
            </w:r>
            <w:r w:rsidRPr="00422026">
              <w:rPr>
                <w:b/>
                <w:i/>
              </w:rPr>
              <w:t>18</w:t>
            </w:r>
            <w:r w:rsidRPr="00422026">
              <w:t> mesecev pred koncem referenčnega obdobja podatkov. Za vsebini „inovacije“ ter „uporaba IKT in e-trgovanje“ se izvedbeni akti sprejmejo vsaj šest mesecev pred koncem referenčnega obdobja podatkov.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27</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lastRenderedPageBreak/>
        <w:t>Člen 7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3.</w:t>
            </w:r>
            <w:r w:rsidRPr="00422026">
              <w:tab/>
              <w:t>Izvedbeni akti iz odstavka 1 se sprejmejo v skladu s postopkom pregleda iz člena 22(2).</w:t>
            </w:r>
          </w:p>
        </w:tc>
        <w:tc>
          <w:tcPr>
            <w:tcW w:w="4876" w:type="dxa"/>
            <w:hideMark/>
          </w:tcPr>
          <w:p w:rsidR="008B2568" w:rsidRPr="00422026" w:rsidRDefault="008B2568" w:rsidP="00F4223F">
            <w:pPr>
              <w:pStyle w:val="Normal6"/>
              <w:rPr>
                <w:szCs w:val="24"/>
              </w:rPr>
            </w:pPr>
            <w:r w:rsidRPr="00422026">
              <w:t>3.</w:t>
            </w:r>
            <w:r w:rsidRPr="00422026">
              <w:tab/>
              <w:t xml:space="preserve">Izvedbeni akti iz odstavka 1 se sprejmejo v skladu s postopkom pregleda iz člena 22(2). </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pPr>
            <w:r w:rsidRPr="00422026">
              <w:rPr>
                <w:b/>
                <w:i/>
              </w:rPr>
              <w:t>Pri pripravi teh izvedbenih aktov se upoštevajo morebitni dodatni stroški in upravna bremena za države članice ali respondenta skupaj z oceno načrtovanega povečanja kakovosti statistike in vseh drugih neposrednih ali posrednih koristi zaradi dodatnih predlaganih ukrepov.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28</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8 – odstavek 4 – pododstavek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 xml:space="preserve">Nacionalni statistični poslovni registri in register EuroGroups so </w:t>
            </w:r>
            <w:r w:rsidRPr="00422026">
              <w:rPr>
                <w:b/>
                <w:i/>
              </w:rPr>
              <w:t>avtoritativni</w:t>
            </w:r>
            <w:r w:rsidRPr="00422026">
              <w:t xml:space="preserve"> vir za izpeljavo visokokakovostnih, doslednih in usklajenih populacij registrov v skladu s členom 16 te uredbe za pripravo evropske statistike.</w:t>
            </w:r>
          </w:p>
        </w:tc>
        <w:tc>
          <w:tcPr>
            <w:tcW w:w="4876" w:type="dxa"/>
          </w:tcPr>
          <w:p w:rsidR="008B2568" w:rsidRPr="00422026" w:rsidRDefault="008B2568" w:rsidP="00F4223F">
            <w:pPr>
              <w:pStyle w:val="Normal6"/>
              <w:rPr>
                <w:szCs w:val="24"/>
              </w:rPr>
            </w:pPr>
            <w:r w:rsidRPr="00422026">
              <w:t xml:space="preserve">Nacionalni statistični poslovni registri in register EuroGroups so </w:t>
            </w:r>
            <w:r w:rsidRPr="00422026">
              <w:rPr>
                <w:b/>
                <w:i/>
              </w:rPr>
              <w:t>verodostojen in zanesljiv</w:t>
            </w:r>
            <w:r w:rsidRPr="00422026">
              <w:t xml:space="preserve"> vir za izpeljavo visokokakovostnih, doslednih in usklajenih populacij registrov v skladu s členom 16 te uredbe za pripravo evropske statistike.</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29</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8 – odstavek 4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Nacionalni statistični poslovni registri so avtoritativni vir za nacionalne populacije registrov. Register EuroGroups je avtoritativni vir za populacijo registrov evropskega statističnega sistema za statistiko podjetij, za kar je potrebno usklajevanje čezmejnih informacij.</w:t>
            </w:r>
          </w:p>
        </w:tc>
        <w:tc>
          <w:tcPr>
            <w:tcW w:w="4876" w:type="dxa"/>
            <w:hideMark/>
          </w:tcPr>
          <w:p w:rsidR="008B2568" w:rsidRPr="00422026" w:rsidRDefault="008B2568" w:rsidP="00F4223F">
            <w:pPr>
              <w:pStyle w:val="Normal6"/>
              <w:rPr>
                <w:szCs w:val="24"/>
              </w:rPr>
            </w:pPr>
            <w:r w:rsidRPr="00422026">
              <w:t xml:space="preserve">Nacionalni statistični poslovni registri so avtoritativni vir za nacionalne populacije </w:t>
            </w:r>
            <w:r w:rsidRPr="00422026">
              <w:rPr>
                <w:b/>
                <w:i/>
              </w:rPr>
              <w:t xml:space="preserve">statističnih </w:t>
            </w:r>
            <w:r w:rsidRPr="00422026">
              <w:t>registrov. Register EuroGroups je avtoritativni vir za populacijo registrov evropskega statističnega sistema za statistiko podjetij, za kar je potrebno usklajevanje čezmejnih informacij.</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30</w:t>
      </w:r>
    </w:p>
    <w:p w:rsidR="00A7257D" w:rsidRPr="00422026" w:rsidRDefault="00A7257D" w:rsidP="00A7257D">
      <w:pPr>
        <w:pStyle w:val="NormalBold12b"/>
      </w:pPr>
      <w:r w:rsidRPr="00422026">
        <w:lastRenderedPageBreak/>
        <w:t>Predlog uredbe</w:t>
      </w:r>
    </w:p>
    <w:p w:rsidR="008B2568" w:rsidRPr="00422026" w:rsidRDefault="008B2568" w:rsidP="00A7257D">
      <w:pPr>
        <w:pStyle w:val="NormalBold"/>
      </w:pPr>
      <w:r w:rsidRPr="00422026">
        <w:t>Člen 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w:t>
            </w:r>
            <w:r w:rsidRPr="00422026">
              <w:tab/>
              <w:t>Na Komisijo se prenese pooblastilo za sprejetje delegiranih aktov v skladu s členom 21, ki spreminjajo register podvsebin iz Priloge III glede na zadevni tehnični in gospodarski razvoj ter nove potrebe uporabnikov.</w:t>
            </w:r>
          </w:p>
        </w:tc>
        <w:tc>
          <w:tcPr>
            <w:tcW w:w="4876" w:type="dxa"/>
            <w:hideMark/>
          </w:tcPr>
          <w:p w:rsidR="008B2568" w:rsidRPr="00422026" w:rsidRDefault="008B2568" w:rsidP="00F4223F">
            <w:pPr>
              <w:pStyle w:val="Normal6"/>
              <w:rPr>
                <w:szCs w:val="24"/>
              </w:rPr>
            </w:pPr>
            <w:r w:rsidRPr="00422026">
              <w:t>2.</w:t>
            </w:r>
            <w:r w:rsidRPr="00422026">
              <w:tab/>
              <w:t>Na Komisijo se prenese pooblastilo za sprejetje delegiranih aktov v skladu s členom 21, ki spreminjajo register podvsebin iz Priloge III glede na zadevni tehnični in gospodarski razvoj ter nove potrebe uporabnikov</w:t>
            </w:r>
            <w:r w:rsidRPr="00422026">
              <w:rPr>
                <w:b/>
                <w:i/>
              </w:rPr>
              <w:t xml:space="preserve"> ter dodajajo opisne podrobnosti za vsako podvsebino registra</w:t>
            </w:r>
            <w:r w:rsidRPr="00422026">
              <w:t>.</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9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rPr>
                <w:b/>
                <w:i/>
              </w:rPr>
              <w:t>4.</w:t>
            </w:r>
            <w:r w:rsidRPr="00422026">
              <w:rPr>
                <w:b/>
                <w:i/>
              </w:rPr>
              <w:tab/>
              <w:t>Na Komisijo se prenese pooblastilo za sprejetje izvedbenih aktov v skladu s postopkom pregleda iz člena 22(2), v katerih se podrobneje opredelijo opisne podrobnosti vsake podvsebine registra.</w:t>
            </w:r>
          </w:p>
        </w:tc>
        <w:tc>
          <w:tcPr>
            <w:tcW w:w="4876" w:type="dxa"/>
            <w:hideMark/>
          </w:tcPr>
          <w:p w:rsidR="008B2568" w:rsidRPr="00422026" w:rsidRDefault="008B2568" w:rsidP="00F4223F">
            <w:pPr>
              <w:pStyle w:val="Normal6"/>
              <w:rPr>
                <w:szCs w:val="24"/>
              </w:rPr>
            </w:pPr>
            <w:r w:rsidRPr="00422026">
              <w:rPr>
                <w:b/>
                <w:i/>
              </w:rPr>
              <w:t>črtano</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32</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10 – odstavek 6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Nacionalni statistični organi in Komisija (Eurostat) si zaupne podatke pošiljajo</w:t>
            </w:r>
            <w:r w:rsidRPr="00422026">
              <w:rPr>
                <w:b/>
                <w:i/>
              </w:rPr>
              <w:t xml:space="preserve"> v obsegu</w:t>
            </w:r>
            <w:r w:rsidRPr="00422026">
              <w:t xml:space="preserve">, </w:t>
            </w:r>
            <w:r w:rsidRPr="00422026">
              <w:rPr>
                <w:b/>
                <w:i/>
              </w:rPr>
              <w:t>kolikor</w:t>
            </w:r>
            <w:r w:rsidRPr="00422026">
              <w:t xml:space="preserve"> je to</w:t>
            </w:r>
            <w:r w:rsidRPr="00422026">
              <w:rPr>
                <w:b/>
                <w:i/>
              </w:rPr>
              <w:t xml:space="preserve"> pošiljanje</w:t>
            </w:r>
            <w:r w:rsidRPr="00422026">
              <w:t xml:space="preserve"> potrebno za pripravo evropske statistike. Vsako nadaljnje pošiljanje morajo izrecno odobriti nacionalni organi, ki so te podatke zbrali.</w:t>
            </w:r>
          </w:p>
        </w:tc>
        <w:tc>
          <w:tcPr>
            <w:tcW w:w="4876" w:type="dxa"/>
            <w:hideMark/>
          </w:tcPr>
          <w:p w:rsidR="008B2568" w:rsidRPr="00422026" w:rsidRDefault="008B2568" w:rsidP="00F4223F">
            <w:pPr>
              <w:pStyle w:val="Normal6"/>
              <w:rPr>
                <w:szCs w:val="24"/>
              </w:rPr>
            </w:pPr>
            <w:r w:rsidRPr="00422026">
              <w:t xml:space="preserve">Nacionalni statistični organi in Komisija (Eurostat) si zaupne podatke pošiljajo, </w:t>
            </w:r>
            <w:r w:rsidRPr="00422026">
              <w:rPr>
                <w:b/>
                <w:i/>
              </w:rPr>
              <w:t>če</w:t>
            </w:r>
            <w:r w:rsidRPr="00422026">
              <w:t xml:space="preserve"> je to potrebno</w:t>
            </w:r>
            <w:r w:rsidRPr="00422026">
              <w:rPr>
                <w:b/>
                <w:i/>
              </w:rPr>
              <w:t xml:space="preserve"> izključno za statistične namene</w:t>
            </w:r>
            <w:r w:rsidRPr="00422026">
              <w:t xml:space="preserve"> za pripravo evropske statistike. Vsako nadaljnje pošiljanje morajo izrecno odobriti nacionalni organi, ki so te podatke zbrali.</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13 – odstavek 1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 xml:space="preserve">Na Komisijo se prenese pooblastilo za sprejetje </w:t>
            </w:r>
            <w:r w:rsidRPr="00422026">
              <w:rPr>
                <w:b/>
                <w:i/>
              </w:rPr>
              <w:t>izvedbenih</w:t>
            </w:r>
            <w:r w:rsidRPr="00422026">
              <w:t xml:space="preserve"> aktov v skladu s </w:t>
            </w:r>
            <w:r w:rsidRPr="00422026">
              <w:rPr>
                <w:b/>
                <w:i/>
              </w:rPr>
              <w:t>postopkom pregleda iz člena</w:t>
            </w:r>
            <w:r w:rsidRPr="00422026">
              <w:t> </w:t>
            </w:r>
            <w:r w:rsidRPr="00422026">
              <w:rPr>
                <w:b/>
                <w:i/>
              </w:rPr>
              <w:t>22(2)</w:t>
            </w:r>
            <w:r w:rsidRPr="00422026">
              <w:t xml:space="preserve">, v katerih se </w:t>
            </w:r>
            <w:r w:rsidRPr="00422026">
              <w:rPr>
                <w:b/>
                <w:i/>
              </w:rPr>
              <w:t>opredelijo</w:t>
            </w:r>
            <w:r w:rsidRPr="00422026">
              <w:t xml:space="preserve"> statistični podatkovni elementi iz točk od (a) do (i) ter</w:t>
            </w:r>
            <w:r w:rsidRPr="00422026">
              <w:rPr>
                <w:b/>
                <w:i/>
              </w:rPr>
              <w:t xml:space="preserve"> določi</w:t>
            </w:r>
            <w:r w:rsidRPr="00422026">
              <w:t xml:space="preserve"> seznam statističnih podatkovnih elementov, ki so relevantni za posamezno blago ali gibanje, ter podatki, ki se zberejo z uporabo podrobnosti iz carinskih deklaracij iz točk (b) in (c) člena 12(1).</w:t>
            </w:r>
          </w:p>
        </w:tc>
        <w:tc>
          <w:tcPr>
            <w:tcW w:w="4876" w:type="dxa"/>
            <w:hideMark/>
          </w:tcPr>
          <w:p w:rsidR="008B2568" w:rsidRPr="00422026" w:rsidRDefault="008B2568" w:rsidP="00F4223F">
            <w:pPr>
              <w:pStyle w:val="Normal6"/>
              <w:rPr>
                <w:szCs w:val="24"/>
              </w:rPr>
            </w:pPr>
            <w:r w:rsidRPr="00422026">
              <w:t xml:space="preserve">Na Komisijo se prenese pooblastilo za sprejetje </w:t>
            </w:r>
            <w:r w:rsidRPr="00422026">
              <w:rPr>
                <w:b/>
                <w:i/>
              </w:rPr>
              <w:t>delegiranih</w:t>
            </w:r>
            <w:r w:rsidRPr="00422026">
              <w:t xml:space="preserve"> aktov v skladu s </w:t>
            </w:r>
            <w:r w:rsidRPr="00422026">
              <w:rPr>
                <w:b/>
                <w:i/>
              </w:rPr>
              <w:t>členom</w:t>
            </w:r>
            <w:r w:rsidRPr="00422026">
              <w:t> </w:t>
            </w:r>
            <w:r w:rsidRPr="00422026">
              <w:rPr>
                <w:b/>
                <w:i/>
              </w:rPr>
              <w:t>21</w:t>
            </w:r>
            <w:r w:rsidRPr="00422026">
              <w:t xml:space="preserve">, v katerih se </w:t>
            </w:r>
            <w:r w:rsidRPr="00422026">
              <w:rPr>
                <w:b/>
                <w:i/>
              </w:rPr>
              <w:t>dopolnijo</w:t>
            </w:r>
            <w:r w:rsidRPr="00422026">
              <w:t xml:space="preserve"> statistični podatkovni elementi iz točk od (a) do (i) ter seznam statističnih podatkovnih elementov, ki so relevantni za posamezno blago ali gibanje, ter podatki, ki se zberejo z uporabo podrobnosti iz carinskih deklaracij iz točk (b) in (c) člena 12(1).</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34</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16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3.</w:t>
            </w:r>
            <w:r w:rsidRPr="00422026">
              <w:tab/>
              <w:t>Komisija (Eurostat) oceni kakovost poslanih podatkov in metapodatkov.</w:t>
            </w:r>
          </w:p>
        </w:tc>
        <w:tc>
          <w:tcPr>
            <w:tcW w:w="4876" w:type="dxa"/>
            <w:hideMark/>
          </w:tcPr>
          <w:p w:rsidR="008B2568" w:rsidRPr="00422026" w:rsidRDefault="008B2568" w:rsidP="00F4223F">
            <w:pPr>
              <w:pStyle w:val="Normal6"/>
              <w:rPr>
                <w:szCs w:val="24"/>
              </w:rPr>
            </w:pPr>
            <w:r w:rsidRPr="00422026">
              <w:t>3.</w:t>
            </w:r>
            <w:r w:rsidRPr="00422026">
              <w:tab/>
              <w:t xml:space="preserve">Komisija (Eurostat) </w:t>
            </w:r>
            <w:r w:rsidRPr="00422026">
              <w:rPr>
                <w:b/>
                <w:i/>
              </w:rPr>
              <w:t xml:space="preserve">na pregleden način </w:t>
            </w:r>
            <w:r w:rsidRPr="00422026">
              <w:t>oceni kakovost poslanih podatkov in metapodatkov.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35</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16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6.</w:t>
            </w:r>
            <w:r w:rsidRPr="00422026">
              <w:tab/>
              <w:t>Na Komisijo se prenese pooblastilo za sprejetje izvedbenih aktov, v katerih se opredelijo načini, vsebina in roki za pošiljanje poročil o metapodatkih in kakovosti. Ti izvedbeni akti se sprejmejo v skladu s postopkom pregleda iz člena 22(2).</w:t>
            </w:r>
          </w:p>
        </w:tc>
        <w:tc>
          <w:tcPr>
            <w:tcW w:w="4876" w:type="dxa"/>
            <w:hideMark/>
          </w:tcPr>
          <w:p w:rsidR="008B2568" w:rsidRPr="00422026" w:rsidRDefault="008B2568" w:rsidP="00F4223F">
            <w:pPr>
              <w:pStyle w:val="Normal6"/>
              <w:rPr>
                <w:szCs w:val="24"/>
              </w:rPr>
            </w:pPr>
            <w:r w:rsidRPr="00422026">
              <w:t>6.</w:t>
            </w:r>
            <w:r w:rsidRPr="00422026">
              <w:tab/>
              <w:t>Na Komisijo se prenese pooblastilo za sprejetje izvedbenih aktov, v katerih se opredelijo načini, vsebina in roki za pošiljanje poročil o metapodatkih in kakovosti. Ti izvedbeni akti se sprejmejo v skladu s postopkom pregleda iz člena 22(2).</w:t>
            </w:r>
            <w:r w:rsidRPr="00422026">
              <w:rPr>
                <w:b/>
                <w:i/>
              </w:rPr>
              <w:t xml:space="preserve"> </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pPr>
            <w:r w:rsidRPr="00422026">
              <w:rPr>
                <w:b/>
                <w:i/>
              </w:rPr>
              <w:t>Pri pripravi teh izvedbenih aktov se upoštevajo morebitni dodatni stroški in upravna bremena za države članice ali respondenta skupaj z oceno načrtovanega povečanja kakovosti statističnih podatkov in vseh drugih neposrednih ali posrednih koristi zaradi dodatnih predlaganih ukrepov.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36</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16 – odstavek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8.</w:t>
            </w:r>
            <w:r w:rsidRPr="00422026">
              <w:tab/>
              <w:t xml:space="preserve">Države članice Komisiji (Eurostatu) na njeno zahtevo posredujejo </w:t>
            </w:r>
            <w:r w:rsidRPr="00422026">
              <w:rPr>
                <w:b/>
                <w:i/>
              </w:rPr>
              <w:t>vse potrebne informacije</w:t>
            </w:r>
            <w:r w:rsidRPr="00422026">
              <w:t xml:space="preserve"> za oceno kakovosti statističnih informacij.</w:t>
            </w:r>
          </w:p>
        </w:tc>
        <w:tc>
          <w:tcPr>
            <w:tcW w:w="4876" w:type="dxa"/>
            <w:hideMark/>
          </w:tcPr>
          <w:p w:rsidR="008B2568" w:rsidRPr="00422026" w:rsidRDefault="008B2568" w:rsidP="00F4223F">
            <w:pPr>
              <w:pStyle w:val="Normal6"/>
              <w:rPr>
                <w:szCs w:val="24"/>
              </w:rPr>
            </w:pPr>
            <w:r w:rsidRPr="00422026">
              <w:t>8.</w:t>
            </w:r>
            <w:r w:rsidRPr="00422026">
              <w:tab/>
              <w:t xml:space="preserve">Države članice Komisiji (Eurostatu) na njeno zahtevo posredujejo </w:t>
            </w:r>
            <w:r w:rsidRPr="00422026">
              <w:rPr>
                <w:b/>
                <w:i/>
              </w:rPr>
              <w:t>dodatne informacije in vse posodobitve teh informacij, ki so potrebne</w:t>
            </w:r>
            <w:r w:rsidRPr="00422026">
              <w:t xml:space="preserve"> za oceno kakovosti statističnih informacij.</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37</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17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3.</w:t>
            </w:r>
            <w:r w:rsidRPr="00422026">
              <w:tab/>
              <w:t>Države članice Komisiji (Eurostatu) na njeno zahtevo pošljejo vse pomembne informacije o izvajanju te uredbe v državah članicah.</w:t>
            </w:r>
          </w:p>
        </w:tc>
        <w:tc>
          <w:tcPr>
            <w:tcW w:w="4876" w:type="dxa"/>
            <w:hideMark/>
          </w:tcPr>
          <w:p w:rsidR="008B2568" w:rsidRPr="00422026" w:rsidRDefault="008B2568" w:rsidP="00F4223F">
            <w:pPr>
              <w:pStyle w:val="Normal6"/>
              <w:rPr>
                <w:szCs w:val="24"/>
              </w:rPr>
            </w:pPr>
            <w:r w:rsidRPr="00422026">
              <w:t>3.</w:t>
            </w:r>
            <w:r w:rsidRPr="00422026">
              <w:tab/>
              <w:t xml:space="preserve">Države članice Komisiji (Eurostatu) na njeno zahtevo pošljejo vse pomembne informacije </w:t>
            </w:r>
            <w:r w:rsidRPr="00422026">
              <w:rPr>
                <w:b/>
                <w:i/>
              </w:rPr>
              <w:t xml:space="preserve">in posodobitve teh informacij </w:t>
            </w:r>
            <w:r w:rsidRPr="00422026">
              <w:t xml:space="preserve">o izvajanju te uredbe v državah članicah. </w:t>
            </w:r>
            <w:r w:rsidRPr="00422026">
              <w:rPr>
                <w:b/>
                <w:i/>
              </w:rPr>
              <w:t>Komisija s temi zahtevami državam članicam ne nalaga znatnega dodatnega upravnega ali finančnega bremena.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38</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19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rPr>
                <w:b/>
                <w:i/>
              </w:rPr>
              <w:t>3.</w:t>
            </w:r>
            <w:r w:rsidRPr="00422026">
              <w:rPr>
                <w:b/>
                <w:i/>
              </w:rPr>
              <w:tab/>
              <w:t>Prve pilotne študije, ki se bodo začele izvajati, zajemajo načine opravljanja mednarodne trgovine s storitvami in mednarodno trgovino s storitvami po značilnostih podjetja.</w:t>
            </w:r>
          </w:p>
        </w:tc>
        <w:tc>
          <w:tcPr>
            <w:tcW w:w="4876" w:type="dxa"/>
            <w:hideMark/>
          </w:tcPr>
          <w:p w:rsidR="008B2568" w:rsidRPr="00422026" w:rsidRDefault="008B2568" w:rsidP="00F4223F">
            <w:pPr>
              <w:pStyle w:val="Normal6"/>
              <w:rPr>
                <w:szCs w:val="24"/>
              </w:rPr>
            </w:pPr>
            <w:r w:rsidRPr="00422026">
              <w:rPr>
                <w:b/>
                <w:i/>
              </w:rPr>
              <w:t>črtano</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39</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20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hideMark/>
          </w:tcPr>
          <w:p w:rsidR="008B2568" w:rsidRPr="00422026" w:rsidRDefault="008B2568" w:rsidP="00F4223F">
            <w:pPr>
              <w:pStyle w:val="Normal6"/>
              <w:rPr>
                <w:szCs w:val="24"/>
              </w:rPr>
            </w:pPr>
            <w:r w:rsidRPr="00422026">
              <w:rPr>
                <w:b/>
                <w:i/>
              </w:rPr>
              <w:t>(ba)</w:t>
            </w:r>
            <w:r w:rsidRPr="00422026">
              <w:rPr>
                <w:b/>
                <w:i/>
              </w:rPr>
              <w:tab/>
              <w:t>razvoja metodologij za čim nižje stroške in upravna bremena pri sporočanju zahtevanih podatkov s strani poročevalskih enot, zlasti malih in srednjih podjetij.</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40</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20 – odstavek 1 – točka b b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p>
        </w:tc>
        <w:tc>
          <w:tcPr>
            <w:tcW w:w="4876" w:type="dxa"/>
          </w:tcPr>
          <w:p w:rsidR="008B2568" w:rsidRPr="00422026" w:rsidRDefault="008B2568" w:rsidP="00F4223F">
            <w:pPr>
              <w:pStyle w:val="Normal6"/>
              <w:rPr>
                <w:szCs w:val="24"/>
              </w:rPr>
            </w:pPr>
            <w:r w:rsidRPr="00422026">
              <w:rPr>
                <w:b/>
                <w:i/>
              </w:rPr>
              <w:t>(bb)</w:t>
            </w:r>
            <w:r w:rsidRPr="00422026">
              <w:rPr>
                <w:b/>
                <w:i/>
              </w:rPr>
              <w:tab/>
              <w:t>razvoja ali izboljšanja procesov, informacijskih sistemov in podobnih podpornih funkcij za pripravo bolj kakovostne statistike ali za zmanjšanje upravnih in finančnih bremen.</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41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w:t>
            </w:r>
            <w:r w:rsidRPr="00422026">
              <w:tab/>
              <w:t>Pooblastilo za sprejetje delegiranih aktov iz členov 5, 6, 9</w:t>
            </w:r>
            <w:r w:rsidRPr="00422026">
              <w:rPr>
                <w:b/>
                <w:i/>
              </w:rPr>
              <w:t xml:space="preserve"> in</w:t>
            </w:r>
            <w:r w:rsidRPr="00422026">
              <w:t xml:space="preserve"> 12 se prenese na Komisijo za </w:t>
            </w:r>
            <w:r w:rsidRPr="00422026">
              <w:rPr>
                <w:b/>
                <w:i/>
              </w:rPr>
              <w:t>nedoločen čas</w:t>
            </w:r>
            <w:r w:rsidRPr="00422026">
              <w:t>.</w:t>
            </w:r>
          </w:p>
        </w:tc>
        <w:tc>
          <w:tcPr>
            <w:tcW w:w="4876" w:type="dxa"/>
            <w:hideMark/>
          </w:tcPr>
          <w:p w:rsidR="008B2568" w:rsidRPr="00422026" w:rsidRDefault="008B2568" w:rsidP="00F4223F">
            <w:pPr>
              <w:pStyle w:val="Normal6"/>
              <w:rPr>
                <w:szCs w:val="24"/>
              </w:rPr>
            </w:pPr>
            <w:r w:rsidRPr="00422026">
              <w:t>2.</w:t>
            </w:r>
            <w:r w:rsidRPr="00422026">
              <w:tab/>
              <w:t>Pooblastilo za sprejetje delegiranih aktov iz členov 5, 6, 9</w:t>
            </w:r>
            <w:r w:rsidRPr="00422026">
              <w:rPr>
                <w:b/>
                <w:i/>
              </w:rPr>
              <w:t>,</w:t>
            </w:r>
            <w:r w:rsidRPr="00422026">
              <w:t xml:space="preserve"> 12</w:t>
            </w:r>
            <w:r w:rsidRPr="00422026">
              <w:rPr>
                <w:b/>
                <w:i/>
              </w:rPr>
              <w:t>, 13</w:t>
            </w:r>
            <w:r w:rsidRPr="00422026">
              <w:t> </w:t>
            </w:r>
            <w:r w:rsidRPr="00422026">
              <w:rPr>
                <w:b/>
                <w:i/>
              </w:rPr>
              <w:t xml:space="preserve">in 24 </w:t>
            </w:r>
            <w:r w:rsidRPr="00422026">
              <w:t xml:space="preserve">se prenese na Komisijo za </w:t>
            </w:r>
            <w:r w:rsidRPr="00422026">
              <w:rPr>
                <w:b/>
                <w:i/>
              </w:rPr>
              <w:t>obdobje petih let.</w:t>
            </w:r>
            <w:r w:rsidRPr="00422026">
              <w:t xml:space="preserve"> </w:t>
            </w:r>
            <w:r w:rsidRPr="00422026">
              <w:rPr>
                <w:b/>
                <w:i/>
              </w:rPr>
              <w:t>Komisija pripravi poročilo o prenosu pooblastila najpozneje devet mesecev pred koncem petletnega obdobja. Prenos pooblastila se samodejno podaljšuje za enako dolga obdobja, razen če Evropski parlament ali Svet nasprotuje temu podaljšanju najpozneje tri mesece prek koncem vsakega obdobja.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42</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3.</w:t>
            </w:r>
            <w:r w:rsidRPr="00422026">
              <w:tab/>
              <w:t xml:space="preserve">Prenos pooblastila iz členov </w:t>
            </w:r>
            <w:r w:rsidRPr="00422026">
              <w:rPr>
                <w:b/>
                <w:i/>
              </w:rPr>
              <w:t>1(</w:t>
            </w:r>
            <w:r w:rsidRPr="00422026">
              <w:t>5</w:t>
            </w:r>
            <w:r w:rsidRPr="00422026">
              <w:rPr>
                <w:b/>
                <w:i/>
              </w:rPr>
              <w:t>)</w:t>
            </w:r>
            <w:r w:rsidRPr="00422026">
              <w:t xml:space="preserve">, 6, 9 in </w:t>
            </w:r>
            <w:r w:rsidRPr="00422026">
              <w:rPr>
                <w:b/>
                <w:i/>
              </w:rPr>
              <w:t>12</w:t>
            </w:r>
            <w:r w:rsidRPr="00422026">
              <w:t xml:space="preserve"> lahko kadar koli prekliče Evropski parlament ali Svet.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tc>
        <w:tc>
          <w:tcPr>
            <w:tcW w:w="4876" w:type="dxa"/>
            <w:hideMark/>
          </w:tcPr>
          <w:p w:rsidR="008B2568" w:rsidRPr="00422026" w:rsidRDefault="008B2568" w:rsidP="00F4223F">
            <w:pPr>
              <w:pStyle w:val="Normal6"/>
              <w:rPr>
                <w:szCs w:val="24"/>
              </w:rPr>
            </w:pPr>
            <w:r w:rsidRPr="00422026">
              <w:t>3.</w:t>
            </w:r>
            <w:r w:rsidRPr="00422026">
              <w:tab/>
              <w:t>Prenos pooblastila iz členov 5, 6, 9</w:t>
            </w:r>
            <w:r w:rsidRPr="00422026">
              <w:rPr>
                <w:b/>
                <w:i/>
              </w:rPr>
              <w:t>, 12, 13</w:t>
            </w:r>
            <w:r w:rsidRPr="00422026">
              <w:t xml:space="preserve"> in </w:t>
            </w:r>
            <w:r w:rsidRPr="00422026">
              <w:rPr>
                <w:b/>
                <w:i/>
              </w:rPr>
              <w:t>24</w:t>
            </w:r>
            <w:r w:rsidRPr="00422026">
              <w:t xml:space="preserve"> lahko kadar koli prekliče Evropski parlament ali Svet.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21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6.</w:t>
            </w:r>
            <w:r w:rsidRPr="00422026">
              <w:tab/>
              <w:t xml:space="preserve">Delegirani akt, sprejet na podlagi členov </w:t>
            </w:r>
            <w:r w:rsidRPr="00422026">
              <w:rPr>
                <w:b/>
                <w:i/>
              </w:rPr>
              <w:t>1(</w:t>
            </w:r>
            <w:r w:rsidRPr="00422026">
              <w:t>5</w:t>
            </w:r>
            <w:r w:rsidRPr="00422026">
              <w:rPr>
                <w:b/>
                <w:i/>
              </w:rPr>
              <w:t>)</w:t>
            </w:r>
            <w:r w:rsidRPr="00422026">
              <w:t>,</w:t>
            </w:r>
            <w:r w:rsidRPr="00422026">
              <w:rPr>
                <w:b/>
                <w:i/>
              </w:rPr>
              <w:t xml:space="preserve"> </w:t>
            </w:r>
            <w:r w:rsidRPr="00422026">
              <w:t xml:space="preserve">6, 9 in </w:t>
            </w:r>
            <w:r w:rsidRPr="00422026">
              <w:rPr>
                <w:b/>
                <w:i/>
              </w:rPr>
              <w:t>12</w:t>
            </w:r>
            <w:r w:rsidRPr="00422026">
              <w:t>,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c>
          <w:tcPr>
            <w:tcW w:w="4876" w:type="dxa"/>
            <w:hideMark/>
          </w:tcPr>
          <w:p w:rsidR="008B2568" w:rsidRPr="00422026" w:rsidRDefault="008B2568" w:rsidP="00F4223F">
            <w:pPr>
              <w:pStyle w:val="Normal6"/>
              <w:rPr>
                <w:szCs w:val="24"/>
              </w:rPr>
            </w:pPr>
            <w:r w:rsidRPr="00422026">
              <w:t>6.</w:t>
            </w:r>
            <w:r w:rsidRPr="00422026">
              <w:tab/>
              <w:t>Delegirani akt, sprejet na podlagi členov 5,6, 9</w:t>
            </w:r>
            <w:r w:rsidRPr="00422026">
              <w:rPr>
                <w:b/>
                <w:i/>
              </w:rPr>
              <w:t>,</w:t>
            </w:r>
            <w:r w:rsidRPr="00422026">
              <w:t xml:space="preserve"> </w:t>
            </w:r>
            <w:r w:rsidRPr="00422026">
              <w:rPr>
                <w:b/>
                <w:i/>
              </w:rPr>
              <w:t>12, 13</w:t>
            </w:r>
            <w:r w:rsidRPr="00422026">
              <w:t xml:space="preserve"> in </w:t>
            </w:r>
            <w:r w:rsidRPr="00422026">
              <w:rPr>
                <w:b/>
                <w:i/>
              </w:rPr>
              <w:t>24</w:t>
            </w:r>
            <w:r w:rsidRPr="00422026">
              <w:t>,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44</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24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1.</w:t>
            </w:r>
            <w:r w:rsidRPr="00422026">
              <w:tab/>
              <w:t xml:space="preserve">Če so za uporabo te uredbe potrebne velike prilagoditve nacionalnega statističnega sistema države članice, </w:t>
            </w:r>
            <w:r w:rsidRPr="00422026">
              <w:rPr>
                <w:b/>
                <w:i/>
              </w:rPr>
              <w:t>lahko Komisija z izvedbenimi akti</w:t>
            </w:r>
            <w:r w:rsidRPr="00422026">
              <w:t xml:space="preserve"> odobri odstopanje od njene uporabe za največ tri leta</w:t>
            </w:r>
            <w:r w:rsidRPr="00422026">
              <w:rPr>
                <w:b/>
                <w:i/>
              </w:rPr>
              <w:t xml:space="preserve">, če to odstopanje ne ovira primerljivosti podatkov držav članic ali </w:t>
            </w:r>
            <w:r w:rsidRPr="00422026">
              <w:rPr>
                <w:b/>
                <w:i/>
              </w:rPr>
              <w:lastRenderedPageBreak/>
              <w:t>izračuna potrebnih pravočasnih in reprezentativnih evropskih zbirnih podatkov</w:t>
            </w:r>
            <w:r w:rsidRPr="00422026">
              <w:t>.</w:t>
            </w:r>
          </w:p>
        </w:tc>
        <w:tc>
          <w:tcPr>
            <w:tcW w:w="4876" w:type="dxa"/>
            <w:hideMark/>
          </w:tcPr>
          <w:p w:rsidR="008B2568" w:rsidRPr="00422026" w:rsidRDefault="008B2568" w:rsidP="00F4223F">
            <w:pPr>
              <w:pStyle w:val="Normal6"/>
              <w:rPr>
                <w:szCs w:val="24"/>
              </w:rPr>
            </w:pPr>
            <w:r w:rsidRPr="00422026">
              <w:lastRenderedPageBreak/>
              <w:t>1.</w:t>
            </w:r>
            <w:r w:rsidRPr="00422026">
              <w:tab/>
              <w:t xml:space="preserve">Če so za uporabo te uredbe potrebne velike prilagoditve nacionalnega statističnega sistema države članice, </w:t>
            </w:r>
            <w:r w:rsidRPr="00422026">
              <w:rPr>
                <w:b/>
                <w:i/>
              </w:rPr>
              <w:t>se na Komisijo prenese pooblastilo za sprejemanje delegiranih aktov, s katerimi</w:t>
            </w:r>
            <w:r w:rsidRPr="00422026">
              <w:t xml:space="preserve"> odobri odstopanje od njene uporabe za največ tri leta.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45</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24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hideMark/>
          </w:tcPr>
          <w:p w:rsidR="008B2568" w:rsidRPr="00422026" w:rsidRDefault="008B2568" w:rsidP="00F4223F">
            <w:pPr>
              <w:pStyle w:val="ColumnHeading"/>
              <w:keepNext/>
            </w:pPr>
            <w:r w:rsidRPr="00422026">
              <w:t>Besedilo, ki ga predlaga Komisija</w:t>
            </w:r>
          </w:p>
        </w:tc>
        <w:tc>
          <w:tcPr>
            <w:tcW w:w="4876" w:type="dxa"/>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hideMark/>
          </w:tcPr>
          <w:p w:rsidR="008B2568" w:rsidRPr="00422026" w:rsidRDefault="008B2568" w:rsidP="00F4223F">
            <w:pPr>
              <w:pStyle w:val="Normal6"/>
            </w:pPr>
            <w:r w:rsidRPr="00422026">
              <w:t>2.</w:t>
            </w:r>
            <w:r w:rsidRPr="00422026">
              <w:tab/>
              <w:t xml:space="preserve">Komisija sprejme navedene </w:t>
            </w:r>
            <w:r w:rsidRPr="00422026">
              <w:rPr>
                <w:b/>
                <w:i/>
              </w:rPr>
              <w:t>izvedbene</w:t>
            </w:r>
            <w:r w:rsidRPr="00422026">
              <w:t xml:space="preserve"> akte v skladu s </w:t>
            </w:r>
            <w:r w:rsidRPr="00422026">
              <w:rPr>
                <w:b/>
                <w:i/>
              </w:rPr>
              <w:t>postopkom pregleda iz člena</w:t>
            </w:r>
            <w:r w:rsidRPr="00422026">
              <w:t> </w:t>
            </w:r>
            <w:r w:rsidRPr="00422026">
              <w:rPr>
                <w:b/>
                <w:i/>
              </w:rPr>
              <w:t>22(2)</w:t>
            </w:r>
            <w:r w:rsidRPr="00422026">
              <w:t>.</w:t>
            </w:r>
          </w:p>
        </w:tc>
        <w:tc>
          <w:tcPr>
            <w:tcW w:w="4876" w:type="dxa"/>
            <w:hideMark/>
          </w:tcPr>
          <w:p w:rsidR="008B2568" w:rsidRPr="00422026" w:rsidRDefault="008B2568" w:rsidP="00F4223F">
            <w:pPr>
              <w:pStyle w:val="Normal6"/>
              <w:rPr>
                <w:szCs w:val="24"/>
              </w:rPr>
            </w:pPr>
            <w:r w:rsidRPr="00422026">
              <w:t>2.</w:t>
            </w:r>
            <w:r w:rsidRPr="00422026">
              <w:tab/>
              <w:t xml:space="preserve">Komisija sprejme navedene </w:t>
            </w:r>
            <w:r w:rsidRPr="00422026">
              <w:rPr>
                <w:b/>
                <w:i/>
              </w:rPr>
              <w:t>delegirane</w:t>
            </w:r>
            <w:r w:rsidRPr="00422026">
              <w:t xml:space="preserve"> akte v skladu s </w:t>
            </w:r>
            <w:r w:rsidRPr="00422026">
              <w:rPr>
                <w:b/>
                <w:i/>
              </w:rPr>
              <w:t>členom</w:t>
            </w:r>
            <w:r w:rsidRPr="00422026">
              <w:t> </w:t>
            </w:r>
            <w:r w:rsidRPr="00422026">
              <w:rPr>
                <w:b/>
                <w:i/>
              </w:rPr>
              <w:t>21</w:t>
            </w:r>
            <w:r w:rsidRPr="00422026">
              <w:t>.</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46</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27 – odstavek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2.</w:t>
            </w:r>
            <w:r w:rsidRPr="00422026">
              <w:tab/>
              <w:t xml:space="preserve">Uporablja se od </w:t>
            </w:r>
            <w:r w:rsidRPr="00422026">
              <w:rPr>
                <w:b/>
                <w:i/>
              </w:rPr>
              <w:t>1. januarja 2019</w:t>
            </w:r>
            <w:r w:rsidRPr="00422026">
              <w:t>.</w:t>
            </w:r>
          </w:p>
        </w:tc>
        <w:tc>
          <w:tcPr>
            <w:tcW w:w="4876" w:type="dxa"/>
          </w:tcPr>
          <w:p w:rsidR="008B2568" w:rsidRPr="00422026" w:rsidRDefault="008B2568" w:rsidP="00F4223F">
            <w:pPr>
              <w:pStyle w:val="Normal6"/>
              <w:rPr>
                <w:szCs w:val="24"/>
              </w:rPr>
            </w:pPr>
            <w:r w:rsidRPr="00422026">
              <w:t>2.</w:t>
            </w:r>
            <w:r w:rsidRPr="00422026">
              <w:tab/>
              <w:t xml:space="preserve">Uporablja se od </w:t>
            </w:r>
            <w:r w:rsidRPr="00422026">
              <w:rPr>
                <w:b/>
                <w:i/>
              </w:rPr>
              <w:t>[eno leto po datumu začetka veljavnosti te uredbe]</w:t>
            </w:r>
            <w:r w:rsidRPr="00422026">
              <w:t>.</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47</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Člen 27 – odstavek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4876" w:type="dxa"/>
          </w:tcPr>
          <w:p w:rsidR="008B2568" w:rsidRPr="00422026" w:rsidRDefault="008B2568" w:rsidP="00F4223F">
            <w:pPr>
              <w:pStyle w:val="ColumnHeading"/>
              <w:keepNext/>
            </w:pPr>
            <w:r w:rsidRPr="00422026">
              <w:t>Besedilo, ki ga predlaga Komisija</w:t>
            </w:r>
          </w:p>
        </w:tc>
        <w:tc>
          <w:tcPr>
            <w:tcW w:w="4876" w:type="dxa"/>
          </w:tcPr>
          <w:p w:rsidR="008B2568" w:rsidRPr="00422026" w:rsidRDefault="008B2568" w:rsidP="00F4223F">
            <w:pPr>
              <w:pStyle w:val="ColumnHeading"/>
              <w:keepNext/>
            </w:pPr>
            <w:r w:rsidRPr="00422026">
              <w:t>Predlog spremembe</w:t>
            </w:r>
          </w:p>
        </w:tc>
      </w:tr>
      <w:tr w:rsidR="008B2568" w:rsidRPr="00422026" w:rsidTr="00F4223F">
        <w:trPr>
          <w:jc w:val="center"/>
        </w:trPr>
        <w:tc>
          <w:tcPr>
            <w:tcW w:w="4876" w:type="dxa"/>
          </w:tcPr>
          <w:p w:rsidR="008B2568" w:rsidRPr="00422026" w:rsidRDefault="008B2568" w:rsidP="00F4223F">
            <w:pPr>
              <w:pStyle w:val="Normal6"/>
            </w:pPr>
            <w:r w:rsidRPr="00422026">
              <w:t>3.</w:t>
            </w:r>
            <w:r w:rsidRPr="00422026">
              <w:tab/>
              <w:t xml:space="preserve">Vendar se </w:t>
            </w:r>
            <w:r w:rsidRPr="00422026">
              <w:rPr>
                <w:b/>
                <w:i/>
              </w:rPr>
              <w:t>členi od </w:t>
            </w:r>
            <w:r w:rsidRPr="00422026">
              <w:t xml:space="preserve">11 </w:t>
            </w:r>
            <w:r w:rsidRPr="00422026">
              <w:rPr>
                <w:b/>
                <w:i/>
              </w:rPr>
              <w:t>do </w:t>
            </w:r>
            <w:r w:rsidRPr="00422026">
              <w:t xml:space="preserve">15 </w:t>
            </w:r>
            <w:r w:rsidRPr="00422026">
              <w:rPr>
                <w:b/>
                <w:i/>
              </w:rPr>
              <w:t>uporabljajo</w:t>
            </w:r>
            <w:r w:rsidRPr="00422026">
              <w:t xml:space="preserve"> od </w:t>
            </w:r>
            <w:r w:rsidRPr="00422026">
              <w:rPr>
                <w:b/>
                <w:i/>
              </w:rPr>
              <w:t>1. januarja 2020</w:t>
            </w:r>
            <w:r w:rsidRPr="00422026">
              <w:t>.</w:t>
            </w:r>
          </w:p>
        </w:tc>
        <w:tc>
          <w:tcPr>
            <w:tcW w:w="4876" w:type="dxa"/>
          </w:tcPr>
          <w:p w:rsidR="008B2568" w:rsidRPr="00422026" w:rsidRDefault="008B2568" w:rsidP="00F4223F">
            <w:pPr>
              <w:pStyle w:val="Normal6"/>
              <w:rPr>
                <w:szCs w:val="24"/>
              </w:rPr>
            </w:pPr>
            <w:r w:rsidRPr="00422026">
              <w:t>3.</w:t>
            </w:r>
            <w:r w:rsidRPr="00422026">
              <w:tab/>
              <w:t xml:space="preserve">Vendar se </w:t>
            </w:r>
            <w:r w:rsidRPr="00422026">
              <w:rPr>
                <w:b/>
                <w:i/>
              </w:rPr>
              <w:t xml:space="preserve">člena </w:t>
            </w:r>
            <w:r w:rsidRPr="00422026">
              <w:t xml:space="preserve">11 </w:t>
            </w:r>
            <w:r w:rsidRPr="00422026">
              <w:rPr>
                <w:b/>
                <w:i/>
              </w:rPr>
              <w:t xml:space="preserve">in </w:t>
            </w:r>
            <w:r w:rsidRPr="00422026">
              <w:t xml:space="preserve">15 </w:t>
            </w:r>
            <w:r w:rsidRPr="00422026">
              <w:rPr>
                <w:b/>
                <w:i/>
              </w:rPr>
              <w:t>uporabljata</w:t>
            </w:r>
            <w:r w:rsidRPr="00422026">
              <w:t xml:space="preserve"> od </w:t>
            </w:r>
            <w:r w:rsidRPr="00422026">
              <w:rPr>
                <w:b/>
                <w:i/>
              </w:rPr>
              <w:t>[dve leti po začetku veljavnosti te uredbe]</w:t>
            </w:r>
            <w:r w:rsidRPr="00422026">
              <w:t>.</w:t>
            </w:r>
          </w:p>
        </w:tc>
      </w:tr>
    </w:tbl>
    <w:p w:rsidR="008B2568" w:rsidRPr="00422026" w:rsidRDefault="008B2568" w:rsidP="008B2568"/>
    <w:p w:rsidR="008B2568" w:rsidRPr="00422026" w:rsidRDefault="008B2568" w:rsidP="00A7257D">
      <w:pPr>
        <w:pStyle w:val="AMNumberTabs"/>
      </w:pPr>
      <w:r w:rsidRPr="00422026">
        <w:t>Predlog spremembe</w:t>
      </w:r>
      <w:r w:rsidRPr="00422026">
        <w:tab/>
      </w:r>
      <w:r w:rsidRPr="00422026">
        <w:tab/>
        <w:t>48</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 xml:space="preserve">Priloga I – področje 2 – vrstica 5 a (novo) </w:t>
      </w:r>
    </w:p>
    <w:tbl>
      <w:tblPr>
        <w:tblW w:w="9752" w:type="dxa"/>
        <w:jc w:val="center"/>
        <w:tblLayout w:type="fixed"/>
        <w:tblCellMar>
          <w:left w:w="340" w:type="dxa"/>
          <w:right w:w="340" w:type="dxa"/>
        </w:tblCellMar>
        <w:tblLook w:val="04A0" w:firstRow="1" w:lastRow="0" w:firstColumn="1" w:lastColumn="0" w:noHBand="0" w:noVBand="1"/>
      </w:tblPr>
      <w:tblGrid>
        <w:gridCol w:w="2977"/>
        <w:gridCol w:w="6775"/>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000000"/>
            </w:tcBorders>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D9D9D9"/>
          </w:tcPr>
          <w:p w:rsidR="008B2568" w:rsidRPr="00422026" w:rsidRDefault="008B2568" w:rsidP="00F4223F">
            <w:pPr>
              <w:pStyle w:val="Normal6"/>
            </w:pPr>
            <w:r w:rsidRPr="00422026">
              <w:t>Vsebina</w:t>
            </w:r>
          </w:p>
        </w:tc>
        <w:tc>
          <w:tcPr>
            <w:tcW w:w="6775" w:type="dxa"/>
            <w:tcBorders>
              <w:top w:val="single" w:sz="4" w:space="0" w:color="000000"/>
              <w:left w:val="single" w:sz="4" w:space="0" w:color="auto"/>
              <w:bottom w:val="single" w:sz="4" w:space="0" w:color="000000"/>
              <w:right w:val="single" w:sz="4" w:space="0" w:color="auto"/>
            </w:tcBorders>
            <w:shd w:val="clear" w:color="auto" w:fill="D9D9D9"/>
          </w:tcPr>
          <w:p w:rsidR="008B2568" w:rsidRPr="00422026" w:rsidRDefault="008B2568" w:rsidP="00F4223F">
            <w:pPr>
              <w:pStyle w:val="Normal6"/>
            </w:pPr>
            <w:r w:rsidRPr="00422026">
              <w:t>Podvsebina</w:t>
            </w:r>
          </w:p>
        </w:tc>
      </w:tr>
      <w:tr w:rsidR="008B2568" w:rsidRPr="00422026" w:rsidTr="00F4223F">
        <w:trPr>
          <w:jc w:val="center"/>
        </w:trPr>
        <w:tc>
          <w:tcPr>
            <w:tcW w:w="9752" w:type="dxa"/>
            <w:gridSpan w:val="2"/>
            <w:tcBorders>
              <w:top w:val="single" w:sz="4" w:space="0" w:color="000000"/>
            </w:tcBorders>
          </w:tcPr>
          <w:p w:rsidR="008B2568" w:rsidRPr="00422026" w:rsidRDefault="008B2568" w:rsidP="00F4223F">
            <w:pPr>
              <w:pStyle w:val="ColumnHeading"/>
              <w:keepNext/>
              <w:jc w:val="left"/>
            </w:pPr>
          </w:p>
        </w:tc>
      </w:tr>
      <w:tr w:rsidR="008B2568" w:rsidRPr="00422026" w:rsidTr="00F4223F">
        <w:trPr>
          <w:jc w:val="center"/>
        </w:trPr>
        <w:tc>
          <w:tcPr>
            <w:tcW w:w="9752" w:type="dxa"/>
            <w:gridSpan w:val="2"/>
            <w:tcBorders>
              <w:bottom w:val="single" w:sz="4" w:space="0" w:color="000000"/>
            </w:tcBorders>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D9D9D9"/>
          </w:tcPr>
          <w:p w:rsidR="008B2568" w:rsidRPr="00422026" w:rsidRDefault="008B2568" w:rsidP="00F4223F">
            <w:pPr>
              <w:pStyle w:val="Normal6"/>
            </w:pPr>
            <w:r w:rsidRPr="00422026">
              <w:t>Vsebina</w:t>
            </w:r>
          </w:p>
        </w:tc>
        <w:tc>
          <w:tcPr>
            <w:tcW w:w="6775" w:type="dxa"/>
            <w:tcBorders>
              <w:top w:val="single" w:sz="4" w:space="0" w:color="000000"/>
              <w:left w:val="single" w:sz="4" w:space="0" w:color="auto"/>
              <w:bottom w:val="single" w:sz="4" w:space="0" w:color="000000"/>
              <w:right w:val="single" w:sz="4" w:space="0" w:color="auto"/>
            </w:tcBorders>
            <w:shd w:val="clear" w:color="auto" w:fill="D9D9D9"/>
          </w:tcPr>
          <w:p w:rsidR="008B2568" w:rsidRPr="00422026" w:rsidRDefault="008B2568" w:rsidP="00F4223F">
            <w:pPr>
              <w:pStyle w:val="Normal6"/>
            </w:pPr>
            <w:r w:rsidRPr="00422026">
              <w:t>Podvsebina</w:t>
            </w:r>
          </w:p>
        </w:tc>
      </w:tr>
      <w:tr w:rsidR="008B2568" w:rsidRPr="00422026" w:rsidTr="00F4223F">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pPr>
            <w:r w:rsidRPr="00422026">
              <w:t xml:space="preserve">Finančne dejavnosti </w:t>
            </w:r>
          </w:p>
        </w:tc>
        <w:tc>
          <w:tcPr>
            <w:tcW w:w="6775"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pPr>
            <w:r w:rsidRPr="00422026">
              <w:rPr>
                <w:b/>
                <w:bCs/>
                <w:i/>
                <w:iCs/>
              </w:rPr>
              <w:t>Neto dobiček, ki ga je mogoče pripisati delničarjem</w:t>
            </w:r>
          </w:p>
        </w:tc>
      </w:tr>
      <w:tr w:rsidR="008B2568" w:rsidRPr="00422026" w:rsidTr="00F4223F">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ind w:left="-56"/>
            </w:pPr>
          </w:p>
        </w:tc>
        <w:tc>
          <w:tcPr>
            <w:tcW w:w="6775"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pPr>
            <w:r w:rsidRPr="00422026">
              <w:rPr>
                <w:b/>
                <w:bCs/>
                <w:i/>
                <w:iCs/>
              </w:rPr>
              <w:t>Čisti dobiček na delnico</w:t>
            </w:r>
          </w:p>
        </w:tc>
      </w:tr>
      <w:tr w:rsidR="008B2568" w:rsidRPr="00422026" w:rsidTr="00F4223F">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ind w:left="-56"/>
            </w:pPr>
          </w:p>
        </w:tc>
        <w:tc>
          <w:tcPr>
            <w:tcW w:w="6775" w:type="dxa"/>
            <w:tcBorders>
              <w:top w:val="single" w:sz="4" w:space="0" w:color="000000"/>
              <w:left w:val="single" w:sz="4" w:space="0" w:color="auto"/>
              <w:bottom w:val="single" w:sz="4" w:space="0" w:color="000000"/>
              <w:right w:val="single" w:sz="4" w:space="0" w:color="auto"/>
            </w:tcBorders>
            <w:shd w:val="clear" w:color="auto" w:fill="auto"/>
          </w:tcPr>
          <w:p w:rsidR="008B2568" w:rsidRPr="00422026" w:rsidRDefault="008B2568" w:rsidP="00F4223F">
            <w:pPr>
              <w:pStyle w:val="Normal6"/>
            </w:pPr>
            <w:r w:rsidRPr="00422026">
              <w:rPr>
                <w:b/>
                <w:bCs/>
                <w:i/>
                <w:iCs/>
              </w:rPr>
              <w:t>Donos lastniškega kapitala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49</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 xml:space="preserve">Priloga I – področje 2 – vrstica 8 a (novo) </w:t>
      </w:r>
    </w:p>
    <w:tbl>
      <w:tblPr>
        <w:tblW w:w="9614" w:type="dxa"/>
        <w:jc w:val="center"/>
        <w:tblLayout w:type="fixed"/>
        <w:tblCellMar>
          <w:left w:w="340" w:type="dxa"/>
          <w:right w:w="340" w:type="dxa"/>
        </w:tblCellMar>
        <w:tblLook w:val="04A0" w:firstRow="1" w:lastRow="0" w:firstColumn="1" w:lastColumn="0" w:noHBand="0" w:noVBand="1"/>
      </w:tblPr>
      <w:tblGrid>
        <w:gridCol w:w="48"/>
        <w:gridCol w:w="2879"/>
        <w:gridCol w:w="24"/>
        <w:gridCol w:w="6609"/>
        <w:gridCol w:w="29"/>
        <w:gridCol w:w="25"/>
      </w:tblGrid>
      <w:tr w:rsidR="008B2568" w:rsidRPr="00422026" w:rsidTr="00F4223F">
        <w:trPr>
          <w:gridAfter w:val="2"/>
          <w:wAfter w:w="54" w:type="dxa"/>
          <w:jc w:val="center"/>
        </w:trPr>
        <w:tc>
          <w:tcPr>
            <w:tcW w:w="9560" w:type="dxa"/>
            <w:gridSpan w:val="4"/>
          </w:tcPr>
          <w:p w:rsidR="008B2568" w:rsidRPr="00422026" w:rsidRDefault="008B2568" w:rsidP="00F4223F">
            <w:pPr>
              <w:keepNext/>
            </w:pPr>
          </w:p>
        </w:tc>
      </w:tr>
      <w:tr w:rsidR="008B2568" w:rsidRPr="00422026" w:rsidTr="00F4223F">
        <w:trPr>
          <w:gridAfter w:val="2"/>
          <w:wAfter w:w="54" w:type="dxa"/>
          <w:jc w:val="center"/>
        </w:trPr>
        <w:tc>
          <w:tcPr>
            <w:tcW w:w="9560" w:type="dxa"/>
            <w:gridSpan w:val="4"/>
            <w:tcBorders>
              <w:bottom w:val="single" w:sz="4" w:space="0" w:color="auto"/>
            </w:tcBorders>
            <w:hideMark/>
          </w:tcPr>
          <w:p w:rsidR="008B2568" w:rsidRPr="00422026" w:rsidRDefault="008B2568" w:rsidP="00F4223F">
            <w:pPr>
              <w:pStyle w:val="ColumnHeading"/>
              <w:keepNext/>
            </w:pPr>
            <w:r w:rsidRPr="00422026">
              <w:t>Besedilo, ki ga predlaga Komisija</w:t>
            </w:r>
          </w:p>
        </w:tc>
      </w:tr>
      <w:tr w:rsidR="008B2568" w:rsidRPr="00422026" w:rsidTr="00F4223F">
        <w:tblPrEx>
          <w:jc w:val="left"/>
          <w:tblCellMar>
            <w:left w:w="108" w:type="dxa"/>
            <w:right w:w="108" w:type="dxa"/>
          </w:tblCellMar>
        </w:tblPrEx>
        <w:trPr>
          <w:gridAfter w:val="1"/>
          <w:wAfter w:w="25" w:type="dxa"/>
        </w:trPr>
        <w:tc>
          <w:tcPr>
            <w:tcW w:w="29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B2568" w:rsidRPr="00422026" w:rsidRDefault="008B2568" w:rsidP="00F4223F">
            <w:pPr>
              <w:pStyle w:val="Normal6"/>
            </w:pPr>
            <w:r w:rsidRPr="00422026">
              <w:t>Vsebina</w:t>
            </w:r>
          </w:p>
        </w:tc>
        <w:tc>
          <w:tcPr>
            <w:tcW w:w="6662" w:type="dxa"/>
            <w:gridSpan w:val="3"/>
            <w:tcBorders>
              <w:top w:val="single" w:sz="4" w:space="0" w:color="auto"/>
              <w:left w:val="nil"/>
              <w:bottom w:val="single" w:sz="4" w:space="0" w:color="auto"/>
              <w:right w:val="single" w:sz="4" w:space="0" w:color="auto"/>
            </w:tcBorders>
            <w:shd w:val="clear" w:color="auto" w:fill="D9D9D9"/>
            <w:hideMark/>
          </w:tcPr>
          <w:p w:rsidR="008B2568" w:rsidRPr="00422026" w:rsidRDefault="008B2568" w:rsidP="00F4223F">
            <w:pPr>
              <w:pStyle w:val="Normal6"/>
            </w:pPr>
            <w:r w:rsidRPr="00422026">
              <w:t>Podvsebina</w:t>
            </w:r>
          </w:p>
        </w:tc>
      </w:tr>
      <w:tr w:rsidR="008B2568" w:rsidRPr="00422026" w:rsidTr="00F4223F">
        <w:trPr>
          <w:gridAfter w:val="2"/>
          <w:wAfter w:w="54" w:type="dxa"/>
          <w:jc w:val="center"/>
        </w:trPr>
        <w:tc>
          <w:tcPr>
            <w:tcW w:w="9560" w:type="dxa"/>
            <w:gridSpan w:val="4"/>
          </w:tcPr>
          <w:p w:rsidR="008B2568" w:rsidRPr="00422026" w:rsidRDefault="008B2568" w:rsidP="00F4223F">
            <w:pPr>
              <w:keepNext/>
            </w:pPr>
          </w:p>
        </w:tc>
      </w:tr>
      <w:tr w:rsidR="008B2568" w:rsidRPr="00422026" w:rsidTr="00F4223F">
        <w:trPr>
          <w:gridAfter w:val="2"/>
          <w:wAfter w:w="54" w:type="dxa"/>
          <w:jc w:val="center"/>
        </w:trPr>
        <w:tc>
          <w:tcPr>
            <w:tcW w:w="9560" w:type="dxa"/>
            <w:gridSpan w:val="4"/>
            <w:hideMark/>
          </w:tcPr>
          <w:p w:rsidR="008B2568" w:rsidRPr="00422026" w:rsidRDefault="008B2568" w:rsidP="00F4223F">
            <w:pPr>
              <w:pStyle w:val="ColumnHeading"/>
              <w:keepNext/>
            </w:pPr>
            <w:r w:rsidRPr="00422026">
              <w:t>Predlog spremembe</w:t>
            </w:r>
          </w:p>
        </w:tc>
      </w:tr>
      <w:tr w:rsidR="008B2568" w:rsidRPr="00422026" w:rsidTr="00F4223F">
        <w:tblPrEx>
          <w:jc w:val="left"/>
          <w:tblCellMar>
            <w:left w:w="108" w:type="dxa"/>
            <w:right w:w="108" w:type="dxa"/>
          </w:tblCellMar>
        </w:tblPrEx>
        <w:trPr>
          <w:gridBefore w:val="1"/>
          <w:wBefore w:w="48" w:type="dxa"/>
        </w:trPr>
        <w:tc>
          <w:tcPr>
            <w:tcW w:w="29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B2568" w:rsidRPr="00422026" w:rsidRDefault="008B2568" w:rsidP="00F4223F">
            <w:pPr>
              <w:pStyle w:val="Normal6"/>
            </w:pPr>
            <w:r w:rsidRPr="00422026">
              <w:t>Vsebina</w:t>
            </w:r>
          </w:p>
        </w:tc>
        <w:tc>
          <w:tcPr>
            <w:tcW w:w="6663" w:type="dxa"/>
            <w:gridSpan w:val="3"/>
            <w:tcBorders>
              <w:top w:val="single" w:sz="4" w:space="0" w:color="auto"/>
              <w:left w:val="nil"/>
              <w:bottom w:val="single" w:sz="4" w:space="0" w:color="auto"/>
              <w:right w:val="single" w:sz="4" w:space="0" w:color="auto"/>
            </w:tcBorders>
            <w:shd w:val="clear" w:color="auto" w:fill="D9D9D9"/>
            <w:hideMark/>
          </w:tcPr>
          <w:p w:rsidR="008B2568" w:rsidRPr="00422026" w:rsidRDefault="008B2568" w:rsidP="00F4223F">
            <w:pPr>
              <w:pStyle w:val="Normal6"/>
            </w:pPr>
            <w:r w:rsidRPr="00422026">
              <w:t>Podvsebina</w:t>
            </w:r>
          </w:p>
        </w:tc>
      </w:tr>
      <w:tr w:rsidR="008B2568" w:rsidRPr="00422026" w:rsidTr="00F4223F">
        <w:tblPrEx>
          <w:jc w:val="left"/>
          <w:tblCellMar>
            <w:left w:w="108" w:type="dxa"/>
            <w:right w:w="108" w:type="dxa"/>
          </w:tblCellMar>
        </w:tblPrEx>
        <w:trPr>
          <w:gridBefore w:val="1"/>
          <w:wBefore w:w="48" w:type="dxa"/>
        </w:trPr>
        <w:tc>
          <w:tcPr>
            <w:tcW w:w="2903" w:type="dxa"/>
            <w:gridSpan w:val="2"/>
            <w:tcBorders>
              <w:top w:val="single" w:sz="4" w:space="0" w:color="auto"/>
              <w:left w:val="single" w:sz="4" w:space="0" w:color="auto"/>
              <w:bottom w:val="single" w:sz="4" w:space="0" w:color="auto"/>
              <w:right w:val="single" w:sz="4" w:space="0" w:color="auto"/>
            </w:tcBorders>
            <w:hideMark/>
          </w:tcPr>
          <w:p w:rsidR="008B2568" w:rsidRPr="00422026" w:rsidRDefault="008B2568" w:rsidP="00F4223F">
            <w:pPr>
              <w:pStyle w:val="Normal6"/>
              <w:rPr>
                <w:b/>
                <w:bCs/>
                <w:i/>
                <w:iCs/>
              </w:rPr>
            </w:pPr>
            <w:r w:rsidRPr="00422026">
              <w:rPr>
                <w:b/>
                <w:bCs/>
                <w:i/>
                <w:iCs/>
              </w:rPr>
              <w:t>Okolje in podnebje</w:t>
            </w:r>
          </w:p>
        </w:tc>
        <w:tc>
          <w:tcPr>
            <w:tcW w:w="6663" w:type="dxa"/>
            <w:gridSpan w:val="3"/>
            <w:tcBorders>
              <w:top w:val="single" w:sz="4" w:space="0" w:color="auto"/>
              <w:left w:val="nil"/>
              <w:bottom w:val="single" w:sz="4" w:space="0" w:color="auto"/>
              <w:right w:val="single" w:sz="4" w:space="0" w:color="auto"/>
            </w:tcBorders>
            <w:hideMark/>
          </w:tcPr>
          <w:p w:rsidR="008B2568" w:rsidRPr="00422026" w:rsidRDefault="008B2568" w:rsidP="00F4223F">
            <w:pPr>
              <w:pStyle w:val="Normal6"/>
              <w:rPr>
                <w:b/>
                <w:bCs/>
                <w:i/>
                <w:iCs/>
              </w:rPr>
            </w:pPr>
            <w:r w:rsidRPr="00422026">
              <w:rPr>
                <w:b/>
                <w:bCs/>
                <w:i/>
                <w:iCs/>
              </w:rPr>
              <w:t>Prejete / prodane emisije CO</w:t>
            </w:r>
            <w:r w:rsidRPr="00422026">
              <w:rPr>
                <w:b/>
                <w:bCs/>
                <w:i/>
                <w:iCs/>
                <w:vertAlign w:val="subscript"/>
              </w:rPr>
              <w:t>2</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50</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Priloga II – področje 1 – vrstica 4</w:t>
      </w:r>
    </w:p>
    <w:tbl>
      <w:tblPr>
        <w:tblW w:w="9781" w:type="dxa"/>
        <w:jc w:val="center"/>
        <w:tblLayout w:type="fixed"/>
        <w:tblCellMar>
          <w:left w:w="340" w:type="dxa"/>
          <w:right w:w="340" w:type="dxa"/>
        </w:tblCellMar>
        <w:tblLook w:val="04A0" w:firstRow="1" w:lastRow="0" w:firstColumn="1" w:lastColumn="0" w:noHBand="0" w:noVBand="1"/>
      </w:tblPr>
      <w:tblGrid>
        <w:gridCol w:w="3143"/>
        <w:gridCol w:w="33"/>
        <w:gridCol w:w="6576"/>
        <w:gridCol w:w="29"/>
      </w:tblGrid>
      <w:tr w:rsidR="008B2568" w:rsidRPr="00422026" w:rsidTr="00F4223F">
        <w:trPr>
          <w:gridAfter w:val="1"/>
          <w:wAfter w:w="29" w:type="dxa"/>
          <w:jc w:val="center"/>
        </w:trPr>
        <w:tc>
          <w:tcPr>
            <w:tcW w:w="9752" w:type="dxa"/>
            <w:gridSpan w:val="3"/>
          </w:tcPr>
          <w:p w:rsidR="008B2568" w:rsidRPr="00422026" w:rsidRDefault="008B2568" w:rsidP="00F4223F">
            <w:pPr>
              <w:keepNext/>
            </w:pPr>
          </w:p>
        </w:tc>
      </w:tr>
      <w:tr w:rsidR="008B2568" w:rsidRPr="00422026" w:rsidTr="00F4223F">
        <w:trPr>
          <w:gridAfter w:val="1"/>
          <w:wAfter w:w="29" w:type="dxa"/>
          <w:jc w:val="center"/>
        </w:trPr>
        <w:tc>
          <w:tcPr>
            <w:tcW w:w="9752" w:type="dxa"/>
            <w:gridSpan w:val="3"/>
            <w:tcBorders>
              <w:bottom w:val="single" w:sz="4" w:space="0" w:color="auto"/>
            </w:tcBorders>
            <w:hideMark/>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3143"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Vsebina</w:t>
            </w:r>
          </w:p>
        </w:tc>
        <w:tc>
          <w:tcPr>
            <w:tcW w:w="6638" w:type="dxa"/>
            <w:gridSpan w:val="3"/>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43"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Rezultati in uspešnost</w:t>
            </w:r>
          </w:p>
        </w:tc>
        <w:tc>
          <w:tcPr>
            <w:tcW w:w="6638" w:type="dxa"/>
            <w:gridSpan w:val="3"/>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mesečna; četrtletna za majhne države za področje F NACE</w:t>
            </w:r>
          </w:p>
        </w:tc>
      </w:tr>
      <w:tr w:rsidR="008B2568" w:rsidRPr="00422026" w:rsidTr="00F4223F">
        <w:trPr>
          <w:gridAfter w:val="1"/>
          <w:wAfter w:w="29" w:type="dxa"/>
          <w:jc w:val="center"/>
        </w:trPr>
        <w:tc>
          <w:tcPr>
            <w:tcW w:w="9752" w:type="dxa"/>
            <w:gridSpan w:val="3"/>
            <w:tcBorders>
              <w:top w:val="single" w:sz="4" w:space="0" w:color="auto"/>
            </w:tcBorders>
          </w:tcPr>
          <w:p w:rsidR="008B2568" w:rsidRPr="00422026" w:rsidRDefault="008B2568" w:rsidP="00F4223F">
            <w:pPr>
              <w:keepNext/>
            </w:pPr>
          </w:p>
        </w:tc>
      </w:tr>
      <w:tr w:rsidR="008B2568" w:rsidRPr="00422026" w:rsidTr="00F4223F">
        <w:trPr>
          <w:gridAfter w:val="1"/>
          <w:wAfter w:w="29" w:type="dxa"/>
          <w:jc w:val="center"/>
        </w:trPr>
        <w:tc>
          <w:tcPr>
            <w:tcW w:w="9752" w:type="dxa"/>
            <w:gridSpan w:val="3"/>
            <w:tcBorders>
              <w:bottom w:val="single" w:sz="4" w:space="0" w:color="auto"/>
            </w:tcBorders>
            <w:hideMark/>
          </w:tcPr>
          <w:p w:rsidR="008B2568" w:rsidRPr="00422026" w:rsidRDefault="008B2568" w:rsidP="00F4223F">
            <w:pPr>
              <w:pStyle w:val="ColumnHeading"/>
              <w:keepNext/>
            </w:pPr>
            <w:r w:rsidRPr="00422026">
              <w:t>Predlog spremembe</w:t>
            </w:r>
          </w:p>
        </w:tc>
      </w:tr>
      <w:tr w:rsidR="008B2568" w:rsidRPr="00422026" w:rsidTr="00F4223F">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Vsebina</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Rezultati in uspešnost</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mesečna; četrtletna za majhne</w:t>
            </w:r>
            <w:r w:rsidRPr="00422026">
              <w:rPr>
                <w:i/>
              </w:rPr>
              <w:t>*</w:t>
            </w:r>
            <w:r w:rsidRPr="00422026">
              <w:t xml:space="preserve"> države za področje F NACE</w:t>
            </w:r>
          </w:p>
        </w:tc>
      </w:tr>
      <w:tr w:rsidR="008B2568" w:rsidRPr="00422026" w:rsidTr="00F4223F">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ind w:left="-198"/>
            </w:pP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rPr>
                <w:b/>
                <w:bCs/>
                <w:i/>
                <w:iCs/>
              </w:rPr>
            </w:pPr>
            <w:r w:rsidRPr="00422026">
              <w:rPr>
                <w:b/>
                <w:bCs/>
                <w:i/>
                <w:iCs/>
              </w:rPr>
              <w:t>*V skladu z izvedbenimi akti iz člena 7(1).</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51</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lastRenderedPageBreak/>
        <w:t>Priloga II – področje 2 – vrstica 3</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Vsebina</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Vložki za raziskave in razvoj</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vsaki dve leti; letna za sektor razčlenitve uspešnosti notranjih odhodkov za raziskave in razvoj, zaposlene na področju raziskav in razvoja ter število raziskovalcev kot tudi za vladne odobritve proračunskih sredstev ali stroške za raziskave in razvoj (GBAORD) ter nacionalno javno financiranje za raziskave in razvoj, ki se usklajujejo transnacionalno</w:t>
            </w:r>
          </w:p>
        </w:tc>
      </w:tr>
      <w:tr w:rsidR="008B2568" w:rsidRPr="00422026" w:rsidTr="00F4223F">
        <w:trPr>
          <w:jc w:val="center"/>
        </w:trPr>
        <w:tc>
          <w:tcPr>
            <w:tcW w:w="9752" w:type="dxa"/>
            <w:gridSpan w:val="2"/>
            <w:tcBorders>
              <w:top w:val="single" w:sz="4" w:space="0" w:color="auto"/>
            </w:tcBorders>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Vsebina</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Vložki za raziskave in razvoj</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letna</w:t>
            </w:r>
          </w:p>
        </w:tc>
      </w:tr>
    </w:tbl>
    <w:p w:rsidR="008B2568" w:rsidRPr="00422026" w:rsidRDefault="008B2568" w:rsidP="008B2568">
      <w:pPr>
        <w:rPr>
          <w:szCs w:val="24"/>
        </w:rPr>
      </w:pPr>
    </w:p>
    <w:p w:rsidR="008B2568" w:rsidRPr="00422026" w:rsidRDefault="008B2568" w:rsidP="00A7257D">
      <w:pPr>
        <w:pStyle w:val="AMNumberTabs"/>
      </w:pPr>
      <w:r w:rsidRPr="00422026">
        <w:t>Predlog spremembe</w:t>
      </w:r>
      <w:r w:rsidRPr="00422026">
        <w:tab/>
      </w:r>
      <w:r w:rsidRPr="00422026">
        <w:tab/>
        <w:t>52</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Priloga II – področje 2 – vrstica 3</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hideMark/>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Finančne dejavnosti</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letna</w:t>
            </w:r>
          </w:p>
        </w:tc>
      </w:tr>
    </w:tbl>
    <w:p w:rsidR="008B2568" w:rsidRPr="00422026" w:rsidRDefault="008B2568" w:rsidP="00A7257D">
      <w:pPr>
        <w:pStyle w:val="AMNumberTabs"/>
      </w:pPr>
      <w:r w:rsidRPr="00422026">
        <w:t>Predlog spremembe</w:t>
      </w:r>
      <w:r w:rsidRPr="00422026">
        <w:tab/>
      </w:r>
      <w:r w:rsidRPr="00422026">
        <w:tab/>
        <w:t>53</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Priloga II – področje 2 – vrstica 7</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Inovacije</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vsaki dve leti</w:t>
            </w:r>
          </w:p>
        </w:tc>
      </w:tr>
      <w:tr w:rsidR="008B2568" w:rsidRPr="00422026" w:rsidTr="00F4223F">
        <w:trPr>
          <w:jc w:val="center"/>
        </w:trPr>
        <w:tc>
          <w:tcPr>
            <w:tcW w:w="9752" w:type="dxa"/>
            <w:gridSpan w:val="2"/>
            <w:tcBorders>
              <w:top w:val="single" w:sz="4" w:space="0" w:color="auto"/>
            </w:tcBorders>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t>Inovacije</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rPr>
                <w:b/>
              </w:rPr>
            </w:pPr>
            <w:r w:rsidRPr="00422026">
              <w:rPr>
                <w:b/>
                <w:bCs/>
                <w:i/>
                <w:iCs/>
              </w:rPr>
              <w:t>letna</w:t>
            </w:r>
          </w:p>
        </w:tc>
      </w:tr>
    </w:tbl>
    <w:p w:rsidR="008B2568" w:rsidRPr="00422026" w:rsidRDefault="008B2568" w:rsidP="00A7257D">
      <w:pPr>
        <w:pStyle w:val="AMNumberTabs"/>
      </w:pPr>
      <w:r w:rsidRPr="00422026">
        <w:t>Predlog spremembe</w:t>
      </w:r>
      <w:r w:rsidRPr="00422026">
        <w:tab/>
      </w:r>
      <w:r w:rsidRPr="00422026">
        <w:tab/>
        <w:t>54</w:t>
      </w:r>
    </w:p>
    <w:p w:rsidR="00A7257D" w:rsidRPr="00422026" w:rsidRDefault="00A7257D" w:rsidP="00A7257D">
      <w:pPr>
        <w:pStyle w:val="NormalBold12b"/>
      </w:pPr>
      <w:r w:rsidRPr="00422026">
        <w:t>Predlog uredbe</w:t>
      </w:r>
    </w:p>
    <w:p w:rsidR="008B2568" w:rsidRPr="00422026" w:rsidRDefault="008B2568" w:rsidP="00A7257D">
      <w:pPr>
        <w:pStyle w:val="NormalBold"/>
      </w:pPr>
      <w:r w:rsidRPr="00422026">
        <w:t>Priloga II – področje 2 – vrstica 8 a (novo)</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8B2568" w:rsidRPr="00422026" w:rsidTr="00F4223F">
        <w:trPr>
          <w:jc w:val="center"/>
        </w:trPr>
        <w:tc>
          <w:tcPr>
            <w:tcW w:w="9752" w:type="dxa"/>
            <w:gridSpan w:val="2"/>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Besedilo, ki ga predlaga Komisija</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9752" w:type="dxa"/>
            <w:gridSpan w:val="2"/>
            <w:tcBorders>
              <w:top w:val="single" w:sz="4" w:space="0" w:color="auto"/>
            </w:tcBorders>
          </w:tcPr>
          <w:p w:rsidR="008B2568" w:rsidRPr="00422026" w:rsidRDefault="008B2568" w:rsidP="00F4223F">
            <w:pPr>
              <w:keepNext/>
            </w:pPr>
          </w:p>
        </w:tc>
      </w:tr>
      <w:tr w:rsidR="008B2568" w:rsidRPr="00422026" w:rsidTr="00F4223F">
        <w:trPr>
          <w:jc w:val="center"/>
        </w:trPr>
        <w:tc>
          <w:tcPr>
            <w:tcW w:w="9752" w:type="dxa"/>
            <w:gridSpan w:val="2"/>
            <w:tcBorders>
              <w:bottom w:val="single" w:sz="4" w:space="0" w:color="auto"/>
            </w:tcBorders>
            <w:hideMark/>
          </w:tcPr>
          <w:p w:rsidR="008B2568" w:rsidRPr="00422026" w:rsidRDefault="008B2568" w:rsidP="00F4223F">
            <w:pPr>
              <w:pStyle w:val="ColumnHeading"/>
              <w:keepNext/>
            </w:pPr>
            <w:r w:rsidRPr="00422026">
              <w:t>Predlog spremembe</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Teme</w:t>
            </w:r>
          </w:p>
        </w:tc>
        <w:tc>
          <w:tcPr>
            <w:tcW w:w="6576" w:type="dxa"/>
            <w:tcBorders>
              <w:top w:val="single" w:sz="4" w:space="0" w:color="auto"/>
              <w:left w:val="single" w:sz="4" w:space="0" w:color="auto"/>
              <w:bottom w:val="single" w:sz="4" w:space="0" w:color="auto"/>
              <w:right w:val="single" w:sz="4" w:space="0" w:color="auto"/>
            </w:tcBorders>
            <w:shd w:val="clear" w:color="auto" w:fill="D9D9D9"/>
          </w:tcPr>
          <w:p w:rsidR="008B2568" w:rsidRPr="00422026" w:rsidRDefault="008B2568" w:rsidP="00F4223F">
            <w:pPr>
              <w:pStyle w:val="Normal6"/>
            </w:pPr>
            <w:r w:rsidRPr="00422026">
              <w:t>Periodičnost</w:t>
            </w:r>
          </w:p>
        </w:tc>
      </w:tr>
      <w:tr w:rsidR="008B2568" w:rsidRPr="00422026" w:rsidTr="00F4223F">
        <w:trPr>
          <w:jc w:val="center"/>
        </w:trPr>
        <w:tc>
          <w:tcPr>
            <w:tcW w:w="31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tabs>
                <w:tab w:val="right" w:pos="2496"/>
              </w:tabs>
            </w:pPr>
            <w:r w:rsidRPr="00422026">
              <w:rPr>
                <w:b/>
                <w:bCs/>
                <w:i/>
                <w:iCs/>
              </w:rPr>
              <w:t>Okolje in podnebje</w:t>
            </w:r>
          </w:p>
        </w:tc>
        <w:tc>
          <w:tcPr>
            <w:tcW w:w="6576" w:type="dxa"/>
            <w:tcBorders>
              <w:top w:val="single" w:sz="4" w:space="0" w:color="auto"/>
              <w:left w:val="single" w:sz="4" w:space="0" w:color="auto"/>
              <w:bottom w:val="single" w:sz="4" w:space="0" w:color="auto"/>
              <w:right w:val="single" w:sz="4" w:space="0" w:color="auto"/>
            </w:tcBorders>
          </w:tcPr>
          <w:p w:rsidR="008B2568" w:rsidRPr="00422026" w:rsidRDefault="008B2568" w:rsidP="00F4223F">
            <w:pPr>
              <w:pStyle w:val="Normal6"/>
            </w:pPr>
            <w:r w:rsidRPr="00422026">
              <w:rPr>
                <w:b/>
                <w:bCs/>
                <w:i/>
                <w:iCs/>
              </w:rPr>
              <w:t>letna</w:t>
            </w:r>
          </w:p>
        </w:tc>
      </w:tr>
    </w:tbl>
    <w:p w:rsidR="008B2568" w:rsidRPr="00422026" w:rsidRDefault="008B2568" w:rsidP="008B2568"/>
    <w:p w:rsidR="008B2568" w:rsidRPr="00422026" w:rsidRDefault="008B2568" w:rsidP="008B2568"/>
    <w:p w:rsidR="00E365E1" w:rsidRPr="00422026" w:rsidRDefault="00E365E1" w:rsidP="008B2568">
      <w:bookmarkStart w:id="1" w:name="TextBodyEnd"/>
      <w:bookmarkEnd w:id="1"/>
    </w:p>
    <w:sectPr w:rsidR="00E365E1" w:rsidRPr="00422026" w:rsidSect="0065489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2A" w:rsidRPr="0065489B" w:rsidRDefault="00B5302A">
      <w:r w:rsidRPr="0065489B">
        <w:separator/>
      </w:r>
    </w:p>
  </w:endnote>
  <w:endnote w:type="continuationSeparator" w:id="0">
    <w:p w:rsidR="00B5302A" w:rsidRPr="0065489B" w:rsidRDefault="00B5302A">
      <w:r w:rsidRPr="006548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26" w:rsidRDefault="0042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9B" w:rsidRDefault="0065489B" w:rsidP="00422026">
    <w:pPr>
      <w:pStyle w:val="Footer"/>
      <w:tabs>
        <w:tab w:val="clear" w:pos="9639"/>
        <w:tab w:val="right" w:pos="9184"/>
      </w:tabs>
    </w:pPr>
  </w:p>
  <w:p w:rsidR="00422026" w:rsidRDefault="00422026" w:rsidP="00422026">
    <w:pPr>
      <w:pStyle w:val="Footer"/>
      <w:pBdr>
        <w:top w:val="single" w:sz="2" w:space="1" w:color="000000"/>
      </w:pBdr>
      <w:tabs>
        <w:tab w:val="clear" w:pos="9639"/>
        <w:tab w:val="right" w:pos="9184"/>
      </w:tabs>
    </w:pPr>
    <w:r>
      <w:tab/>
    </w:r>
    <w:r w:rsidRPr="00422026">
      <w:rPr>
        <w:rStyle w:val="HideTWBExt"/>
      </w:rPr>
      <w:t>&lt;NuPE&gt;</w:t>
    </w:r>
    <w:r>
      <w:t>PE637.697</w:t>
    </w:r>
    <w:r w:rsidRPr="00422026">
      <w:rPr>
        <w:rStyle w:val="HideTWBExt"/>
      </w:rPr>
      <w:t>&lt;/NuPE&gt;</w:t>
    </w:r>
    <w:r>
      <w:t xml:space="preserve">/ </w:t>
    </w:r>
    <w:r>
      <w:fldChar w:fldCharType="begin"/>
    </w:r>
    <w:r>
      <w:instrText xml:space="preserve"> PAGE  \* MERGEFORMAT </w:instrText>
    </w:r>
    <w:r>
      <w:fldChar w:fldCharType="separate"/>
    </w:r>
    <w:r w:rsidR="00FC464C">
      <w:rPr>
        <w:noProof/>
      </w:rPr>
      <w:t>2</w:t>
    </w:r>
    <w:r>
      <w:fldChar w:fldCharType="end"/>
    </w:r>
  </w:p>
  <w:p w:rsidR="00422026" w:rsidRPr="00422026" w:rsidRDefault="00422026" w:rsidP="00422026">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26" w:rsidRDefault="0042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2A" w:rsidRPr="0065489B" w:rsidRDefault="00B5302A">
      <w:r w:rsidRPr="0065489B">
        <w:separator/>
      </w:r>
    </w:p>
  </w:footnote>
  <w:footnote w:type="continuationSeparator" w:id="0">
    <w:p w:rsidR="00B5302A" w:rsidRPr="0065489B" w:rsidRDefault="00B5302A">
      <w:r w:rsidRPr="006548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26" w:rsidRDefault="00422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26" w:rsidRDefault="00422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26" w:rsidRDefault="0042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94/2018"/>
    <w:docVar w:name="dvlangue" w:val="SL"/>
    <w:docVar w:name="dvnumam" w:val="54"/>
    <w:docVar w:name="dvpe" w:val="612.068"/>
    <w:docVar w:name="dvrapporteur" w:val="Poročevalec: "/>
    <w:docVar w:name="dvtitre" w:val="Zakonodajna resolucija Evropskega parlamenta z dne … 2019 o predlogu uredbe Evropskega parlamenta in Sveta o evropski statistiki podjetij ter o spremembi Uredbe (ES) št. 184/2005 in razveljavitvi desetih pravnih aktov na področju statistike podjetij(COM(2017)0114 – C8-0099/2017 – 2017/0048(COD))"/>
    <w:docVar w:name="TA_Comm_A5Nr" w:val="A8-0094/2018"/>
    <w:docVar w:name="TA_Comm_Langue" w:val="SL"/>
    <w:docVar w:name="TA_Comm_NrAM" w:val="001-054"/>
    <w:docVar w:name="TA_Type" w:val="TA_COMM"/>
  </w:docVars>
  <w:rsids>
    <w:rsidRoot w:val="00B5302A"/>
    <w:rsid w:val="00002272"/>
    <w:rsid w:val="000677B9"/>
    <w:rsid w:val="000E7DD9"/>
    <w:rsid w:val="0010095E"/>
    <w:rsid w:val="001130FD"/>
    <w:rsid w:val="00125B37"/>
    <w:rsid w:val="00250562"/>
    <w:rsid w:val="002767FF"/>
    <w:rsid w:val="002B5493"/>
    <w:rsid w:val="00361C00"/>
    <w:rsid w:val="00395FA1"/>
    <w:rsid w:val="003E15D4"/>
    <w:rsid w:val="00411CCE"/>
    <w:rsid w:val="0041666E"/>
    <w:rsid w:val="00421060"/>
    <w:rsid w:val="00422026"/>
    <w:rsid w:val="00494A28"/>
    <w:rsid w:val="0050519A"/>
    <w:rsid w:val="005072A1"/>
    <w:rsid w:val="00514517"/>
    <w:rsid w:val="006037C0"/>
    <w:rsid w:val="0065489B"/>
    <w:rsid w:val="00680577"/>
    <w:rsid w:val="006F74FA"/>
    <w:rsid w:val="00731ADD"/>
    <w:rsid w:val="00734777"/>
    <w:rsid w:val="00751A4A"/>
    <w:rsid w:val="00756632"/>
    <w:rsid w:val="007D1690"/>
    <w:rsid w:val="00865F67"/>
    <w:rsid w:val="00881A7B"/>
    <w:rsid w:val="008840E5"/>
    <w:rsid w:val="00897A87"/>
    <w:rsid w:val="008B2568"/>
    <w:rsid w:val="008C2AC6"/>
    <w:rsid w:val="009509D8"/>
    <w:rsid w:val="00981893"/>
    <w:rsid w:val="00A4678D"/>
    <w:rsid w:val="00A7257D"/>
    <w:rsid w:val="00AF3B82"/>
    <w:rsid w:val="00B5302A"/>
    <w:rsid w:val="00B558F0"/>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C464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DB7060-4CC2-45EF-BD1E-A4D3518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B256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B2568"/>
    <w:rPr>
      <w:sz w:val="24"/>
      <w:lang w:val="fr-FR" w:eastAsia="fr-FR"/>
    </w:rPr>
  </w:style>
  <w:style w:type="character" w:customStyle="1" w:styleId="Heading3Char">
    <w:name w:val="Heading 3 Char"/>
    <w:link w:val="Heading3"/>
    <w:rsid w:val="008B2568"/>
    <w:rPr>
      <w:rFonts w:ascii="Arial" w:hAnsi="Arial"/>
      <w:sz w:val="24"/>
      <w:lang w:val="fr-FR" w:eastAsia="fr-FR"/>
    </w:rPr>
  </w:style>
  <w:style w:type="character" w:customStyle="1" w:styleId="Heading4Char">
    <w:name w:val="Heading 4 Char"/>
    <w:link w:val="Heading4"/>
    <w:rsid w:val="008B2568"/>
    <w:rPr>
      <w:sz w:val="24"/>
      <w:lang w:val="en-US" w:eastAsia="fr-FR"/>
    </w:rPr>
  </w:style>
  <w:style w:type="character" w:customStyle="1" w:styleId="Heading5Char">
    <w:name w:val="Heading 5 Char"/>
    <w:link w:val="Heading5"/>
    <w:rsid w:val="008B2568"/>
    <w:rPr>
      <w:sz w:val="24"/>
      <w:lang w:val="en-US" w:eastAsia="fr-FR"/>
    </w:rPr>
  </w:style>
  <w:style w:type="character" w:customStyle="1" w:styleId="Heading6Char">
    <w:name w:val="Heading 6 Char"/>
    <w:link w:val="Heading6"/>
    <w:rsid w:val="008B2568"/>
    <w:rPr>
      <w:i/>
      <w:sz w:val="22"/>
      <w:lang w:val="sl-SI"/>
    </w:rPr>
  </w:style>
  <w:style w:type="character" w:customStyle="1" w:styleId="Heading7Char">
    <w:name w:val="Heading 7 Char"/>
    <w:link w:val="Heading7"/>
    <w:rsid w:val="008B2568"/>
    <w:rPr>
      <w:rFonts w:ascii="Arial" w:hAnsi="Arial"/>
      <w:sz w:val="24"/>
      <w:lang w:val="sl-SI"/>
    </w:rPr>
  </w:style>
  <w:style w:type="character" w:customStyle="1" w:styleId="Heading8Char">
    <w:name w:val="Heading 8 Char"/>
    <w:link w:val="Heading8"/>
    <w:rsid w:val="008B2568"/>
    <w:rPr>
      <w:rFonts w:ascii="Arial" w:hAnsi="Arial"/>
      <w:i/>
      <w:sz w:val="24"/>
      <w:lang w:val="sl-SI"/>
    </w:rPr>
  </w:style>
  <w:style w:type="character" w:customStyle="1" w:styleId="Heading9Char">
    <w:name w:val="Heading 9 Char"/>
    <w:link w:val="Heading9"/>
    <w:rsid w:val="008B2568"/>
    <w:rPr>
      <w:rFonts w:ascii="Arial" w:hAnsi="Arial"/>
      <w:b/>
      <w:i/>
      <w:sz w:val="18"/>
      <w:lang w:val="sl-SI"/>
    </w:rPr>
  </w:style>
  <w:style w:type="character" w:customStyle="1" w:styleId="FooterChar">
    <w:name w:val="Footer Char"/>
    <w:link w:val="Footer"/>
    <w:rsid w:val="008B2568"/>
    <w:rPr>
      <w:sz w:val="22"/>
      <w:lang w:val="fr-FR" w:eastAsia="fr-FR"/>
    </w:rPr>
  </w:style>
  <w:style w:type="character" w:customStyle="1" w:styleId="Normal6Char">
    <w:name w:val="Normal6 Char"/>
    <w:link w:val="Normal6"/>
    <w:rsid w:val="008B2568"/>
    <w:rPr>
      <w:sz w:val="24"/>
      <w:lang w:val="sl-SI"/>
    </w:rPr>
  </w:style>
  <w:style w:type="character" w:customStyle="1" w:styleId="NormalBoldChar">
    <w:name w:val="NormalBold Char"/>
    <w:link w:val="NormalBold"/>
    <w:rsid w:val="008B2568"/>
    <w:rPr>
      <w:b/>
      <w:sz w:val="24"/>
      <w:lang w:val="sl-SI"/>
    </w:rPr>
  </w:style>
  <w:style w:type="paragraph" w:customStyle="1" w:styleId="Normal12Italic">
    <w:name w:val="Normal12Italic"/>
    <w:basedOn w:val="Normal"/>
    <w:rsid w:val="008B2568"/>
    <w:pPr>
      <w:spacing w:before="240"/>
    </w:pPr>
    <w:rPr>
      <w:i/>
    </w:rPr>
  </w:style>
  <w:style w:type="paragraph" w:customStyle="1" w:styleId="CrossRef">
    <w:name w:val="CrossRef"/>
    <w:basedOn w:val="Normal"/>
    <w:rsid w:val="008B2568"/>
    <w:pPr>
      <w:spacing w:before="240"/>
      <w:jc w:val="center"/>
    </w:pPr>
    <w:rPr>
      <w:i/>
    </w:rPr>
  </w:style>
  <w:style w:type="paragraph" w:customStyle="1" w:styleId="JustificationTitle">
    <w:name w:val="JustificationTitle"/>
    <w:basedOn w:val="Normal"/>
    <w:next w:val="Normal12"/>
    <w:rsid w:val="008B2568"/>
    <w:pPr>
      <w:keepNext/>
      <w:spacing w:before="240"/>
      <w:jc w:val="center"/>
    </w:pPr>
    <w:rPr>
      <w:i/>
    </w:rPr>
  </w:style>
  <w:style w:type="paragraph" w:customStyle="1" w:styleId="Normal12Centre">
    <w:name w:val="Normal12Centre"/>
    <w:basedOn w:val="Normal12"/>
    <w:rsid w:val="008B2568"/>
    <w:pPr>
      <w:jc w:val="center"/>
    </w:pPr>
  </w:style>
  <w:style w:type="paragraph" w:customStyle="1" w:styleId="Normal12Keep">
    <w:name w:val="Normal12Keep"/>
    <w:basedOn w:val="Normal12"/>
    <w:rsid w:val="008B2568"/>
    <w:pPr>
      <w:keepNext/>
    </w:pPr>
  </w:style>
  <w:style w:type="paragraph" w:customStyle="1" w:styleId="Normal12Tab">
    <w:name w:val="Normal12Tab"/>
    <w:basedOn w:val="Normal12"/>
    <w:rsid w:val="008B2568"/>
    <w:pPr>
      <w:tabs>
        <w:tab w:val="left" w:pos="567"/>
      </w:tabs>
    </w:pPr>
  </w:style>
  <w:style w:type="paragraph" w:customStyle="1" w:styleId="StarsAndIs">
    <w:name w:val="StarsAndIs"/>
    <w:basedOn w:val="Normal"/>
    <w:rsid w:val="008B2568"/>
    <w:pPr>
      <w:ind w:left="1418"/>
    </w:pPr>
    <w:rPr>
      <w:rFonts w:ascii="Arial" w:hAnsi="Arial"/>
      <w:b/>
      <w:sz w:val="48"/>
    </w:rPr>
  </w:style>
  <w:style w:type="paragraph" w:customStyle="1" w:styleId="Lgendesigne">
    <w:name w:val="Légende signe"/>
    <w:basedOn w:val="Normal"/>
    <w:rsid w:val="008B2568"/>
    <w:pPr>
      <w:tabs>
        <w:tab w:val="right" w:pos="454"/>
        <w:tab w:val="left" w:pos="737"/>
      </w:tabs>
      <w:ind w:left="737" w:hanging="737"/>
    </w:pPr>
    <w:rPr>
      <w:sz w:val="18"/>
    </w:rPr>
  </w:style>
  <w:style w:type="paragraph" w:customStyle="1" w:styleId="TypeDoc">
    <w:name w:val="TypeDoc"/>
    <w:basedOn w:val="Normal24"/>
    <w:rsid w:val="008B2568"/>
    <w:pPr>
      <w:ind w:left="1418"/>
    </w:pPr>
    <w:rPr>
      <w:rFonts w:ascii="Arial" w:hAnsi="Arial"/>
      <w:b/>
      <w:sz w:val="48"/>
    </w:rPr>
  </w:style>
  <w:style w:type="paragraph" w:customStyle="1" w:styleId="ZDate">
    <w:name w:val="ZDate"/>
    <w:basedOn w:val="Normal"/>
    <w:rsid w:val="008B2568"/>
    <w:pPr>
      <w:spacing w:after="1200"/>
    </w:pPr>
  </w:style>
  <w:style w:type="character" w:customStyle="1" w:styleId="HeaderChar">
    <w:name w:val="Header Char"/>
    <w:link w:val="Header"/>
    <w:rsid w:val="008B2568"/>
    <w:rPr>
      <w:sz w:val="24"/>
      <w:lang w:val="fr-FR" w:eastAsia="fr-FR"/>
    </w:rPr>
  </w:style>
  <w:style w:type="paragraph" w:customStyle="1" w:styleId="Olang">
    <w:name w:val="Olang"/>
    <w:basedOn w:val="Normal"/>
    <w:rsid w:val="008B2568"/>
    <w:pPr>
      <w:spacing w:before="240" w:after="240"/>
      <w:jc w:val="right"/>
    </w:pPr>
    <w:rPr>
      <w:noProof/>
    </w:rPr>
  </w:style>
  <w:style w:type="paragraph" w:customStyle="1" w:styleId="ColumnHeading">
    <w:name w:val="ColumnHeading"/>
    <w:basedOn w:val="Normal"/>
    <w:rsid w:val="008B2568"/>
    <w:pPr>
      <w:spacing w:after="240"/>
      <w:jc w:val="center"/>
    </w:pPr>
    <w:rPr>
      <w:i/>
    </w:rPr>
  </w:style>
  <w:style w:type="paragraph" w:customStyle="1" w:styleId="AMNumberTabs">
    <w:name w:val="AMNumberTabs"/>
    <w:basedOn w:val="Normal"/>
    <w:rsid w:val="008B256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568"/>
    <w:pPr>
      <w:spacing w:before="240"/>
    </w:pPr>
    <w:rPr>
      <w:b/>
    </w:rPr>
  </w:style>
  <w:style w:type="paragraph" w:customStyle="1" w:styleId="ZCommittee">
    <w:name w:val="ZCommittee"/>
    <w:basedOn w:val="Normal"/>
    <w:next w:val="Normal"/>
    <w:rsid w:val="008B2568"/>
    <w:pPr>
      <w:jc w:val="center"/>
    </w:pPr>
    <w:rPr>
      <w:rFonts w:ascii="Arial" w:hAnsi="Arial" w:cs="Arial"/>
      <w:i/>
      <w:sz w:val="22"/>
      <w:szCs w:val="22"/>
    </w:rPr>
  </w:style>
  <w:style w:type="paragraph" w:customStyle="1" w:styleId="Lgendestandard">
    <w:name w:val="Légende standard"/>
    <w:basedOn w:val="Lgendesigne"/>
    <w:rsid w:val="008B2568"/>
    <w:pPr>
      <w:ind w:left="0" w:firstLine="0"/>
    </w:pPr>
  </w:style>
  <w:style w:type="paragraph" w:customStyle="1" w:styleId="Lgendetitre">
    <w:name w:val="Légende titre"/>
    <w:basedOn w:val="Normal"/>
    <w:rsid w:val="008B2568"/>
    <w:pPr>
      <w:spacing w:before="240" w:after="240"/>
    </w:pPr>
    <w:rPr>
      <w:b/>
      <w:i/>
    </w:rPr>
  </w:style>
  <w:style w:type="paragraph" w:styleId="CommentText">
    <w:name w:val="annotation text"/>
    <w:basedOn w:val="Normal"/>
    <w:link w:val="CommentTextChar"/>
    <w:unhideWhenUsed/>
    <w:rsid w:val="008B2568"/>
    <w:pPr>
      <w:widowControl/>
      <w:jc w:val="both"/>
    </w:pPr>
    <w:rPr>
      <w:sz w:val="20"/>
    </w:rPr>
  </w:style>
  <w:style w:type="character" w:customStyle="1" w:styleId="CommentTextChar">
    <w:name w:val="Comment Text Char"/>
    <w:basedOn w:val="DefaultParagraphFont"/>
    <w:link w:val="CommentText"/>
    <w:rsid w:val="008B2568"/>
    <w:rPr>
      <w:lang w:val="sl-SI"/>
    </w:rPr>
  </w:style>
  <w:style w:type="character" w:styleId="CommentReference">
    <w:name w:val="annotation reference"/>
    <w:unhideWhenUsed/>
    <w:rsid w:val="008B2568"/>
    <w:rPr>
      <w:sz w:val="16"/>
      <w:szCs w:val="16"/>
    </w:rPr>
  </w:style>
  <w:style w:type="character" w:customStyle="1" w:styleId="shorttext">
    <w:name w:val="short_text"/>
    <w:rsid w:val="008B2568"/>
  </w:style>
  <w:style w:type="paragraph" w:styleId="BalloonText">
    <w:name w:val="Balloon Text"/>
    <w:basedOn w:val="Normal"/>
    <w:link w:val="BalloonTextChar"/>
    <w:rsid w:val="008B2568"/>
    <w:rPr>
      <w:rFonts w:ascii="Segoe UI" w:hAnsi="Segoe UI" w:cs="Segoe UI"/>
      <w:sz w:val="18"/>
      <w:szCs w:val="18"/>
    </w:rPr>
  </w:style>
  <w:style w:type="character" w:customStyle="1" w:styleId="BalloonTextChar">
    <w:name w:val="Balloon Text Char"/>
    <w:basedOn w:val="DefaultParagraphFont"/>
    <w:link w:val="BalloonText"/>
    <w:rsid w:val="008B2568"/>
    <w:rPr>
      <w:rFonts w:ascii="Segoe UI" w:hAnsi="Segoe UI" w:cs="Segoe UI"/>
      <w:sz w:val="18"/>
      <w:szCs w:val="18"/>
      <w:lang w:val="sl-SI"/>
    </w:rPr>
  </w:style>
  <w:style w:type="paragraph" w:styleId="CommentSubject">
    <w:name w:val="annotation subject"/>
    <w:basedOn w:val="CommentText"/>
    <w:next w:val="CommentText"/>
    <w:link w:val="CommentSubjectChar"/>
    <w:rsid w:val="008B2568"/>
    <w:pPr>
      <w:widowControl w:val="0"/>
      <w:jc w:val="left"/>
    </w:pPr>
    <w:rPr>
      <w:b/>
      <w:bCs/>
    </w:rPr>
  </w:style>
  <w:style w:type="character" w:customStyle="1" w:styleId="CommentSubjectChar">
    <w:name w:val="Comment Subject Char"/>
    <w:basedOn w:val="CommentTextChar"/>
    <w:link w:val="CommentSubject"/>
    <w:rsid w:val="008B2568"/>
    <w:rPr>
      <w:b/>
      <w:bCs/>
      <w:lang w:val="sl-SI"/>
    </w:rPr>
  </w:style>
  <w:style w:type="paragraph" w:customStyle="1" w:styleId="NormalTabs">
    <w:name w:val="NormalTabs"/>
    <w:basedOn w:val="Normal"/>
    <w:qFormat/>
    <w:rsid w:val="008B2568"/>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5659</Words>
  <Characters>35004</Characters>
  <Application>Microsoft Office Word</Application>
  <DocSecurity>0</DocSecurity>
  <Lines>1400</Lines>
  <Paragraphs>502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2004-11-19T15:42:00Z</cp:lastPrinted>
  <dcterms:created xsi:type="dcterms:W3CDTF">2019-04-10T12:33:00Z</dcterms:created>
  <dcterms:modified xsi:type="dcterms:W3CDTF">2019-04-10T12:33:00Z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A8-0094/2018</vt:lpwstr>
  </property>
  <property fmtid="{D5CDD505-2E9C-101B-9397-08002B2CF9AE}" pid="4" name="&lt;Type&gt;">
    <vt:lpwstr>RR</vt:lpwstr>
  </property>
</Properties>
</file>