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A3" w:rsidRPr="00461715" w:rsidRDefault="0004541F" w:rsidP="00AE46A3">
      <w:pPr>
        <w:pStyle w:val="ZDateAM"/>
      </w:pPr>
      <w:r w:rsidRPr="008500FA">
        <w:rPr>
          <w:rStyle w:val="HideTWBExt"/>
        </w:rPr>
        <w:t>&lt;Amend&gt;</w:t>
      </w:r>
      <w:r w:rsidR="00AE46A3" w:rsidRPr="008500FA">
        <w:rPr>
          <w:rStyle w:val="HideTWBExt"/>
        </w:rPr>
        <w:t>&lt;Date&gt;</w:t>
      </w:r>
      <w:r w:rsidR="003C79F3" w:rsidRPr="008500FA">
        <w:rPr>
          <w:rStyle w:val="HideTWBInt"/>
        </w:rPr>
        <w:t>{0</w:t>
      </w:r>
      <w:r w:rsidR="005F744D" w:rsidRPr="008500FA">
        <w:rPr>
          <w:rStyle w:val="HideTWBInt"/>
        </w:rPr>
        <w:t>5</w:t>
      </w:r>
      <w:r w:rsidR="003C79F3" w:rsidRPr="008500FA">
        <w:rPr>
          <w:rStyle w:val="HideTWBInt"/>
        </w:rPr>
        <w:t>/12/2018}</w:t>
      </w:r>
      <w:r w:rsidR="005F744D" w:rsidRPr="00461715">
        <w:t>5</w:t>
      </w:r>
      <w:r w:rsidR="003C79F3" w:rsidRPr="00461715">
        <w:t>.12.2018</w:t>
      </w:r>
      <w:r w:rsidR="00AE46A3" w:rsidRPr="008500FA">
        <w:rPr>
          <w:rStyle w:val="HideTWBExt"/>
        </w:rPr>
        <w:t>&lt;/Date&gt;</w:t>
      </w:r>
      <w:r w:rsidR="00AE46A3" w:rsidRPr="00461715">
        <w:tab/>
      </w:r>
      <w:r w:rsidR="00AE46A3" w:rsidRPr="008500FA">
        <w:rPr>
          <w:rStyle w:val="HideTWBExt"/>
        </w:rPr>
        <w:t>&lt;ANo&gt;</w:t>
      </w:r>
      <w:r w:rsidR="003C79F3" w:rsidRPr="00461715">
        <w:t>A8-0142</w:t>
      </w:r>
      <w:r w:rsidR="00AE46A3" w:rsidRPr="008500FA">
        <w:rPr>
          <w:rStyle w:val="HideTWBExt"/>
        </w:rPr>
        <w:t>&lt;/ANo&gt;</w:t>
      </w:r>
      <w:r w:rsidR="00AE46A3" w:rsidRPr="00461715">
        <w:t>/</w:t>
      </w:r>
      <w:r w:rsidR="00AE46A3" w:rsidRPr="008500FA">
        <w:rPr>
          <w:rStyle w:val="HideTWBExt"/>
        </w:rPr>
        <w:t>&lt;NumAm&gt;</w:t>
      </w:r>
      <w:r w:rsidR="005F744D" w:rsidRPr="00461715">
        <w:t>32</w:t>
      </w:r>
      <w:r w:rsidR="00AE46A3" w:rsidRPr="008500FA">
        <w:rPr>
          <w:rStyle w:val="HideTWBExt"/>
        </w:rPr>
        <w:t>&lt;/NumAm&gt;</w:t>
      </w:r>
    </w:p>
    <w:p w:rsidR="00AE46A3" w:rsidRPr="00461715" w:rsidRDefault="00EA742F" w:rsidP="00AE46A3">
      <w:pPr>
        <w:pStyle w:val="AMNumberTabs"/>
      </w:pPr>
      <w:r w:rsidRPr="00461715">
        <w:t>Amend</w:t>
      </w:r>
      <w:r w:rsidR="00E50BFC" w:rsidRPr="00461715">
        <w:t>e</w:t>
      </w:r>
      <w:r w:rsidRPr="00461715">
        <w:t>ment</w:t>
      </w:r>
      <w:r w:rsidR="00AE46A3" w:rsidRPr="00461715">
        <w:tab/>
      </w:r>
      <w:r w:rsidR="00AE46A3" w:rsidRPr="00461715">
        <w:tab/>
      </w:r>
      <w:r w:rsidR="00AE46A3" w:rsidRPr="008500FA">
        <w:rPr>
          <w:rStyle w:val="HideTWBExt"/>
          <w:b w:val="0"/>
        </w:rPr>
        <w:t>&lt;NumAm&gt;</w:t>
      </w:r>
      <w:r w:rsidR="005F744D" w:rsidRPr="00461715">
        <w:t>32</w:t>
      </w:r>
      <w:r w:rsidR="00AE46A3" w:rsidRPr="008500FA">
        <w:rPr>
          <w:rStyle w:val="HideTWBExt"/>
          <w:b w:val="0"/>
        </w:rPr>
        <w:t>&lt;/NumAm&gt;</w:t>
      </w:r>
    </w:p>
    <w:p w:rsidR="00AE46A3" w:rsidRPr="00461715" w:rsidRDefault="00AE46A3" w:rsidP="00AE46A3">
      <w:pPr>
        <w:pStyle w:val="NormalBold"/>
      </w:pPr>
      <w:r w:rsidRPr="008500FA">
        <w:rPr>
          <w:rStyle w:val="HideTWBExt"/>
          <w:b w:val="0"/>
        </w:rPr>
        <w:t>&lt;RepeatBlock-By&gt;</w:t>
      </w:r>
      <w:bookmarkStart w:id="0" w:name="By"/>
      <w:r w:rsidRPr="008500FA">
        <w:rPr>
          <w:rStyle w:val="HideTWBExt"/>
          <w:b w:val="0"/>
        </w:rPr>
        <w:t>&lt;</w:t>
      </w:r>
      <w:r w:rsidR="00814526" w:rsidRPr="008500FA">
        <w:rPr>
          <w:rStyle w:val="HideTWBExt"/>
          <w:b w:val="0"/>
        </w:rPr>
        <w:t>By&gt;&lt;</w:t>
      </w:r>
      <w:r w:rsidRPr="008500FA">
        <w:rPr>
          <w:rStyle w:val="HideTWBExt"/>
          <w:b w:val="0"/>
        </w:rPr>
        <w:t>Members&gt;</w:t>
      </w:r>
      <w:r w:rsidR="009F6390" w:rsidRPr="00461715">
        <w:t>Marita Ulvskog</w:t>
      </w:r>
      <w:r w:rsidRPr="008500FA">
        <w:rPr>
          <w:rStyle w:val="HideTWBExt"/>
          <w:b w:val="0"/>
        </w:rPr>
        <w:t>&lt;/Members&gt;</w:t>
      </w:r>
    </w:p>
    <w:p w:rsidR="00AE46A3" w:rsidRPr="00461715" w:rsidRDefault="00AE46A3" w:rsidP="00AE46A3">
      <w:r w:rsidRPr="008500FA">
        <w:rPr>
          <w:rStyle w:val="HideTWBExt"/>
        </w:rPr>
        <w:t>&lt;AuNomDe&gt;</w:t>
      </w:r>
      <w:r w:rsidR="003C79F3" w:rsidRPr="008500FA">
        <w:rPr>
          <w:rStyle w:val="HideTWBInt"/>
        </w:rPr>
        <w:t>{EMPL}</w:t>
      </w:r>
      <w:r w:rsidR="00E50BFC" w:rsidRPr="00461715">
        <w:t>namens de Commissie werkgelegenheid en sociale zaken</w:t>
      </w:r>
      <w:r w:rsidRPr="008500FA">
        <w:rPr>
          <w:rStyle w:val="HideTWBExt"/>
        </w:rPr>
        <w:t>&lt;/AuNomDe&gt;</w:t>
      </w:r>
    </w:p>
    <w:p w:rsidR="00AE46A3" w:rsidRPr="00461715" w:rsidRDefault="00814526" w:rsidP="00AE46A3">
      <w:r w:rsidRPr="008500FA">
        <w:rPr>
          <w:rStyle w:val="HideTWBExt"/>
        </w:rPr>
        <w:t>&lt;</w:t>
      </w:r>
      <w:r w:rsidR="00510280" w:rsidRPr="008500FA">
        <w:rPr>
          <w:rStyle w:val="HideTWBExt"/>
        </w:rPr>
        <w:t>/</w:t>
      </w:r>
      <w:r w:rsidRPr="008500FA">
        <w:rPr>
          <w:rStyle w:val="HideTWBExt"/>
        </w:rPr>
        <w:t>By&gt;</w:t>
      </w:r>
      <w:bookmarkEnd w:id="0"/>
      <w:r w:rsidR="00AE46A3" w:rsidRPr="008500FA">
        <w:rPr>
          <w:rStyle w:val="HideTWBExt"/>
        </w:rPr>
        <w:t>&lt;/RepeatBlock-By&gt;</w:t>
      </w:r>
    </w:p>
    <w:p w:rsidR="00AE46A3" w:rsidRPr="00461715" w:rsidRDefault="00AE46A3" w:rsidP="00AE46A3">
      <w:pPr>
        <w:pStyle w:val="ProjRap"/>
      </w:pPr>
      <w:r w:rsidRPr="008500FA">
        <w:rPr>
          <w:rStyle w:val="HideTWBExt"/>
          <w:b w:val="0"/>
        </w:rPr>
        <w:t>&lt;TitreType&gt;</w:t>
      </w:r>
      <w:r w:rsidR="00F03595">
        <w:t>Ve</w:t>
      </w:r>
      <w:r w:rsidR="00E50BFC" w:rsidRPr="00461715">
        <w:t>rslag</w:t>
      </w:r>
      <w:r w:rsidRPr="008500FA">
        <w:rPr>
          <w:rStyle w:val="HideTWBExt"/>
          <w:b w:val="0"/>
        </w:rPr>
        <w:t>&lt;/TitreType&gt;</w:t>
      </w:r>
      <w:r w:rsidRPr="00461715">
        <w:tab/>
      </w:r>
      <w:r w:rsidR="003C79F3" w:rsidRPr="00461715">
        <w:t>A8-0142</w:t>
      </w:r>
      <w:r w:rsidRPr="00461715">
        <w:t>/</w:t>
      </w:r>
      <w:r w:rsidR="003C79F3" w:rsidRPr="00461715">
        <w:t>2018</w:t>
      </w:r>
    </w:p>
    <w:p w:rsidR="00AE46A3" w:rsidRPr="00461715" w:rsidRDefault="00AE46A3" w:rsidP="00AE46A3">
      <w:pPr>
        <w:pStyle w:val="NormalBold"/>
      </w:pPr>
      <w:r w:rsidRPr="008500FA">
        <w:rPr>
          <w:rStyle w:val="HideTWBExt"/>
          <w:b w:val="0"/>
        </w:rPr>
        <w:t>&lt;Rapporteur&gt;</w:t>
      </w:r>
      <w:r w:rsidR="003C79F3" w:rsidRPr="00461715">
        <w:t>Claude Rolin</w:t>
      </w:r>
      <w:r w:rsidRPr="008500FA">
        <w:rPr>
          <w:rStyle w:val="HideTWBExt"/>
          <w:b w:val="0"/>
        </w:rPr>
        <w:t>&lt;/Rapporteur&gt;</w:t>
      </w:r>
    </w:p>
    <w:p w:rsidR="00AE46A3" w:rsidRPr="00461715" w:rsidRDefault="00AE46A3" w:rsidP="00AE46A3">
      <w:r w:rsidRPr="008500FA">
        <w:rPr>
          <w:rStyle w:val="HideTWBExt"/>
        </w:rPr>
        <w:t>&lt;Titre&gt;</w:t>
      </w:r>
      <w:r w:rsidR="00E50BFC" w:rsidRPr="00461715">
        <w:t>Bescherming van werknemers tegen de risico's van blootstelling aan carcinogene of mutagene agentia op het werk</w:t>
      </w:r>
      <w:r w:rsidRPr="008500FA">
        <w:rPr>
          <w:rStyle w:val="HideTWBExt"/>
        </w:rPr>
        <w:t>&lt;/Titre&gt;</w:t>
      </w:r>
    </w:p>
    <w:p w:rsidR="00AE46A3" w:rsidRPr="00461715" w:rsidRDefault="00AE46A3" w:rsidP="00AE46A3">
      <w:pPr>
        <w:pStyle w:val="Normal12"/>
      </w:pPr>
      <w:r w:rsidRPr="008500FA">
        <w:rPr>
          <w:rStyle w:val="HideTWBExt"/>
        </w:rPr>
        <w:t>&lt;DocRef&gt;</w:t>
      </w:r>
      <w:r w:rsidR="00EA742F" w:rsidRPr="00461715">
        <w:t>(</w:t>
      </w:r>
      <w:r w:rsidR="003C79F3" w:rsidRPr="00461715">
        <w:t>COM(2017)0011 – C8-0010/2017 – 2017/0004(COD)</w:t>
      </w:r>
      <w:r w:rsidR="00EA742F" w:rsidRPr="00461715">
        <w:t>)</w:t>
      </w:r>
      <w:r w:rsidRPr="008500FA">
        <w:rPr>
          <w:rStyle w:val="HideTWBExt"/>
        </w:rPr>
        <w:t>&lt;/DocRef&gt;</w:t>
      </w:r>
    </w:p>
    <w:p w:rsidR="00AE46A3" w:rsidRPr="00461715" w:rsidRDefault="00AE46A3" w:rsidP="00AE46A3">
      <w:pPr>
        <w:pStyle w:val="NormalBold"/>
      </w:pPr>
      <w:r w:rsidRPr="008500FA">
        <w:rPr>
          <w:rStyle w:val="HideTWBExt"/>
          <w:b w:val="0"/>
        </w:rPr>
        <w:t>&lt;DocAmend&gt;</w:t>
      </w:r>
      <w:r w:rsidR="00E50BFC" w:rsidRPr="00461715">
        <w:t>Voorstel voor een richtlijn</w:t>
      </w:r>
      <w:r w:rsidRPr="008500FA">
        <w:rPr>
          <w:rStyle w:val="HideTWBExt"/>
          <w:b w:val="0"/>
        </w:rPr>
        <w:t>&lt;/DocAmend&gt;</w:t>
      </w:r>
    </w:p>
    <w:p w:rsidR="00AE46A3" w:rsidRPr="00461715" w:rsidRDefault="00AE46A3" w:rsidP="00AE46A3">
      <w:pPr>
        <w:pStyle w:val="NormalBold"/>
      </w:pPr>
      <w:r w:rsidRPr="008500FA">
        <w:rPr>
          <w:rStyle w:val="HideTWBExt"/>
          <w:b w:val="0"/>
        </w:rPr>
        <w:t>&lt;Article&gt;</w:t>
      </w:r>
      <w:r w:rsidR="00E5087F" w:rsidRPr="00461715">
        <w:t>–</w:t>
      </w:r>
      <w:r w:rsidRPr="008500FA">
        <w:rPr>
          <w:rStyle w:val="HideTWBExt"/>
          <w:b w:val="0"/>
        </w:rPr>
        <w:t>&lt;/Article&gt;</w:t>
      </w:r>
    </w:p>
    <w:p w:rsidR="00FF2CB3" w:rsidRPr="00461715" w:rsidRDefault="00E50BFC" w:rsidP="006339AB">
      <w:pPr>
        <w:pStyle w:val="ConsHeading"/>
        <w:rPr>
          <w:noProof w:val="0"/>
        </w:rPr>
      </w:pPr>
      <w:r w:rsidRPr="00461715">
        <w:rPr>
          <w:noProof w:val="0"/>
          <w:szCs w:val="24"/>
        </w:rPr>
        <w:t>AMENDEMENTEN VAN HET EUROPEES PARLEMENT</w:t>
      </w:r>
      <w:bookmarkStart w:id="1" w:name="_GoBack"/>
      <w:bookmarkEnd w:id="1"/>
    </w:p>
    <w:p w:rsidR="00892C85" w:rsidRPr="00461715" w:rsidRDefault="00E50BFC" w:rsidP="006C0168">
      <w:pPr>
        <w:pStyle w:val="Normal12Centre"/>
        <w:rPr>
          <w:noProof w:val="0"/>
        </w:rPr>
      </w:pPr>
      <w:r w:rsidRPr="00461715">
        <w:rPr>
          <w:noProof w:val="0"/>
        </w:rPr>
        <w:t>op het voorstel van de Commissie</w:t>
      </w:r>
    </w:p>
    <w:p w:rsidR="00525DC0" w:rsidRPr="00461715" w:rsidRDefault="00525DC0" w:rsidP="006C0168">
      <w:pPr>
        <w:pStyle w:val="Normal12Centre"/>
        <w:rPr>
          <w:noProof w:val="0"/>
        </w:rPr>
      </w:pPr>
      <w:r w:rsidRPr="00461715">
        <w:rPr>
          <w:noProof w:val="0"/>
        </w:rPr>
        <w:t>---------------------------------------------------------</w:t>
      </w:r>
    </w:p>
    <w:p w:rsidR="00E50BFC" w:rsidRPr="00461715" w:rsidRDefault="00E50BFC" w:rsidP="00E50BFC">
      <w:pPr>
        <w:widowControl/>
        <w:spacing w:before="840"/>
        <w:jc w:val="center"/>
        <w:rPr>
          <w:szCs w:val="24"/>
        </w:rPr>
      </w:pPr>
      <w:r w:rsidRPr="00461715">
        <w:rPr>
          <w:b/>
        </w:rPr>
        <w:t>RICHTLIJN VAN HET EUROPEES PARLEMENT EN DE RAAD</w:t>
      </w:r>
      <w:r w:rsidRPr="00461715">
        <w:rPr>
          <w:rStyle w:val="FootnoteReference"/>
        </w:rPr>
        <w:footnoteReference w:customMarkFollows="1" w:id="1"/>
        <w:t>*</w:t>
      </w:r>
    </w:p>
    <w:p w:rsidR="00E50BFC" w:rsidRPr="00461715" w:rsidRDefault="00E50BFC" w:rsidP="00E50BFC">
      <w:pPr>
        <w:widowControl/>
        <w:spacing w:before="840"/>
        <w:jc w:val="center"/>
        <w:rPr>
          <w:b/>
        </w:rPr>
      </w:pPr>
      <w:r w:rsidRPr="00461715">
        <w:rPr>
          <w:b/>
        </w:rPr>
        <w:t>van</w:t>
      </w:r>
    </w:p>
    <w:p w:rsidR="00E50BFC" w:rsidRPr="00461715" w:rsidRDefault="00E50BFC" w:rsidP="00E50BFC">
      <w:pPr>
        <w:widowControl/>
        <w:spacing w:before="360" w:line="360" w:lineRule="auto"/>
        <w:jc w:val="center"/>
        <w:rPr>
          <w:rFonts w:cs="Symbol"/>
          <w:b/>
        </w:rPr>
      </w:pPr>
      <w:r w:rsidRPr="00461715">
        <w:rPr>
          <w:b/>
        </w:rPr>
        <w:t>tot wijziging van Richtlijn 2004/37/EG betreffende de bescherming van de werknemers tegen de risico's van blootstelling aan carcinogene of mutagene agentia op het werk</w:t>
      </w:r>
    </w:p>
    <w:p w:rsidR="00E50BFC" w:rsidRPr="00461715" w:rsidRDefault="00E50BFC" w:rsidP="00E50BFC">
      <w:pPr>
        <w:spacing w:line="360" w:lineRule="auto"/>
        <w:jc w:val="center"/>
        <w:rPr>
          <w:szCs w:val="24"/>
        </w:rPr>
      </w:pPr>
      <w:r w:rsidRPr="00461715">
        <w:t>▌(Voor de EER relevante tekst)</w:t>
      </w:r>
    </w:p>
    <w:p w:rsidR="00E50BFC" w:rsidRPr="00461715" w:rsidRDefault="00E50BFC" w:rsidP="00E50BFC">
      <w:pPr>
        <w:widowControl/>
        <w:spacing w:before="600" w:line="360" w:lineRule="auto"/>
        <w:rPr>
          <w:szCs w:val="24"/>
        </w:rPr>
      </w:pPr>
      <w:r w:rsidRPr="00461715">
        <w:t>HET EUROPEES PARLEMENT EN DE RAAD VAN DE EUROPESE UNIE,</w:t>
      </w:r>
    </w:p>
    <w:p w:rsidR="00E50BFC" w:rsidRPr="00461715" w:rsidRDefault="00E50BFC" w:rsidP="00E50BFC">
      <w:pPr>
        <w:widowControl/>
        <w:spacing w:line="360" w:lineRule="auto"/>
      </w:pPr>
    </w:p>
    <w:p w:rsidR="00E50BFC" w:rsidRPr="00461715" w:rsidRDefault="00E50BFC" w:rsidP="00E50BFC">
      <w:pPr>
        <w:widowControl/>
        <w:spacing w:line="360" w:lineRule="auto"/>
        <w:rPr>
          <w:b/>
          <w:i/>
        </w:rPr>
      </w:pPr>
      <w:r w:rsidRPr="00461715">
        <w:t xml:space="preserve">Gezien het Verdrag betreffende de werking van de Europese Unie, en met name artikel 153, lid 2, </w:t>
      </w:r>
      <w:r w:rsidRPr="00461715">
        <w:rPr>
          <w:b/>
          <w:i/>
        </w:rPr>
        <w:t>punt b), in samenhang met artikel 153, lid 1, punt a)▌,</w:t>
      </w:r>
    </w:p>
    <w:p w:rsidR="00E50BFC" w:rsidRPr="00461715" w:rsidRDefault="00E50BFC" w:rsidP="00E50BFC">
      <w:pPr>
        <w:widowControl/>
        <w:spacing w:line="360" w:lineRule="auto"/>
        <w:rPr>
          <w:szCs w:val="24"/>
        </w:rPr>
      </w:pPr>
    </w:p>
    <w:p w:rsidR="008500FA" w:rsidRDefault="00E50BFC" w:rsidP="00E50BFC">
      <w:pPr>
        <w:widowControl/>
        <w:spacing w:line="360" w:lineRule="auto"/>
      </w:pPr>
      <w:r w:rsidRPr="00461715">
        <w:t>Gezien het voorstel van de Europese Commissie,</w:t>
      </w:r>
    </w:p>
    <w:p w:rsidR="008500FA" w:rsidRDefault="008500FA" w:rsidP="00E50BFC">
      <w:pPr>
        <w:widowControl/>
        <w:spacing w:line="360" w:lineRule="auto"/>
      </w:pPr>
    </w:p>
    <w:p w:rsidR="00E50BFC" w:rsidRPr="00461715" w:rsidRDefault="00E50BFC" w:rsidP="00E50BFC">
      <w:pPr>
        <w:widowControl/>
        <w:spacing w:line="360" w:lineRule="auto"/>
        <w:rPr>
          <w:szCs w:val="24"/>
        </w:rPr>
      </w:pPr>
      <w:r w:rsidRPr="00461715">
        <w:t>Na toezending van het ontwerp van wetgevingshandeling aan de nationale parlementen,</w:t>
      </w:r>
    </w:p>
    <w:p w:rsidR="00E50BFC" w:rsidRPr="00461715" w:rsidRDefault="00E50BFC" w:rsidP="00E50BFC">
      <w:pPr>
        <w:widowControl/>
        <w:spacing w:line="360" w:lineRule="auto"/>
      </w:pPr>
    </w:p>
    <w:p w:rsidR="00E50BFC" w:rsidRPr="00461715" w:rsidRDefault="00E50BFC" w:rsidP="00E50BFC">
      <w:pPr>
        <w:widowControl/>
        <w:spacing w:line="360" w:lineRule="auto"/>
        <w:rPr>
          <w:szCs w:val="24"/>
        </w:rPr>
      </w:pPr>
      <w:r w:rsidRPr="00461715">
        <w:t>Gezien het advies van het Europees Economisch en Sociaal Comité</w:t>
      </w:r>
      <w:r w:rsidRPr="00461715">
        <w:rPr>
          <w:rStyle w:val="FootnoteReference"/>
          <w:szCs w:val="24"/>
        </w:rPr>
        <w:footnoteReference w:id="2"/>
      </w:r>
      <w:r w:rsidRPr="00461715">
        <w:t>,</w:t>
      </w:r>
    </w:p>
    <w:p w:rsidR="00E50BFC" w:rsidRPr="00461715" w:rsidRDefault="00E50BFC" w:rsidP="00E50BFC">
      <w:pPr>
        <w:widowControl/>
        <w:spacing w:line="360" w:lineRule="auto"/>
      </w:pPr>
    </w:p>
    <w:p w:rsidR="00E50BFC" w:rsidRPr="00461715" w:rsidRDefault="00E50BFC" w:rsidP="00E50BFC">
      <w:pPr>
        <w:widowControl/>
        <w:spacing w:line="360" w:lineRule="auto"/>
        <w:rPr>
          <w:szCs w:val="24"/>
        </w:rPr>
      </w:pPr>
      <w:r w:rsidRPr="00461715">
        <w:t>Na raadpleging van het Comité van de Regio's,</w:t>
      </w:r>
    </w:p>
    <w:p w:rsidR="00E50BFC" w:rsidRPr="00461715" w:rsidRDefault="00E50BFC" w:rsidP="00E50BFC">
      <w:pPr>
        <w:widowControl/>
        <w:spacing w:line="360" w:lineRule="auto"/>
      </w:pPr>
    </w:p>
    <w:p w:rsidR="00E50BFC" w:rsidRPr="00461715" w:rsidRDefault="00E50BFC" w:rsidP="00E50BFC">
      <w:pPr>
        <w:widowControl/>
        <w:spacing w:line="360" w:lineRule="auto"/>
        <w:rPr>
          <w:szCs w:val="24"/>
        </w:rPr>
      </w:pPr>
      <w:r w:rsidRPr="00461715">
        <w:t>Handelend volgens de gewone wetgevingsprocedure</w:t>
      </w:r>
      <w:r w:rsidRPr="00461715">
        <w:rPr>
          <w:rStyle w:val="FootnoteReference"/>
          <w:szCs w:val="24"/>
        </w:rPr>
        <w:footnoteReference w:id="3"/>
      </w:r>
      <w:r w:rsidRPr="00461715">
        <w:t>,</w:t>
      </w:r>
    </w:p>
    <w:p w:rsidR="00E50BFC" w:rsidRPr="00461715" w:rsidRDefault="00E50BFC" w:rsidP="000E1686">
      <w:pPr>
        <w:widowControl/>
        <w:spacing w:line="360" w:lineRule="auto"/>
      </w:pPr>
      <w:r w:rsidRPr="00461715">
        <w:br w:type="page"/>
        <w:t>Overwegende hetgeen volgt:</w:t>
      </w:r>
    </w:p>
    <w:p w:rsidR="000E1686" w:rsidRPr="00461715" w:rsidRDefault="000E1686" w:rsidP="000E1686">
      <w:pPr>
        <w:widowControl/>
        <w:spacing w:line="360" w:lineRule="auto"/>
        <w:rPr>
          <w:szCs w:val="24"/>
        </w:rPr>
      </w:pPr>
    </w:p>
    <w:p w:rsidR="00E50BFC" w:rsidRPr="00461715" w:rsidRDefault="00E50BFC" w:rsidP="000E1686">
      <w:pPr>
        <w:widowControl/>
        <w:spacing w:line="360" w:lineRule="auto"/>
        <w:ind w:left="851" w:hanging="851"/>
        <w:rPr>
          <w:szCs w:val="24"/>
        </w:rPr>
      </w:pPr>
      <w:r w:rsidRPr="00461715">
        <w:t>(1)</w:t>
      </w:r>
      <w:r w:rsidRPr="00461715">
        <w:tab/>
        <w:t xml:space="preserve">Richtlijn 2004/37/EG </w:t>
      </w:r>
      <w:r w:rsidRPr="00461715">
        <w:rPr>
          <w:b/>
          <w:i/>
        </w:rPr>
        <w:t>van het Europees Parlement en de Raad</w:t>
      </w:r>
      <w:r w:rsidRPr="00461715">
        <w:rPr>
          <w:rStyle w:val="FootnoteReference"/>
          <w:bCs/>
          <w:iCs/>
          <w:szCs w:val="24"/>
        </w:rPr>
        <w:footnoteReference w:id="4"/>
      </w:r>
      <w:r w:rsidRPr="00461715">
        <w:rPr>
          <w:bCs/>
          <w:iCs/>
        </w:rPr>
        <w:t xml:space="preserve"> </w:t>
      </w:r>
      <w:r w:rsidRPr="00461715">
        <w:t>is gericht op de bescherming van werknemers tegen risico’s voor hun gezondheid en veiligheid als gevolg van blootstelling aan carcinogene of mutagene agentia op het werk.</w:t>
      </w:r>
      <w:r w:rsidRPr="00461715">
        <w:rPr>
          <w:b/>
          <w:i/>
        </w:rPr>
        <w:t xml:space="preserve"> In die richtlijn wordt in een consistent niveau van bescherming tegen de risico's in verband met carcinogene of mutagene agentia voorzien door middel van een kader van algemene principes om de lidstaten in staat te stellen voor een consistente toepassing van de minimumvoorschriften te zorgen. Bindende grenswaarden voor beroepsmatige blootstelling, vastgesteld op basis van beschikbare informatie, waaronder wetenschappelijke en technische gegevens, de economische haalbaarheid, een grondige beoordeling van de sociaal-economische gevolgen en de beschikbaarheid van protocollen en technieken om de blootstelling op de werkplek te meten, zijn belangrijke onderdelen van de algemene regeling voor de bescherming van werknemers die in die richtlijn is vastgesteld. In die context is het essentieel om bij onzekerheid het voorzorgsbeginsel in aanmerking te nemen. De minimumvoorschriften van die richtlijn zijn gericht op de bescherming van werknemers op Unieniveau. De lidstaten kunnen strengere bindende grenswaarden voor beroepsmatige blootstelling of andere beschermende maatregelen vaststellen.</w:t>
      </w:r>
    </w:p>
    <w:p w:rsidR="00E50BFC" w:rsidRPr="00461715" w:rsidRDefault="00E50BFC" w:rsidP="000E1686">
      <w:pPr>
        <w:widowControl/>
        <w:spacing w:line="360" w:lineRule="auto"/>
        <w:ind w:left="851" w:hanging="851"/>
        <w:rPr>
          <w:b/>
          <w:i/>
        </w:rPr>
      </w:pPr>
      <w:r w:rsidRPr="00461715">
        <w:br w:type="page"/>
      </w:r>
      <w:r w:rsidRPr="00461715">
        <w:rPr>
          <w:b/>
          <w:i/>
        </w:rPr>
        <w:t>(2)</w:t>
      </w:r>
      <w:r w:rsidRPr="00461715">
        <w:rPr>
          <w:b/>
          <w:i/>
        </w:rPr>
        <w:tab/>
        <w:t>Grenswaarden voor beroepsmatige blootstelling maken deel uit van de risicobeheer</w:t>
      </w:r>
      <w:r w:rsidRPr="00461715">
        <w:rPr>
          <w:b/>
          <w:i/>
        </w:rPr>
        <w:softHyphen/>
        <w:t>maatregelen uit hoofde van Richtlijn 2004/37/EG. De inachtneming van die grens</w:t>
      </w:r>
      <w:r w:rsidRPr="00461715">
        <w:rPr>
          <w:b/>
          <w:i/>
        </w:rPr>
        <w:softHyphen/>
        <w:t>waarden doet geen afbreuk aan de andere verplichtingen van werkgevers op grond van die richtlijn, met name de vermindering van het gebruik van carcinogene en mutagene agentia op de werkplek, de voorkoming of vermindering van de blootstelling van werknemers aan carcinogene en mutagene agentia en de maatregelen die daartoe moeten worden uitgevoerd. Tot die maatregelen moeten, voor zover dat technisch uitvoerbaar is, de vervanging behoren van het carcinogene of mutagene agens door een stof die, of een mengsel of procedé dat, niet of minder gevaarlijk is voor de gezondheid van werknemers, alsmede het gebruik van een gesloten systeem of andere maatregelen om het niveau van blootstelling van werknemers zo laag mogelijk te houden en daarbij innovatie te bevorderen.</w:t>
      </w:r>
    </w:p>
    <w:p w:rsidR="000E1686" w:rsidRPr="00461715" w:rsidRDefault="000E1686" w:rsidP="000E1686">
      <w:pPr>
        <w:widowControl/>
        <w:spacing w:line="360" w:lineRule="auto"/>
        <w:ind w:left="851" w:hanging="851"/>
        <w:rPr>
          <w:szCs w:val="24"/>
        </w:rPr>
      </w:pPr>
    </w:p>
    <w:p w:rsidR="00E50BFC" w:rsidRPr="00461715" w:rsidRDefault="00E50BFC" w:rsidP="000E1686">
      <w:pPr>
        <w:widowControl/>
        <w:spacing w:line="360" w:lineRule="auto"/>
        <w:ind w:left="851" w:hanging="851"/>
        <w:rPr>
          <w:szCs w:val="24"/>
        </w:rPr>
      </w:pPr>
      <w:r w:rsidRPr="00461715">
        <w:rPr>
          <w:b/>
          <w:i/>
        </w:rPr>
        <w:t xml:space="preserve">(3) </w:t>
      </w:r>
      <w:r w:rsidRPr="00461715">
        <w:rPr>
          <w:b/>
          <w:i/>
        </w:rPr>
        <w:tab/>
        <w:t>Voor de meeste carcinogene en mutagene agentia is het wetenschappelijk niet mogelijk niveaus te bepalen waaronder blootstelling geen nadelige gevolgen zou hebben. Hoewel de vaststelling van grenswaarden voor carcinogene of mutagene agentia op de werkplek op grond van deze richtlijn de risico's van blootstelling op het werk voor de gezondheid en veiligheid van werknemers niet wegneemt (restrisico), draagt ze toch bij tot een aanzienlijke vermindering van de risico's van een dergelijke blootstelling in de stapsgewijze en doelstellende benadering op grond van Richtlijn 2004/37/EG. Voor andere carcinogene en mutagene agentia is het wetenschappelijk mogelijk niveaus te bepalen waaronder de blootstelling naar verwachting geen nadelige gevolgen heeft.</w:t>
      </w:r>
    </w:p>
    <w:p w:rsidR="00E50BFC" w:rsidRPr="00461715" w:rsidRDefault="00E50BFC" w:rsidP="000E1686">
      <w:pPr>
        <w:widowControl/>
        <w:spacing w:line="360" w:lineRule="auto"/>
        <w:ind w:left="851" w:hanging="851"/>
        <w:rPr>
          <w:b/>
          <w:i/>
        </w:rPr>
      </w:pPr>
      <w:r w:rsidRPr="00461715">
        <w:br w:type="page"/>
      </w:r>
      <w:r w:rsidRPr="00461715">
        <w:rPr>
          <w:b/>
          <w:i/>
        </w:rPr>
        <w:t xml:space="preserve">(4) </w:t>
      </w:r>
      <w:r w:rsidRPr="00461715">
        <w:rPr>
          <w:b/>
          <w:i/>
        </w:rPr>
        <w:tab/>
        <w:t>De maximale niveaus van blootstelling van werknemers aan bepaalde carcinogene of mutagene agentia worden uitgedrukt in grenswaarden die op grond van Richtlijn 2004/37/EG niet mogen worden overschreden. Die grenswaarden moeten worden herzien, en er moeten grenswaarden worden vastgesteld voor bijkomende carcinogene en mutagene agentia.</w:t>
      </w:r>
    </w:p>
    <w:p w:rsidR="000E1686" w:rsidRPr="00461715" w:rsidRDefault="000E1686" w:rsidP="000E1686">
      <w:pPr>
        <w:widowControl/>
        <w:spacing w:line="360" w:lineRule="auto"/>
        <w:ind w:left="851" w:hanging="851"/>
        <w:rPr>
          <w:szCs w:val="24"/>
        </w:rPr>
      </w:pPr>
    </w:p>
    <w:p w:rsidR="00E50BFC" w:rsidRPr="00461715" w:rsidRDefault="00E50BFC" w:rsidP="000E1686">
      <w:pPr>
        <w:widowControl/>
        <w:spacing w:line="360" w:lineRule="auto"/>
        <w:ind w:left="851" w:hanging="851"/>
        <w:rPr>
          <w:b/>
          <w:i/>
        </w:rPr>
      </w:pPr>
      <w:r w:rsidRPr="00461715">
        <w:rPr>
          <w:b/>
          <w:i/>
        </w:rPr>
        <w:t xml:space="preserve">(5) </w:t>
      </w:r>
      <w:r w:rsidRPr="00461715">
        <w:rPr>
          <w:b/>
          <w:i/>
        </w:rPr>
        <w:tab/>
        <w:t>De bij deze richtlijn vastgestelde grenswaarden moeten indien nodig worden herzien in het licht van de beschikbare informatie, waaronder wetenschappelijke en technische gegevens en op bewijzen gebaseerde beste praktijken, technieken en protocollen voor het meten van het blootstellingsniveau op de werkplek. Die informatie moet, indien mogelijk, gegevens over restrisico's voor de gezondheid van werknemers en adviezen van het Wetenschappelijk Comité inzake grenswaarden voor beroepsmatige blootstelling aan chemische agentia (Scientific Committee on Occupational Exposure Limits - Scoel) en het Raadgevend Comité voor veiligheid en gezondheid op de arbeidsplaats (Advisory Committee on Safety and Health at Work - ACSH) bevatten. Informatie over restrisico's die publiekelijk beschikbaar wordt gesteld op Unieniveau, is waardevol voor het toekomstige werk ter beperking van risico's ten gevolge van beroepsmatige blootstelling aan carcinogene en mutagene agentia, en ook voor toekomstige herzieningen van de in deze richtlijn vastgestelde grenswaarden.</w:t>
      </w:r>
    </w:p>
    <w:p w:rsidR="000E1686" w:rsidRPr="00461715" w:rsidRDefault="000E1686" w:rsidP="000E1686">
      <w:pPr>
        <w:widowControl/>
        <w:spacing w:line="360" w:lineRule="auto"/>
        <w:ind w:left="851" w:hanging="851"/>
      </w:pPr>
    </w:p>
    <w:p w:rsidR="00E50BFC" w:rsidRPr="00461715" w:rsidRDefault="00E50BFC" w:rsidP="000E1686">
      <w:pPr>
        <w:widowControl/>
        <w:spacing w:line="360" w:lineRule="auto"/>
        <w:ind w:left="851" w:hanging="851"/>
      </w:pPr>
      <w:r w:rsidRPr="00461715">
        <w:rPr>
          <w:b/>
          <w:i/>
        </w:rPr>
        <w:t xml:space="preserve">(6) </w:t>
      </w:r>
      <w:r w:rsidRPr="00461715">
        <w:rPr>
          <w:b/>
          <w:i/>
        </w:rPr>
        <w:tab/>
        <w:t>Uiterlijk in het eerste kwartaal van 2019 dient de Commissie zich, rekening houdend met de laatste wetenschappelijke ontwikkelingen, te buigen over de vraag of het toepassingsgebied van Richtlijn 2004/37/EG moet worden uitgebreid tot reprotoxische stoffen. Op basis daarvan dient de Commissie in voorkomend geval met een wetgevingsvoorstel te komen, na raadpleging van de sociale partners.</w:t>
      </w:r>
    </w:p>
    <w:p w:rsidR="00E50BFC" w:rsidRPr="00461715" w:rsidRDefault="00E50BFC" w:rsidP="000E1686">
      <w:pPr>
        <w:widowControl/>
        <w:spacing w:line="360" w:lineRule="auto"/>
        <w:ind w:left="851" w:hanging="851"/>
        <w:rPr>
          <w:b/>
          <w:i/>
        </w:rPr>
      </w:pPr>
      <w:r w:rsidRPr="00461715">
        <w:rPr>
          <w:b/>
          <w:i/>
        </w:rPr>
        <w:br w:type="page"/>
        <w:t xml:space="preserve">(7) </w:t>
      </w:r>
      <w:r w:rsidRPr="00461715">
        <w:rPr>
          <w:b/>
          <w:i/>
        </w:rPr>
        <w:tab/>
        <w:t>Hoewel het voor sommige carcinogene agentia zonder drempelwaarde niet mogelijk is een gezondheidskundige grenswaarde voor blootstelling af te leiden, is het echter mogelijk een grenswaarde voor die carcinogene agentia vast te stellen op basis van de beschikbare informatie, waaronder wetenschappelijke en technische gegevens.</w:t>
      </w:r>
    </w:p>
    <w:p w:rsidR="000E1686" w:rsidRPr="00461715" w:rsidRDefault="000E1686" w:rsidP="000E1686">
      <w:pPr>
        <w:widowControl/>
        <w:spacing w:line="360" w:lineRule="auto"/>
        <w:ind w:left="851" w:hanging="851"/>
        <w:rPr>
          <w:i/>
          <w:szCs w:val="24"/>
        </w:rPr>
      </w:pPr>
    </w:p>
    <w:p w:rsidR="00E50BFC" w:rsidRPr="00461715" w:rsidRDefault="00E50BFC" w:rsidP="000E1686">
      <w:pPr>
        <w:widowControl/>
        <w:spacing w:line="360" w:lineRule="auto"/>
        <w:ind w:left="851" w:hanging="851"/>
      </w:pPr>
      <w:r w:rsidRPr="00461715">
        <w:t>(8)</w:t>
      </w:r>
      <w:r w:rsidRPr="00461715">
        <w:tab/>
      </w:r>
      <w:r w:rsidRPr="00461715">
        <w:rPr>
          <w:b/>
          <w:i/>
        </w:rPr>
        <w:t>Teneinde het hoogst mogelijke beschermingsniveau tegen sommige carcinogene en mutagene agentia te waarborgen,</w:t>
      </w:r>
      <w:r w:rsidRPr="00461715">
        <w:t xml:space="preserve"> is het nodig rekening te houden met andere absorptiemogelijkheden, waaronder de mogelijkheid van </w:t>
      </w:r>
      <w:r w:rsidRPr="00461715">
        <w:rPr>
          <w:b/>
          <w:i/>
        </w:rPr>
        <w:t>absorptie</w:t>
      </w:r>
      <w:r w:rsidRPr="00461715">
        <w:t xml:space="preserve"> via de huid ▌.</w:t>
      </w:r>
    </w:p>
    <w:p w:rsidR="000E1686" w:rsidRPr="00461715" w:rsidRDefault="000E1686" w:rsidP="000E1686">
      <w:pPr>
        <w:widowControl/>
        <w:spacing w:line="360" w:lineRule="auto"/>
        <w:ind w:left="851" w:hanging="851"/>
        <w:rPr>
          <w:szCs w:val="24"/>
        </w:rPr>
      </w:pPr>
    </w:p>
    <w:p w:rsidR="00E50BFC" w:rsidRPr="00461715" w:rsidRDefault="00E50BFC" w:rsidP="000E1686">
      <w:pPr>
        <w:widowControl/>
        <w:spacing w:line="360" w:lineRule="auto"/>
        <w:ind w:left="851" w:hanging="851"/>
        <w:rPr>
          <w:szCs w:val="24"/>
        </w:rPr>
      </w:pPr>
      <w:r w:rsidRPr="00461715">
        <w:t>(9)</w:t>
      </w:r>
      <w:r w:rsidRPr="00461715">
        <w:tab/>
        <w:t xml:space="preserve">De Commissie wordt bijgestaan door het </w:t>
      </w:r>
      <w:r w:rsidRPr="00461715">
        <w:rPr>
          <w:b/>
          <w:i/>
        </w:rPr>
        <w:t>Scoel,</w:t>
      </w:r>
      <w:r w:rsidRPr="00461715">
        <w:t xml:space="preserve"> met name bij het evalueren van de recentste beschikbare wetenschappelijke gegevens en bij het voorstellen van op grond van Richtlijn 98/24/EG van de Raad ▌ en Richtlijn 2004/37/EG</w:t>
      </w:r>
      <w:r w:rsidRPr="00461715">
        <w:rPr>
          <w:rStyle w:val="FootnoteReference"/>
          <w:szCs w:val="24"/>
        </w:rPr>
        <w:footnoteReference w:id="5"/>
      </w:r>
      <w:r w:rsidRPr="00461715">
        <w:t xml:space="preserve"> op Unieniveau vast te stellen grenswaarden voor beroepsmatige blootstelling ter bescherming van werknemers tegen chemische risico's.</w:t>
      </w:r>
      <w:r w:rsidRPr="00461715">
        <w:rPr>
          <w:b/>
          <w:i/>
        </w:rPr>
        <w:t xml:space="preserve"> Het ACSH is een tripartiet orgaan dat de Commissie bijstaat bij de voorbereiding, uitvoering en evaluatie van activiteiten op het gebied van beroepsmatige gezondheid en veiligheid. Het ACSH stelt met name tripartiete adviezen vast over initiatieven om op Unieniveau grenswaarden voor beroepsmatige blootstelling vast te stellen op basis van beschikbare informatie, waaronder wetenschappelijke en technische gegevens en gegevens over de sociale aspecten en over de economische haalbaarheid van die initiatieven.</w:t>
      </w:r>
      <w:r w:rsidRPr="00461715">
        <w:t xml:space="preserve"> Verder is gebruikgemaakt van andere, voldoende robuust bevonden wetenschappelijke informatiebronnen uit het publieke domein, </w:t>
      </w:r>
      <w:r w:rsidRPr="00461715">
        <w:rPr>
          <w:b/>
          <w:i/>
        </w:rPr>
        <w:t>met name het Internationaal Agentschap voor kankeronderzoek (International Agency for Research on Cancer - IARC), de Wereldgezondheidsorganisatie en de nationale agentschappen.</w:t>
      </w:r>
    </w:p>
    <w:p w:rsidR="00E50BFC" w:rsidRPr="00461715" w:rsidRDefault="00E50BFC" w:rsidP="000E1686">
      <w:pPr>
        <w:widowControl/>
        <w:spacing w:line="360" w:lineRule="auto"/>
        <w:ind w:left="851" w:hanging="851"/>
        <w:rPr>
          <w:b/>
          <w:i/>
        </w:rPr>
      </w:pPr>
      <w:r w:rsidRPr="00461715">
        <w:rPr>
          <w:b/>
          <w:i/>
        </w:rPr>
        <w:br w:type="page"/>
        <w:t xml:space="preserve">(10) </w:t>
      </w:r>
      <w:r w:rsidRPr="00461715">
        <w:rPr>
          <w:b/>
          <w:i/>
        </w:rPr>
        <w:tab/>
        <w:t>De werkzaamheden van het Scoel en de transparantie daarvan zijn essentieel voor een verantwoord beleidsproces. Bij reorganisatie van de werkzaamheden van het Scoel moeten er speciaal daartoe bestemde middelen voorhanden zijn en moet erop worden toegezien dat specifieke deskundigheid op het gebied van epidemiologie, toxicologie, arbeidsgeneeskunde en arbeidshygiëne niet verloren gaat.</w:t>
      </w:r>
    </w:p>
    <w:p w:rsidR="000E1686" w:rsidRPr="00461715" w:rsidRDefault="000E1686" w:rsidP="000E1686">
      <w:pPr>
        <w:widowControl/>
        <w:spacing w:line="360" w:lineRule="auto"/>
        <w:ind w:left="851" w:hanging="851"/>
        <w:rPr>
          <w:szCs w:val="24"/>
        </w:rPr>
      </w:pPr>
    </w:p>
    <w:p w:rsidR="00E50BFC" w:rsidRPr="00461715" w:rsidRDefault="00E50BFC" w:rsidP="000E1686">
      <w:pPr>
        <w:widowControl/>
        <w:spacing w:line="360" w:lineRule="auto"/>
        <w:ind w:left="851" w:hanging="851"/>
        <w:rPr>
          <w:szCs w:val="24"/>
        </w:rPr>
      </w:pPr>
      <w:r w:rsidRPr="00461715">
        <w:rPr>
          <w:b/>
          <w:i/>
        </w:rPr>
        <w:t>(11)</w:t>
      </w:r>
      <w:r w:rsidRPr="00461715">
        <w:rPr>
          <w:b/>
          <w:i/>
        </w:rPr>
        <w:tab/>
        <w:t>De wijzigingen van de bijlagen I en III bij Richtlijn 2004/37/EG waarin deze richtlijn voorziet, zijn een verdere stap in een langdurig actualiseringsproces van Richtlijn 2004/37/EG. Als volgende stap van dat proces heeft de Commissie een voorstel ingediend tot instelling van grenswaarden en huidnotaties met betrekking tot vijf bijkomende carcinogene agentia. Voorts heeft de Commissie in haar mededeling van 10 januari 2017 getiteld "Veiliger en gezonder werk voor iedereen - Modernisering van de wetgeving en het beleid van de EU inzake veiligheid en gezondheid op het werk" verklaard dat er nog andere wijzigingen dienen te worden aangebracht in Richtlijn 2004/37/EG. De Commissie dient de bijlagen I en III bij Richtlijn 2004/37/EG continu te actualiseren in overeenstemming met artikel 16 en de gevestigde praktijk, en ze indien nodig aan te passen in het licht van de beschikbare informatie, waaronder gestaag verworven wetenschappelijke en technische gegevens, zoals gegevens over restrisico’s. Dat werk moet in voorkomend geval resulteren in voorstellen voor toekomstige herzieningen van de grenswaarden van Richtlijn 2004/37/EG en van deze richtlijn, en in voorstellen voor bijkomende stoffen, mengsels en procedés in bijlage I en bijkomende grenswaarden in bijlage III.</w:t>
      </w:r>
    </w:p>
    <w:p w:rsidR="00E50BFC" w:rsidRPr="00461715" w:rsidRDefault="00E50BFC" w:rsidP="000E1686">
      <w:pPr>
        <w:widowControl/>
        <w:spacing w:line="360" w:lineRule="auto"/>
        <w:ind w:left="851" w:hanging="851"/>
      </w:pPr>
      <w:r w:rsidRPr="00461715">
        <w:rPr>
          <w:b/>
          <w:i/>
        </w:rPr>
        <w:br w:type="page"/>
        <w:t xml:space="preserve">(12) </w:t>
      </w:r>
      <w:r w:rsidRPr="00461715">
        <w:rPr>
          <w:b/>
          <w:i/>
        </w:rPr>
        <w:tab/>
        <w:t>Het is belangrijk werknemers te beschermen die aan carcinogene of mutagene agentia worden blootgesteld als gevolg van de bereiding, toediening of verwijdering van gevaarlijke geneesmiddelen, met inbegrip van cytostatische of cytotoxische geneesmiddelen, en werkzaamheden die blootstelling aan carcinogene of mutagene agentia met zich brengen als gevolg van schoonmaak-, vervoers-, wasserij- en afvalverwerkingsactiviteiten met betrekking tot gevaarlijke geneesmiddelen of door gevaarlijke geneesmiddelen verontreinigde materialen, alsook werkzaamheden in de vorm van persoonlijke zorg voor patiënten die met gevaarlijke geneesmiddelen worden behandeld. Als eerste stap heeft de Commissie een specifieke gids inzake preventie en goede praktijken opgesteld, met richtsnoeren om de veiligheids- en gezondheidsrisico's op het werk in de gezondheidszorg, waaronder het risico in verband met blootstelling aan cytostatische of cytotoxische geneesmiddelen, te verminderen. Deze richtsnoeren laten mogelijke verdere wetgevingsvoorstellen of andere initiatieven onverlet.</w:t>
      </w:r>
    </w:p>
    <w:p w:rsidR="00E50BFC" w:rsidRPr="00461715" w:rsidRDefault="00E50BFC" w:rsidP="000E1686">
      <w:pPr>
        <w:widowControl/>
        <w:spacing w:line="360" w:lineRule="auto"/>
        <w:ind w:left="851" w:hanging="851"/>
        <w:rPr>
          <w:b/>
          <w:i/>
        </w:rPr>
      </w:pPr>
      <w:r w:rsidRPr="00461715">
        <w:br w:type="page"/>
        <w:t>(13)</w:t>
      </w:r>
      <w:r w:rsidRPr="00461715">
        <w:tab/>
        <w:t xml:space="preserve">Overeenkomstig de aanbevelingen van </w:t>
      </w:r>
      <w:r w:rsidRPr="00461715">
        <w:rPr>
          <w:b/>
          <w:i/>
        </w:rPr>
        <w:t>het Scoel en van het ACSH</w:t>
      </w:r>
      <w:r w:rsidRPr="00461715">
        <w:t xml:space="preserve"> worden in voorkomend geval ▌grenswaarden voor blootstelling via inademing vastgesteld in verhouding tot een referentieperiode van acht uur als tijdgewogen gemiddelde (grenswaarden voor langdurige blootstelling) en, voor bepaalde carcinogene of mutagene agentia, in verhouding tot een kortere referentieperiode, over het algemeen 15 minuten als tijdgewogen gemiddelde (grenswaarden voor kortstondige blootstelling), om de gevolgen van blootstelling gedurende korte tijd </w:t>
      </w:r>
      <w:r w:rsidRPr="00461715">
        <w:rPr>
          <w:b/>
          <w:i/>
        </w:rPr>
        <w:t>zoveel mogelijk te beperken</w:t>
      </w:r>
      <w:r w:rsidRPr="00461715">
        <w:t>.</w:t>
      </w:r>
      <w:r w:rsidRPr="00461715">
        <w:rPr>
          <w:b/>
          <w:i/>
        </w:rPr>
        <w:t xml:space="preserve"> Er worden overeenkomstig de aanbevelingen van het Scoel en van het ACSH ook huidnotaties vastgesteld. Verder moet gebruik worden gemaakt van andere, voldoende robuust bevonden wetenschappelijke informatiebronnen uit het publieke domein.</w:t>
      </w:r>
    </w:p>
    <w:p w:rsidR="000E1686" w:rsidRPr="00461715" w:rsidRDefault="000E1686" w:rsidP="000E1686">
      <w:pPr>
        <w:widowControl/>
        <w:spacing w:line="360" w:lineRule="auto"/>
        <w:ind w:left="851" w:hanging="851"/>
      </w:pPr>
    </w:p>
    <w:p w:rsidR="00E50BFC" w:rsidRPr="00461715" w:rsidRDefault="00E50BFC" w:rsidP="000E1686">
      <w:pPr>
        <w:widowControl/>
        <w:spacing w:line="360" w:lineRule="auto"/>
        <w:ind w:left="851" w:hanging="851"/>
        <w:rPr>
          <w:szCs w:val="24"/>
        </w:rPr>
      </w:pPr>
      <w:r w:rsidRPr="00461715">
        <w:t>(</w:t>
      </w:r>
      <w:r w:rsidRPr="00461715">
        <w:rPr>
          <w:b/>
          <w:i/>
        </w:rPr>
        <w:t xml:space="preserve">14) </w:t>
      </w:r>
      <w:r w:rsidRPr="00461715">
        <w:rPr>
          <w:b/>
          <w:i/>
        </w:rPr>
        <w:tab/>
        <w:t>Het beginsel van preventie op de werkplek moet ook worden bevorderd met betrekking tot de gevolgen van carcinogene en mutagene agentia voor toekomstige generaties, zoals de negatieve effecten op de voortplantingscapaciteit van zowel mannen als vrouwen en de ontwikkeling van de foetus. Hiertoe dienen de lidstaten op dit gebied beste praktijken uit te wisselen.</w:t>
      </w:r>
    </w:p>
    <w:p w:rsidR="00E50BFC" w:rsidRPr="00461715" w:rsidRDefault="00E50BFC" w:rsidP="000E1686">
      <w:pPr>
        <w:widowControl/>
        <w:spacing w:line="360" w:lineRule="auto"/>
        <w:ind w:left="851" w:hanging="851"/>
        <w:rPr>
          <w:szCs w:val="24"/>
        </w:rPr>
      </w:pPr>
      <w:r w:rsidRPr="00461715">
        <w:br w:type="page"/>
        <w:t>(15)</w:t>
      </w:r>
      <w:r w:rsidRPr="00461715">
        <w:tab/>
        <w:t xml:space="preserve">Er is voldoende bewijs dat </w:t>
      </w:r>
      <w:r w:rsidRPr="00461715">
        <w:rPr>
          <w:b/>
          <w:i/>
        </w:rPr>
        <w:t>minerale</w:t>
      </w:r>
      <w:r w:rsidRPr="00461715">
        <w:t xml:space="preserve"> oliën die eerder in interne verbrandingsmotoren zijn gebruikt om de bewegende delen in de motor te smeren en af te koelen, kankerverwekkend zijn. </w:t>
      </w:r>
      <w:r w:rsidRPr="00461715">
        <w:rPr>
          <w:b/>
          <w:i/>
        </w:rPr>
        <w:t>Die</w:t>
      </w:r>
      <w:r w:rsidRPr="00461715">
        <w:t xml:space="preserve"> gebruikte </w:t>
      </w:r>
      <w:r w:rsidRPr="00461715">
        <w:rPr>
          <w:b/>
          <w:i/>
        </w:rPr>
        <w:t>minerale</w:t>
      </w:r>
      <w:r w:rsidRPr="00461715">
        <w:t xml:space="preserve"> motoroliën zijn bij procedés gegenereerde stoffen, en worden dan ook niet ingedeeld overeenkomstig Verordening (EG) nr. 1272/2008 van het Europees Parlement en de Raad</w:t>
      </w:r>
      <w:r w:rsidRPr="00461715">
        <w:rPr>
          <w:rStyle w:val="FootnoteReference"/>
          <w:szCs w:val="24"/>
        </w:rPr>
        <w:footnoteReference w:id="6"/>
      </w:r>
      <w:r w:rsidRPr="00461715">
        <w:t xml:space="preserve">. </w:t>
      </w:r>
      <w:r w:rsidRPr="00461715">
        <w:rPr>
          <w:b/>
          <w:i/>
        </w:rPr>
        <w:t>Het Scoel</w:t>
      </w:r>
      <w:r w:rsidRPr="00461715">
        <w:t xml:space="preserve"> heeft geconstateerd dat er voor die oliën sprake kan zijn van aanzienlijke opname via de huid, heeft geconcludeerd dat beroepsmatige blootstelling plaatsvindt via de huid en heeft de vaststelling van een huidnotatie sterk aanbevolen. </w:t>
      </w:r>
      <w:r w:rsidRPr="00461715">
        <w:rPr>
          <w:b/>
          <w:i/>
        </w:rPr>
        <w:t>Het ACSH is het erover eens geworden dat gebruikte minerale motoroliën moeten worden toegevoegd aan de lijst van carcinogene stoffen, mengsels en procedés in bijlage I bij Richtlijn 2004/37/EG, en dat aanzienlijke opname via de huid mogelijk is. Ter beperking van dermale blootstelling kan een reeks beste praktijken worden toegepast, waaronder het gebruik van persoonlijke beschermingsmiddelen, zoals handschoenen, en het verwijderen en reinigen van verontreinigde kleding. Het volledig volgen van die praktijken en van nieuwe beste praktijken kan helpen die blootstelling te beperken.</w:t>
      </w:r>
      <w:r w:rsidRPr="00461715">
        <w:t xml:space="preserve"> Daarom is het wenselijk in bijlage I bij Richtlijn 2004/37/EG werkzaamheden op te nemen waarbij sprake is van blootstelling aan </w:t>
      </w:r>
      <w:r w:rsidRPr="00461715">
        <w:rPr>
          <w:b/>
          <w:i/>
        </w:rPr>
        <w:t>minerale</w:t>
      </w:r>
      <w:r w:rsidRPr="00461715">
        <w:t xml:space="preserve"> oliën die eerder in interne verbrandingsmotoren zijn gebruikt om de bewegende delen in de motor te smeren en af te koelen, en er in ▌ bijlage III bij Richtlijn 2004/37/EG een huidnotatie aan toe te kennen om aan te geven dat aanzienlijke opname via de huid mogelijk is.</w:t>
      </w:r>
    </w:p>
    <w:p w:rsidR="00E50BFC" w:rsidRPr="00461715" w:rsidRDefault="00E50BFC" w:rsidP="000E1686">
      <w:pPr>
        <w:widowControl/>
        <w:spacing w:line="360" w:lineRule="auto"/>
        <w:ind w:left="851" w:hanging="851"/>
        <w:rPr>
          <w:szCs w:val="24"/>
        </w:rPr>
      </w:pPr>
      <w:r w:rsidRPr="00461715">
        <w:rPr>
          <w:b/>
          <w:i/>
        </w:rPr>
        <w:br w:type="page"/>
        <w:t xml:space="preserve">(16) </w:t>
      </w:r>
      <w:r w:rsidRPr="00461715">
        <w:rPr>
          <w:b/>
          <w:i/>
        </w:rPr>
        <w:tab/>
        <w:t>Er is voldoende bewijs dat uitlaatgassen van dieselmotoren als gevolg van de verbranding van dieselbrandstof in motoren met compressieontsteking carcinogeen zijn. Uitlaatgassen van dieselmotoren zijn bij procedés gegenereerde stoffen en worden daarom niet ingedeeld overeenkomstig Verordening (EG) nr. 1272/2008. Het ACSH is het erover eens geworden dat uitlaatgassen van traditionele dieselmotoren moeten worden toegevoegd aan de lijst van carcinogene stoffen, mengsels en procedés in bijlage I bij Richtlijn 2004/37/EG en heeft verzocht om verder onderzoek naar de wetenschappelijke en technische aspecten van nieuwere motortypes. Uitlaatgassen van dieselmotoren zijn door het IARC ingedeeld als kankerverwekkend voor de mens (IARC-categorie 1), en het IARC heeft verduidelijkt dat de hoeveelheid zwevende deeltjes en chemische stoffen bij nieuwere types dieselmotoren weliswaar lager is, maar dat het nog niet duidelijk is hoe de kwantitatieve en kwalitatieve veranderingen zich vertalen in veranderde gezondheidseffecten. Het IARC heeft tevens verduidelijkt dat het gebruikelijk is om elementair koolstof, dat een aanzienlijk deel van deze emissies uitmaakt, als merkstof voor blootstelling te gebruiken. Daarom, en gezien het aantal werknemers dat wordt blootgesteld, is het wenselijk om werk waarbij sprake is van blootstelling aan uitlaatgassen van dieselmotoren op te nemen in bijlage I bij Richtlijn 2004/37/EG en om in bijlage III bij die richtlijn een grenswaarde voor uitlaatgassen van dieselmotoren, gemeten als elementair koolstof, vast te stellen. De vermeldingen in de bijlagen I en III bij Richtlijn 2004/37/EG moeten uitlaatgassen van alle soorten dieselmotoren omvatten.</w:t>
      </w:r>
    </w:p>
    <w:p w:rsidR="00E50BFC" w:rsidRPr="00461715" w:rsidRDefault="00E50BFC" w:rsidP="000E1686">
      <w:pPr>
        <w:widowControl/>
        <w:spacing w:line="360" w:lineRule="auto"/>
        <w:ind w:left="851" w:hanging="851"/>
        <w:rPr>
          <w:b/>
          <w:i/>
        </w:rPr>
      </w:pPr>
      <w:r w:rsidRPr="00461715">
        <w:rPr>
          <w:b/>
          <w:i/>
        </w:rPr>
        <w:br w:type="page"/>
        <w:t xml:space="preserve">(17) </w:t>
      </w:r>
      <w:r w:rsidRPr="00461715">
        <w:rPr>
          <w:b/>
          <w:i/>
        </w:rPr>
        <w:tab/>
        <w:t>Met betrekking tot uitlaatgassen van dieselmotoren kan een grenswaarde van 0,05 mg/m³, gemeten als elementair koolstof, in sommige sectoren moeilijk haalbaar zijn op korte termijn. Derhalve dient er naast de omzettingsperiode een overgangsperiode van twee jaar te worden ingevoerd, voordat de grenswaarde van toepassing dient te worden. Voor de sectoren ondergrondse mijnbouw en tunnelbouw dient er naast de omzettingsperiode evenwel, een overgangsperiode van vijf jaar te worden ingevoerd, voordat de grenswaarde van toepassing dient te worden.</w:t>
      </w:r>
    </w:p>
    <w:p w:rsidR="000E1686" w:rsidRPr="00461715" w:rsidRDefault="000E1686" w:rsidP="000E1686">
      <w:pPr>
        <w:widowControl/>
        <w:spacing w:line="360" w:lineRule="auto"/>
        <w:ind w:left="851" w:hanging="851"/>
        <w:rPr>
          <w:szCs w:val="24"/>
        </w:rPr>
      </w:pPr>
    </w:p>
    <w:p w:rsidR="00E50BFC" w:rsidRPr="00461715" w:rsidRDefault="00E50BFC" w:rsidP="000E1686">
      <w:pPr>
        <w:widowControl/>
        <w:spacing w:line="360" w:lineRule="auto"/>
        <w:ind w:left="851" w:hanging="851"/>
        <w:rPr>
          <w:szCs w:val="24"/>
        </w:rPr>
      </w:pPr>
      <w:r w:rsidRPr="00461715">
        <w:t>(18)</w:t>
      </w:r>
      <w:r w:rsidRPr="00461715">
        <w:tab/>
        <w:t xml:space="preserve">Bepaalde mengsels van polycyclische aromatische koolwaterstoffen (PAK's), in het bijzonder die </w:t>
      </w:r>
      <w:r w:rsidRPr="00461715">
        <w:rPr>
          <w:b/>
          <w:i/>
        </w:rPr>
        <w:t>welke</w:t>
      </w:r>
      <w:r w:rsidRPr="00461715">
        <w:t xml:space="preserve"> benzo[a]pyreen bevatten, voldoen aan de criteria voor indeling als kankerverwekkend (categorie 1A of 1B) overeenkomstig Verordening (EG) nr. 1272/2008 en zijn bijgevolg carcinogene agentia als gedefinieerd in Richtlijn 2004/37/EG. </w:t>
      </w:r>
      <w:r w:rsidRPr="00461715">
        <w:rPr>
          <w:b/>
          <w:i/>
        </w:rPr>
        <w:t>Blootstelling aan dergelijke mengsels kan optreden tijdens werkzaamheden waarbij onder andere verbranding, zoals uit de uitlaat van verbrandingsmotoren, en verbranding op hoge temperatuur plaatsvinden. Het Scoel</w:t>
      </w:r>
      <w:r w:rsidRPr="00461715">
        <w:t xml:space="preserve"> heeft voor die mengsels de mogelijkheid van aanzienlijke opname via de huid geconstateerd en </w:t>
      </w:r>
      <w:r w:rsidRPr="00461715">
        <w:rPr>
          <w:b/>
          <w:i/>
        </w:rPr>
        <w:t>het ACSH is het erover eens geworden dat het van belang is een grenswaarde voor beroepsmatige blootstelling aan mengsels van PAK's vast te stellen en heeft aanbevolen de wetenschappelijke aspecten te evalueren met als doel in de toekomst een grenswaarde voor beroepsmatige blootstelling vast te stellen.</w:t>
      </w:r>
      <w:r w:rsidRPr="00461715">
        <w:t xml:space="preserve"> Daarom is het wenselijk om er in ▌ bijlage III bij Richtlijn 2004/37/EG een huidnotatie aan toe te kennen om aan te geven dat aanzienlijke opname via de huid mogelijk is.</w:t>
      </w:r>
      <w:r w:rsidRPr="00461715">
        <w:rPr>
          <w:b/>
          <w:i/>
        </w:rPr>
        <w:t xml:space="preserve"> Ook moet verder worden onderzocht of het nodig is een grenswaarde voor mengsels van PAK's vast te stellen, teneinde werknemers beter tegen die mengsels te beschermen.</w:t>
      </w:r>
    </w:p>
    <w:p w:rsidR="00E50BFC" w:rsidRPr="00461715" w:rsidRDefault="00E50BFC" w:rsidP="000E1686">
      <w:pPr>
        <w:widowControl/>
        <w:spacing w:line="360" w:lineRule="auto"/>
        <w:ind w:left="851" w:hanging="851"/>
        <w:rPr>
          <w:szCs w:val="24"/>
        </w:rPr>
      </w:pPr>
      <w:r w:rsidRPr="00461715">
        <w:br w:type="page"/>
        <w:t>(19)</w:t>
      </w:r>
      <w:r w:rsidRPr="00461715">
        <w:tab/>
        <w:t xml:space="preserve">Trichloorethyleen voldoet aan de criteria voor indeling als kankerverwekkend (categorie 1B) overeenkomstig Verordening (EG) nr. 1272/2008 en is bijgevolg een carcinogeen agens als gedefinieerd in Richtlijn 2004/37/EG. </w:t>
      </w:r>
      <w:r w:rsidRPr="00461715">
        <w:rPr>
          <w:b/>
          <w:i/>
        </w:rPr>
        <w:t xml:space="preserve">Het Scoel heeft trichloorethyleen als een genotoxisch carcinogeen agens aangemerkt. </w:t>
      </w:r>
      <w:r w:rsidRPr="00461715">
        <w:t xml:space="preserve">Voor trichloorethyleen kunnen op basis van de beschikbare informatie, waaronder wetenschappelijke en technische gegevens, grenswaarden worden vastgesteld in verhouding tot een referentieperiode van acht uur (grenswaarde voor langdurige blootstelling) en tot een kortere referentieperiode van </w:t>
      </w:r>
      <w:r w:rsidRPr="00461715">
        <w:rPr>
          <w:b/>
          <w:i/>
        </w:rPr>
        <w:t>15 minuten als tijdgewogen gemiddelde (grenswaarde voor kortstondige blootstelling)</w:t>
      </w:r>
      <w:r w:rsidRPr="00461715">
        <w:t>.</w:t>
      </w:r>
      <w:r w:rsidRPr="00461715">
        <w:rPr>
          <w:b/>
          <w:i/>
        </w:rPr>
        <w:t xml:space="preserve"> Het Scoel</w:t>
      </w:r>
      <w:r w:rsidRPr="00461715">
        <w:t xml:space="preserve"> heeft voor dat carcinogeen agens de mogelijkheid van aanzienlijke opname via de huid geconstateerd </w:t>
      </w:r>
      <w:r w:rsidRPr="00461715">
        <w:rPr>
          <w:b/>
          <w:i/>
        </w:rPr>
        <w:t>en het ACSH is het op basis van de beschikbare informatie, waaronder wetenschappelijke en technische gegevens, eens geworden over een bruikbare grenswaarde.</w:t>
      </w:r>
      <w:r w:rsidRPr="00461715">
        <w:t xml:space="preserve"> Daarom is het wenselijk om in ▌bijlage III bij Richtlijn 2004/37/EG voor trichloorethyleen grenswaarden voor langdurige en kortstondige blootstelling vast te stellen en er een huidnotatie aan toe te kennen om aan te geven dat aanzienlijke opname via de huid mogelijk is. In het licht van de evoluerende wetenschappelijke gegevens </w:t>
      </w:r>
      <w:r w:rsidRPr="00461715">
        <w:rPr>
          <w:b/>
          <w:i/>
        </w:rPr>
        <w:t>en de technische vooruitgang</w:t>
      </w:r>
      <w:r w:rsidRPr="00461715">
        <w:t xml:space="preserve"> moeten de grenswaarden voor die stof regelmatig zeer nauwlettend opnieuw worden bezien.</w:t>
      </w:r>
    </w:p>
    <w:p w:rsidR="00E50BFC" w:rsidRPr="00461715" w:rsidRDefault="00E50BFC" w:rsidP="000E1686">
      <w:pPr>
        <w:widowControl/>
        <w:spacing w:line="360" w:lineRule="auto"/>
        <w:ind w:left="851" w:hanging="851"/>
      </w:pPr>
      <w:r w:rsidRPr="00461715">
        <w:br w:type="page"/>
        <w:t>(20)</w:t>
      </w:r>
      <w:r w:rsidRPr="00461715">
        <w:tab/>
        <w:t xml:space="preserve">4,4'-Methyleendianiline (MDA) voldoet aan de criteria voor indeling als kankerverwekkend (categorie 1B) overeenkomstig Verordening (EG) nr. 1272/2008 en is bijgevolg een carcinogeen agens als gedefinieerd in Richtlijn 2004/37/EG. </w:t>
      </w:r>
      <w:r w:rsidRPr="00461715">
        <w:rPr>
          <w:b/>
          <w:i/>
        </w:rPr>
        <w:t>Het Scoel heeft geconcludeerd dat het niet mogelijk is een gezondheidskundige grenswaarde voor blootstelling af te leiden voor dat carcinogeen agens zonder drempelwaarde.</w:t>
      </w:r>
      <w:r w:rsidRPr="00461715">
        <w:t xml:space="preserve"> Voor 4,4'-methyleendianiline </w:t>
      </w:r>
      <w:r w:rsidRPr="00461715">
        <w:rPr>
          <w:b/>
          <w:i/>
        </w:rPr>
        <w:t>kan</w:t>
      </w:r>
      <w:r w:rsidRPr="00461715">
        <w:t xml:space="preserve"> echter op basis van de beschikbare informatie, waaronder wetenschappelijke en technische gegevens</w:t>
      </w:r>
      <w:r w:rsidRPr="00461715">
        <w:rPr>
          <w:b/>
          <w:i/>
        </w:rPr>
        <w:t xml:space="preserve">, </w:t>
      </w:r>
      <w:r w:rsidRPr="00461715">
        <w:t xml:space="preserve">een grenswaarde worden vastgesteld. </w:t>
      </w:r>
      <w:r w:rsidRPr="00461715">
        <w:rPr>
          <w:b/>
          <w:i/>
        </w:rPr>
        <w:t>Het Scoel</w:t>
      </w:r>
      <w:r w:rsidRPr="00461715">
        <w:t xml:space="preserve"> heeft voor dat carcinogeen agens de mogelijkheid van aanzienlijke opname via de huid geconstateerd </w:t>
      </w:r>
      <w:r w:rsidRPr="00461715">
        <w:rPr>
          <w:b/>
          <w:i/>
        </w:rPr>
        <w:t>en het ACSH is het op basis van de beschikbare informatie, waaronder wetenschappelijke en technische gegevens, eens geworden over een bruikbare grenswaarde.</w:t>
      </w:r>
      <w:r w:rsidRPr="00461715">
        <w:t xml:space="preserve"> Daarom is het wenselijk om in ▌ bijlage III bij Richtlijn 2004/37/EG voor 4,4'-methyleendianiline ▌een grenswaarde vast te stellen en er een huidnotatie aan toe te kennen om aan te geven dat aanzienlijke opname via de huid mogelijk is.</w:t>
      </w:r>
    </w:p>
    <w:p w:rsidR="000E1686" w:rsidRPr="00461715" w:rsidRDefault="000E1686" w:rsidP="000E1686">
      <w:pPr>
        <w:widowControl/>
        <w:spacing w:line="360" w:lineRule="auto"/>
        <w:ind w:left="851" w:hanging="851"/>
        <w:rPr>
          <w:szCs w:val="24"/>
        </w:rPr>
      </w:pPr>
    </w:p>
    <w:p w:rsidR="00E50BFC" w:rsidRPr="00461715" w:rsidRDefault="00E50BFC" w:rsidP="000E1686">
      <w:pPr>
        <w:widowControl/>
        <w:spacing w:line="360" w:lineRule="auto"/>
        <w:ind w:left="851" w:hanging="851"/>
        <w:rPr>
          <w:szCs w:val="24"/>
        </w:rPr>
      </w:pPr>
      <w:r w:rsidRPr="00461715">
        <w:t>(21)</w:t>
      </w:r>
      <w:r w:rsidRPr="00461715">
        <w:tab/>
        <w:t xml:space="preserve">Epichloorhydrine (1-chloor-2,3-epoxypropaan) voldoet aan de criteria voor indeling als kankerverwekkend (categorie 1B) overeenkomstig Verordening (EG) nr. 1272/2008 en is bijgevolg een carcinogeen agens als gedefinieerd in Richtlijn 2004/37/EG. </w:t>
      </w:r>
      <w:r w:rsidRPr="00461715">
        <w:rPr>
          <w:b/>
          <w:i/>
        </w:rPr>
        <w:t>Het Scoel</w:t>
      </w:r>
      <w:r w:rsidRPr="00461715">
        <w:t xml:space="preserve"> heeft geconcludeerd dat het niet mogelijk is een gezondheidskundige grenswaarde voor blootstelling af te leiden voor dat carcinogeen zonder drempelwaarde en heeft aanbevolen beroepsmatige blootstelling te vermijden. </w:t>
      </w:r>
      <w:r w:rsidRPr="00461715">
        <w:rPr>
          <w:b/>
          <w:i/>
        </w:rPr>
        <w:t>Het Scoel</w:t>
      </w:r>
      <w:r w:rsidRPr="00461715">
        <w:t xml:space="preserve"> heeft voor epichloorhydrine de mogelijkheid van aanzienlijke opname via de huid geconstateerd </w:t>
      </w:r>
      <w:r w:rsidRPr="00461715">
        <w:rPr>
          <w:b/>
          <w:bCs/>
          <w:i/>
          <w:iCs/>
          <w:szCs w:val="24"/>
        </w:rPr>
        <w:t>en het ACSH</w:t>
      </w:r>
      <w:r w:rsidRPr="00461715">
        <w:rPr>
          <w:bCs/>
          <w:iCs/>
          <w:szCs w:val="24"/>
        </w:rPr>
        <w:t xml:space="preserve"> is het op basis van de beschikbare informatie, waaronder wetenschappelijke en technische gegevens, eens geworden over een bruikbare grenswaarde.</w:t>
      </w:r>
      <w:r w:rsidRPr="00461715">
        <w:t xml:space="preserve"> Daarom is het wenselijk om in ▌bijlage III bij Richtlijn 2004/37/EG voor epichloorhydrine ▌een grenswaarde vast te stellen en er een huidnotatie aan toe te kennen om aan te geven dat aanzienlijke opname via de huid mogelijk is.</w:t>
      </w:r>
    </w:p>
    <w:p w:rsidR="00E50BFC" w:rsidRPr="00461715" w:rsidRDefault="00E50BFC" w:rsidP="000E1686">
      <w:pPr>
        <w:widowControl/>
        <w:spacing w:line="360" w:lineRule="auto"/>
        <w:ind w:left="851" w:hanging="851"/>
        <w:rPr>
          <w:szCs w:val="24"/>
        </w:rPr>
      </w:pPr>
      <w:r w:rsidRPr="00461715">
        <w:br w:type="page"/>
        <w:t>(22)</w:t>
      </w:r>
      <w:r w:rsidRPr="00461715">
        <w:tab/>
        <w:t xml:space="preserve">Ethyleendibromide (1,2-dibroomethaan, EDB) voldoet aan de criteria voor indeling als kankerverwekkend (categorie 1B) overeenkomstig Verordening (EG) nr. 1272/2008 en is bijgevolg een carcinogeen agens als gedefinieerd in Richtlijn 2004/37/EG. </w:t>
      </w:r>
      <w:r w:rsidRPr="00461715">
        <w:rPr>
          <w:b/>
          <w:i/>
        </w:rPr>
        <w:t>Het Scoel</w:t>
      </w:r>
      <w:r w:rsidRPr="00461715">
        <w:t xml:space="preserve"> heeft geconcludeerd dat het niet mogelijk is een gezondheidskundige grenswaarde voor blootstelling af te leiden voor dat carcinogeen zonder drempelwaarde en heeft aanbevolen beroepsmatige blootstelling te voorkomen. </w:t>
      </w:r>
      <w:r w:rsidRPr="00461715">
        <w:rPr>
          <w:b/>
          <w:i/>
        </w:rPr>
        <w:t>Het Scoel</w:t>
      </w:r>
      <w:r w:rsidRPr="00461715">
        <w:t xml:space="preserve"> heeft voor ethyleendibromide de mogelijkheid van aanzienlijke opname via de huid geconstateerd </w:t>
      </w:r>
      <w:r w:rsidRPr="00461715">
        <w:rPr>
          <w:b/>
          <w:bCs/>
          <w:i/>
          <w:iCs/>
          <w:szCs w:val="24"/>
        </w:rPr>
        <w:t>en het ACSH</w:t>
      </w:r>
      <w:r w:rsidRPr="00461715">
        <w:rPr>
          <w:bCs/>
          <w:iCs/>
          <w:szCs w:val="24"/>
        </w:rPr>
        <w:t xml:space="preserve"> is het op basis van de beschikbare informatie, waaronder wetenschappelijke en technische gegevens, eens geworden over een bruikbare grenswaarde.</w:t>
      </w:r>
      <w:r w:rsidRPr="00461715">
        <w:t xml:space="preserve"> Daarom is het wenselijk om in ▌bijlage III bij Richtlijn 2004/37/EG voor ethyleendibromide ▌een grenswaarde vast te stellen en er een huidnotatie aan toe te kennen om aan te geven dat aanzienlijke opname via de huid mogelijk is.</w:t>
      </w:r>
    </w:p>
    <w:p w:rsidR="00E50BFC" w:rsidRPr="00461715" w:rsidRDefault="00E50BFC" w:rsidP="000E1686">
      <w:pPr>
        <w:widowControl/>
        <w:spacing w:line="360" w:lineRule="auto"/>
        <w:ind w:left="851" w:hanging="851"/>
        <w:rPr>
          <w:szCs w:val="24"/>
        </w:rPr>
      </w:pPr>
      <w:r w:rsidRPr="00461715">
        <w:br w:type="page"/>
        <w:t>(23)</w:t>
      </w:r>
      <w:r w:rsidRPr="00461715">
        <w:tab/>
        <w:t xml:space="preserve">Ethyleendichloride (1,2-dichloorethaan, EDC) voldoet aan de criteria voor indeling als kankerverwekkend (categorie 1B) overeenkomstig Verordening (EG) nr. 1272/2008 en is bijgevolg een carcinogeen agens als gedefinieerd in Richtlijn 2004/37/EG. </w:t>
      </w:r>
      <w:r w:rsidRPr="00461715">
        <w:rPr>
          <w:b/>
          <w:bCs/>
          <w:i/>
          <w:iCs/>
          <w:szCs w:val="24"/>
        </w:rPr>
        <w:t>Het Scoel heeft geconcludeerd dat het niet mogelijk is een gezondheidskundige grenswaarde voor blootstelling af te leiden voor dat carcinogeen agens zonder drempelwaarde.</w:t>
      </w:r>
      <w:r w:rsidRPr="00461715">
        <w:t xml:space="preserve"> Voor ethyleendichloride </w:t>
      </w:r>
      <w:r w:rsidRPr="00461715">
        <w:rPr>
          <w:b/>
          <w:i/>
        </w:rPr>
        <w:t>kan</w:t>
      </w:r>
      <w:r w:rsidRPr="00461715">
        <w:t xml:space="preserve"> echter op basis van de beschikbare informatie, waaronder wetenschappelijke en technische gegevens,</w:t>
      </w:r>
      <w:r w:rsidRPr="00461715">
        <w:rPr>
          <w:b/>
          <w:i/>
        </w:rPr>
        <w:t xml:space="preserve"> </w:t>
      </w:r>
      <w:r w:rsidRPr="00461715">
        <w:t xml:space="preserve">een grenswaarde worden vastgesteld. </w:t>
      </w:r>
      <w:r w:rsidRPr="00461715">
        <w:rPr>
          <w:b/>
          <w:i/>
        </w:rPr>
        <w:t>Het Scoel</w:t>
      </w:r>
      <w:r w:rsidRPr="00461715">
        <w:t xml:space="preserve"> heeft voor ethyleendichloride de mogelijkheid van aanzienlijke opname via de huid geconstateerd </w:t>
      </w:r>
      <w:r w:rsidRPr="00461715">
        <w:rPr>
          <w:b/>
          <w:i/>
        </w:rPr>
        <w:t>en het ACSH is het op basis van de beschikbare informatie, waaronder wetenschappelijke en technische gegevens, eens geworden over een bruikbare grenswaarde maar heeft daarbij gewezen op het gebrek aan robuuste en geactualiseerde wetenschappelijke gegevens, vooral over de werking van de stof.</w:t>
      </w:r>
      <w:r w:rsidRPr="00461715">
        <w:t xml:space="preserve"> Daarom is het wenselijk om in ▌bijlage III bij Richtlijn 2004/37/EG voor ethyleendichloride ▌een grenswaarde vast te stellen en er een huidnotatie aan toe te kennen om aan te geven dat aanzienlijke opname via de huid mogelijk is.</w:t>
      </w:r>
    </w:p>
    <w:p w:rsidR="00E50BFC" w:rsidRPr="00461715" w:rsidRDefault="00E50BFC" w:rsidP="00E50BFC">
      <w:pPr>
        <w:widowControl/>
        <w:ind w:left="851" w:hanging="851"/>
      </w:pPr>
      <w:r w:rsidRPr="00461715">
        <w:t>▌</w:t>
      </w:r>
    </w:p>
    <w:p w:rsidR="00E50BFC" w:rsidRPr="00461715" w:rsidRDefault="00E50BFC" w:rsidP="000E1686">
      <w:pPr>
        <w:widowControl/>
        <w:spacing w:line="360" w:lineRule="auto"/>
        <w:ind w:left="851" w:hanging="851"/>
        <w:rPr>
          <w:b/>
          <w:i/>
        </w:rPr>
      </w:pPr>
      <w:r w:rsidRPr="00461715">
        <w:rPr>
          <w:b/>
          <w:i/>
        </w:rPr>
        <w:br w:type="page"/>
        <w:t xml:space="preserve">(24) </w:t>
      </w:r>
      <w:r w:rsidRPr="00461715">
        <w:rPr>
          <w:b/>
          <w:i/>
        </w:rPr>
        <w:tab/>
        <w:t>De "overeenkomst over de bescherming van de gezondheid van werknemers door het correct hanteren en gebruiken van kristallijn silica en producten die kristallijn silica bevatten" ("Agreement on Workers' Health Protection Through the Good Handling and Use of Crystalline Silica and Products Containing it "), ondertekend door de verenigingen die samen het Europees Netwerk voor silica (NEPSi) vormen, en andere overeenkomsten tussen sociale partners, die - naast de regelgevingsmaatregelen - richtsnoeren en hulpmiddelen bieden ter ondersteuning van de doeltreffende naleving door werkgevers van hun in Richtlijn 2004/37/EG neergelegde verplichtingen, vormen waardevolle instrumenten ter aanvulling van regelgevingsmaatregelen. De Commissie dient de sociale partners, met inachtneming van hun autonomie, aan te moedigen dergelijke overeenkomsten te sluiten. Naleving van deze overeenkomsten mag evenwel niet als vermoeden van overeenstemming met de in Richtlijn 2004/37/EG neergelegde verplichtingen van de werkgevers worden opgevat. Een regelmatig geactualiseerde lijst van dergelijke overeenkomsten moet worden bekendgemaakt op de website van het Europees Agentschap voor veiligheid en gezondheid op het werk (EU-OSHA).</w:t>
      </w:r>
    </w:p>
    <w:p w:rsidR="000E1686" w:rsidRPr="00461715" w:rsidRDefault="000E1686" w:rsidP="000E1686">
      <w:pPr>
        <w:widowControl/>
        <w:spacing w:line="360" w:lineRule="auto"/>
        <w:ind w:left="851" w:hanging="851"/>
        <w:rPr>
          <w:szCs w:val="24"/>
        </w:rPr>
      </w:pPr>
    </w:p>
    <w:p w:rsidR="00E50BFC" w:rsidRPr="00461715" w:rsidRDefault="00E50BFC" w:rsidP="000E1686">
      <w:pPr>
        <w:widowControl/>
        <w:spacing w:line="360" w:lineRule="auto"/>
        <w:ind w:left="851" w:hanging="851"/>
      </w:pPr>
      <w:r w:rsidRPr="00461715">
        <w:t>(25)</w:t>
      </w:r>
      <w:r w:rsidRPr="00461715">
        <w:tab/>
        <w:t xml:space="preserve">De Commissie heeft </w:t>
      </w:r>
      <w:r w:rsidRPr="00461715">
        <w:rPr>
          <w:b/>
          <w:i/>
        </w:rPr>
        <w:t>het ACSH</w:t>
      </w:r>
      <w:r w:rsidRPr="00461715">
        <w:t xml:space="preserve"> geraadpleegd </w:t>
      </w:r>
      <w:r w:rsidRPr="00461715">
        <w:rPr>
          <w:b/>
          <w:i/>
        </w:rPr>
        <w:t>en</w:t>
      </w:r>
      <w:r w:rsidRPr="00461715">
        <w:t xml:space="preserve"> heeft in twee fasen de Europese sociale partners geraadpleegd, overeenkomstig artikel 154 van het Verdrag betreffende de werking van de Europese Unie.</w:t>
      </w:r>
    </w:p>
    <w:p w:rsidR="000E1686" w:rsidRPr="00461715" w:rsidRDefault="000E1686" w:rsidP="000E1686">
      <w:pPr>
        <w:widowControl/>
        <w:spacing w:line="360" w:lineRule="auto"/>
        <w:ind w:left="851" w:hanging="851"/>
        <w:rPr>
          <w:szCs w:val="24"/>
        </w:rPr>
      </w:pPr>
    </w:p>
    <w:p w:rsidR="00E50BFC" w:rsidRPr="00461715" w:rsidRDefault="00E50BFC" w:rsidP="000E1686">
      <w:pPr>
        <w:widowControl/>
        <w:spacing w:line="360" w:lineRule="auto"/>
        <w:ind w:left="851" w:hanging="851"/>
      </w:pPr>
      <w:r w:rsidRPr="00461715">
        <w:t>(26)</w:t>
      </w:r>
      <w:r w:rsidRPr="00461715">
        <w:tab/>
        <w:t>Deze richtlijn is in overeenstemming met de grondrechten en de beginselen vervat in het Handvest van de grondrechten van de Europese Unie, en met name artikel 31, lid 1,</w:t>
      </w:r>
    </w:p>
    <w:p w:rsidR="00E50BFC" w:rsidRPr="00461715" w:rsidRDefault="00E50BFC" w:rsidP="000E1686">
      <w:pPr>
        <w:widowControl/>
        <w:spacing w:line="360" w:lineRule="auto"/>
        <w:ind w:left="851" w:hanging="851"/>
        <w:rPr>
          <w:szCs w:val="24"/>
        </w:rPr>
      </w:pPr>
      <w:r w:rsidRPr="00461715">
        <w:br w:type="page"/>
        <w:t>(27)</w:t>
      </w:r>
      <w:r w:rsidRPr="00461715">
        <w:tab/>
        <w:t>De in deze richtlijn vastgestelde grenswaarden zullen worden herzien in het licht van de uitvoering van Verordening (EG) nr. 1907/2006 van het Europees Parlement en de Raad</w:t>
      </w:r>
      <w:r w:rsidRPr="00461715">
        <w:rPr>
          <w:b/>
          <w:szCs w:val="24"/>
          <w:vertAlign w:val="superscript"/>
        </w:rPr>
        <w:footnoteReference w:id="7"/>
      </w:r>
      <w:r w:rsidRPr="00461715">
        <w:t xml:space="preserve"> en van de adviezen van twee comités van het Europees Agentschap voor chemische stoffen (ECHA) (het Comité risicobeoordeling (RAC) en het Comité sociaaleconomische analyse (SEAC)), en met name om rekening te houden met de interactie tussen de in het kader van Richtlijn 2004/37/EG vastgestelde grenswaarden en de relaties tussen dosis en respons, informatie over de werkelijke blootstelling en, in voorkomend geval, afgeleide doses zonder effect voor onder die verordening vallende gevaarlijke chemische stoffen</w:t>
      </w:r>
      <w:r w:rsidRPr="00461715">
        <w:rPr>
          <w:b/>
          <w:i/>
        </w:rPr>
        <w:t>, teneinde werknemers doeltreffend te beschermen.</w:t>
      </w:r>
    </w:p>
    <w:p w:rsidR="00E50BFC" w:rsidRPr="00461715" w:rsidRDefault="00E50BFC" w:rsidP="000E1686">
      <w:pPr>
        <w:widowControl/>
        <w:spacing w:line="360" w:lineRule="auto"/>
        <w:ind w:left="851" w:hanging="851"/>
      </w:pPr>
      <w:r w:rsidRPr="00461715">
        <w:br w:type="page"/>
        <w:t>(28)</w:t>
      </w:r>
      <w:r w:rsidRPr="00461715">
        <w:tab/>
        <w:t xml:space="preserve">Daar de doelstellingen van deze richtlijn, namelijk de verbetering van de levens- en arbeidsomstandigheden en de bescherming van de gezondheid van werknemers tegen de specifieke risico’s van blootstelling aan carcinogene </w:t>
      </w:r>
      <w:r w:rsidRPr="00461715">
        <w:rPr>
          <w:b/>
          <w:i/>
        </w:rPr>
        <w:t>en mutagene agentia,</w:t>
      </w:r>
      <w:r w:rsidRPr="00461715">
        <w:t xml:space="preserve"> niet voldoende door de lidstaten kunnen worden verwezenlijkt, maar vanwege de omvang en de gevolgen ervan beter door de Unie kunnen worden verwezenlijkt, kan de Unie overeenkomstig het in </w:t>
      </w:r>
      <w:r w:rsidRPr="00461715">
        <w:rPr>
          <w:b/>
          <w:bCs/>
          <w:i/>
          <w:iCs/>
          <w:szCs w:val="24"/>
        </w:rPr>
        <w:t>artikel 5</w:t>
      </w:r>
      <w:r w:rsidRPr="00461715">
        <w:t xml:space="preserve"> van het Verdrag betreffende de Europese Unie neergelegde subsidiariteitsbeginsel, maatregelen nemen. Overeenkomstig het in hetzelfde artikel neergelegde evenredigheidsbeginsel, gaat deze richtlijn niet verder dan nodig is om die doelstellingen te verwezenlijken.</w:t>
      </w:r>
    </w:p>
    <w:p w:rsidR="000E1686" w:rsidRPr="00461715" w:rsidRDefault="000E1686" w:rsidP="000E1686">
      <w:pPr>
        <w:widowControl/>
        <w:spacing w:line="360" w:lineRule="auto"/>
        <w:ind w:left="851" w:hanging="851"/>
        <w:rPr>
          <w:i/>
          <w:szCs w:val="24"/>
        </w:rPr>
      </w:pPr>
    </w:p>
    <w:p w:rsidR="00E50BFC" w:rsidRPr="00461715" w:rsidRDefault="00E50BFC" w:rsidP="000E1686">
      <w:pPr>
        <w:widowControl/>
        <w:spacing w:line="360" w:lineRule="auto"/>
        <w:ind w:left="851" w:hanging="851"/>
      </w:pPr>
      <w:r w:rsidRPr="00461715">
        <w:t>(29)</w:t>
      </w:r>
      <w:r w:rsidRPr="00461715">
        <w:tab/>
        <w:t>Aangezien deze richtlijn de bescherming van de gezondheid en de veiligheid van werknemers op het werk betreft, dient zij uiterlijk twee jaar na de datum van inwerkingtreding ervan te worden omgezet.</w:t>
      </w:r>
    </w:p>
    <w:p w:rsidR="000E1686" w:rsidRPr="00461715" w:rsidRDefault="000E1686" w:rsidP="000E1686">
      <w:pPr>
        <w:widowControl/>
        <w:spacing w:line="360" w:lineRule="auto"/>
        <w:ind w:left="851" w:hanging="851"/>
        <w:rPr>
          <w:rFonts w:cs="Symbol"/>
        </w:rPr>
      </w:pPr>
    </w:p>
    <w:p w:rsidR="00E50BFC" w:rsidRPr="00461715" w:rsidRDefault="00E50BFC" w:rsidP="000E1686">
      <w:pPr>
        <w:widowControl/>
        <w:spacing w:line="360" w:lineRule="auto"/>
        <w:ind w:left="851" w:hanging="851"/>
        <w:rPr>
          <w:szCs w:val="24"/>
        </w:rPr>
      </w:pPr>
      <w:r w:rsidRPr="00461715">
        <w:t>(30)</w:t>
      </w:r>
      <w:r w:rsidRPr="00461715">
        <w:tab/>
        <w:t>Richtlijn 2004/37/EG dient bijgevolg dienovereenkomstig te worden gewijzigd.</w:t>
      </w:r>
    </w:p>
    <w:p w:rsidR="00E50BFC" w:rsidRPr="00461715" w:rsidRDefault="00E50BFC" w:rsidP="000E1686">
      <w:pPr>
        <w:widowControl/>
        <w:spacing w:line="360" w:lineRule="auto"/>
        <w:ind w:left="851" w:hanging="851"/>
      </w:pPr>
      <w:r w:rsidRPr="00461715">
        <w:br w:type="page"/>
        <w:t>(31)</w:t>
      </w:r>
      <w:r w:rsidRPr="00461715">
        <w:tab/>
        <w:t>Overeenkomstig de gezamenlijke politieke verklaring van de lidstaten en de Commissie van 28 september 2011 over toelichtende stukken</w:t>
      </w:r>
      <w:r w:rsidRPr="00461715">
        <w:rPr>
          <w:rStyle w:val="FootnoteReference"/>
          <w:szCs w:val="24"/>
        </w:rPr>
        <w:footnoteReference w:id="8"/>
      </w:r>
      <w:r w:rsidRPr="00461715">
        <w:t xml:space="preserve"> ▌hebben de lidstaten zich ertoe verbonden om in gerechtvaardigde gevallen de kennisgeving van hun omzettingsmaatregelen vergezeld te doen gaan van één of meer stukken waarin het verband tussen de onderdelen van een richtlijn en de overeenkomstige delen van de nationale omzettingsinstrumenten wordt toegelicht. Met betrekking tot deze richtlijn acht de wetgever de toezending van die stukken gerechtvaardigd,</w:t>
      </w:r>
    </w:p>
    <w:p w:rsidR="000E1686" w:rsidRPr="00461715" w:rsidRDefault="000E1686" w:rsidP="000E1686">
      <w:pPr>
        <w:widowControl/>
        <w:spacing w:line="360" w:lineRule="auto"/>
        <w:ind w:left="851" w:hanging="851"/>
        <w:rPr>
          <w:szCs w:val="24"/>
        </w:rPr>
      </w:pPr>
    </w:p>
    <w:p w:rsidR="00E50BFC" w:rsidRPr="00461715" w:rsidRDefault="00E50BFC" w:rsidP="000E1686">
      <w:pPr>
        <w:widowControl/>
        <w:spacing w:line="360" w:lineRule="auto"/>
        <w:rPr>
          <w:szCs w:val="24"/>
        </w:rPr>
      </w:pPr>
      <w:r w:rsidRPr="00461715">
        <w:t>HEBBEN DE VOLGENDE RICHTLIJN VASTGESTELD:</w:t>
      </w:r>
    </w:p>
    <w:p w:rsidR="00E50BFC" w:rsidRPr="00461715" w:rsidRDefault="00E50BFC" w:rsidP="00E50BFC">
      <w:pPr>
        <w:widowControl/>
        <w:ind w:left="851" w:hanging="851"/>
        <w:jc w:val="center"/>
        <w:rPr>
          <w:i/>
          <w:szCs w:val="24"/>
        </w:rPr>
      </w:pPr>
      <w:r w:rsidRPr="00461715">
        <w:rPr>
          <w:i/>
          <w:szCs w:val="24"/>
        </w:rPr>
        <w:br w:type="page"/>
        <w:t>Artikel 1</w:t>
      </w:r>
    </w:p>
    <w:p w:rsidR="000E1686" w:rsidRPr="00461715" w:rsidRDefault="000E1686" w:rsidP="00E50BFC">
      <w:pPr>
        <w:widowControl/>
        <w:ind w:left="851" w:hanging="851"/>
        <w:jc w:val="center"/>
        <w:rPr>
          <w:szCs w:val="24"/>
        </w:rPr>
      </w:pPr>
    </w:p>
    <w:p w:rsidR="00E50BFC" w:rsidRPr="00461715" w:rsidRDefault="00E50BFC" w:rsidP="000E1686">
      <w:pPr>
        <w:widowControl/>
        <w:spacing w:line="360" w:lineRule="auto"/>
      </w:pPr>
      <w:r w:rsidRPr="00461715">
        <w:t>Richtlijn 2004/37/EG wordt als volgt gewijzigd:</w:t>
      </w:r>
    </w:p>
    <w:p w:rsidR="000E1686" w:rsidRPr="00461715" w:rsidRDefault="000E1686" w:rsidP="000E1686">
      <w:pPr>
        <w:widowControl/>
        <w:spacing w:line="360" w:lineRule="auto"/>
        <w:rPr>
          <w:szCs w:val="24"/>
        </w:rPr>
      </w:pPr>
    </w:p>
    <w:p w:rsidR="00E50BFC" w:rsidRPr="00461715" w:rsidRDefault="00E50BFC" w:rsidP="000E1686">
      <w:pPr>
        <w:widowControl/>
        <w:spacing w:line="360" w:lineRule="auto"/>
        <w:ind w:left="851" w:hanging="851"/>
        <w:rPr>
          <w:szCs w:val="24"/>
        </w:rPr>
      </w:pPr>
      <w:r w:rsidRPr="00461715">
        <w:rPr>
          <w:b/>
          <w:i/>
        </w:rPr>
        <w:t xml:space="preserve">1) </w:t>
      </w:r>
      <w:r w:rsidRPr="00461715">
        <w:rPr>
          <w:b/>
          <w:i/>
        </w:rPr>
        <w:tab/>
        <w:t>het volgende artikel wordt ingevoegd:</w:t>
      </w:r>
    </w:p>
    <w:p w:rsidR="00E50BFC" w:rsidRPr="00461715" w:rsidRDefault="00E50BFC" w:rsidP="000E1686">
      <w:pPr>
        <w:widowControl/>
        <w:spacing w:line="360" w:lineRule="auto"/>
        <w:ind w:left="851"/>
        <w:rPr>
          <w:szCs w:val="24"/>
        </w:rPr>
      </w:pPr>
      <w:r w:rsidRPr="00461715">
        <w:rPr>
          <w:b/>
          <w:i/>
        </w:rPr>
        <w:t>"Artikel 13 bis</w:t>
      </w:r>
      <w:r w:rsidRPr="00461715">
        <w:br/>
      </w:r>
      <w:r w:rsidRPr="00461715">
        <w:rPr>
          <w:b/>
          <w:i/>
        </w:rPr>
        <w:t>Overeenkomsten tussen de sociale partners</w:t>
      </w:r>
    </w:p>
    <w:p w:rsidR="00E50BFC" w:rsidRPr="00461715" w:rsidRDefault="00E50BFC" w:rsidP="000E1686">
      <w:pPr>
        <w:widowControl/>
        <w:spacing w:line="360" w:lineRule="auto"/>
        <w:ind w:left="851"/>
        <w:rPr>
          <w:b/>
          <w:i/>
        </w:rPr>
      </w:pPr>
      <w:r w:rsidRPr="00461715">
        <w:rPr>
          <w:b/>
          <w:i/>
        </w:rPr>
        <w:t xml:space="preserve">Eventuele overeenkomsten die op het onder deze richtlijn vallende gebied tussen de sociale partners worden gesloten, worden vermeld op de website van het Europees Agentschap voor veiligheid en gezondheid op het werk </w:t>
      </w:r>
      <w:r w:rsidRPr="00461715">
        <w:rPr>
          <w:b/>
        </w:rPr>
        <w:t>(</w:t>
      </w:r>
      <w:r w:rsidRPr="00461715">
        <w:rPr>
          <w:b/>
          <w:i/>
        </w:rPr>
        <w:t>EU-OSHA</w:t>
      </w:r>
      <w:r w:rsidRPr="00461715">
        <w:rPr>
          <w:b/>
        </w:rPr>
        <w:t>)</w:t>
      </w:r>
      <w:r w:rsidRPr="00461715">
        <w:rPr>
          <w:b/>
          <w:i/>
        </w:rPr>
        <w:t>. Die lijst wordt regelmatig geactualiseerd.";</w:t>
      </w:r>
    </w:p>
    <w:p w:rsidR="000E1686" w:rsidRPr="00461715" w:rsidRDefault="000E1686" w:rsidP="000E1686">
      <w:pPr>
        <w:widowControl/>
        <w:spacing w:line="360" w:lineRule="auto"/>
        <w:ind w:left="851"/>
        <w:rPr>
          <w:szCs w:val="24"/>
        </w:rPr>
      </w:pPr>
    </w:p>
    <w:p w:rsidR="00E50BFC" w:rsidRPr="00461715" w:rsidRDefault="00E50BFC" w:rsidP="000E1686">
      <w:pPr>
        <w:widowControl/>
        <w:spacing w:line="360" w:lineRule="auto"/>
        <w:ind w:left="851" w:hanging="851"/>
        <w:rPr>
          <w:szCs w:val="24"/>
        </w:rPr>
      </w:pPr>
      <w:r w:rsidRPr="00461715">
        <w:t>2)</w:t>
      </w:r>
      <w:r w:rsidRPr="00461715">
        <w:tab/>
        <w:t>in bijlage I worden de volgende punten toegevoegd:</w:t>
      </w:r>
    </w:p>
    <w:p w:rsidR="00E50BFC" w:rsidRPr="00461715" w:rsidRDefault="00E50BFC" w:rsidP="000E1686">
      <w:pPr>
        <w:widowControl/>
        <w:spacing w:line="360" w:lineRule="auto"/>
        <w:ind w:left="1418" w:hanging="567"/>
        <w:rPr>
          <w:szCs w:val="24"/>
        </w:rPr>
      </w:pPr>
      <w:r w:rsidRPr="00461715">
        <w:rPr>
          <w:b/>
          <w:bCs/>
          <w:i/>
          <w:iCs/>
        </w:rPr>
        <w:t>"7.</w:t>
      </w:r>
      <w:r w:rsidRPr="00461715">
        <w:rPr>
          <w:b/>
          <w:bCs/>
          <w:i/>
          <w:iCs/>
        </w:rPr>
        <w:tab/>
      </w:r>
      <w:r w:rsidRPr="00461715">
        <w:t>Werkzaamheden waarbij sprake is van</w:t>
      </w:r>
      <w:r w:rsidRPr="00461715">
        <w:rPr>
          <w:b/>
          <w:i/>
        </w:rPr>
        <w:t xml:space="preserve"> dermale</w:t>
      </w:r>
      <w:r w:rsidRPr="00461715">
        <w:t xml:space="preserve"> blootstelling aan </w:t>
      </w:r>
      <w:r w:rsidRPr="00461715">
        <w:rPr>
          <w:b/>
          <w:i/>
        </w:rPr>
        <w:t>minerale</w:t>
      </w:r>
      <w:r w:rsidRPr="00461715">
        <w:t xml:space="preserve"> oliën die eerder in interne verbrandingsmotoren zijn gebruikt om de bewegende delen in de motor te smeren en af te koelen.</w:t>
      </w:r>
    </w:p>
    <w:p w:rsidR="00E50BFC" w:rsidRPr="00461715" w:rsidRDefault="00E50BFC" w:rsidP="000E1686">
      <w:pPr>
        <w:widowControl/>
        <w:spacing w:line="360" w:lineRule="auto"/>
        <w:ind w:left="1418" w:hanging="567"/>
        <w:rPr>
          <w:b/>
          <w:i/>
        </w:rPr>
      </w:pPr>
      <w:r w:rsidRPr="00461715">
        <w:rPr>
          <w:b/>
          <w:i/>
        </w:rPr>
        <w:t>8.</w:t>
      </w:r>
      <w:r w:rsidRPr="00461715">
        <w:tab/>
      </w:r>
      <w:r w:rsidRPr="00461715">
        <w:rPr>
          <w:b/>
          <w:i/>
        </w:rPr>
        <w:t>Werkzaamheden waarbij sprake is van blootstelling aan uitlaatgassen van dieselmotoren.";</w:t>
      </w:r>
    </w:p>
    <w:p w:rsidR="000E1686" w:rsidRPr="00461715" w:rsidRDefault="000E1686" w:rsidP="000E1686">
      <w:pPr>
        <w:widowControl/>
        <w:spacing w:line="360" w:lineRule="auto"/>
        <w:ind w:left="1418" w:hanging="567"/>
        <w:rPr>
          <w:b/>
          <w:i/>
        </w:rPr>
      </w:pPr>
    </w:p>
    <w:p w:rsidR="00E50BFC" w:rsidRPr="00461715" w:rsidRDefault="00E50BFC" w:rsidP="000E1686">
      <w:pPr>
        <w:widowControl/>
        <w:spacing w:line="360" w:lineRule="auto"/>
        <w:ind w:left="851" w:hanging="851"/>
        <w:rPr>
          <w:szCs w:val="24"/>
        </w:rPr>
      </w:pPr>
      <w:r w:rsidRPr="00461715">
        <w:t>3)</w:t>
      </w:r>
      <w:r w:rsidRPr="00461715">
        <w:tab/>
        <w:t>bijlage III wordt vervangen door de tekst in de bijlage bij deze richtlijn.</w:t>
      </w:r>
    </w:p>
    <w:p w:rsidR="00E50BFC" w:rsidRPr="00461715" w:rsidRDefault="00E50BFC" w:rsidP="000E1686">
      <w:pPr>
        <w:widowControl/>
        <w:spacing w:line="360" w:lineRule="auto"/>
        <w:jc w:val="center"/>
        <w:rPr>
          <w:i/>
        </w:rPr>
      </w:pPr>
      <w:r w:rsidRPr="00461715">
        <w:rPr>
          <w:i/>
        </w:rPr>
        <w:br w:type="page"/>
        <w:t>Artikel 2</w:t>
      </w:r>
    </w:p>
    <w:p w:rsidR="000E1686" w:rsidRPr="00461715" w:rsidRDefault="000E1686" w:rsidP="000E1686">
      <w:pPr>
        <w:widowControl/>
        <w:spacing w:line="360" w:lineRule="auto"/>
        <w:jc w:val="center"/>
        <w:rPr>
          <w:i/>
          <w:szCs w:val="24"/>
        </w:rPr>
      </w:pPr>
    </w:p>
    <w:p w:rsidR="00E50BFC" w:rsidRPr="00461715" w:rsidRDefault="00E50BFC" w:rsidP="000E1686">
      <w:pPr>
        <w:widowControl/>
        <w:spacing w:line="360" w:lineRule="auto"/>
        <w:ind w:left="851" w:hanging="851"/>
      </w:pPr>
      <w:r w:rsidRPr="00461715">
        <w:t>1.</w:t>
      </w:r>
      <w:r w:rsidRPr="00461715">
        <w:tab/>
        <w:t>De lidstaten doen de nodige wettelijke en bestuursrechtelijke bepalingen in werking treden om uiterlijk twee jaar na de datum van inwerkingtreding ervan aan deze richtlijn te voldoen. Zij stellen de Commissie onverwijld in kennis van de tekst van die bepalingen.Wanneer de lidstaten die maatregelen vaststellen, wordt in de maatregelen zelf of bij de officiële bekendmaking ervan naar deze richtlijn verwezen. De regels voor dergelijke verwijzingen worden vastgesteld door de lidstaten.</w:t>
      </w:r>
    </w:p>
    <w:p w:rsidR="000E1686" w:rsidRPr="00461715" w:rsidRDefault="000E1686" w:rsidP="000E1686">
      <w:pPr>
        <w:widowControl/>
        <w:spacing w:line="360" w:lineRule="auto"/>
        <w:ind w:left="851" w:hanging="851"/>
        <w:rPr>
          <w:szCs w:val="24"/>
        </w:rPr>
      </w:pPr>
    </w:p>
    <w:p w:rsidR="00E50BFC" w:rsidRPr="00461715" w:rsidRDefault="00E50BFC" w:rsidP="000E1686">
      <w:pPr>
        <w:widowControl/>
        <w:spacing w:line="360" w:lineRule="auto"/>
        <w:ind w:left="851" w:hanging="851"/>
      </w:pPr>
      <w:r w:rsidRPr="00461715">
        <w:t>2.</w:t>
      </w:r>
      <w:r w:rsidRPr="00461715">
        <w:tab/>
        <w:t>De lidstaten delen de Commissie de tekst van de maatregelen van intern recht mede die zij op het onder deze richtlijn vallende gebied vaststellen.</w:t>
      </w:r>
    </w:p>
    <w:p w:rsidR="000E1686" w:rsidRPr="00461715" w:rsidRDefault="000E1686" w:rsidP="000E1686">
      <w:pPr>
        <w:widowControl/>
        <w:spacing w:line="360" w:lineRule="auto"/>
        <w:ind w:left="851" w:hanging="851"/>
        <w:rPr>
          <w:szCs w:val="24"/>
        </w:rPr>
      </w:pPr>
    </w:p>
    <w:p w:rsidR="00E50BFC" w:rsidRPr="00461715" w:rsidRDefault="00E50BFC" w:rsidP="000E1686">
      <w:pPr>
        <w:widowControl/>
        <w:spacing w:line="360" w:lineRule="auto"/>
        <w:jc w:val="center"/>
        <w:rPr>
          <w:i/>
        </w:rPr>
      </w:pPr>
      <w:r w:rsidRPr="00461715">
        <w:rPr>
          <w:i/>
        </w:rPr>
        <w:t>Artikel 3</w:t>
      </w:r>
    </w:p>
    <w:p w:rsidR="000E1686" w:rsidRPr="00461715" w:rsidRDefault="000E1686" w:rsidP="000E1686">
      <w:pPr>
        <w:widowControl/>
        <w:spacing w:line="360" w:lineRule="auto"/>
        <w:jc w:val="center"/>
        <w:rPr>
          <w:i/>
          <w:szCs w:val="24"/>
        </w:rPr>
      </w:pPr>
    </w:p>
    <w:p w:rsidR="00E50BFC" w:rsidRPr="00461715" w:rsidRDefault="00E50BFC" w:rsidP="000E1686">
      <w:pPr>
        <w:widowControl/>
        <w:spacing w:line="360" w:lineRule="auto"/>
        <w:rPr>
          <w:szCs w:val="24"/>
        </w:rPr>
      </w:pPr>
      <w:r w:rsidRPr="00461715">
        <w:t xml:space="preserve">Deze richtlijn treedt in werking op de twintigste dag na die van de bekendmaking ervan in het </w:t>
      </w:r>
      <w:r w:rsidRPr="00461715">
        <w:rPr>
          <w:i/>
          <w:szCs w:val="24"/>
        </w:rPr>
        <w:t>Publicatieblad van de Europese Unie</w:t>
      </w:r>
      <w:r w:rsidRPr="00461715">
        <w:t>.</w:t>
      </w:r>
    </w:p>
    <w:p w:rsidR="00E50BFC" w:rsidRPr="00461715" w:rsidRDefault="00E50BFC" w:rsidP="000E1686">
      <w:pPr>
        <w:widowControl/>
        <w:spacing w:line="360" w:lineRule="auto"/>
        <w:jc w:val="center"/>
        <w:rPr>
          <w:i/>
        </w:rPr>
      </w:pPr>
      <w:r w:rsidRPr="00461715">
        <w:rPr>
          <w:i/>
        </w:rPr>
        <w:br w:type="page"/>
        <w:t>Artikel 4</w:t>
      </w:r>
    </w:p>
    <w:p w:rsidR="000E1686" w:rsidRPr="00461715" w:rsidRDefault="000E1686" w:rsidP="000E1686">
      <w:pPr>
        <w:widowControl/>
        <w:spacing w:line="360" w:lineRule="auto"/>
        <w:jc w:val="center"/>
        <w:rPr>
          <w:i/>
          <w:szCs w:val="24"/>
        </w:rPr>
      </w:pPr>
    </w:p>
    <w:p w:rsidR="00E50BFC" w:rsidRPr="00461715" w:rsidRDefault="00E50BFC" w:rsidP="000E1686">
      <w:pPr>
        <w:widowControl/>
        <w:spacing w:line="360" w:lineRule="auto"/>
      </w:pPr>
      <w:r w:rsidRPr="00461715">
        <w:t>Deze richtlijn is gericht tot de lidstaten.</w:t>
      </w:r>
    </w:p>
    <w:p w:rsidR="000E1686" w:rsidRPr="00461715" w:rsidRDefault="000E1686" w:rsidP="000E1686">
      <w:pPr>
        <w:widowControl/>
        <w:spacing w:line="360" w:lineRule="auto"/>
        <w:rPr>
          <w:szCs w:val="24"/>
        </w:rPr>
      </w:pPr>
    </w:p>
    <w:p w:rsidR="00E50BFC" w:rsidRPr="00461715" w:rsidRDefault="00E50BFC" w:rsidP="000E1686">
      <w:pPr>
        <w:widowControl/>
        <w:spacing w:line="360" w:lineRule="auto"/>
      </w:pPr>
      <w:r w:rsidRPr="00461715">
        <w:t>Gedaan te ,</w:t>
      </w:r>
    </w:p>
    <w:p w:rsidR="000E1686" w:rsidRPr="00461715" w:rsidRDefault="000E1686" w:rsidP="000E1686">
      <w:pPr>
        <w:widowControl/>
        <w:spacing w:line="360" w:lineRule="auto"/>
        <w:rPr>
          <w:szCs w:val="24"/>
        </w:rPr>
      </w:pPr>
    </w:p>
    <w:p w:rsidR="00E50BFC" w:rsidRPr="00461715" w:rsidRDefault="00E50BFC" w:rsidP="000E1686">
      <w:pPr>
        <w:widowControl/>
        <w:tabs>
          <w:tab w:val="left" w:pos="5387"/>
        </w:tabs>
        <w:spacing w:before="720" w:line="480" w:lineRule="auto"/>
        <w:rPr>
          <w:i/>
          <w:szCs w:val="24"/>
        </w:rPr>
      </w:pPr>
      <w:r w:rsidRPr="00461715">
        <w:rPr>
          <w:i/>
          <w:szCs w:val="24"/>
        </w:rPr>
        <w:t>Voor het Europees Parlement</w:t>
      </w:r>
      <w:r w:rsidRPr="00461715">
        <w:rPr>
          <w:i/>
          <w:szCs w:val="24"/>
        </w:rPr>
        <w:tab/>
        <w:t>Voor de Raad</w:t>
      </w:r>
    </w:p>
    <w:p w:rsidR="00E50BFC" w:rsidRPr="00461715" w:rsidRDefault="00E50BFC" w:rsidP="000E1686">
      <w:pPr>
        <w:widowControl/>
        <w:tabs>
          <w:tab w:val="left" w:pos="5387"/>
        </w:tabs>
        <w:spacing w:line="480" w:lineRule="auto"/>
        <w:rPr>
          <w:i/>
          <w:szCs w:val="24"/>
        </w:rPr>
      </w:pPr>
      <w:r w:rsidRPr="00461715">
        <w:rPr>
          <w:i/>
          <w:szCs w:val="24"/>
        </w:rPr>
        <w:t>De voorzitter</w:t>
      </w:r>
      <w:r w:rsidRPr="00461715">
        <w:rPr>
          <w:i/>
          <w:szCs w:val="24"/>
        </w:rPr>
        <w:tab/>
        <w:t>De voorzitter</w:t>
      </w:r>
    </w:p>
    <w:p w:rsidR="00E50BFC" w:rsidRPr="00461715" w:rsidRDefault="00E50BFC" w:rsidP="000E1686">
      <w:pPr>
        <w:spacing w:line="360" w:lineRule="auto"/>
        <w:jc w:val="center"/>
        <w:sectPr w:rsidR="00E50BFC" w:rsidRPr="00461715" w:rsidSect="00E50BFC">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7" w:h="16840" w:code="9"/>
          <w:pgMar w:top="1134" w:right="1134" w:bottom="1134" w:left="1134" w:header="567" w:footer="567" w:gutter="0"/>
          <w:cols w:space="720"/>
          <w:noEndnote/>
          <w:docGrid w:linePitch="326"/>
        </w:sectPr>
      </w:pPr>
    </w:p>
    <w:p w:rsidR="000E1686" w:rsidRPr="00461715" w:rsidRDefault="000E1686" w:rsidP="000E1686">
      <w:pPr>
        <w:spacing w:line="360" w:lineRule="auto"/>
        <w:jc w:val="center"/>
      </w:pPr>
      <w:r w:rsidRPr="00461715">
        <w:t>BIJLAGE</w:t>
      </w:r>
    </w:p>
    <w:p w:rsidR="000E1686" w:rsidRPr="00461715" w:rsidRDefault="000E1686" w:rsidP="000E1686">
      <w:pPr>
        <w:spacing w:line="360" w:lineRule="auto"/>
        <w:jc w:val="center"/>
      </w:pPr>
      <w:r w:rsidRPr="00461715">
        <w:t>"BIJLAGE III</w:t>
      </w:r>
    </w:p>
    <w:p w:rsidR="000E1686" w:rsidRPr="00461715" w:rsidRDefault="000E1686" w:rsidP="000E1686">
      <w:pPr>
        <w:spacing w:line="360" w:lineRule="auto"/>
        <w:jc w:val="center"/>
        <w:rPr>
          <w:szCs w:val="24"/>
        </w:rPr>
      </w:pPr>
      <w:r w:rsidRPr="00461715">
        <w:rPr>
          <w:szCs w:val="24"/>
        </w:rPr>
        <w:t>Grenswaarden en andere daarmee rechtstreeks verband houdende bepalingen (artikel 16)</w:t>
      </w:r>
    </w:p>
    <w:p w:rsidR="000E1686" w:rsidRPr="00461715" w:rsidRDefault="000E1686" w:rsidP="000E1686">
      <w:pPr>
        <w:spacing w:line="360" w:lineRule="auto"/>
        <w:rPr>
          <w:szCs w:val="24"/>
        </w:rPr>
      </w:pPr>
      <w:r w:rsidRPr="00461715">
        <w:t xml:space="preserve">A. </w:t>
      </w:r>
      <w:r w:rsidRPr="00461715">
        <w:tab/>
        <w:t>GRENSWAARDEN VOOR BEROEPSMATIGE BLOOTSSTELLING</w:t>
      </w:r>
    </w:p>
    <w:tbl>
      <w:tblPr>
        <w:tblW w:w="5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7"/>
        <w:gridCol w:w="1215"/>
        <w:gridCol w:w="1215"/>
        <w:gridCol w:w="1041"/>
        <w:gridCol w:w="1001"/>
        <w:gridCol w:w="859"/>
        <w:gridCol w:w="987"/>
        <w:gridCol w:w="850"/>
        <w:gridCol w:w="851"/>
        <w:gridCol w:w="1422"/>
        <w:gridCol w:w="2661"/>
      </w:tblGrid>
      <w:tr w:rsidR="000E1686" w:rsidRPr="00461715" w:rsidTr="00782417">
        <w:trPr>
          <w:tblHeader/>
          <w:jc w:val="center"/>
        </w:trPr>
        <w:tc>
          <w:tcPr>
            <w:tcW w:w="2757" w:type="dxa"/>
            <w:vMerge w:val="restart"/>
            <w:vAlign w:val="center"/>
          </w:tcPr>
          <w:p w:rsidR="000E1686" w:rsidRPr="00461715" w:rsidRDefault="000E1686" w:rsidP="00782417">
            <w:pPr>
              <w:spacing w:before="60" w:after="60"/>
              <w:jc w:val="center"/>
              <w:rPr>
                <w:b/>
                <w:sz w:val="20"/>
              </w:rPr>
            </w:pPr>
            <w:r w:rsidRPr="00461715">
              <w:rPr>
                <w:b/>
                <w:sz w:val="20"/>
              </w:rPr>
              <w:t>Stofnaam</w:t>
            </w:r>
          </w:p>
        </w:tc>
        <w:tc>
          <w:tcPr>
            <w:tcW w:w="1215" w:type="dxa"/>
            <w:vMerge w:val="restart"/>
            <w:vAlign w:val="center"/>
          </w:tcPr>
          <w:p w:rsidR="000E1686" w:rsidRPr="00461715" w:rsidRDefault="000E1686" w:rsidP="00782417">
            <w:pPr>
              <w:spacing w:before="60" w:after="60"/>
              <w:jc w:val="center"/>
              <w:rPr>
                <w:sz w:val="20"/>
              </w:rPr>
            </w:pPr>
            <w:r w:rsidRPr="00461715">
              <w:rPr>
                <w:b/>
                <w:sz w:val="20"/>
              </w:rPr>
              <w:t>EG-nr.</w:t>
            </w:r>
            <w:r w:rsidRPr="00461715">
              <w:rPr>
                <w:sz w:val="20"/>
              </w:rPr>
              <w:t>(</w:t>
            </w:r>
            <w:r w:rsidRPr="00461715">
              <w:rPr>
                <w:rStyle w:val="FootnoteReference"/>
                <w:bCs/>
                <w:iCs/>
                <w:sz w:val="20"/>
              </w:rPr>
              <w:t>1</w:t>
            </w:r>
            <w:r w:rsidRPr="00461715">
              <w:rPr>
                <w:sz w:val="20"/>
              </w:rPr>
              <w:t>)</w:t>
            </w:r>
          </w:p>
        </w:tc>
        <w:tc>
          <w:tcPr>
            <w:tcW w:w="1215" w:type="dxa"/>
            <w:vMerge w:val="restart"/>
            <w:vAlign w:val="center"/>
          </w:tcPr>
          <w:p w:rsidR="000E1686" w:rsidRPr="00461715" w:rsidRDefault="000E1686" w:rsidP="00782417">
            <w:pPr>
              <w:spacing w:before="60" w:after="60"/>
              <w:jc w:val="center"/>
              <w:rPr>
                <w:sz w:val="20"/>
              </w:rPr>
            </w:pPr>
            <w:r w:rsidRPr="00461715">
              <w:rPr>
                <w:b/>
                <w:sz w:val="20"/>
              </w:rPr>
              <w:t>CAS-nr.</w:t>
            </w:r>
            <w:r w:rsidRPr="00461715">
              <w:rPr>
                <w:sz w:val="20"/>
              </w:rPr>
              <w:t>(</w:t>
            </w:r>
            <w:r w:rsidRPr="00461715">
              <w:rPr>
                <w:rStyle w:val="FootnoteReference"/>
                <w:bCs/>
                <w:iCs/>
                <w:sz w:val="20"/>
              </w:rPr>
              <w:t>2</w:t>
            </w:r>
            <w:r w:rsidRPr="00461715">
              <w:rPr>
                <w:sz w:val="20"/>
              </w:rPr>
              <w:t>)</w:t>
            </w:r>
          </w:p>
        </w:tc>
        <w:tc>
          <w:tcPr>
            <w:tcW w:w="5589" w:type="dxa"/>
            <w:gridSpan w:val="6"/>
            <w:vAlign w:val="center"/>
          </w:tcPr>
          <w:p w:rsidR="000E1686" w:rsidRPr="00461715" w:rsidRDefault="000E1686" w:rsidP="00782417">
            <w:pPr>
              <w:spacing w:before="60" w:after="60"/>
              <w:jc w:val="center"/>
              <w:rPr>
                <w:sz w:val="20"/>
              </w:rPr>
            </w:pPr>
            <w:r w:rsidRPr="00461715">
              <w:rPr>
                <w:b/>
                <w:sz w:val="20"/>
              </w:rPr>
              <w:t>Grenswaarden</w:t>
            </w:r>
          </w:p>
        </w:tc>
        <w:tc>
          <w:tcPr>
            <w:tcW w:w="1422" w:type="dxa"/>
            <w:vMerge w:val="restart"/>
            <w:vAlign w:val="center"/>
          </w:tcPr>
          <w:p w:rsidR="000E1686" w:rsidRPr="00461715" w:rsidRDefault="000E1686" w:rsidP="00782417">
            <w:pPr>
              <w:spacing w:before="60" w:after="60"/>
              <w:jc w:val="center"/>
              <w:rPr>
                <w:b/>
                <w:spacing w:val="-4"/>
                <w:sz w:val="20"/>
              </w:rPr>
            </w:pPr>
            <w:r w:rsidRPr="00461715">
              <w:rPr>
                <w:b/>
                <w:sz w:val="20"/>
              </w:rPr>
              <w:t>Notatie</w:t>
            </w:r>
          </w:p>
        </w:tc>
        <w:tc>
          <w:tcPr>
            <w:tcW w:w="2661" w:type="dxa"/>
            <w:vMerge w:val="restart"/>
            <w:vAlign w:val="center"/>
          </w:tcPr>
          <w:p w:rsidR="000E1686" w:rsidRPr="00461715" w:rsidRDefault="000E1686" w:rsidP="00782417">
            <w:pPr>
              <w:spacing w:before="60" w:after="60"/>
              <w:jc w:val="center"/>
              <w:rPr>
                <w:b/>
                <w:sz w:val="20"/>
              </w:rPr>
            </w:pPr>
            <w:r w:rsidRPr="00461715">
              <w:rPr>
                <w:b/>
                <w:sz w:val="20"/>
              </w:rPr>
              <w:t>Overgangsmaatregelen</w:t>
            </w:r>
          </w:p>
        </w:tc>
      </w:tr>
      <w:tr w:rsidR="000E1686" w:rsidRPr="00461715" w:rsidTr="00782417">
        <w:trPr>
          <w:tblHeader/>
          <w:jc w:val="center"/>
        </w:trPr>
        <w:tc>
          <w:tcPr>
            <w:tcW w:w="2757" w:type="dxa"/>
            <w:vMerge/>
            <w:vAlign w:val="center"/>
          </w:tcPr>
          <w:p w:rsidR="000E1686" w:rsidRPr="00461715" w:rsidRDefault="000E1686" w:rsidP="00782417">
            <w:pPr>
              <w:spacing w:before="60" w:after="60"/>
              <w:jc w:val="center"/>
              <w:rPr>
                <w:b/>
                <w:sz w:val="20"/>
              </w:rPr>
            </w:pPr>
          </w:p>
        </w:tc>
        <w:tc>
          <w:tcPr>
            <w:tcW w:w="1215" w:type="dxa"/>
            <w:vMerge/>
            <w:vAlign w:val="center"/>
          </w:tcPr>
          <w:p w:rsidR="000E1686" w:rsidRPr="00461715" w:rsidRDefault="000E1686" w:rsidP="00782417">
            <w:pPr>
              <w:spacing w:before="60" w:after="60"/>
              <w:jc w:val="center"/>
              <w:rPr>
                <w:b/>
                <w:sz w:val="20"/>
              </w:rPr>
            </w:pPr>
          </w:p>
        </w:tc>
        <w:tc>
          <w:tcPr>
            <w:tcW w:w="1215" w:type="dxa"/>
            <w:vMerge/>
            <w:vAlign w:val="center"/>
          </w:tcPr>
          <w:p w:rsidR="000E1686" w:rsidRPr="00461715" w:rsidRDefault="000E1686" w:rsidP="00782417">
            <w:pPr>
              <w:spacing w:before="60" w:after="60"/>
              <w:jc w:val="center"/>
              <w:rPr>
                <w:b/>
                <w:sz w:val="20"/>
              </w:rPr>
            </w:pPr>
          </w:p>
        </w:tc>
        <w:tc>
          <w:tcPr>
            <w:tcW w:w="2901" w:type="dxa"/>
            <w:gridSpan w:val="3"/>
            <w:vAlign w:val="center"/>
          </w:tcPr>
          <w:p w:rsidR="000E1686" w:rsidRPr="00461715" w:rsidRDefault="000E1686" w:rsidP="00782417">
            <w:pPr>
              <w:spacing w:before="60" w:after="60"/>
              <w:jc w:val="center"/>
              <w:rPr>
                <w:b/>
                <w:sz w:val="20"/>
              </w:rPr>
            </w:pPr>
            <w:r w:rsidRPr="00461715">
              <w:rPr>
                <w:b/>
                <w:sz w:val="20"/>
              </w:rPr>
              <w:t>8 uur</w:t>
            </w:r>
            <w:r w:rsidRPr="00461715">
              <w:rPr>
                <w:sz w:val="20"/>
              </w:rPr>
              <w:t>(</w:t>
            </w:r>
            <w:r w:rsidRPr="00461715">
              <w:rPr>
                <w:rStyle w:val="FootnoteReference"/>
                <w:sz w:val="20"/>
              </w:rPr>
              <w:t>3</w:t>
            </w:r>
            <w:r w:rsidRPr="00461715">
              <w:rPr>
                <w:sz w:val="20"/>
              </w:rPr>
              <w:t>)</w:t>
            </w:r>
          </w:p>
        </w:tc>
        <w:tc>
          <w:tcPr>
            <w:tcW w:w="2688" w:type="dxa"/>
            <w:gridSpan w:val="3"/>
            <w:vAlign w:val="center"/>
          </w:tcPr>
          <w:p w:rsidR="000E1686" w:rsidRPr="00461715" w:rsidRDefault="000E1686" w:rsidP="00782417">
            <w:pPr>
              <w:spacing w:before="60" w:after="60"/>
              <w:jc w:val="center"/>
              <w:rPr>
                <w:sz w:val="20"/>
              </w:rPr>
            </w:pPr>
            <w:r w:rsidRPr="00461715">
              <w:rPr>
                <w:b/>
                <w:sz w:val="20"/>
              </w:rPr>
              <w:t>Korte termijn</w:t>
            </w:r>
            <w:r w:rsidRPr="00461715">
              <w:rPr>
                <w:sz w:val="20"/>
              </w:rPr>
              <w:t>(</w:t>
            </w:r>
            <w:r w:rsidRPr="00461715">
              <w:rPr>
                <w:rStyle w:val="FootnoteReference"/>
                <w:sz w:val="20"/>
              </w:rPr>
              <w:t>4</w:t>
            </w:r>
            <w:r w:rsidRPr="00461715">
              <w:rPr>
                <w:sz w:val="20"/>
              </w:rPr>
              <w:t>)</w:t>
            </w:r>
          </w:p>
        </w:tc>
        <w:tc>
          <w:tcPr>
            <w:tcW w:w="1422" w:type="dxa"/>
            <w:vMerge/>
          </w:tcPr>
          <w:p w:rsidR="000E1686" w:rsidRPr="00461715" w:rsidRDefault="000E1686" w:rsidP="00782417">
            <w:pPr>
              <w:spacing w:before="60" w:after="60"/>
              <w:jc w:val="center"/>
              <w:rPr>
                <w:b/>
                <w:sz w:val="20"/>
              </w:rPr>
            </w:pPr>
          </w:p>
        </w:tc>
        <w:tc>
          <w:tcPr>
            <w:tcW w:w="2661" w:type="dxa"/>
            <w:vMerge/>
            <w:vAlign w:val="center"/>
          </w:tcPr>
          <w:p w:rsidR="000E1686" w:rsidRPr="00461715" w:rsidRDefault="000E1686" w:rsidP="00782417">
            <w:pPr>
              <w:spacing w:before="60" w:after="60"/>
              <w:jc w:val="center"/>
              <w:rPr>
                <w:b/>
                <w:sz w:val="20"/>
              </w:rPr>
            </w:pPr>
          </w:p>
        </w:tc>
      </w:tr>
      <w:tr w:rsidR="000E1686" w:rsidRPr="00461715" w:rsidTr="00782417">
        <w:trPr>
          <w:tblHeader/>
          <w:jc w:val="center"/>
        </w:trPr>
        <w:tc>
          <w:tcPr>
            <w:tcW w:w="2757" w:type="dxa"/>
            <w:vMerge/>
            <w:vAlign w:val="center"/>
          </w:tcPr>
          <w:p w:rsidR="000E1686" w:rsidRPr="00461715" w:rsidRDefault="000E1686" w:rsidP="00782417">
            <w:pPr>
              <w:spacing w:before="60" w:after="60"/>
              <w:jc w:val="center"/>
              <w:rPr>
                <w:b/>
                <w:sz w:val="20"/>
              </w:rPr>
            </w:pPr>
          </w:p>
        </w:tc>
        <w:tc>
          <w:tcPr>
            <w:tcW w:w="1215" w:type="dxa"/>
            <w:vMerge/>
            <w:vAlign w:val="center"/>
          </w:tcPr>
          <w:p w:rsidR="000E1686" w:rsidRPr="00461715" w:rsidRDefault="000E1686" w:rsidP="00782417">
            <w:pPr>
              <w:spacing w:before="60" w:after="60"/>
              <w:jc w:val="center"/>
              <w:rPr>
                <w:b/>
                <w:sz w:val="20"/>
              </w:rPr>
            </w:pPr>
          </w:p>
        </w:tc>
        <w:tc>
          <w:tcPr>
            <w:tcW w:w="1215" w:type="dxa"/>
            <w:vMerge/>
            <w:vAlign w:val="center"/>
          </w:tcPr>
          <w:p w:rsidR="000E1686" w:rsidRPr="00461715" w:rsidRDefault="000E1686" w:rsidP="00782417">
            <w:pPr>
              <w:spacing w:before="60" w:after="60"/>
              <w:jc w:val="center"/>
              <w:rPr>
                <w:b/>
                <w:sz w:val="20"/>
              </w:rPr>
            </w:pPr>
          </w:p>
        </w:tc>
        <w:tc>
          <w:tcPr>
            <w:tcW w:w="1041" w:type="dxa"/>
            <w:vAlign w:val="center"/>
          </w:tcPr>
          <w:p w:rsidR="000E1686" w:rsidRPr="00461715" w:rsidRDefault="000E1686" w:rsidP="00782417">
            <w:pPr>
              <w:spacing w:before="60" w:after="60"/>
              <w:jc w:val="center"/>
              <w:rPr>
                <w:sz w:val="20"/>
              </w:rPr>
            </w:pPr>
            <w:r w:rsidRPr="00461715">
              <w:rPr>
                <w:b/>
                <w:sz w:val="20"/>
              </w:rPr>
              <w:t>mg/m</w:t>
            </w:r>
            <w:r w:rsidRPr="00461715">
              <w:rPr>
                <w:b/>
                <w:sz w:val="20"/>
                <w:vertAlign w:val="superscript"/>
              </w:rPr>
              <w:t>3</w:t>
            </w:r>
            <w:r w:rsidRPr="00461715">
              <w:rPr>
                <w:sz w:val="20"/>
              </w:rPr>
              <w:t>(</w:t>
            </w:r>
            <w:r w:rsidRPr="00461715">
              <w:rPr>
                <w:rStyle w:val="FootnoteReference"/>
                <w:bCs/>
                <w:iCs/>
                <w:sz w:val="20"/>
              </w:rPr>
              <w:t>5</w:t>
            </w:r>
            <w:r w:rsidRPr="00461715">
              <w:rPr>
                <w:sz w:val="20"/>
              </w:rPr>
              <w:t>)</w:t>
            </w:r>
          </w:p>
        </w:tc>
        <w:tc>
          <w:tcPr>
            <w:tcW w:w="1001" w:type="dxa"/>
            <w:vAlign w:val="center"/>
          </w:tcPr>
          <w:p w:rsidR="000E1686" w:rsidRPr="00461715" w:rsidRDefault="000E1686" w:rsidP="00782417">
            <w:pPr>
              <w:spacing w:before="60" w:after="60"/>
              <w:jc w:val="center"/>
              <w:rPr>
                <w:sz w:val="20"/>
              </w:rPr>
            </w:pPr>
            <w:r w:rsidRPr="00461715">
              <w:rPr>
                <w:b/>
                <w:sz w:val="20"/>
              </w:rPr>
              <w:t>ppm</w:t>
            </w:r>
            <w:r w:rsidRPr="00461715">
              <w:rPr>
                <w:sz w:val="20"/>
              </w:rPr>
              <w:t>(</w:t>
            </w:r>
            <w:r w:rsidRPr="00461715">
              <w:rPr>
                <w:rStyle w:val="FootnoteReference"/>
                <w:bCs/>
                <w:iCs/>
                <w:sz w:val="20"/>
              </w:rPr>
              <w:t>6</w:t>
            </w:r>
            <w:r w:rsidRPr="00461715">
              <w:rPr>
                <w:sz w:val="20"/>
              </w:rPr>
              <w:t>)</w:t>
            </w:r>
          </w:p>
        </w:tc>
        <w:tc>
          <w:tcPr>
            <w:tcW w:w="859" w:type="dxa"/>
            <w:vAlign w:val="center"/>
          </w:tcPr>
          <w:p w:rsidR="000E1686" w:rsidRPr="00461715" w:rsidRDefault="000E1686" w:rsidP="00782417">
            <w:pPr>
              <w:spacing w:before="60" w:after="60"/>
              <w:jc w:val="center"/>
              <w:rPr>
                <w:sz w:val="20"/>
              </w:rPr>
            </w:pPr>
            <w:r w:rsidRPr="00461715">
              <w:rPr>
                <w:b/>
                <w:sz w:val="20"/>
              </w:rPr>
              <w:t>f/ml</w:t>
            </w:r>
            <w:r w:rsidRPr="00461715">
              <w:rPr>
                <w:sz w:val="20"/>
              </w:rPr>
              <w:t>(</w:t>
            </w:r>
            <w:r w:rsidRPr="00461715">
              <w:rPr>
                <w:rStyle w:val="FootnoteReference"/>
                <w:bCs/>
                <w:iCs/>
                <w:sz w:val="20"/>
              </w:rPr>
              <w:t>7</w:t>
            </w:r>
            <w:r w:rsidRPr="00461715">
              <w:rPr>
                <w:sz w:val="20"/>
              </w:rPr>
              <w:t>)</w:t>
            </w:r>
          </w:p>
        </w:tc>
        <w:tc>
          <w:tcPr>
            <w:tcW w:w="987" w:type="dxa"/>
            <w:vAlign w:val="center"/>
          </w:tcPr>
          <w:p w:rsidR="000E1686" w:rsidRPr="00461715" w:rsidRDefault="000E1686" w:rsidP="00782417">
            <w:pPr>
              <w:spacing w:before="60" w:after="60"/>
              <w:jc w:val="center"/>
              <w:rPr>
                <w:b/>
                <w:sz w:val="20"/>
                <w:vertAlign w:val="superscript"/>
              </w:rPr>
            </w:pPr>
            <w:r w:rsidRPr="00461715">
              <w:rPr>
                <w:b/>
                <w:sz w:val="20"/>
              </w:rPr>
              <w:t>mg/m</w:t>
            </w:r>
            <w:r w:rsidRPr="00461715">
              <w:rPr>
                <w:b/>
                <w:sz w:val="20"/>
                <w:vertAlign w:val="superscript"/>
              </w:rPr>
              <w:t>3</w:t>
            </w:r>
            <w:r w:rsidRPr="00461715">
              <w:rPr>
                <w:sz w:val="20"/>
              </w:rPr>
              <w:t>(</w:t>
            </w:r>
            <w:r w:rsidRPr="00461715">
              <w:rPr>
                <w:rStyle w:val="FootnoteReference"/>
                <w:bCs/>
                <w:iCs/>
                <w:sz w:val="20"/>
              </w:rPr>
              <w:t>5</w:t>
            </w:r>
            <w:r w:rsidRPr="00461715">
              <w:rPr>
                <w:sz w:val="20"/>
              </w:rPr>
              <w:t>)</w:t>
            </w:r>
          </w:p>
        </w:tc>
        <w:tc>
          <w:tcPr>
            <w:tcW w:w="850" w:type="dxa"/>
            <w:vAlign w:val="center"/>
          </w:tcPr>
          <w:p w:rsidR="000E1686" w:rsidRPr="00461715" w:rsidRDefault="000E1686" w:rsidP="00782417">
            <w:pPr>
              <w:spacing w:before="60" w:after="60"/>
              <w:jc w:val="center"/>
              <w:rPr>
                <w:b/>
                <w:sz w:val="20"/>
              </w:rPr>
            </w:pPr>
            <w:r w:rsidRPr="00461715">
              <w:rPr>
                <w:b/>
                <w:sz w:val="20"/>
              </w:rPr>
              <w:t>ppm</w:t>
            </w:r>
            <w:r w:rsidRPr="00461715">
              <w:rPr>
                <w:sz w:val="20"/>
              </w:rPr>
              <w:t>(</w:t>
            </w:r>
            <w:r w:rsidRPr="00461715">
              <w:rPr>
                <w:rStyle w:val="FootnoteReference"/>
                <w:bCs/>
                <w:iCs/>
                <w:sz w:val="20"/>
              </w:rPr>
              <w:t>6</w:t>
            </w:r>
            <w:r w:rsidRPr="00461715">
              <w:rPr>
                <w:sz w:val="20"/>
              </w:rPr>
              <w:t>)</w:t>
            </w:r>
          </w:p>
        </w:tc>
        <w:tc>
          <w:tcPr>
            <w:tcW w:w="851" w:type="dxa"/>
            <w:vAlign w:val="center"/>
          </w:tcPr>
          <w:p w:rsidR="000E1686" w:rsidRPr="00461715" w:rsidRDefault="000E1686" w:rsidP="00782417">
            <w:pPr>
              <w:spacing w:before="60" w:after="60"/>
              <w:jc w:val="center"/>
              <w:rPr>
                <w:b/>
                <w:sz w:val="20"/>
              </w:rPr>
            </w:pPr>
            <w:r w:rsidRPr="00461715">
              <w:rPr>
                <w:b/>
                <w:sz w:val="20"/>
              </w:rPr>
              <w:t>f/ml</w:t>
            </w:r>
            <w:r w:rsidRPr="00461715">
              <w:rPr>
                <w:sz w:val="20"/>
              </w:rPr>
              <w:t>(</w:t>
            </w:r>
            <w:r w:rsidRPr="00461715">
              <w:rPr>
                <w:rStyle w:val="FootnoteReference"/>
                <w:bCs/>
                <w:iCs/>
                <w:sz w:val="20"/>
              </w:rPr>
              <w:t>7</w:t>
            </w:r>
            <w:r w:rsidRPr="00461715">
              <w:rPr>
                <w:sz w:val="20"/>
              </w:rPr>
              <w:t>)</w:t>
            </w:r>
          </w:p>
        </w:tc>
        <w:tc>
          <w:tcPr>
            <w:tcW w:w="1422" w:type="dxa"/>
            <w:vMerge/>
          </w:tcPr>
          <w:p w:rsidR="000E1686" w:rsidRPr="00461715" w:rsidRDefault="000E1686" w:rsidP="00782417">
            <w:pPr>
              <w:spacing w:before="60" w:after="60"/>
              <w:jc w:val="center"/>
              <w:rPr>
                <w:sz w:val="20"/>
              </w:rPr>
            </w:pPr>
          </w:p>
        </w:tc>
        <w:tc>
          <w:tcPr>
            <w:tcW w:w="2661" w:type="dxa"/>
            <w:vMerge/>
            <w:vAlign w:val="center"/>
          </w:tcPr>
          <w:p w:rsidR="000E1686" w:rsidRPr="00461715" w:rsidRDefault="000E1686" w:rsidP="00782417">
            <w:pPr>
              <w:spacing w:before="60" w:after="60"/>
              <w:jc w:val="center"/>
              <w:rPr>
                <w:sz w:val="20"/>
              </w:rPr>
            </w:pPr>
          </w:p>
        </w:tc>
      </w:tr>
      <w:tr w:rsidR="000E1686" w:rsidRPr="00461715" w:rsidTr="00782417">
        <w:trPr>
          <w:jc w:val="center"/>
        </w:trPr>
        <w:tc>
          <w:tcPr>
            <w:tcW w:w="2757" w:type="dxa"/>
          </w:tcPr>
          <w:p w:rsidR="000E1686" w:rsidRPr="00461715" w:rsidRDefault="000E1686" w:rsidP="00782417">
            <w:pPr>
              <w:spacing w:before="60" w:after="60"/>
              <w:rPr>
                <w:sz w:val="20"/>
              </w:rPr>
            </w:pPr>
            <w:r w:rsidRPr="00461715">
              <w:rPr>
                <w:sz w:val="20"/>
              </w:rPr>
              <w:t>Stof van hardhout</w:t>
            </w:r>
          </w:p>
        </w:tc>
        <w:tc>
          <w:tcPr>
            <w:tcW w:w="1215" w:type="dxa"/>
          </w:tcPr>
          <w:p w:rsidR="000E1686" w:rsidRPr="00461715" w:rsidRDefault="000E1686" w:rsidP="00782417">
            <w:pPr>
              <w:spacing w:before="60" w:after="60"/>
              <w:rPr>
                <w:sz w:val="20"/>
              </w:rPr>
            </w:pPr>
            <w:r w:rsidRPr="00461715">
              <w:rPr>
                <w:sz w:val="20"/>
              </w:rPr>
              <w:t>_</w:t>
            </w:r>
          </w:p>
        </w:tc>
        <w:tc>
          <w:tcPr>
            <w:tcW w:w="1215" w:type="dxa"/>
          </w:tcPr>
          <w:p w:rsidR="000E1686" w:rsidRPr="00461715" w:rsidRDefault="000E1686" w:rsidP="00782417">
            <w:pPr>
              <w:spacing w:before="60" w:after="60"/>
              <w:rPr>
                <w:sz w:val="20"/>
              </w:rPr>
            </w:pPr>
            <w:r w:rsidRPr="00461715">
              <w:rPr>
                <w:sz w:val="20"/>
              </w:rPr>
              <w:t>_</w:t>
            </w:r>
          </w:p>
        </w:tc>
        <w:tc>
          <w:tcPr>
            <w:tcW w:w="1041" w:type="dxa"/>
          </w:tcPr>
          <w:p w:rsidR="000E1686" w:rsidRPr="00461715" w:rsidRDefault="000E1686" w:rsidP="00782417">
            <w:pPr>
              <w:spacing w:before="60" w:after="60"/>
              <w:rPr>
                <w:sz w:val="20"/>
              </w:rPr>
            </w:pPr>
            <w:r w:rsidRPr="00461715">
              <w:rPr>
                <w:sz w:val="20"/>
              </w:rPr>
              <w:t>2(</w:t>
            </w:r>
            <w:r w:rsidRPr="00461715">
              <w:rPr>
                <w:rStyle w:val="FootnoteReference"/>
                <w:bCs/>
                <w:iCs/>
                <w:sz w:val="20"/>
              </w:rPr>
              <w:t>8</w:t>
            </w:r>
            <w:r w:rsidRPr="00461715">
              <w:rPr>
                <w:sz w:val="20"/>
              </w:rPr>
              <w:t>)</w:t>
            </w:r>
          </w:p>
        </w:tc>
        <w:tc>
          <w:tcPr>
            <w:tcW w:w="1001" w:type="dxa"/>
          </w:tcPr>
          <w:p w:rsidR="000E1686" w:rsidRPr="00461715" w:rsidRDefault="000E1686" w:rsidP="00782417">
            <w:pPr>
              <w:spacing w:before="60" w:after="60"/>
              <w:rPr>
                <w:sz w:val="20"/>
              </w:rPr>
            </w:pPr>
            <w:r w:rsidRPr="00461715">
              <w:rPr>
                <w:sz w:val="20"/>
              </w:rPr>
              <w:t>_</w:t>
            </w:r>
          </w:p>
        </w:tc>
        <w:tc>
          <w:tcPr>
            <w:tcW w:w="859" w:type="dxa"/>
          </w:tcPr>
          <w:p w:rsidR="000E1686" w:rsidRPr="00461715" w:rsidRDefault="000E1686" w:rsidP="00782417">
            <w:pPr>
              <w:spacing w:before="60" w:after="60"/>
              <w:rPr>
                <w:sz w:val="20"/>
              </w:rPr>
            </w:pPr>
            <w:r w:rsidRPr="00461715">
              <w:rPr>
                <w:sz w:val="20"/>
              </w:rPr>
              <w:t>_</w:t>
            </w:r>
          </w:p>
        </w:tc>
        <w:tc>
          <w:tcPr>
            <w:tcW w:w="987" w:type="dxa"/>
          </w:tcPr>
          <w:p w:rsidR="000E1686" w:rsidRPr="00461715" w:rsidRDefault="000E1686" w:rsidP="00782417">
            <w:pPr>
              <w:spacing w:before="60" w:after="60"/>
              <w:rPr>
                <w:sz w:val="20"/>
              </w:rPr>
            </w:pPr>
            <w:r w:rsidRPr="00461715">
              <w:rPr>
                <w:sz w:val="20"/>
              </w:rPr>
              <w:t>_</w:t>
            </w:r>
          </w:p>
        </w:tc>
        <w:tc>
          <w:tcPr>
            <w:tcW w:w="850" w:type="dxa"/>
          </w:tcPr>
          <w:p w:rsidR="000E1686" w:rsidRPr="00461715" w:rsidRDefault="000E1686" w:rsidP="00782417">
            <w:pPr>
              <w:spacing w:before="60" w:after="60"/>
              <w:rPr>
                <w:sz w:val="20"/>
              </w:rPr>
            </w:pPr>
            <w:r w:rsidRPr="00461715">
              <w:rPr>
                <w:sz w:val="20"/>
              </w:rPr>
              <w:t>_</w:t>
            </w:r>
          </w:p>
        </w:tc>
        <w:tc>
          <w:tcPr>
            <w:tcW w:w="851" w:type="dxa"/>
          </w:tcPr>
          <w:p w:rsidR="000E1686" w:rsidRPr="00461715" w:rsidRDefault="000E1686" w:rsidP="00782417">
            <w:pPr>
              <w:spacing w:before="60" w:after="60"/>
              <w:rPr>
                <w:sz w:val="20"/>
              </w:rPr>
            </w:pPr>
            <w:r w:rsidRPr="00461715">
              <w:rPr>
                <w:sz w:val="20"/>
              </w:rPr>
              <w:t>_</w:t>
            </w:r>
          </w:p>
        </w:tc>
        <w:tc>
          <w:tcPr>
            <w:tcW w:w="1422" w:type="dxa"/>
          </w:tcPr>
          <w:p w:rsidR="000E1686" w:rsidRPr="00461715" w:rsidRDefault="000E1686" w:rsidP="00782417">
            <w:pPr>
              <w:spacing w:before="60" w:after="60"/>
              <w:rPr>
                <w:sz w:val="20"/>
              </w:rPr>
            </w:pPr>
            <w:r w:rsidRPr="00461715">
              <w:rPr>
                <w:sz w:val="20"/>
              </w:rPr>
              <w:t>_</w:t>
            </w:r>
          </w:p>
        </w:tc>
        <w:tc>
          <w:tcPr>
            <w:tcW w:w="2661" w:type="dxa"/>
          </w:tcPr>
          <w:p w:rsidR="000E1686" w:rsidRPr="00461715" w:rsidRDefault="000E1686" w:rsidP="00782417">
            <w:pPr>
              <w:spacing w:before="60" w:after="60"/>
              <w:rPr>
                <w:sz w:val="20"/>
              </w:rPr>
            </w:pPr>
            <w:r w:rsidRPr="00461715">
              <w:rPr>
                <w:sz w:val="20"/>
              </w:rPr>
              <w:t>Grenswaarde 3 mg/m</w:t>
            </w:r>
            <w:r w:rsidRPr="00461715">
              <w:rPr>
                <w:sz w:val="20"/>
                <w:vertAlign w:val="superscript"/>
              </w:rPr>
              <w:t>3</w:t>
            </w:r>
            <w:r w:rsidRPr="00461715">
              <w:rPr>
                <w:sz w:val="20"/>
              </w:rPr>
              <w:t xml:space="preserve"> tot en met 17 januari 2023</w:t>
            </w:r>
          </w:p>
        </w:tc>
      </w:tr>
      <w:tr w:rsidR="000E1686" w:rsidRPr="00461715" w:rsidTr="00782417">
        <w:trPr>
          <w:jc w:val="center"/>
        </w:trPr>
        <w:tc>
          <w:tcPr>
            <w:tcW w:w="2757" w:type="dxa"/>
          </w:tcPr>
          <w:p w:rsidR="000E1686" w:rsidRPr="00461715" w:rsidRDefault="000E1686" w:rsidP="00782417">
            <w:pPr>
              <w:spacing w:before="60" w:after="60"/>
              <w:rPr>
                <w:sz w:val="20"/>
              </w:rPr>
            </w:pPr>
            <w:r w:rsidRPr="00461715">
              <w:rPr>
                <w:sz w:val="20"/>
              </w:rPr>
              <w:t xml:space="preserve">Chroom(VI)-verbindingen die carcinogeen zijn in de zin van artikel 2, onder a), punt i) </w:t>
            </w:r>
          </w:p>
          <w:p w:rsidR="000E1686" w:rsidRPr="00461715" w:rsidRDefault="000E1686" w:rsidP="00782417">
            <w:pPr>
              <w:spacing w:before="60" w:after="60"/>
              <w:rPr>
                <w:sz w:val="20"/>
              </w:rPr>
            </w:pPr>
            <w:r w:rsidRPr="00461715">
              <w:rPr>
                <w:sz w:val="20"/>
              </w:rPr>
              <w:t>(als chroom)</w:t>
            </w:r>
          </w:p>
        </w:tc>
        <w:tc>
          <w:tcPr>
            <w:tcW w:w="1215" w:type="dxa"/>
          </w:tcPr>
          <w:p w:rsidR="000E1686" w:rsidRPr="00461715" w:rsidRDefault="000E1686" w:rsidP="00782417">
            <w:pPr>
              <w:spacing w:before="60" w:after="60"/>
              <w:rPr>
                <w:sz w:val="20"/>
              </w:rPr>
            </w:pPr>
            <w:r w:rsidRPr="00461715">
              <w:rPr>
                <w:sz w:val="20"/>
              </w:rPr>
              <w:t>_</w:t>
            </w:r>
          </w:p>
        </w:tc>
        <w:tc>
          <w:tcPr>
            <w:tcW w:w="1215" w:type="dxa"/>
          </w:tcPr>
          <w:p w:rsidR="000E1686" w:rsidRPr="00461715" w:rsidRDefault="000E1686" w:rsidP="00782417">
            <w:pPr>
              <w:spacing w:before="60" w:after="60"/>
              <w:rPr>
                <w:sz w:val="20"/>
              </w:rPr>
            </w:pPr>
            <w:r w:rsidRPr="00461715">
              <w:rPr>
                <w:sz w:val="20"/>
              </w:rPr>
              <w:t>_</w:t>
            </w:r>
          </w:p>
        </w:tc>
        <w:tc>
          <w:tcPr>
            <w:tcW w:w="1041" w:type="dxa"/>
          </w:tcPr>
          <w:p w:rsidR="000E1686" w:rsidRPr="00461715" w:rsidRDefault="000E1686" w:rsidP="00782417">
            <w:pPr>
              <w:spacing w:before="60" w:after="60"/>
              <w:rPr>
                <w:sz w:val="20"/>
              </w:rPr>
            </w:pPr>
            <w:r w:rsidRPr="00461715">
              <w:rPr>
                <w:sz w:val="20"/>
              </w:rPr>
              <w:t>0,005</w:t>
            </w:r>
          </w:p>
        </w:tc>
        <w:tc>
          <w:tcPr>
            <w:tcW w:w="1001" w:type="dxa"/>
          </w:tcPr>
          <w:p w:rsidR="000E1686" w:rsidRPr="00461715" w:rsidRDefault="000E1686" w:rsidP="00782417">
            <w:pPr>
              <w:spacing w:before="60" w:after="60"/>
              <w:rPr>
                <w:sz w:val="20"/>
              </w:rPr>
            </w:pPr>
            <w:r w:rsidRPr="00461715">
              <w:rPr>
                <w:sz w:val="20"/>
              </w:rPr>
              <w:t>_</w:t>
            </w:r>
          </w:p>
        </w:tc>
        <w:tc>
          <w:tcPr>
            <w:tcW w:w="859" w:type="dxa"/>
          </w:tcPr>
          <w:p w:rsidR="000E1686" w:rsidRPr="00461715" w:rsidRDefault="000E1686" w:rsidP="00782417">
            <w:pPr>
              <w:spacing w:before="60" w:after="60"/>
              <w:rPr>
                <w:sz w:val="20"/>
              </w:rPr>
            </w:pPr>
            <w:r w:rsidRPr="00461715">
              <w:rPr>
                <w:sz w:val="20"/>
              </w:rPr>
              <w:t>_</w:t>
            </w:r>
          </w:p>
        </w:tc>
        <w:tc>
          <w:tcPr>
            <w:tcW w:w="987" w:type="dxa"/>
          </w:tcPr>
          <w:p w:rsidR="000E1686" w:rsidRPr="00461715" w:rsidRDefault="000E1686" w:rsidP="00782417">
            <w:pPr>
              <w:spacing w:before="60" w:after="60"/>
              <w:rPr>
                <w:sz w:val="20"/>
              </w:rPr>
            </w:pPr>
            <w:r w:rsidRPr="00461715">
              <w:rPr>
                <w:sz w:val="20"/>
              </w:rPr>
              <w:t>_</w:t>
            </w:r>
          </w:p>
        </w:tc>
        <w:tc>
          <w:tcPr>
            <w:tcW w:w="850" w:type="dxa"/>
          </w:tcPr>
          <w:p w:rsidR="000E1686" w:rsidRPr="00461715" w:rsidRDefault="000E1686" w:rsidP="00782417">
            <w:pPr>
              <w:spacing w:before="60" w:after="60"/>
              <w:rPr>
                <w:sz w:val="20"/>
              </w:rPr>
            </w:pPr>
            <w:r w:rsidRPr="00461715">
              <w:rPr>
                <w:sz w:val="20"/>
              </w:rPr>
              <w:t>_</w:t>
            </w:r>
          </w:p>
        </w:tc>
        <w:tc>
          <w:tcPr>
            <w:tcW w:w="851" w:type="dxa"/>
          </w:tcPr>
          <w:p w:rsidR="000E1686" w:rsidRPr="00461715" w:rsidRDefault="000E1686" w:rsidP="00782417">
            <w:pPr>
              <w:spacing w:before="60" w:after="60"/>
              <w:rPr>
                <w:sz w:val="20"/>
              </w:rPr>
            </w:pPr>
            <w:r w:rsidRPr="00461715">
              <w:rPr>
                <w:sz w:val="20"/>
              </w:rPr>
              <w:t>_</w:t>
            </w:r>
          </w:p>
        </w:tc>
        <w:tc>
          <w:tcPr>
            <w:tcW w:w="1422" w:type="dxa"/>
          </w:tcPr>
          <w:p w:rsidR="000E1686" w:rsidRPr="00461715" w:rsidRDefault="000E1686" w:rsidP="00782417">
            <w:pPr>
              <w:spacing w:before="60" w:after="60"/>
              <w:rPr>
                <w:sz w:val="20"/>
              </w:rPr>
            </w:pPr>
            <w:r w:rsidRPr="00461715">
              <w:rPr>
                <w:sz w:val="20"/>
              </w:rPr>
              <w:t>_</w:t>
            </w:r>
          </w:p>
        </w:tc>
        <w:tc>
          <w:tcPr>
            <w:tcW w:w="2661" w:type="dxa"/>
          </w:tcPr>
          <w:p w:rsidR="000E1686" w:rsidRPr="00461715" w:rsidRDefault="000E1686" w:rsidP="00782417">
            <w:pPr>
              <w:spacing w:before="60" w:after="60"/>
              <w:rPr>
                <w:sz w:val="20"/>
              </w:rPr>
            </w:pPr>
            <w:r w:rsidRPr="00461715">
              <w:rPr>
                <w:sz w:val="20"/>
              </w:rPr>
              <w:t>Grenswaarde 0,010 mg/m</w:t>
            </w:r>
            <w:r w:rsidRPr="00461715">
              <w:rPr>
                <w:sz w:val="20"/>
                <w:vertAlign w:val="superscript"/>
              </w:rPr>
              <w:t>3</w:t>
            </w:r>
            <w:r w:rsidRPr="00461715">
              <w:rPr>
                <w:sz w:val="20"/>
              </w:rPr>
              <w:t xml:space="preserve"> tot en met 17 januari 2025 </w:t>
            </w:r>
          </w:p>
          <w:p w:rsidR="000E1686" w:rsidRPr="00461715" w:rsidRDefault="000E1686" w:rsidP="00782417">
            <w:pPr>
              <w:spacing w:before="60" w:after="60"/>
              <w:rPr>
                <w:sz w:val="20"/>
              </w:rPr>
            </w:pPr>
            <w:r w:rsidRPr="00461715">
              <w:rPr>
                <w:sz w:val="20"/>
              </w:rPr>
              <w:t>Grenswaarde: 0,025 mg/m</w:t>
            </w:r>
            <w:r w:rsidRPr="00461715">
              <w:rPr>
                <w:sz w:val="20"/>
                <w:vertAlign w:val="superscript"/>
              </w:rPr>
              <w:t>3</w:t>
            </w:r>
            <w:r w:rsidRPr="00461715">
              <w:rPr>
                <w:sz w:val="20"/>
              </w:rPr>
              <w:t xml:space="preserve"> voor lassen of plasmasnijden of soortgelijke processen met rookontwikkeling tot en met 17 januari 2025 </w:t>
            </w:r>
          </w:p>
        </w:tc>
      </w:tr>
      <w:tr w:rsidR="000E1686" w:rsidRPr="00461715" w:rsidTr="00782417">
        <w:trPr>
          <w:jc w:val="center"/>
        </w:trPr>
        <w:tc>
          <w:tcPr>
            <w:tcW w:w="2757" w:type="dxa"/>
          </w:tcPr>
          <w:p w:rsidR="000E1686" w:rsidRPr="00461715" w:rsidRDefault="000E1686" w:rsidP="00782417">
            <w:pPr>
              <w:spacing w:before="60" w:after="60"/>
              <w:rPr>
                <w:sz w:val="20"/>
              </w:rPr>
            </w:pPr>
            <w:r w:rsidRPr="00461715">
              <w:rPr>
                <w:sz w:val="20"/>
              </w:rPr>
              <w:t>Vuurvaste keramische vezels die carcinogeen zijn in de zin van artikel 2, onder a), punt i), van de richtlijn</w:t>
            </w:r>
          </w:p>
        </w:tc>
        <w:tc>
          <w:tcPr>
            <w:tcW w:w="1215" w:type="dxa"/>
          </w:tcPr>
          <w:p w:rsidR="000E1686" w:rsidRPr="00461715" w:rsidRDefault="000E1686" w:rsidP="00782417">
            <w:pPr>
              <w:spacing w:before="60" w:after="60"/>
              <w:rPr>
                <w:sz w:val="20"/>
              </w:rPr>
            </w:pPr>
            <w:r w:rsidRPr="00461715">
              <w:rPr>
                <w:sz w:val="20"/>
              </w:rPr>
              <w:t>_</w:t>
            </w:r>
          </w:p>
        </w:tc>
        <w:tc>
          <w:tcPr>
            <w:tcW w:w="1215" w:type="dxa"/>
          </w:tcPr>
          <w:p w:rsidR="000E1686" w:rsidRPr="00461715" w:rsidRDefault="000E1686" w:rsidP="00782417">
            <w:pPr>
              <w:spacing w:before="60" w:after="60"/>
              <w:rPr>
                <w:sz w:val="20"/>
              </w:rPr>
            </w:pPr>
            <w:r w:rsidRPr="00461715">
              <w:rPr>
                <w:sz w:val="20"/>
              </w:rPr>
              <w:t>_</w:t>
            </w:r>
          </w:p>
        </w:tc>
        <w:tc>
          <w:tcPr>
            <w:tcW w:w="1041" w:type="dxa"/>
          </w:tcPr>
          <w:p w:rsidR="000E1686" w:rsidRPr="00461715" w:rsidRDefault="000E1686" w:rsidP="00782417">
            <w:pPr>
              <w:spacing w:before="60" w:after="60"/>
              <w:rPr>
                <w:sz w:val="20"/>
              </w:rPr>
            </w:pPr>
            <w:r w:rsidRPr="00461715">
              <w:rPr>
                <w:sz w:val="20"/>
              </w:rPr>
              <w:t>_</w:t>
            </w:r>
          </w:p>
        </w:tc>
        <w:tc>
          <w:tcPr>
            <w:tcW w:w="1001" w:type="dxa"/>
          </w:tcPr>
          <w:p w:rsidR="000E1686" w:rsidRPr="00461715" w:rsidRDefault="000E1686" w:rsidP="00782417">
            <w:pPr>
              <w:spacing w:before="60" w:after="60"/>
              <w:rPr>
                <w:sz w:val="20"/>
              </w:rPr>
            </w:pPr>
            <w:r w:rsidRPr="00461715">
              <w:rPr>
                <w:sz w:val="20"/>
              </w:rPr>
              <w:t>_</w:t>
            </w:r>
          </w:p>
        </w:tc>
        <w:tc>
          <w:tcPr>
            <w:tcW w:w="859" w:type="dxa"/>
          </w:tcPr>
          <w:p w:rsidR="000E1686" w:rsidRPr="00461715" w:rsidRDefault="000E1686" w:rsidP="00782417">
            <w:pPr>
              <w:spacing w:before="60" w:after="60"/>
              <w:rPr>
                <w:sz w:val="20"/>
              </w:rPr>
            </w:pPr>
            <w:r w:rsidRPr="00461715">
              <w:rPr>
                <w:sz w:val="20"/>
              </w:rPr>
              <w:t>0,3</w:t>
            </w:r>
          </w:p>
        </w:tc>
        <w:tc>
          <w:tcPr>
            <w:tcW w:w="987" w:type="dxa"/>
          </w:tcPr>
          <w:p w:rsidR="000E1686" w:rsidRPr="00461715" w:rsidRDefault="000E1686" w:rsidP="00782417">
            <w:pPr>
              <w:spacing w:before="60" w:after="60"/>
              <w:rPr>
                <w:sz w:val="20"/>
              </w:rPr>
            </w:pPr>
            <w:r w:rsidRPr="00461715">
              <w:rPr>
                <w:sz w:val="20"/>
              </w:rPr>
              <w:t>_</w:t>
            </w:r>
          </w:p>
        </w:tc>
        <w:tc>
          <w:tcPr>
            <w:tcW w:w="850" w:type="dxa"/>
          </w:tcPr>
          <w:p w:rsidR="000E1686" w:rsidRPr="00461715" w:rsidRDefault="000E1686" w:rsidP="00782417">
            <w:pPr>
              <w:spacing w:before="60" w:after="60"/>
              <w:rPr>
                <w:sz w:val="20"/>
              </w:rPr>
            </w:pPr>
            <w:r w:rsidRPr="00461715">
              <w:rPr>
                <w:sz w:val="20"/>
              </w:rPr>
              <w:t>_</w:t>
            </w:r>
          </w:p>
        </w:tc>
        <w:tc>
          <w:tcPr>
            <w:tcW w:w="851" w:type="dxa"/>
          </w:tcPr>
          <w:p w:rsidR="000E1686" w:rsidRPr="00461715" w:rsidRDefault="000E1686" w:rsidP="00782417">
            <w:pPr>
              <w:spacing w:before="60" w:after="60"/>
              <w:rPr>
                <w:sz w:val="20"/>
              </w:rPr>
            </w:pPr>
            <w:r w:rsidRPr="00461715">
              <w:rPr>
                <w:sz w:val="20"/>
              </w:rPr>
              <w:t>_</w:t>
            </w:r>
          </w:p>
        </w:tc>
        <w:tc>
          <w:tcPr>
            <w:tcW w:w="1422" w:type="dxa"/>
          </w:tcPr>
          <w:p w:rsidR="000E1686" w:rsidRPr="00461715" w:rsidRDefault="000E1686" w:rsidP="00782417">
            <w:pPr>
              <w:spacing w:before="60" w:after="60"/>
              <w:rPr>
                <w:sz w:val="20"/>
              </w:rPr>
            </w:pPr>
            <w:r w:rsidRPr="00461715">
              <w:rPr>
                <w:sz w:val="20"/>
              </w:rPr>
              <w:t>_</w:t>
            </w:r>
          </w:p>
        </w:tc>
        <w:tc>
          <w:tcPr>
            <w:tcW w:w="2661" w:type="dxa"/>
          </w:tcPr>
          <w:p w:rsidR="000E1686" w:rsidRPr="00461715" w:rsidRDefault="000E1686" w:rsidP="00782417">
            <w:pPr>
              <w:spacing w:before="60" w:after="60"/>
              <w:rPr>
                <w:sz w:val="20"/>
              </w:rPr>
            </w:pPr>
          </w:p>
        </w:tc>
      </w:tr>
      <w:tr w:rsidR="000E1686" w:rsidRPr="00461715" w:rsidTr="00782417">
        <w:trPr>
          <w:jc w:val="center"/>
        </w:trPr>
        <w:tc>
          <w:tcPr>
            <w:tcW w:w="2757" w:type="dxa"/>
          </w:tcPr>
          <w:p w:rsidR="000E1686" w:rsidRPr="00461715" w:rsidRDefault="000E1686" w:rsidP="00782417">
            <w:pPr>
              <w:spacing w:before="60" w:after="60"/>
              <w:rPr>
                <w:sz w:val="20"/>
              </w:rPr>
            </w:pPr>
            <w:r w:rsidRPr="00461715">
              <w:rPr>
                <w:sz w:val="20"/>
              </w:rPr>
              <w:t>Respirabel kristallijn silicastof</w:t>
            </w:r>
          </w:p>
        </w:tc>
        <w:tc>
          <w:tcPr>
            <w:tcW w:w="1215" w:type="dxa"/>
          </w:tcPr>
          <w:p w:rsidR="000E1686" w:rsidRPr="00461715" w:rsidRDefault="000E1686" w:rsidP="00782417">
            <w:pPr>
              <w:spacing w:before="60" w:after="60"/>
              <w:rPr>
                <w:sz w:val="20"/>
              </w:rPr>
            </w:pPr>
            <w:r w:rsidRPr="00461715">
              <w:rPr>
                <w:sz w:val="20"/>
              </w:rPr>
              <w:t>_</w:t>
            </w:r>
          </w:p>
        </w:tc>
        <w:tc>
          <w:tcPr>
            <w:tcW w:w="1215" w:type="dxa"/>
          </w:tcPr>
          <w:p w:rsidR="000E1686" w:rsidRPr="00461715" w:rsidRDefault="000E1686" w:rsidP="00782417">
            <w:pPr>
              <w:spacing w:before="60" w:after="60"/>
              <w:rPr>
                <w:sz w:val="20"/>
              </w:rPr>
            </w:pPr>
            <w:r w:rsidRPr="00461715">
              <w:rPr>
                <w:sz w:val="20"/>
              </w:rPr>
              <w:t>_</w:t>
            </w:r>
          </w:p>
        </w:tc>
        <w:tc>
          <w:tcPr>
            <w:tcW w:w="1041" w:type="dxa"/>
          </w:tcPr>
          <w:p w:rsidR="000E1686" w:rsidRPr="00461715" w:rsidRDefault="000E1686" w:rsidP="00782417">
            <w:pPr>
              <w:spacing w:before="60" w:after="60"/>
              <w:rPr>
                <w:sz w:val="20"/>
              </w:rPr>
            </w:pPr>
            <w:r w:rsidRPr="00461715">
              <w:rPr>
                <w:sz w:val="20"/>
              </w:rPr>
              <w:t>0,1(</w:t>
            </w:r>
            <w:r w:rsidRPr="00461715">
              <w:rPr>
                <w:rStyle w:val="FootnoteReference"/>
                <w:bCs/>
                <w:iCs/>
                <w:sz w:val="20"/>
              </w:rPr>
              <w:t>9</w:t>
            </w:r>
            <w:r w:rsidRPr="00461715">
              <w:rPr>
                <w:sz w:val="20"/>
              </w:rPr>
              <w:t>)</w:t>
            </w:r>
          </w:p>
        </w:tc>
        <w:tc>
          <w:tcPr>
            <w:tcW w:w="1001" w:type="dxa"/>
          </w:tcPr>
          <w:p w:rsidR="000E1686" w:rsidRPr="00461715" w:rsidRDefault="000E1686" w:rsidP="00782417">
            <w:pPr>
              <w:spacing w:before="60" w:after="60"/>
              <w:rPr>
                <w:sz w:val="20"/>
              </w:rPr>
            </w:pPr>
            <w:r w:rsidRPr="00461715">
              <w:rPr>
                <w:sz w:val="20"/>
              </w:rPr>
              <w:t>_</w:t>
            </w:r>
          </w:p>
        </w:tc>
        <w:tc>
          <w:tcPr>
            <w:tcW w:w="859" w:type="dxa"/>
          </w:tcPr>
          <w:p w:rsidR="000E1686" w:rsidRPr="00461715" w:rsidRDefault="000E1686" w:rsidP="00782417">
            <w:pPr>
              <w:spacing w:before="60" w:after="60"/>
              <w:rPr>
                <w:sz w:val="20"/>
              </w:rPr>
            </w:pPr>
            <w:r w:rsidRPr="00461715">
              <w:rPr>
                <w:sz w:val="20"/>
              </w:rPr>
              <w:t>_</w:t>
            </w:r>
          </w:p>
        </w:tc>
        <w:tc>
          <w:tcPr>
            <w:tcW w:w="987" w:type="dxa"/>
          </w:tcPr>
          <w:p w:rsidR="000E1686" w:rsidRPr="00461715" w:rsidRDefault="000E1686" w:rsidP="00782417">
            <w:pPr>
              <w:spacing w:before="60" w:after="60"/>
              <w:rPr>
                <w:sz w:val="20"/>
              </w:rPr>
            </w:pPr>
            <w:r w:rsidRPr="00461715">
              <w:rPr>
                <w:sz w:val="20"/>
              </w:rPr>
              <w:t>_</w:t>
            </w:r>
          </w:p>
        </w:tc>
        <w:tc>
          <w:tcPr>
            <w:tcW w:w="850" w:type="dxa"/>
          </w:tcPr>
          <w:p w:rsidR="000E1686" w:rsidRPr="00461715" w:rsidRDefault="000E1686" w:rsidP="00782417">
            <w:pPr>
              <w:spacing w:before="60" w:after="60"/>
              <w:rPr>
                <w:sz w:val="20"/>
              </w:rPr>
            </w:pPr>
            <w:r w:rsidRPr="00461715">
              <w:rPr>
                <w:sz w:val="20"/>
              </w:rPr>
              <w:t>_</w:t>
            </w:r>
          </w:p>
        </w:tc>
        <w:tc>
          <w:tcPr>
            <w:tcW w:w="851" w:type="dxa"/>
          </w:tcPr>
          <w:p w:rsidR="000E1686" w:rsidRPr="00461715" w:rsidRDefault="000E1686" w:rsidP="00782417">
            <w:pPr>
              <w:spacing w:before="60" w:after="60"/>
              <w:rPr>
                <w:sz w:val="20"/>
              </w:rPr>
            </w:pPr>
            <w:r w:rsidRPr="00461715">
              <w:rPr>
                <w:sz w:val="20"/>
              </w:rPr>
              <w:t>_</w:t>
            </w:r>
          </w:p>
        </w:tc>
        <w:tc>
          <w:tcPr>
            <w:tcW w:w="1422" w:type="dxa"/>
          </w:tcPr>
          <w:p w:rsidR="000E1686" w:rsidRPr="00461715" w:rsidRDefault="000E1686" w:rsidP="00782417">
            <w:pPr>
              <w:spacing w:before="60" w:after="60"/>
              <w:rPr>
                <w:sz w:val="20"/>
              </w:rPr>
            </w:pPr>
            <w:r w:rsidRPr="00461715">
              <w:rPr>
                <w:sz w:val="20"/>
              </w:rPr>
              <w:t>_</w:t>
            </w:r>
          </w:p>
        </w:tc>
        <w:tc>
          <w:tcPr>
            <w:tcW w:w="2661" w:type="dxa"/>
          </w:tcPr>
          <w:p w:rsidR="000E1686" w:rsidRPr="00461715" w:rsidRDefault="000E1686" w:rsidP="00782417">
            <w:pPr>
              <w:spacing w:before="60" w:after="60"/>
              <w:rPr>
                <w:sz w:val="20"/>
              </w:rPr>
            </w:pPr>
          </w:p>
        </w:tc>
      </w:tr>
      <w:tr w:rsidR="000E1686" w:rsidRPr="00461715" w:rsidTr="00782417">
        <w:trPr>
          <w:jc w:val="center"/>
        </w:trPr>
        <w:tc>
          <w:tcPr>
            <w:tcW w:w="2757" w:type="dxa"/>
          </w:tcPr>
          <w:p w:rsidR="000E1686" w:rsidRPr="00461715" w:rsidRDefault="000E1686" w:rsidP="00782417">
            <w:pPr>
              <w:spacing w:before="60" w:after="60"/>
              <w:rPr>
                <w:sz w:val="20"/>
              </w:rPr>
            </w:pPr>
            <w:r w:rsidRPr="00461715">
              <w:rPr>
                <w:sz w:val="20"/>
              </w:rPr>
              <w:t>Benzeen</w:t>
            </w:r>
          </w:p>
        </w:tc>
        <w:tc>
          <w:tcPr>
            <w:tcW w:w="1215" w:type="dxa"/>
          </w:tcPr>
          <w:p w:rsidR="000E1686" w:rsidRPr="00461715" w:rsidRDefault="000E1686" w:rsidP="00782417">
            <w:pPr>
              <w:spacing w:before="60" w:after="60"/>
              <w:rPr>
                <w:sz w:val="20"/>
              </w:rPr>
            </w:pPr>
            <w:r w:rsidRPr="00461715">
              <w:rPr>
                <w:sz w:val="20"/>
              </w:rPr>
              <w:t>200-753-7</w:t>
            </w:r>
          </w:p>
        </w:tc>
        <w:tc>
          <w:tcPr>
            <w:tcW w:w="1215" w:type="dxa"/>
          </w:tcPr>
          <w:p w:rsidR="000E1686" w:rsidRPr="00461715" w:rsidRDefault="000E1686" w:rsidP="00782417">
            <w:pPr>
              <w:spacing w:before="60" w:after="60"/>
              <w:rPr>
                <w:sz w:val="20"/>
              </w:rPr>
            </w:pPr>
            <w:r w:rsidRPr="00461715">
              <w:rPr>
                <w:sz w:val="20"/>
              </w:rPr>
              <w:t>71-43-2</w:t>
            </w:r>
          </w:p>
        </w:tc>
        <w:tc>
          <w:tcPr>
            <w:tcW w:w="1041" w:type="dxa"/>
          </w:tcPr>
          <w:p w:rsidR="000E1686" w:rsidRPr="00461715" w:rsidRDefault="000E1686" w:rsidP="00782417">
            <w:pPr>
              <w:spacing w:before="60" w:after="60"/>
              <w:rPr>
                <w:sz w:val="20"/>
              </w:rPr>
            </w:pPr>
            <w:r w:rsidRPr="00461715">
              <w:rPr>
                <w:sz w:val="20"/>
              </w:rPr>
              <w:t>3,25</w:t>
            </w:r>
          </w:p>
        </w:tc>
        <w:tc>
          <w:tcPr>
            <w:tcW w:w="1001" w:type="dxa"/>
          </w:tcPr>
          <w:p w:rsidR="000E1686" w:rsidRPr="00461715" w:rsidRDefault="000E1686" w:rsidP="00782417">
            <w:pPr>
              <w:spacing w:before="60" w:after="60"/>
              <w:rPr>
                <w:sz w:val="20"/>
              </w:rPr>
            </w:pPr>
            <w:r w:rsidRPr="00461715">
              <w:rPr>
                <w:sz w:val="20"/>
              </w:rPr>
              <w:t>1</w:t>
            </w:r>
          </w:p>
        </w:tc>
        <w:tc>
          <w:tcPr>
            <w:tcW w:w="859" w:type="dxa"/>
          </w:tcPr>
          <w:p w:rsidR="000E1686" w:rsidRPr="00461715" w:rsidRDefault="000E1686" w:rsidP="00782417">
            <w:pPr>
              <w:spacing w:before="60" w:after="60"/>
              <w:rPr>
                <w:sz w:val="20"/>
              </w:rPr>
            </w:pPr>
            <w:r w:rsidRPr="00461715">
              <w:rPr>
                <w:sz w:val="20"/>
              </w:rPr>
              <w:t>_</w:t>
            </w:r>
          </w:p>
        </w:tc>
        <w:tc>
          <w:tcPr>
            <w:tcW w:w="987" w:type="dxa"/>
          </w:tcPr>
          <w:p w:rsidR="000E1686" w:rsidRPr="00461715" w:rsidRDefault="000E1686" w:rsidP="00782417">
            <w:pPr>
              <w:spacing w:before="60" w:after="60"/>
              <w:rPr>
                <w:sz w:val="20"/>
              </w:rPr>
            </w:pPr>
            <w:r w:rsidRPr="00461715">
              <w:rPr>
                <w:sz w:val="20"/>
              </w:rPr>
              <w:t>_</w:t>
            </w:r>
          </w:p>
        </w:tc>
        <w:tc>
          <w:tcPr>
            <w:tcW w:w="850" w:type="dxa"/>
          </w:tcPr>
          <w:p w:rsidR="000E1686" w:rsidRPr="00461715" w:rsidRDefault="000E1686" w:rsidP="00782417">
            <w:pPr>
              <w:spacing w:before="60" w:after="60"/>
              <w:rPr>
                <w:sz w:val="20"/>
              </w:rPr>
            </w:pPr>
            <w:r w:rsidRPr="00461715">
              <w:rPr>
                <w:sz w:val="20"/>
              </w:rPr>
              <w:t>_</w:t>
            </w:r>
          </w:p>
        </w:tc>
        <w:tc>
          <w:tcPr>
            <w:tcW w:w="851" w:type="dxa"/>
          </w:tcPr>
          <w:p w:rsidR="000E1686" w:rsidRPr="00461715" w:rsidRDefault="000E1686" w:rsidP="00782417">
            <w:pPr>
              <w:spacing w:before="60" w:after="60"/>
              <w:rPr>
                <w:sz w:val="20"/>
              </w:rPr>
            </w:pPr>
            <w:r w:rsidRPr="00461715">
              <w:rPr>
                <w:sz w:val="20"/>
              </w:rPr>
              <w:t>_</w:t>
            </w:r>
          </w:p>
        </w:tc>
        <w:tc>
          <w:tcPr>
            <w:tcW w:w="1422" w:type="dxa"/>
          </w:tcPr>
          <w:p w:rsidR="000E1686" w:rsidRPr="00461715" w:rsidRDefault="000E1686" w:rsidP="00782417">
            <w:pPr>
              <w:spacing w:before="60" w:after="60"/>
              <w:rPr>
                <w:sz w:val="20"/>
              </w:rPr>
            </w:pPr>
            <w:r w:rsidRPr="00461715">
              <w:rPr>
                <w:sz w:val="20"/>
              </w:rPr>
              <w:t>huid(</w:t>
            </w:r>
            <w:r w:rsidRPr="00461715">
              <w:rPr>
                <w:rStyle w:val="FootnoteReference"/>
                <w:bCs/>
                <w:iCs/>
                <w:sz w:val="20"/>
              </w:rPr>
              <w:t>10</w:t>
            </w:r>
            <w:r w:rsidRPr="00461715">
              <w:rPr>
                <w:sz w:val="20"/>
              </w:rPr>
              <w:t>)</w:t>
            </w:r>
          </w:p>
        </w:tc>
        <w:tc>
          <w:tcPr>
            <w:tcW w:w="2661" w:type="dxa"/>
          </w:tcPr>
          <w:p w:rsidR="000E1686" w:rsidRPr="00461715" w:rsidRDefault="000E1686" w:rsidP="00782417">
            <w:pPr>
              <w:spacing w:before="60" w:after="60"/>
              <w:rPr>
                <w:sz w:val="20"/>
              </w:rPr>
            </w:pPr>
          </w:p>
        </w:tc>
      </w:tr>
      <w:tr w:rsidR="000E1686" w:rsidRPr="00461715" w:rsidTr="00782417">
        <w:trPr>
          <w:jc w:val="center"/>
        </w:trPr>
        <w:tc>
          <w:tcPr>
            <w:tcW w:w="2757" w:type="dxa"/>
          </w:tcPr>
          <w:p w:rsidR="000E1686" w:rsidRPr="00461715" w:rsidRDefault="000E1686" w:rsidP="00782417">
            <w:pPr>
              <w:spacing w:before="60" w:after="60"/>
              <w:rPr>
                <w:sz w:val="20"/>
              </w:rPr>
            </w:pPr>
            <w:r w:rsidRPr="00461715">
              <w:rPr>
                <w:sz w:val="20"/>
              </w:rPr>
              <w:t>Vinylchloride-monomeer</w:t>
            </w:r>
          </w:p>
        </w:tc>
        <w:tc>
          <w:tcPr>
            <w:tcW w:w="1215" w:type="dxa"/>
          </w:tcPr>
          <w:p w:rsidR="000E1686" w:rsidRPr="00461715" w:rsidRDefault="000E1686" w:rsidP="00782417">
            <w:pPr>
              <w:spacing w:before="60" w:after="60"/>
              <w:rPr>
                <w:sz w:val="20"/>
              </w:rPr>
            </w:pPr>
            <w:r w:rsidRPr="00461715">
              <w:rPr>
                <w:sz w:val="20"/>
              </w:rPr>
              <w:t>200-831-0</w:t>
            </w:r>
          </w:p>
        </w:tc>
        <w:tc>
          <w:tcPr>
            <w:tcW w:w="1215" w:type="dxa"/>
          </w:tcPr>
          <w:p w:rsidR="000E1686" w:rsidRPr="00461715" w:rsidRDefault="000E1686" w:rsidP="00782417">
            <w:pPr>
              <w:spacing w:before="60" w:after="60"/>
              <w:rPr>
                <w:sz w:val="20"/>
              </w:rPr>
            </w:pPr>
            <w:r w:rsidRPr="00461715">
              <w:rPr>
                <w:sz w:val="20"/>
              </w:rPr>
              <w:t>75-01-4</w:t>
            </w:r>
          </w:p>
        </w:tc>
        <w:tc>
          <w:tcPr>
            <w:tcW w:w="1041" w:type="dxa"/>
          </w:tcPr>
          <w:p w:rsidR="000E1686" w:rsidRPr="00461715" w:rsidRDefault="000E1686" w:rsidP="00782417">
            <w:pPr>
              <w:spacing w:before="60" w:after="60"/>
              <w:rPr>
                <w:sz w:val="20"/>
              </w:rPr>
            </w:pPr>
            <w:r w:rsidRPr="00461715">
              <w:rPr>
                <w:sz w:val="20"/>
              </w:rPr>
              <w:t>2,6</w:t>
            </w:r>
          </w:p>
        </w:tc>
        <w:tc>
          <w:tcPr>
            <w:tcW w:w="1001" w:type="dxa"/>
          </w:tcPr>
          <w:p w:rsidR="000E1686" w:rsidRPr="00461715" w:rsidRDefault="000E1686" w:rsidP="00782417">
            <w:pPr>
              <w:spacing w:before="60" w:after="60"/>
              <w:rPr>
                <w:sz w:val="20"/>
              </w:rPr>
            </w:pPr>
            <w:r w:rsidRPr="00461715">
              <w:rPr>
                <w:sz w:val="20"/>
              </w:rPr>
              <w:t>1</w:t>
            </w:r>
          </w:p>
        </w:tc>
        <w:tc>
          <w:tcPr>
            <w:tcW w:w="859" w:type="dxa"/>
          </w:tcPr>
          <w:p w:rsidR="000E1686" w:rsidRPr="00461715" w:rsidRDefault="000E1686" w:rsidP="00782417">
            <w:pPr>
              <w:spacing w:before="60" w:after="60"/>
              <w:rPr>
                <w:sz w:val="20"/>
              </w:rPr>
            </w:pPr>
            <w:r w:rsidRPr="00461715">
              <w:rPr>
                <w:sz w:val="20"/>
              </w:rPr>
              <w:t>_</w:t>
            </w:r>
          </w:p>
        </w:tc>
        <w:tc>
          <w:tcPr>
            <w:tcW w:w="987" w:type="dxa"/>
          </w:tcPr>
          <w:p w:rsidR="000E1686" w:rsidRPr="00461715" w:rsidRDefault="000E1686" w:rsidP="00782417">
            <w:pPr>
              <w:spacing w:before="60" w:after="60"/>
              <w:rPr>
                <w:sz w:val="20"/>
              </w:rPr>
            </w:pPr>
            <w:r w:rsidRPr="00461715">
              <w:rPr>
                <w:sz w:val="20"/>
              </w:rPr>
              <w:t>_</w:t>
            </w:r>
          </w:p>
        </w:tc>
        <w:tc>
          <w:tcPr>
            <w:tcW w:w="850" w:type="dxa"/>
          </w:tcPr>
          <w:p w:rsidR="000E1686" w:rsidRPr="00461715" w:rsidRDefault="000E1686" w:rsidP="00782417">
            <w:pPr>
              <w:spacing w:before="60" w:after="60"/>
              <w:rPr>
                <w:sz w:val="20"/>
              </w:rPr>
            </w:pPr>
            <w:r w:rsidRPr="00461715">
              <w:rPr>
                <w:sz w:val="20"/>
              </w:rPr>
              <w:t>_</w:t>
            </w:r>
          </w:p>
        </w:tc>
        <w:tc>
          <w:tcPr>
            <w:tcW w:w="851" w:type="dxa"/>
          </w:tcPr>
          <w:p w:rsidR="000E1686" w:rsidRPr="00461715" w:rsidRDefault="000E1686" w:rsidP="00782417">
            <w:pPr>
              <w:spacing w:before="60" w:after="60"/>
              <w:rPr>
                <w:sz w:val="20"/>
              </w:rPr>
            </w:pPr>
            <w:r w:rsidRPr="00461715">
              <w:rPr>
                <w:sz w:val="20"/>
              </w:rPr>
              <w:t>_</w:t>
            </w:r>
          </w:p>
        </w:tc>
        <w:tc>
          <w:tcPr>
            <w:tcW w:w="1422" w:type="dxa"/>
          </w:tcPr>
          <w:p w:rsidR="000E1686" w:rsidRPr="00461715" w:rsidRDefault="000E1686" w:rsidP="00782417">
            <w:pPr>
              <w:spacing w:before="60" w:after="60"/>
              <w:rPr>
                <w:sz w:val="20"/>
              </w:rPr>
            </w:pPr>
            <w:r w:rsidRPr="00461715">
              <w:rPr>
                <w:sz w:val="20"/>
              </w:rPr>
              <w:t>_</w:t>
            </w:r>
          </w:p>
        </w:tc>
        <w:tc>
          <w:tcPr>
            <w:tcW w:w="2661" w:type="dxa"/>
          </w:tcPr>
          <w:p w:rsidR="000E1686" w:rsidRPr="00461715" w:rsidRDefault="000E1686" w:rsidP="00782417">
            <w:pPr>
              <w:spacing w:before="60" w:after="60"/>
              <w:rPr>
                <w:sz w:val="20"/>
              </w:rPr>
            </w:pPr>
          </w:p>
        </w:tc>
      </w:tr>
      <w:tr w:rsidR="000E1686" w:rsidRPr="00461715" w:rsidTr="00782417">
        <w:trPr>
          <w:jc w:val="center"/>
        </w:trPr>
        <w:tc>
          <w:tcPr>
            <w:tcW w:w="2757" w:type="dxa"/>
          </w:tcPr>
          <w:p w:rsidR="000E1686" w:rsidRPr="00461715" w:rsidRDefault="000E1686" w:rsidP="00782417">
            <w:pPr>
              <w:pageBreakBefore/>
              <w:spacing w:before="60" w:after="60"/>
              <w:rPr>
                <w:sz w:val="20"/>
              </w:rPr>
            </w:pPr>
            <w:r w:rsidRPr="00461715">
              <w:rPr>
                <w:sz w:val="20"/>
              </w:rPr>
              <w:t>Ethyleenoxide</w:t>
            </w:r>
          </w:p>
        </w:tc>
        <w:tc>
          <w:tcPr>
            <w:tcW w:w="1215" w:type="dxa"/>
          </w:tcPr>
          <w:p w:rsidR="000E1686" w:rsidRPr="00461715" w:rsidRDefault="000E1686" w:rsidP="00782417">
            <w:pPr>
              <w:spacing w:before="60" w:after="60"/>
              <w:rPr>
                <w:sz w:val="20"/>
              </w:rPr>
            </w:pPr>
            <w:r w:rsidRPr="00461715">
              <w:rPr>
                <w:sz w:val="20"/>
              </w:rPr>
              <w:t>200-849-9</w:t>
            </w:r>
          </w:p>
        </w:tc>
        <w:tc>
          <w:tcPr>
            <w:tcW w:w="1215" w:type="dxa"/>
          </w:tcPr>
          <w:p w:rsidR="000E1686" w:rsidRPr="00461715" w:rsidRDefault="000E1686" w:rsidP="00782417">
            <w:pPr>
              <w:spacing w:before="60" w:after="60"/>
              <w:rPr>
                <w:sz w:val="20"/>
              </w:rPr>
            </w:pPr>
            <w:r w:rsidRPr="00461715">
              <w:rPr>
                <w:sz w:val="20"/>
              </w:rPr>
              <w:t>75-21-8</w:t>
            </w:r>
          </w:p>
        </w:tc>
        <w:tc>
          <w:tcPr>
            <w:tcW w:w="1041" w:type="dxa"/>
          </w:tcPr>
          <w:p w:rsidR="000E1686" w:rsidRPr="00461715" w:rsidRDefault="000E1686" w:rsidP="00782417">
            <w:pPr>
              <w:spacing w:before="60" w:after="60"/>
              <w:rPr>
                <w:sz w:val="20"/>
              </w:rPr>
            </w:pPr>
            <w:r w:rsidRPr="00461715">
              <w:rPr>
                <w:sz w:val="20"/>
              </w:rPr>
              <w:t>1,8</w:t>
            </w:r>
          </w:p>
        </w:tc>
        <w:tc>
          <w:tcPr>
            <w:tcW w:w="1001" w:type="dxa"/>
          </w:tcPr>
          <w:p w:rsidR="000E1686" w:rsidRPr="00461715" w:rsidRDefault="000E1686" w:rsidP="00782417">
            <w:pPr>
              <w:spacing w:before="60" w:after="60"/>
              <w:rPr>
                <w:sz w:val="20"/>
              </w:rPr>
            </w:pPr>
            <w:r w:rsidRPr="00461715">
              <w:rPr>
                <w:sz w:val="20"/>
              </w:rPr>
              <w:t>1</w:t>
            </w:r>
          </w:p>
        </w:tc>
        <w:tc>
          <w:tcPr>
            <w:tcW w:w="859" w:type="dxa"/>
          </w:tcPr>
          <w:p w:rsidR="000E1686" w:rsidRPr="00461715" w:rsidRDefault="000E1686" w:rsidP="00782417">
            <w:pPr>
              <w:spacing w:before="60" w:after="60"/>
              <w:rPr>
                <w:sz w:val="20"/>
              </w:rPr>
            </w:pPr>
            <w:r w:rsidRPr="00461715">
              <w:rPr>
                <w:sz w:val="20"/>
              </w:rPr>
              <w:t>_</w:t>
            </w:r>
          </w:p>
        </w:tc>
        <w:tc>
          <w:tcPr>
            <w:tcW w:w="987" w:type="dxa"/>
          </w:tcPr>
          <w:p w:rsidR="000E1686" w:rsidRPr="00461715" w:rsidRDefault="000E1686" w:rsidP="00782417">
            <w:pPr>
              <w:spacing w:before="60" w:after="60"/>
              <w:rPr>
                <w:sz w:val="20"/>
              </w:rPr>
            </w:pPr>
            <w:r w:rsidRPr="00461715">
              <w:rPr>
                <w:sz w:val="20"/>
              </w:rPr>
              <w:t>_</w:t>
            </w:r>
          </w:p>
        </w:tc>
        <w:tc>
          <w:tcPr>
            <w:tcW w:w="850" w:type="dxa"/>
          </w:tcPr>
          <w:p w:rsidR="000E1686" w:rsidRPr="00461715" w:rsidRDefault="000E1686" w:rsidP="00782417">
            <w:pPr>
              <w:spacing w:before="60" w:after="60"/>
              <w:rPr>
                <w:sz w:val="20"/>
              </w:rPr>
            </w:pPr>
            <w:r w:rsidRPr="00461715">
              <w:rPr>
                <w:sz w:val="20"/>
              </w:rPr>
              <w:t>_</w:t>
            </w:r>
          </w:p>
        </w:tc>
        <w:tc>
          <w:tcPr>
            <w:tcW w:w="851" w:type="dxa"/>
          </w:tcPr>
          <w:p w:rsidR="000E1686" w:rsidRPr="00461715" w:rsidRDefault="000E1686" w:rsidP="00782417">
            <w:pPr>
              <w:spacing w:before="60" w:after="60"/>
              <w:rPr>
                <w:sz w:val="20"/>
              </w:rPr>
            </w:pPr>
            <w:r w:rsidRPr="00461715">
              <w:rPr>
                <w:sz w:val="20"/>
              </w:rPr>
              <w:t>_</w:t>
            </w:r>
          </w:p>
        </w:tc>
        <w:tc>
          <w:tcPr>
            <w:tcW w:w="1422" w:type="dxa"/>
          </w:tcPr>
          <w:p w:rsidR="000E1686" w:rsidRPr="00461715" w:rsidRDefault="000E1686" w:rsidP="00782417">
            <w:pPr>
              <w:spacing w:before="60" w:after="60"/>
              <w:rPr>
                <w:sz w:val="20"/>
              </w:rPr>
            </w:pPr>
            <w:r w:rsidRPr="00461715">
              <w:rPr>
                <w:sz w:val="20"/>
              </w:rPr>
              <w:t>huid(</w:t>
            </w:r>
            <w:r w:rsidRPr="00461715">
              <w:rPr>
                <w:rStyle w:val="FootnoteReference"/>
                <w:bCs/>
                <w:iCs/>
                <w:sz w:val="20"/>
              </w:rPr>
              <w:t>10</w:t>
            </w:r>
            <w:r w:rsidRPr="00461715">
              <w:rPr>
                <w:sz w:val="20"/>
              </w:rPr>
              <w:t>)</w:t>
            </w:r>
          </w:p>
        </w:tc>
        <w:tc>
          <w:tcPr>
            <w:tcW w:w="2661" w:type="dxa"/>
          </w:tcPr>
          <w:p w:rsidR="000E1686" w:rsidRPr="00461715" w:rsidRDefault="000E1686" w:rsidP="00782417">
            <w:pPr>
              <w:spacing w:before="60" w:after="60"/>
              <w:rPr>
                <w:sz w:val="20"/>
              </w:rPr>
            </w:pPr>
          </w:p>
        </w:tc>
      </w:tr>
      <w:tr w:rsidR="000E1686" w:rsidRPr="00461715" w:rsidTr="00782417">
        <w:trPr>
          <w:jc w:val="center"/>
        </w:trPr>
        <w:tc>
          <w:tcPr>
            <w:tcW w:w="2757" w:type="dxa"/>
          </w:tcPr>
          <w:p w:rsidR="000E1686" w:rsidRPr="00461715" w:rsidRDefault="000E1686" w:rsidP="00782417">
            <w:pPr>
              <w:spacing w:before="60" w:after="60"/>
              <w:rPr>
                <w:sz w:val="20"/>
              </w:rPr>
            </w:pPr>
            <w:r w:rsidRPr="00461715">
              <w:rPr>
                <w:sz w:val="20"/>
              </w:rPr>
              <w:t>1,2-epoxypropaan</w:t>
            </w:r>
          </w:p>
        </w:tc>
        <w:tc>
          <w:tcPr>
            <w:tcW w:w="1215" w:type="dxa"/>
          </w:tcPr>
          <w:p w:rsidR="000E1686" w:rsidRPr="00461715" w:rsidRDefault="000E1686" w:rsidP="00782417">
            <w:pPr>
              <w:spacing w:before="60" w:after="60"/>
              <w:rPr>
                <w:sz w:val="20"/>
              </w:rPr>
            </w:pPr>
            <w:r w:rsidRPr="00461715">
              <w:rPr>
                <w:sz w:val="20"/>
              </w:rPr>
              <w:t>200-879-2</w:t>
            </w:r>
          </w:p>
        </w:tc>
        <w:tc>
          <w:tcPr>
            <w:tcW w:w="1215" w:type="dxa"/>
          </w:tcPr>
          <w:p w:rsidR="000E1686" w:rsidRPr="00461715" w:rsidRDefault="000E1686" w:rsidP="00782417">
            <w:pPr>
              <w:spacing w:before="60" w:after="60"/>
              <w:rPr>
                <w:sz w:val="20"/>
              </w:rPr>
            </w:pPr>
            <w:r w:rsidRPr="00461715">
              <w:rPr>
                <w:sz w:val="20"/>
              </w:rPr>
              <w:t>75-56-9</w:t>
            </w:r>
          </w:p>
        </w:tc>
        <w:tc>
          <w:tcPr>
            <w:tcW w:w="1041" w:type="dxa"/>
          </w:tcPr>
          <w:p w:rsidR="000E1686" w:rsidRPr="00461715" w:rsidRDefault="000E1686" w:rsidP="00782417">
            <w:pPr>
              <w:spacing w:before="60" w:after="60"/>
              <w:rPr>
                <w:sz w:val="20"/>
              </w:rPr>
            </w:pPr>
            <w:r w:rsidRPr="00461715">
              <w:rPr>
                <w:sz w:val="20"/>
              </w:rPr>
              <w:t>2,4</w:t>
            </w:r>
          </w:p>
        </w:tc>
        <w:tc>
          <w:tcPr>
            <w:tcW w:w="1001" w:type="dxa"/>
          </w:tcPr>
          <w:p w:rsidR="000E1686" w:rsidRPr="00461715" w:rsidRDefault="000E1686" w:rsidP="00782417">
            <w:pPr>
              <w:spacing w:before="60" w:after="60"/>
              <w:rPr>
                <w:sz w:val="20"/>
              </w:rPr>
            </w:pPr>
            <w:r w:rsidRPr="00461715">
              <w:rPr>
                <w:sz w:val="20"/>
              </w:rPr>
              <w:t>1</w:t>
            </w:r>
          </w:p>
        </w:tc>
        <w:tc>
          <w:tcPr>
            <w:tcW w:w="859" w:type="dxa"/>
          </w:tcPr>
          <w:p w:rsidR="000E1686" w:rsidRPr="00461715" w:rsidRDefault="000E1686" w:rsidP="00782417">
            <w:pPr>
              <w:spacing w:before="60" w:after="60"/>
              <w:rPr>
                <w:sz w:val="20"/>
              </w:rPr>
            </w:pPr>
            <w:r w:rsidRPr="00461715">
              <w:rPr>
                <w:sz w:val="20"/>
              </w:rPr>
              <w:t>_</w:t>
            </w:r>
          </w:p>
        </w:tc>
        <w:tc>
          <w:tcPr>
            <w:tcW w:w="987" w:type="dxa"/>
          </w:tcPr>
          <w:p w:rsidR="000E1686" w:rsidRPr="00461715" w:rsidRDefault="000E1686" w:rsidP="00782417">
            <w:pPr>
              <w:spacing w:before="60" w:after="60"/>
              <w:rPr>
                <w:sz w:val="20"/>
              </w:rPr>
            </w:pPr>
            <w:r w:rsidRPr="00461715">
              <w:rPr>
                <w:sz w:val="20"/>
              </w:rPr>
              <w:t>_</w:t>
            </w:r>
          </w:p>
        </w:tc>
        <w:tc>
          <w:tcPr>
            <w:tcW w:w="850" w:type="dxa"/>
          </w:tcPr>
          <w:p w:rsidR="000E1686" w:rsidRPr="00461715" w:rsidRDefault="000E1686" w:rsidP="00782417">
            <w:pPr>
              <w:spacing w:before="60" w:after="60"/>
              <w:rPr>
                <w:sz w:val="20"/>
              </w:rPr>
            </w:pPr>
            <w:r w:rsidRPr="00461715">
              <w:rPr>
                <w:sz w:val="20"/>
              </w:rPr>
              <w:t>_</w:t>
            </w:r>
          </w:p>
        </w:tc>
        <w:tc>
          <w:tcPr>
            <w:tcW w:w="851" w:type="dxa"/>
          </w:tcPr>
          <w:p w:rsidR="000E1686" w:rsidRPr="00461715" w:rsidRDefault="000E1686" w:rsidP="00782417">
            <w:pPr>
              <w:spacing w:before="60" w:after="60"/>
              <w:rPr>
                <w:sz w:val="20"/>
              </w:rPr>
            </w:pPr>
            <w:r w:rsidRPr="00461715">
              <w:rPr>
                <w:sz w:val="20"/>
              </w:rPr>
              <w:t>_</w:t>
            </w:r>
          </w:p>
        </w:tc>
        <w:tc>
          <w:tcPr>
            <w:tcW w:w="1422" w:type="dxa"/>
          </w:tcPr>
          <w:p w:rsidR="000E1686" w:rsidRPr="00461715" w:rsidRDefault="000E1686" w:rsidP="00782417">
            <w:pPr>
              <w:spacing w:before="60" w:after="60"/>
              <w:rPr>
                <w:sz w:val="20"/>
              </w:rPr>
            </w:pPr>
            <w:r w:rsidRPr="00461715">
              <w:rPr>
                <w:sz w:val="20"/>
              </w:rPr>
              <w:t>_</w:t>
            </w:r>
          </w:p>
        </w:tc>
        <w:tc>
          <w:tcPr>
            <w:tcW w:w="2661" w:type="dxa"/>
          </w:tcPr>
          <w:p w:rsidR="000E1686" w:rsidRPr="00461715" w:rsidRDefault="000E1686" w:rsidP="00782417">
            <w:pPr>
              <w:spacing w:before="60" w:after="60"/>
              <w:rPr>
                <w:sz w:val="20"/>
              </w:rPr>
            </w:pPr>
          </w:p>
        </w:tc>
      </w:tr>
      <w:tr w:rsidR="000E1686" w:rsidRPr="00461715" w:rsidTr="00782417">
        <w:trPr>
          <w:jc w:val="center"/>
        </w:trPr>
        <w:tc>
          <w:tcPr>
            <w:tcW w:w="2757" w:type="dxa"/>
          </w:tcPr>
          <w:p w:rsidR="000E1686" w:rsidRPr="00461715" w:rsidRDefault="000E1686" w:rsidP="00782417">
            <w:pPr>
              <w:spacing w:before="60" w:after="60"/>
              <w:rPr>
                <w:sz w:val="20"/>
              </w:rPr>
            </w:pPr>
            <w:r w:rsidRPr="00461715">
              <w:rPr>
                <w:sz w:val="20"/>
              </w:rPr>
              <w:t>Trichloorethyleen</w:t>
            </w:r>
          </w:p>
        </w:tc>
        <w:tc>
          <w:tcPr>
            <w:tcW w:w="1215" w:type="dxa"/>
          </w:tcPr>
          <w:p w:rsidR="000E1686" w:rsidRPr="00461715" w:rsidRDefault="000E1686" w:rsidP="00782417">
            <w:pPr>
              <w:spacing w:before="60" w:after="60"/>
              <w:rPr>
                <w:sz w:val="20"/>
              </w:rPr>
            </w:pPr>
            <w:r w:rsidRPr="00461715">
              <w:rPr>
                <w:sz w:val="20"/>
              </w:rPr>
              <w:t>201-167-4</w:t>
            </w:r>
          </w:p>
        </w:tc>
        <w:tc>
          <w:tcPr>
            <w:tcW w:w="1215" w:type="dxa"/>
          </w:tcPr>
          <w:p w:rsidR="000E1686" w:rsidRPr="00461715" w:rsidRDefault="000E1686" w:rsidP="00782417">
            <w:pPr>
              <w:spacing w:before="60" w:after="60"/>
              <w:rPr>
                <w:sz w:val="20"/>
              </w:rPr>
            </w:pPr>
            <w:r w:rsidRPr="00461715">
              <w:rPr>
                <w:sz w:val="20"/>
              </w:rPr>
              <w:t>79-01-6</w:t>
            </w:r>
          </w:p>
        </w:tc>
        <w:tc>
          <w:tcPr>
            <w:tcW w:w="1041" w:type="dxa"/>
          </w:tcPr>
          <w:p w:rsidR="000E1686" w:rsidRPr="00461715" w:rsidRDefault="000E1686" w:rsidP="00782417">
            <w:pPr>
              <w:spacing w:before="60" w:after="60"/>
              <w:rPr>
                <w:sz w:val="20"/>
              </w:rPr>
            </w:pPr>
            <w:r w:rsidRPr="00461715">
              <w:rPr>
                <w:sz w:val="20"/>
              </w:rPr>
              <w:t>54,7</w:t>
            </w:r>
          </w:p>
        </w:tc>
        <w:tc>
          <w:tcPr>
            <w:tcW w:w="1001" w:type="dxa"/>
          </w:tcPr>
          <w:p w:rsidR="000E1686" w:rsidRPr="00461715" w:rsidRDefault="000E1686" w:rsidP="00782417">
            <w:pPr>
              <w:spacing w:before="60" w:after="60"/>
              <w:rPr>
                <w:sz w:val="20"/>
              </w:rPr>
            </w:pPr>
            <w:r w:rsidRPr="00461715">
              <w:rPr>
                <w:sz w:val="20"/>
              </w:rPr>
              <w:t>10</w:t>
            </w:r>
          </w:p>
        </w:tc>
        <w:tc>
          <w:tcPr>
            <w:tcW w:w="859" w:type="dxa"/>
          </w:tcPr>
          <w:p w:rsidR="000E1686" w:rsidRPr="00461715" w:rsidRDefault="000E1686" w:rsidP="00782417">
            <w:pPr>
              <w:spacing w:before="60" w:after="60"/>
              <w:rPr>
                <w:sz w:val="20"/>
              </w:rPr>
            </w:pPr>
            <w:r w:rsidRPr="00461715">
              <w:rPr>
                <w:sz w:val="20"/>
              </w:rPr>
              <w:t>_</w:t>
            </w:r>
          </w:p>
        </w:tc>
        <w:tc>
          <w:tcPr>
            <w:tcW w:w="987" w:type="dxa"/>
          </w:tcPr>
          <w:p w:rsidR="000E1686" w:rsidRPr="00461715" w:rsidRDefault="000E1686" w:rsidP="00782417">
            <w:pPr>
              <w:spacing w:before="60" w:after="60"/>
              <w:rPr>
                <w:sz w:val="20"/>
              </w:rPr>
            </w:pPr>
            <w:r w:rsidRPr="00461715">
              <w:rPr>
                <w:sz w:val="20"/>
              </w:rPr>
              <w:t>164,1</w:t>
            </w:r>
          </w:p>
        </w:tc>
        <w:tc>
          <w:tcPr>
            <w:tcW w:w="850" w:type="dxa"/>
          </w:tcPr>
          <w:p w:rsidR="000E1686" w:rsidRPr="00461715" w:rsidRDefault="000E1686" w:rsidP="00782417">
            <w:pPr>
              <w:spacing w:before="60" w:after="60"/>
              <w:rPr>
                <w:sz w:val="20"/>
              </w:rPr>
            </w:pPr>
            <w:r w:rsidRPr="00461715">
              <w:rPr>
                <w:sz w:val="20"/>
              </w:rPr>
              <w:t>30</w:t>
            </w:r>
          </w:p>
        </w:tc>
        <w:tc>
          <w:tcPr>
            <w:tcW w:w="851" w:type="dxa"/>
          </w:tcPr>
          <w:p w:rsidR="000E1686" w:rsidRPr="00461715" w:rsidRDefault="000E1686" w:rsidP="00782417">
            <w:pPr>
              <w:spacing w:before="60" w:after="60"/>
              <w:rPr>
                <w:sz w:val="20"/>
              </w:rPr>
            </w:pPr>
            <w:r w:rsidRPr="00461715">
              <w:rPr>
                <w:sz w:val="20"/>
              </w:rPr>
              <w:t>_</w:t>
            </w:r>
          </w:p>
        </w:tc>
        <w:tc>
          <w:tcPr>
            <w:tcW w:w="1422" w:type="dxa"/>
          </w:tcPr>
          <w:p w:rsidR="000E1686" w:rsidRPr="00461715" w:rsidRDefault="000E1686" w:rsidP="00782417">
            <w:pPr>
              <w:spacing w:before="60" w:after="60"/>
              <w:rPr>
                <w:sz w:val="20"/>
              </w:rPr>
            </w:pPr>
            <w:r w:rsidRPr="00461715">
              <w:rPr>
                <w:sz w:val="20"/>
              </w:rPr>
              <w:t>huid(</w:t>
            </w:r>
            <w:r w:rsidRPr="00461715">
              <w:rPr>
                <w:rStyle w:val="FootnoteReference"/>
                <w:bCs/>
                <w:iCs/>
                <w:sz w:val="20"/>
              </w:rPr>
              <w:t>10</w:t>
            </w:r>
            <w:r w:rsidRPr="00461715">
              <w:rPr>
                <w:sz w:val="20"/>
              </w:rPr>
              <w:t>)</w:t>
            </w:r>
          </w:p>
        </w:tc>
        <w:tc>
          <w:tcPr>
            <w:tcW w:w="2661" w:type="dxa"/>
          </w:tcPr>
          <w:p w:rsidR="000E1686" w:rsidRPr="00461715" w:rsidRDefault="000E1686" w:rsidP="00782417">
            <w:pPr>
              <w:spacing w:before="60" w:after="60"/>
              <w:rPr>
                <w:sz w:val="20"/>
              </w:rPr>
            </w:pPr>
          </w:p>
        </w:tc>
      </w:tr>
      <w:tr w:rsidR="000E1686" w:rsidRPr="00461715" w:rsidTr="00782417">
        <w:trPr>
          <w:jc w:val="center"/>
        </w:trPr>
        <w:tc>
          <w:tcPr>
            <w:tcW w:w="2757" w:type="dxa"/>
          </w:tcPr>
          <w:p w:rsidR="000E1686" w:rsidRPr="00461715" w:rsidRDefault="000E1686" w:rsidP="00782417">
            <w:pPr>
              <w:spacing w:before="60" w:after="60"/>
              <w:rPr>
                <w:sz w:val="20"/>
              </w:rPr>
            </w:pPr>
            <w:r w:rsidRPr="00461715">
              <w:rPr>
                <w:sz w:val="20"/>
              </w:rPr>
              <w:t>Acrylamide</w:t>
            </w:r>
          </w:p>
        </w:tc>
        <w:tc>
          <w:tcPr>
            <w:tcW w:w="1215" w:type="dxa"/>
          </w:tcPr>
          <w:p w:rsidR="000E1686" w:rsidRPr="00461715" w:rsidRDefault="000E1686" w:rsidP="00782417">
            <w:pPr>
              <w:spacing w:before="60" w:after="60"/>
              <w:rPr>
                <w:sz w:val="20"/>
              </w:rPr>
            </w:pPr>
            <w:r w:rsidRPr="00461715">
              <w:rPr>
                <w:sz w:val="20"/>
              </w:rPr>
              <w:t>201-173-7</w:t>
            </w:r>
          </w:p>
        </w:tc>
        <w:tc>
          <w:tcPr>
            <w:tcW w:w="1215" w:type="dxa"/>
          </w:tcPr>
          <w:p w:rsidR="000E1686" w:rsidRPr="00461715" w:rsidRDefault="000E1686" w:rsidP="00782417">
            <w:pPr>
              <w:spacing w:before="60" w:after="60"/>
              <w:rPr>
                <w:sz w:val="20"/>
              </w:rPr>
            </w:pPr>
            <w:r w:rsidRPr="00461715">
              <w:rPr>
                <w:sz w:val="20"/>
              </w:rPr>
              <w:t>79-06-1</w:t>
            </w:r>
          </w:p>
        </w:tc>
        <w:tc>
          <w:tcPr>
            <w:tcW w:w="1041" w:type="dxa"/>
          </w:tcPr>
          <w:p w:rsidR="000E1686" w:rsidRPr="00461715" w:rsidRDefault="000E1686" w:rsidP="00782417">
            <w:pPr>
              <w:spacing w:before="60" w:after="60"/>
              <w:rPr>
                <w:sz w:val="20"/>
              </w:rPr>
            </w:pPr>
            <w:r w:rsidRPr="00461715">
              <w:rPr>
                <w:sz w:val="20"/>
              </w:rPr>
              <w:t>0,1</w:t>
            </w:r>
          </w:p>
        </w:tc>
        <w:tc>
          <w:tcPr>
            <w:tcW w:w="1001" w:type="dxa"/>
          </w:tcPr>
          <w:p w:rsidR="000E1686" w:rsidRPr="00461715" w:rsidRDefault="000E1686" w:rsidP="00782417">
            <w:pPr>
              <w:spacing w:before="60" w:after="60"/>
              <w:rPr>
                <w:sz w:val="20"/>
              </w:rPr>
            </w:pPr>
            <w:r w:rsidRPr="00461715">
              <w:rPr>
                <w:sz w:val="20"/>
              </w:rPr>
              <w:t>_</w:t>
            </w:r>
          </w:p>
        </w:tc>
        <w:tc>
          <w:tcPr>
            <w:tcW w:w="859" w:type="dxa"/>
          </w:tcPr>
          <w:p w:rsidR="000E1686" w:rsidRPr="00461715" w:rsidRDefault="000E1686" w:rsidP="00782417">
            <w:pPr>
              <w:spacing w:before="60" w:after="60"/>
              <w:rPr>
                <w:sz w:val="20"/>
              </w:rPr>
            </w:pPr>
            <w:r w:rsidRPr="00461715">
              <w:rPr>
                <w:sz w:val="20"/>
              </w:rPr>
              <w:t>_</w:t>
            </w:r>
          </w:p>
        </w:tc>
        <w:tc>
          <w:tcPr>
            <w:tcW w:w="987" w:type="dxa"/>
          </w:tcPr>
          <w:p w:rsidR="000E1686" w:rsidRPr="00461715" w:rsidRDefault="000E1686" w:rsidP="00782417">
            <w:pPr>
              <w:spacing w:before="60" w:after="60"/>
              <w:rPr>
                <w:sz w:val="20"/>
              </w:rPr>
            </w:pPr>
            <w:r w:rsidRPr="00461715">
              <w:rPr>
                <w:sz w:val="20"/>
              </w:rPr>
              <w:t>_</w:t>
            </w:r>
          </w:p>
        </w:tc>
        <w:tc>
          <w:tcPr>
            <w:tcW w:w="850" w:type="dxa"/>
          </w:tcPr>
          <w:p w:rsidR="000E1686" w:rsidRPr="00461715" w:rsidRDefault="000E1686" w:rsidP="00782417">
            <w:pPr>
              <w:spacing w:before="60" w:after="60"/>
              <w:rPr>
                <w:sz w:val="20"/>
              </w:rPr>
            </w:pPr>
            <w:r w:rsidRPr="00461715">
              <w:rPr>
                <w:sz w:val="20"/>
              </w:rPr>
              <w:t>_</w:t>
            </w:r>
          </w:p>
        </w:tc>
        <w:tc>
          <w:tcPr>
            <w:tcW w:w="851" w:type="dxa"/>
          </w:tcPr>
          <w:p w:rsidR="000E1686" w:rsidRPr="00461715" w:rsidRDefault="000E1686" w:rsidP="00782417">
            <w:pPr>
              <w:spacing w:before="60" w:after="60"/>
              <w:rPr>
                <w:sz w:val="20"/>
              </w:rPr>
            </w:pPr>
            <w:r w:rsidRPr="00461715">
              <w:rPr>
                <w:sz w:val="20"/>
              </w:rPr>
              <w:t>_</w:t>
            </w:r>
          </w:p>
        </w:tc>
        <w:tc>
          <w:tcPr>
            <w:tcW w:w="1422" w:type="dxa"/>
          </w:tcPr>
          <w:p w:rsidR="000E1686" w:rsidRPr="00461715" w:rsidRDefault="000E1686" w:rsidP="00782417">
            <w:pPr>
              <w:spacing w:before="60" w:after="60"/>
              <w:rPr>
                <w:sz w:val="20"/>
              </w:rPr>
            </w:pPr>
            <w:r w:rsidRPr="00461715">
              <w:rPr>
                <w:sz w:val="20"/>
              </w:rPr>
              <w:t>huid(</w:t>
            </w:r>
            <w:r w:rsidRPr="00461715">
              <w:rPr>
                <w:rStyle w:val="FootnoteReference"/>
                <w:bCs/>
                <w:iCs/>
                <w:sz w:val="20"/>
              </w:rPr>
              <w:t>10</w:t>
            </w:r>
            <w:r w:rsidRPr="00461715">
              <w:rPr>
                <w:sz w:val="20"/>
              </w:rPr>
              <w:t>)</w:t>
            </w:r>
          </w:p>
        </w:tc>
        <w:tc>
          <w:tcPr>
            <w:tcW w:w="2661" w:type="dxa"/>
          </w:tcPr>
          <w:p w:rsidR="000E1686" w:rsidRPr="00461715" w:rsidRDefault="000E1686" w:rsidP="00782417">
            <w:pPr>
              <w:spacing w:before="60" w:after="60"/>
              <w:rPr>
                <w:sz w:val="20"/>
              </w:rPr>
            </w:pPr>
          </w:p>
        </w:tc>
      </w:tr>
      <w:tr w:rsidR="000E1686" w:rsidRPr="00461715" w:rsidTr="00782417">
        <w:trPr>
          <w:jc w:val="center"/>
        </w:trPr>
        <w:tc>
          <w:tcPr>
            <w:tcW w:w="2757" w:type="dxa"/>
          </w:tcPr>
          <w:p w:rsidR="000E1686" w:rsidRPr="00461715" w:rsidRDefault="000E1686" w:rsidP="00782417">
            <w:pPr>
              <w:spacing w:before="60" w:after="60"/>
              <w:rPr>
                <w:sz w:val="20"/>
              </w:rPr>
            </w:pPr>
            <w:r w:rsidRPr="00461715">
              <w:rPr>
                <w:sz w:val="20"/>
              </w:rPr>
              <w:t>2-nitropropaan</w:t>
            </w:r>
          </w:p>
        </w:tc>
        <w:tc>
          <w:tcPr>
            <w:tcW w:w="1215" w:type="dxa"/>
          </w:tcPr>
          <w:p w:rsidR="000E1686" w:rsidRPr="00461715" w:rsidRDefault="000E1686" w:rsidP="00782417">
            <w:pPr>
              <w:spacing w:before="60" w:after="60"/>
              <w:rPr>
                <w:sz w:val="20"/>
              </w:rPr>
            </w:pPr>
            <w:r w:rsidRPr="00461715">
              <w:rPr>
                <w:sz w:val="20"/>
              </w:rPr>
              <w:t>201-209-1</w:t>
            </w:r>
          </w:p>
        </w:tc>
        <w:tc>
          <w:tcPr>
            <w:tcW w:w="1215" w:type="dxa"/>
          </w:tcPr>
          <w:p w:rsidR="000E1686" w:rsidRPr="00461715" w:rsidRDefault="000E1686" w:rsidP="00782417">
            <w:pPr>
              <w:spacing w:before="60" w:after="60"/>
              <w:rPr>
                <w:sz w:val="20"/>
              </w:rPr>
            </w:pPr>
            <w:r w:rsidRPr="00461715">
              <w:rPr>
                <w:sz w:val="20"/>
              </w:rPr>
              <w:t>79-46-9</w:t>
            </w:r>
          </w:p>
        </w:tc>
        <w:tc>
          <w:tcPr>
            <w:tcW w:w="1041" w:type="dxa"/>
          </w:tcPr>
          <w:p w:rsidR="000E1686" w:rsidRPr="00461715" w:rsidRDefault="000E1686" w:rsidP="00782417">
            <w:pPr>
              <w:spacing w:before="60" w:after="60"/>
              <w:rPr>
                <w:sz w:val="20"/>
              </w:rPr>
            </w:pPr>
            <w:r w:rsidRPr="00461715">
              <w:rPr>
                <w:sz w:val="20"/>
              </w:rPr>
              <w:t>18</w:t>
            </w:r>
          </w:p>
        </w:tc>
        <w:tc>
          <w:tcPr>
            <w:tcW w:w="1001" w:type="dxa"/>
          </w:tcPr>
          <w:p w:rsidR="000E1686" w:rsidRPr="00461715" w:rsidRDefault="000E1686" w:rsidP="00782417">
            <w:pPr>
              <w:spacing w:before="60" w:after="60"/>
              <w:rPr>
                <w:sz w:val="20"/>
              </w:rPr>
            </w:pPr>
            <w:r w:rsidRPr="00461715">
              <w:rPr>
                <w:sz w:val="20"/>
              </w:rPr>
              <w:t>5</w:t>
            </w:r>
          </w:p>
        </w:tc>
        <w:tc>
          <w:tcPr>
            <w:tcW w:w="859" w:type="dxa"/>
          </w:tcPr>
          <w:p w:rsidR="000E1686" w:rsidRPr="00461715" w:rsidRDefault="000E1686" w:rsidP="00782417">
            <w:pPr>
              <w:spacing w:before="60" w:after="60"/>
              <w:rPr>
                <w:sz w:val="20"/>
              </w:rPr>
            </w:pPr>
            <w:r w:rsidRPr="00461715">
              <w:rPr>
                <w:sz w:val="20"/>
              </w:rPr>
              <w:t>_</w:t>
            </w:r>
          </w:p>
        </w:tc>
        <w:tc>
          <w:tcPr>
            <w:tcW w:w="987" w:type="dxa"/>
          </w:tcPr>
          <w:p w:rsidR="000E1686" w:rsidRPr="00461715" w:rsidRDefault="000E1686" w:rsidP="00782417">
            <w:pPr>
              <w:spacing w:before="60" w:after="60"/>
              <w:rPr>
                <w:sz w:val="20"/>
              </w:rPr>
            </w:pPr>
            <w:r w:rsidRPr="00461715">
              <w:rPr>
                <w:sz w:val="20"/>
              </w:rPr>
              <w:t>_</w:t>
            </w:r>
          </w:p>
        </w:tc>
        <w:tc>
          <w:tcPr>
            <w:tcW w:w="850" w:type="dxa"/>
          </w:tcPr>
          <w:p w:rsidR="000E1686" w:rsidRPr="00461715" w:rsidRDefault="000E1686" w:rsidP="00782417">
            <w:pPr>
              <w:spacing w:before="60" w:after="60"/>
              <w:rPr>
                <w:sz w:val="20"/>
              </w:rPr>
            </w:pPr>
            <w:r w:rsidRPr="00461715">
              <w:rPr>
                <w:sz w:val="20"/>
              </w:rPr>
              <w:t>_</w:t>
            </w:r>
          </w:p>
        </w:tc>
        <w:tc>
          <w:tcPr>
            <w:tcW w:w="851" w:type="dxa"/>
          </w:tcPr>
          <w:p w:rsidR="000E1686" w:rsidRPr="00461715" w:rsidRDefault="000E1686" w:rsidP="00782417">
            <w:pPr>
              <w:spacing w:before="60" w:after="60"/>
              <w:rPr>
                <w:sz w:val="20"/>
              </w:rPr>
            </w:pPr>
            <w:r w:rsidRPr="00461715">
              <w:rPr>
                <w:sz w:val="20"/>
              </w:rPr>
              <w:t>_</w:t>
            </w:r>
          </w:p>
        </w:tc>
        <w:tc>
          <w:tcPr>
            <w:tcW w:w="1422" w:type="dxa"/>
          </w:tcPr>
          <w:p w:rsidR="000E1686" w:rsidRPr="00461715" w:rsidRDefault="000E1686" w:rsidP="00782417">
            <w:pPr>
              <w:spacing w:before="60" w:after="60"/>
              <w:rPr>
                <w:sz w:val="20"/>
              </w:rPr>
            </w:pPr>
            <w:r w:rsidRPr="00461715">
              <w:rPr>
                <w:sz w:val="20"/>
              </w:rPr>
              <w:t>_</w:t>
            </w:r>
          </w:p>
        </w:tc>
        <w:tc>
          <w:tcPr>
            <w:tcW w:w="2661" w:type="dxa"/>
          </w:tcPr>
          <w:p w:rsidR="000E1686" w:rsidRPr="00461715" w:rsidRDefault="000E1686" w:rsidP="00782417">
            <w:pPr>
              <w:spacing w:before="60" w:after="60"/>
              <w:rPr>
                <w:sz w:val="20"/>
              </w:rPr>
            </w:pPr>
          </w:p>
        </w:tc>
      </w:tr>
      <w:tr w:rsidR="000E1686" w:rsidRPr="00461715" w:rsidTr="00782417">
        <w:trPr>
          <w:jc w:val="center"/>
        </w:trPr>
        <w:tc>
          <w:tcPr>
            <w:tcW w:w="2757" w:type="dxa"/>
          </w:tcPr>
          <w:p w:rsidR="000E1686" w:rsidRPr="00461715" w:rsidRDefault="000E1686" w:rsidP="00782417">
            <w:pPr>
              <w:spacing w:before="60" w:after="60"/>
              <w:rPr>
                <w:sz w:val="20"/>
              </w:rPr>
            </w:pPr>
            <w:r w:rsidRPr="00461715">
              <w:rPr>
                <w:sz w:val="20"/>
              </w:rPr>
              <w:t>O-toluïdine</w:t>
            </w:r>
          </w:p>
        </w:tc>
        <w:tc>
          <w:tcPr>
            <w:tcW w:w="1215" w:type="dxa"/>
          </w:tcPr>
          <w:p w:rsidR="000E1686" w:rsidRPr="00461715" w:rsidRDefault="000E1686" w:rsidP="00782417">
            <w:pPr>
              <w:spacing w:before="60" w:after="60"/>
              <w:rPr>
                <w:sz w:val="20"/>
              </w:rPr>
            </w:pPr>
            <w:r w:rsidRPr="00461715">
              <w:rPr>
                <w:sz w:val="20"/>
              </w:rPr>
              <w:t>202-429-0</w:t>
            </w:r>
          </w:p>
        </w:tc>
        <w:tc>
          <w:tcPr>
            <w:tcW w:w="1215" w:type="dxa"/>
          </w:tcPr>
          <w:p w:rsidR="000E1686" w:rsidRPr="00461715" w:rsidRDefault="000E1686" w:rsidP="00782417">
            <w:pPr>
              <w:spacing w:before="60" w:after="60"/>
              <w:rPr>
                <w:sz w:val="20"/>
              </w:rPr>
            </w:pPr>
            <w:r w:rsidRPr="00461715">
              <w:rPr>
                <w:sz w:val="20"/>
              </w:rPr>
              <w:t>95-53-4</w:t>
            </w:r>
          </w:p>
        </w:tc>
        <w:tc>
          <w:tcPr>
            <w:tcW w:w="1041" w:type="dxa"/>
          </w:tcPr>
          <w:p w:rsidR="000E1686" w:rsidRPr="00461715" w:rsidRDefault="000E1686" w:rsidP="00782417">
            <w:pPr>
              <w:spacing w:before="60" w:after="60"/>
              <w:rPr>
                <w:sz w:val="20"/>
              </w:rPr>
            </w:pPr>
            <w:r w:rsidRPr="00461715">
              <w:rPr>
                <w:sz w:val="20"/>
              </w:rPr>
              <w:t>0,5</w:t>
            </w:r>
          </w:p>
        </w:tc>
        <w:tc>
          <w:tcPr>
            <w:tcW w:w="1001" w:type="dxa"/>
          </w:tcPr>
          <w:p w:rsidR="000E1686" w:rsidRPr="00461715" w:rsidRDefault="000E1686" w:rsidP="00782417">
            <w:pPr>
              <w:spacing w:before="60" w:after="60"/>
              <w:rPr>
                <w:sz w:val="20"/>
              </w:rPr>
            </w:pPr>
            <w:r w:rsidRPr="00461715">
              <w:rPr>
                <w:sz w:val="20"/>
              </w:rPr>
              <w:t>0,1</w:t>
            </w:r>
          </w:p>
        </w:tc>
        <w:tc>
          <w:tcPr>
            <w:tcW w:w="859" w:type="dxa"/>
          </w:tcPr>
          <w:p w:rsidR="000E1686" w:rsidRPr="00461715" w:rsidRDefault="000E1686" w:rsidP="00782417">
            <w:pPr>
              <w:spacing w:before="60" w:after="60"/>
              <w:rPr>
                <w:sz w:val="20"/>
              </w:rPr>
            </w:pPr>
            <w:r w:rsidRPr="00461715">
              <w:rPr>
                <w:sz w:val="20"/>
              </w:rPr>
              <w:t>_</w:t>
            </w:r>
          </w:p>
        </w:tc>
        <w:tc>
          <w:tcPr>
            <w:tcW w:w="987" w:type="dxa"/>
          </w:tcPr>
          <w:p w:rsidR="000E1686" w:rsidRPr="00461715" w:rsidRDefault="000E1686" w:rsidP="00782417">
            <w:pPr>
              <w:spacing w:before="60" w:after="60"/>
              <w:rPr>
                <w:sz w:val="20"/>
              </w:rPr>
            </w:pPr>
            <w:r w:rsidRPr="00461715">
              <w:rPr>
                <w:sz w:val="20"/>
              </w:rPr>
              <w:t>_</w:t>
            </w:r>
          </w:p>
        </w:tc>
        <w:tc>
          <w:tcPr>
            <w:tcW w:w="850" w:type="dxa"/>
          </w:tcPr>
          <w:p w:rsidR="000E1686" w:rsidRPr="00461715" w:rsidRDefault="000E1686" w:rsidP="00782417">
            <w:pPr>
              <w:spacing w:before="60" w:after="60"/>
              <w:rPr>
                <w:sz w:val="20"/>
              </w:rPr>
            </w:pPr>
            <w:r w:rsidRPr="00461715">
              <w:rPr>
                <w:sz w:val="20"/>
              </w:rPr>
              <w:t>_</w:t>
            </w:r>
          </w:p>
        </w:tc>
        <w:tc>
          <w:tcPr>
            <w:tcW w:w="851" w:type="dxa"/>
          </w:tcPr>
          <w:p w:rsidR="000E1686" w:rsidRPr="00461715" w:rsidRDefault="000E1686" w:rsidP="00782417">
            <w:pPr>
              <w:spacing w:before="60" w:after="60"/>
              <w:rPr>
                <w:sz w:val="20"/>
              </w:rPr>
            </w:pPr>
            <w:r w:rsidRPr="00461715">
              <w:rPr>
                <w:sz w:val="20"/>
              </w:rPr>
              <w:t>_</w:t>
            </w:r>
          </w:p>
        </w:tc>
        <w:tc>
          <w:tcPr>
            <w:tcW w:w="1422" w:type="dxa"/>
          </w:tcPr>
          <w:p w:rsidR="000E1686" w:rsidRPr="00461715" w:rsidRDefault="000E1686" w:rsidP="00782417">
            <w:pPr>
              <w:spacing w:before="60" w:after="60"/>
              <w:rPr>
                <w:sz w:val="20"/>
              </w:rPr>
            </w:pPr>
            <w:r w:rsidRPr="00461715">
              <w:rPr>
                <w:sz w:val="20"/>
              </w:rPr>
              <w:t>huid(</w:t>
            </w:r>
            <w:r w:rsidRPr="00461715">
              <w:rPr>
                <w:rStyle w:val="FootnoteReference"/>
                <w:bCs/>
                <w:iCs/>
                <w:sz w:val="20"/>
              </w:rPr>
              <w:t>10</w:t>
            </w:r>
            <w:r w:rsidRPr="00461715">
              <w:rPr>
                <w:sz w:val="20"/>
              </w:rPr>
              <w:t>)</w:t>
            </w:r>
          </w:p>
        </w:tc>
        <w:tc>
          <w:tcPr>
            <w:tcW w:w="2661" w:type="dxa"/>
          </w:tcPr>
          <w:p w:rsidR="000E1686" w:rsidRPr="00461715" w:rsidRDefault="000E1686" w:rsidP="00782417">
            <w:pPr>
              <w:spacing w:before="60" w:after="60"/>
              <w:rPr>
                <w:sz w:val="20"/>
              </w:rPr>
            </w:pPr>
          </w:p>
        </w:tc>
      </w:tr>
      <w:tr w:rsidR="000E1686" w:rsidRPr="00461715" w:rsidTr="00782417">
        <w:trPr>
          <w:jc w:val="center"/>
        </w:trPr>
        <w:tc>
          <w:tcPr>
            <w:tcW w:w="2757" w:type="dxa"/>
          </w:tcPr>
          <w:p w:rsidR="000E1686" w:rsidRPr="00461715" w:rsidRDefault="000E1686" w:rsidP="00782417">
            <w:pPr>
              <w:spacing w:before="60" w:after="60"/>
              <w:rPr>
                <w:sz w:val="20"/>
              </w:rPr>
            </w:pPr>
            <w:r w:rsidRPr="00461715">
              <w:rPr>
                <w:sz w:val="20"/>
              </w:rPr>
              <w:t>4,4′-Methyleendianiline</w:t>
            </w:r>
          </w:p>
        </w:tc>
        <w:tc>
          <w:tcPr>
            <w:tcW w:w="1215" w:type="dxa"/>
          </w:tcPr>
          <w:p w:rsidR="000E1686" w:rsidRPr="00461715" w:rsidRDefault="000E1686" w:rsidP="00782417">
            <w:pPr>
              <w:spacing w:before="60" w:after="60"/>
              <w:rPr>
                <w:sz w:val="20"/>
              </w:rPr>
            </w:pPr>
            <w:r w:rsidRPr="00461715">
              <w:rPr>
                <w:sz w:val="20"/>
              </w:rPr>
              <w:t>202-974-4</w:t>
            </w:r>
          </w:p>
        </w:tc>
        <w:tc>
          <w:tcPr>
            <w:tcW w:w="1215" w:type="dxa"/>
          </w:tcPr>
          <w:p w:rsidR="000E1686" w:rsidRPr="00461715" w:rsidRDefault="000E1686" w:rsidP="00782417">
            <w:pPr>
              <w:spacing w:before="60" w:after="60"/>
              <w:rPr>
                <w:sz w:val="20"/>
              </w:rPr>
            </w:pPr>
            <w:r w:rsidRPr="00461715">
              <w:rPr>
                <w:sz w:val="20"/>
              </w:rPr>
              <w:t>101-77-9</w:t>
            </w:r>
          </w:p>
        </w:tc>
        <w:tc>
          <w:tcPr>
            <w:tcW w:w="1041" w:type="dxa"/>
          </w:tcPr>
          <w:p w:rsidR="000E1686" w:rsidRPr="00461715" w:rsidRDefault="000E1686" w:rsidP="00782417">
            <w:pPr>
              <w:spacing w:before="60" w:after="60"/>
              <w:rPr>
                <w:sz w:val="20"/>
              </w:rPr>
            </w:pPr>
            <w:r w:rsidRPr="00461715">
              <w:rPr>
                <w:sz w:val="20"/>
              </w:rPr>
              <w:t>0,08</w:t>
            </w:r>
          </w:p>
        </w:tc>
        <w:tc>
          <w:tcPr>
            <w:tcW w:w="1001" w:type="dxa"/>
          </w:tcPr>
          <w:p w:rsidR="000E1686" w:rsidRPr="00461715" w:rsidRDefault="000E1686" w:rsidP="00782417">
            <w:pPr>
              <w:spacing w:before="60" w:after="60"/>
              <w:rPr>
                <w:sz w:val="20"/>
              </w:rPr>
            </w:pPr>
            <w:r w:rsidRPr="00461715">
              <w:rPr>
                <w:sz w:val="20"/>
              </w:rPr>
              <w:t>_</w:t>
            </w:r>
          </w:p>
        </w:tc>
        <w:tc>
          <w:tcPr>
            <w:tcW w:w="859" w:type="dxa"/>
          </w:tcPr>
          <w:p w:rsidR="000E1686" w:rsidRPr="00461715" w:rsidRDefault="000E1686" w:rsidP="00782417">
            <w:pPr>
              <w:spacing w:before="60" w:after="60"/>
              <w:rPr>
                <w:sz w:val="20"/>
              </w:rPr>
            </w:pPr>
            <w:r w:rsidRPr="00461715">
              <w:rPr>
                <w:sz w:val="20"/>
              </w:rPr>
              <w:t>_</w:t>
            </w:r>
          </w:p>
        </w:tc>
        <w:tc>
          <w:tcPr>
            <w:tcW w:w="987" w:type="dxa"/>
          </w:tcPr>
          <w:p w:rsidR="000E1686" w:rsidRPr="00461715" w:rsidRDefault="000E1686" w:rsidP="00782417">
            <w:pPr>
              <w:spacing w:before="60" w:after="60"/>
              <w:rPr>
                <w:sz w:val="20"/>
              </w:rPr>
            </w:pPr>
            <w:r w:rsidRPr="00461715">
              <w:rPr>
                <w:sz w:val="20"/>
              </w:rPr>
              <w:t>_</w:t>
            </w:r>
          </w:p>
        </w:tc>
        <w:tc>
          <w:tcPr>
            <w:tcW w:w="850" w:type="dxa"/>
          </w:tcPr>
          <w:p w:rsidR="000E1686" w:rsidRPr="00461715" w:rsidRDefault="000E1686" w:rsidP="00782417">
            <w:pPr>
              <w:spacing w:before="60" w:after="60"/>
              <w:rPr>
                <w:sz w:val="20"/>
              </w:rPr>
            </w:pPr>
            <w:r w:rsidRPr="00461715">
              <w:rPr>
                <w:sz w:val="20"/>
              </w:rPr>
              <w:t>_</w:t>
            </w:r>
          </w:p>
        </w:tc>
        <w:tc>
          <w:tcPr>
            <w:tcW w:w="851" w:type="dxa"/>
          </w:tcPr>
          <w:p w:rsidR="000E1686" w:rsidRPr="00461715" w:rsidRDefault="000E1686" w:rsidP="00782417">
            <w:pPr>
              <w:spacing w:before="60" w:after="60"/>
              <w:rPr>
                <w:sz w:val="20"/>
              </w:rPr>
            </w:pPr>
            <w:r w:rsidRPr="00461715">
              <w:rPr>
                <w:sz w:val="20"/>
              </w:rPr>
              <w:t>_</w:t>
            </w:r>
          </w:p>
        </w:tc>
        <w:tc>
          <w:tcPr>
            <w:tcW w:w="1422" w:type="dxa"/>
          </w:tcPr>
          <w:p w:rsidR="000E1686" w:rsidRPr="00461715" w:rsidRDefault="000E1686" w:rsidP="00782417">
            <w:pPr>
              <w:spacing w:before="60" w:after="60"/>
              <w:rPr>
                <w:sz w:val="20"/>
              </w:rPr>
            </w:pPr>
            <w:r w:rsidRPr="00461715">
              <w:rPr>
                <w:sz w:val="20"/>
              </w:rPr>
              <w:t>huid(</w:t>
            </w:r>
            <w:r w:rsidRPr="00461715">
              <w:rPr>
                <w:rStyle w:val="FootnoteReference"/>
                <w:bCs/>
                <w:iCs/>
                <w:sz w:val="20"/>
              </w:rPr>
              <w:t>10</w:t>
            </w:r>
            <w:r w:rsidRPr="00461715">
              <w:rPr>
                <w:sz w:val="20"/>
              </w:rPr>
              <w:t>)</w:t>
            </w:r>
          </w:p>
        </w:tc>
        <w:tc>
          <w:tcPr>
            <w:tcW w:w="2661" w:type="dxa"/>
          </w:tcPr>
          <w:p w:rsidR="000E1686" w:rsidRPr="00461715" w:rsidRDefault="000E1686" w:rsidP="00782417">
            <w:pPr>
              <w:spacing w:before="60" w:after="60"/>
              <w:rPr>
                <w:sz w:val="20"/>
              </w:rPr>
            </w:pPr>
          </w:p>
        </w:tc>
      </w:tr>
      <w:tr w:rsidR="000E1686" w:rsidRPr="00461715" w:rsidTr="00782417">
        <w:trPr>
          <w:jc w:val="center"/>
        </w:trPr>
        <w:tc>
          <w:tcPr>
            <w:tcW w:w="2757" w:type="dxa"/>
          </w:tcPr>
          <w:p w:rsidR="000E1686" w:rsidRPr="00461715" w:rsidRDefault="000E1686" w:rsidP="00782417">
            <w:pPr>
              <w:spacing w:before="60" w:after="60"/>
              <w:rPr>
                <w:sz w:val="20"/>
              </w:rPr>
            </w:pPr>
            <w:r w:rsidRPr="00461715">
              <w:rPr>
                <w:sz w:val="20"/>
              </w:rPr>
              <w:t>Epichloorhydrine</w:t>
            </w:r>
          </w:p>
        </w:tc>
        <w:tc>
          <w:tcPr>
            <w:tcW w:w="1215" w:type="dxa"/>
          </w:tcPr>
          <w:p w:rsidR="000E1686" w:rsidRPr="00461715" w:rsidRDefault="000E1686" w:rsidP="00782417">
            <w:pPr>
              <w:spacing w:before="60" w:after="60"/>
              <w:rPr>
                <w:sz w:val="20"/>
              </w:rPr>
            </w:pPr>
            <w:r w:rsidRPr="00461715">
              <w:rPr>
                <w:sz w:val="20"/>
              </w:rPr>
              <w:t>203-439-8</w:t>
            </w:r>
          </w:p>
        </w:tc>
        <w:tc>
          <w:tcPr>
            <w:tcW w:w="1215" w:type="dxa"/>
          </w:tcPr>
          <w:p w:rsidR="000E1686" w:rsidRPr="00461715" w:rsidRDefault="000E1686" w:rsidP="00782417">
            <w:pPr>
              <w:pageBreakBefore/>
              <w:spacing w:before="60" w:after="60"/>
              <w:rPr>
                <w:sz w:val="20"/>
              </w:rPr>
            </w:pPr>
            <w:r w:rsidRPr="00461715">
              <w:rPr>
                <w:sz w:val="20"/>
              </w:rPr>
              <w:t>106-89-8</w:t>
            </w:r>
          </w:p>
        </w:tc>
        <w:tc>
          <w:tcPr>
            <w:tcW w:w="1041" w:type="dxa"/>
          </w:tcPr>
          <w:p w:rsidR="000E1686" w:rsidRPr="00461715" w:rsidRDefault="000E1686" w:rsidP="00782417">
            <w:pPr>
              <w:spacing w:before="60" w:after="60"/>
              <w:rPr>
                <w:sz w:val="20"/>
              </w:rPr>
            </w:pPr>
            <w:r w:rsidRPr="00461715">
              <w:rPr>
                <w:sz w:val="20"/>
              </w:rPr>
              <w:t xml:space="preserve">1,9 </w:t>
            </w:r>
          </w:p>
        </w:tc>
        <w:tc>
          <w:tcPr>
            <w:tcW w:w="1001" w:type="dxa"/>
          </w:tcPr>
          <w:p w:rsidR="000E1686" w:rsidRPr="00461715" w:rsidRDefault="000E1686" w:rsidP="00782417">
            <w:pPr>
              <w:spacing w:before="60" w:after="60"/>
              <w:rPr>
                <w:sz w:val="20"/>
              </w:rPr>
            </w:pPr>
            <w:r w:rsidRPr="00461715">
              <w:rPr>
                <w:sz w:val="20"/>
              </w:rPr>
              <w:t>_</w:t>
            </w:r>
          </w:p>
        </w:tc>
        <w:tc>
          <w:tcPr>
            <w:tcW w:w="859" w:type="dxa"/>
          </w:tcPr>
          <w:p w:rsidR="000E1686" w:rsidRPr="00461715" w:rsidRDefault="000E1686" w:rsidP="00782417">
            <w:pPr>
              <w:spacing w:before="60" w:after="60"/>
              <w:rPr>
                <w:sz w:val="20"/>
              </w:rPr>
            </w:pPr>
            <w:r w:rsidRPr="00461715">
              <w:rPr>
                <w:sz w:val="20"/>
              </w:rPr>
              <w:t>_</w:t>
            </w:r>
          </w:p>
        </w:tc>
        <w:tc>
          <w:tcPr>
            <w:tcW w:w="987" w:type="dxa"/>
          </w:tcPr>
          <w:p w:rsidR="000E1686" w:rsidRPr="00461715" w:rsidRDefault="000E1686" w:rsidP="00782417">
            <w:pPr>
              <w:spacing w:before="60" w:after="60"/>
              <w:rPr>
                <w:sz w:val="20"/>
              </w:rPr>
            </w:pPr>
            <w:r w:rsidRPr="00461715">
              <w:rPr>
                <w:sz w:val="20"/>
              </w:rPr>
              <w:t>_</w:t>
            </w:r>
          </w:p>
        </w:tc>
        <w:tc>
          <w:tcPr>
            <w:tcW w:w="850" w:type="dxa"/>
          </w:tcPr>
          <w:p w:rsidR="000E1686" w:rsidRPr="00461715" w:rsidRDefault="000E1686" w:rsidP="00782417">
            <w:pPr>
              <w:spacing w:before="60" w:after="60"/>
              <w:rPr>
                <w:sz w:val="20"/>
              </w:rPr>
            </w:pPr>
            <w:r w:rsidRPr="00461715">
              <w:rPr>
                <w:sz w:val="20"/>
              </w:rPr>
              <w:t>_</w:t>
            </w:r>
          </w:p>
        </w:tc>
        <w:tc>
          <w:tcPr>
            <w:tcW w:w="851" w:type="dxa"/>
          </w:tcPr>
          <w:p w:rsidR="000E1686" w:rsidRPr="00461715" w:rsidRDefault="000E1686" w:rsidP="00782417">
            <w:pPr>
              <w:spacing w:before="60" w:after="60"/>
              <w:rPr>
                <w:sz w:val="20"/>
              </w:rPr>
            </w:pPr>
            <w:r w:rsidRPr="00461715">
              <w:rPr>
                <w:sz w:val="20"/>
              </w:rPr>
              <w:t>_</w:t>
            </w:r>
          </w:p>
        </w:tc>
        <w:tc>
          <w:tcPr>
            <w:tcW w:w="1422" w:type="dxa"/>
          </w:tcPr>
          <w:p w:rsidR="000E1686" w:rsidRPr="00461715" w:rsidRDefault="000E1686" w:rsidP="00782417">
            <w:pPr>
              <w:spacing w:before="60" w:after="60"/>
              <w:rPr>
                <w:sz w:val="20"/>
              </w:rPr>
            </w:pPr>
            <w:r w:rsidRPr="00461715">
              <w:rPr>
                <w:sz w:val="20"/>
              </w:rPr>
              <w:t>huid(</w:t>
            </w:r>
            <w:r w:rsidRPr="00461715">
              <w:rPr>
                <w:rStyle w:val="FootnoteReference"/>
                <w:bCs/>
                <w:iCs/>
                <w:sz w:val="20"/>
              </w:rPr>
              <w:t>10</w:t>
            </w:r>
            <w:r w:rsidRPr="00461715">
              <w:rPr>
                <w:sz w:val="20"/>
              </w:rPr>
              <w:t>)</w:t>
            </w:r>
          </w:p>
        </w:tc>
        <w:tc>
          <w:tcPr>
            <w:tcW w:w="2661" w:type="dxa"/>
          </w:tcPr>
          <w:p w:rsidR="000E1686" w:rsidRPr="00461715" w:rsidRDefault="000E1686" w:rsidP="00782417">
            <w:pPr>
              <w:spacing w:before="60" w:after="60"/>
              <w:rPr>
                <w:sz w:val="20"/>
              </w:rPr>
            </w:pPr>
          </w:p>
        </w:tc>
      </w:tr>
      <w:tr w:rsidR="000E1686" w:rsidRPr="00461715" w:rsidTr="00782417">
        <w:trPr>
          <w:jc w:val="center"/>
        </w:trPr>
        <w:tc>
          <w:tcPr>
            <w:tcW w:w="2757" w:type="dxa"/>
          </w:tcPr>
          <w:p w:rsidR="000E1686" w:rsidRPr="00461715" w:rsidRDefault="000E1686" w:rsidP="00782417">
            <w:pPr>
              <w:spacing w:before="60" w:after="60"/>
              <w:rPr>
                <w:sz w:val="20"/>
              </w:rPr>
            </w:pPr>
            <w:r w:rsidRPr="00461715">
              <w:rPr>
                <w:sz w:val="20"/>
              </w:rPr>
              <w:t>Ethyleendibromide</w:t>
            </w:r>
          </w:p>
        </w:tc>
        <w:tc>
          <w:tcPr>
            <w:tcW w:w="1215" w:type="dxa"/>
          </w:tcPr>
          <w:p w:rsidR="000E1686" w:rsidRPr="00461715" w:rsidRDefault="000E1686" w:rsidP="00782417">
            <w:pPr>
              <w:spacing w:before="60" w:after="60"/>
              <w:rPr>
                <w:sz w:val="20"/>
              </w:rPr>
            </w:pPr>
            <w:r w:rsidRPr="00461715">
              <w:rPr>
                <w:sz w:val="20"/>
              </w:rPr>
              <w:t>203-444-5</w:t>
            </w:r>
          </w:p>
        </w:tc>
        <w:tc>
          <w:tcPr>
            <w:tcW w:w="1215" w:type="dxa"/>
          </w:tcPr>
          <w:p w:rsidR="000E1686" w:rsidRPr="00461715" w:rsidRDefault="000E1686" w:rsidP="00782417">
            <w:pPr>
              <w:spacing w:before="60" w:after="60"/>
              <w:rPr>
                <w:sz w:val="20"/>
              </w:rPr>
            </w:pPr>
            <w:r w:rsidRPr="00461715">
              <w:rPr>
                <w:sz w:val="20"/>
              </w:rPr>
              <w:t>106-93-4</w:t>
            </w:r>
          </w:p>
        </w:tc>
        <w:tc>
          <w:tcPr>
            <w:tcW w:w="1041" w:type="dxa"/>
          </w:tcPr>
          <w:p w:rsidR="000E1686" w:rsidRPr="00461715" w:rsidRDefault="000E1686" w:rsidP="00782417">
            <w:pPr>
              <w:spacing w:before="60" w:after="60"/>
              <w:rPr>
                <w:sz w:val="20"/>
              </w:rPr>
            </w:pPr>
            <w:r w:rsidRPr="00461715">
              <w:rPr>
                <w:sz w:val="20"/>
              </w:rPr>
              <w:t xml:space="preserve">0,8 </w:t>
            </w:r>
          </w:p>
        </w:tc>
        <w:tc>
          <w:tcPr>
            <w:tcW w:w="1001" w:type="dxa"/>
          </w:tcPr>
          <w:p w:rsidR="000E1686" w:rsidRPr="00461715" w:rsidRDefault="000E1686" w:rsidP="00782417">
            <w:pPr>
              <w:spacing w:before="60" w:after="60"/>
              <w:rPr>
                <w:sz w:val="20"/>
              </w:rPr>
            </w:pPr>
            <w:r w:rsidRPr="00461715">
              <w:rPr>
                <w:sz w:val="20"/>
              </w:rPr>
              <w:t>0,1</w:t>
            </w:r>
          </w:p>
        </w:tc>
        <w:tc>
          <w:tcPr>
            <w:tcW w:w="859" w:type="dxa"/>
          </w:tcPr>
          <w:p w:rsidR="000E1686" w:rsidRPr="00461715" w:rsidRDefault="000E1686" w:rsidP="00782417">
            <w:pPr>
              <w:spacing w:before="60" w:after="60"/>
              <w:rPr>
                <w:sz w:val="20"/>
              </w:rPr>
            </w:pPr>
            <w:r w:rsidRPr="00461715">
              <w:rPr>
                <w:sz w:val="20"/>
              </w:rPr>
              <w:t>_</w:t>
            </w:r>
          </w:p>
        </w:tc>
        <w:tc>
          <w:tcPr>
            <w:tcW w:w="987" w:type="dxa"/>
          </w:tcPr>
          <w:p w:rsidR="000E1686" w:rsidRPr="00461715" w:rsidRDefault="000E1686" w:rsidP="00782417">
            <w:pPr>
              <w:spacing w:before="60" w:after="60"/>
              <w:rPr>
                <w:sz w:val="20"/>
              </w:rPr>
            </w:pPr>
            <w:r w:rsidRPr="00461715">
              <w:rPr>
                <w:sz w:val="20"/>
              </w:rPr>
              <w:t>_</w:t>
            </w:r>
          </w:p>
        </w:tc>
        <w:tc>
          <w:tcPr>
            <w:tcW w:w="850" w:type="dxa"/>
          </w:tcPr>
          <w:p w:rsidR="000E1686" w:rsidRPr="00461715" w:rsidRDefault="000E1686" w:rsidP="00782417">
            <w:pPr>
              <w:spacing w:before="60" w:after="60"/>
              <w:rPr>
                <w:sz w:val="20"/>
              </w:rPr>
            </w:pPr>
            <w:r w:rsidRPr="00461715">
              <w:rPr>
                <w:sz w:val="20"/>
              </w:rPr>
              <w:t>_</w:t>
            </w:r>
          </w:p>
        </w:tc>
        <w:tc>
          <w:tcPr>
            <w:tcW w:w="851" w:type="dxa"/>
          </w:tcPr>
          <w:p w:rsidR="000E1686" w:rsidRPr="00461715" w:rsidRDefault="000E1686" w:rsidP="00782417">
            <w:pPr>
              <w:spacing w:before="60" w:after="60"/>
              <w:rPr>
                <w:sz w:val="20"/>
              </w:rPr>
            </w:pPr>
            <w:r w:rsidRPr="00461715">
              <w:rPr>
                <w:sz w:val="20"/>
              </w:rPr>
              <w:t>_</w:t>
            </w:r>
          </w:p>
        </w:tc>
        <w:tc>
          <w:tcPr>
            <w:tcW w:w="1422" w:type="dxa"/>
          </w:tcPr>
          <w:p w:rsidR="000E1686" w:rsidRPr="00461715" w:rsidRDefault="000E1686" w:rsidP="00782417">
            <w:pPr>
              <w:spacing w:before="60" w:after="60"/>
              <w:rPr>
                <w:sz w:val="20"/>
              </w:rPr>
            </w:pPr>
            <w:r w:rsidRPr="00461715">
              <w:rPr>
                <w:sz w:val="20"/>
              </w:rPr>
              <w:t>huid(</w:t>
            </w:r>
            <w:r w:rsidRPr="00461715">
              <w:rPr>
                <w:rStyle w:val="FootnoteReference"/>
                <w:bCs/>
                <w:iCs/>
                <w:sz w:val="20"/>
              </w:rPr>
              <w:t>10</w:t>
            </w:r>
            <w:r w:rsidRPr="00461715">
              <w:rPr>
                <w:sz w:val="20"/>
              </w:rPr>
              <w:t>)</w:t>
            </w:r>
          </w:p>
        </w:tc>
        <w:tc>
          <w:tcPr>
            <w:tcW w:w="2661" w:type="dxa"/>
          </w:tcPr>
          <w:p w:rsidR="000E1686" w:rsidRPr="00461715" w:rsidRDefault="000E1686" w:rsidP="00782417">
            <w:pPr>
              <w:spacing w:before="60" w:after="60"/>
              <w:rPr>
                <w:sz w:val="20"/>
              </w:rPr>
            </w:pPr>
          </w:p>
        </w:tc>
      </w:tr>
      <w:tr w:rsidR="000E1686" w:rsidRPr="00461715" w:rsidTr="00782417">
        <w:trPr>
          <w:jc w:val="center"/>
        </w:trPr>
        <w:tc>
          <w:tcPr>
            <w:tcW w:w="2757" w:type="dxa"/>
            <w:tcBorders>
              <w:bottom w:val="single" w:sz="4" w:space="0" w:color="auto"/>
            </w:tcBorders>
          </w:tcPr>
          <w:p w:rsidR="000E1686" w:rsidRPr="00461715" w:rsidRDefault="000E1686" w:rsidP="00782417">
            <w:pPr>
              <w:spacing w:before="60" w:after="60"/>
              <w:rPr>
                <w:sz w:val="20"/>
              </w:rPr>
            </w:pPr>
            <w:r w:rsidRPr="00461715">
              <w:rPr>
                <w:sz w:val="20"/>
              </w:rPr>
              <w:t>1,3-butadieen</w:t>
            </w:r>
          </w:p>
        </w:tc>
        <w:tc>
          <w:tcPr>
            <w:tcW w:w="1215" w:type="dxa"/>
            <w:tcBorders>
              <w:bottom w:val="single" w:sz="4" w:space="0" w:color="auto"/>
            </w:tcBorders>
          </w:tcPr>
          <w:p w:rsidR="000E1686" w:rsidRPr="00461715" w:rsidRDefault="000E1686" w:rsidP="00782417">
            <w:pPr>
              <w:spacing w:before="60" w:after="60"/>
              <w:rPr>
                <w:sz w:val="20"/>
              </w:rPr>
            </w:pPr>
            <w:r w:rsidRPr="00461715">
              <w:rPr>
                <w:sz w:val="20"/>
              </w:rPr>
              <w:t>203-450-8</w:t>
            </w:r>
          </w:p>
        </w:tc>
        <w:tc>
          <w:tcPr>
            <w:tcW w:w="1215" w:type="dxa"/>
            <w:tcBorders>
              <w:bottom w:val="single" w:sz="4" w:space="0" w:color="auto"/>
            </w:tcBorders>
          </w:tcPr>
          <w:p w:rsidR="000E1686" w:rsidRPr="00461715" w:rsidRDefault="000E1686" w:rsidP="00782417">
            <w:pPr>
              <w:spacing w:before="60" w:after="60"/>
              <w:rPr>
                <w:sz w:val="20"/>
              </w:rPr>
            </w:pPr>
            <w:r w:rsidRPr="00461715">
              <w:rPr>
                <w:sz w:val="20"/>
              </w:rPr>
              <w:t>106-99-0</w:t>
            </w:r>
          </w:p>
        </w:tc>
        <w:tc>
          <w:tcPr>
            <w:tcW w:w="1041" w:type="dxa"/>
            <w:tcBorders>
              <w:bottom w:val="single" w:sz="4" w:space="0" w:color="auto"/>
            </w:tcBorders>
          </w:tcPr>
          <w:p w:rsidR="000E1686" w:rsidRPr="00461715" w:rsidRDefault="000E1686" w:rsidP="00782417">
            <w:pPr>
              <w:spacing w:before="60" w:after="60"/>
              <w:rPr>
                <w:sz w:val="20"/>
              </w:rPr>
            </w:pPr>
            <w:r w:rsidRPr="00461715">
              <w:rPr>
                <w:sz w:val="20"/>
              </w:rPr>
              <w:t>2,2</w:t>
            </w:r>
          </w:p>
        </w:tc>
        <w:tc>
          <w:tcPr>
            <w:tcW w:w="1001" w:type="dxa"/>
            <w:tcBorders>
              <w:bottom w:val="single" w:sz="4" w:space="0" w:color="auto"/>
            </w:tcBorders>
          </w:tcPr>
          <w:p w:rsidR="000E1686" w:rsidRPr="00461715" w:rsidRDefault="000E1686" w:rsidP="00782417">
            <w:pPr>
              <w:spacing w:before="60" w:after="60"/>
              <w:rPr>
                <w:sz w:val="20"/>
              </w:rPr>
            </w:pPr>
            <w:r w:rsidRPr="00461715">
              <w:rPr>
                <w:sz w:val="20"/>
              </w:rPr>
              <w:t>1</w:t>
            </w:r>
          </w:p>
        </w:tc>
        <w:tc>
          <w:tcPr>
            <w:tcW w:w="859" w:type="dxa"/>
            <w:tcBorders>
              <w:bottom w:val="single" w:sz="4" w:space="0" w:color="auto"/>
            </w:tcBorders>
          </w:tcPr>
          <w:p w:rsidR="000E1686" w:rsidRPr="00461715" w:rsidRDefault="000E1686" w:rsidP="00782417">
            <w:pPr>
              <w:spacing w:before="60" w:after="60"/>
              <w:rPr>
                <w:sz w:val="20"/>
              </w:rPr>
            </w:pPr>
            <w:r w:rsidRPr="00461715">
              <w:rPr>
                <w:sz w:val="20"/>
              </w:rPr>
              <w:t>_</w:t>
            </w:r>
          </w:p>
        </w:tc>
        <w:tc>
          <w:tcPr>
            <w:tcW w:w="987" w:type="dxa"/>
            <w:tcBorders>
              <w:bottom w:val="single" w:sz="4" w:space="0" w:color="auto"/>
            </w:tcBorders>
          </w:tcPr>
          <w:p w:rsidR="000E1686" w:rsidRPr="00461715" w:rsidRDefault="000E1686" w:rsidP="00782417">
            <w:pPr>
              <w:spacing w:before="60" w:after="60"/>
              <w:rPr>
                <w:sz w:val="20"/>
              </w:rPr>
            </w:pPr>
            <w:r w:rsidRPr="00461715">
              <w:rPr>
                <w:sz w:val="20"/>
              </w:rPr>
              <w:t>_</w:t>
            </w:r>
          </w:p>
        </w:tc>
        <w:tc>
          <w:tcPr>
            <w:tcW w:w="850" w:type="dxa"/>
            <w:tcBorders>
              <w:bottom w:val="single" w:sz="4" w:space="0" w:color="auto"/>
            </w:tcBorders>
          </w:tcPr>
          <w:p w:rsidR="000E1686" w:rsidRPr="00461715" w:rsidRDefault="000E1686" w:rsidP="00782417">
            <w:pPr>
              <w:spacing w:before="60" w:after="60"/>
              <w:rPr>
                <w:sz w:val="20"/>
              </w:rPr>
            </w:pPr>
            <w:r w:rsidRPr="00461715">
              <w:rPr>
                <w:sz w:val="20"/>
              </w:rPr>
              <w:t>_</w:t>
            </w:r>
          </w:p>
        </w:tc>
        <w:tc>
          <w:tcPr>
            <w:tcW w:w="851" w:type="dxa"/>
            <w:tcBorders>
              <w:bottom w:val="single" w:sz="4" w:space="0" w:color="auto"/>
            </w:tcBorders>
          </w:tcPr>
          <w:p w:rsidR="000E1686" w:rsidRPr="00461715" w:rsidRDefault="000E1686" w:rsidP="00782417">
            <w:pPr>
              <w:spacing w:before="60" w:after="60"/>
              <w:rPr>
                <w:sz w:val="20"/>
              </w:rPr>
            </w:pPr>
            <w:r w:rsidRPr="00461715">
              <w:rPr>
                <w:sz w:val="20"/>
              </w:rPr>
              <w:t>_</w:t>
            </w:r>
          </w:p>
        </w:tc>
        <w:tc>
          <w:tcPr>
            <w:tcW w:w="1422" w:type="dxa"/>
            <w:tcBorders>
              <w:bottom w:val="single" w:sz="4" w:space="0" w:color="auto"/>
            </w:tcBorders>
          </w:tcPr>
          <w:p w:rsidR="000E1686" w:rsidRPr="00461715" w:rsidRDefault="000E1686" w:rsidP="00782417">
            <w:pPr>
              <w:spacing w:before="60" w:after="60"/>
              <w:rPr>
                <w:sz w:val="20"/>
              </w:rPr>
            </w:pPr>
            <w:r w:rsidRPr="00461715">
              <w:rPr>
                <w:sz w:val="20"/>
              </w:rPr>
              <w:t>_</w:t>
            </w:r>
          </w:p>
        </w:tc>
        <w:tc>
          <w:tcPr>
            <w:tcW w:w="2661" w:type="dxa"/>
            <w:tcBorders>
              <w:bottom w:val="single" w:sz="4" w:space="0" w:color="auto"/>
            </w:tcBorders>
          </w:tcPr>
          <w:p w:rsidR="000E1686" w:rsidRPr="00461715" w:rsidRDefault="000E1686" w:rsidP="00782417">
            <w:pPr>
              <w:spacing w:before="60" w:after="60"/>
              <w:rPr>
                <w:sz w:val="20"/>
              </w:rPr>
            </w:pPr>
          </w:p>
        </w:tc>
      </w:tr>
      <w:tr w:rsidR="000E1686" w:rsidRPr="00461715" w:rsidTr="00782417">
        <w:trPr>
          <w:jc w:val="center"/>
        </w:trPr>
        <w:tc>
          <w:tcPr>
            <w:tcW w:w="2757" w:type="dxa"/>
            <w:tcBorders>
              <w:bottom w:val="single" w:sz="4" w:space="0" w:color="auto"/>
            </w:tcBorders>
          </w:tcPr>
          <w:p w:rsidR="000E1686" w:rsidRPr="00461715" w:rsidRDefault="000E1686" w:rsidP="00782417">
            <w:pPr>
              <w:spacing w:before="60" w:after="60"/>
              <w:rPr>
                <w:sz w:val="20"/>
              </w:rPr>
            </w:pPr>
            <w:r w:rsidRPr="00461715">
              <w:rPr>
                <w:sz w:val="20"/>
              </w:rPr>
              <w:t>Ethyleendichloride</w:t>
            </w:r>
          </w:p>
        </w:tc>
        <w:tc>
          <w:tcPr>
            <w:tcW w:w="1215" w:type="dxa"/>
            <w:tcBorders>
              <w:bottom w:val="single" w:sz="4" w:space="0" w:color="auto"/>
            </w:tcBorders>
          </w:tcPr>
          <w:p w:rsidR="000E1686" w:rsidRPr="00461715" w:rsidRDefault="000E1686" w:rsidP="00782417">
            <w:pPr>
              <w:spacing w:before="60" w:after="60"/>
              <w:rPr>
                <w:sz w:val="20"/>
              </w:rPr>
            </w:pPr>
            <w:r w:rsidRPr="00461715">
              <w:rPr>
                <w:sz w:val="20"/>
              </w:rPr>
              <w:t>203-458-1</w:t>
            </w:r>
          </w:p>
        </w:tc>
        <w:tc>
          <w:tcPr>
            <w:tcW w:w="1215" w:type="dxa"/>
            <w:tcBorders>
              <w:bottom w:val="single" w:sz="4" w:space="0" w:color="auto"/>
            </w:tcBorders>
          </w:tcPr>
          <w:p w:rsidR="000E1686" w:rsidRPr="00461715" w:rsidRDefault="000E1686" w:rsidP="00782417">
            <w:pPr>
              <w:spacing w:before="60" w:after="60"/>
              <w:rPr>
                <w:sz w:val="20"/>
              </w:rPr>
            </w:pPr>
            <w:r w:rsidRPr="00461715">
              <w:rPr>
                <w:sz w:val="20"/>
              </w:rPr>
              <w:t>107-06-2</w:t>
            </w:r>
          </w:p>
        </w:tc>
        <w:tc>
          <w:tcPr>
            <w:tcW w:w="1041" w:type="dxa"/>
            <w:tcBorders>
              <w:bottom w:val="single" w:sz="4" w:space="0" w:color="auto"/>
            </w:tcBorders>
          </w:tcPr>
          <w:p w:rsidR="000E1686" w:rsidRPr="00461715" w:rsidRDefault="000E1686" w:rsidP="00782417">
            <w:pPr>
              <w:spacing w:before="60" w:after="60"/>
              <w:rPr>
                <w:sz w:val="20"/>
              </w:rPr>
            </w:pPr>
            <w:r w:rsidRPr="00461715">
              <w:rPr>
                <w:sz w:val="20"/>
              </w:rPr>
              <w:t xml:space="preserve">8,2 </w:t>
            </w:r>
          </w:p>
        </w:tc>
        <w:tc>
          <w:tcPr>
            <w:tcW w:w="1001" w:type="dxa"/>
            <w:tcBorders>
              <w:bottom w:val="single" w:sz="4" w:space="0" w:color="auto"/>
            </w:tcBorders>
          </w:tcPr>
          <w:p w:rsidR="000E1686" w:rsidRPr="00461715" w:rsidRDefault="000E1686" w:rsidP="00782417">
            <w:pPr>
              <w:spacing w:before="60" w:after="60"/>
              <w:rPr>
                <w:sz w:val="20"/>
              </w:rPr>
            </w:pPr>
            <w:r w:rsidRPr="00461715">
              <w:rPr>
                <w:sz w:val="20"/>
              </w:rPr>
              <w:t>2</w:t>
            </w:r>
          </w:p>
        </w:tc>
        <w:tc>
          <w:tcPr>
            <w:tcW w:w="859" w:type="dxa"/>
            <w:tcBorders>
              <w:bottom w:val="single" w:sz="4" w:space="0" w:color="auto"/>
            </w:tcBorders>
          </w:tcPr>
          <w:p w:rsidR="000E1686" w:rsidRPr="00461715" w:rsidRDefault="000E1686" w:rsidP="00782417">
            <w:pPr>
              <w:spacing w:before="60" w:after="60"/>
              <w:rPr>
                <w:sz w:val="20"/>
              </w:rPr>
            </w:pPr>
            <w:r w:rsidRPr="00461715">
              <w:rPr>
                <w:sz w:val="20"/>
              </w:rPr>
              <w:t>_</w:t>
            </w:r>
          </w:p>
        </w:tc>
        <w:tc>
          <w:tcPr>
            <w:tcW w:w="987" w:type="dxa"/>
            <w:tcBorders>
              <w:bottom w:val="single" w:sz="4" w:space="0" w:color="auto"/>
            </w:tcBorders>
          </w:tcPr>
          <w:p w:rsidR="000E1686" w:rsidRPr="00461715" w:rsidRDefault="000E1686" w:rsidP="00782417">
            <w:pPr>
              <w:spacing w:before="60" w:after="60"/>
              <w:rPr>
                <w:sz w:val="20"/>
              </w:rPr>
            </w:pPr>
            <w:r w:rsidRPr="00461715">
              <w:rPr>
                <w:sz w:val="20"/>
              </w:rPr>
              <w:t>_</w:t>
            </w:r>
          </w:p>
        </w:tc>
        <w:tc>
          <w:tcPr>
            <w:tcW w:w="850" w:type="dxa"/>
            <w:tcBorders>
              <w:bottom w:val="single" w:sz="4" w:space="0" w:color="auto"/>
            </w:tcBorders>
          </w:tcPr>
          <w:p w:rsidR="000E1686" w:rsidRPr="00461715" w:rsidRDefault="000E1686" w:rsidP="00782417">
            <w:pPr>
              <w:spacing w:before="60" w:after="60"/>
              <w:rPr>
                <w:sz w:val="20"/>
              </w:rPr>
            </w:pPr>
            <w:r w:rsidRPr="00461715">
              <w:rPr>
                <w:sz w:val="20"/>
              </w:rPr>
              <w:t>_</w:t>
            </w:r>
          </w:p>
        </w:tc>
        <w:tc>
          <w:tcPr>
            <w:tcW w:w="851" w:type="dxa"/>
            <w:tcBorders>
              <w:bottom w:val="single" w:sz="4" w:space="0" w:color="auto"/>
            </w:tcBorders>
          </w:tcPr>
          <w:p w:rsidR="000E1686" w:rsidRPr="00461715" w:rsidRDefault="000E1686" w:rsidP="00782417">
            <w:pPr>
              <w:spacing w:before="60" w:after="60"/>
              <w:rPr>
                <w:sz w:val="20"/>
              </w:rPr>
            </w:pPr>
            <w:r w:rsidRPr="00461715">
              <w:rPr>
                <w:sz w:val="20"/>
              </w:rPr>
              <w:t>_</w:t>
            </w:r>
          </w:p>
        </w:tc>
        <w:tc>
          <w:tcPr>
            <w:tcW w:w="1422" w:type="dxa"/>
            <w:tcBorders>
              <w:bottom w:val="single" w:sz="4" w:space="0" w:color="auto"/>
            </w:tcBorders>
          </w:tcPr>
          <w:p w:rsidR="000E1686" w:rsidRPr="00461715" w:rsidRDefault="000E1686" w:rsidP="00782417">
            <w:pPr>
              <w:spacing w:before="60" w:after="60"/>
              <w:rPr>
                <w:sz w:val="20"/>
              </w:rPr>
            </w:pPr>
            <w:r w:rsidRPr="00461715">
              <w:rPr>
                <w:sz w:val="20"/>
              </w:rPr>
              <w:t>huid(</w:t>
            </w:r>
            <w:r w:rsidRPr="00461715">
              <w:rPr>
                <w:rStyle w:val="FootnoteReference"/>
                <w:bCs/>
                <w:iCs/>
                <w:sz w:val="20"/>
              </w:rPr>
              <w:t>10</w:t>
            </w:r>
            <w:r w:rsidRPr="00461715">
              <w:rPr>
                <w:sz w:val="20"/>
              </w:rPr>
              <w:t>)</w:t>
            </w:r>
          </w:p>
        </w:tc>
        <w:tc>
          <w:tcPr>
            <w:tcW w:w="2661" w:type="dxa"/>
            <w:tcBorders>
              <w:bottom w:val="single" w:sz="4" w:space="0" w:color="auto"/>
            </w:tcBorders>
          </w:tcPr>
          <w:p w:rsidR="000E1686" w:rsidRPr="00461715" w:rsidRDefault="000E1686" w:rsidP="00782417">
            <w:pPr>
              <w:spacing w:before="60" w:after="60"/>
              <w:rPr>
                <w:sz w:val="20"/>
              </w:rPr>
            </w:pPr>
          </w:p>
        </w:tc>
      </w:tr>
      <w:tr w:rsidR="000E1686" w:rsidRPr="00461715" w:rsidTr="00782417">
        <w:trPr>
          <w:jc w:val="center"/>
        </w:trPr>
        <w:tc>
          <w:tcPr>
            <w:tcW w:w="2757" w:type="dxa"/>
            <w:tcBorders>
              <w:bottom w:val="single" w:sz="4" w:space="0" w:color="auto"/>
            </w:tcBorders>
          </w:tcPr>
          <w:p w:rsidR="000E1686" w:rsidRPr="00461715" w:rsidRDefault="000E1686" w:rsidP="00782417">
            <w:pPr>
              <w:spacing w:before="60" w:after="60"/>
              <w:rPr>
                <w:sz w:val="20"/>
              </w:rPr>
            </w:pPr>
            <w:r w:rsidRPr="00461715">
              <w:rPr>
                <w:sz w:val="20"/>
              </w:rPr>
              <w:t>Hydrazine</w:t>
            </w:r>
          </w:p>
        </w:tc>
        <w:tc>
          <w:tcPr>
            <w:tcW w:w="1215" w:type="dxa"/>
            <w:tcBorders>
              <w:bottom w:val="single" w:sz="4" w:space="0" w:color="auto"/>
            </w:tcBorders>
          </w:tcPr>
          <w:p w:rsidR="000E1686" w:rsidRPr="00461715" w:rsidRDefault="000E1686" w:rsidP="00782417">
            <w:pPr>
              <w:spacing w:before="60" w:after="60"/>
              <w:rPr>
                <w:sz w:val="20"/>
              </w:rPr>
            </w:pPr>
            <w:r w:rsidRPr="00461715">
              <w:rPr>
                <w:sz w:val="20"/>
              </w:rPr>
              <w:t>206-114-9</w:t>
            </w:r>
          </w:p>
        </w:tc>
        <w:tc>
          <w:tcPr>
            <w:tcW w:w="1215" w:type="dxa"/>
            <w:tcBorders>
              <w:bottom w:val="single" w:sz="4" w:space="0" w:color="auto"/>
            </w:tcBorders>
          </w:tcPr>
          <w:p w:rsidR="000E1686" w:rsidRPr="00461715" w:rsidRDefault="000E1686" w:rsidP="00782417">
            <w:pPr>
              <w:spacing w:before="60" w:after="60"/>
              <w:rPr>
                <w:sz w:val="20"/>
              </w:rPr>
            </w:pPr>
            <w:r w:rsidRPr="00461715">
              <w:rPr>
                <w:sz w:val="20"/>
              </w:rPr>
              <w:t>302-01-2</w:t>
            </w:r>
          </w:p>
        </w:tc>
        <w:tc>
          <w:tcPr>
            <w:tcW w:w="1041" w:type="dxa"/>
            <w:tcBorders>
              <w:bottom w:val="single" w:sz="4" w:space="0" w:color="auto"/>
            </w:tcBorders>
          </w:tcPr>
          <w:p w:rsidR="000E1686" w:rsidRPr="00461715" w:rsidRDefault="000E1686" w:rsidP="00782417">
            <w:pPr>
              <w:spacing w:before="60" w:after="60"/>
              <w:rPr>
                <w:sz w:val="20"/>
              </w:rPr>
            </w:pPr>
            <w:r w:rsidRPr="00461715">
              <w:rPr>
                <w:sz w:val="20"/>
              </w:rPr>
              <w:t>0,013</w:t>
            </w:r>
          </w:p>
        </w:tc>
        <w:tc>
          <w:tcPr>
            <w:tcW w:w="1001" w:type="dxa"/>
            <w:tcBorders>
              <w:bottom w:val="single" w:sz="4" w:space="0" w:color="auto"/>
            </w:tcBorders>
          </w:tcPr>
          <w:p w:rsidR="000E1686" w:rsidRPr="00461715" w:rsidRDefault="000E1686" w:rsidP="00782417">
            <w:pPr>
              <w:spacing w:before="60" w:after="60"/>
              <w:rPr>
                <w:sz w:val="20"/>
              </w:rPr>
            </w:pPr>
            <w:r w:rsidRPr="00461715">
              <w:rPr>
                <w:sz w:val="20"/>
              </w:rPr>
              <w:t>0,01</w:t>
            </w:r>
          </w:p>
        </w:tc>
        <w:tc>
          <w:tcPr>
            <w:tcW w:w="859" w:type="dxa"/>
            <w:tcBorders>
              <w:bottom w:val="single" w:sz="4" w:space="0" w:color="auto"/>
            </w:tcBorders>
          </w:tcPr>
          <w:p w:rsidR="000E1686" w:rsidRPr="00461715" w:rsidRDefault="000E1686" w:rsidP="00782417">
            <w:pPr>
              <w:spacing w:before="60" w:after="60"/>
              <w:rPr>
                <w:sz w:val="20"/>
              </w:rPr>
            </w:pPr>
            <w:r w:rsidRPr="00461715">
              <w:rPr>
                <w:sz w:val="20"/>
              </w:rPr>
              <w:t>_</w:t>
            </w:r>
          </w:p>
        </w:tc>
        <w:tc>
          <w:tcPr>
            <w:tcW w:w="987" w:type="dxa"/>
            <w:tcBorders>
              <w:bottom w:val="single" w:sz="4" w:space="0" w:color="auto"/>
            </w:tcBorders>
          </w:tcPr>
          <w:p w:rsidR="000E1686" w:rsidRPr="00461715" w:rsidRDefault="000E1686" w:rsidP="00782417">
            <w:pPr>
              <w:spacing w:before="60" w:after="60"/>
              <w:rPr>
                <w:sz w:val="20"/>
              </w:rPr>
            </w:pPr>
            <w:r w:rsidRPr="00461715">
              <w:rPr>
                <w:sz w:val="20"/>
              </w:rPr>
              <w:t>_</w:t>
            </w:r>
          </w:p>
        </w:tc>
        <w:tc>
          <w:tcPr>
            <w:tcW w:w="850" w:type="dxa"/>
            <w:tcBorders>
              <w:bottom w:val="single" w:sz="4" w:space="0" w:color="auto"/>
            </w:tcBorders>
          </w:tcPr>
          <w:p w:rsidR="000E1686" w:rsidRPr="00461715" w:rsidRDefault="000E1686" w:rsidP="00782417">
            <w:pPr>
              <w:spacing w:before="60" w:after="60"/>
              <w:rPr>
                <w:sz w:val="20"/>
              </w:rPr>
            </w:pPr>
            <w:r w:rsidRPr="00461715">
              <w:rPr>
                <w:sz w:val="20"/>
              </w:rPr>
              <w:t>_</w:t>
            </w:r>
          </w:p>
        </w:tc>
        <w:tc>
          <w:tcPr>
            <w:tcW w:w="851" w:type="dxa"/>
            <w:tcBorders>
              <w:bottom w:val="single" w:sz="4" w:space="0" w:color="auto"/>
            </w:tcBorders>
          </w:tcPr>
          <w:p w:rsidR="000E1686" w:rsidRPr="00461715" w:rsidRDefault="000E1686" w:rsidP="00782417">
            <w:pPr>
              <w:spacing w:before="60" w:after="60"/>
              <w:rPr>
                <w:sz w:val="20"/>
              </w:rPr>
            </w:pPr>
            <w:r w:rsidRPr="00461715">
              <w:rPr>
                <w:sz w:val="20"/>
              </w:rPr>
              <w:t>_</w:t>
            </w:r>
          </w:p>
        </w:tc>
        <w:tc>
          <w:tcPr>
            <w:tcW w:w="1422" w:type="dxa"/>
            <w:tcBorders>
              <w:bottom w:val="single" w:sz="4" w:space="0" w:color="auto"/>
            </w:tcBorders>
          </w:tcPr>
          <w:p w:rsidR="000E1686" w:rsidRPr="00461715" w:rsidRDefault="000E1686" w:rsidP="00782417">
            <w:pPr>
              <w:spacing w:before="60" w:after="60"/>
              <w:rPr>
                <w:sz w:val="20"/>
              </w:rPr>
            </w:pPr>
            <w:r w:rsidRPr="00461715">
              <w:rPr>
                <w:sz w:val="20"/>
              </w:rPr>
              <w:t>huid(</w:t>
            </w:r>
            <w:r w:rsidRPr="00461715">
              <w:rPr>
                <w:rStyle w:val="FootnoteReference"/>
                <w:bCs/>
                <w:iCs/>
                <w:sz w:val="20"/>
              </w:rPr>
              <w:t>10</w:t>
            </w:r>
            <w:r w:rsidRPr="00461715">
              <w:rPr>
                <w:sz w:val="20"/>
              </w:rPr>
              <w:t>)</w:t>
            </w:r>
          </w:p>
        </w:tc>
        <w:tc>
          <w:tcPr>
            <w:tcW w:w="2661" w:type="dxa"/>
            <w:tcBorders>
              <w:bottom w:val="single" w:sz="4" w:space="0" w:color="auto"/>
            </w:tcBorders>
          </w:tcPr>
          <w:p w:rsidR="000E1686" w:rsidRPr="00461715" w:rsidRDefault="000E1686" w:rsidP="00782417">
            <w:pPr>
              <w:spacing w:before="60" w:after="60"/>
              <w:rPr>
                <w:sz w:val="20"/>
              </w:rPr>
            </w:pPr>
          </w:p>
        </w:tc>
      </w:tr>
      <w:tr w:rsidR="000E1686" w:rsidRPr="00461715" w:rsidTr="00782417">
        <w:trPr>
          <w:jc w:val="center"/>
        </w:trPr>
        <w:tc>
          <w:tcPr>
            <w:tcW w:w="2757" w:type="dxa"/>
            <w:tcBorders>
              <w:bottom w:val="single" w:sz="4" w:space="0" w:color="auto"/>
            </w:tcBorders>
          </w:tcPr>
          <w:p w:rsidR="000E1686" w:rsidRPr="00461715" w:rsidRDefault="000E1686" w:rsidP="00782417">
            <w:pPr>
              <w:spacing w:before="60" w:after="60"/>
              <w:rPr>
                <w:sz w:val="20"/>
              </w:rPr>
            </w:pPr>
            <w:r w:rsidRPr="00461715">
              <w:rPr>
                <w:sz w:val="20"/>
              </w:rPr>
              <w:t>Broomethyleen</w:t>
            </w:r>
          </w:p>
        </w:tc>
        <w:tc>
          <w:tcPr>
            <w:tcW w:w="1215" w:type="dxa"/>
            <w:tcBorders>
              <w:bottom w:val="single" w:sz="4" w:space="0" w:color="auto"/>
            </w:tcBorders>
          </w:tcPr>
          <w:p w:rsidR="000E1686" w:rsidRPr="00461715" w:rsidRDefault="000E1686" w:rsidP="00782417">
            <w:pPr>
              <w:spacing w:before="60" w:after="60"/>
              <w:rPr>
                <w:sz w:val="20"/>
              </w:rPr>
            </w:pPr>
            <w:r w:rsidRPr="00461715">
              <w:rPr>
                <w:sz w:val="20"/>
              </w:rPr>
              <w:t>209-800-6</w:t>
            </w:r>
          </w:p>
        </w:tc>
        <w:tc>
          <w:tcPr>
            <w:tcW w:w="1215" w:type="dxa"/>
            <w:tcBorders>
              <w:bottom w:val="single" w:sz="4" w:space="0" w:color="auto"/>
            </w:tcBorders>
          </w:tcPr>
          <w:p w:rsidR="000E1686" w:rsidRPr="00461715" w:rsidRDefault="000E1686" w:rsidP="00782417">
            <w:pPr>
              <w:spacing w:before="60" w:after="60"/>
              <w:rPr>
                <w:sz w:val="20"/>
              </w:rPr>
            </w:pPr>
            <w:r w:rsidRPr="00461715">
              <w:rPr>
                <w:sz w:val="20"/>
              </w:rPr>
              <w:t>593-60-2</w:t>
            </w:r>
          </w:p>
        </w:tc>
        <w:tc>
          <w:tcPr>
            <w:tcW w:w="1041" w:type="dxa"/>
            <w:tcBorders>
              <w:bottom w:val="single" w:sz="4" w:space="0" w:color="auto"/>
            </w:tcBorders>
          </w:tcPr>
          <w:p w:rsidR="000E1686" w:rsidRPr="00461715" w:rsidRDefault="000E1686" w:rsidP="00782417">
            <w:pPr>
              <w:spacing w:before="60" w:after="60"/>
              <w:rPr>
                <w:sz w:val="20"/>
              </w:rPr>
            </w:pPr>
            <w:r w:rsidRPr="00461715">
              <w:rPr>
                <w:sz w:val="20"/>
              </w:rPr>
              <w:t>4,4</w:t>
            </w:r>
          </w:p>
        </w:tc>
        <w:tc>
          <w:tcPr>
            <w:tcW w:w="1001" w:type="dxa"/>
            <w:tcBorders>
              <w:bottom w:val="single" w:sz="4" w:space="0" w:color="auto"/>
            </w:tcBorders>
          </w:tcPr>
          <w:p w:rsidR="000E1686" w:rsidRPr="00461715" w:rsidRDefault="000E1686" w:rsidP="00782417">
            <w:pPr>
              <w:spacing w:before="60" w:after="60"/>
              <w:rPr>
                <w:sz w:val="20"/>
              </w:rPr>
            </w:pPr>
            <w:r w:rsidRPr="00461715">
              <w:rPr>
                <w:sz w:val="20"/>
              </w:rPr>
              <w:t>1</w:t>
            </w:r>
          </w:p>
        </w:tc>
        <w:tc>
          <w:tcPr>
            <w:tcW w:w="859" w:type="dxa"/>
            <w:tcBorders>
              <w:bottom w:val="single" w:sz="4" w:space="0" w:color="auto"/>
            </w:tcBorders>
          </w:tcPr>
          <w:p w:rsidR="000E1686" w:rsidRPr="00461715" w:rsidRDefault="000E1686" w:rsidP="00782417">
            <w:pPr>
              <w:spacing w:before="60" w:after="60"/>
              <w:rPr>
                <w:sz w:val="20"/>
              </w:rPr>
            </w:pPr>
            <w:r w:rsidRPr="00461715">
              <w:rPr>
                <w:sz w:val="20"/>
              </w:rPr>
              <w:t>_</w:t>
            </w:r>
          </w:p>
        </w:tc>
        <w:tc>
          <w:tcPr>
            <w:tcW w:w="987" w:type="dxa"/>
            <w:tcBorders>
              <w:bottom w:val="single" w:sz="4" w:space="0" w:color="auto"/>
            </w:tcBorders>
          </w:tcPr>
          <w:p w:rsidR="000E1686" w:rsidRPr="00461715" w:rsidRDefault="000E1686" w:rsidP="00782417">
            <w:pPr>
              <w:spacing w:before="60" w:after="60"/>
              <w:rPr>
                <w:sz w:val="20"/>
              </w:rPr>
            </w:pPr>
            <w:r w:rsidRPr="00461715">
              <w:rPr>
                <w:sz w:val="20"/>
              </w:rPr>
              <w:t>_</w:t>
            </w:r>
          </w:p>
        </w:tc>
        <w:tc>
          <w:tcPr>
            <w:tcW w:w="850" w:type="dxa"/>
            <w:tcBorders>
              <w:bottom w:val="single" w:sz="4" w:space="0" w:color="auto"/>
            </w:tcBorders>
          </w:tcPr>
          <w:p w:rsidR="000E1686" w:rsidRPr="00461715" w:rsidRDefault="000E1686" w:rsidP="00782417">
            <w:pPr>
              <w:spacing w:before="60" w:after="60"/>
              <w:rPr>
                <w:sz w:val="20"/>
              </w:rPr>
            </w:pPr>
            <w:r w:rsidRPr="00461715">
              <w:rPr>
                <w:sz w:val="20"/>
              </w:rPr>
              <w:t>_</w:t>
            </w:r>
          </w:p>
        </w:tc>
        <w:tc>
          <w:tcPr>
            <w:tcW w:w="851" w:type="dxa"/>
            <w:tcBorders>
              <w:bottom w:val="single" w:sz="4" w:space="0" w:color="auto"/>
            </w:tcBorders>
          </w:tcPr>
          <w:p w:rsidR="000E1686" w:rsidRPr="00461715" w:rsidRDefault="000E1686" w:rsidP="00782417">
            <w:pPr>
              <w:spacing w:before="60" w:after="60"/>
              <w:rPr>
                <w:sz w:val="20"/>
              </w:rPr>
            </w:pPr>
            <w:r w:rsidRPr="00461715">
              <w:rPr>
                <w:sz w:val="20"/>
              </w:rPr>
              <w:t>_</w:t>
            </w:r>
          </w:p>
        </w:tc>
        <w:tc>
          <w:tcPr>
            <w:tcW w:w="1422" w:type="dxa"/>
            <w:tcBorders>
              <w:bottom w:val="single" w:sz="4" w:space="0" w:color="auto"/>
            </w:tcBorders>
          </w:tcPr>
          <w:p w:rsidR="000E1686" w:rsidRPr="00461715" w:rsidRDefault="000E1686" w:rsidP="00782417">
            <w:pPr>
              <w:spacing w:before="60" w:after="60"/>
              <w:rPr>
                <w:sz w:val="20"/>
              </w:rPr>
            </w:pPr>
            <w:r w:rsidRPr="00461715">
              <w:rPr>
                <w:sz w:val="20"/>
              </w:rPr>
              <w:t>_</w:t>
            </w:r>
          </w:p>
        </w:tc>
        <w:tc>
          <w:tcPr>
            <w:tcW w:w="2661" w:type="dxa"/>
            <w:tcBorders>
              <w:bottom w:val="single" w:sz="4" w:space="0" w:color="auto"/>
            </w:tcBorders>
          </w:tcPr>
          <w:p w:rsidR="000E1686" w:rsidRPr="00461715" w:rsidRDefault="000E1686" w:rsidP="00782417">
            <w:pPr>
              <w:spacing w:before="60" w:after="60"/>
              <w:rPr>
                <w:sz w:val="20"/>
              </w:rPr>
            </w:pPr>
          </w:p>
        </w:tc>
      </w:tr>
      <w:tr w:rsidR="000E1686" w:rsidRPr="00461715" w:rsidTr="000E1686">
        <w:trPr>
          <w:jc w:val="center"/>
        </w:trPr>
        <w:tc>
          <w:tcPr>
            <w:tcW w:w="2757" w:type="dxa"/>
            <w:shd w:val="clear" w:color="auto" w:fill="FFFFFF"/>
          </w:tcPr>
          <w:p w:rsidR="000E1686" w:rsidRPr="00461715" w:rsidRDefault="000E1686" w:rsidP="00782417">
            <w:pPr>
              <w:pageBreakBefore/>
              <w:spacing w:before="60" w:after="60"/>
              <w:rPr>
                <w:sz w:val="20"/>
              </w:rPr>
            </w:pPr>
            <w:r w:rsidRPr="00461715">
              <w:rPr>
                <w:b/>
                <w:i/>
                <w:sz w:val="20"/>
              </w:rPr>
              <w:t>Uitlaatgassen van dieselmotoren</w:t>
            </w:r>
          </w:p>
        </w:tc>
        <w:tc>
          <w:tcPr>
            <w:tcW w:w="1215" w:type="dxa"/>
            <w:shd w:val="clear" w:color="auto" w:fill="FFFFFF"/>
          </w:tcPr>
          <w:p w:rsidR="000E1686" w:rsidRPr="00461715" w:rsidRDefault="000E1686" w:rsidP="00782417">
            <w:pPr>
              <w:spacing w:before="60" w:after="60"/>
              <w:rPr>
                <w:sz w:val="20"/>
              </w:rPr>
            </w:pPr>
          </w:p>
        </w:tc>
        <w:tc>
          <w:tcPr>
            <w:tcW w:w="1215" w:type="dxa"/>
            <w:shd w:val="clear" w:color="auto" w:fill="FFFFFF"/>
          </w:tcPr>
          <w:p w:rsidR="000E1686" w:rsidRPr="00461715" w:rsidRDefault="000E1686" w:rsidP="00782417">
            <w:pPr>
              <w:spacing w:before="60" w:after="60"/>
              <w:rPr>
                <w:sz w:val="20"/>
              </w:rPr>
            </w:pPr>
          </w:p>
        </w:tc>
        <w:tc>
          <w:tcPr>
            <w:tcW w:w="1041" w:type="dxa"/>
            <w:shd w:val="clear" w:color="auto" w:fill="FFFFFF"/>
          </w:tcPr>
          <w:p w:rsidR="000E1686" w:rsidRPr="00461715" w:rsidRDefault="000E1686" w:rsidP="00782417">
            <w:pPr>
              <w:spacing w:before="60" w:after="60"/>
              <w:rPr>
                <w:sz w:val="20"/>
              </w:rPr>
            </w:pPr>
            <w:r w:rsidRPr="00461715">
              <w:rPr>
                <w:b/>
                <w:i/>
                <w:sz w:val="20"/>
              </w:rPr>
              <w:t>0,05*</w:t>
            </w:r>
          </w:p>
        </w:tc>
        <w:tc>
          <w:tcPr>
            <w:tcW w:w="1001" w:type="dxa"/>
            <w:shd w:val="clear" w:color="auto" w:fill="FFFFFF"/>
          </w:tcPr>
          <w:p w:rsidR="000E1686" w:rsidRPr="00461715" w:rsidRDefault="000E1686" w:rsidP="00782417">
            <w:pPr>
              <w:spacing w:before="60" w:after="60"/>
              <w:rPr>
                <w:sz w:val="20"/>
              </w:rPr>
            </w:pPr>
          </w:p>
        </w:tc>
        <w:tc>
          <w:tcPr>
            <w:tcW w:w="859" w:type="dxa"/>
            <w:shd w:val="clear" w:color="auto" w:fill="FFFFFF"/>
          </w:tcPr>
          <w:p w:rsidR="000E1686" w:rsidRPr="00461715" w:rsidRDefault="000E1686" w:rsidP="00782417">
            <w:pPr>
              <w:spacing w:before="60" w:after="60"/>
              <w:rPr>
                <w:sz w:val="20"/>
              </w:rPr>
            </w:pPr>
          </w:p>
        </w:tc>
        <w:tc>
          <w:tcPr>
            <w:tcW w:w="987" w:type="dxa"/>
            <w:shd w:val="clear" w:color="auto" w:fill="FFFFFF"/>
          </w:tcPr>
          <w:p w:rsidR="000E1686" w:rsidRPr="00461715" w:rsidRDefault="000E1686" w:rsidP="00782417">
            <w:pPr>
              <w:spacing w:before="60" w:after="60"/>
              <w:rPr>
                <w:sz w:val="20"/>
              </w:rPr>
            </w:pPr>
          </w:p>
        </w:tc>
        <w:tc>
          <w:tcPr>
            <w:tcW w:w="850" w:type="dxa"/>
            <w:shd w:val="clear" w:color="auto" w:fill="FFFFFF"/>
          </w:tcPr>
          <w:p w:rsidR="000E1686" w:rsidRPr="00461715" w:rsidRDefault="000E1686" w:rsidP="00782417">
            <w:pPr>
              <w:spacing w:before="60" w:after="60"/>
              <w:rPr>
                <w:sz w:val="20"/>
              </w:rPr>
            </w:pPr>
          </w:p>
        </w:tc>
        <w:tc>
          <w:tcPr>
            <w:tcW w:w="851" w:type="dxa"/>
            <w:shd w:val="clear" w:color="auto" w:fill="FFFFFF"/>
          </w:tcPr>
          <w:p w:rsidR="000E1686" w:rsidRPr="00461715" w:rsidRDefault="000E1686" w:rsidP="00782417">
            <w:pPr>
              <w:spacing w:before="60" w:after="60"/>
              <w:rPr>
                <w:sz w:val="20"/>
              </w:rPr>
            </w:pPr>
          </w:p>
        </w:tc>
        <w:tc>
          <w:tcPr>
            <w:tcW w:w="1422" w:type="dxa"/>
            <w:shd w:val="clear" w:color="auto" w:fill="FFFFFF"/>
          </w:tcPr>
          <w:p w:rsidR="000E1686" w:rsidRPr="00461715" w:rsidRDefault="000E1686" w:rsidP="00782417">
            <w:pPr>
              <w:spacing w:before="60" w:after="60"/>
              <w:rPr>
                <w:rStyle w:val="DeltaViewInsertion"/>
                <w:i w:val="0"/>
                <w:sz w:val="20"/>
              </w:rPr>
            </w:pPr>
          </w:p>
        </w:tc>
        <w:tc>
          <w:tcPr>
            <w:tcW w:w="2661" w:type="dxa"/>
            <w:shd w:val="clear" w:color="auto" w:fill="FFFFFF"/>
          </w:tcPr>
          <w:p w:rsidR="000E1686" w:rsidRPr="00461715" w:rsidRDefault="000E1686" w:rsidP="00782417">
            <w:pPr>
              <w:spacing w:before="60" w:after="60"/>
              <w:rPr>
                <w:sz w:val="20"/>
              </w:rPr>
            </w:pPr>
            <w:r w:rsidRPr="00461715">
              <w:rPr>
                <w:b/>
                <w:i/>
                <w:sz w:val="20"/>
              </w:rPr>
              <w:t>De grenswaarde is van toepassing vanaf…</w:t>
            </w:r>
            <w:r w:rsidRPr="00461715">
              <w:t>[vier jaar na de datum van inwerkingtreding van deze wijzigingsrichtlijn]</w:t>
            </w:r>
            <w:r w:rsidRPr="00461715">
              <w:rPr>
                <w:b/>
                <w:i/>
                <w:sz w:val="20"/>
              </w:rPr>
              <w:t>. Voor ondergrondse mijnbouw en tunnelbouw is de grenswaarde van toepassing vanaf…</w:t>
            </w:r>
            <w:r w:rsidRPr="00461715">
              <w:t xml:space="preserve"> [zeven jaar na de datum van inwerkingtreding van deze wijzigingsrichtlijn]</w:t>
            </w:r>
            <w:r w:rsidRPr="00461715">
              <w:rPr>
                <w:b/>
                <w:i/>
                <w:sz w:val="20"/>
              </w:rPr>
              <w:t>.</w:t>
            </w:r>
          </w:p>
        </w:tc>
      </w:tr>
      <w:tr w:rsidR="000E1686" w:rsidRPr="00461715" w:rsidTr="000E1686">
        <w:trPr>
          <w:jc w:val="center"/>
        </w:trPr>
        <w:tc>
          <w:tcPr>
            <w:tcW w:w="2757" w:type="dxa"/>
            <w:shd w:val="clear" w:color="auto" w:fill="FFFFFF"/>
          </w:tcPr>
          <w:p w:rsidR="000E1686" w:rsidRPr="00461715" w:rsidRDefault="000E1686" w:rsidP="00782417">
            <w:pPr>
              <w:spacing w:before="60" w:after="60"/>
              <w:rPr>
                <w:b/>
                <w:bCs/>
                <w:i/>
                <w:iCs/>
                <w:szCs w:val="24"/>
              </w:rPr>
            </w:pPr>
            <w:r w:rsidRPr="00461715">
              <w:rPr>
                <w:b/>
                <w:bCs/>
                <w:i/>
                <w:iCs/>
                <w:sz w:val="20"/>
              </w:rPr>
              <w:t>Mengsels van polycyclische aromatische koolwaterstoffen, in het bijzonder die welke benzo[a]pyreen bevatten en kankerverwekkende stoffen zijn in de zin van deze richtlijn</w:t>
            </w:r>
          </w:p>
        </w:tc>
        <w:tc>
          <w:tcPr>
            <w:tcW w:w="1215" w:type="dxa"/>
            <w:shd w:val="clear" w:color="auto" w:fill="FFFFFF"/>
          </w:tcPr>
          <w:p w:rsidR="000E1686" w:rsidRPr="00461715" w:rsidRDefault="000E1686" w:rsidP="00782417">
            <w:pPr>
              <w:spacing w:before="60" w:after="60"/>
              <w:rPr>
                <w:b/>
                <w:bCs/>
                <w:i/>
                <w:iCs/>
                <w:sz w:val="20"/>
              </w:rPr>
            </w:pPr>
          </w:p>
        </w:tc>
        <w:tc>
          <w:tcPr>
            <w:tcW w:w="1215" w:type="dxa"/>
            <w:shd w:val="clear" w:color="auto" w:fill="FFFFFF"/>
          </w:tcPr>
          <w:p w:rsidR="000E1686" w:rsidRPr="00461715" w:rsidRDefault="000E1686" w:rsidP="00782417">
            <w:pPr>
              <w:pageBreakBefore/>
              <w:spacing w:before="60" w:after="60"/>
              <w:rPr>
                <w:b/>
                <w:bCs/>
                <w:i/>
                <w:iCs/>
                <w:sz w:val="20"/>
              </w:rPr>
            </w:pPr>
          </w:p>
        </w:tc>
        <w:tc>
          <w:tcPr>
            <w:tcW w:w="1041" w:type="dxa"/>
            <w:shd w:val="clear" w:color="auto" w:fill="FFFFFF"/>
          </w:tcPr>
          <w:p w:rsidR="000E1686" w:rsidRPr="00461715" w:rsidRDefault="000E1686" w:rsidP="00782417">
            <w:pPr>
              <w:spacing w:before="60" w:after="60"/>
              <w:rPr>
                <w:rStyle w:val="DeltaViewInsertion"/>
                <w:bCs/>
                <w:iCs/>
                <w:sz w:val="20"/>
              </w:rPr>
            </w:pPr>
          </w:p>
        </w:tc>
        <w:tc>
          <w:tcPr>
            <w:tcW w:w="1001" w:type="dxa"/>
            <w:shd w:val="clear" w:color="auto" w:fill="FFFFFF"/>
          </w:tcPr>
          <w:p w:rsidR="000E1686" w:rsidRPr="00461715" w:rsidRDefault="000E1686" w:rsidP="00782417">
            <w:pPr>
              <w:spacing w:before="60" w:after="60"/>
              <w:rPr>
                <w:b/>
                <w:bCs/>
                <w:i/>
                <w:iCs/>
                <w:sz w:val="20"/>
              </w:rPr>
            </w:pPr>
          </w:p>
        </w:tc>
        <w:tc>
          <w:tcPr>
            <w:tcW w:w="859" w:type="dxa"/>
            <w:shd w:val="clear" w:color="auto" w:fill="FFFFFF"/>
          </w:tcPr>
          <w:p w:rsidR="000E1686" w:rsidRPr="00461715" w:rsidRDefault="000E1686" w:rsidP="00782417">
            <w:pPr>
              <w:spacing w:before="60" w:after="60"/>
              <w:rPr>
                <w:b/>
                <w:bCs/>
                <w:i/>
                <w:iCs/>
                <w:sz w:val="20"/>
              </w:rPr>
            </w:pPr>
          </w:p>
        </w:tc>
        <w:tc>
          <w:tcPr>
            <w:tcW w:w="987" w:type="dxa"/>
            <w:shd w:val="clear" w:color="auto" w:fill="FFFFFF"/>
          </w:tcPr>
          <w:p w:rsidR="000E1686" w:rsidRPr="00461715" w:rsidRDefault="000E1686" w:rsidP="00782417">
            <w:pPr>
              <w:spacing w:before="60" w:after="60"/>
              <w:rPr>
                <w:b/>
                <w:bCs/>
                <w:i/>
                <w:iCs/>
                <w:sz w:val="20"/>
              </w:rPr>
            </w:pPr>
          </w:p>
        </w:tc>
        <w:tc>
          <w:tcPr>
            <w:tcW w:w="850" w:type="dxa"/>
            <w:shd w:val="clear" w:color="auto" w:fill="FFFFFF"/>
          </w:tcPr>
          <w:p w:rsidR="000E1686" w:rsidRPr="00461715" w:rsidRDefault="000E1686" w:rsidP="00782417">
            <w:pPr>
              <w:spacing w:before="60" w:after="60"/>
              <w:rPr>
                <w:b/>
                <w:bCs/>
                <w:i/>
                <w:iCs/>
                <w:sz w:val="20"/>
              </w:rPr>
            </w:pPr>
          </w:p>
        </w:tc>
        <w:tc>
          <w:tcPr>
            <w:tcW w:w="851" w:type="dxa"/>
            <w:shd w:val="clear" w:color="auto" w:fill="FFFFFF"/>
          </w:tcPr>
          <w:p w:rsidR="000E1686" w:rsidRPr="00461715" w:rsidRDefault="000E1686" w:rsidP="00782417">
            <w:pPr>
              <w:spacing w:before="60" w:after="60"/>
              <w:rPr>
                <w:b/>
                <w:bCs/>
                <w:i/>
                <w:iCs/>
                <w:sz w:val="20"/>
              </w:rPr>
            </w:pPr>
          </w:p>
        </w:tc>
        <w:tc>
          <w:tcPr>
            <w:tcW w:w="1422" w:type="dxa"/>
            <w:shd w:val="clear" w:color="auto" w:fill="FFFFFF"/>
          </w:tcPr>
          <w:p w:rsidR="000E1686" w:rsidRPr="00461715" w:rsidRDefault="000E1686" w:rsidP="00782417">
            <w:pPr>
              <w:spacing w:before="60" w:after="60"/>
              <w:rPr>
                <w:rStyle w:val="DeltaViewInsertion"/>
                <w:bCs/>
                <w:i w:val="0"/>
                <w:sz w:val="20"/>
              </w:rPr>
            </w:pPr>
            <w:r w:rsidRPr="00461715">
              <w:rPr>
                <w:b/>
                <w:i/>
                <w:sz w:val="20"/>
              </w:rPr>
              <w:t>huid</w:t>
            </w:r>
            <w:r w:rsidRPr="00461715">
              <w:rPr>
                <w:sz w:val="20"/>
              </w:rPr>
              <w:t>(</w:t>
            </w:r>
            <w:r w:rsidRPr="00461715">
              <w:rPr>
                <w:rStyle w:val="FootnoteReference"/>
                <w:bCs/>
                <w:iCs/>
                <w:sz w:val="20"/>
              </w:rPr>
              <w:t>10</w:t>
            </w:r>
            <w:r w:rsidRPr="00461715">
              <w:rPr>
                <w:sz w:val="20"/>
              </w:rPr>
              <w:t>)</w:t>
            </w:r>
          </w:p>
        </w:tc>
        <w:tc>
          <w:tcPr>
            <w:tcW w:w="2661" w:type="dxa"/>
            <w:shd w:val="clear" w:color="auto" w:fill="FFFFFF"/>
          </w:tcPr>
          <w:p w:rsidR="000E1686" w:rsidRPr="00461715" w:rsidRDefault="000E1686" w:rsidP="00782417">
            <w:pPr>
              <w:spacing w:before="60" w:after="60"/>
              <w:rPr>
                <w:rStyle w:val="DeltaViewInsertion"/>
                <w:bCs/>
                <w:iCs/>
                <w:sz w:val="20"/>
              </w:rPr>
            </w:pPr>
          </w:p>
        </w:tc>
      </w:tr>
      <w:tr w:rsidR="000E1686" w:rsidRPr="00461715" w:rsidTr="000E1686">
        <w:trPr>
          <w:jc w:val="center"/>
        </w:trPr>
        <w:tc>
          <w:tcPr>
            <w:tcW w:w="2757" w:type="dxa"/>
            <w:shd w:val="clear" w:color="auto" w:fill="FFFFFF"/>
          </w:tcPr>
          <w:p w:rsidR="000E1686" w:rsidRPr="00461715" w:rsidRDefault="000E1686" w:rsidP="00782417">
            <w:pPr>
              <w:pageBreakBefore/>
              <w:spacing w:before="60" w:after="60"/>
              <w:rPr>
                <w:b/>
                <w:bCs/>
                <w:i/>
                <w:iCs/>
                <w:szCs w:val="24"/>
              </w:rPr>
            </w:pPr>
            <w:r w:rsidRPr="00461715">
              <w:rPr>
                <w:b/>
                <w:i/>
                <w:sz w:val="20"/>
              </w:rPr>
              <w:t>Minerale oliën die eerder in interne verbrandingsmotoren zijn gebruikt om de bewegende delen in de motor te smeren en af te koelen</w:t>
            </w:r>
          </w:p>
        </w:tc>
        <w:tc>
          <w:tcPr>
            <w:tcW w:w="1215" w:type="dxa"/>
            <w:shd w:val="clear" w:color="auto" w:fill="FFFFFF"/>
          </w:tcPr>
          <w:p w:rsidR="000E1686" w:rsidRPr="00461715" w:rsidRDefault="000E1686" w:rsidP="00782417">
            <w:pPr>
              <w:spacing w:before="60" w:after="60"/>
              <w:rPr>
                <w:b/>
                <w:bCs/>
                <w:i/>
                <w:iCs/>
                <w:sz w:val="20"/>
              </w:rPr>
            </w:pPr>
          </w:p>
        </w:tc>
        <w:tc>
          <w:tcPr>
            <w:tcW w:w="1215" w:type="dxa"/>
            <w:shd w:val="clear" w:color="auto" w:fill="FFFFFF"/>
          </w:tcPr>
          <w:p w:rsidR="000E1686" w:rsidRPr="00461715" w:rsidRDefault="000E1686" w:rsidP="00782417">
            <w:pPr>
              <w:pageBreakBefore/>
              <w:spacing w:before="60" w:after="60"/>
              <w:rPr>
                <w:b/>
                <w:bCs/>
                <w:i/>
                <w:iCs/>
                <w:sz w:val="20"/>
              </w:rPr>
            </w:pPr>
          </w:p>
        </w:tc>
        <w:tc>
          <w:tcPr>
            <w:tcW w:w="1041" w:type="dxa"/>
            <w:shd w:val="clear" w:color="auto" w:fill="FFFFFF"/>
          </w:tcPr>
          <w:p w:rsidR="000E1686" w:rsidRPr="00461715" w:rsidRDefault="000E1686" w:rsidP="00782417">
            <w:pPr>
              <w:spacing w:before="60" w:after="60"/>
              <w:rPr>
                <w:rStyle w:val="DeltaViewInsertion"/>
                <w:bCs/>
                <w:iCs/>
                <w:sz w:val="20"/>
              </w:rPr>
            </w:pPr>
          </w:p>
        </w:tc>
        <w:tc>
          <w:tcPr>
            <w:tcW w:w="1001" w:type="dxa"/>
            <w:shd w:val="clear" w:color="auto" w:fill="FFFFFF"/>
          </w:tcPr>
          <w:p w:rsidR="000E1686" w:rsidRPr="00461715" w:rsidRDefault="000E1686" w:rsidP="00782417">
            <w:pPr>
              <w:spacing w:before="60" w:after="60"/>
              <w:rPr>
                <w:b/>
                <w:bCs/>
                <w:i/>
                <w:iCs/>
                <w:sz w:val="20"/>
              </w:rPr>
            </w:pPr>
          </w:p>
        </w:tc>
        <w:tc>
          <w:tcPr>
            <w:tcW w:w="859" w:type="dxa"/>
            <w:shd w:val="clear" w:color="auto" w:fill="FFFFFF"/>
          </w:tcPr>
          <w:p w:rsidR="000E1686" w:rsidRPr="00461715" w:rsidRDefault="000E1686" w:rsidP="00782417">
            <w:pPr>
              <w:spacing w:before="60" w:after="60"/>
              <w:rPr>
                <w:b/>
                <w:bCs/>
                <w:i/>
                <w:iCs/>
                <w:sz w:val="20"/>
              </w:rPr>
            </w:pPr>
          </w:p>
        </w:tc>
        <w:tc>
          <w:tcPr>
            <w:tcW w:w="987" w:type="dxa"/>
            <w:shd w:val="clear" w:color="auto" w:fill="FFFFFF"/>
          </w:tcPr>
          <w:p w:rsidR="000E1686" w:rsidRPr="00461715" w:rsidRDefault="000E1686" w:rsidP="00782417">
            <w:pPr>
              <w:spacing w:before="60" w:after="60"/>
              <w:rPr>
                <w:b/>
                <w:bCs/>
                <w:i/>
                <w:iCs/>
                <w:sz w:val="20"/>
              </w:rPr>
            </w:pPr>
          </w:p>
        </w:tc>
        <w:tc>
          <w:tcPr>
            <w:tcW w:w="850" w:type="dxa"/>
            <w:shd w:val="clear" w:color="auto" w:fill="FFFFFF"/>
          </w:tcPr>
          <w:p w:rsidR="000E1686" w:rsidRPr="00461715" w:rsidRDefault="000E1686" w:rsidP="00782417">
            <w:pPr>
              <w:spacing w:before="60" w:after="60"/>
              <w:rPr>
                <w:b/>
                <w:bCs/>
                <w:i/>
                <w:iCs/>
                <w:sz w:val="20"/>
              </w:rPr>
            </w:pPr>
          </w:p>
        </w:tc>
        <w:tc>
          <w:tcPr>
            <w:tcW w:w="851" w:type="dxa"/>
            <w:shd w:val="clear" w:color="auto" w:fill="FFFFFF"/>
          </w:tcPr>
          <w:p w:rsidR="000E1686" w:rsidRPr="00461715" w:rsidRDefault="000E1686" w:rsidP="00782417">
            <w:pPr>
              <w:spacing w:before="60" w:after="60"/>
              <w:rPr>
                <w:b/>
                <w:bCs/>
                <w:i/>
                <w:iCs/>
                <w:sz w:val="20"/>
              </w:rPr>
            </w:pPr>
          </w:p>
        </w:tc>
        <w:tc>
          <w:tcPr>
            <w:tcW w:w="1422" w:type="dxa"/>
            <w:shd w:val="clear" w:color="auto" w:fill="FFFFFF"/>
          </w:tcPr>
          <w:p w:rsidR="000E1686" w:rsidRPr="00461715" w:rsidRDefault="000E1686" w:rsidP="00782417">
            <w:pPr>
              <w:spacing w:before="60" w:after="60"/>
              <w:rPr>
                <w:rStyle w:val="DeltaViewInsertion"/>
                <w:bCs/>
                <w:i w:val="0"/>
                <w:sz w:val="20"/>
              </w:rPr>
            </w:pPr>
            <w:r w:rsidRPr="00461715">
              <w:rPr>
                <w:b/>
                <w:i/>
                <w:sz w:val="20"/>
              </w:rPr>
              <w:t>huid</w:t>
            </w:r>
            <w:r w:rsidRPr="00461715">
              <w:rPr>
                <w:sz w:val="20"/>
              </w:rPr>
              <w:t>(</w:t>
            </w:r>
            <w:r w:rsidRPr="00461715">
              <w:rPr>
                <w:rStyle w:val="FootnoteReference"/>
                <w:bCs/>
                <w:iCs/>
                <w:sz w:val="20"/>
              </w:rPr>
              <w:t>10</w:t>
            </w:r>
            <w:r w:rsidRPr="00461715">
              <w:rPr>
                <w:sz w:val="20"/>
              </w:rPr>
              <w:t>)</w:t>
            </w:r>
          </w:p>
        </w:tc>
        <w:tc>
          <w:tcPr>
            <w:tcW w:w="2661" w:type="dxa"/>
            <w:shd w:val="clear" w:color="auto" w:fill="FFFFFF"/>
          </w:tcPr>
          <w:p w:rsidR="000E1686" w:rsidRPr="00461715" w:rsidRDefault="000E1686" w:rsidP="00782417">
            <w:pPr>
              <w:spacing w:before="60" w:after="60"/>
              <w:rPr>
                <w:rStyle w:val="DeltaViewInsertion"/>
                <w:bCs/>
                <w:iCs/>
                <w:sz w:val="20"/>
              </w:rPr>
            </w:pPr>
          </w:p>
        </w:tc>
      </w:tr>
    </w:tbl>
    <w:p w:rsidR="000E1686" w:rsidRPr="00461715" w:rsidRDefault="000E1686" w:rsidP="000E1686">
      <w:pPr>
        <w:rPr>
          <w:szCs w:val="24"/>
        </w:rPr>
      </w:pPr>
      <w:r w:rsidRPr="00461715">
        <w:rPr>
          <w:b/>
          <w:i/>
        </w:rPr>
        <w:t>_____________</w:t>
      </w:r>
    </w:p>
    <w:p w:rsidR="000E1686" w:rsidRPr="00461715" w:rsidRDefault="000E1686" w:rsidP="000E1686">
      <w:pPr>
        <w:pStyle w:val="FootnoteText"/>
      </w:pPr>
      <w:r w:rsidRPr="00461715">
        <w:t>(</w:t>
      </w:r>
      <w:r w:rsidRPr="00461715">
        <w:rPr>
          <w:b/>
          <w:bCs/>
          <w:vertAlign w:val="superscript"/>
        </w:rPr>
        <w:t>1</w:t>
      </w:r>
      <w:r w:rsidRPr="00461715">
        <w:t>)</w:t>
      </w:r>
      <w:r w:rsidRPr="00461715">
        <w:tab/>
        <w:t>Het EG-nummer (d.w.z. het Einecs-, Elincs- of NLP-nummer) is het officiële nummer van de stof in de Europese Unie, als gedefinieerd in punt 1.1.1.2 van deel 1 van bijlage VI bij Verordening (EG) nr. 1272/2008.</w:t>
      </w:r>
    </w:p>
    <w:p w:rsidR="000E1686" w:rsidRPr="00461715" w:rsidRDefault="000E1686" w:rsidP="000E1686">
      <w:pPr>
        <w:pStyle w:val="FootnoteText"/>
      </w:pPr>
      <w:r w:rsidRPr="00461715">
        <w:t>(</w:t>
      </w:r>
      <w:r w:rsidRPr="00461715">
        <w:rPr>
          <w:b/>
          <w:bCs/>
          <w:vertAlign w:val="superscript"/>
        </w:rPr>
        <w:t>2</w:t>
      </w:r>
      <w:r w:rsidRPr="00461715">
        <w:t>)</w:t>
      </w:r>
      <w:r w:rsidRPr="00461715">
        <w:tab/>
        <w:t>Het CAS-nummer is het registratienummer van de Chemical Abstract Service.</w:t>
      </w:r>
    </w:p>
    <w:p w:rsidR="000E1686" w:rsidRPr="00461715" w:rsidRDefault="000E1686" w:rsidP="000E1686">
      <w:pPr>
        <w:pStyle w:val="FootnoteText"/>
      </w:pPr>
      <w:r w:rsidRPr="00461715">
        <w:t>(</w:t>
      </w:r>
      <w:r w:rsidRPr="00461715">
        <w:rPr>
          <w:b/>
          <w:bCs/>
          <w:vertAlign w:val="superscript"/>
        </w:rPr>
        <w:t>3</w:t>
      </w:r>
      <w:r w:rsidRPr="00461715">
        <w:t>)</w:t>
      </w:r>
      <w:r w:rsidRPr="00461715">
        <w:tab/>
        <w:t>Gemeten of berekend in verhouding tot een referentieperiode van acht uur als tijdgewogen gemiddelde.</w:t>
      </w:r>
    </w:p>
    <w:p w:rsidR="000E1686" w:rsidRPr="00461715" w:rsidRDefault="000E1686" w:rsidP="000E1686">
      <w:pPr>
        <w:pStyle w:val="FootnoteText"/>
      </w:pPr>
      <w:r w:rsidRPr="00461715">
        <w:t>(</w:t>
      </w:r>
      <w:r w:rsidRPr="00461715">
        <w:rPr>
          <w:b/>
          <w:bCs/>
          <w:vertAlign w:val="superscript"/>
        </w:rPr>
        <w:t>4</w:t>
      </w:r>
      <w:r w:rsidRPr="00461715">
        <w:t>)</w:t>
      </w:r>
      <w:r w:rsidRPr="00461715">
        <w:tab/>
        <w:t>Grenswaarde voor kortstondige blootstelling. Grenswaarde die niet mag worden overschreden en die geldt, tenzij anders vermeld, voor een periode van 15 minuten.</w:t>
      </w:r>
    </w:p>
    <w:p w:rsidR="000E1686" w:rsidRPr="00461715" w:rsidRDefault="000E1686" w:rsidP="000E1686">
      <w:pPr>
        <w:pStyle w:val="FootnoteText"/>
      </w:pPr>
      <w:r w:rsidRPr="00461715">
        <w:t>(</w:t>
      </w:r>
      <w:r w:rsidRPr="00461715">
        <w:rPr>
          <w:b/>
          <w:bCs/>
          <w:vertAlign w:val="superscript"/>
        </w:rPr>
        <w:t>5</w:t>
      </w:r>
      <w:r w:rsidRPr="00461715">
        <w:t>)</w:t>
      </w:r>
      <w:r w:rsidRPr="00461715">
        <w:tab/>
        <w:t>mg/m</w:t>
      </w:r>
      <w:r w:rsidRPr="00461715">
        <w:rPr>
          <w:vertAlign w:val="superscript"/>
        </w:rPr>
        <w:t>3</w:t>
      </w:r>
      <w:r w:rsidRPr="00461715">
        <w:t xml:space="preserve"> = milligram per kubieke meter lucht bij 20 °C en 101,3 kPa (760 mm kwikdruk).</w:t>
      </w:r>
    </w:p>
    <w:p w:rsidR="000E1686" w:rsidRPr="00461715" w:rsidRDefault="000E1686" w:rsidP="000E1686">
      <w:pPr>
        <w:pStyle w:val="FootnoteText"/>
      </w:pPr>
      <w:r w:rsidRPr="00461715">
        <w:t>(</w:t>
      </w:r>
      <w:r w:rsidRPr="00461715">
        <w:rPr>
          <w:b/>
          <w:bCs/>
          <w:vertAlign w:val="superscript"/>
        </w:rPr>
        <w:t>6</w:t>
      </w:r>
      <w:r w:rsidRPr="00461715">
        <w:t>)</w:t>
      </w:r>
      <w:r w:rsidRPr="00461715">
        <w:tab/>
        <w:t>ppm = aantal deeltjes per miljoen naar volume in de lucht (ml/m</w:t>
      </w:r>
      <w:r w:rsidRPr="00461715">
        <w:rPr>
          <w:vertAlign w:val="superscript"/>
        </w:rPr>
        <w:t>3</w:t>
      </w:r>
      <w:r w:rsidRPr="00461715">
        <w:t>).</w:t>
      </w:r>
    </w:p>
    <w:p w:rsidR="000E1686" w:rsidRPr="00461715" w:rsidRDefault="000E1686" w:rsidP="000E1686">
      <w:pPr>
        <w:pStyle w:val="FootnoteText"/>
      </w:pPr>
      <w:r w:rsidRPr="00461715">
        <w:t>(</w:t>
      </w:r>
      <w:r w:rsidRPr="00461715">
        <w:rPr>
          <w:b/>
          <w:bCs/>
          <w:vertAlign w:val="superscript"/>
        </w:rPr>
        <w:t>7</w:t>
      </w:r>
      <w:r w:rsidRPr="00461715">
        <w:t>)</w:t>
      </w:r>
      <w:r w:rsidRPr="00461715">
        <w:tab/>
        <w:t>f/ml = vezels per milliliter.</w:t>
      </w:r>
    </w:p>
    <w:p w:rsidR="000E1686" w:rsidRPr="00461715" w:rsidRDefault="000E1686" w:rsidP="000E1686">
      <w:pPr>
        <w:pStyle w:val="FootnoteText"/>
      </w:pPr>
      <w:r w:rsidRPr="00461715">
        <w:t>(</w:t>
      </w:r>
      <w:r w:rsidRPr="00461715">
        <w:rPr>
          <w:vertAlign w:val="superscript"/>
        </w:rPr>
        <w:t>8</w:t>
      </w:r>
      <w:r w:rsidRPr="00461715">
        <w:t>)</w:t>
      </w:r>
      <w:r w:rsidRPr="00461715">
        <w:tab/>
        <w:t>Inhaleerbare fractie: indien stof van hardhout wordt gemengd met stof van ander hout, is de grenswaarde van toepassing op stof van alle soorten hout in dat mengsel.</w:t>
      </w:r>
    </w:p>
    <w:p w:rsidR="000E1686" w:rsidRPr="00461715" w:rsidRDefault="000E1686" w:rsidP="000E1686">
      <w:pPr>
        <w:pStyle w:val="FootnoteText"/>
        <w:rPr>
          <w:szCs w:val="24"/>
        </w:rPr>
      </w:pPr>
      <w:r w:rsidRPr="00461715">
        <w:t>(</w:t>
      </w:r>
      <w:r w:rsidRPr="00461715">
        <w:rPr>
          <w:vertAlign w:val="superscript"/>
        </w:rPr>
        <w:t>9</w:t>
      </w:r>
      <w:r w:rsidRPr="00461715">
        <w:t>)</w:t>
      </w:r>
      <w:r w:rsidRPr="00461715">
        <w:tab/>
        <w:t>Respirabele fractie.</w:t>
      </w:r>
    </w:p>
    <w:p w:rsidR="000E1686" w:rsidRPr="00461715" w:rsidRDefault="000E1686" w:rsidP="000E1686">
      <w:pPr>
        <w:pStyle w:val="FootnoteText"/>
      </w:pPr>
      <w:r w:rsidRPr="00461715">
        <w:t>(</w:t>
      </w:r>
      <w:r w:rsidRPr="00461715">
        <w:rPr>
          <w:vertAlign w:val="superscript"/>
        </w:rPr>
        <w:t>10</w:t>
      </w:r>
      <w:r w:rsidRPr="00461715">
        <w:t>)</w:t>
      </w:r>
      <w:r w:rsidRPr="00461715">
        <w:tab/>
        <w:t>Dermale blootstelling kan aanzienlijk bijdragen tot de totale belasting van het lichaam.</w:t>
      </w:r>
    </w:p>
    <w:p w:rsidR="000E1686" w:rsidRPr="00461715" w:rsidRDefault="000E1686" w:rsidP="000E1686">
      <w:pPr>
        <w:rPr>
          <w:b/>
          <w:i/>
        </w:rPr>
      </w:pPr>
      <w:r w:rsidRPr="00461715">
        <w:rPr>
          <w:b/>
          <w:i/>
        </w:rPr>
        <w:t>* Gemeten als elementair koolstof.</w:t>
      </w:r>
    </w:p>
    <w:p w:rsidR="000E1686" w:rsidRPr="00461715" w:rsidRDefault="000E1686" w:rsidP="000E1686">
      <w:pPr>
        <w:rPr>
          <w:bCs/>
          <w:iCs/>
        </w:rPr>
      </w:pPr>
      <w:r w:rsidRPr="00461715">
        <w:rPr>
          <w:b/>
          <w:i/>
        </w:rPr>
        <w:br w:type="page"/>
      </w:r>
      <w:r w:rsidRPr="00461715">
        <w:rPr>
          <w:bCs/>
          <w:iCs/>
        </w:rPr>
        <w:t>B.</w:t>
      </w:r>
      <w:r w:rsidRPr="00461715">
        <w:rPr>
          <w:bCs/>
          <w:iCs/>
        </w:rPr>
        <w:tab/>
        <w:t>ANDERE DAARMEE RECHTSTREEKS VERBAND HOUDENDE BEPALINGEN</w:t>
      </w:r>
    </w:p>
    <w:p w:rsidR="000E1686" w:rsidRPr="00461715" w:rsidRDefault="000E1686" w:rsidP="000E1686">
      <w:pPr>
        <w:rPr>
          <w:bCs/>
          <w:iCs/>
          <w:szCs w:val="24"/>
        </w:rPr>
      </w:pPr>
      <w:r w:rsidRPr="00461715">
        <w:rPr>
          <w:bCs/>
          <w:iCs/>
        </w:rPr>
        <w:t>P.m.".</w:t>
      </w:r>
    </w:p>
    <w:p w:rsidR="0004541F" w:rsidRDefault="000E1686" w:rsidP="008500FA">
      <w:r w:rsidRPr="00461715">
        <w:t>▌</w:t>
      </w:r>
    </w:p>
    <w:p w:rsidR="008500FA" w:rsidRDefault="008500FA" w:rsidP="008500FA">
      <w:pPr>
        <w:rPr>
          <w:rFonts w:cs="Arial"/>
        </w:rPr>
      </w:pPr>
    </w:p>
    <w:p w:rsidR="008500FA" w:rsidRPr="00F03595" w:rsidRDefault="008500FA" w:rsidP="008500FA">
      <w:pPr>
        <w:rPr>
          <w:rFonts w:cs="Arial"/>
          <w:lang w:val="en-GB"/>
        </w:rPr>
      </w:pPr>
    </w:p>
    <w:p w:rsidR="00F03595" w:rsidRDefault="00F03595" w:rsidP="00F03595">
      <w:pPr>
        <w:ind w:left="-284"/>
        <w:jc w:val="right"/>
        <w:rPr>
          <w:rStyle w:val="HideTWBExt"/>
        </w:rPr>
      </w:pPr>
      <w:r w:rsidRPr="00F03595">
        <w:rPr>
          <w:rStyle w:val="HideTWBExt"/>
          <w:lang w:val="en-GB"/>
        </w:rPr>
        <w:t>&lt;Original&gt;</w:t>
      </w:r>
      <w:r>
        <w:rPr>
          <w:noProof/>
          <w:szCs w:val="24"/>
          <w:lang w:val="en-GB"/>
        </w:rPr>
        <w:t>{EN}en</w:t>
      </w:r>
      <w:r w:rsidRPr="00F03595">
        <w:rPr>
          <w:rStyle w:val="HideTWBExt"/>
        </w:rPr>
        <w:t>&lt;/Original&gt;</w:t>
      </w:r>
    </w:p>
    <w:p w:rsidR="00F03595" w:rsidRDefault="00F03595" w:rsidP="00F03595">
      <w:pPr>
        <w:ind w:left="-284"/>
        <w:jc w:val="right"/>
        <w:rPr>
          <w:szCs w:val="24"/>
          <w:lang w:val="fr-FR"/>
        </w:rPr>
      </w:pPr>
      <w:r w:rsidRPr="00F03595">
        <w:rPr>
          <w:rStyle w:val="HideTWBExt"/>
          <w:lang w:val="en-GB"/>
        </w:rPr>
        <w:t>&lt;/Amend&gt;</w:t>
      </w:r>
    </w:p>
    <w:p w:rsidR="008500FA" w:rsidRPr="00461715" w:rsidRDefault="008500FA" w:rsidP="008500FA"/>
    <w:sectPr w:rsidR="008500FA" w:rsidRPr="00461715" w:rsidSect="000E1686">
      <w:footnotePr>
        <w:numRestart w:val="eachPage"/>
      </w:footnotePr>
      <w:type w:val="continuous"/>
      <w:pgSz w:w="16840" w:h="11907" w:orient="landscape" w:code="9"/>
      <w:pgMar w:top="1134" w:right="1134" w:bottom="1134" w:left="1134"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42F" w:rsidRPr="00461715" w:rsidRDefault="00EA742F">
      <w:r w:rsidRPr="00461715">
        <w:separator/>
      </w:r>
    </w:p>
  </w:endnote>
  <w:endnote w:type="continuationSeparator" w:id="0">
    <w:p w:rsidR="00EA742F" w:rsidRPr="00461715" w:rsidRDefault="00EA742F">
      <w:r w:rsidRPr="0046171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FA" w:rsidRDefault="008500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15" w:rsidRPr="00461715" w:rsidRDefault="00461715" w:rsidP="00461715">
    <w:pPr>
      <w:pStyle w:val="Footer"/>
    </w:pPr>
    <w:r w:rsidRPr="008500FA">
      <w:rPr>
        <w:rStyle w:val="HideTWBExt"/>
      </w:rPr>
      <w:t>&lt;PathFdR&gt;</w:t>
    </w:r>
    <w:r w:rsidRPr="00461715">
      <w:t>AM\1171551NL.docx</w:t>
    </w:r>
    <w:r w:rsidRPr="008500FA">
      <w:rPr>
        <w:rStyle w:val="HideTWBExt"/>
      </w:rPr>
      <w:t>&lt;/PathFdR&gt;</w:t>
    </w:r>
    <w:r w:rsidRPr="00461715">
      <w:tab/>
    </w:r>
    <w:r w:rsidRPr="00461715">
      <w:fldChar w:fldCharType="begin"/>
    </w:r>
    <w:r w:rsidRPr="00461715">
      <w:instrText xml:space="preserve"> PAGE  \* MERGEFORMAT </w:instrText>
    </w:r>
    <w:r w:rsidRPr="00461715">
      <w:fldChar w:fldCharType="separate"/>
    </w:r>
    <w:r w:rsidR="00F03595">
      <w:rPr>
        <w:noProof/>
      </w:rPr>
      <w:t>1</w:t>
    </w:r>
    <w:r w:rsidRPr="00461715">
      <w:fldChar w:fldCharType="end"/>
    </w:r>
    <w:r w:rsidRPr="00461715">
      <w:t>/</w:t>
    </w:r>
    <w:fldSimple w:instr=" NUMPAGES  \* MERGEFORMAT ">
      <w:r w:rsidR="00F03595">
        <w:rPr>
          <w:noProof/>
        </w:rPr>
        <w:t>28</w:t>
      </w:r>
    </w:fldSimple>
    <w:r w:rsidRPr="00461715">
      <w:tab/>
      <w:t>PE</w:t>
    </w:r>
    <w:r w:rsidRPr="008500FA">
      <w:rPr>
        <w:rStyle w:val="HideTWBExt"/>
      </w:rPr>
      <w:t>&lt;NoPE&gt;</w:t>
    </w:r>
    <w:r w:rsidRPr="00461715">
      <w:t>631.550</w:t>
    </w:r>
    <w:r w:rsidRPr="008500FA">
      <w:rPr>
        <w:rStyle w:val="HideTWBExt"/>
      </w:rPr>
      <w:t>&lt;/NoPE&gt;</w:t>
    </w:r>
  </w:p>
  <w:p w:rsidR="009D63BE" w:rsidRPr="00461715" w:rsidRDefault="00461715" w:rsidP="00461715">
    <w:pPr>
      <w:pStyle w:val="Footer2"/>
      <w:tabs>
        <w:tab w:val="center" w:pos="4535"/>
        <w:tab w:val="right" w:pos="9921"/>
      </w:tabs>
    </w:pPr>
    <w:r w:rsidRPr="00461715">
      <w:t>NL</w:t>
    </w:r>
    <w:r w:rsidRPr="00461715">
      <w:tab/>
    </w:r>
    <w:r w:rsidRPr="00461715">
      <w:rPr>
        <w:b w:val="0"/>
        <w:i/>
        <w:color w:val="C0C0C0"/>
        <w:sz w:val="22"/>
      </w:rPr>
      <w:t>In verscheidenheid verenigd</w:t>
    </w:r>
    <w:r w:rsidRPr="00461715">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FA" w:rsidRDefault="00850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42F" w:rsidRPr="00461715" w:rsidRDefault="00EA742F">
      <w:r w:rsidRPr="00461715">
        <w:separator/>
      </w:r>
    </w:p>
  </w:footnote>
  <w:footnote w:type="continuationSeparator" w:id="0">
    <w:p w:rsidR="00EA742F" w:rsidRPr="00461715" w:rsidRDefault="00EA742F">
      <w:r w:rsidRPr="00461715">
        <w:continuationSeparator/>
      </w:r>
    </w:p>
  </w:footnote>
  <w:footnote w:id="1">
    <w:p w:rsidR="00E50BFC" w:rsidRPr="00461715" w:rsidRDefault="00E50BFC" w:rsidP="00E50BFC">
      <w:pPr>
        <w:pStyle w:val="FootnoteText"/>
      </w:pPr>
      <w:r w:rsidRPr="00461715">
        <w:rPr>
          <w:rStyle w:val="FootnoteReference"/>
        </w:rPr>
        <w:t>*</w:t>
      </w:r>
      <w:r w:rsidRPr="00461715">
        <w:t xml:space="preserve"> </w:t>
      </w:r>
      <w:r w:rsidR="000E1686" w:rsidRPr="00461715">
        <w:rPr>
          <w:szCs w:val="24"/>
        </w:rPr>
        <w:t>Amendementen: nieuwe of vervangende tekst staat in vet en cursief, schrappingen zijn met het symbool ▐ aangegeven.</w:t>
      </w:r>
    </w:p>
  </w:footnote>
  <w:footnote w:id="2">
    <w:p w:rsidR="00E50BFC" w:rsidRPr="00461715" w:rsidRDefault="00E50BFC" w:rsidP="00E50BFC">
      <w:pPr>
        <w:pStyle w:val="FootnoteText"/>
        <w:ind w:left="567" w:hanging="567"/>
      </w:pPr>
      <w:r w:rsidRPr="00461715">
        <w:rPr>
          <w:rStyle w:val="FootnoteReference"/>
        </w:rPr>
        <w:footnoteRef/>
      </w:r>
      <w:r w:rsidRPr="00461715">
        <w:tab/>
        <w:t>PB C 288 van 31.8.2017, blz. 56.</w:t>
      </w:r>
    </w:p>
  </w:footnote>
  <w:footnote w:id="3">
    <w:p w:rsidR="00E50BFC" w:rsidRPr="00461715" w:rsidRDefault="00E50BFC" w:rsidP="00E50BFC">
      <w:pPr>
        <w:pStyle w:val="FootnoteText"/>
        <w:ind w:left="567" w:hanging="567"/>
      </w:pPr>
      <w:r w:rsidRPr="00461715">
        <w:rPr>
          <w:rStyle w:val="FootnoteReference"/>
        </w:rPr>
        <w:footnoteRef/>
      </w:r>
      <w:r w:rsidRPr="00461715">
        <w:tab/>
        <w:t>Standpunt van het Europees Parlement van … (nog niet bekendgemaakt in het Publicatieblad) en besluit van de Raad van …</w:t>
      </w:r>
    </w:p>
  </w:footnote>
  <w:footnote w:id="4">
    <w:p w:rsidR="00E50BFC" w:rsidRPr="00461715" w:rsidRDefault="00E50BFC" w:rsidP="00E50BFC">
      <w:pPr>
        <w:pStyle w:val="FootnoteText"/>
      </w:pPr>
      <w:r w:rsidRPr="00461715">
        <w:rPr>
          <w:rStyle w:val="FootnoteReference"/>
        </w:rPr>
        <w:footnoteRef/>
      </w:r>
      <w:r w:rsidRPr="00461715">
        <w:tab/>
      </w:r>
      <w:r w:rsidRPr="00461715">
        <w:rPr>
          <w:szCs w:val="24"/>
        </w:rPr>
        <w:t>Richtlijn 2004/37/EG van het Europees Parlement en de Raad van 29 april 2004 betreffende de bescherming van de werknemers tegen de risico's van blootstelling aan carcinogene of mutagene agentia op het werk (zesde bijzondere richtlijn in de zin van artikel 16, lid 1, van Richtlijn 89/391/EEG van de Raad) (PB L 158 van 30.4.2004, blz. 50).</w:t>
      </w:r>
    </w:p>
  </w:footnote>
  <w:footnote w:id="5">
    <w:p w:rsidR="00E50BFC" w:rsidRPr="00461715" w:rsidRDefault="00E50BFC" w:rsidP="00E50BFC">
      <w:pPr>
        <w:pStyle w:val="FootnoteText"/>
      </w:pPr>
      <w:r w:rsidRPr="00461715">
        <w:rPr>
          <w:rStyle w:val="FootnoteReference"/>
        </w:rPr>
        <w:footnoteRef/>
      </w:r>
      <w:r w:rsidRPr="00461715">
        <w:t xml:space="preserve"> </w:t>
      </w:r>
      <w:r w:rsidRPr="00461715">
        <w:tab/>
        <w:t>Richtlijn 98/24/EG van de Raad van 7 april 1998 betreffende de bescherming van de gezondheid en de veiligheid van werknemers tegen risico’s van chemische agentia op het werk (veertiende bijzondere richtlijn in de zin van artikel 16, lid 1, van Richtlijn 89/391/EEG) (PB L 131 van 5.5.1998, blz. 11).</w:t>
      </w:r>
    </w:p>
  </w:footnote>
  <w:footnote w:id="6">
    <w:p w:rsidR="00E50BFC" w:rsidRPr="00461715" w:rsidRDefault="00E50BFC" w:rsidP="00E50BFC">
      <w:pPr>
        <w:pStyle w:val="FootnoteText"/>
        <w:ind w:left="567" w:hanging="567"/>
      </w:pPr>
      <w:r w:rsidRPr="00461715">
        <w:rPr>
          <w:rStyle w:val="FootnoteReference"/>
        </w:rPr>
        <w:footnoteRef/>
      </w:r>
      <w:r w:rsidRPr="00461715">
        <w:tab/>
        <w:t>Verordening (EG) nr. 1272/2008 van het Europees Parlement en de Raad van 16 december 2008 betreffende de indeling, etikettering en verpakking van stoffen en mengsels, tot wijziging en intrekking van de Richtlijnen 67/548/EEG en 1999/45/EG en tot wijziging van Verordening (EG) nr. 1907/2006 (PB L 353 van 31.12.2008, blz. 1).</w:t>
      </w:r>
    </w:p>
  </w:footnote>
  <w:footnote w:id="7">
    <w:p w:rsidR="00E50BFC" w:rsidRPr="00461715" w:rsidRDefault="00E50BFC" w:rsidP="00E50BFC">
      <w:pPr>
        <w:pStyle w:val="FootnoteText"/>
      </w:pPr>
      <w:r w:rsidRPr="00461715">
        <w:rPr>
          <w:rStyle w:val="FootnoteReference"/>
        </w:rPr>
        <w:footnoteRef/>
      </w:r>
      <w:r w:rsidRPr="00461715">
        <w:t xml:space="preserve"> </w:t>
      </w:r>
      <w:r w:rsidRPr="00461715">
        <w:tab/>
        <w:t>Verordening (EG) nr. 1907/2006 van het Europees Parlement en de Raad van 18 december 2006 inzake de registratie en beoordeling van en de autorisatie en beperkingen ten aanzien van chemische stoffen (REACH), tot oprichting van een Europees Agentschap voor chemische stoffen, houdende wijziging van Richtlijn 1999/45/EG en houdende intrekking van Verordening (EEG) nr. 793/93 van de Raad en Verordening (EG) nr. 1488/94 van de Commissie alsmede Richtlijn 76/769/EEG van de Raad en de Richtlijnen 91/155/EEG, 93/67/EEG, 93/105/EG en 2000/21/EG van de Commissie (PB L 396 van 30.12.2006, blz. 1).</w:t>
      </w:r>
    </w:p>
  </w:footnote>
  <w:footnote w:id="8">
    <w:p w:rsidR="00E50BFC" w:rsidRPr="00461715" w:rsidRDefault="00E50BFC" w:rsidP="00E50BFC">
      <w:pPr>
        <w:pStyle w:val="FootnoteText"/>
      </w:pPr>
      <w:r w:rsidRPr="00461715">
        <w:rPr>
          <w:rStyle w:val="FootnoteReference"/>
        </w:rPr>
        <w:footnoteRef/>
      </w:r>
      <w:r w:rsidRPr="00461715">
        <w:tab/>
        <w:t>PB C 369 van 17.12.2011, blz.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FA" w:rsidRDefault="00850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FA" w:rsidRDefault="008500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FA" w:rsidRDefault="00850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4A49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7064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3625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8CC0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1455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EEF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34F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400A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95604"/>
    <w:multiLevelType w:val="multilevel"/>
    <w:tmpl w:val="9F60CF46"/>
    <w:name w:val="Points"/>
    <w:lvl w:ilvl="0">
      <w:start w:val="1"/>
      <w:numFmt w:val="decimal"/>
      <w:pStyle w:val="Point123"/>
      <w:lvlText w:val="%1."/>
      <w:lvlJc w:val="left"/>
      <w:pPr>
        <w:tabs>
          <w:tab w:val="num" w:pos="567"/>
        </w:tabs>
        <w:ind w:left="567" w:hanging="567"/>
      </w:pPr>
      <w:rPr>
        <w:rFonts w:ascii="Times New Roman" w:hAnsi="Times New Roman"/>
      </w:rPr>
    </w:lvl>
    <w:lvl w:ilvl="1">
      <w:start w:val="1"/>
      <w:numFmt w:val="lowerLetter"/>
      <w:pStyle w:val="Pointabc"/>
      <w:lvlText w:val="%2)"/>
      <w:lvlJc w:val="left"/>
      <w:pPr>
        <w:tabs>
          <w:tab w:val="num" w:pos="567"/>
        </w:tabs>
        <w:ind w:left="567" w:hanging="567"/>
      </w:pPr>
      <w:rPr>
        <w:rFonts w:ascii="Times New Roman" w:hAnsi="Times New Roman"/>
      </w:rPr>
    </w:lvl>
    <w:lvl w:ilvl="2">
      <w:start w:val="1"/>
      <w:numFmt w:val="decimal"/>
      <w:pStyle w:val="Point1231"/>
      <w:lvlText w:val="%3."/>
      <w:lvlJc w:val="left"/>
      <w:pPr>
        <w:tabs>
          <w:tab w:val="num" w:pos="1134"/>
        </w:tabs>
        <w:ind w:left="1134" w:hanging="567"/>
      </w:pPr>
      <w:rPr>
        <w:rFonts w:ascii="Times New Roman" w:hAnsi="Times New Roman"/>
      </w:rPr>
    </w:lvl>
    <w:lvl w:ilvl="3">
      <w:start w:val="1"/>
      <w:numFmt w:val="lowerLetter"/>
      <w:pStyle w:val="Pointabc1"/>
      <w:lvlText w:val="%4)"/>
      <w:lvlJc w:val="left"/>
      <w:pPr>
        <w:tabs>
          <w:tab w:val="num" w:pos="1134"/>
        </w:tabs>
        <w:ind w:left="1134" w:hanging="567"/>
      </w:pPr>
      <w:rPr>
        <w:rFonts w:ascii="Times New Roman" w:hAnsi="Times New Roman"/>
      </w:rPr>
    </w:lvl>
    <w:lvl w:ilvl="4">
      <w:start w:val="1"/>
      <w:numFmt w:val="decimal"/>
      <w:pStyle w:val="Point1232"/>
      <w:lvlText w:val="%5."/>
      <w:lvlJc w:val="left"/>
      <w:pPr>
        <w:tabs>
          <w:tab w:val="num" w:pos="1701"/>
        </w:tabs>
        <w:ind w:left="1701" w:hanging="567"/>
      </w:pPr>
      <w:rPr>
        <w:rFonts w:ascii="Times New Roman" w:hAnsi="Times New Roman"/>
      </w:rPr>
    </w:lvl>
    <w:lvl w:ilvl="5">
      <w:start w:val="1"/>
      <w:numFmt w:val="lowerLetter"/>
      <w:pStyle w:val="Pointabc2"/>
      <w:lvlText w:val="%6)"/>
      <w:lvlJc w:val="left"/>
      <w:pPr>
        <w:tabs>
          <w:tab w:val="num" w:pos="1701"/>
        </w:tabs>
        <w:ind w:left="1701" w:hanging="567"/>
      </w:pPr>
      <w:rPr>
        <w:rFonts w:ascii="Times New Roman" w:hAnsi="Times New Roman"/>
      </w:rPr>
    </w:lvl>
    <w:lvl w:ilvl="6">
      <w:start w:val="1"/>
      <w:numFmt w:val="decimal"/>
      <w:pStyle w:val="Point1233"/>
      <w:lvlText w:val="%7."/>
      <w:lvlJc w:val="left"/>
      <w:pPr>
        <w:tabs>
          <w:tab w:val="num" w:pos="2268"/>
        </w:tabs>
        <w:ind w:left="2268" w:hanging="567"/>
      </w:pPr>
      <w:rPr>
        <w:rFonts w:ascii="Times New Roman" w:hAnsi="Times New Roman"/>
      </w:rPr>
    </w:lvl>
    <w:lvl w:ilvl="7">
      <w:start w:val="1"/>
      <w:numFmt w:val="lowerLetter"/>
      <w:pStyle w:val="Pointabc3"/>
      <w:lvlText w:val="%8)"/>
      <w:lvlJc w:val="left"/>
      <w:pPr>
        <w:tabs>
          <w:tab w:val="num" w:pos="2268"/>
        </w:tabs>
        <w:ind w:left="2268" w:hanging="567"/>
      </w:pPr>
      <w:rPr>
        <w:rFonts w:ascii="Times New Roman" w:hAnsi="Times New Roman"/>
      </w:rPr>
    </w:lvl>
    <w:lvl w:ilvl="8">
      <w:start w:val="1"/>
      <w:numFmt w:val="lowerLetter"/>
      <w:pStyle w:val="Pointabc4"/>
      <w:lvlText w:val="%9)"/>
      <w:lvlJc w:val="left"/>
      <w:pPr>
        <w:tabs>
          <w:tab w:val="num" w:pos="2835"/>
        </w:tabs>
        <w:ind w:left="2835" w:hanging="567"/>
      </w:pPr>
      <w:rPr>
        <w:rFonts w:ascii="Times New Roman" w:hAnsi="Times New Roman"/>
      </w:rPr>
    </w:lvl>
  </w:abstractNum>
  <w:abstractNum w:abstractNumId="11" w15:restartNumberingAfterBreak="0">
    <w:nsid w:val="066B5A68"/>
    <w:multiLevelType w:val="singleLevel"/>
    <w:tmpl w:val="8B0853B0"/>
    <w:name w:val="Dash 1"/>
    <w:lvl w:ilvl="0">
      <w:start w:val="1"/>
      <w:numFmt w:val="bullet"/>
      <w:pStyle w:val="Dash1"/>
      <w:lvlText w:val="–"/>
      <w:lvlJc w:val="left"/>
      <w:pPr>
        <w:tabs>
          <w:tab w:val="num" w:pos="1134"/>
        </w:tabs>
        <w:ind w:left="1134" w:hanging="567"/>
      </w:pPr>
      <w:rPr>
        <w:rFonts w:ascii="Times New Roman" w:hAnsi="Times New Roman"/>
      </w:rPr>
    </w:lvl>
  </w:abstractNum>
  <w:abstractNum w:abstractNumId="12" w15:restartNumberingAfterBreak="0">
    <w:nsid w:val="09C20093"/>
    <w:multiLevelType w:val="singleLevel"/>
    <w:tmpl w:val="05F6137C"/>
    <w:name w:val="Dash 4"/>
    <w:lvl w:ilvl="0">
      <w:start w:val="1"/>
      <w:numFmt w:val="bullet"/>
      <w:pStyle w:val="Dash4"/>
      <w:lvlText w:val="–"/>
      <w:lvlJc w:val="left"/>
      <w:pPr>
        <w:tabs>
          <w:tab w:val="num" w:pos="2835"/>
        </w:tabs>
        <w:ind w:left="2835" w:hanging="567"/>
      </w:pPr>
      <w:rPr>
        <w:rFonts w:ascii="Times New Roman" w:hAnsi="Times New Roman"/>
      </w:rPr>
    </w:lvl>
  </w:abstractNum>
  <w:abstractNum w:abstractNumId="13" w15:restartNumberingAfterBreak="0">
    <w:nsid w:val="172B0495"/>
    <w:multiLevelType w:val="multilevel"/>
    <w:tmpl w:val="FED03EAA"/>
    <w:name w:val="Heading ABC"/>
    <w:lvl w:ilvl="0">
      <w:start w:val="1"/>
      <w:numFmt w:val="upperLetter"/>
      <w:pStyle w:val="HeadingABC"/>
      <w:lvlText w:val="%1."/>
      <w:lvlJc w:val="left"/>
      <w:pPr>
        <w:tabs>
          <w:tab w:val="num" w:pos="567"/>
        </w:tabs>
        <w:ind w:left="567" w:hanging="567"/>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6C37B8"/>
    <w:multiLevelType w:val="singleLevel"/>
    <w:tmpl w:val="E17861E4"/>
    <w:name w:val="Bullet (2)"/>
    <w:lvl w:ilvl="0">
      <w:start w:val="1"/>
      <w:numFmt w:val="bullet"/>
      <w:pStyle w:val="Bullet2"/>
      <w:lvlText w:val=""/>
      <w:lvlJc w:val="left"/>
      <w:pPr>
        <w:tabs>
          <w:tab w:val="num" w:pos="1701"/>
        </w:tabs>
        <w:ind w:left="1701" w:hanging="567"/>
      </w:pPr>
      <w:rPr>
        <w:rFonts w:ascii="Symbol" w:hAnsi="Symbol"/>
      </w:rPr>
    </w:lvl>
  </w:abstractNum>
  <w:abstractNum w:abstractNumId="15" w15:restartNumberingAfterBreak="0">
    <w:nsid w:val="1FC73EED"/>
    <w:multiLevelType w:val="singleLevel"/>
    <w:tmpl w:val="109A6A02"/>
    <w:name w:val="Bullet (1)"/>
    <w:lvl w:ilvl="0">
      <w:start w:val="1"/>
      <w:numFmt w:val="bullet"/>
      <w:pStyle w:val="Bullet1"/>
      <w:lvlText w:val=""/>
      <w:lvlJc w:val="left"/>
      <w:pPr>
        <w:tabs>
          <w:tab w:val="num" w:pos="1134"/>
        </w:tabs>
        <w:ind w:left="1134" w:hanging="567"/>
      </w:pPr>
      <w:rPr>
        <w:rFonts w:ascii="Symbol" w:hAnsi="Symbol"/>
      </w:rPr>
    </w:lvl>
  </w:abstractNum>
  <w:abstractNum w:abstractNumId="16" w15:restartNumberingAfterBreak="0">
    <w:nsid w:val="20970627"/>
    <w:multiLevelType w:val="multilevel"/>
    <w:tmpl w:val="4FECAA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6596D70"/>
    <w:multiLevelType w:val="multilevel"/>
    <w:tmpl w:val="0ABAD01C"/>
    <w:name w:val="Points roman"/>
    <w:lvl w:ilvl="0">
      <w:start w:val="1"/>
      <w:numFmt w:val="lowerRoman"/>
      <w:pStyle w:val="Pointivx"/>
      <w:lvlText w:val="%1)"/>
      <w:lvlJc w:val="left"/>
      <w:pPr>
        <w:tabs>
          <w:tab w:val="num" w:pos="567"/>
        </w:tabs>
        <w:ind w:left="567" w:hanging="567"/>
      </w:pPr>
      <w:rPr>
        <w:rFonts w:ascii="Times New Roman" w:hAnsi="Times New Roman"/>
      </w:rPr>
    </w:lvl>
    <w:lvl w:ilvl="1">
      <w:start w:val="1"/>
      <w:numFmt w:val="lowerRoman"/>
      <w:pStyle w:val="Pointivx1"/>
      <w:lvlText w:val="%2)"/>
      <w:lvlJc w:val="left"/>
      <w:pPr>
        <w:tabs>
          <w:tab w:val="num" w:pos="1134"/>
        </w:tabs>
        <w:ind w:left="1134" w:hanging="567"/>
      </w:pPr>
      <w:rPr>
        <w:rFonts w:ascii="Times New Roman" w:hAnsi="Times New Roman"/>
      </w:rPr>
    </w:lvl>
    <w:lvl w:ilvl="2">
      <w:start w:val="1"/>
      <w:numFmt w:val="lowerRoman"/>
      <w:pStyle w:val="Pointivx2"/>
      <w:lvlText w:val="%3)"/>
      <w:lvlJc w:val="left"/>
      <w:pPr>
        <w:tabs>
          <w:tab w:val="num" w:pos="1701"/>
        </w:tabs>
        <w:ind w:left="1701" w:hanging="567"/>
      </w:pPr>
      <w:rPr>
        <w:rFonts w:ascii="Times New Roman" w:hAnsi="Times New Roman"/>
      </w:rPr>
    </w:lvl>
    <w:lvl w:ilvl="3">
      <w:start w:val="1"/>
      <w:numFmt w:val="lowerRoman"/>
      <w:pStyle w:val="Pointivx3"/>
      <w:lvlText w:val="%4)"/>
      <w:lvlJc w:val="left"/>
      <w:pPr>
        <w:tabs>
          <w:tab w:val="num" w:pos="2268"/>
        </w:tabs>
        <w:ind w:left="2268" w:hanging="567"/>
      </w:pPr>
      <w:rPr>
        <w:rFonts w:ascii="Times New Roman" w:hAnsi="Times New Roman"/>
      </w:rPr>
    </w:lvl>
    <w:lvl w:ilvl="4">
      <w:start w:val="1"/>
      <w:numFmt w:val="lowerRoman"/>
      <w:pStyle w:val="Pointivx4"/>
      <w:lvlText w:val="%5)"/>
      <w:lvlJc w:val="left"/>
      <w:pPr>
        <w:tabs>
          <w:tab w:val="num" w:pos="2835"/>
        </w:tabs>
        <w:ind w:left="2835" w:hanging="567"/>
      </w:pPr>
      <w:rPr>
        <w:rFonts w:ascii="Times New Roman" w:hAnsi="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A94842"/>
    <w:multiLevelType w:val="multilevel"/>
    <w:tmpl w:val="AF12CA62"/>
    <w:name w:val="Heading 123"/>
    <w:lvl w:ilvl="0">
      <w:start w:val="1"/>
      <w:numFmt w:val="decimal"/>
      <w:pStyle w:val="Heading123"/>
      <w:lvlText w:val="%1."/>
      <w:lvlJc w:val="left"/>
      <w:pPr>
        <w:tabs>
          <w:tab w:val="num" w:pos="567"/>
        </w:tabs>
        <w:ind w:left="567" w:hanging="567"/>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830AE8"/>
    <w:multiLevelType w:val="singleLevel"/>
    <w:tmpl w:val="C694AB9E"/>
    <w:name w:val="Bullet (0)"/>
    <w:lvl w:ilvl="0">
      <w:start w:val="1"/>
      <w:numFmt w:val="bullet"/>
      <w:pStyle w:val="Bullet"/>
      <w:lvlText w:val=""/>
      <w:lvlJc w:val="left"/>
      <w:pPr>
        <w:tabs>
          <w:tab w:val="num" w:pos="567"/>
        </w:tabs>
        <w:ind w:left="567" w:hanging="567"/>
      </w:pPr>
      <w:rPr>
        <w:rFonts w:ascii="Symbol" w:hAnsi="Symbol"/>
      </w:rPr>
    </w:lvl>
  </w:abstractNum>
  <w:abstractNum w:abstractNumId="20" w15:restartNumberingAfterBreak="0">
    <w:nsid w:val="4EE61A87"/>
    <w:multiLevelType w:val="hybridMultilevel"/>
    <w:tmpl w:val="BF2A37AA"/>
    <w:lvl w:ilvl="0" w:tplc="00000000">
      <w:start w:val="1"/>
      <w:numFmt w:val="decimal"/>
      <w:pStyle w:val="Tiret0"/>
      <w:lvlText w:val="%1."/>
      <w:lvlJc w:val="left"/>
      <w:pPr>
        <w:ind w:left="786"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1" w15:restartNumberingAfterBreak="0">
    <w:nsid w:val="57227889"/>
    <w:multiLevelType w:val="singleLevel"/>
    <w:tmpl w:val="B83C732C"/>
    <w:name w:val="Dash Equal 2"/>
    <w:lvl w:ilvl="0">
      <w:start w:val="1"/>
      <w:numFmt w:val="bullet"/>
      <w:pStyle w:val="DashEqual2"/>
      <w:lvlText w:val="="/>
      <w:lvlJc w:val="left"/>
      <w:pPr>
        <w:tabs>
          <w:tab w:val="num" w:pos="1701"/>
        </w:tabs>
        <w:ind w:left="1701" w:hanging="567"/>
      </w:pPr>
      <w:rPr>
        <w:rFonts w:ascii="Times New Roman" w:hAnsi="Times New Roman"/>
      </w:rPr>
    </w:lvl>
  </w:abstractNum>
  <w:abstractNum w:abstractNumId="22" w15:restartNumberingAfterBreak="0">
    <w:nsid w:val="57CF7392"/>
    <w:multiLevelType w:val="multilevel"/>
    <w:tmpl w:val="8F703574"/>
    <w:name w:val="Heading IVX"/>
    <w:lvl w:ilvl="0">
      <w:start w:val="1"/>
      <w:numFmt w:val="upperRoman"/>
      <w:pStyle w:val="HeadingIVX"/>
      <w:lvlText w:val="%1."/>
      <w:lvlJc w:val="left"/>
      <w:pPr>
        <w:tabs>
          <w:tab w:val="num" w:pos="567"/>
        </w:tabs>
        <w:ind w:left="567" w:hanging="567"/>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D60669B"/>
    <w:multiLevelType w:val="singleLevel"/>
    <w:tmpl w:val="A97ED7DE"/>
    <w:name w:val="Dash 3"/>
    <w:lvl w:ilvl="0">
      <w:start w:val="1"/>
      <w:numFmt w:val="bullet"/>
      <w:pStyle w:val="Dash3"/>
      <w:lvlText w:val="–"/>
      <w:lvlJc w:val="left"/>
      <w:pPr>
        <w:tabs>
          <w:tab w:val="num" w:pos="2268"/>
        </w:tabs>
        <w:ind w:left="2268" w:hanging="567"/>
      </w:pPr>
      <w:rPr>
        <w:rFonts w:ascii="Times New Roman" w:hAnsi="Times New Roman"/>
      </w:rPr>
    </w:lvl>
  </w:abstractNum>
  <w:abstractNum w:abstractNumId="24" w15:restartNumberingAfterBreak="0">
    <w:nsid w:val="6774118E"/>
    <w:multiLevelType w:val="singleLevel"/>
    <w:tmpl w:val="5944F242"/>
    <w:name w:val="Dash Equal 4"/>
    <w:lvl w:ilvl="0">
      <w:start w:val="1"/>
      <w:numFmt w:val="bullet"/>
      <w:pStyle w:val="DashEqual4"/>
      <w:lvlText w:val="="/>
      <w:lvlJc w:val="left"/>
      <w:pPr>
        <w:tabs>
          <w:tab w:val="num" w:pos="2835"/>
        </w:tabs>
        <w:ind w:left="2835" w:hanging="567"/>
      </w:pPr>
      <w:rPr>
        <w:rFonts w:ascii="Times New Roman" w:hAnsi="Times New Roman"/>
      </w:rPr>
    </w:lvl>
  </w:abstractNum>
  <w:abstractNum w:abstractNumId="25" w15:restartNumberingAfterBreak="0">
    <w:nsid w:val="69123630"/>
    <w:multiLevelType w:val="singleLevel"/>
    <w:tmpl w:val="1BE6CBF4"/>
    <w:name w:val="Bullet (3)"/>
    <w:lvl w:ilvl="0">
      <w:start w:val="1"/>
      <w:numFmt w:val="bullet"/>
      <w:pStyle w:val="Bullet3"/>
      <w:lvlText w:val=""/>
      <w:lvlJc w:val="left"/>
      <w:pPr>
        <w:tabs>
          <w:tab w:val="num" w:pos="2268"/>
        </w:tabs>
        <w:ind w:left="2268" w:hanging="567"/>
      </w:pPr>
      <w:rPr>
        <w:rFonts w:ascii="Symbol" w:hAnsi="Symbol"/>
      </w:rPr>
    </w:lvl>
  </w:abstractNum>
  <w:abstractNum w:abstractNumId="26" w15:restartNumberingAfterBreak="0">
    <w:nsid w:val="6D9D664B"/>
    <w:multiLevelType w:val="singleLevel"/>
    <w:tmpl w:val="11148DA2"/>
    <w:name w:val="Dash 0"/>
    <w:lvl w:ilvl="0">
      <w:start w:val="1"/>
      <w:numFmt w:val="bullet"/>
      <w:pStyle w:val="Dash"/>
      <w:lvlText w:val="–"/>
      <w:lvlJc w:val="left"/>
      <w:pPr>
        <w:tabs>
          <w:tab w:val="num" w:pos="567"/>
        </w:tabs>
        <w:ind w:left="567" w:hanging="567"/>
      </w:pPr>
      <w:rPr>
        <w:rFonts w:ascii="Times New Roman" w:hAnsi="Times New Roman"/>
      </w:rPr>
    </w:lvl>
  </w:abstractNum>
  <w:abstractNum w:abstractNumId="27" w15:restartNumberingAfterBreak="0">
    <w:nsid w:val="6F642730"/>
    <w:multiLevelType w:val="singleLevel"/>
    <w:tmpl w:val="142C218E"/>
    <w:name w:val="Dash 2"/>
    <w:lvl w:ilvl="0">
      <w:start w:val="1"/>
      <w:numFmt w:val="bullet"/>
      <w:pStyle w:val="Dash2"/>
      <w:lvlText w:val="–"/>
      <w:lvlJc w:val="left"/>
      <w:pPr>
        <w:tabs>
          <w:tab w:val="num" w:pos="1701"/>
        </w:tabs>
        <w:ind w:left="1701" w:hanging="567"/>
      </w:pPr>
      <w:rPr>
        <w:rFonts w:ascii="Times New Roman" w:hAnsi="Times New Roman"/>
      </w:rPr>
    </w:lvl>
  </w:abstractNum>
  <w:abstractNum w:abstractNumId="28" w15:restartNumberingAfterBreak="0">
    <w:nsid w:val="753F4BA1"/>
    <w:multiLevelType w:val="singleLevel"/>
    <w:tmpl w:val="E3B64B50"/>
    <w:name w:val="Dash Equal 3"/>
    <w:lvl w:ilvl="0">
      <w:start w:val="1"/>
      <w:numFmt w:val="bullet"/>
      <w:pStyle w:val="DashEqual3"/>
      <w:lvlText w:val="="/>
      <w:lvlJc w:val="left"/>
      <w:pPr>
        <w:tabs>
          <w:tab w:val="num" w:pos="2268"/>
        </w:tabs>
        <w:ind w:left="2268" w:hanging="567"/>
      </w:pPr>
      <w:rPr>
        <w:rFonts w:ascii="Times New Roman" w:hAnsi="Times New Roman"/>
      </w:rPr>
    </w:lvl>
  </w:abstractNum>
  <w:abstractNum w:abstractNumId="29" w15:restartNumberingAfterBreak="0">
    <w:nsid w:val="78250856"/>
    <w:multiLevelType w:val="singleLevel"/>
    <w:tmpl w:val="70ACDB5C"/>
    <w:name w:val="Dash Equal 0"/>
    <w:lvl w:ilvl="0">
      <w:start w:val="1"/>
      <w:numFmt w:val="bullet"/>
      <w:pStyle w:val="DashEqual"/>
      <w:lvlText w:val="="/>
      <w:lvlJc w:val="left"/>
      <w:pPr>
        <w:tabs>
          <w:tab w:val="num" w:pos="567"/>
        </w:tabs>
        <w:ind w:left="567" w:hanging="567"/>
      </w:pPr>
      <w:rPr>
        <w:rFonts w:ascii="Times New Roman" w:hAnsi="Times New Roman"/>
      </w:rPr>
    </w:lvl>
  </w:abstractNum>
  <w:abstractNum w:abstractNumId="30" w15:restartNumberingAfterBreak="0">
    <w:nsid w:val="79904CA0"/>
    <w:multiLevelType w:val="singleLevel"/>
    <w:tmpl w:val="54F47DCE"/>
    <w:name w:val="Bullet (4)"/>
    <w:lvl w:ilvl="0">
      <w:start w:val="1"/>
      <w:numFmt w:val="bullet"/>
      <w:pStyle w:val="Bullet4"/>
      <w:lvlText w:val=""/>
      <w:lvlJc w:val="left"/>
      <w:pPr>
        <w:tabs>
          <w:tab w:val="num" w:pos="2835"/>
        </w:tabs>
        <w:ind w:left="2835" w:hanging="567"/>
      </w:pPr>
      <w:rPr>
        <w:rFonts w:ascii="Symbol" w:hAnsi="Symbol"/>
      </w:rPr>
    </w:lvl>
  </w:abstractNum>
  <w:abstractNum w:abstractNumId="31" w15:restartNumberingAfterBreak="0">
    <w:nsid w:val="7ACF3A8A"/>
    <w:multiLevelType w:val="singleLevel"/>
    <w:tmpl w:val="0E484FE6"/>
    <w:name w:val="Dash Equal 1"/>
    <w:lvl w:ilvl="0">
      <w:start w:val="1"/>
      <w:numFmt w:val="bullet"/>
      <w:pStyle w:val="DashEqual1"/>
      <w:lvlText w:val="="/>
      <w:lvlJc w:val="left"/>
      <w:pPr>
        <w:tabs>
          <w:tab w:val="num" w:pos="1134"/>
        </w:tabs>
        <w:ind w:left="1134" w:hanging="567"/>
      </w:pPr>
      <w:rPr>
        <w:rFonts w:ascii="Times New Roman" w:hAnsi="Times New Roman"/>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26"/>
  </w:num>
  <w:num w:numId="22">
    <w:abstractNumId w:val="11"/>
  </w:num>
  <w:num w:numId="23">
    <w:abstractNumId w:val="27"/>
  </w:num>
  <w:num w:numId="24">
    <w:abstractNumId w:val="23"/>
  </w:num>
  <w:num w:numId="25">
    <w:abstractNumId w:val="12"/>
  </w:num>
  <w:num w:numId="26">
    <w:abstractNumId w:val="29"/>
  </w:num>
  <w:num w:numId="27">
    <w:abstractNumId w:val="31"/>
  </w:num>
  <w:num w:numId="28">
    <w:abstractNumId w:val="21"/>
  </w:num>
  <w:num w:numId="29">
    <w:abstractNumId w:val="28"/>
  </w:num>
  <w:num w:numId="30">
    <w:abstractNumId w:val="24"/>
  </w:num>
  <w:num w:numId="31">
    <w:abstractNumId w:val="19"/>
  </w:num>
  <w:num w:numId="32">
    <w:abstractNumId w:val="15"/>
  </w:num>
  <w:num w:numId="33">
    <w:abstractNumId w:val="14"/>
  </w:num>
  <w:num w:numId="34">
    <w:abstractNumId w:val="25"/>
  </w:num>
  <w:num w:numId="35">
    <w:abstractNumId w:val="30"/>
  </w:num>
  <w:num w:numId="36">
    <w:abstractNumId w:val="10"/>
  </w:num>
  <w:num w:numId="37">
    <w:abstractNumId w:val="17"/>
  </w:num>
  <w:num w:numId="38">
    <w:abstractNumId w:val="13"/>
  </w:num>
  <w:num w:numId="39">
    <w:abstractNumId w:val="18"/>
  </w:num>
  <w:num w:numId="40">
    <w:abstractNumId w:val="22"/>
  </w:num>
  <w:num w:numId="41">
    <w:abstractNumId w:val="20"/>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pyToNetwork" w:val="0"/>
    <w:docVar w:name="CVAR" w:val="xx"/>
    <w:docVar w:name="DOCDT" w:val="03/12/2018"/>
    <w:docVar w:name="DOCMNU" w:val=" 2"/>
    <w:docVar w:name="FromTORIS" w:val="False"/>
    <w:docVar w:name="iNoAmend" w:val="xx"/>
    <w:docVar w:name="InsideLoop" w:val="1"/>
    <w:docVar w:name="LastEditedSection" w:val=" 1"/>
    <w:docVar w:name="NRAKEY" w:val="0142"/>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053066 HideTWBExt;}}{\*\rsidtbl \rsid24658\rsid735077\rsid2892074\rsid4666813\rsid6641733\rsid9636012\rsid11215221\rsid12154954\rsid13053066\rsid13063238\rsid14424199\rsid15204470_x000d__x000a_\rsid15285974\rsid15950462\rsid16324206\rsid16662270}{\mmathPr\mmathFont34\mbrkBin0\mbrkBinSub0\msmallFrac0\mdispDef1\mlMargin0\mrMargin0\mdefJc1\mwrapIndent1440\mintLim0\mnaryLim1}{\info{\author VENNARD Ronan}{\operator VENNARD Ronan}_x000d__x000a_{\creatim\yr2018\mo11\dy5\hr10\min3}{\revtim\yr2018\mo11\dy5\hr10\min3}{\version1}{\edmins0}{\nofpages1}{\nofwords0}{\nofchars7}{\*\company European Parliament}{\nofcharsws7}{\vern95}}{\*\xmlnstbl {\xmlns1 http://schemas.microsoft.com/office/word/2003/wor_x000d__x000a_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053066\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3063238 \chftnsep _x000d__x000a_\par }}{\*\ftnsepc \ltrpar \pard\plain \ltrpar\ql \li0\ri0\widctlpar\wrapdefault\aspalpha\aspnum\faauto\adjustright\rin0\lin0\itap0 \rtlch\fcs1 \af0\afs20\alang1025 \ltrch\fcs0 \fs24\lang2057\langfe2057\cgrid\langnp2057\langfenp2057 {\rtlch\fcs1 \af0 _x000d__x000a_\ltrch\fcs0 \insrsid13063238 \chftnsepc _x000d__x000a_\par }}{\*\aftnsep \ltrpar \pard\plain \ltrpar\ql \li0\ri0\widctlpar\wrapdefault\aspalpha\aspnum\faauto\adjustright\rin0\lin0\itap0 \rtlch\fcs1 \af0\afs20\alang1025 \ltrch\fcs0 \fs24\lang2057\langfe2057\cgrid\langnp2057\langfenp2057 {\rtlch\fcs1 \af0 _x000d__x000a_\ltrch\fcs0 \insrsid13063238 \chftnsep _x000d__x000a_\par }}{\*\aftnsepc \ltrpar \pard\plain \ltrpar\ql \li0\ri0\widctlpar\wrapdefault\aspalpha\aspnum\faauto\adjustright\rin0\lin0\itap0 \rtlch\fcs1 \af0\afs20\alang1025 \ltrch\fcs0 \fs24\lang2057\langfe2057\cgrid\langnp2057\langfenp2057 {\rtlch\fcs1 \af0 _x000d__x000a_\ltrch\fcs0 \insrsid1306323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3053066\charrsid7013469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36_x000d__x000a_346fe67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731791 HideTWBExt;}{\*\cs16 \additive \v\cf15 \spriority0 \styrsid11731791 HideTWBInt;}{\s17\ql \li0\ri0\nowidctlpar\wrapdefault\aspalpha\aspnum\faauto\adjustright\rin0\lin0\itap0 _x000d__x000a_\rtlch\fcs1 \af0\afs20\alang1025 \ltrch\fcs0 \b\fs24\lang2057\langfe2057\cgrid\langnp2057\langfenp2057 \sbasedon0 \snext17 \slink18 \spriority0 \styrsid11731791 NormalBold;}{\*\cs18 \additive \b\fs24 \slink17 \slocked \spriority0 \styrsid11731791 _x000d__x000a_NormalBold Char;}}{\*\rsidtbl \rsid24658\rsid735077\rsid2892074\rsid4666813\rsid6641733\rsid7799333\rsid9636012\rsid11215221\rsid11731791\rsid12154954\rsid14424199\rsid15204470\rsid15285974\rsid15950462\rsid16324206\rsid16662270}{\mmathPr\mmathFont34_x000d__x000a_\mbrkBin0\mbrkBinSub0\msmallFrac0\mdispDef1\mlMargin0\mrMargin0\mdefJc1\mwrapIndent1440\mintLim0\mnaryLim1}{\info{\author VENNARD Ronan}{\operator VENNARD Ronan}{\creatim\yr2018\mo11\dy5\hr10\min4}{\revtim\yr2018\mo11\dy5\hr10\min4}{\version1}{\edmins0}_x000d__x000a_{\nofpages1}{\nofwords15}{\nofchars198}{\*\company European Parliament}{\nofcharsws201}{\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731791\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7799333 \chftnsep _x000d__x000a_\par }}{\*\ftnsepc \ltrpar \pard\plain \ltrpar\ql \li0\ri0\widctlpar\wrapdefault\aspalpha\aspnum\faauto\adjustright\rin0\lin0\itap0 \rtlch\fcs1 \af0\afs20\alang1025 \ltrch\fcs0 \fs24\lang2057\langfe2057\cgrid\langnp2057\langfenp2057 {\rtlch\fcs1 \af0 _x000d__x000a_\ltrch\fcs0 \insrsid7799333 \chftnsepc _x000d__x000a_\par }}{\*\aftnsep \ltrpar \pard\plain \ltrpar\ql \li0\ri0\widctlpar\wrapdefault\aspalpha\aspnum\faauto\adjustright\rin0\lin0\itap0 \rtlch\fcs1 \af0\afs20\alang1025 \ltrch\fcs0 \fs24\lang2057\langfe2057\cgrid\langnp2057\langfenp2057 {\rtlch\fcs1 \af0 _x000d__x000a_\ltrch\fcs0 \insrsid7799333 \chftnsep _x000d__x000a_\par }}{\*\aftnsepc \ltrpar \pard\plain \ltrpar\ql \li0\ri0\widctlpar\wrapdefault\aspalpha\aspnum\faauto\adjustright\rin0\lin0\itap0 \rtlch\fcs1 \af0\afs20\alang1025 \ltrch\fcs0 \fs24\lang2057\langfe2057\cgrid\langnp2057\langfenp2057 {\rtlch\fcs1 \af0 _x000d__x000a_\ltrch\fcs0 \insrsid77993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1731791 \rtlch\fcs1 \af0\afs20\alang1025 \ltrch\fcs0 \b\fs24\lang2057\langfe2057\cgrid\langnp2057\langfenp2057 {\rtlch\fcs1 \af0 \ltrch\fcs0 _x000d__x000a_\cs15\b0\v\f1\fs20\cf9\insrsid11731791\charrsid7013469 {\*\bkmkstart By}&lt;By&gt;&lt;Members&gt;}{\rtlch\fcs1 \af0 \ltrch\fcs0 \insrsid11731791\charrsid7013469 #}{\rtlch\fcs1 \af0 \ltrch\fcs0 \cs16\v\cf15\insrsid11731791\charrsid7013469 (MOD@InsideLoop(\'a7)}{_x000d__x000a_\rtlch\fcs1 \af0 \ltrch\fcs0 \insrsid11731791\charrsid7013469 ##}{\rtlch\fcs1 \af0 \ltrch\fcs0 \cs16\v\cf15\insrsid11731791\charrsid7013469 IF(FromTORIS = 'True')THEN([PRESMEMBERS])ELSE([TRADMEMBERS])}{\rtlch\fcs1 \af0 \ltrch\fcs0 _x000d__x000a_\insrsid11731791\charrsid7013469 #}{\rtlch\fcs1 \af0 \ltrch\fcs0 \cs15\b0\v\f1\fs20\cf9\insrsid11731791\charrsid7013469 &lt;/Members&gt;}{\rtlch\fcs1 \af0 \ltrch\fcs0 \insrsid11731791\charrsid7013469 _x000d__x000a_\par }\pard\plain \ltrpar\ql \li0\ri0\widctlpar\wrapdefault\aspalpha\aspnum\faauto\adjustright\rin0\lin0\itap0\pararsid11731791 \rtlch\fcs1 \af0\afs20\alang1025 \ltrch\fcs0 \fs24\lang2057\langfe2057\cgrid\langnp2057\langfenp2057 {\rtlch\fcs1 \af0 \ltrch\fcs0 _x000d__x000a_\cs15\v\f1\fs20\cf9\insrsid11731791\charrsid7013469 &lt;AuNomDe&gt;&lt;OptDel&gt;}{\rtlch\fcs1 \af0 \ltrch\fcs0 \insrsid11731791\charrsid7013469 #}{\rtlch\fcs1 \af0 \ltrch\fcs0 \cs16\v\cf15\insrsid11731791\charrsid7013469 _x000d__x000a_IF(FromTORIS = 'True')THEN([PRESONBEHALF])ELSE([TRADONBEHALF])}{\rtlch\fcs1 \af0 \ltrch\fcs0 \insrsid11731791\charrsid7013469 #}{\rtlch\fcs1 \af0 \ltrch\fcs0 \cs15\v\f1\fs20\cf9\insrsid11731791\charrsid7013469 &lt;/OptDel&gt;&lt;/AuNomDe&gt;}{\rtlch\fcs1 \af0 _x000d__x000a_\ltrch\fcs0 \insrsid11731791\charrsid7013469 _x000d__x000a_\par }{\rtlch\fcs1 \af0 \ltrch\fcs0 \cs15\v\f1\fs20\cf9\insrsid11731791\charrsid701346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ee_x000d__x000a_c88ee67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71"/>
    <w:docVar w:name="TITLEMNU" w:val=" 1"/>
    <w:docVar w:name="TORIS" w:val="False"/>
    <w:docVar w:name="TORISAUTO" w:val="False"/>
    <w:docVar w:name="TVTMEMBERS1" w:val="Thomas Händel"/>
    <w:docVar w:name="TXTLANGUE" w:val="NL"/>
    <w:docVar w:name="TXTLANGUEMIN" w:val="nl"/>
    <w:docVar w:name="TXTNRFIRSTAM" w:val="xx"/>
    <w:docVar w:name="TXTNRPE" w:val="631.550"/>
    <w:docVar w:name="TXTPEorAP" w:val="PE"/>
    <w:docVar w:name="TXTROUTE" w:val="AM\1171551NL.docx"/>
    <w:docVar w:name="TXTVERSION" w:val="01-00"/>
  </w:docVars>
  <w:rsids>
    <w:rsidRoot w:val="00EA742F"/>
    <w:rsid w:val="0004541F"/>
    <w:rsid w:val="000C7D90"/>
    <w:rsid w:val="000E1686"/>
    <w:rsid w:val="000F508C"/>
    <w:rsid w:val="0013115D"/>
    <w:rsid w:val="001A2045"/>
    <w:rsid w:val="001A71DA"/>
    <w:rsid w:val="001A7FD0"/>
    <w:rsid w:val="002B3AF1"/>
    <w:rsid w:val="003B7E48"/>
    <w:rsid w:val="003C79F3"/>
    <w:rsid w:val="003E71B1"/>
    <w:rsid w:val="0042245F"/>
    <w:rsid w:val="00461715"/>
    <w:rsid w:val="004731D6"/>
    <w:rsid w:val="00481E81"/>
    <w:rsid w:val="004959CE"/>
    <w:rsid w:val="00510280"/>
    <w:rsid w:val="00525DC0"/>
    <w:rsid w:val="00585B31"/>
    <w:rsid w:val="005E6C7D"/>
    <w:rsid w:val="005F744D"/>
    <w:rsid w:val="00623133"/>
    <w:rsid w:val="006320F8"/>
    <w:rsid w:val="006339AB"/>
    <w:rsid w:val="00660F58"/>
    <w:rsid w:val="006A5C2D"/>
    <w:rsid w:val="006C0168"/>
    <w:rsid w:val="00766A75"/>
    <w:rsid w:val="007A605C"/>
    <w:rsid w:val="00814526"/>
    <w:rsid w:val="008500FA"/>
    <w:rsid w:val="0086033A"/>
    <w:rsid w:val="00874E6B"/>
    <w:rsid w:val="00875510"/>
    <w:rsid w:val="00892C85"/>
    <w:rsid w:val="00893ABA"/>
    <w:rsid w:val="008F566E"/>
    <w:rsid w:val="00905977"/>
    <w:rsid w:val="00907D63"/>
    <w:rsid w:val="00907F1D"/>
    <w:rsid w:val="0093649F"/>
    <w:rsid w:val="0097051C"/>
    <w:rsid w:val="009731C5"/>
    <w:rsid w:val="009A17A9"/>
    <w:rsid w:val="009D63BE"/>
    <w:rsid w:val="009F6390"/>
    <w:rsid w:val="00AD4980"/>
    <w:rsid w:val="00AE46A3"/>
    <w:rsid w:val="00B9229C"/>
    <w:rsid w:val="00B92ABC"/>
    <w:rsid w:val="00BD4891"/>
    <w:rsid w:val="00C2106C"/>
    <w:rsid w:val="00C23925"/>
    <w:rsid w:val="00C60300"/>
    <w:rsid w:val="00CD2294"/>
    <w:rsid w:val="00D13D6F"/>
    <w:rsid w:val="00D2771D"/>
    <w:rsid w:val="00D926D4"/>
    <w:rsid w:val="00DE1D7F"/>
    <w:rsid w:val="00E32431"/>
    <w:rsid w:val="00E5087F"/>
    <w:rsid w:val="00E50BFC"/>
    <w:rsid w:val="00E52E7D"/>
    <w:rsid w:val="00E71388"/>
    <w:rsid w:val="00E8102F"/>
    <w:rsid w:val="00EA742F"/>
    <w:rsid w:val="00EF563A"/>
    <w:rsid w:val="00F03595"/>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FEC69D-F053-4DA3-9C42-A1781262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Document Map"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basedOn w:val="DefaultParagraphFo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numbering" w:customStyle="1" w:styleId="NoList1">
    <w:name w:val="No List1"/>
    <w:next w:val="NoList"/>
    <w:uiPriority w:val="99"/>
    <w:semiHidden/>
    <w:unhideWhenUsed/>
    <w:rsid w:val="003C79F3"/>
  </w:style>
  <w:style w:type="character" w:customStyle="1" w:styleId="HeaderChar">
    <w:name w:val="Header Char"/>
    <w:link w:val="Header"/>
    <w:uiPriority w:val="99"/>
    <w:rsid w:val="003C79F3"/>
    <w:rPr>
      <w:sz w:val="24"/>
    </w:rPr>
  </w:style>
  <w:style w:type="character" w:customStyle="1" w:styleId="FooterChar">
    <w:name w:val="Footer Char"/>
    <w:link w:val="Footer"/>
    <w:uiPriority w:val="99"/>
    <w:rsid w:val="003C79F3"/>
    <w:rPr>
      <w:sz w:val="22"/>
      <w:lang w:val="nl-NL"/>
    </w:rPr>
  </w:style>
  <w:style w:type="character" w:customStyle="1" w:styleId="FootnoteTextChar">
    <w:name w:val="Footnote Text Char"/>
    <w:link w:val="FootnoteText"/>
    <w:uiPriority w:val="99"/>
    <w:rsid w:val="003C79F3"/>
    <w:rPr>
      <w:sz w:val="22"/>
    </w:rPr>
  </w:style>
  <w:style w:type="paragraph" w:customStyle="1" w:styleId="NormalCentered">
    <w:name w:val="Normal Centered"/>
    <w:basedOn w:val="Normal"/>
    <w:rsid w:val="003C79F3"/>
    <w:pPr>
      <w:autoSpaceDE w:val="0"/>
      <w:autoSpaceDN w:val="0"/>
      <w:adjustRightInd w:val="0"/>
      <w:spacing w:before="200" w:after="120" w:line="360" w:lineRule="auto"/>
      <w:jc w:val="center"/>
    </w:pPr>
    <w:rPr>
      <w:rFonts w:cs="Calibri"/>
      <w:szCs w:val="22"/>
    </w:rPr>
  </w:style>
  <w:style w:type="paragraph" w:customStyle="1" w:styleId="NormalRight">
    <w:name w:val="Normal Right"/>
    <w:basedOn w:val="Normal"/>
    <w:rsid w:val="003C79F3"/>
    <w:pPr>
      <w:autoSpaceDE w:val="0"/>
      <w:autoSpaceDN w:val="0"/>
      <w:adjustRightInd w:val="0"/>
      <w:spacing w:before="200" w:after="120" w:line="360" w:lineRule="auto"/>
      <w:jc w:val="right"/>
    </w:pPr>
    <w:rPr>
      <w:rFonts w:cs="Calibri"/>
      <w:szCs w:val="22"/>
    </w:rPr>
  </w:style>
  <w:style w:type="paragraph" w:customStyle="1" w:styleId="NormalJustified">
    <w:name w:val="Normal Justified"/>
    <w:basedOn w:val="Normal"/>
    <w:rsid w:val="003C79F3"/>
    <w:pPr>
      <w:autoSpaceDE w:val="0"/>
      <w:autoSpaceDN w:val="0"/>
      <w:adjustRightInd w:val="0"/>
      <w:spacing w:before="200" w:after="120" w:line="360" w:lineRule="auto"/>
      <w:jc w:val="both"/>
    </w:pPr>
    <w:rPr>
      <w:rFonts w:cs="Calibri"/>
      <w:szCs w:val="22"/>
    </w:rPr>
  </w:style>
  <w:style w:type="paragraph" w:customStyle="1" w:styleId="HeaderLandscape">
    <w:name w:val="HeaderLandscape"/>
    <w:basedOn w:val="Normal"/>
    <w:rsid w:val="003C79F3"/>
    <w:pPr>
      <w:tabs>
        <w:tab w:val="right" w:pos="567"/>
      </w:tabs>
      <w:autoSpaceDE w:val="0"/>
      <w:autoSpaceDN w:val="0"/>
      <w:adjustRightInd w:val="0"/>
      <w:spacing w:before="120" w:after="120" w:line="360" w:lineRule="auto"/>
    </w:pPr>
    <w:rPr>
      <w:rFonts w:cs="Calibri"/>
      <w:szCs w:val="22"/>
    </w:rPr>
  </w:style>
  <w:style w:type="paragraph" w:customStyle="1" w:styleId="FooterLandscape">
    <w:name w:val="FooterLandscape"/>
    <w:basedOn w:val="Normal"/>
    <w:rsid w:val="003C79F3"/>
    <w:pPr>
      <w:tabs>
        <w:tab w:val="center" w:pos="7285"/>
        <w:tab w:val="left" w:pos="8630"/>
      </w:tabs>
      <w:autoSpaceDE w:val="0"/>
      <w:autoSpaceDN w:val="0"/>
      <w:adjustRightInd w:val="0"/>
    </w:pPr>
    <w:rPr>
      <w:rFonts w:cs="Calibri"/>
      <w:szCs w:val="22"/>
    </w:rPr>
  </w:style>
  <w:style w:type="paragraph" w:customStyle="1" w:styleId="HeaderCouncil">
    <w:name w:val="Header Council"/>
    <w:basedOn w:val="Normal"/>
    <w:rsid w:val="003C79F3"/>
    <w:pPr>
      <w:autoSpaceDE w:val="0"/>
      <w:autoSpaceDN w:val="0"/>
      <w:adjustRightInd w:val="0"/>
    </w:pPr>
    <w:rPr>
      <w:rFonts w:cs="Calibri"/>
      <w:sz w:val="2"/>
      <w:szCs w:val="22"/>
    </w:rPr>
  </w:style>
  <w:style w:type="paragraph" w:customStyle="1" w:styleId="FooterCouncil">
    <w:name w:val="Footer Council"/>
    <w:basedOn w:val="Normal"/>
    <w:rsid w:val="003C79F3"/>
    <w:pPr>
      <w:autoSpaceDE w:val="0"/>
      <w:autoSpaceDN w:val="0"/>
      <w:adjustRightInd w:val="0"/>
    </w:pPr>
    <w:rPr>
      <w:rFonts w:cs="Calibri"/>
      <w:sz w:val="2"/>
      <w:szCs w:val="22"/>
    </w:rPr>
  </w:style>
  <w:style w:type="paragraph" w:customStyle="1" w:styleId="TechnicalBlock">
    <w:name w:val="Technical Block"/>
    <w:basedOn w:val="Normal"/>
    <w:next w:val="Normal"/>
    <w:rsid w:val="003C79F3"/>
    <w:pPr>
      <w:autoSpaceDE w:val="0"/>
      <w:autoSpaceDN w:val="0"/>
      <w:adjustRightInd w:val="0"/>
      <w:spacing w:after="240"/>
      <w:jc w:val="center"/>
    </w:pPr>
    <w:rPr>
      <w:rFonts w:cs="Calibri"/>
      <w:szCs w:val="22"/>
    </w:rPr>
  </w:style>
  <w:style w:type="paragraph" w:customStyle="1" w:styleId="FinalLine">
    <w:name w:val="Final Line"/>
    <w:basedOn w:val="Normal"/>
    <w:next w:val="Normal"/>
    <w:rsid w:val="003C79F3"/>
    <w:pPr>
      <w:pBdr>
        <w:bottom w:val="single" w:sz="4" w:space="0" w:color="000000"/>
      </w:pBdr>
      <w:autoSpaceDE w:val="0"/>
      <w:autoSpaceDN w:val="0"/>
      <w:adjustRightInd w:val="0"/>
      <w:spacing w:before="360" w:after="120" w:line="360" w:lineRule="auto"/>
      <w:ind w:left="3400" w:right="3400"/>
      <w:jc w:val="center"/>
    </w:pPr>
    <w:rPr>
      <w:rFonts w:cs="Calibri"/>
      <w:b/>
      <w:szCs w:val="22"/>
    </w:rPr>
  </w:style>
  <w:style w:type="paragraph" w:customStyle="1" w:styleId="FinalLineLandscape">
    <w:name w:val="Final Line (Landscape)"/>
    <w:basedOn w:val="Normal"/>
    <w:next w:val="Normal"/>
    <w:rsid w:val="003C79F3"/>
    <w:pPr>
      <w:pBdr>
        <w:bottom w:val="single" w:sz="4" w:space="0" w:color="000000"/>
      </w:pBdr>
      <w:autoSpaceDE w:val="0"/>
      <w:autoSpaceDN w:val="0"/>
      <w:adjustRightInd w:val="0"/>
      <w:spacing w:before="360" w:after="120" w:line="360" w:lineRule="auto"/>
      <w:ind w:left="5868" w:right="5868"/>
      <w:jc w:val="center"/>
    </w:pPr>
    <w:rPr>
      <w:rFonts w:cs="Calibri"/>
      <w:b/>
      <w:szCs w:val="22"/>
    </w:rPr>
  </w:style>
  <w:style w:type="paragraph" w:customStyle="1" w:styleId="Text1">
    <w:name w:val="Text 1"/>
    <w:basedOn w:val="Normal"/>
    <w:rsid w:val="003C79F3"/>
    <w:pPr>
      <w:autoSpaceDE w:val="0"/>
      <w:autoSpaceDN w:val="0"/>
      <w:adjustRightInd w:val="0"/>
      <w:spacing w:before="120" w:after="120" w:line="360" w:lineRule="auto"/>
      <w:ind w:left="567"/>
    </w:pPr>
    <w:rPr>
      <w:rFonts w:cs="Calibri"/>
      <w:szCs w:val="22"/>
    </w:rPr>
  </w:style>
  <w:style w:type="paragraph" w:customStyle="1" w:styleId="Text2">
    <w:name w:val="Text 2"/>
    <w:basedOn w:val="Normal"/>
    <w:rsid w:val="003C79F3"/>
    <w:pPr>
      <w:autoSpaceDE w:val="0"/>
      <w:autoSpaceDN w:val="0"/>
      <w:adjustRightInd w:val="0"/>
      <w:spacing w:before="120" w:after="120" w:line="360" w:lineRule="auto"/>
      <w:ind w:left="1134"/>
    </w:pPr>
    <w:rPr>
      <w:rFonts w:cs="Calibri"/>
      <w:szCs w:val="22"/>
    </w:rPr>
  </w:style>
  <w:style w:type="paragraph" w:customStyle="1" w:styleId="Text3">
    <w:name w:val="Text 3"/>
    <w:basedOn w:val="Normal"/>
    <w:rsid w:val="003C79F3"/>
    <w:pPr>
      <w:autoSpaceDE w:val="0"/>
      <w:autoSpaceDN w:val="0"/>
      <w:adjustRightInd w:val="0"/>
      <w:spacing w:before="120" w:after="120" w:line="360" w:lineRule="auto"/>
      <w:ind w:left="1701"/>
    </w:pPr>
    <w:rPr>
      <w:rFonts w:cs="Calibri"/>
      <w:szCs w:val="22"/>
    </w:rPr>
  </w:style>
  <w:style w:type="paragraph" w:customStyle="1" w:styleId="Text4">
    <w:name w:val="Text 4"/>
    <w:basedOn w:val="Normal"/>
    <w:rsid w:val="003C79F3"/>
    <w:pPr>
      <w:autoSpaceDE w:val="0"/>
      <w:autoSpaceDN w:val="0"/>
      <w:adjustRightInd w:val="0"/>
      <w:spacing w:before="120" w:after="120" w:line="360" w:lineRule="auto"/>
      <w:ind w:left="2268"/>
    </w:pPr>
    <w:rPr>
      <w:rFonts w:cs="Calibri"/>
      <w:szCs w:val="22"/>
    </w:rPr>
  </w:style>
  <w:style w:type="paragraph" w:customStyle="1" w:styleId="Text5">
    <w:name w:val="Text 5"/>
    <w:basedOn w:val="Normal"/>
    <w:rsid w:val="003C79F3"/>
    <w:pPr>
      <w:autoSpaceDE w:val="0"/>
      <w:autoSpaceDN w:val="0"/>
      <w:adjustRightInd w:val="0"/>
      <w:spacing w:before="120" w:after="120" w:line="360" w:lineRule="auto"/>
      <w:ind w:left="2835"/>
    </w:pPr>
    <w:rPr>
      <w:rFonts w:cs="Calibri"/>
      <w:szCs w:val="22"/>
    </w:rPr>
  </w:style>
  <w:style w:type="paragraph" w:customStyle="1" w:styleId="Text6">
    <w:name w:val="Text 6"/>
    <w:basedOn w:val="Normal"/>
    <w:rsid w:val="003C79F3"/>
    <w:pPr>
      <w:autoSpaceDE w:val="0"/>
      <w:autoSpaceDN w:val="0"/>
      <w:adjustRightInd w:val="0"/>
      <w:spacing w:before="120" w:after="120" w:line="360" w:lineRule="auto"/>
      <w:ind w:left="3402"/>
    </w:pPr>
    <w:rPr>
      <w:rFonts w:cs="Calibri"/>
      <w:szCs w:val="22"/>
    </w:rPr>
  </w:style>
  <w:style w:type="paragraph" w:customStyle="1" w:styleId="PointManual">
    <w:name w:val="Point Manual"/>
    <w:basedOn w:val="Normal"/>
    <w:rsid w:val="003C79F3"/>
    <w:pPr>
      <w:autoSpaceDE w:val="0"/>
      <w:autoSpaceDN w:val="0"/>
      <w:adjustRightInd w:val="0"/>
      <w:spacing w:before="120" w:after="120" w:line="360" w:lineRule="auto"/>
      <w:ind w:left="567" w:hanging="567"/>
    </w:pPr>
    <w:rPr>
      <w:rFonts w:cs="Calibri"/>
      <w:szCs w:val="22"/>
    </w:rPr>
  </w:style>
  <w:style w:type="paragraph" w:customStyle="1" w:styleId="PointManual1">
    <w:name w:val="Point Manual (1)"/>
    <w:basedOn w:val="Normal"/>
    <w:rsid w:val="003C79F3"/>
    <w:pPr>
      <w:autoSpaceDE w:val="0"/>
      <w:autoSpaceDN w:val="0"/>
      <w:adjustRightInd w:val="0"/>
      <w:spacing w:before="120" w:after="120" w:line="360" w:lineRule="auto"/>
      <w:ind w:left="1134" w:hanging="567"/>
    </w:pPr>
    <w:rPr>
      <w:rFonts w:cs="Calibri"/>
      <w:szCs w:val="22"/>
    </w:rPr>
  </w:style>
  <w:style w:type="paragraph" w:customStyle="1" w:styleId="PointManual2">
    <w:name w:val="Point Manual (2)"/>
    <w:basedOn w:val="Normal"/>
    <w:rsid w:val="003C79F3"/>
    <w:pPr>
      <w:autoSpaceDE w:val="0"/>
      <w:autoSpaceDN w:val="0"/>
      <w:adjustRightInd w:val="0"/>
      <w:spacing w:before="120" w:after="120" w:line="360" w:lineRule="auto"/>
      <w:ind w:left="1701" w:hanging="567"/>
    </w:pPr>
    <w:rPr>
      <w:rFonts w:cs="Calibri"/>
      <w:szCs w:val="22"/>
    </w:rPr>
  </w:style>
  <w:style w:type="paragraph" w:customStyle="1" w:styleId="PointManual3">
    <w:name w:val="Point Manual (3)"/>
    <w:basedOn w:val="Normal"/>
    <w:rsid w:val="003C79F3"/>
    <w:pPr>
      <w:autoSpaceDE w:val="0"/>
      <w:autoSpaceDN w:val="0"/>
      <w:adjustRightInd w:val="0"/>
      <w:spacing w:before="120" w:after="120" w:line="360" w:lineRule="auto"/>
      <w:ind w:left="2268" w:hanging="567"/>
    </w:pPr>
    <w:rPr>
      <w:rFonts w:cs="Calibri"/>
      <w:szCs w:val="22"/>
    </w:rPr>
  </w:style>
  <w:style w:type="paragraph" w:customStyle="1" w:styleId="PointManual4">
    <w:name w:val="Point Manual (4)"/>
    <w:basedOn w:val="Normal"/>
    <w:rsid w:val="003C79F3"/>
    <w:pPr>
      <w:autoSpaceDE w:val="0"/>
      <w:autoSpaceDN w:val="0"/>
      <w:adjustRightInd w:val="0"/>
      <w:spacing w:before="120" w:after="120" w:line="360" w:lineRule="auto"/>
      <w:ind w:left="2835" w:hanging="567"/>
    </w:pPr>
    <w:rPr>
      <w:rFonts w:cs="Calibri"/>
      <w:szCs w:val="22"/>
    </w:rPr>
  </w:style>
  <w:style w:type="paragraph" w:customStyle="1" w:styleId="PointDoubleManual">
    <w:name w:val="Point Double Manual"/>
    <w:basedOn w:val="Normal"/>
    <w:rsid w:val="003C79F3"/>
    <w:pPr>
      <w:tabs>
        <w:tab w:val="left" w:pos="567"/>
      </w:tabs>
      <w:autoSpaceDE w:val="0"/>
      <w:autoSpaceDN w:val="0"/>
      <w:adjustRightInd w:val="0"/>
      <w:spacing w:before="120" w:after="120" w:line="360" w:lineRule="auto"/>
      <w:ind w:left="1134" w:hanging="1134"/>
    </w:pPr>
    <w:rPr>
      <w:rFonts w:cs="Calibri"/>
      <w:szCs w:val="22"/>
    </w:rPr>
  </w:style>
  <w:style w:type="paragraph" w:customStyle="1" w:styleId="PointDoubleManual1">
    <w:name w:val="Point Double Manual (1)"/>
    <w:basedOn w:val="Normal"/>
    <w:rsid w:val="003C79F3"/>
    <w:pPr>
      <w:tabs>
        <w:tab w:val="left" w:pos="1134"/>
      </w:tabs>
      <w:autoSpaceDE w:val="0"/>
      <w:autoSpaceDN w:val="0"/>
      <w:adjustRightInd w:val="0"/>
      <w:spacing w:before="120" w:after="120" w:line="360" w:lineRule="auto"/>
      <w:ind w:left="1701" w:hanging="1134"/>
    </w:pPr>
    <w:rPr>
      <w:rFonts w:cs="Calibri"/>
      <w:szCs w:val="22"/>
    </w:rPr>
  </w:style>
  <w:style w:type="paragraph" w:customStyle="1" w:styleId="PointDoubleManual2">
    <w:name w:val="Point Double Manual (2)"/>
    <w:basedOn w:val="Normal"/>
    <w:rsid w:val="003C79F3"/>
    <w:pPr>
      <w:tabs>
        <w:tab w:val="left" w:pos="1701"/>
      </w:tabs>
      <w:autoSpaceDE w:val="0"/>
      <w:autoSpaceDN w:val="0"/>
      <w:adjustRightInd w:val="0"/>
      <w:spacing w:before="120" w:after="120" w:line="360" w:lineRule="auto"/>
      <w:ind w:left="2268" w:hanging="1134"/>
    </w:pPr>
    <w:rPr>
      <w:rFonts w:cs="Calibri"/>
      <w:szCs w:val="22"/>
    </w:rPr>
  </w:style>
  <w:style w:type="paragraph" w:customStyle="1" w:styleId="PointDoubleManual3">
    <w:name w:val="Point Double Manual (3)"/>
    <w:basedOn w:val="Normal"/>
    <w:rsid w:val="003C79F3"/>
    <w:pPr>
      <w:tabs>
        <w:tab w:val="left" w:pos="2268"/>
      </w:tabs>
      <w:autoSpaceDE w:val="0"/>
      <w:autoSpaceDN w:val="0"/>
      <w:adjustRightInd w:val="0"/>
      <w:spacing w:before="120" w:after="120" w:line="360" w:lineRule="auto"/>
      <w:ind w:left="2835" w:hanging="1134"/>
    </w:pPr>
    <w:rPr>
      <w:rFonts w:cs="Calibri"/>
      <w:szCs w:val="22"/>
    </w:rPr>
  </w:style>
  <w:style w:type="paragraph" w:customStyle="1" w:styleId="PointDoubleManual4">
    <w:name w:val="Point Double Manual (4)"/>
    <w:basedOn w:val="Normal"/>
    <w:rsid w:val="003C79F3"/>
    <w:pPr>
      <w:tabs>
        <w:tab w:val="left" w:pos="2835"/>
      </w:tabs>
      <w:autoSpaceDE w:val="0"/>
      <w:autoSpaceDN w:val="0"/>
      <w:adjustRightInd w:val="0"/>
      <w:spacing w:before="120" w:after="120" w:line="360" w:lineRule="auto"/>
      <w:ind w:left="3402" w:hanging="1134"/>
    </w:pPr>
    <w:rPr>
      <w:rFonts w:cs="Calibri"/>
      <w:szCs w:val="22"/>
    </w:rPr>
  </w:style>
  <w:style w:type="paragraph" w:customStyle="1" w:styleId="Pointabc">
    <w:name w:val="Point abc"/>
    <w:basedOn w:val="Normal"/>
    <w:rsid w:val="003C79F3"/>
    <w:pPr>
      <w:numPr>
        <w:ilvl w:val="1"/>
        <w:numId w:val="36"/>
      </w:numPr>
      <w:tabs>
        <w:tab w:val="left" w:pos="567"/>
        <w:tab w:val="num" w:pos="2268"/>
      </w:tabs>
      <w:autoSpaceDE w:val="0"/>
      <w:autoSpaceDN w:val="0"/>
      <w:adjustRightInd w:val="0"/>
      <w:spacing w:before="120" w:after="120" w:line="360" w:lineRule="auto"/>
      <w:ind w:left="2268"/>
    </w:pPr>
    <w:rPr>
      <w:rFonts w:cs="Calibri"/>
      <w:szCs w:val="22"/>
    </w:rPr>
  </w:style>
  <w:style w:type="paragraph" w:customStyle="1" w:styleId="Pointabc1">
    <w:name w:val="Point abc (1)"/>
    <w:basedOn w:val="Normal"/>
    <w:rsid w:val="003C79F3"/>
    <w:pPr>
      <w:numPr>
        <w:ilvl w:val="3"/>
        <w:numId w:val="36"/>
      </w:numPr>
      <w:tabs>
        <w:tab w:val="left" w:pos="1134"/>
        <w:tab w:val="num" w:pos="2268"/>
      </w:tabs>
      <w:autoSpaceDE w:val="0"/>
      <w:autoSpaceDN w:val="0"/>
      <w:adjustRightInd w:val="0"/>
      <w:spacing w:before="120" w:after="120" w:line="360" w:lineRule="auto"/>
      <w:ind w:left="2268"/>
    </w:pPr>
    <w:rPr>
      <w:rFonts w:cs="Calibri"/>
      <w:szCs w:val="22"/>
    </w:rPr>
  </w:style>
  <w:style w:type="paragraph" w:customStyle="1" w:styleId="Pointabc2">
    <w:name w:val="Point abc (2)"/>
    <w:basedOn w:val="Normal"/>
    <w:rsid w:val="003C79F3"/>
    <w:pPr>
      <w:numPr>
        <w:ilvl w:val="5"/>
        <w:numId w:val="36"/>
      </w:numPr>
      <w:tabs>
        <w:tab w:val="left" w:pos="1701"/>
        <w:tab w:val="num" w:pos="2268"/>
      </w:tabs>
      <w:autoSpaceDE w:val="0"/>
      <w:autoSpaceDN w:val="0"/>
      <w:adjustRightInd w:val="0"/>
      <w:spacing w:before="120" w:after="120" w:line="360" w:lineRule="auto"/>
      <w:ind w:left="2268"/>
    </w:pPr>
    <w:rPr>
      <w:rFonts w:cs="Calibri"/>
      <w:szCs w:val="22"/>
    </w:rPr>
  </w:style>
  <w:style w:type="paragraph" w:customStyle="1" w:styleId="Pointabc3">
    <w:name w:val="Point abc (3)"/>
    <w:basedOn w:val="Normal"/>
    <w:rsid w:val="003C79F3"/>
    <w:pPr>
      <w:numPr>
        <w:ilvl w:val="7"/>
        <w:numId w:val="36"/>
      </w:numPr>
      <w:tabs>
        <w:tab w:val="left" w:pos="2268"/>
      </w:tabs>
      <w:autoSpaceDE w:val="0"/>
      <w:autoSpaceDN w:val="0"/>
      <w:adjustRightInd w:val="0"/>
      <w:spacing w:before="120" w:after="120" w:line="360" w:lineRule="auto"/>
    </w:pPr>
    <w:rPr>
      <w:rFonts w:cs="Calibri"/>
      <w:szCs w:val="22"/>
    </w:rPr>
  </w:style>
  <w:style w:type="paragraph" w:customStyle="1" w:styleId="Pointabc4">
    <w:name w:val="Point abc (4)"/>
    <w:basedOn w:val="Normal"/>
    <w:rsid w:val="003C79F3"/>
    <w:pPr>
      <w:numPr>
        <w:ilvl w:val="8"/>
        <w:numId w:val="36"/>
      </w:numPr>
      <w:tabs>
        <w:tab w:val="num" w:pos="2268"/>
        <w:tab w:val="left" w:pos="2835"/>
      </w:tabs>
      <w:autoSpaceDE w:val="0"/>
      <w:autoSpaceDN w:val="0"/>
      <w:adjustRightInd w:val="0"/>
      <w:spacing w:before="120" w:after="120" w:line="360" w:lineRule="auto"/>
      <w:ind w:left="2268"/>
    </w:pPr>
    <w:rPr>
      <w:rFonts w:cs="Calibri"/>
      <w:szCs w:val="22"/>
    </w:rPr>
  </w:style>
  <w:style w:type="paragraph" w:customStyle="1" w:styleId="Point123">
    <w:name w:val="Point 123"/>
    <w:basedOn w:val="Normal"/>
    <w:rsid w:val="003C79F3"/>
    <w:pPr>
      <w:numPr>
        <w:numId w:val="36"/>
      </w:numPr>
      <w:tabs>
        <w:tab w:val="left" w:pos="567"/>
        <w:tab w:val="num" w:pos="2268"/>
      </w:tabs>
      <w:autoSpaceDE w:val="0"/>
      <w:autoSpaceDN w:val="0"/>
      <w:adjustRightInd w:val="0"/>
      <w:spacing w:before="120" w:after="120" w:line="360" w:lineRule="auto"/>
      <w:ind w:left="2268"/>
    </w:pPr>
    <w:rPr>
      <w:rFonts w:cs="Calibri"/>
      <w:szCs w:val="22"/>
    </w:rPr>
  </w:style>
  <w:style w:type="paragraph" w:customStyle="1" w:styleId="Point1231">
    <w:name w:val="Point 123 (1)"/>
    <w:basedOn w:val="Normal"/>
    <w:rsid w:val="003C79F3"/>
    <w:pPr>
      <w:numPr>
        <w:ilvl w:val="2"/>
        <w:numId w:val="36"/>
      </w:numPr>
      <w:tabs>
        <w:tab w:val="left" w:pos="1134"/>
        <w:tab w:val="num" w:pos="2268"/>
      </w:tabs>
      <w:autoSpaceDE w:val="0"/>
      <w:autoSpaceDN w:val="0"/>
      <w:adjustRightInd w:val="0"/>
      <w:spacing w:before="120" w:after="120" w:line="360" w:lineRule="auto"/>
      <w:ind w:left="2268"/>
    </w:pPr>
    <w:rPr>
      <w:rFonts w:cs="Calibri"/>
      <w:szCs w:val="22"/>
    </w:rPr>
  </w:style>
  <w:style w:type="paragraph" w:customStyle="1" w:styleId="Point1232">
    <w:name w:val="Point 123 (2)"/>
    <w:basedOn w:val="Normal"/>
    <w:rsid w:val="003C79F3"/>
    <w:pPr>
      <w:numPr>
        <w:ilvl w:val="4"/>
        <w:numId w:val="36"/>
      </w:numPr>
      <w:tabs>
        <w:tab w:val="left" w:pos="1701"/>
        <w:tab w:val="num" w:pos="2268"/>
      </w:tabs>
      <w:autoSpaceDE w:val="0"/>
      <w:autoSpaceDN w:val="0"/>
      <w:adjustRightInd w:val="0"/>
      <w:spacing w:before="120" w:after="120" w:line="360" w:lineRule="auto"/>
      <w:ind w:left="2268"/>
    </w:pPr>
    <w:rPr>
      <w:rFonts w:cs="Calibri"/>
      <w:szCs w:val="22"/>
    </w:rPr>
  </w:style>
  <w:style w:type="paragraph" w:customStyle="1" w:styleId="Point1233">
    <w:name w:val="Point 123 (3)"/>
    <w:basedOn w:val="Normal"/>
    <w:rsid w:val="003C79F3"/>
    <w:pPr>
      <w:numPr>
        <w:ilvl w:val="6"/>
        <w:numId w:val="36"/>
      </w:numPr>
      <w:tabs>
        <w:tab w:val="left" w:pos="2268"/>
      </w:tabs>
      <w:autoSpaceDE w:val="0"/>
      <w:autoSpaceDN w:val="0"/>
      <w:adjustRightInd w:val="0"/>
      <w:spacing w:before="120" w:after="120" w:line="360" w:lineRule="auto"/>
    </w:pPr>
    <w:rPr>
      <w:rFonts w:cs="Calibri"/>
      <w:szCs w:val="22"/>
    </w:rPr>
  </w:style>
  <w:style w:type="paragraph" w:customStyle="1" w:styleId="Pointivx">
    <w:name w:val="Point ivx"/>
    <w:basedOn w:val="Normal"/>
    <w:rsid w:val="003C79F3"/>
    <w:pPr>
      <w:numPr>
        <w:numId w:val="37"/>
      </w:numPr>
      <w:tabs>
        <w:tab w:val="clear" w:pos="567"/>
        <w:tab w:val="num" w:pos="2835"/>
      </w:tabs>
      <w:autoSpaceDE w:val="0"/>
      <w:autoSpaceDN w:val="0"/>
      <w:adjustRightInd w:val="0"/>
      <w:spacing w:before="120" w:after="120" w:line="360" w:lineRule="auto"/>
      <w:ind w:left="786" w:hanging="360"/>
    </w:pPr>
    <w:rPr>
      <w:rFonts w:cs="Calibri"/>
      <w:szCs w:val="22"/>
    </w:rPr>
  </w:style>
  <w:style w:type="paragraph" w:customStyle="1" w:styleId="Pointivx1">
    <w:name w:val="Point ivx (1)"/>
    <w:basedOn w:val="Normal"/>
    <w:rsid w:val="003C79F3"/>
    <w:pPr>
      <w:numPr>
        <w:ilvl w:val="1"/>
        <w:numId w:val="37"/>
      </w:numPr>
      <w:tabs>
        <w:tab w:val="left" w:pos="1134"/>
        <w:tab w:val="num" w:pos="2835"/>
      </w:tabs>
      <w:autoSpaceDE w:val="0"/>
      <w:autoSpaceDN w:val="0"/>
      <w:adjustRightInd w:val="0"/>
      <w:spacing w:before="120" w:after="120" w:line="360" w:lineRule="auto"/>
      <w:ind w:left="2835"/>
    </w:pPr>
    <w:rPr>
      <w:rFonts w:cs="Calibri"/>
      <w:szCs w:val="22"/>
    </w:rPr>
  </w:style>
  <w:style w:type="paragraph" w:customStyle="1" w:styleId="Pointivx2">
    <w:name w:val="Point ivx (2)"/>
    <w:basedOn w:val="Normal"/>
    <w:rsid w:val="003C79F3"/>
    <w:pPr>
      <w:numPr>
        <w:ilvl w:val="2"/>
        <w:numId w:val="37"/>
      </w:numPr>
      <w:tabs>
        <w:tab w:val="left" w:pos="1701"/>
        <w:tab w:val="num" w:pos="2835"/>
      </w:tabs>
      <w:autoSpaceDE w:val="0"/>
      <w:autoSpaceDN w:val="0"/>
      <w:adjustRightInd w:val="0"/>
      <w:spacing w:before="120" w:after="120" w:line="360" w:lineRule="auto"/>
      <w:ind w:left="2835"/>
    </w:pPr>
    <w:rPr>
      <w:rFonts w:cs="Calibri"/>
      <w:szCs w:val="22"/>
    </w:rPr>
  </w:style>
  <w:style w:type="paragraph" w:customStyle="1" w:styleId="Pointivx3">
    <w:name w:val="Point ivx (3)"/>
    <w:basedOn w:val="Normal"/>
    <w:rsid w:val="003C79F3"/>
    <w:pPr>
      <w:numPr>
        <w:ilvl w:val="3"/>
        <w:numId w:val="37"/>
      </w:numPr>
      <w:tabs>
        <w:tab w:val="left" w:pos="2268"/>
        <w:tab w:val="num" w:pos="2835"/>
      </w:tabs>
      <w:autoSpaceDE w:val="0"/>
      <w:autoSpaceDN w:val="0"/>
      <w:adjustRightInd w:val="0"/>
      <w:spacing w:before="120" w:after="120" w:line="360" w:lineRule="auto"/>
      <w:ind w:left="2835"/>
    </w:pPr>
    <w:rPr>
      <w:rFonts w:cs="Calibri"/>
      <w:szCs w:val="22"/>
    </w:rPr>
  </w:style>
  <w:style w:type="paragraph" w:customStyle="1" w:styleId="Pointivx4">
    <w:name w:val="Point ivx (4)"/>
    <w:basedOn w:val="Normal"/>
    <w:rsid w:val="003C79F3"/>
    <w:pPr>
      <w:numPr>
        <w:ilvl w:val="4"/>
        <w:numId w:val="37"/>
      </w:numPr>
      <w:tabs>
        <w:tab w:val="left" w:pos="2835"/>
      </w:tabs>
      <w:autoSpaceDE w:val="0"/>
      <w:autoSpaceDN w:val="0"/>
      <w:adjustRightInd w:val="0"/>
      <w:spacing w:before="120" w:after="120" w:line="360" w:lineRule="auto"/>
    </w:pPr>
    <w:rPr>
      <w:rFonts w:cs="Calibri"/>
      <w:szCs w:val="22"/>
    </w:rPr>
  </w:style>
  <w:style w:type="paragraph" w:customStyle="1" w:styleId="Bullet">
    <w:name w:val="Bullet"/>
    <w:basedOn w:val="Normal"/>
    <w:rsid w:val="003C79F3"/>
    <w:pPr>
      <w:numPr>
        <w:numId w:val="31"/>
      </w:numPr>
      <w:tabs>
        <w:tab w:val="left" w:pos="567"/>
        <w:tab w:val="num" w:pos="1800"/>
      </w:tabs>
      <w:autoSpaceDE w:val="0"/>
      <w:autoSpaceDN w:val="0"/>
      <w:adjustRightInd w:val="0"/>
      <w:spacing w:before="120" w:after="120" w:line="360" w:lineRule="auto"/>
      <w:ind w:left="1800" w:hanging="360"/>
    </w:pPr>
    <w:rPr>
      <w:rFonts w:cs="Calibri"/>
      <w:szCs w:val="22"/>
    </w:rPr>
  </w:style>
  <w:style w:type="paragraph" w:customStyle="1" w:styleId="Bullet1">
    <w:name w:val="Bullet 1"/>
    <w:basedOn w:val="Normal"/>
    <w:rsid w:val="003C79F3"/>
    <w:pPr>
      <w:numPr>
        <w:numId w:val="32"/>
      </w:numPr>
      <w:tabs>
        <w:tab w:val="left" w:pos="1134"/>
        <w:tab w:val="num" w:pos="1800"/>
      </w:tabs>
      <w:autoSpaceDE w:val="0"/>
      <w:autoSpaceDN w:val="0"/>
      <w:adjustRightInd w:val="0"/>
      <w:spacing w:before="120" w:after="120" w:line="360" w:lineRule="auto"/>
      <w:ind w:left="1800" w:hanging="360"/>
    </w:pPr>
    <w:rPr>
      <w:rFonts w:cs="Calibri"/>
      <w:szCs w:val="22"/>
    </w:rPr>
  </w:style>
  <w:style w:type="paragraph" w:customStyle="1" w:styleId="Bullet2">
    <w:name w:val="Bullet 2"/>
    <w:basedOn w:val="Normal"/>
    <w:rsid w:val="003C79F3"/>
    <w:pPr>
      <w:numPr>
        <w:numId w:val="33"/>
      </w:numPr>
      <w:tabs>
        <w:tab w:val="num" w:pos="567"/>
        <w:tab w:val="left" w:pos="1701"/>
      </w:tabs>
      <w:autoSpaceDE w:val="0"/>
      <w:autoSpaceDN w:val="0"/>
      <w:adjustRightInd w:val="0"/>
      <w:spacing w:before="120" w:after="120" w:line="360" w:lineRule="auto"/>
      <w:ind w:left="567"/>
    </w:pPr>
    <w:rPr>
      <w:rFonts w:cs="Calibri"/>
      <w:szCs w:val="22"/>
    </w:rPr>
  </w:style>
  <w:style w:type="paragraph" w:customStyle="1" w:styleId="Bullet3">
    <w:name w:val="Bullet 3"/>
    <w:basedOn w:val="Normal"/>
    <w:rsid w:val="003C79F3"/>
    <w:pPr>
      <w:numPr>
        <w:numId w:val="34"/>
      </w:numPr>
      <w:tabs>
        <w:tab w:val="num" w:pos="1134"/>
        <w:tab w:val="left" w:pos="2268"/>
      </w:tabs>
      <w:autoSpaceDE w:val="0"/>
      <w:autoSpaceDN w:val="0"/>
      <w:adjustRightInd w:val="0"/>
      <w:spacing w:before="120" w:after="120" w:line="360" w:lineRule="auto"/>
      <w:ind w:left="1134"/>
    </w:pPr>
    <w:rPr>
      <w:rFonts w:cs="Calibri"/>
      <w:szCs w:val="22"/>
    </w:rPr>
  </w:style>
  <w:style w:type="paragraph" w:customStyle="1" w:styleId="Bullet4">
    <w:name w:val="Bullet 4"/>
    <w:basedOn w:val="Normal"/>
    <w:rsid w:val="003C79F3"/>
    <w:pPr>
      <w:numPr>
        <w:numId w:val="35"/>
      </w:numPr>
      <w:tabs>
        <w:tab w:val="num" w:pos="1701"/>
        <w:tab w:val="left" w:pos="2835"/>
      </w:tabs>
      <w:autoSpaceDE w:val="0"/>
      <w:autoSpaceDN w:val="0"/>
      <w:adjustRightInd w:val="0"/>
      <w:spacing w:before="120" w:after="120" w:line="360" w:lineRule="auto"/>
      <w:ind w:left="1701"/>
    </w:pPr>
    <w:rPr>
      <w:rFonts w:cs="Calibri"/>
      <w:szCs w:val="22"/>
    </w:rPr>
  </w:style>
  <w:style w:type="paragraph" w:customStyle="1" w:styleId="Dash">
    <w:name w:val="Dash"/>
    <w:basedOn w:val="Normal"/>
    <w:rsid w:val="003C79F3"/>
    <w:pPr>
      <w:numPr>
        <w:numId w:val="21"/>
      </w:numPr>
      <w:tabs>
        <w:tab w:val="left" w:pos="567"/>
      </w:tabs>
      <w:autoSpaceDE w:val="0"/>
      <w:autoSpaceDN w:val="0"/>
      <w:adjustRightInd w:val="0"/>
      <w:spacing w:before="120" w:after="120" w:line="360" w:lineRule="auto"/>
    </w:pPr>
    <w:rPr>
      <w:rFonts w:cs="Calibri"/>
      <w:szCs w:val="22"/>
    </w:rPr>
  </w:style>
  <w:style w:type="paragraph" w:customStyle="1" w:styleId="Dash1">
    <w:name w:val="Dash 1"/>
    <w:basedOn w:val="Normal"/>
    <w:rsid w:val="003C79F3"/>
    <w:pPr>
      <w:numPr>
        <w:numId w:val="22"/>
      </w:numPr>
      <w:tabs>
        <w:tab w:val="left" w:pos="1134"/>
      </w:tabs>
      <w:autoSpaceDE w:val="0"/>
      <w:autoSpaceDN w:val="0"/>
      <w:adjustRightInd w:val="0"/>
      <w:spacing w:before="120" w:after="120" w:line="360" w:lineRule="auto"/>
    </w:pPr>
    <w:rPr>
      <w:rFonts w:cs="Calibri"/>
      <w:szCs w:val="22"/>
    </w:rPr>
  </w:style>
  <w:style w:type="paragraph" w:customStyle="1" w:styleId="Dash2">
    <w:name w:val="Dash 2"/>
    <w:basedOn w:val="Normal"/>
    <w:rsid w:val="003C79F3"/>
    <w:pPr>
      <w:numPr>
        <w:numId w:val="23"/>
      </w:numPr>
      <w:tabs>
        <w:tab w:val="left" w:pos="1701"/>
      </w:tabs>
      <w:autoSpaceDE w:val="0"/>
      <w:autoSpaceDN w:val="0"/>
      <w:adjustRightInd w:val="0"/>
      <w:spacing w:before="120" w:after="120" w:line="360" w:lineRule="auto"/>
    </w:pPr>
    <w:rPr>
      <w:rFonts w:cs="Calibri"/>
      <w:szCs w:val="22"/>
    </w:rPr>
  </w:style>
  <w:style w:type="paragraph" w:customStyle="1" w:styleId="Dash3">
    <w:name w:val="Dash 3"/>
    <w:basedOn w:val="Normal"/>
    <w:rsid w:val="003C79F3"/>
    <w:pPr>
      <w:numPr>
        <w:numId w:val="24"/>
      </w:numPr>
      <w:tabs>
        <w:tab w:val="left" w:pos="2268"/>
      </w:tabs>
      <w:autoSpaceDE w:val="0"/>
      <w:autoSpaceDN w:val="0"/>
      <w:adjustRightInd w:val="0"/>
      <w:spacing w:before="120" w:after="120" w:line="360" w:lineRule="auto"/>
    </w:pPr>
    <w:rPr>
      <w:rFonts w:cs="Calibri"/>
      <w:szCs w:val="22"/>
    </w:rPr>
  </w:style>
  <w:style w:type="paragraph" w:customStyle="1" w:styleId="Dash4">
    <w:name w:val="Dash 4"/>
    <w:basedOn w:val="Normal"/>
    <w:rsid w:val="003C79F3"/>
    <w:pPr>
      <w:numPr>
        <w:numId w:val="25"/>
      </w:numPr>
      <w:tabs>
        <w:tab w:val="left" w:pos="2835"/>
      </w:tabs>
      <w:autoSpaceDE w:val="0"/>
      <w:autoSpaceDN w:val="0"/>
      <w:adjustRightInd w:val="0"/>
      <w:spacing w:before="120" w:after="120" w:line="360" w:lineRule="auto"/>
    </w:pPr>
    <w:rPr>
      <w:rFonts w:cs="Calibri"/>
      <w:szCs w:val="22"/>
    </w:rPr>
  </w:style>
  <w:style w:type="paragraph" w:customStyle="1" w:styleId="DashEqual">
    <w:name w:val="Dash Equal"/>
    <w:basedOn w:val="Dash"/>
    <w:rsid w:val="003C79F3"/>
    <w:pPr>
      <w:numPr>
        <w:numId w:val="26"/>
      </w:numPr>
      <w:tabs>
        <w:tab w:val="clear" w:pos="567"/>
        <w:tab w:val="num" w:pos="720"/>
      </w:tabs>
      <w:ind w:left="720" w:hanging="360"/>
    </w:pPr>
  </w:style>
  <w:style w:type="paragraph" w:customStyle="1" w:styleId="DashEqual1">
    <w:name w:val="Dash Equal 1"/>
    <w:basedOn w:val="Dash1"/>
    <w:rsid w:val="003C79F3"/>
    <w:pPr>
      <w:numPr>
        <w:numId w:val="27"/>
      </w:numPr>
      <w:tabs>
        <w:tab w:val="clear" w:pos="1134"/>
        <w:tab w:val="num" w:pos="1080"/>
      </w:tabs>
      <w:ind w:left="1080" w:hanging="360"/>
    </w:pPr>
  </w:style>
  <w:style w:type="paragraph" w:customStyle="1" w:styleId="DashEqual2">
    <w:name w:val="Dash Equal 2"/>
    <w:basedOn w:val="Dash2"/>
    <w:rsid w:val="003C79F3"/>
    <w:pPr>
      <w:numPr>
        <w:numId w:val="28"/>
      </w:numPr>
      <w:tabs>
        <w:tab w:val="clear" w:pos="1701"/>
        <w:tab w:val="num" w:pos="1080"/>
      </w:tabs>
      <w:ind w:left="1080" w:hanging="360"/>
    </w:pPr>
  </w:style>
  <w:style w:type="paragraph" w:customStyle="1" w:styleId="DashEqual3">
    <w:name w:val="Dash Equal 3"/>
    <w:basedOn w:val="Dash3"/>
    <w:rsid w:val="003C79F3"/>
    <w:pPr>
      <w:numPr>
        <w:numId w:val="29"/>
      </w:numPr>
      <w:tabs>
        <w:tab w:val="clear" w:pos="2268"/>
        <w:tab w:val="num" w:pos="567"/>
        <w:tab w:val="num" w:pos="1440"/>
      </w:tabs>
      <w:ind w:left="1440" w:hanging="360"/>
    </w:pPr>
  </w:style>
  <w:style w:type="paragraph" w:customStyle="1" w:styleId="DashEqual4">
    <w:name w:val="Dash Equal 4"/>
    <w:basedOn w:val="Dash4"/>
    <w:rsid w:val="003C79F3"/>
    <w:pPr>
      <w:numPr>
        <w:numId w:val="30"/>
      </w:numPr>
      <w:tabs>
        <w:tab w:val="clear" w:pos="2835"/>
        <w:tab w:val="num" w:pos="1134"/>
        <w:tab w:val="num" w:pos="1440"/>
      </w:tabs>
      <w:ind w:left="1440" w:hanging="360"/>
    </w:pPr>
  </w:style>
  <w:style w:type="character" w:customStyle="1" w:styleId="Marker">
    <w:name w:val="Marker"/>
    <w:rsid w:val="003C79F3"/>
    <w:rPr>
      <w:color w:val="0000FF"/>
      <w:bdr w:val="none" w:sz="0" w:space="0" w:color="auto"/>
      <w:shd w:val="clear" w:color="auto" w:fill="auto"/>
    </w:rPr>
  </w:style>
  <w:style w:type="character" w:customStyle="1" w:styleId="Marker1">
    <w:name w:val="Marker1"/>
    <w:rsid w:val="003C79F3"/>
    <w:rPr>
      <w:color w:val="008000"/>
      <w:bdr w:val="none" w:sz="0" w:space="0" w:color="auto"/>
      <w:shd w:val="clear" w:color="auto" w:fill="auto"/>
    </w:rPr>
  </w:style>
  <w:style w:type="paragraph" w:customStyle="1" w:styleId="HeadingLeft">
    <w:name w:val="Heading Left"/>
    <w:basedOn w:val="Normal"/>
    <w:next w:val="Normal"/>
    <w:rsid w:val="003C79F3"/>
    <w:pPr>
      <w:autoSpaceDE w:val="0"/>
      <w:autoSpaceDN w:val="0"/>
      <w:adjustRightInd w:val="0"/>
      <w:spacing w:before="360" w:after="120" w:line="360" w:lineRule="auto"/>
      <w:outlineLvl w:val="0"/>
    </w:pPr>
    <w:rPr>
      <w:rFonts w:cs="Calibri"/>
      <w:b/>
      <w:caps/>
      <w:szCs w:val="22"/>
      <w:u w:val="single"/>
    </w:rPr>
  </w:style>
  <w:style w:type="paragraph" w:customStyle="1" w:styleId="HeadingIVX">
    <w:name w:val="Heading IVX"/>
    <w:basedOn w:val="HeadingLeft"/>
    <w:next w:val="Normal"/>
    <w:rsid w:val="003C79F3"/>
    <w:pPr>
      <w:numPr>
        <w:numId w:val="40"/>
      </w:numPr>
      <w:tabs>
        <w:tab w:val="left" w:pos="567"/>
        <w:tab w:val="num" w:pos="1701"/>
      </w:tabs>
      <w:ind w:left="1701"/>
    </w:pPr>
  </w:style>
  <w:style w:type="paragraph" w:customStyle="1" w:styleId="Heading123">
    <w:name w:val="Heading 123"/>
    <w:basedOn w:val="HeadingLeft"/>
    <w:next w:val="Normal"/>
    <w:rsid w:val="003C79F3"/>
    <w:pPr>
      <w:numPr>
        <w:numId w:val="39"/>
      </w:numPr>
      <w:tabs>
        <w:tab w:val="left" w:pos="567"/>
        <w:tab w:val="num" w:pos="1134"/>
      </w:tabs>
      <w:ind w:left="1134"/>
    </w:pPr>
  </w:style>
  <w:style w:type="paragraph" w:customStyle="1" w:styleId="HeadingABC">
    <w:name w:val="Heading ABC"/>
    <w:basedOn w:val="HeadingLeft"/>
    <w:next w:val="Normal"/>
    <w:rsid w:val="003C79F3"/>
    <w:pPr>
      <w:numPr>
        <w:numId w:val="38"/>
      </w:numPr>
      <w:tabs>
        <w:tab w:val="left" w:pos="567"/>
      </w:tabs>
    </w:pPr>
  </w:style>
  <w:style w:type="paragraph" w:customStyle="1" w:styleId="HeadingCentered">
    <w:name w:val="Heading Centered"/>
    <w:basedOn w:val="HeadingLeft"/>
    <w:next w:val="Normal"/>
    <w:rsid w:val="003C79F3"/>
    <w:pPr>
      <w:jc w:val="center"/>
    </w:pPr>
  </w:style>
  <w:style w:type="paragraph" w:customStyle="1" w:styleId="Amendment">
    <w:name w:val="Amendment"/>
    <w:basedOn w:val="Normal"/>
    <w:next w:val="Normal"/>
    <w:rsid w:val="003C79F3"/>
    <w:pPr>
      <w:autoSpaceDE w:val="0"/>
      <w:autoSpaceDN w:val="0"/>
      <w:adjustRightInd w:val="0"/>
      <w:spacing w:before="120" w:after="120" w:line="360" w:lineRule="auto"/>
    </w:pPr>
    <w:rPr>
      <w:rFonts w:cs="Calibri"/>
      <w:i/>
      <w:szCs w:val="22"/>
      <w:u w:val="single"/>
    </w:rPr>
  </w:style>
  <w:style w:type="paragraph" w:customStyle="1" w:styleId="AmendmentList">
    <w:name w:val="Amendment List"/>
    <w:basedOn w:val="Normal"/>
    <w:rsid w:val="003C79F3"/>
    <w:pPr>
      <w:autoSpaceDE w:val="0"/>
      <w:autoSpaceDN w:val="0"/>
      <w:adjustRightInd w:val="0"/>
      <w:spacing w:before="120" w:after="120" w:line="360" w:lineRule="auto"/>
      <w:ind w:left="2268" w:hanging="2268"/>
    </w:pPr>
    <w:rPr>
      <w:rFonts w:cs="Calibri"/>
      <w:szCs w:val="22"/>
    </w:rPr>
  </w:style>
  <w:style w:type="paragraph" w:customStyle="1" w:styleId="ReplyRE">
    <w:name w:val="Reply RE"/>
    <w:basedOn w:val="Normal"/>
    <w:next w:val="Normal"/>
    <w:rsid w:val="003C79F3"/>
    <w:pPr>
      <w:autoSpaceDE w:val="0"/>
      <w:autoSpaceDN w:val="0"/>
      <w:adjustRightInd w:val="0"/>
      <w:spacing w:before="120" w:after="480"/>
      <w:contextualSpacing/>
    </w:pPr>
    <w:rPr>
      <w:rFonts w:cs="Calibri"/>
      <w:szCs w:val="22"/>
    </w:rPr>
  </w:style>
  <w:style w:type="paragraph" w:customStyle="1" w:styleId="ReplyBold">
    <w:name w:val="Reply Bold"/>
    <w:basedOn w:val="ReplyRE"/>
    <w:next w:val="Normal"/>
    <w:rsid w:val="003C79F3"/>
    <w:rPr>
      <w:b/>
    </w:rPr>
  </w:style>
  <w:style w:type="paragraph" w:customStyle="1" w:styleId="Annex">
    <w:name w:val="Annex"/>
    <w:basedOn w:val="Normal"/>
    <w:next w:val="Normal"/>
    <w:rsid w:val="003C79F3"/>
    <w:pPr>
      <w:autoSpaceDE w:val="0"/>
      <w:autoSpaceDN w:val="0"/>
      <w:adjustRightInd w:val="0"/>
      <w:spacing w:before="120" w:after="120" w:line="360" w:lineRule="auto"/>
      <w:jc w:val="right"/>
    </w:pPr>
    <w:rPr>
      <w:rFonts w:cs="Calibri"/>
      <w:b/>
      <w:szCs w:val="22"/>
      <w:u w:val="single"/>
    </w:rPr>
  </w:style>
  <w:style w:type="paragraph" w:customStyle="1" w:styleId="Sign">
    <w:name w:val="Sign"/>
    <w:basedOn w:val="Normal"/>
    <w:rsid w:val="003C79F3"/>
    <w:pPr>
      <w:tabs>
        <w:tab w:val="center" w:pos="7087"/>
      </w:tabs>
      <w:autoSpaceDE w:val="0"/>
      <w:autoSpaceDN w:val="0"/>
      <w:adjustRightInd w:val="0"/>
      <w:spacing w:before="120" w:after="120" w:line="360" w:lineRule="auto"/>
      <w:contextualSpacing/>
    </w:pPr>
    <w:rPr>
      <w:rFonts w:cs="Calibri"/>
      <w:szCs w:val="22"/>
    </w:rPr>
  </w:style>
  <w:style w:type="paragraph" w:customStyle="1" w:styleId="NotDeclassified">
    <w:name w:val="Not Declassified"/>
    <w:basedOn w:val="Normal"/>
    <w:next w:val="Normal"/>
    <w:rsid w:val="003C79F3"/>
    <w:pPr>
      <w:autoSpaceDE w:val="0"/>
      <w:autoSpaceDN w:val="0"/>
      <w:adjustRightInd w:val="0"/>
      <w:spacing w:before="120" w:after="120" w:line="360" w:lineRule="auto"/>
    </w:pPr>
    <w:rPr>
      <w:rFonts w:cs="Calibri"/>
      <w:b/>
      <w:szCs w:val="22"/>
      <w:shd w:val="clear" w:color="auto" w:fill="CCCCCC"/>
    </w:rPr>
  </w:style>
  <w:style w:type="character" w:customStyle="1" w:styleId="NotDeclassifiedCharacter">
    <w:name w:val="Not Declassified Character"/>
    <w:rsid w:val="003C79F3"/>
    <w:rPr>
      <w:rFonts w:ascii="Times New Roman" w:hAnsi="Times New Roman" w:cs="Times New Roman"/>
      <w:b/>
      <w:sz w:val="24"/>
      <w:bdr w:val="none" w:sz="0" w:space="0" w:color="auto"/>
      <w:shd w:val="clear" w:color="auto" w:fill="CCCCCC"/>
    </w:rPr>
  </w:style>
  <w:style w:type="paragraph" w:customStyle="1" w:styleId="HeaderCouncilLarge">
    <w:name w:val="Header Council Large"/>
    <w:basedOn w:val="Normal"/>
    <w:rsid w:val="003C79F3"/>
    <w:pPr>
      <w:autoSpaceDE w:val="0"/>
      <w:autoSpaceDN w:val="0"/>
      <w:adjustRightInd w:val="0"/>
      <w:spacing w:after="440" w:line="360" w:lineRule="auto"/>
      <w:ind w:left="-1134" w:right="-1134"/>
    </w:pPr>
    <w:rPr>
      <w:rFonts w:cs="Calibri"/>
      <w:sz w:val="2"/>
      <w:szCs w:val="22"/>
    </w:rPr>
  </w:style>
  <w:style w:type="character" w:customStyle="1" w:styleId="TechnicalBlockChar">
    <w:name w:val="Technical Block Char"/>
    <w:rsid w:val="003C79F3"/>
    <w:rPr>
      <w:rFonts w:ascii="Times New Roman" w:eastAsia="Times New Roman" w:hAnsi="Times New Roman"/>
      <w:sz w:val="24"/>
      <w:szCs w:val="22"/>
      <w:lang w:val="en-GB"/>
    </w:rPr>
  </w:style>
  <w:style w:type="character" w:customStyle="1" w:styleId="HeaderCouncilLargeChar">
    <w:name w:val="Header Council Large Char"/>
    <w:rsid w:val="003C79F3"/>
    <w:rPr>
      <w:rFonts w:ascii="Times New Roman" w:eastAsia="Times New Roman" w:hAnsi="Times New Roman"/>
      <w:sz w:val="2"/>
      <w:szCs w:val="22"/>
      <w:lang w:val="en-GB"/>
    </w:rPr>
  </w:style>
  <w:style w:type="paragraph" w:customStyle="1" w:styleId="FooterText">
    <w:name w:val="Footer Text"/>
    <w:basedOn w:val="Normal"/>
    <w:rsid w:val="003C79F3"/>
    <w:pPr>
      <w:autoSpaceDE w:val="0"/>
      <w:autoSpaceDN w:val="0"/>
      <w:adjustRightInd w:val="0"/>
    </w:pPr>
    <w:rPr>
      <w:rFonts w:cs="Calibri"/>
      <w:szCs w:val="24"/>
    </w:rPr>
  </w:style>
  <w:style w:type="paragraph" w:customStyle="1" w:styleId="1">
    <w:name w:val="1"/>
    <w:basedOn w:val="Normal"/>
    <w:rsid w:val="003C79F3"/>
    <w:pPr>
      <w:autoSpaceDE w:val="0"/>
      <w:autoSpaceDN w:val="0"/>
      <w:adjustRightInd w:val="0"/>
    </w:pPr>
    <w:rPr>
      <w:rFonts w:cs="Calibri"/>
      <w:szCs w:val="24"/>
      <w:lang w:val="pl-PL"/>
    </w:rPr>
  </w:style>
  <w:style w:type="paragraph" w:styleId="BalloonText">
    <w:name w:val="Balloon Text"/>
    <w:basedOn w:val="Normal"/>
    <w:link w:val="BalloonTextChar"/>
    <w:uiPriority w:val="99"/>
    <w:rsid w:val="003C79F3"/>
    <w:pPr>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rsid w:val="003C79F3"/>
    <w:rPr>
      <w:rFonts w:ascii="Tahoma" w:hAnsi="Tahoma" w:cs="Tahoma"/>
      <w:sz w:val="16"/>
      <w:szCs w:val="16"/>
    </w:rPr>
  </w:style>
  <w:style w:type="character" w:styleId="PlaceholderText">
    <w:name w:val="Placeholder Text"/>
    <w:uiPriority w:val="99"/>
    <w:rsid w:val="003C79F3"/>
    <w:rPr>
      <w:color w:val="808080"/>
    </w:rPr>
  </w:style>
  <w:style w:type="paragraph" w:styleId="EndnoteText">
    <w:name w:val="endnote text"/>
    <w:basedOn w:val="Normal"/>
    <w:link w:val="EndnoteTextChar"/>
    <w:uiPriority w:val="99"/>
    <w:rsid w:val="003C79F3"/>
    <w:pPr>
      <w:autoSpaceDE w:val="0"/>
      <w:autoSpaceDN w:val="0"/>
      <w:adjustRightInd w:val="0"/>
    </w:pPr>
    <w:rPr>
      <w:rFonts w:cs="Calibri"/>
      <w:sz w:val="20"/>
    </w:rPr>
  </w:style>
  <w:style w:type="character" w:customStyle="1" w:styleId="EndnoteTextChar">
    <w:name w:val="Endnote Text Char"/>
    <w:basedOn w:val="DefaultParagraphFont"/>
    <w:link w:val="EndnoteText"/>
    <w:uiPriority w:val="99"/>
    <w:rsid w:val="003C79F3"/>
    <w:rPr>
      <w:rFonts w:cs="Calibri"/>
    </w:rPr>
  </w:style>
  <w:style w:type="character" w:styleId="EndnoteReference">
    <w:name w:val="endnote reference"/>
    <w:uiPriority w:val="99"/>
    <w:rsid w:val="003C79F3"/>
    <w:rPr>
      <w:vertAlign w:val="superscript"/>
    </w:rPr>
  </w:style>
  <w:style w:type="character" w:customStyle="1" w:styleId="Heading1Char">
    <w:name w:val="Heading 1 Char"/>
    <w:link w:val="Heading1"/>
    <w:uiPriority w:val="9"/>
    <w:rsid w:val="003C79F3"/>
    <w:rPr>
      <w:rFonts w:ascii="Arial" w:hAnsi="Arial"/>
      <w:b/>
      <w:kern w:val="28"/>
      <w:sz w:val="28"/>
    </w:rPr>
  </w:style>
  <w:style w:type="character" w:customStyle="1" w:styleId="Heading2Char">
    <w:name w:val="Heading 2 Char"/>
    <w:link w:val="Heading2"/>
    <w:uiPriority w:val="9"/>
    <w:rsid w:val="003C79F3"/>
    <w:rPr>
      <w:rFonts w:ascii="Arial" w:hAnsi="Arial"/>
      <w:b/>
      <w:i/>
      <w:sz w:val="24"/>
    </w:rPr>
  </w:style>
  <w:style w:type="character" w:customStyle="1" w:styleId="Heading3Char">
    <w:name w:val="Heading 3 Char"/>
    <w:link w:val="Heading3"/>
    <w:uiPriority w:val="9"/>
    <w:rsid w:val="003C79F3"/>
    <w:rPr>
      <w:rFonts w:ascii="Arial" w:hAnsi="Arial"/>
      <w:sz w:val="24"/>
    </w:rPr>
  </w:style>
  <w:style w:type="character" w:customStyle="1" w:styleId="Heading4Char">
    <w:name w:val="Heading 4 Char"/>
    <w:link w:val="Heading4"/>
    <w:uiPriority w:val="9"/>
    <w:rsid w:val="003C79F3"/>
    <w:rPr>
      <w:rFonts w:ascii="Arial" w:hAnsi="Arial"/>
      <w:b/>
      <w:sz w:val="24"/>
    </w:rPr>
  </w:style>
  <w:style w:type="paragraph" w:styleId="ListNumber4">
    <w:name w:val="List Number 4"/>
    <w:basedOn w:val="Normal"/>
    <w:uiPriority w:val="99"/>
    <w:rsid w:val="003C79F3"/>
    <w:pPr>
      <w:tabs>
        <w:tab w:val="num" w:pos="360"/>
        <w:tab w:val="left" w:pos="1209"/>
      </w:tabs>
      <w:autoSpaceDE w:val="0"/>
      <w:autoSpaceDN w:val="0"/>
      <w:adjustRightInd w:val="0"/>
      <w:spacing w:before="120" w:after="120"/>
      <w:ind w:left="360" w:hanging="360"/>
      <w:jc w:val="both"/>
    </w:pPr>
    <w:rPr>
      <w:rFonts w:cs="Symbol"/>
      <w:szCs w:val="22"/>
    </w:rPr>
  </w:style>
  <w:style w:type="character" w:styleId="Hyperlink">
    <w:name w:val="Hyperlink"/>
    <w:uiPriority w:val="99"/>
    <w:rsid w:val="003C79F3"/>
    <w:rPr>
      <w:color w:val="0000FF"/>
      <w:u w:val="single"/>
      <w:shd w:val="clear" w:color="auto" w:fill="auto"/>
    </w:rPr>
  </w:style>
  <w:style w:type="paragraph" w:styleId="ListParagraph">
    <w:name w:val="List Paragraph"/>
    <w:basedOn w:val="Normal"/>
    <w:uiPriority w:val="34"/>
    <w:qFormat/>
    <w:rsid w:val="003C79F3"/>
    <w:pPr>
      <w:autoSpaceDE w:val="0"/>
      <w:autoSpaceDN w:val="0"/>
      <w:adjustRightInd w:val="0"/>
      <w:spacing w:before="120" w:after="120"/>
      <w:ind w:left="720"/>
      <w:contextualSpacing/>
      <w:jc w:val="both"/>
    </w:pPr>
    <w:rPr>
      <w:rFonts w:cs="Symbol"/>
      <w:szCs w:val="22"/>
    </w:rPr>
  </w:style>
  <w:style w:type="paragraph" w:styleId="ListBullet">
    <w:name w:val="List Bullet"/>
    <w:basedOn w:val="Normal"/>
    <w:uiPriority w:val="99"/>
    <w:rsid w:val="003C79F3"/>
    <w:pPr>
      <w:tabs>
        <w:tab w:val="left" w:pos="360"/>
        <w:tab w:val="num" w:pos="720"/>
      </w:tabs>
      <w:autoSpaceDE w:val="0"/>
      <w:autoSpaceDN w:val="0"/>
      <w:adjustRightInd w:val="0"/>
      <w:spacing w:before="120" w:after="120"/>
      <w:ind w:left="360" w:hanging="360"/>
      <w:contextualSpacing/>
      <w:jc w:val="both"/>
    </w:pPr>
    <w:rPr>
      <w:rFonts w:cs="Symbol"/>
      <w:szCs w:val="22"/>
    </w:rPr>
  </w:style>
  <w:style w:type="paragraph" w:styleId="ListBullet2">
    <w:name w:val="List Bullet 2"/>
    <w:basedOn w:val="Normal"/>
    <w:uiPriority w:val="99"/>
    <w:rsid w:val="003C79F3"/>
    <w:pPr>
      <w:tabs>
        <w:tab w:val="left" w:pos="643"/>
        <w:tab w:val="num" w:pos="720"/>
      </w:tabs>
      <w:autoSpaceDE w:val="0"/>
      <w:autoSpaceDN w:val="0"/>
      <w:adjustRightInd w:val="0"/>
      <w:spacing w:before="120" w:after="120"/>
      <w:ind w:left="643" w:hanging="360"/>
      <w:contextualSpacing/>
      <w:jc w:val="both"/>
    </w:pPr>
    <w:rPr>
      <w:rFonts w:cs="Symbol"/>
      <w:szCs w:val="22"/>
    </w:rPr>
  </w:style>
  <w:style w:type="paragraph" w:styleId="ListBullet3">
    <w:name w:val="List Bullet 3"/>
    <w:basedOn w:val="Normal"/>
    <w:uiPriority w:val="99"/>
    <w:rsid w:val="003C79F3"/>
    <w:pPr>
      <w:tabs>
        <w:tab w:val="left" w:pos="926"/>
        <w:tab w:val="num" w:pos="1080"/>
      </w:tabs>
      <w:autoSpaceDE w:val="0"/>
      <w:autoSpaceDN w:val="0"/>
      <w:adjustRightInd w:val="0"/>
      <w:spacing w:before="120" w:after="120"/>
      <w:ind w:left="926" w:hanging="360"/>
      <w:contextualSpacing/>
      <w:jc w:val="both"/>
    </w:pPr>
    <w:rPr>
      <w:rFonts w:cs="Symbol"/>
      <w:szCs w:val="22"/>
    </w:rPr>
  </w:style>
  <w:style w:type="paragraph" w:styleId="ListBullet4">
    <w:name w:val="List Bullet 4"/>
    <w:basedOn w:val="Normal"/>
    <w:uiPriority w:val="99"/>
    <w:rsid w:val="003C79F3"/>
    <w:pPr>
      <w:tabs>
        <w:tab w:val="num" w:pos="1080"/>
        <w:tab w:val="left" w:pos="1209"/>
      </w:tabs>
      <w:autoSpaceDE w:val="0"/>
      <w:autoSpaceDN w:val="0"/>
      <w:adjustRightInd w:val="0"/>
      <w:spacing w:before="120" w:after="120"/>
      <w:ind w:left="1209" w:hanging="360"/>
      <w:contextualSpacing/>
      <w:jc w:val="both"/>
    </w:pPr>
    <w:rPr>
      <w:rFonts w:cs="Symbol"/>
      <w:szCs w:val="22"/>
    </w:rPr>
  </w:style>
  <w:style w:type="character" w:styleId="FollowedHyperlink">
    <w:name w:val="FollowedHyperlink"/>
    <w:uiPriority w:val="99"/>
    <w:rsid w:val="003C79F3"/>
    <w:rPr>
      <w:color w:val="800080"/>
      <w:u w:val="single"/>
    </w:rPr>
  </w:style>
  <w:style w:type="character" w:styleId="CommentReference">
    <w:name w:val="annotation reference"/>
    <w:uiPriority w:val="99"/>
    <w:rsid w:val="003C79F3"/>
    <w:rPr>
      <w:sz w:val="16"/>
      <w:szCs w:val="16"/>
    </w:rPr>
  </w:style>
  <w:style w:type="paragraph" w:styleId="CommentText">
    <w:name w:val="annotation text"/>
    <w:basedOn w:val="Normal"/>
    <w:link w:val="CommentTextChar"/>
    <w:uiPriority w:val="99"/>
    <w:rsid w:val="003C79F3"/>
    <w:pPr>
      <w:autoSpaceDE w:val="0"/>
      <w:autoSpaceDN w:val="0"/>
      <w:adjustRightInd w:val="0"/>
      <w:spacing w:before="120" w:after="120"/>
      <w:jc w:val="both"/>
    </w:pPr>
    <w:rPr>
      <w:rFonts w:cs="Symbol"/>
      <w:sz w:val="20"/>
    </w:rPr>
  </w:style>
  <w:style w:type="character" w:customStyle="1" w:styleId="CommentTextChar">
    <w:name w:val="Comment Text Char"/>
    <w:basedOn w:val="DefaultParagraphFont"/>
    <w:link w:val="CommentText"/>
    <w:uiPriority w:val="99"/>
    <w:rsid w:val="003C79F3"/>
    <w:rPr>
      <w:rFonts w:cs="Symbol"/>
    </w:rPr>
  </w:style>
  <w:style w:type="paragraph" w:styleId="CommentSubject">
    <w:name w:val="annotation subject"/>
    <w:basedOn w:val="CommentText"/>
    <w:next w:val="CommentText"/>
    <w:link w:val="CommentSubjectChar"/>
    <w:uiPriority w:val="99"/>
    <w:rsid w:val="003C79F3"/>
    <w:rPr>
      <w:b/>
    </w:rPr>
  </w:style>
  <w:style w:type="character" w:customStyle="1" w:styleId="CommentSubjectChar">
    <w:name w:val="Comment Subject Char"/>
    <w:basedOn w:val="CommentTextChar"/>
    <w:link w:val="CommentSubject"/>
    <w:uiPriority w:val="99"/>
    <w:rsid w:val="003C79F3"/>
    <w:rPr>
      <w:rFonts w:cs="Symbol"/>
      <w:b/>
    </w:rPr>
  </w:style>
  <w:style w:type="paragraph" w:customStyle="1" w:styleId="Default">
    <w:name w:val="Default"/>
    <w:rsid w:val="003C79F3"/>
    <w:pPr>
      <w:widowControl w:val="0"/>
      <w:autoSpaceDE w:val="0"/>
      <w:autoSpaceDN w:val="0"/>
      <w:adjustRightInd w:val="0"/>
    </w:pPr>
    <w:rPr>
      <w:rFonts w:cs="Symbol"/>
      <w:color w:val="000000"/>
      <w:sz w:val="24"/>
      <w:szCs w:val="24"/>
    </w:rPr>
  </w:style>
  <w:style w:type="paragraph" w:styleId="ListNumber2">
    <w:name w:val="List Number 2"/>
    <w:basedOn w:val="Normal"/>
    <w:uiPriority w:val="99"/>
    <w:rsid w:val="003C79F3"/>
    <w:pPr>
      <w:tabs>
        <w:tab w:val="left" w:pos="643"/>
        <w:tab w:val="num" w:pos="1440"/>
      </w:tabs>
      <w:autoSpaceDE w:val="0"/>
      <w:autoSpaceDN w:val="0"/>
      <w:adjustRightInd w:val="0"/>
      <w:spacing w:before="120" w:after="120"/>
      <w:ind w:left="643" w:hanging="360"/>
      <w:contextualSpacing/>
      <w:jc w:val="both"/>
    </w:pPr>
    <w:rPr>
      <w:rFonts w:cs="Symbol"/>
      <w:szCs w:val="22"/>
    </w:rPr>
  </w:style>
  <w:style w:type="character" w:customStyle="1" w:styleId="italics">
    <w:name w:val="italics"/>
    <w:rsid w:val="003C79F3"/>
    <w:rPr>
      <w:i/>
    </w:rPr>
  </w:style>
  <w:style w:type="paragraph" w:styleId="Revision">
    <w:name w:val="Revision"/>
    <w:hidden/>
    <w:uiPriority w:val="99"/>
    <w:rsid w:val="003C79F3"/>
    <w:pPr>
      <w:widowControl w:val="0"/>
      <w:autoSpaceDE w:val="0"/>
      <w:autoSpaceDN w:val="0"/>
      <w:adjustRightInd w:val="0"/>
    </w:pPr>
    <w:rPr>
      <w:rFonts w:cs="Symbol"/>
      <w:sz w:val="24"/>
      <w:szCs w:val="22"/>
    </w:rPr>
  </w:style>
  <w:style w:type="paragraph" w:styleId="Caption">
    <w:name w:val="caption"/>
    <w:basedOn w:val="Normal"/>
    <w:next w:val="Normal"/>
    <w:uiPriority w:val="35"/>
    <w:qFormat/>
    <w:rsid w:val="003C79F3"/>
    <w:pPr>
      <w:autoSpaceDE w:val="0"/>
      <w:autoSpaceDN w:val="0"/>
      <w:adjustRightInd w:val="0"/>
      <w:spacing w:after="200"/>
      <w:jc w:val="both"/>
    </w:pPr>
    <w:rPr>
      <w:rFonts w:cs="Symbol"/>
      <w:b/>
      <w:color w:val="4F81BD"/>
      <w:sz w:val="18"/>
      <w:szCs w:val="18"/>
    </w:rPr>
  </w:style>
  <w:style w:type="paragraph" w:styleId="TableofFigures">
    <w:name w:val="table of figures"/>
    <w:basedOn w:val="Normal"/>
    <w:next w:val="Normal"/>
    <w:uiPriority w:val="99"/>
    <w:rsid w:val="003C79F3"/>
    <w:pPr>
      <w:autoSpaceDE w:val="0"/>
      <w:autoSpaceDN w:val="0"/>
      <w:adjustRightInd w:val="0"/>
      <w:spacing w:before="120"/>
      <w:jc w:val="both"/>
    </w:pPr>
    <w:rPr>
      <w:rFonts w:cs="Symbol"/>
      <w:szCs w:val="22"/>
    </w:rPr>
  </w:style>
  <w:style w:type="paragraph" w:styleId="ListNumber">
    <w:name w:val="List Number"/>
    <w:basedOn w:val="Normal"/>
    <w:uiPriority w:val="99"/>
    <w:rsid w:val="003C79F3"/>
    <w:pPr>
      <w:tabs>
        <w:tab w:val="left" w:pos="360"/>
        <w:tab w:val="num" w:pos="1134"/>
      </w:tabs>
      <w:autoSpaceDE w:val="0"/>
      <w:autoSpaceDN w:val="0"/>
      <w:adjustRightInd w:val="0"/>
      <w:spacing w:before="120" w:after="120"/>
      <w:ind w:left="360" w:hanging="360"/>
      <w:contextualSpacing/>
      <w:jc w:val="both"/>
    </w:pPr>
    <w:rPr>
      <w:rFonts w:cs="Symbol"/>
      <w:szCs w:val="22"/>
    </w:rPr>
  </w:style>
  <w:style w:type="paragraph" w:styleId="ListNumber3">
    <w:name w:val="List Number 3"/>
    <w:basedOn w:val="Normal"/>
    <w:uiPriority w:val="99"/>
    <w:rsid w:val="003C79F3"/>
    <w:pPr>
      <w:tabs>
        <w:tab w:val="left" w:pos="1080"/>
        <w:tab w:val="num" w:pos="1701"/>
      </w:tabs>
      <w:autoSpaceDE w:val="0"/>
      <w:autoSpaceDN w:val="0"/>
      <w:adjustRightInd w:val="0"/>
      <w:spacing w:before="120" w:after="120"/>
      <w:ind w:left="1080" w:hanging="360"/>
      <w:contextualSpacing/>
      <w:jc w:val="both"/>
    </w:pPr>
    <w:rPr>
      <w:rFonts w:cs="Symbol"/>
      <w:szCs w:val="22"/>
    </w:rPr>
  </w:style>
  <w:style w:type="paragraph" w:styleId="TOCHeading">
    <w:name w:val="TOC Heading"/>
    <w:basedOn w:val="Normal"/>
    <w:next w:val="Normal"/>
    <w:uiPriority w:val="39"/>
    <w:qFormat/>
    <w:rsid w:val="003C79F3"/>
    <w:pPr>
      <w:autoSpaceDE w:val="0"/>
      <w:autoSpaceDN w:val="0"/>
      <w:adjustRightInd w:val="0"/>
      <w:spacing w:before="120" w:after="240"/>
      <w:jc w:val="center"/>
    </w:pPr>
    <w:rPr>
      <w:rFonts w:cs="Symbol"/>
      <w:b/>
      <w:sz w:val="28"/>
      <w:szCs w:val="22"/>
    </w:rPr>
  </w:style>
  <w:style w:type="paragraph" w:styleId="TOC1">
    <w:name w:val="toc 1"/>
    <w:basedOn w:val="Normal"/>
    <w:next w:val="Normal"/>
    <w:uiPriority w:val="39"/>
    <w:rsid w:val="003C79F3"/>
    <w:pPr>
      <w:tabs>
        <w:tab w:val="right" w:leader="dot" w:pos="9071"/>
      </w:tabs>
      <w:autoSpaceDE w:val="0"/>
      <w:autoSpaceDN w:val="0"/>
      <w:adjustRightInd w:val="0"/>
      <w:spacing w:before="60" w:after="120"/>
      <w:ind w:left="850" w:hanging="850"/>
    </w:pPr>
    <w:rPr>
      <w:rFonts w:cs="Symbol"/>
      <w:szCs w:val="22"/>
    </w:rPr>
  </w:style>
  <w:style w:type="paragraph" w:styleId="TOC2">
    <w:name w:val="toc 2"/>
    <w:basedOn w:val="Normal"/>
    <w:next w:val="Normal"/>
    <w:uiPriority w:val="39"/>
    <w:rsid w:val="003C79F3"/>
    <w:pPr>
      <w:tabs>
        <w:tab w:val="right" w:leader="dot" w:pos="9071"/>
      </w:tabs>
      <w:autoSpaceDE w:val="0"/>
      <w:autoSpaceDN w:val="0"/>
      <w:adjustRightInd w:val="0"/>
      <w:spacing w:before="60" w:after="120"/>
      <w:ind w:left="850" w:hanging="850"/>
    </w:pPr>
    <w:rPr>
      <w:rFonts w:cs="Symbol"/>
      <w:szCs w:val="22"/>
    </w:rPr>
  </w:style>
  <w:style w:type="paragraph" w:styleId="TOC3">
    <w:name w:val="toc 3"/>
    <w:basedOn w:val="Normal"/>
    <w:next w:val="Normal"/>
    <w:uiPriority w:val="39"/>
    <w:rsid w:val="003C79F3"/>
    <w:pPr>
      <w:tabs>
        <w:tab w:val="right" w:leader="dot" w:pos="9071"/>
      </w:tabs>
      <w:autoSpaceDE w:val="0"/>
      <w:autoSpaceDN w:val="0"/>
      <w:adjustRightInd w:val="0"/>
      <w:spacing w:before="60" w:after="120"/>
      <w:ind w:left="850" w:hanging="850"/>
    </w:pPr>
    <w:rPr>
      <w:rFonts w:cs="Symbol"/>
      <w:szCs w:val="22"/>
    </w:rPr>
  </w:style>
  <w:style w:type="paragraph" w:styleId="TOC4">
    <w:name w:val="toc 4"/>
    <w:basedOn w:val="Normal"/>
    <w:next w:val="Normal"/>
    <w:uiPriority w:val="39"/>
    <w:rsid w:val="003C79F3"/>
    <w:pPr>
      <w:tabs>
        <w:tab w:val="right" w:leader="dot" w:pos="9071"/>
      </w:tabs>
      <w:autoSpaceDE w:val="0"/>
      <w:autoSpaceDN w:val="0"/>
      <w:adjustRightInd w:val="0"/>
      <w:spacing w:before="60" w:after="120"/>
      <w:ind w:left="850" w:hanging="850"/>
    </w:pPr>
    <w:rPr>
      <w:rFonts w:cs="Symbol"/>
      <w:szCs w:val="22"/>
    </w:rPr>
  </w:style>
  <w:style w:type="paragraph" w:styleId="TOC5">
    <w:name w:val="toc 5"/>
    <w:basedOn w:val="Normal"/>
    <w:next w:val="Normal"/>
    <w:uiPriority w:val="39"/>
    <w:rsid w:val="003C79F3"/>
    <w:pPr>
      <w:tabs>
        <w:tab w:val="right" w:leader="dot" w:pos="9071"/>
      </w:tabs>
      <w:autoSpaceDE w:val="0"/>
      <w:autoSpaceDN w:val="0"/>
      <w:adjustRightInd w:val="0"/>
      <w:spacing w:before="300" w:after="120"/>
    </w:pPr>
    <w:rPr>
      <w:rFonts w:cs="Symbol"/>
      <w:szCs w:val="22"/>
    </w:rPr>
  </w:style>
  <w:style w:type="paragraph" w:styleId="TOC6">
    <w:name w:val="toc 6"/>
    <w:basedOn w:val="Normal"/>
    <w:next w:val="Normal"/>
    <w:uiPriority w:val="39"/>
    <w:rsid w:val="003C79F3"/>
    <w:pPr>
      <w:tabs>
        <w:tab w:val="right" w:leader="dot" w:pos="9071"/>
      </w:tabs>
      <w:autoSpaceDE w:val="0"/>
      <w:autoSpaceDN w:val="0"/>
      <w:adjustRightInd w:val="0"/>
      <w:spacing w:before="240" w:after="120"/>
    </w:pPr>
    <w:rPr>
      <w:rFonts w:cs="Symbol"/>
      <w:szCs w:val="22"/>
    </w:rPr>
  </w:style>
  <w:style w:type="paragraph" w:styleId="TOC7">
    <w:name w:val="toc 7"/>
    <w:basedOn w:val="Normal"/>
    <w:next w:val="Normal"/>
    <w:uiPriority w:val="39"/>
    <w:rsid w:val="003C79F3"/>
    <w:pPr>
      <w:tabs>
        <w:tab w:val="right" w:leader="dot" w:pos="9071"/>
      </w:tabs>
      <w:autoSpaceDE w:val="0"/>
      <w:autoSpaceDN w:val="0"/>
      <w:adjustRightInd w:val="0"/>
      <w:spacing w:before="180" w:after="120"/>
    </w:pPr>
    <w:rPr>
      <w:rFonts w:cs="Symbol"/>
      <w:szCs w:val="22"/>
    </w:rPr>
  </w:style>
  <w:style w:type="paragraph" w:styleId="TOC8">
    <w:name w:val="toc 8"/>
    <w:basedOn w:val="Normal"/>
    <w:next w:val="Normal"/>
    <w:uiPriority w:val="39"/>
    <w:rsid w:val="003C79F3"/>
    <w:pPr>
      <w:tabs>
        <w:tab w:val="right" w:leader="dot" w:pos="9071"/>
      </w:tabs>
      <w:autoSpaceDE w:val="0"/>
      <w:autoSpaceDN w:val="0"/>
      <w:adjustRightInd w:val="0"/>
      <w:spacing w:before="120" w:after="120"/>
    </w:pPr>
    <w:rPr>
      <w:rFonts w:cs="Symbol"/>
      <w:szCs w:val="22"/>
    </w:rPr>
  </w:style>
  <w:style w:type="paragraph" w:styleId="TOC9">
    <w:name w:val="toc 9"/>
    <w:basedOn w:val="Normal"/>
    <w:next w:val="Normal"/>
    <w:uiPriority w:val="39"/>
    <w:rsid w:val="003C79F3"/>
    <w:pPr>
      <w:tabs>
        <w:tab w:val="right" w:leader="dot" w:pos="9071"/>
      </w:tabs>
      <w:autoSpaceDE w:val="0"/>
      <w:autoSpaceDN w:val="0"/>
      <w:adjustRightInd w:val="0"/>
      <w:spacing w:before="120" w:after="120"/>
      <w:jc w:val="both"/>
    </w:pPr>
    <w:rPr>
      <w:rFonts w:cs="Symbol"/>
      <w:szCs w:val="22"/>
    </w:rPr>
  </w:style>
  <w:style w:type="paragraph" w:customStyle="1" w:styleId="NormalLeft">
    <w:name w:val="Normal Left"/>
    <w:basedOn w:val="Normal"/>
    <w:rsid w:val="003C79F3"/>
    <w:pPr>
      <w:autoSpaceDE w:val="0"/>
      <w:autoSpaceDN w:val="0"/>
      <w:adjustRightInd w:val="0"/>
      <w:spacing w:before="120" w:after="120"/>
    </w:pPr>
    <w:rPr>
      <w:rFonts w:cs="Symbol"/>
      <w:szCs w:val="22"/>
    </w:rPr>
  </w:style>
  <w:style w:type="paragraph" w:customStyle="1" w:styleId="QuotedText">
    <w:name w:val="Quoted Text"/>
    <w:basedOn w:val="Normal"/>
    <w:rsid w:val="003C79F3"/>
    <w:pPr>
      <w:autoSpaceDE w:val="0"/>
      <w:autoSpaceDN w:val="0"/>
      <w:adjustRightInd w:val="0"/>
      <w:spacing w:before="120" w:after="120"/>
      <w:ind w:left="1417"/>
      <w:jc w:val="both"/>
    </w:pPr>
    <w:rPr>
      <w:rFonts w:cs="Symbol"/>
      <w:szCs w:val="22"/>
    </w:rPr>
  </w:style>
  <w:style w:type="paragraph" w:customStyle="1" w:styleId="Point0">
    <w:name w:val="Point 0"/>
    <w:basedOn w:val="Normal"/>
    <w:rsid w:val="003C79F3"/>
    <w:pPr>
      <w:autoSpaceDE w:val="0"/>
      <w:autoSpaceDN w:val="0"/>
      <w:adjustRightInd w:val="0"/>
      <w:spacing w:before="120" w:after="120"/>
      <w:ind w:left="850" w:hanging="850"/>
      <w:jc w:val="both"/>
    </w:pPr>
    <w:rPr>
      <w:rFonts w:cs="Symbol"/>
      <w:szCs w:val="22"/>
    </w:rPr>
  </w:style>
  <w:style w:type="paragraph" w:customStyle="1" w:styleId="Point1">
    <w:name w:val="Point 1"/>
    <w:basedOn w:val="Normal"/>
    <w:rsid w:val="003C79F3"/>
    <w:pPr>
      <w:autoSpaceDE w:val="0"/>
      <w:autoSpaceDN w:val="0"/>
      <w:adjustRightInd w:val="0"/>
      <w:spacing w:before="120" w:after="120"/>
      <w:ind w:left="1417" w:hanging="567"/>
      <w:jc w:val="both"/>
    </w:pPr>
    <w:rPr>
      <w:rFonts w:cs="Symbol"/>
      <w:szCs w:val="22"/>
    </w:rPr>
  </w:style>
  <w:style w:type="paragraph" w:customStyle="1" w:styleId="Point2">
    <w:name w:val="Point 2"/>
    <w:basedOn w:val="Normal"/>
    <w:rsid w:val="003C79F3"/>
    <w:pPr>
      <w:autoSpaceDE w:val="0"/>
      <w:autoSpaceDN w:val="0"/>
      <w:adjustRightInd w:val="0"/>
      <w:spacing w:before="120" w:after="120"/>
      <w:ind w:left="1984" w:hanging="567"/>
      <w:jc w:val="both"/>
    </w:pPr>
    <w:rPr>
      <w:rFonts w:cs="Symbol"/>
      <w:szCs w:val="22"/>
    </w:rPr>
  </w:style>
  <w:style w:type="paragraph" w:customStyle="1" w:styleId="Point3">
    <w:name w:val="Point 3"/>
    <w:basedOn w:val="Normal"/>
    <w:rsid w:val="003C79F3"/>
    <w:pPr>
      <w:autoSpaceDE w:val="0"/>
      <w:autoSpaceDN w:val="0"/>
      <w:adjustRightInd w:val="0"/>
      <w:spacing w:before="120" w:after="120"/>
      <w:ind w:left="2551" w:hanging="567"/>
      <w:jc w:val="both"/>
    </w:pPr>
    <w:rPr>
      <w:rFonts w:cs="Symbol"/>
      <w:szCs w:val="22"/>
    </w:rPr>
  </w:style>
  <w:style w:type="paragraph" w:customStyle="1" w:styleId="Point4">
    <w:name w:val="Point 4"/>
    <w:basedOn w:val="Normal"/>
    <w:rsid w:val="003C79F3"/>
    <w:pPr>
      <w:autoSpaceDE w:val="0"/>
      <w:autoSpaceDN w:val="0"/>
      <w:adjustRightInd w:val="0"/>
      <w:spacing w:before="120" w:after="120"/>
      <w:ind w:left="3118" w:hanging="567"/>
      <w:jc w:val="both"/>
    </w:pPr>
    <w:rPr>
      <w:rFonts w:cs="Symbol"/>
      <w:szCs w:val="22"/>
    </w:rPr>
  </w:style>
  <w:style w:type="paragraph" w:customStyle="1" w:styleId="Tiret0">
    <w:name w:val="Tiret 0"/>
    <w:basedOn w:val="Point0"/>
    <w:rsid w:val="003C79F3"/>
    <w:pPr>
      <w:numPr>
        <w:numId w:val="41"/>
      </w:numPr>
      <w:tabs>
        <w:tab w:val="left" w:pos="850"/>
        <w:tab w:val="num" w:pos="2268"/>
      </w:tabs>
      <w:ind w:left="2268" w:hanging="567"/>
    </w:pPr>
  </w:style>
  <w:style w:type="paragraph" w:customStyle="1" w:styleId="Tiret1">
    <w:name w:val="Tiret 1"/>
    <w:basedOn w:val="Point1"/>
    <w:rsid w:val="003C79F3"/>
    <w:pPr>
      <w:tabs>
        <w:tab w:val="num" w:pos="720"/>
        <w:tab w:val="left" w:pos="1417"/>
      </w:tabs>
      <w:ind w:left="720" w:hanging="720"/>
    </w:pPr>
  </w:style>
  <w:style w:type="paragraph" w:customStyle="1" w:styleId="Tiret2">
    <w:name w:val="Tiret 2"/>
    <w:basedOn w:val="Point2"/>
    <w:rsid w:val="003C79F3"/>
    <w:pPr>
      <w:tabs>
        <w:tab w:val="num" w:pos="720"/>
        <w:tab w:val="left" w:pos="1984"/>
      </w:tabs>
      <w:ind w:left="720" w:hanging="720"/>
    </w:pPr>
  </w:style>
  <w:style w:type="paragraph" w:customStyle="1" w:styleId="Tiret3">
    <w:name w:val="Tiret 3"/>
    <w:basedOn w:val="Point3"/>
    <w:rsid w:val="003C79F3"/>
    <w:pPr>
      <w:tabs>
        <w:tab w:val="num" w:pos="720"/>
        <w:tab w:val="left" w:pos="2551"/>
      </w:tabs>
      <w:ind w:left="720" w:hanging="720"/>
    </w:pPr>
  </w:style>
  <w:style w:type="paragraph" w:customStyle="1" w:styleId="Tiret4">
    <w:name w:val="Tiret 4"/>
    <w:basedOn w:val="Point4"/>
    <w:rsid w:val="003C79F3"/>
    <w:pPr>
      <w:tabs>
        <w:tab w:val="num" w:pos="720"/>
        <w:tab w:val="left" w:pos="3118"/>
      </w:tabs>
      <w:ind w:left="720" w:hanging="720"/>
    </w:pPr>
  </w:style>
  <w:style w:type="paragraph" w:customStyle="1" w:styleId="PointDouble0">
    <w:name w:val="PointDouble 0"/>
    <w:basedOn w:val="Normal"/>
    <w:rsid w:val="003C79F3"/>
    <w:pPr>
      <w:tabs>
        <w:tab w:val="left" w:pos="850"/>
      </w:tabs>
      <w:autoSpaceDE w:val="0"/>
      <w:autoSpaceDN w:val="0"/>
      <w:adjustRightInd w:val="0"/>
      <w:spacing w:before="120" w:after="120"/>
      <w:ind w:left="1417" w:hanging="1417"/>
      <w:jc w:val="both"/>
    </w:pPr>
    <w:rPr>
      <w:rFonts w:cs="Symbol"/>
      <w:szCs w:val="22"/>
    </w:rPr>
  </w:style>
  <w:style w:type="paragraph" w:customStyle="1" w:styleId="PointDouble1">
    <w:name w:val="PointDouble 1"/>
    <w:basedOn w:val="Normal"/>
    <w:rsid w:val="003C79F3"/>
    <w:pPr>
      <w:tabs>
        <w:tab w:val="left" w:pos="1417"/>
      </w:tabs>
      <w:autoSpaceDE w:val="0"/>
      <w:autoSpaceDN w:val="0"/>
      <w:adjustRightInd w:val="0"/>
      <w:spacing w:before="120" w:after="120"/>
      <w:ind w:left="1984" w:hanging="1134"/>
      <w:jc w:val="both"/>
    </w:pPr>
    <w:rPr>
      <w:rFonts w:cs="Symbol"/>
      <w:szCs w:val="22"/>
    </w:rPr>
  </w:style>
  <w:style w:type="paragraph" w:customStyle="1" w:styleId="PointDouble2">
    <w:name w:val="PointDouble 2"/>
    <w:basedOn w:val="Normal"/>
    <w:rsid w:val="003C79F3"/>
    <w:pPr>
      <w:tabs>
        <w:tab w:val="left" w:pos="1984"/>
      </w:tabs>
      <w:autoSpaceDE w:val="0"/>
      <w:autoSpaceDN w:val="0"/>
      <w:adjustRightInd w:val="0"/>
      <w:spacing w:before="120" w:after="120"/>
      <w:ind w:left="2551" w:hanging="1134"/>
      <w:jc w:val="both"/>
    </w:pPr>
    <w:rPr>
      <w:rFonts w:cs="Symbol"/>
      <w:szCs w:val="22"/>
    </w:rPr>
  </w:style>
  <w:style w:type="paragraph" w:customStyle="1" w:styleId="PointDouble3">
    <w:name w:val="PointDouble 3"/>
    <w:basedOn w:val="Normal"/>
    <w:rsid w:val="003C79F3"/>
    <w:pPr>
      <w:tabs>
        <w:tab w:val="left" w:pos="2551"/>
      </w:tabs>
      <w:autoSpaceDE w:val="0"/>
      <w:autoSpaceDN w:val="0"/>
      <w:adjustRightInd w:val="0"/>
      <w:spacing w:before="120" w:after="120"/>
      <w:ind w:left="3118" w:hanging="1134"/>
      <w:jc w:val="both"/>
    </w:pPr>
    <w:rPr>
      <w:rFonts w:cs="Symbol"/>
      <w:szCs w:val="22"/>
    </w:rPr>
  </w:style>
  <w:style w:type="paragraph" w:customStyle="1" w:styleId="PointDouble4">
    <w:name w:val="PointDouble 4"/>
    <w:basedOn w:val="Normal"/>
    <w:rsid w:val="003C79F3"/>
    <w:pPr>
      <w:tabs>
        <w:tab w:val="left" w:pos="3118"/>
      </w:tabs>
      <w:autoSpaceDE w:val="0"/>
      <w:autoSpaceDN w:val="0"/>
      <w:adjustRightInd w:val="0"/>
      <w:spacing w:before="120" w:after="120"/>
      <w:ind w:left="3685" w:hanging="1134"/>
      <w:jc w:val="both"/>
    </w:pPr>
    <w:rPr>
      <w:rFonts w:cs="Symbol"/>
      <w:szCs w:val="22"/>
    </w:rPr>
  </w:style>
  <w:style w:type="paragraph" w:customStyle="1" w:styleId="PointTriple0">
    <w:name w:val="PointTriple 0"/>
    <w:basedOn w:val="Normal"/>
    <w:rsid w:val="003C79F3"/>
    <w:pPr>
      <w:tabs>
        <w:tab w:val="left" w:pos="850"/>
        <w:tab w:val="left" w:pos="1417"/>
      </w:tabs>
      <w:autoSpaceDE w:val="0"/>
      <w:autoSpaceDN w:val="0"/>
      <w:adjustRightInd w:val="0"/>
      <w:spacing w:before="120" w:after="120"/>
      <w:ind w:left="1984" w:hanging="1984"/>
      <w:jc w:val="both"/>
    </w:pPr>
    <w:rPr>
      <w:rFonts w:cs="Symbol"/>
      <w:szCs w:val="22"/>
    </w:rPr>
  </w:style>
  <w:style w:type="paragraph" w:customStyle="1" w:styleId="PointTriple1">
    <w:name w:val="PointTriple 1"/>
    <w:basedOn w:val="Normal"/>
    <w:rsid w:val="003C79F3"/>
    <w:pPr>
      <w:tabs>
        <w:tab w:val="left" w:pos="1417"/>
        <w:tab w:val="left" w:pos="1984"/>
      </w:tabs>
      <w:autoSpaceDE w:val="0"/>
      <w:autoSpaceDN w:val="0"/>
      <w:adjustRightInd w:val="0"/>
      <w:spacing w:before="120" w:after="120"/>
      <w:ind w:left="2551" w:hanging="1701"/>
      <w:jc w:val="both"/>
    </w:pPr>
    <w:rPr>
      <w:rFonts w:cs="Symbol"/>
      <w:szCs w:val="22"/>
    </w:rPr>
  </w:style>
  <w:style w:type="paragraph" w:customStyle="1" w:styleId="PointTriple2">
    <w:name w:val="PointTriple 2"/>
    <w:basedOn w:val="Normal"/>
    <w:rsid w:val="003C79F3"/>
    <w:pPr>
      <w:tabs>
        <w:tab w:val="left" w:pos="1984"/>
        <w:tab w:val="left" w:pos="2551"/>
      </w:tabs>
      <w:autoSpaceDE w:val="0"/>
      <w:autoSpaceDN w:val="0"/>
      <w:adjustRightInd w:val="0"/>
      <w:spacing w:before="120" w:after="120"/>
      <w:ind w:left="3118" w:hanging="1701"/>
      <w:jc w:val="both"/>
    </w:pPr>
    <w:rPr>
      <w:rFonts w:cs="Symbol"/>
      <w:szCs w:val="22"/>
    </w:rPr>
  </w:style>
  <w:style w:type="paragraph" w:customStyle="1" w:styleId="PointTriple3">
    <w:name w:val="PointTriple 3"/>
    <w:basedOn w:val="Normal"/>
    <w:rsid w:val="003C79F3"/>
    <w:pPr>
      <w:tabs>
        <w:tab w:val="left" w:pos="2551"/>
        <w:tab w:val="left" w:pos="3118"/>
      </w:tabs>
      <w:autoSpaceDE w:val="0"/>
      <w:autoSpaceDN w:val="0"/>
      <w:adjustRightInd w:val="0"/>
      <w:spacing w:before="120" w:after="120"/>
      <w:ind w:left="3685" w:hanging="1701"/>
      <w:jc w:val="both"/>
    </w:pPr>
    <w:rPr>
      <w:rFonts w:cs="Symbol"/>
      <w:szCs w:val="22"/>
    </w:rPr>
  </w:style>
  <w:style w:type="paragraph" w:customStyle="1" w:styleId="PointTriple4">
    <w:name w:val="PointTriple 4"/>
    <w:basedOn w:val="Normal"/>
    <w:rsid w:val="003C79F3"/>
    <w:pPr>
      <w:tabs>
        <w:tab w:val="left" w:pos="3118"/>
        <w:tab w:val="left" w:pos="3685"/>
      </w:tabs>
      <w:autoSpaceDE w:val="0"/>
      <w:autoSpaceDN w:val="0"/>
      <w:adjustRightInd w:val="0"/>
      <w:spacing w:before="120" w:after="120"/>
      <w:ind w:left="4252" w:hanging="1701"/>
      <w:jc w:val="both"/>
    </w:pPr>
    <w:rPr>
      <w:rFonts w:cs="Symbol"/>
      <w:szCs w:val="22"/>
    </w:rPr>
  </w:style>
  <w:style w:type="paragraph" w:customStyle="1" w:styleId="NumPar1">
    <w:name w:val="NumPar 1"/>
    <w:basedOn w:val="Normal"/>
    <w:next w:val="Text1"/>
    <w:rsid w:val="003C79F3"/>
    <w:pPr>
      <w:tabs>
        <w:tab w:val="num" w:pos="720"/>
        <w:tab w:val="left" w:pos="850"/>
      </w:tabs>
      <w:autoSpaceDE w:val="0"/>
      <w:autoSpaceDN w:val="0"/>
      <w:adjustRightInd w:val="0"/>
      <w:spacing w:before="120" w:after="120"/>
      <w:ind w:left="850" w:hanging="850"/>
      <w:jc w:val="both"/>
    </w:pPr>
    <w:rPr>
      <w:rFonts w:cs="Symbol"/>
      <w:szCs w:val="22"/>
    </w:rPr>
  </w:style>
  <w:style w:type="paragraph" w:customStyle="1" w:styleId="NumPar2">
    <w:name w:val="NumPar 2"/>
    <w:basedOn w:val="Normal"/>
    <w:next w:val="Text1"/>
    <w:rsid w:val="003C79F3"/>
    <w:pPr>
      <w:tabs>
        <w:tab w:val="left" w:pos="850"/>
        <w:tab w:val="num" w:pos="1440"/>
      </w:tabs>
      <w:autoSpaceDE w:val="0"/>
      <w:autoSpaceDN w:val="0"/>
      <w:adjustRightInd w:val="0"/>
      <w:spacing w:before="120" w:after="120"/>
      <w:ind w:left="850" w:hanging="850"/>
      <w:jc w:val="both"/>
    </w:pPr>
    <w:rPr>
      <w:rFonts w:cs="Symbol"/>
      <w:szCs w:val="22"/>
    </w:rPr>
  </w:style>
  <w:style w:type="paragraph" w:customStyle="1" w:styleId="NumPar3">
    <w:name w:val="NumPar 3"/>
    <w:basedOn w:val="Normal"/>
    <w:next w:val="Text1"/>
    <w:rsid w:val="003C79F3"/>
    <w:pPr>
      <w:tabs>
        <w:tab w:val="left" w:pos="850"/>
        <w:tab w:val="num" w:pos="2160"/>
      </w:tabs>
      <w:autoSpaceDE w:val="0"/>
      <w:autoSpaceDN w:val="0"/>
      <w:adjustRightInd w:val="0"/>
      <w:spacing w:before="120" w:after="120"/>
      <w:ind w:left="850" w:hanging="850"/>
      <w:jc w:val="both"/>
    </w:pPr>
    <w:rPr>
      <w:rFonts w:cs="Symbol"/>
      <w:szCs w:val="22"/>
    </w:rPr>
  </w:style>
  <w:style w:type="paragraph" w:customStyle="1" w:styleId="NumPar4">
    <w:name w:val="NumPar 4"/>
    <w:basedOn w:val="Normal"/>
    <w:next w:val="Text1"/>
    <w:rsid w:val="003C79F3"/>
    <w:pPr>
      <w:tabs>
        <w:tab w:val="left" w:pos="850"/>
        <w:tab w:val="num" w:pos="2880"/>
      </w:tabs>
      <w:autoSpaceDE w:val="0"/>
      <w:autoSpaceDN w:val="0"/>
      <w:adjustRightInd w:val="0"/>
      <w:spacing w:before="120" w:after="120"/>
      <w:ind w:left="850" w:hanging="850"/>
      <w:jc w:val="both"/>
    </w:pPr>
    <w:rPr>
      <w:rFonts w:cs="Symbol"/>
      <w:szCs w:val="22"/>
    </w:rPr>
  </w:style>
  <w:style w:type="paragraph" w:customStyle="1" w:styleId="ManualNumPar1">
    <w:name w:val="Manual NumPar 1"/>
    <w:basedOn w:val="Normal"/>
    <w:next w:val="Text1"/>
    <w:rsid w:val="003C79F3"/>
    <w:pPr>
      <w:autoSpaceDE w:val="0"/>
      <w:autoSpaceDN w:val="0"/>
      <w:adjustRightInd w:val="0"/>
      <w:spacing w:before="120" w:after="120"/>
      <w:ind w:left="850" w:hanging="850"/>
      <w:jc w:val="both"/>
    </w:pPr>
    <w:rPr>
      <w:rFonts w:cs="Symbol"/>
      <w:szCs w:val="22"/>
    </w:rPr>
  </w:style>
  <w:style w:type="paragraph" w:customStyle="1" w:styleId="ManualNumPar2">
    <w:name w:val="Manual NumPar 2"/>
    <w:basedOn w:val="Normal"/>
    <w:next w:val="Text1"/>
    <w:rsid w:val="003C79F3"/>
    <w:pPr>
      <w:autoSpaceDE w:val="0"/>
      <w:autoSpaceDN w:val="0"/>
      <w:adjustRightInd w:val="0"/>
      <w:spacing w:before="120" w:after="120"/>
      <w:ind w:left="850" w:hanging="850"/>
      <w:jc w:val="both"/>
    </w:pPr>
    <w:rPr>
      <w:rFonts w:cs="Symbol"/>
      <w:szCs w:val="22"/>
    </w:rPr>
  </w:style>
  <w:style w:type="paragraph" w:customStyle="1" w:styleId="ManualNumPar3">
    <w:name w:val="Manual NumPar 3"/>
    <w:basedOn w:val="Normal"/>
    <w:next w:val="Text1"/>
    <w:rsid w:val="003C79F3"/>
    <w:pPr>
      <w:autoSpaceDE w:val="0"/>
      <w:autoSpaceDN w:val="0"/>
      <w:adjustRightInd w:val="0"/>
      <w:spacing w:before="120" w:after="120"/>
      <w:ind w:left="850" w:hanging="850"/>
      <w:jc w:val="both"/>
    </w:pPr>
    <w:rPr>
      <w:rFonts w:cs="Symbol"/>
      <w:szCs w:val="22"/>
    </w:rPr>
  </w:style>
  <w:style w:type="paragraph" w:customStyle="1" w:styleId="ManualNumPar4">
    <w:name w:val="Manual NumPar 4"/>
    <w:basedOn w:val="Normal"/>
    <w:next w:val="Text1"/>
    <w:rsid w:val="003C79F3"/>
    <w:pPr>
      <w:autoSpaceDE w:val="0"/>
      <w:autoSpaceDN w:val="0"/>
      <w:adjustRightInd w:val="0"/>
      <w:spacing w:before="120" w:after="120"/>
      <w:ind w:left="850" w:hanging="850"/>
      <w:jc w:val="both"/>
    </w:pPr>
    <w:rPr>
      <w:rFonts w:cs="Symbol"/>
      <w:szCs w:val="22"/>
    </w:rPr>
  </w:style>
  <w:style w:type="paragraph" w:customStyle="1" w:styleId="QuotedNumPar">
    <w:name w:val="Quoted NumPar"/>
    <w:basedOn w:val="Normal"/>
    <w:rsid w:val="003C79F3"/>
    <w:pPr>
      <w:autoSpaceDE w:val="0"/>
      <w:autoSpaceDN w:val="0"/>
      <w:adjustRightInd w:val="0"/>
      <w:spacing w:before="120" w:after="120"/>
      <w:ind w:left="1417" w:hanging="567"/>
      <w:jc w:val="both"/>
    </w:pPr>
    <w:rPr>
      <w:rFonts w:cs="Symbol"/>
      <w:szCs w:val="22"/>
    </w:rPr>
  </w:style>
  <w:style w:type="paragraph" w:customStyle="1" w:styleId="ManualHeading1">
    <w:name w:val="Manual Heading 1"/>
    <w:basedOn w:val="Normal"/>
    <w:next w:val="Text1"/>
    <w:rsid w:val="003C79F3"/>
    <w:pPr>
      <w:keepNext/>
      <w:tabs>
        <w:tab w:val="left" w:pos="850"/>
      </w:tabs>
      <w:autoSpaceDE w:val="0"/>
      <w:autoSpaceDN w:val="0"/>
      <w:adjustRightInd w:val="0"/>
      <w:spacing w:before="360" w:after="120"/>
      <w:ind w:left="850" w:hanging="850"/>
      <w:jc w:val="both"/>
      <w:outlineLvl w:val="0"/>
    </w:pPr>
    <w:rPr>
      <w:rFonts w:cs="Symbol"/>
      <w:b/>
      <w:smallCaps/>
      <w:szCs w:val="22"/>
    </w:rPr>
  </w:style>
  <w:style w:type="paragraph" w:customStyle="1" w:styleId="ManualHeading2">
    <w:name w:val="Manual Heading 2"/>
    <w:basedOn w:val="Normal"/>
    <w:next w:val="Text1"/>
    <w:rsid w:val="003C79F3"/>
    <w:pPr>
      <w:keepNext/>
      <w:tabs>
        <w:tab w:val="left" w:pos="850"/>
      </w:tabs>
      <w:autoSpaceDE w:val="0"/>
      <w:autoSpaceDN w:val="0"/>
      <w:adjustRightInd w:val="0"/>
      <w:spacing w:before="120" w:after="120"/>
      <w:ind w:left="850" w:hanging="850"/>
      <w:jc w:val="both"/>
      <w:outlineLvl w:val="1"/>
    </w:pPr>
    <w:rPr>
      <w:rFonts w:cs="Symbol"/>
      <w:b/>
      <w:szCs w:val="22"/>
    </w:rPr>
  </w:style>
  <w:style w:type="paragraph" w:customStyle="1" w:styleId="ManualHeading3">
    <w:name w:val="Manual Heading 3"/>
    <w:basedOn w:val="Normal"/>
    <w:next w:val="Text1"/>
    <w:rsid w:val="003C79F3"/>
    <w:pPr>
      <w:keepNext/>
      <w:tabs>
        <w:tab w:val="left" w:pos="850"/>
      </w:tabs>
      <w:autoSpaceDE w:val="0"/>
      <w:autoSpaceDN w:val="0"/>
      <w:adjustRightInd w:val="0"/>
      <w:spacing w:before="120" w:after="120"/>
      <w:ind w:left="850" w:hanging="850"/>
      <w:jc w:val="both"/>
      <w:outlineLvl w:val="2"/>
    </w:pPr>
    <w:rPr>
      <w:rFonts w:cs="Symbol"/>
      <w:i/>
      <w:szCs w:val="22"/>
    </w:rPr>
  </w:style>
  <w:style w:type="paragraph" w:customStyle="1" w:styleId="ManualHeading4">
    <w:name w:val="Manual Heading 4"/>
    <w:basedOn w:val="Normal"/>
    <w:next w:val="Text1"/>
    <w:rsid w:val="003C79F3"/>
    <w:pPr>
      <w:keepNext/>
      <w:tabs>
        <w:tab w:val="left" w:pos="850"/>
      </w:tabs>
      <w:autoSpaceDE w:val="0"/>
      <w:autoSpaceDN w:val="0"/>
      <w:adjustRightInd w:val="0"/>
      <w:spacing w:before="120" w:after="120"/>
      <w:ind w:left="850" w:hanging="850"/>
      <w:jc w:val="both"/>
      <w:outlineLvl w:val="3"/>
    </w:pPr>
    <w:rPr>
      <w:rFonts w:cs="Symbol"/>
      <w:szCs w:val="22"/>
    </w:rPr>
  </w:style>
  <w:style w:type="paragraph" w:customStyle="1" w:styleId="ChapterTitle">
    <w:name w:val="ChapterTitle"/>
    <w:basedOn w:val="Normal"/>
    <w:next w:val="Normal"/>
    <w:rsid w:val="003C79F3"/>
    <w:pPr>
      <w:keepNext/>
      <w:autoSpaceDE w:val="0"/>
      <w:autoSpaceDN w:val="0"/>
      <w:adjustRightInd w:val="0"/>
      <w:spacing w:before="120" w:after="360"/>
      <w:jc w:val="center"/>
    </w:pPr>
    <w:rPr>
      <w:rFonts w:cs="Symbol"/>
      <w:b/>
      <w:sz w:val="32"/>
      <w:szCs w:val="22"/>
    </w:rPr>
  </w:style>
  <w:style w:type="paragraph" w:customStyle="1" w:styleId="PartTitle">
    <w:name w:val="PartTitle"/>
    <w:basedOn w:val="Normal"/>
    <w:next w:val="ChapterTitle"/>
    <w:rsid w:val="003C79F3"/>
    <w:pPr>
      <w:keepNext/>
      <w:pageBreakBefore/>
      <w:autoSpaceDE w:val="0"/>
      <w:autoSpaceDN w:val="0"/>
      <w:adjustRightInd w:val="0"/>
      <w:spacing w:before="120" w:after="360"/>
      <w:jc w:val="center"/>
    </w:pPr>
    <w:rPr>
      <w:rFonts w:cs="Symbol"/>
      <w:b/>
      <w:sz w:val="36"/>
      <w:szCs w:val="22"/>
    </w:rPr>
  </w:style>
  <w:style w:type="paragraph" w:customStyle="1" w:styleId="SectionTitle">
    <w:name w:val="SectionTitle"/>
    <w:basedOn w:val="Normal"/>
    <w:next w:val="Heading1"/>
    <w:rsid w:val="003C79F3"/>
    <w:pPr>
      <w:keepNext/>
      <w:autoSpaceDE w:val="0"/>
      <w:autoSpaceDN w:val="0"/>
      <w:adjustRightInd w:val="0"/>
      <w:spacing w:before="120" w:after="360"/>
      <w:jc w:val="center"/>
    </w:pPr>
    <w:rPr>
      <w:rFonts w:cs="Symbol"/>
      <w:b/>
      <w:smallCaps/>
      <w:sz w:val="28"/>
      <w:szCs w:val="22"/>
    </w:rPr>
  </w:style>
  <w:style w:type="paragraph" w:customStyle="1" w:styleId="TableTitle">
    <w:name w:val="Table Title"/>
    <w:basedOn w:val="Normal"/>
    <w:next w:val="Normal"/>
    <w:rsid w:val="003C79F3"/>
    <w:pPr>
      <w:autoSpaceDE w:val="0"/>
      <w:autoSpaceDN w:val="0"/>
      <w:adjustRightInd w:val="0"/>
      <w:spacing w:before="120" w:after="120"/>
      <w:jc w:val="center"/>
    </w:pPr>
    <w:rPr>
      <w:rFonts w:cs="Symbol"/>
      <w:b/>
      <w:szCs w:val="22"/>
    </w:rPr>
  </w:style>
  <w:style w:type="character" w:customStyle="1" w:styleId="Marker2">
    <w:name w:val="Marker2"/>
    <w:rsid w:val="003C79F3"/>
    <w:rPr>
      <w:color w:val="FF0000"/>
      <w:shd w:val="clear" w:color="auto" w:fill="auto"/>
    </w:rPr>
  </w:style>
  <w:style w:type="paragraph" w:customStyle="1" w:styleId="Point0number">
    <w:name w:val="Point 0 (number)"/>
    <w:basedOn w:val="Normal"/>
    <w:rsid w:val="003C79F3"/>
    <w:pPr>
      <w:tabs>
        <w:tab w:val="num" w:pos="720"/>
        <w:tab w:val="left" w:pos="850"/>
      </w:tabs>
      <w:autoSpaceDE w:val="0"/>
      <w:autoSpaceDN w:val="0"/>
      <w:adjustRightInd w:val="0"/>
      <w:spacing w:before="120" w:after="120"/>
      <w:ind w:left="850" w:hanging="850"/>
      <w:jc w:val="both"/>
    </w:pPr>
    <w:rPr>
      <w:rFonts w:cs="Symbol"/>
      <w:szCs w:val="22"/>
    </w:rPr>
  </w:style>
  <w:style w:type="paragraph" w:customStyle="1" w:styleId="Point1number">
    <w:name w:val="Point 1 (number)"/>
    <w:basedOn w:val="Normal"/>
    <w:rsid w:val="003C79F3"/>
    <w:pPr>
      <w:tabs>
        <w:tab w:val="left" w:pos="1417"/>
        <w:tab w:val="num" w:pos="2160"/>
      </w:tabs>
      <w:autoSpaceDE w:val="0"/>
      <w:autoSpaceDN w:val="0"/>
      <w:adjustRightInd w:val="0"/>
      <w:spacing w:before="120" w:after="120"/>
      <w:ind w:left="1417" w:hanging="567"/>
      <w:jc w:val="both"/>
    </w:pPr>
    <w:rPr>
      <w:rFonts w:cs="Symbol"/>
      <w:szCs w:val="22"/>
    </w:rPr>
  </w:style>
  <w:style w:type="paragraph" w:customStyle="1" w:styleId="Point2number">
    <w:name w:val="Point 2 (number)"/>
    <w:basedOn w:val="Normal"/>
    <w:rsid w:val="003C79F3"/>
    <w:pPr>
      <w:tabs>
        <w:tab w:val="num" w:pos="1701"/>
        <w:tab w:val="left" w:pos="1984"/>
      </w:tabs>
      <w:autoSpaceDE w:val="0"/>
      <w:autoSpaceDN w:val="0"/>
      <w:adjustRightInd w:val="0"/>
      <w:spacing w:before="120" w:after="120"/>
      <w:ind w:left="1984" w:hanging="567"/>
      <w:jc w:val="both"/>
    </w:pPr>
    <w:rPr>
      <w:rFonts w:cs="Symbol"/>
      <w:szCs w:val="22"/>
    </w:rPr>
  </w:style>
  <w:style w:type="paragraph" w:customStyle="1" w:styleId="Point3number">
    <w:name w:val="Point 3 (number)"/>
    <w:basedOn w:val="Normal"/>
    <w:rsid w:val="003C79F3"/>
    <w:pPr>
      <w:tabs>
        <w:tab w:val="num" w:pos="2268"/>
        <w:tab w:val="left" w:pos="2551"/>
      </w:tabs>
      <w:autoSpaceDE w:val="0"/>
      <w:autoSpaceDN w:val="0"/>
      <w:adjustRightInd w:val="0"/>
      <w:spacing w:before="120" w:after="120"/>
      <w:ind w:left="2551" w:hanging="567"/>
      <w:jc w:val="both"/>
    </w:pPr>
    <w:rPr>
      <w:rFonts w:cs="Symbol"/>
      <w:szCs w:val="22"/>
    </w:rPr>
  </w:style>
  <w:style w:type="paragraph" w:customStyle="1" w:styleId="Point0letter">
    <w:name w:val="Point 0 (letter)"/>
    <w:basedOn w:val="Normal"/>
    <w:rsid w:val="003C79F3"/>
    <w:pPr>
      <w:tabs>
        <w:tab w:val="left" w:pos="850"/>
        <w:tab w:val="num" w:pos="1440"/>
      </w:tabs>
      <w:autoSpaceDE w:val="0"/>
      <w:autoSpaceDN w:val="0"/>
      <w:adjustRightInd w:val="0"/>
      <w:spacing w:before="120" w:after="120"/>
      <w:ind w:left="850" w:hanging="850"/>
      <w:jc w:val="both"/>
    </w:pPr>
    <w:rPr>
      <w:rFonts w:cs="Symbol"/>
      <w:szCs w:val="22"/>
    </w:rPr>
  </w:style>
  <w:style w:type="paragraph" w:customStyle="1" w:styleId="Point1letter">
    <w:name w:val="Point 1 (letter)"/>
    <w:basedOn w:val="Normal"/>
    <w:rsid w:val="003C79F3"/>
    <w:pPr>
      <w:tabs>
        <w:tab w:val="left" w:pos="1417"/>
        <w:tab w:val="num" w:pos="2880"/>
      </w:tabs>
      <w:autoSpaceDE w:val="0"/>
      <w:autoSpaceDN w:val="0"/>
      <w:adjustRightInd w:val="0"/>
      <w:spacing w:before="120" w:after="120"/>
      <w:ind w:left="1417" w:hanging="567"/>
      <w:jc w:val="both"/>
    </w:pPr>
    <w:rPr>
      <w:rFonts w:cs="Symbol"/>
      <w:szCs w:val="22"/>
    </w:rPr>
  </w:style>
  <w:style w:type="paragraph" w:customStyle="1" w:styleId="Point2letter">
    <w:name w:val="Point 2 (letter)"/>
    <w:basedOn w:val="Normal"/>
    <w:rsid w:val="003C79F3"/>
    <w:pPr>
      <w:tabs>
        <w:tab w:val="num" w:pos="1701"/>
        <w:tab w:val="left" w:pos="1984"/>
      </w:tabs>
      <w:autoSpaceDE w:val="0"/>
      <w:autoSpaceDN w:val="0"/>
      <w:adjustRightInd w:val="0"/>
      <w:spacing w:before="120" w:after="120"/>
      <w:ind w:left="1984" w:hanging="567"/>
      <w:jc w:val="both"/>
    </w:pPr>
    <w:rPr>
      <w:rFonts w:cs="Symbol"/>
      <w:szCs w:val="22"/>
    </w:rPr>
  </w:style>
  <w:style w:type="paragraph" w:customStyle="1" w:styleId="Point3letter">
    <w:name w:val="Point 3 (letter)"/>
    <w:basedOn w:val="Normal"/>
    <w:rsid w:val="003C79F3"/>
    <w:pPr>
      <w:tabs>
        <w:tab w:val="num" w:pos="2268"/>
        <w:tab w:val="left" w:pos="2551"/>
      </w:tabs>
      <w:autoSpaceDE w:val="0"/>
      <w:autoSpaceDN w:val="0"/>
      <w:adjustRightInd w:val="0"/>
      <w:spacing w:before="120" w:after="120"/>
      <w:ind w:left="2551" w:hanging="567"/>
      <w:jc w:val="both"/>
    </w:pPr>
    <w:rPr>
      <w:rFonts w:cs="Symbol"/>
      <w:szCs w:val="22"/>
    </w:rPr>
  </w:style>
  <w:style w:type="paragraph" w:customStyle="1" w:styleId="Point4letter">
    <w:name w:val="Point 4 (letter)"/>
    <w:basedOn w:val="Normal"/>
    <w:rsid w:val="003C79F3"/>
    <w:pPr>
      <w:tabs>
        <w:tab w:val="num" w:pos="2835"/>
        <w:tab w:val="left" w:pos="3118"/>
      </w:tabs>
      <w:autoSpaceDE w:val="0"/>
      <w:autoSpaceDN w:val="0"/>
      <w:adjustRightInd w:val="0"/>
      <w:spacing w:before="120" w:after="120"/>
      <w:ind w:left="3118" w:hanging="567"/>
      <w:jc w:val="both"/>
    </w:pPr>
    <w:rPr>
      <w:rFonts w:cs="Symbol"/>
      <w:szCs w:val="22"/>
    </w:rPr>
  </w:style>
  <w:style w:type="paragraph" w:customStyle="1" w:styleId="Bullet0">
    <w:name w:val="Bullet 0"/>
    <w:basedOn w:val="Normal"/>
    <w:rsid w:val="003C79F3"/>
    <w:pPr>
      <w:tabs>
        <w:tab w:val="num" w:pos="720"/>
        <w:tab w:val="left" w:pos="850"/>
      </w:tabs>
      <w:autoSpaceDE w:val="0"/>
      <w:autoSpaceDN w:val="0"/>
      <w:adjustRightInd w:val="0"/>
      <w:spacing w:before="120" w:after="120"/>
      <w:ind w:left="850" w:hanging="850"/>
      <w:jc w:val="both"/>
    </w:pPr>
    <w:rPr>
      <w:rFonts w:cs="Symbol"/>
      <w:szCs w:val="22"/>
    </w:rPr>
  </w:style>
  <w:style w:type="paragraph" w:customStyle="1" w:styleId="Annexetitreexpos">
    <w:name w:val="Annexe titre (exposé)"/>
    <w:basedOn w:val="Normal"/>
    <w:next w:val="Normal"/>
    <w:rsid w:val="003C79F3"/>
    <w:pPr>
      <w:autoSpaceDE w:val="0"/>
      <w:autoSpaceDN w:val="0"/>
      <w:adjustRightInd w:val="0"/>
      <w:spacing w:before="120" w:after="120"/>
      <w:jc w:val="center"/>
    </w:pPr>
    <w:rPr>
      <w:rFonts w:cs="Symbol"/>
      <w:b/>
      <w:szCs w:val="22"/>
      <w:u w:val="single"/>
    </w:rPr>
  </w:style>
  <w:style w:type="paragraph" w:customStyle="1" w:styleId="Annexetitre">
    <w:name w:val="Annexe titre"/>
    <w:basedOn w:val="Normal"/>
    <w:next w:val="Normal"/>
    <w:rsid w:val="003C79F3"/>
    <w:pPr>
      <w:autoSpaceDE w:val="0"/>
      <w:autoSpaceDN w:val="0"/>
      <w:adjustRightInd w:val="0"/>
      <w:spacing w:before="120" w:after="120"/>
      <w:jc w:val="center"/>
    </w:pPr>
    <w:rPr>
      <w:rFonts w:cs="Symbol"/>
      <w:b/>
      <w:szCs w:val="22"/>
      <w:u w:val="single"/>
    </w:rPr>
  </w:style>
  <w:style w:type="paragraph" w:customStyle="1" w:styleId="Annexetitrefichefinancire">
    <w:name w:val="Annexe titre (fiche financière)"/>
    <w:basedOn w:val="Normal"/>
    <w:next w:val="Normal"/>
    <w:rsid w:val="003C79F3"/>
    <w:pPr>
      <w:autoSpaceDE w:val="0"/>
      <w:autoSpaceDN w:val="0"/>
      <w:adjustRightInd w:val="0"/>
      <w:spacing w:before="120" w:after="120"/>
      <w:jc w:val="center"/>
    </w:pPr>
    <w:rPr>
      <w:rFonts w:cs="Symbol"/>
      <w:b/>
      <w:szCs w:val="22"/>
      <w:u w:val="single"/>
    </w:rPr>
  </w:style>
  <w:style w:type="paragraph" w:customStyle="1" w:styleId="Applicationdirecte">
    <w:name w:val="Application directe"/>
    <w:basedOn w:val="Normal"/>
    <w:next w:val="Fait"/>
    <w:rsid w:val="003C79F3"/>
    <w:pPr>
      <w:autoSpaceDE w:val="0"/>
      <w:autoSpaceDN w:val="0"/>
      <w:adjustRightInd w:val="0"/>
      <w:spacing w:before="480" w:after="120"/>
      <w:jc w:val="both"/>
    </w:pPr>
    <w:rPr>
      <w:rFonts w:cs="Symbol"/>
      <w:szCs w:val="22"/>
    </w:rPr>
  </w:style>
  <w:style w:type="paragraph" w:customStyle="1" w:styleId="Avertissementtitre">
    <w:name w:val="Avertissement titre"/>
    <w:basedOn w:val="Normal"/>
    <w:next w:val="Normal"/>
    <w:rsid w:val="003C79F3"/>
    <w:pPr>
      <w:keepNext/>
      <w:autoSpaceDE w:val="0"/>
      <w:autoSpaceDN w:val="0"/>
      <w:adjustRightInd w:val="0"/>
      <w:spacing w:before="480" w:after="120"/>
      <w:jc w:val="both"/>
    </w:pPr>
    <w:rPr>
      <w:rFonts w:cs="Symbol"/>
      <w:szCs w:val="22"/>
      <w:u w:val="single"/>
    </w:rPr>
  </w:style>
  <w:style w:type="paragraph" w:customStyle="1" w:styleId="Confidence">
    <w:name w:val="Confidence"/>
    <w:basedOn w:val="Normal"/>
    <w:next w:val="Normal"/>
    <w:rsid w:val="003C79F3"/>
    <w:pPr>
      <w:autoSpaceDE w:val="0"/>
      <w:autoSpaceDN w:val="0"/>
      <w:adjustRightInd w:val="0"/>
      <w:spacing w:before="360" w:after="120"/>
      <w:jc w:val="center"/>
    </w:pPr>
    <w:rPr>
      <w:rFonts w:cs="Symbol"/>
      <w:szCs w:val="22"/>
    </w:rPr>
  </w:style>
  <w:style w:type="paragraph" w:customStyle="1" w:styleId="Confidentialit">
    <w:name w:val="Confidentialité"/>
    <w:basedOn w:val="Normal"/>
    <w:next w:val="TypedudocumentPagedecouverture"/>
    <w:rsid w:val="003C79F3"/>
    <w:pPr>
      <w:autoSpaceDE w:val="0"/>
      <w:autoSpaceDN w:val="0"/>
      <w:adjustRightInd w:val="0"/>
      <w:spacing w:before="240" w:after="240"/>
      <w:ind w:left="5103"/>
    </w:pPr>
    <w:rPr>
      <w:rFonts w:cs="Symbol"/>
      <w:i/>
      <w:sz w:val="32"/>
      <w:szCs w:val="22"/>
    </w:rPr>
  </w:style>
  <w:style w:type="paragraph" w:customStyle="1" w:styleId="Considrant">
    <w:name w:val="Considérant"/>
    <w:basedOn w:val="Normal"/>
    <w:rsid w:val="003C79F3"/>
    <w:pPr>
      <w:tabs>
        <w:tab w:val="left" w:pos="709"/>
      </w:tabs>
      <w:autoSpaceDE w:val="0"/>
      <w:autoSpaceDN w:val="0"/>
      <w:adjustRightInd w:val="0"/>
      <w:spacing w:before="120" w:after="120"/>
      <w:ind w:left="709" w:hanging="709"/>
      <w:jc w:val="both"/>
    </w:pPr>
    <w:rPr>
      <w:rFonts w:cs="Symbol"/>
      <w:szCs w:val="22"/>
    </w:rPr>
  </w:style>
  <w:style w:type="paragraph" w:customStyle="1" w:styleId="Corrigendum">
    <w:name w:val="Corrigendum"/>
    <w:basedOn w:val="Normal"/>
    <w:next w:val="Normal"/>
    <w:rsid w:val="003C79F3"/>
    <w:pPr>
      <w:autoSpaceDE w:val="0"/>
      <w:autoSpaceDN w:val="0"/>
      <w:adjustRightInd w:val="0"/>
      <w:spacing w:after="240"/>
    </w:pPr>
    <w:rPr>
      <w:rFonts w:cs="Symbol"/>
      <w:szCs w:val="22"/>
    </w:rPr>
  </w:style>
  <w:style w:type="paragraph" w:customStyle="1" w:styleId="Datedadoption">
    <w:name w:val="Date d'adoption"/>
    <w:basedOn w:val="Normal"/>
    <w:next w:val="Titreobjet"/>
    <w:rsid w:val="003C79F3"/>
    <w:pPr>
      <w:autoSpaceDE w:val="0"/>
      <w:autoSpaceDN w:val="0"/>
      <w:adjustRightInd w:val="0"/>
      <w:spacing w:before="360"/>
      <w:jc w:val="center"/>
    </w:pPr>
    <w:rPr>
      <w:rFonts w:cs="Symbol"/>
      <w:b/>
      <w:szCs w:val="22"/>
    </w:rPr>
  </w:style>
  <w:style w:type="paragraph" w:customStyle="1" w:styleId="Emission">
    <w:name w:val="Emission"/>
    <w:basedOn w:val="Normal"/>
    <w:next w:val="Rfrenceinstitutionnelle"/>
    <w:rsid w:val="003C79F3"/>
    <w:pPr>
      <w:autoSpaceDE w:val="0"/>
      <w:autoSpaceDN w:val="0"/>
      <w:adjustRightInd w:val="0"/>
      <w:ind w:left="5103"/>
    </w:pPr>
    <w:rPr>
      <w:rFonts w:cs="Symbol"/>
      <w:szCs w:val="22"/>
    </w:rPr>
  </w:style>
  <w:style w:type="paragraph" w:customStyle="1" w:styleId="Exposdesmotifstitre">
    <w:name w:val="Exposé des motifs titre"/>
    <w:basedOn w:val="Normal"/>
    <w:next w:val="Normal"/>
    <w:rsid w:val="003C79F3"/>
    <w:pPr>
      <w:autoSpaceDE w:val="0"/>
      <w:autoSpaceDN w:val="0"/>
      <w:adjustRightInd w:val="0"/>
      <w:spacing w:before="120" w:after="120"/>
      <w:jc w:val="center"/>
    </w:pPr>
    <w:rPr>
      <w:rFonts w:cs="Symbol"/>
      <w:b/>
      <w:szCs w:val="22"/>
      <w:u w:val="single"/>
    </w:rPr>
  </w:style>
  <w:style w:type="paragraph" w:customStyle="1" w:styleId="Fait">
    <w:name w:val="Fait à"/>
    <w:basedOn w:val="Normal"/>
    <w:next w:val="Institutionquisigne"/>
    <w:rsid w:val="003C79F3"/>
    <w:pPr>
      <w:keepNext/>
      <w:autoSpaceDE w:val="0"/>
      <w:autoSpaceDN w:val="0"/>
      <w:adjustRightInd w:val="0"/>
      <w:spacing w:before="120"/>
      <w:jc w:val="both"/>
    </w:pPr>
    <w:rPr>
      <w:rFonts w:cs="Symbol"/>
      <w:szCs w:val="22"/>
    </w:rPr>
  </w:style>
  <w:style w:type="paragraph" w:customStyle="1" w:styleId="Formuledadoption">
    <w:name w:val="Formule d'adoption"/>
    <w:basedOn w:val="Normal"/>
    <w:next w:val="Titrearticle"/>
    <w:rsid w:val="003C79F3"/>
    <w:pPr>
      <w:keepNext/>
      <w:autoSpaceDE w:val="0"/>
      <w:autoSpaceDN w:val="0"/>
      <w:adjustRightInd w:val="0"/>
      <w:spacing w:before="120" w:after="120"/>
      <w:jc w:val="both"/>
    </w:pPr>
    <w:rPr>
      <w:rFonts w:cs="Symbol"/>
      <w:szCs w:val="22"/>
    </w:rPr>
  </w:style>
  <w:style w:type="paragraph" w:customStyle="1" w:styleId="Institutionquiagit">
    <w:name w:val="Institution qui agit"/>
    <w:basedOn w:val="Normal"/>
    <w:next w:val="Normal"/>
    <w:rsid w:val="003C79F3"/>
    <w:pPr>
      <w:keepNext/>
      <w:autoSpaceDE w:val="0"/>
      <w:autoSpaceDN w:val="0"/>
      <w:adjustRightInd w:val="0"/>
      <w:spacing w:before="600" w:after="120"/>
      <w:jc w:val="both"/>
    </w:pPr>
    <w:rPr>
      <w:rFonts w:cs="Symbol"/>
      <w:szCs w:val="22"/>
    </w:rPr>
  </w:style>
  <w:style w:type="paragraph" w:customStyle="1" w:styleId="Institutionquisigne">
    <w:name w:val="Institution qui signe"/>
    <w:basedOn w:val="Normal"/>
    <w:next w:val="Personnequisigne"/>
    <w:rsid w:val="003C79F3"/>
    <w:pPr>
      <w:keepNext/>
      <w:tabs>
        <w:tab w:val="left" w:pos="4252"/>
      </w:tabs>
      <w:autoSpaceDE w:val="0"/>
      <w:autoSpaceDN w:val="0"/>
      <w:adjustRightInd w:val="0"/>
      <w:spacing w:before="720"/>
      <w:jc w:val="both"/>
    </w:pPr>
    <w:rPr>
      <w:rFonts w:cs="Symbol"/>
      <w:i/>
      <w:szCs w:val="22"/>
    </w:rPr>
  </w:style>
  <w:style w:type="paragraph" w:customStyle="1" w:styleId="Langue">
    <w:name w:val="Langue"/>
    <w:basedOn w:val="Normal"/>
    <w:next w:val="Rfrenceinterne"/>
    <w:rsid w:val="003C79F3"/>
    <w:pPr>
      <w:framePr w:wrap="auto" w:vAnchor="page" w:hAnchor="text" w:xAlign="center" w:y="14742"/>
      <w:autoSpaceDE w:val="0"/>
      <w:autoSpaceDN w:val="0"/>
      <w:adjustRightInd w:val="0"/>
      <w:spacing w:after="600"/>
      <w:jc w:val="center"/>
    </w:pPr>
    <w:rPr>
      <w:rFonts w:cs="Symbol"/>
      <w:b/>
      <w:caps/>
      <w:szCs w:val="22"/>
    </w:rPr>
  </w:style>
  <w:style w:type="paragraph" w:customStyle="1" w:styleId="ManualConsidrant">
    <w:name w:val="Manual Considérant"/>
    <w:basedOn w:val="Normal"/>
    <w:rsid w:val="003C79F3"/>
    <w:pPr>
      <w:autoSpaceDE w:val="0"/>
      <w:autoSpaceDN w:val="0"/>
      <w:adjustRightInd w:val="0"/>
      <w:spacing w:before="120" w:after="120"/>
      <w:ind w:left="709" w:hanging="709"/>
      <w:jc w:val="both"/>
    </w:pPr>
    <w:rPr>
      <w:rFonts w:cs="Symbol"/>
      <w:szCs w:val="22"/>
    </w:rPr>
  </w:style>
  <w:style w:type="paragraph" w:customStyle="1" w:styleId="Nomdelinstitution">
    <w:name w:val="Nom de l'institution"/>
    <w:basedOn w:val="Normal"/>
    <w:next w:val="Emission"/>
    <w:rsid w:val="003C79F3"/>
    <w:pPr>
      <w:autoSpaceDE w:val="0"/>
      <w:autoSpaceDN w:val="0"/>
      <w:adjustRightInd w:val="0"/>
    </w:pPr>
    <w:rPr>
      <w:rFonts w:ascii="Arial" w:hAnsi="Arial" w:cs="Cambria"/>
      <w:szCs w:val="22"/>
    </w:rPr>
  </w:style>
  <w:style w:type="paragraph" w:customStyle="1" w:styleId="Personnequisigne">
    <w:name w:val="Personne qui signe"/>
    <w:basedOn w:val="Normal"/>
    <w:next w:val="Institutionquisigne"/>
    <w:rsid w:val="003C79F3"/>
    <w:pPr>
      <w:tabs>
        <w:tab w:val="left" w:pos="4252"/>
      </w:tabs>
      <w:autoSpaceDE w:val="0"/>
      <w:autoSpaceDN w:val="0"/>
      <w:adjustRightInd w:val="0"/>
    </w:pPr>
    <w:rPr>
      <w:rFonts w:cs="Symbol"/>
      <w:i/>
      <w:szCs w:val="22"/>
    </w:rPr>
  </w:style>
  <w:style w:type="paragraph" w:customStyle="1" w:styleId="Rfrenceinstitutionnelle">
    <w:name w:val="Référence institutionnelle"/>
    <w:basedOn w:val="Normal"/>
    <w:next w:val="Confidentialit"/>
    <w:rsid w:val="003C79F3"/>
    <w:pPr>
      <w:autoSpaceDE w:val="0"/>
      <w:autoSpaceDN w:val="0"/>
      <w:adjustRightInd w:val="0"/>
      <w:spacing w:after="240"/>
      <w:ind w:left="5103"/>
    </w:pPr>
    <w:rPr>
      <w:rFonts w:cs="Symbol"/>
      <w:szCs w:val="22"/>
    </w:rPr>
  </w:style>
  <w:style w:type="paragraph" w:customStyle="1" w:styleId="Rfrenceinterinstitutionnelle">
    <w:name w:val="Référence interinstitutionnelle"/>
    <w:basedOn w:val="Normal"/>
    <w:next w:val="Statut"/>
    <w:rsid w:val="003C79F3"/>
    <w:pPr>
      <w:autoSpaceDE w:val="0"/>
      <w:autoSpaceDN w:val="0"/>
      <w:adjustRightInd w:val="0"/>
      <w:ind w:left="5103"/>
    </w:pPr>
    <w:rPr>
      <w:rFonts w:cs="Symbol"/>
      <w:szCs w:val="22"/>
    </w:rPr>
  </w:style>
  <w:style w:type="paragraph" w:customStyle="1" w:styleId="Rfrenceinterne">
    <w:name w:val="Référence interne"/>
    <w:basedOn w:val="Normal"/>
    <w:next w:val="Rfrenceinterinstitutionnelle"/>
    <w:rsid w:val="003C79F3"/>
    <w:pPr>
      <w:autoSpaceDE w:val="0"/>
      <w:autoSpaceDN w:val="0"/>
      <w:adjustRightInd w:val="0"/>
      <w:ind w:left="5103"/>
    </w:pPr>
    <w:rPr>
      <w:rFonts w:cs="Symbol"/>
      <w:szCs w:val="22"/>
    </w:rPr>
  </w:style>
  <w:style w:type="paragraph" w:customStyle="1" w:styleId="Sous-titreobjet">
    <w:name w:val="Sous-titre objet"/>
    <w:basedOn w:val="Normal"/>
    <w:rsid w:val="003C79F3"/>
    <w:pPr>
      <w:autoSpaceDE w:val="0"/>
      <w:autoSpaceDN w:val="0"/>
      <w:adjustRightInd w:val="0"/>
      <w:jc w:val="center"/>
    </w:pPr>
    <w:rPr>
      <w:rFonts w:cs="Symbol"/>
      <w:b/>
      <w:szCs w:val="22"/>
    </w:rPr>
  </w:style>
  <w:style w:type="paragraph" w:customStyle="1" w:styleId="Statut">
    <w:name w:val="Statut"/>
    <w:basedOn w:val="Normal"/>
    <w:next w:val="Typedudocument"/>
    <w:rsid w:val="003C79F3"/>
    <w:pPr>
      <w:autoSpaceDE w:val="0"/>
      <w:autoSpaceDN w:val="0"/>
      <w:adjustRightInd w:val="0"/>
      <w:spacing w:before="360"/>
      <w:jc w:val="center"/>
    </w:pPr>
    <w:rPr>
      <w:rFonts w:cs="Symbol"/>
      <w:szCs w:val="22"/>
    </w:rPr>
  </w:style>
  <w:style w:type="paragraph" w:customStyle="1" w:styleId="Titrearticle">
    <w:name w:val="Titre article"/>
    <w:basedOn w:val="Normal"/>
    <w:next w:val="Normal"/>
    <w:rsid w:val="003C79F3"/>
    <w:pPr>
      <w:keepNext/>
      <w:autoSpaceDE w:val="0"/>
      <w:autoSpaceDN w:val="0"/>
      <w:adjustRightInd w:val="0"/>
      <w:spacing w:before="360" w:after="120"/>
      <w:jc w:val="center"/>
    </w:pPr>
    <w:rPr>
      <w:rFonts w:cs="Symbol"/>
      <w:i/>
      <w:szCs w:val="22"/>
    </w:rPr>
  </w:style>
  <w:style w:type="paragraph" w:customStyle="1" w:styleId="Titreobjet">
    <w:name w:val="Titre objet"/>
    <w:basedOn w:val="Normal"/>
    <w:next w:val="Sous-titreobjet"/>
    <w:rsid w:val="003C79F3"/>
    <w:pPr>
      <w:autoSpaceDE w:val="0"/>
      <w:autoSpaceDN w:val="0"/>
      <w:adjustRightInd w:val="0"/>
      <w:spacing w:before="360" w:after="360"/>
      <w:jc w:val="center"/>
    </w:pPr>
    <w:rPr>
      <w:rFonts w:cs="Symbol"/>
      <w:b/>
      <w:szCs w:val="22"/>
    </w:rPr>
  </w:style>
  <w:style w:type="paragraph" w:customStyle="1" w:styleId="Typedudocument">
    <w:name w:val="Type du document"/>
    <w:basedOn w:val="Normal"/>
    <w:next w:val="Titreobjet"/>
    <w:rsid w:val="003C79F3"/>
    <w:pPr>
      <w:autoSpaceDE w:val="0"/>
      <w:autoSpaceDN w:val="0"/>
      <w:adjustRightInd w:val="0"/>
      <w:spacing w:before="360"/>
      <w:jc w:val="center"/>
    </w:pPr>
    <w:rPr>
      <w:rFonts w:cs="Symbol"/>
      <w:b/>
      <w:szCs w:val="22"/>
    </w:rPr>
  </w:style>
  <w:style w:type="character" w:customStyle="1" w:styleId="Added0">
    <w:name w:val="Added"/>
    <w:rsid w:val="003C79F3"/>
    <w:rPr>
      <w:b/>
      <w:u w:val="single"/>
      <w:shd w:val="clear" w:color="auto" w:fill="auto"/>
    </w:rPr>
  </w:style>
  <w:style w:type="character" w:customStyle="1" w:styleId="Deleted">
    <w:name w:val="Deleted"/>
    <w:rsid w:val="003C79F3"/>
    <w:rPr>
      <w:strike/>
      <w:shd w:val="clear" w:color="auto" w:fill="auto"/>
    </w:rPr>
  </w:style>
  <w:style w:type="paragraph" w:customStyle="1" w:styleId="Address">
    <w:name w:val="Address"/>
    <w:basedOn w:val="Normal"/>
    <w:next w:val="Normal"/>
    <w:rsid w:val="003C79F3"/>
    <w:pPr>
      <w:keepLines/>
      <w:autoSpaceDE w:val="0"/>
      <w:autoSpaceDN w:val="0"/>
      <w:adjustRightInd w:val="0"/>
      <w:spacing w:before="120" w:after="120" w:line="360" w:lineRule="auto"/>
      <w:ind w:left="3402"/>
    </w:pPr>
    <w:rPr>
      <w:rFonts w:cs="Symbol"/>
      <w:szCs w:val="22"/>
    </w:rPr>
  </w:style>
  <w:style w:type="paragraph" w:customStyle="1" w:styleId="Objetexterne">
    <w:name w:val="Objet externe"/>
    <w:basedOn w:val="Normal"/>
    <w:next w:val="Normal"/>
    <w:rsid w:val="003C79F3"/>
    <w:pPr>
      <w:autoSpaceDE w:val="0"/>
      <w:autoSpaceDN w:val="0"/>
      <w:adjustRightInd w:val="0"/>
      <w:spacing w:before="120" w:after="120"/>
      <w:jc w:val="both"/>
    </w:pPr>
    <w:rPr>
      <w:rFonts w:cs="Symbol"/>
      <w:i/>
      <w:caps/>
      <w:szCs w:val="22"/>
    </w:rPr>
  </w:style>
  <w:style w:type="paragraph" w:customStyle="1" w:styleId="Pagedecouverture">
    <w:name w:val="Page de couverture"/>
    <w:basedOn w:val="Normal"/>
    <w:next w:val="Normal"/>
    <w:rsid w:val="003C79F3"/>
    <w:pPr>
      <w:autoSpaceDE w:val="0"/>
      <w:autoSpaceDN w:val="0"/>
      <w:adjustRightInd w:val="0"/>
      <w:jc w:val="both"/>
    </w:pPr>
    <w:rPr>
      <w:rFonts w:cs="Symbol"/>
      <w:szCs w:val="22"/>
    </w:rPr>
  </w:style>
  <w:style w:type="paragraph" w:customStyle="1" w:styleId="Supertitre">
    <w:name w:val="Supertitre"/>
    <w:basedOn w:val="Normal"/>
    <w:next w:val="Normal"/>
    <w:rsid w:val="003C79F3"/>
    <w:pPr>
      <w:autoSpaceDE w:val="0"/>
      <w:autoSpaceDN w:val="0"/>
      <w:adjustRightInd w:val="0"/>
      <w:spacing w:after="600"/>
      <w:jc w:val="center"/>
    </w:pPr>
    <w:rPr>
      <w:rFonts w:cs="Symbol"/>
      <w:b/>
      <w:szCs w:val="22"/>
    </w:rPr>
  </w:style>
  <w:style w:type="paragraph" w:customStyle="1" w:styleId="Languesfaisantfoi">
    <w:name w:val="Langues faisant foi"/>
    <w:basedOn w:val="Normal"/>
    <w:next w:val="Normal"/>
    <w:rsid w:val="003C79F3"/>
    <w:pPr>
      <w:autoSpaceDE w:val="0"/>
      <w:autoSpaceDN w:val="0"/>
      <w:adjustRightInd w:val="0"/>
      <w:spacing w:before="360"/>
      <w:jc w:val="center"/>
    </w:pPr>
    <w:rPr>
      <w:rFonts w:cs="Symbol"/>
      <w:szCs w:val="22"/>
    </w:rPr>
  </w:style>
  <w:style w:type="paragraph" w:customStyle="1" w:styleId="Rfrencecroise">
    <w:name w:val="Référence croisée"/>
    <w:basedOn w:val="Normal"/>
    <w:rsid w:val="003C79F3"/>
    <w:pPr>
      <w:autoSpaceDE w:val="0"/>
      <w:autoSpaceDN w:val="0"/>
      <w:adjustRightInd w:val="0"/>
      <w:jc w:val="center"/>
    </w:pPr>
    <w:rPr>
      <w:rFonts w:cs="Symbol"/>
      <w:szCs w:val="22"/>
    </w:rPr>
  </w:style>
  <w:style w:type="paragraph" w:customStyle="1" w:styleId="Fichefinanciretitre">
    <w:name w:val="Fiche financière titre"/>
    <w:basedOn w:val="Normal"/>
    <w:next w:val="Normal"/>
    <w:rsid w:val="003C79F3"/>
    <w:pPr>
      <w:autoSpaceDE w:val="0"/>
      <w:autoSpaceDN w:val="0"/>
      <w:adjustRightInd w:val="0"/>
      <w:spacing w:before="120" w:after="120"/>
      <w:jc w:val="center"/>
    </w:pPr>
    <w:rPr>
      <w:rFonts w:cs="Symbol"/>
      <w:b/>
      <w:szCs w:val="22"/>
      <w:u w:val="single"/>
    </w:rPr>
  </w:style>
  <w:style w:type="paragraph" w:customStyle="1" w:styleId="DatedadoptionPagedecouverture">
    <w:name w:val="Date d'adoption (Page de couverture)"/>
    <w:basedOn w:val="Datedadoption"/>
    <w:next w:val="TitreobjetPagedecouverture"/>
    <w:rsid w:val="003C79F3"/>
  </w:style>
  <w:style w:type="paragraph" w:customStyle="1" w:styleId="RfrenceinterinstitutionnellePagedecouverture">
    <w:name w:val="Référence interinstitutionnelle (Page de couverture)"/>
    <w:basedOn w:val="Rfrenceinterinstitutionnelle"/>
    <w:next w:val="Confidentialit"/>
    <w:rsid w:val="003C79F3"/>
  </w:style>
  <w:style w:type="paragraph" w:customStyle="1" w:styleId="Sous-titreobjetPagedecouverture">
    <w:name w:val="Sous-titre objet (Page de couverture)"/>
    <w:basedOn w:val="Sous-titreobjet"/>
    <w:rsid w:val="003C79F3"/>
  </w:style>
  <w:style w:type="paragraph" w:customStyle="1" w:styleId="StatutPagedecouverture">
    <w:name w:val="Statut (Page de couverture)"/>
    <w:basedOn w:val="Statut"/>
    <w:next w:val="TypedudocumentPagedecouverture"/>
    <w:rsid w:val="003C79F3"/>
  </w:style>
  <w:style w:type="paragraph" w:customStyle="1" w:styleId="TitreobjetPagedecouverture">
    <w:name w:val="Titre objet (Page de couverture)"/>
    <w:basedOn w:val="Titreobjet"/>
    <w:next w:val="Sous-titreobjetPagedecouverture"/>
    <w:rsid w:val="003C79F3"/>
  </w:style>
  <w:style w:type="paragraph" w:customStyle="1" w:styleId="TypedudocumentPagedecouverture">
    <w:name w:val="Type du document (Page de couverture)"/>
    <w:basedOn w:val="Typedudocument"/>
    <w:next w:val="TitreobjetPagedecouverture"/>
    <w:rsid w:val="003C79F3"/>
  </w:style>
  <w:style w:type="paragraph" w:customStyle="1" w:styleId="Volume">
    <w:name w:val="Volume"/>
    <w:basedOn w:val="Normal"/>
    <w:next w:val="Confidentialit"/>
    <w:rsid w:val="003C79F3"/>
    <w:pPr>
      <w:autoSpaceDE w:val="0"/>
      <w:autoSpaceDN w:val="0"/>
      <w:adjustRightInd w:val="0"/>
      <w:spacing w:after="240"/>
      <w:ind w:left="5103"/>
    </w:pPr>
    <w:rPr>
      <w:rFonts w:cs="Symbol"/>
      <w:szCs w:val="22"/>
    </w:rPr>
  </w:style>
  <w:style w:type="paragraph" w:customStyle="1" w:styleId="IntrtEEE">
    <w:name w:val="Intérêt EEE"/>
    <w:basedOn w:val="Languesfaisantfoi"/>
    <w:next w:val="Normal"/>
    <w:rsid w:val="003C79F3"/>
    <w:pPr>
      <w:spacing w:after="240"/>
    </w:pPr>
  </w:style>
  <w:style w:type="paragraph" w:customStyle="1" w:styleId="Accompagnant">
    <w:name w:val="Accompagnant"/>
    <w:basedOn w:val="Normal"/>
    <w:next w:val="Typeacteprincipal"/>
    <w:rsid w:val="003C79F3"/>
    <w:pPr>
      <w:autoSpaceDE w:val="0"/>
      <w:autoSpaceDN w:val="0"/>
      <w:adjustRightInd w:val="0"/>
      <w:spacing w:after="240"/>
      <w:jc w:val="center"/>
    </w:pPr>
    <w:rPr>
      <w:rFonts w:cs="Symbol"/>
      <w:b/>
      <w:i/>
      <w:szCs w:val="22"/>
    </w:rPr>
  </w:style>
  <w:style w:type="paragraph" w:customStyle="1" w:styleId="Typeacteprincipal">
    <w:name w:val="Type acte principal"/>
    <w:basedOn w:val="Normal"/>
    <w:next w:val="Objetacteprincipal"/>
    <w:rsid w:val="003C79F3"/>
    <w:pPr>
      <w:autoSpaceDE w:val="0"/>
      <w:autoSpaceDN w:val="0"/>
      <w:adjustRightInd w:val="0"/>
      <w:spacing w:after="240"/>
      <w:jc w:val="center"/>
    </w:pPr>
    <w:rPr>
      <w:rFonts w:cs="Symbol"/>
      <w:b/>
      <w:szCs w:val="22"/>
    </w:rPr>
  </w:style>
  <w:style w:type="paragraph" w:customStyle="1" w:styleId="Objetacteprincipal">
    <w:name w:val="Objet acte principal"/>
    <w:basedOn w:val="Normal"/>
    <w:next w:val="Titrearticle"/>
    <w:rsid w:val="003C79F3"/>
    <w:pPr>
      <w:autoSpaceDE w:val="0"/>
      <w:autoSpaceDN w:val="0"/>
      <w:adjustRightInd w:val="0"/>
      <w:spacing w:after="360"/>
      <w:jc w:val="center"/>
    </w:pPr>
    <w:rPr>
      <w:rFonts w:cs="Symbol"/>
      <w:b/>
      <w:szCs w:val="22"/>
    </w:rPr>
  </w:style>
  <w:style w:type="paragraph" w:customStyle="1" w:styleId="IntrtEEEPagedecouverture">
    <w:name w:val="Intérêt EEE (Page de couverture)"/>
    <w:basedOn w:val="IntrtEEE"/>
    <w:next w:val="Rfrencecroise"/>
    <w:rsid w:val="003C79F3"/>
  </w:style>
  <w:style w:type="paragraph" w:customStyle="1" w:styleId="AccompagnantPagedecouverture">
    <w:name w:val="Accompagnant (Page de couverture)"/>
    <w:basedOn w:val="Accompagnant"/>
    <w:next w:val="TypeacteprincipalPagedecouverture"/>
    <w:rsid w:val="003C79F3"/>
  </w:style>
  <w:style w:type="paragraph" w:customStyle="1" w:styleId="TypeacteprincipalPagedecouverture">
    <w:name w:val="Type acte principal (Page de couverture)"/>
    <w:basedOn w:val="Typeacteprincipal"/>
    <w:next w:val="ObjetacteprincipalPagedecouverture"/>
    <w:rsid w:val="003C79F3"/>
  </w:style>
  <w:style w:type="paragraph" w:customStyle="1" w:styleId="ObjetacteprincipalPagedecouverture">
    <w:name w:val="Objet acte principal (Page de couverture)"/>
    <w:basedOn w:val="Objetacteprincipal"/>
    <w:next w:val="Rfrencecroise"/>
    <w:rsid w:val="003C79F3"/>
  </w:style>
  <w:style w:type="paragraph" w:customStyle="1" w:styleId="LanguesfaisantfoiPagedecouverture">
    <w:name w:val="Langues faisant foi (Page de couverture)"/>
    <w:basedOn w:val="Normal"/>
    <w:next w:val="Normal"/>
    <w:rsid w:val="003C79F3"/>
    <w:pPr>
      <w:autoSpaceDE w:val="0"/>
      <w:autoSpaceDN w:val="0"/>
      <w:adjustRightInd w:val="0"/>
      <w:spacing w:before="360"/>
      <w:jc w:val="center"/>
    </w:pPr>
    <w:rPr>
      <w:rFonts w:cs="Symbol"/>
      <w:szCs w:val="22"/>
    </w:rPr>
  </w:style>
  <w:style w:type="paragraph" w:customStyle="1" w:styleId="Lignefinal">
    <w:name w:val="Ligne final"/>
    <w:basedOn w:val="Normal"/>
    <w:next w:val="Normal"/>
    <w:rsid w:val="003C79F3"/>
    <w:pPr>
      <w:pBdr>
        <w:bottom w:val="single" w:sz="4" w:space="0" w:color="000000"/>
      </w:pBdr>
      <w:autoSpaceDE w:val="0"/>
      <w:autoSpaceDN w:val="0"/>
      <w:adjustRightInd w:val="0"/>
      <w:spacing w:before="360" w:after="120" w:line="360" w:lineRule="auto"/>
      <w:ind w:left="3400" w:right="3400"/>
      <w:jc w:val="center"/>
    </w:pPr>
    <w:rPr>
      <w:rFonts w:cs="Symbol"/>
      <w:b/>
      <w:szCs w:val="22"/>
    </w:rPr>
  </w:style>
  <w:style w:type="paragraph" w:customStyle="1" w:styleId="EntText">
    <w:name w:val="EntText"/>
    <w:basedOn w:val="Normal"/>
    <w:rsid w:val="003C79F3"/>
    <w:pPr>
      <w:autoSpaceDE w:val="0"/>
      <w:autoSpaceDN w:val="0"/>
      <w:adjustRightInd w:val="0"/>
      <w:spacing w:before="120" w:after="120" w:line="360" w:lineRule="auto"/>
    </w:pPr>
    <w:rPr>
      <w:rFonts w:cs="Symbol"/>
      <w:szCs w:val="22"/>
    </w:rPr>
  </w:style>
  <w:style w:type="paragraph" w:customStyle="1" w:styleId="pj">
    <w:name w:val="p.j."/>
    <w:basedOn w:val="Normal"/>
    <w:rsid w:val="003C79F3"/>
    <w:pPr>
      <w:autoSpaceDE w:val="0"/>
      <w:autoSpaceDN w:val="0"/>
      <w:adjustRightInd w:val="0"/>
      <w:spacing w:before="1200" w:after="120"/>
      <w:ind w:left="1440" w:hanging="1440"/>
    </w:pPr>
    <w:rPr>
      <w:rFonts w:cs="Symbol"/>
      <w:szCs w:val="22"/>
    </w:rPr>
  </w:style>
  <w:style w:type="character" w:customStyle="1" w:styleId="pjChar">
    <w:name w:val="p.j. Char"/>
    <w:rsid w:val="003C79F3"/>
    <w:rPr>
      <w:rFonts w:ascii="Times New Roman" w:eastAsia="Times New Roman" w:hAnsi="Times New Roman" w:cs="Symbol"/>
      <w:sz w:val="24"/>
      <w:szCs w:val="22"/>
      <w:lang w:val="en-GB"/>
    </w:rPr>
  </w:style>
  <w:style w:type="character" w:customStyle="1" w:styleId="HeaderCouncilChar">
    <w:name w:val="Header Council Char"/>
    <w:rsid w:val="003C79F3"/>
    <w:rPr>
      <w:rFonts w:ascii="Times New Roman" w:eastAsia="Times New Roman" w:hAnsi="Times New Roman" w:cs="Symbol"/>
      <w:sz w:val="2"/>
      <w:szCs w:val="22"/>
      <w:lang w:val="en-GB"/>
    </w:rPr>
  </w:style>
  <w:style w:type="character" w:customStyle="1" w:styleId="FooterCouncilChar">
    <w:name w:val="Footer Council Char"/>
    <w:rsid w:val="003C79F3"/>
    <w:rPr>
      <w:rFonts w:ascii="Times New Roman" w:eastAsia="Times New Roman" w:hAnsi="Times New Roman" w:cs="Symbol"/>
      <w:sz w:val="2"/>
      <w:szCs w:val="22"/>
      <w:lang w:val="en-GB"/>
    </w:rPr>
  </w:style>
  <w:style w:type="paragraph" w:customStyle="1" w:styleId="DeltaViewTableHeading">
    <w:name w:val="DeltaView Table Heading"/>
    <w:basedOn w:val="Normal"/>
    <w:uiPriority w:val="99"/>
    <w:rsid w:val="003C79F3"/>
    <w:pPr>
      <w:widowControl/>
      <w:autoSpaceDE w:val="0"/>
      <w:autoSpaceDN w:val="0"/>
      <w:adjustRightInd w:val="0"/>
      <w:spacing w:after="120"/>
    </w:pPr>
    <w:rPr>
      <w:rFonts w:ascii="Arial" w:hAnsi="Arial" w:cs="Calibri"/>
      <w:b/>
      <w:szCs w:val="24"/>
      <w:lang w:val="en-US"/>
    </w:rPr>
  </w:style>
  <w:style w:type="paragraph" w:customStyle="1" w:styleId="DeltaViewTableBody">
    <w:name w:val="DeltaView Table Body"/>
    <w:basedOn w:val="Normal"/>
    <w:uiPriority w:val="99"/>
    <w:rsid w:val="003C79F3"/>
    <w:pPr>
      <w:widowControl/>
      <w:autoSpaceDE w:val="0"/>
      <w:autoSpaceDN w:val="0"/>
      <w:adjustRightInd w:val="0"/>
    </w:pPr>
    <w:rPr>
      <w:rFonts w:ascii="Arial" w:hAnsi="Arial" w:cs="Calibri"/>
      <w:szCs w:val="24"/>
      <w:lang w:val="en-US"/>
    </w:rPr>
  </w:style>
  <w:style w:type="paragraph" w:customStyle="1" w:styleId="DeltaViewAnnounce">
    <w:name w:val="DeltaView Announce"/>
    <w:uiPriority w:val="99"/>
    <w:rsid w:val="003C79F3"/>
    <w:pPr>
      <w:autoSpaceDE w:val="0"/>
      <w:autoSpaceDN w:val="0"/>
      <w:adjustRightInd w:val="0"/>
      <w:spacing w:before="100" w:beforeAutospacing="1" w:after="100" w:afterAutospacing="1"/>
    </w:pPr>
    <w:rPr>
      <w:rFonts w:ascii="Arial" w:hAnsi="Arial" w:cs="Calibri"/>
      <w:sz w:val="24"/>
      <w:szCs w:val="24"/>
    </w:rPr>
  </w:style>
  <w:style w:type="paragraph" w:styleId="BodyText">
    <w:name w:val="Body Text"/>
    <w:basedOn w:val="Normal"/>
    <w:next w:val="FootnoteText"/>
    <w:link w:val="BodyTextChar"/>
    <w:uiPriority w:val="99"/>
    <w:rsid w:val="003C79F3"/>
    <w:pPr>
      <w:widowControl/>
      <w:autoSpaceDE w:val="0"/>
      <w:autoSpaceDN w:val="0"/>
      <w:adjustRightInd w:val="0"/>
    </w:pPr>
    <w:rPr>
      <w:rFonts w:ascii="Calibri" w:hAnsi="Calibri" w:cs="Calibri"/>
      <w:sz w:val="18"/>
      <w:szCs w:val="24"/>
      <w:lang w:val="en-US"/>
    </w:rPr>
  </w:style>
  <w:style w:type="character" w:customStyle="1" w:styleId="BodyTextChar">
    <w:name w:val="Body Text Char"/>
    <w:basedOn w:val="DefaultParagraphFont"/>
    <w:link w:val="BodyText"/>
    <w:uiPriority w:val="99"/>
    <w:rsid w:val="003C79F3"/>
    <w:rPr>
      <w:rFonts w:ascii="Calibri" w:hAnsi="Calibri" w:cs="Calibri"/>
      <w:sz w:val="18"/>
      <w:szCs w:val="24"/>
      <w:lang w:val="en-US"/>
    </w:rPr>
  </w:style>
  <w:style w:type="character" w:customStyle="1" w:styleId="DeltaViewInsertion">
    <w:name w:val="DeltaView Insertion"/>
    <w:uiPriority w:val="99"/>
    <w:rsid w:val="003C79F3"/>
    <w:rPr>
      <w:b/>
      <w:i/>
      <w:color w:val="00C000"/>
    </w:rPr>
  </w:style>
  <w:style w:type="character" w:customStyle="1" w:styleId="DeltaViewDeletion">
    <w:name w:val="DeltaView Deletion"/>
    <w:uiPriority w:val="99"/>
    <w:rsid w:val="003C79F3"/>
    <w:rPr>
      <w:strike/>
      <w:color w:val="FF0000"/>
    </w:rPr>
  </w:style>
  <w:style w:type="character" w:customStyle="1" w:styleId="DeltaViewMoveSource">
    <w:name w:val="DeltaView Move Source"/>
    <w:uiPriority w:val="99"/>
    <w:rsid w:val="003C79F3"/>
    <w:rPr>
      <w:strike/>
      <w:color w:val="FF0000"/>
    </w:rPr>
  </w:style>
  <w:style w:type="character" w:customStyle="1" w:styleId="DeltaViewMoveDestination">
    <w:name w:val="DeltaView Move Destination"/>
    <w:uiPriority w:val="99"/>
    <w:rsid w:val="003C79F3"/>
    <w:rPr>
      <w:b/>
      <w:i/>
      <w:color w:val="00C000"/>
    </w:rPr>
  </w:style>
  <w:style w:type="character" w:customStyle="1" w:styleId="DeltaViewChangeNumber">
    <w:name w:val="DeltaView Change Number"/>
    <w:uiPriority w:val="99"/>
    <w:rsid w:val="003C79F3"/>
    <w:rPr>
      <w:color w:val="000000"/>
      <w:vertAlign w:val="superscript"/>
    </w:rPr>
  </w:style>
  <w:style w:type="character" w:customStyle="1" w:styleId="DeltaViewDelimiter">
    <w:name w:val="DeltaView Delimiter"/>
    <w:uiPriority w:val="99"/>
    <w:rsid w:val="003C79F3"/>
  </w:style>
  <w:style w:type="paragraph" w:styleId="DocumentMap">
    <w:name w:val="Document Map"/>
    <w:basedOn w:val="Normal"/>
    <w:next w:val="HeaderCouncil"/>
    <w:link w:val="DocumentMapChar"/>
    <w:uiPriority w:val="99"/>
    <w:rsid w:val="003C79F3"/>
    <w:pPr>
      <w:widowControl/>
      <w:shd w:val="clear" w:color="auto" w:fill="000080"/>
      <w:autoSpaceDE w:val="0"/>
      <w:autoSpaceDN w:val="0"/>
      <w:adjustRightInd w:val="0"/>
    </w:pPr>
    <w:rPr>
      <w:rFonts w:ascii="Tahoma" w:hAnsi="Tahoma" w:cs="Calibri"/>
      <w:szCs w:val="24"/>
      <w:lang w:val="en-US"/>
    </w:rPr>
  </w:style>
  <w:style w:type="character" w:customStyle="1" w:styleId="DocumentMapChar">
    <w:name w:val="Document Map Char"/>
    <w:basedOn w:val="DefaultParagraphFont"/>
    <w:link w:val="DocumentMap"/>
    <w:uiPriority w:val="99"/>
    <w:rsid w:val="003C79F3"/>
    <w:rPr>
      <w:rFonts w:ascii="Tahoma" w:hAnsi="Tahoma" w:cs="Calibri"/>
      <w:sz w:val="24"/>
      <w:szCs w:val="24"/>
      <w:shd w:val="clear" w:color="auto" w:fill="000080"/>
      <w:lang w:val="en-US"/>
    </w:rPr>
  </w:style>
  <w:style w:type="character" w:customStyle="1" w:styleId="DeltaViewFormatChange">
    <w:name w:val="DeltaView Format Change"/>
    <w:uiPriority w:val="99"/>
    <w:rsid w:val="003C79F3"/>
    <w:rPr>
      <w:color w:val="000000"/>
    </w:rPr>
  </w:style>
  <w:style w:type="character" w:customStyle="1" w:styleId="DeltaViewMovedDeletion">
    <w:name w:val="DeltaView Moved Deletion"/>
    <w:uiPriority w:val="99"/>
    <w:rsid w:val="003C79F3"/>
    <w:rPr>
      <w:strike/>
      <w:color w:val="C08080"/>
    </w:rPr>
  </w:style>
  <w:style w:type="character" w:customStyle="1" w:styleId="DeltaViewComment">
    <w:name w:val="DeltaView Comment"/>
    <w:uiPriority w:val="99"/>
    <w:rsid w:val="003C79F3"/>
    <w:rPr>
      <w:color w:val="000000"/>
    </w:rPr>
  </w:style>
  <w:style w:type="character" w:customStyle="1" w:styleId="DeltaViewStyleChangeText">
    <w:name w:val="DeltaView Style Change Text"/>
    <w:uiPriority w:val="99"/>
    <w:rsid w:val="003C79F3"/>
    <w:rPr>
      <w:color w:val="000000"/>
      <w:u w:val="double"/>
    </w:rPr>
  </w:style>
  <w:style w:type="character" w:customStyle="1" w:styleId="DeltaViewStyleChangeLabel">
    <w:name w:val="DeltaView Style Change Label"/>
    <w:uiPriority w:val="99"/>
    <w:rsid w:val="003C79F3"/>
    <w:rPr>
      <w:color w:val="000000"/>
    </w:rPr>
  </w:style>
  <w:style w:type="character" w:customStyle="1" w:styleId="DeltaViewInsertedComment">
    <w:name w:val="DeltaView Inserted Comment"/>
    <w:uiPriority w:val="99"/>
    <w:rsid w:val="003C79F3"/>
    <w:rPr>
      <w:color w:val="0000FF"/>
      <w:u w:val="double"/>
    </w:rPr>
  </w:style>
  <w:style w:type="character" w:customStyle="1" w:styleId="DeltaViewDeletedComment">
    <w:name w:val="DeltaView Deleted Comment"/>
    <w:uiPriority w:val="99"/>
    <w:rsid w:val="003C79F3"/>
    <w:rPr>
      <w:strike/>
      <w:color w:val="FF0000"/>
    </w:rPr>
  </w:style>
  <w:style w:type="table" w:styleId="TableGrid">
    <w:name w:val="Table Grid"/>
    <w:basedOn w:val="TableNormal"/>
    <w:uiPriority w:val="39"/>
    <w:rsid w:val="003C79F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tw4winMark">
    <w:name w:val="tw4winMark"/>
    <w:rsid w:val="00E50BFC"/>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6E27C-722E-4A31-81B7-5FCCA50D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9CF03A84.dotm</Template>
  <TotalTime>0</TotalTime>
  <Pages>28</Pages>
  <Words>4567</Words>
  <Characters>27588</Characters>
  <Application>Microsoft Office Word</Application>
  <DocSecurity>0</DocSecurity>
  <Lines>766</Lines>
  <Paragraphs>365</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31790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VENNARD Ronan</dc:creator>
  <cp:keywords/>
  <dc:description/>
  <cp:lastModifiedBy>RENNEBOOG-DE BRUCKER Marie-Francoise</cp:lastModifiedBy>
  <cp:revision>2</cp:revision>
  <cp:lastPrinted>2018-12-06T15:19:00Z</cp:lastPrinted>
  <dcterms:created xsi:type="dcterms:W3CDTF">2018-12-07T08:17:00Z</dcterms:created>
  <dcterms:modified xsi:type="dcterms:W3CDTF">2018-12-07T08:17:00Z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Created with">
    <vt:lpwstr>9.5.0 Build [20181001]</vt:lpwstr>
  </property>
  <property fmtid="{D5CDD505-2E9C-101B-9397-08002B2CF9AE}" pid="4" name="LastEdited with">
    <vt:lpwstr>9.5.1 Build [20181101]</vt:lpwstr>
  </property>
  <property fmtid="{D5CDD505-2E9C-101B-9397-08002B2CF9AE}" pid="5" name="&lt;FdR&gt;">
    <vt:lpwstr>1171551</vt:lpwstr>
  </property>
  <property fmtid="{D5CDD505-2E9C-101B-9397-08002B2CF9AE}" pid="6" name="&lt;Type&gt;">
    <vt:lpwstr>AM</vt:lpwstr>
  </property>
  <property fmtid="{D5CDD505-2E9C-101B-9397-08002B2CF9AE}" pid="7" name="&lt;ModelCod&gt;">
    <vt:lpwstr>\\eiciBRUpr1\pdocep$\DocEP\DOCS\General\AM\AM_Leg\AM_Ple_Leg\AM_Ple_LegConsolidated.dot(21/09/2018 16:24:21)</vt:lpwstr>
  </property>
  <property fmtid="{D5CDD505-2E9C-101B-9397-08002B2CF9AE}" pid="8" name="&lt;ModelTra&gt;">
    <vt:lpwstr>\\eiciBRUpr1\pdocep$\DocEP\TRANSFIL\EN\AM_Ple_LegConsolidated.EN(09/10/2018 06:46:45)</vt:lpwstr>
  </property>
  <property fmtid="{D5CDD505-2E9C-101B-9397-08002B2CF9AE}" pid="9" name="&lt;Model&gt;">
    <vt:lpwstr>AM_Ple_LegConsolidated</vt:lpwstr>
  </property>
  <property fmtid="{D5CDD505-2E9C-101B-9397-08002B2CF9AE}" pid="10" name="FooterPath">
    <vt:lpwstr>AM\1171551NL.docx</vt:lpwstr>
  </property>
  <property fmtid="{D5CDD505-2E9C-101B-9397-08002B2CF9AE}" pid="11" name="PE number">
    <vt:lpwstr>631.550</vt:lpwstr>
  </property>
  <property fmtid="{D5CDD505-2E9C-101B-9397-08002B2CF9AE}" pid="12" name="Bookout">
    <vt:lpwstr>OK - 2018/12/07 09:17</vt:lpwstr>
  </property>
</Properties>
</file>