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6D3A9F" w:rsidRDefault="0004541F" w:rsidP="00AE46A3">
      <w:pPr>
        <w:pStyle w:val="ZDateAM"/>
      </w:pPr>
      <w:r w:rsidRPr="006D3A9F">
        <w:rPr>
          <w:rStyle w:val="HideTWBExt"/>
          <w:noProof w:val="0"/>
        </w:rPr>
        <w:t>&lt;Amend&gt;</w:t>
      </w:r>
      <w:r w:rsidR="00AE46A3" w:rsidRPr="006D3A9F">
        <w:rPr>
          <w:rStyle w:val="HideTWBExt"/>
          <w:noProof w:val="0"/>
        </w:rPr>
        <w:t>&lt;Date&gt;</w:t>
      </w:r>
      <w:r w:rsidR="005D31C1" w:rsidRPr="005D31C1">
        <w:rPr>
          <w:rStyle w:val="HideTWBInt"/>
        </w:rPr>
        <w:t>{27/03/2019}</w:t>
      </w:r>
      <w:r w:rsidR="005D31C1">
        <w:t>27.3.2019</w:t>
      </w:r>
      <w:r w:rsidR="00AE46A3" w:rsidRPr="006D3A9F">
        <w:rPr>
          <w:rStyle w:val="HideTWBExt"/>
          <w:noProof w:val="0"/>
        </w:rPr>
        <w:t>&lt;/Date&gt;</w:t>
      </w:r>
      <w:r w:rsidR="00AE46A3" w:rsidRPr="006D3A9F">
        <w:tab/>
      </w:r>
      <w:r w:rsidR="00AE46A3" w:rsidRPr="006D3A9F">
        <w:rPr>
          <w:rStyle w:val="HideTWBExt"/>
          <w:noProof w:val="0"/>
        </w:rPr>
        <w:t>&lt;ANo&gt;</w:t>
      </w:r>
      <w:r w:rsidR="005D31C1">
        <w:t>A8-0143</w:t>
      </w:r>
      <w:r w:rsidR="00AE46A3" w:rsidRPr="006D3A9F">
        <w:rPr>
          <w:rStyle w:val="HideTWBExt"/>
          <w:noProof w:val="0"/>
        </w:rPr>
        <w:t>&lt;/ANo&gt;</w:t>
      </w:r>
      <w:r w:rsidR="00AE46A3" w:rsidRPr="006D3A9F">
        <w:t>/</w:t>
      </w:r>
      <w:r w:rsidR="00AE46A3" w:rsidRPr="006D3A9F">
        <w:rPr>
          <w:rStyle w:val="HideTWBExt"/>
          <w:noProof w:val="0"/>
        </w:rPr>
        <w:t>&lt;NumAm&gt;</w:t>
      </w:r>
      <w:r w:rsidR="005D31C1">
        <w:t>23</w:t>
      </w:r>
      <w:r w:rsidR="00AE46A3" w:rsidRPr="006D3A9F">
        <w:rPr>
          <w:rStyle w:val="HideTWBExt"/>
          <w:noProof w:val="0"/>
        </w:rPr>
        <w:t>&lt;/NumAm&gt;</w:t>
      </w:r>
    </w:p>
    <w:p w:rsidR="00AE46A3" w:rsidRPr="006D3A9F" w:rsidRDefault="006D3A9F" w:rsidP="00AE46A3">
      <w:pPr>
        <w:pStyle w:val="AMNumberTabs"/>
      </w:pPr>
      <w:r w:rsidRPr="006D3A9F">
        <w:t>Ändringsförslag</w:t>
      </w:r>
      <w:r w:rsidR="00AE46A3" w:rsidRPr="006D3A9F">
        <w:tab/>
      </w:r>
      <w:r w:rsidR="00AE46A3" w:rsidRPr="006D3A9F">
        <w:tab/>
      </w:r>
      <w:r w:rsidR="00AE46A3" w:rsidRPr="006D3A9F">
        <w:rPr>
          <w:rStyle w:val="HideTWBExt"/>
          <w:b w:val="0"/>
          <w:noProof w:val="0"/>
        </w:rPr>
        <w:t>&lt;NumAm&gt;</w:t>
      </w:r>
      <w:r w:rsidR="005D31C1">
        <w:t>23</w:t>
      </w:r>
      <w:r w:rsidR="00AE46A3" w:rsidRPr="006D3A9F">
        <w:rPr>
          <w:rStyle w:val="HideTWBExt"/>
          <w:b w:val="0"/>
          <w:noProof w:val="0"/>
        </w:rPr>
        <w:t>&lt;/NumAm&gt;</w:t>
      </w:r>
    </w:p>
    <w:p w:rsidR="00AE46A3" w:rsidRPr="006D3A9F" w:rsidRDefault="00AE46A3" w:rsidP="00AE46A3">
      <w:pPr>
        <w:pStyle w:val="NormalBold"/>
      </w:pPr>
      <w:r w:rsidRPr="006D3A9F">
        <w:rPr>
          <w:rStyle w:val="HideTWBExt"/>
          <w:b w:val="0"/>
          <w:noProof w:val="0"/>
        </w:rPr>
        <w:t>&lt;RepeatBlock-By&gt;</w:t>
      </w:r>
      <w:bookmarkStart w:id="0" w:name="By"/>
      <w:r w:rsidRPr="006D3A9F">
        <w:rPr>
          <w:rStyle w:val="HideTWBExt"/>
          <w:b w:val="0"/>
          <w:noProof w:val="0"/>
        </w:rPr>
        <w:t>&lt;</w:t>
      </w:r>
      <w:r w:rsidR="00814526" w:rsidRPr="006D3A9F">
        <w:rPr>
          <w:rStyle w:val="HideTWBExt"/>
          <w:b w:val="0"/>
          <w:noProof w:val="0"/>
        </w:rPr>
        <w:t>By&gt;&lt;</w:t>
      </w:r>
      <w:r w:rsidRPr="006D3A9F">
        <w:rPr>
          <w:rStyle w:val="HideTWBExt"/>
          <w:b w:val="0"/>
          <w:noProof w:val="0"/>
        </w:rPr>
        <w:t>Members&gt;</w:t>
      </w:r>
      <w:r w:rsidR="005D31C1">
        <w:t>Jerzy Buzek</w:t>
      </w:r>
      <w:r w:rsidRPr="006D3A9F">
        <w:rPr>
          <w:rStyle w:val="HideTWBExt"/>
          <w:b w:val="0"/>
          <w:noProof w:val="0"/>
        </w:rPr>
        <w:t>&lt;/Members&gt;</w:t>
      </w:r>
    </w:p>
    <w:p w:rsidR="00AE46A3" w:rsidRPr="006D3A9F" w:rsidRDefault="00AE46A3" w:rsidP="00AE46A3">
      <w:r w:rsidRPr="006D3A9F">
        <w:rPr>
          <w:rStyle w:val="HideTWBExt"/>
          <w:noProof w:val="0"/>
        </w:rPr>
        <w:t>&lt;AuNomDe&gt;</w:t>
      </w:r>
      <w:r w:rsidR="005D31C1" w:rsidRPr="005D31C1">
        <w:rPr>
          <w:rStyle w:val="HideTWBInt"/>
        </w:rPr>
        <w:t>{ITRE}</w:t>
      </w:r>
      <w:r w:rsidR="005D31C1">
        <w:t>för utskottet för industrifrågor, forskning och energi</w:t>
      </w:r>
      <w:r w:rsidRPr="006D3A9F">
        <w:rPr>
          <w:rStyle w:val="HideTWBExt"/>
          <w:noProof w:val="0"/>
        </w:rPr>
        <w:t>&lt;/AuNomDe&gt;</w:t>
      </w:r>
    </w:p>
    <w:p w:rsidR="00AE46A3" w:rsidRPr="006D3A9F" w:rsidRDefault="00814526" w:rsidP="00AE46A3">
      <w:r w:rsidRPr="006D3A9F">
        <w:rPr>
          <w:rStyle w:val="HideTWBExt"/>
          <w:noProof w:val="0"/>
        </w:rPr>
        <w:t>&lt;</w:t>
      </w:r>
      <w:r w:rsidR="00510280" w:rsidRPr="006D3A9F">
        <w:rPr>
          <w:rStyle w:val="HideTWBExt"/>
          <w:noProof w:val="0"/>
        </w:rPr>
        <w:t>/</w:t>
      </w:r>
      <w:r w:rsidRPr="006D3A9F">
        <w:rPr>
          <w:rStyle w:val="HideTWBExt"/>
          <w:noProof w:val="0"/>
        </w:rPr>
        <w:t>By&gt;</w:t>
      </w:r>
      <w:bookmarkEnd w:id="0"/>
      <w:r w:rsidR="00AE46A3" w:rsidRPr="006D3A9F">
        <w:rPr>
          <w:rStyle w:val="HideTWBExt"/>
          <w:noProof w:val="0"/>
        </w:rPr>
        <w:t>&lt;/RepeatBlock-By&gt;</w:t>
      </w:r>
    </w:p>
    <w:p w:rsidR="00AE46A3" w:rsidRPr="006D3A9F" w:rsidRDefault="00AE46A3" w:rsidP="00AE46A3">
      <w:pPr>
        <w:pStyle w:val="ProjRap"/>
      </w:pPr>
      <w:r w:rsidRPr="006D3A9F">
        <w:rPr>
          <w:rStyle w:val="HideTWBExt"/>
          <w:b w:val="0"/>
          <w:noProof w:val="0"/>
        </w:rPr>
        <w:t>&lt;TitreType&gt;</w:t>
      </w:r>
      <w:r w:rsidR="005D31C1">
        <w:t>Betänkande</w:t>
      </w:r>
      <w:r w:rsidRPr="006D3A9F">
        <w:rPr>
          <w:rStyle w:val="HideTWBExt"/>
          <w:b w:val="0"/>
          <w:noProof w:val="0"/>
        </w:rPr>
        <w:t>&lt;/TitreType&gt;</w:t>
      </w:r>
      <w:r w:rsidRPr="006D3A9F">
        <w:tab/>
      </w:r>
      <w:r w:rsidR="005D31C1">
        <w:t>A8-0143</w:t>
      </w:r>
      <w:r w:rsidRPr="006D3A9F">
        <w:t>/</w:t>
      </w:r>
      <w:r w:rsidR="005D31C1">
        <w:t>2018</w:t>
      </w:r>
    </w:p>
    <w:p w:rsidR="00AE46A3" w:rsidRPr="006D3A9F" w:rsidRDefault="00AE46A3" w:rsidP="00AE46A3">
      <w:pPr>
        <w:pStyle w:val="NormalBold"/>
      </w:pPr>
      <w:r w:rsidRPr="006D3A9F">
        <w:rPr>
          <w:rStyle w:val="HideTWBExt"/>
          <w:b w:val="0"/>
          <w:noProof w:val="0"/>
        </w:rPr>
        <w:t>&lt;Rapporteur&gt;</w:t>
      </w:r>
      <w:r w:rsidR="005D31C1">
        <w:t>Jerzy Buzek</w:t>
      </w:r>
      <w:r w:rsidRPr="006D3A9F">
        <w:rPr>
          <w:rStyle w:val="HideTWBExt"/>
          <w:b w:val="0"/>
          <w:noProof w:val="0"/>
        </w:rPr>
        <w:t>&lt;/Rapporteur&gt;</w:t>
      </w:r>
    </w:p>
    <w:p w:rsidR="00AE46A3" w:rsidRPr="006D3A9F" w:rsidRDefault="00AE46A3" w:rsidP="00AE46A3">
      <w:r w:rsidRPr="006D3A9F">
        <w:rPr>
          <w:rStyle w:val="HideTWBExt"/>
          <w:noProof w:val="0"/>
        </w:rPr>
        <w:t>&lt;Titre&gt;</w:t>
      </w:r>
      <w:r w:rsidR="005D31C1">
        <w:t>Gemensamma regler för den inre marknaden för naturgas</w:t>
      </w:r>
      <w:r w:rsidRPr="006D3A9F">
        <w:rPr>
          <w:rStyle w:val="HideTWBExt"/>
          <w:noProof w:val="0"/>
        </w:rPr>
        <w:t>&lt;/Titre&gt;</w:t>
      </w:r>
    </w:p>
    <w:p w:rsidR="00AE46A3" w:rsidRPr="006D3A9F" w:rsidRDefault="00AE46A3" w:rsidP="00AE46A3">
      <w:pPr>
        <w:pStyle w:val="Normal12"/>
      </w:pPr>
      <w:r w:rsidRPr="006D3A9F">
        <w:rPr>
          <w:rStyle w:val="HideTWBExt"/>
          <w:noProof w:val="0"/>
        </w:rPr>
        <w:t>&lt;DocRef&gt;</w:t>
      </w:r>
      <w:r w:rsidR="006D3A9F" w:rsidRPr="006D3A9F">
        <w:t>(</w:t>
      </w:r>
      <w:r w:rsidR="005D31C1">
        <w:t>COM(2017)0660 – C8-0394/2017 – 2017/0294(COD)</w:t>
      </w:r>
      <w:r w:rsidR="006D3A9F" w:rsidRPr="006D3A9F">
        <w:t>)</w:t>
      </w:r>
      <w:r w:rsidRPr="006D3A9F">
        <w:rPr>
          <w:rStyle w:val="HideTWBExt"/>
          <w:noProof w:val="0"/>
        </w:rPr>
        <w:t>&lt;/DocRef&gt;</w:t>
      </w:r>
    </w:p>
    <w:p w:rsidR="00AE46A3" w:rsidRPr="006D3A9F" w:rsidRDefault="00AE46A3" w:rsidP="00AE46A3">
      <w:pPr>
        <w:pStyle w:val="NormalBold"/>
      </w:pPr>
      <w:r w:rsidRPr="006D3A9F">
        <w:rPr>
          <w:rStyle w:val="HideTWBExt"/>
          <w:b w:val="0"/>
          <w:noProof w:val="0"/>
        </w:rPr>
        <w:t>&lt;DocAmend&gt;</w:t>
      </w:r>
      <w:r w:rsidR="005D31C1">
        <w:t>Förslag till direktiv</w:t>
      </w:r>
      <w:r w:rsidRPr="006D3A9F">
        <w:rPr>
          <w:rStyle w:val="HideTWBExt"/>
          <w:b w:val="0"/>
          <w:noProof w:val="0"/>
        </w:rPr>
        <w:t>&lt;/DocAmend&gt;</w:t>
      </w:r>
    </w:p>
    <w:p w:rsidR="00AE46A3" w:rsidRPr="006D3A9F" w:rsidRDefault="00AE46A3" w:rsidP="00AE46A3">
      <w:pPr>
        <w:pStyle w:val="NormalBold"/>
      </w:pPr>
      <w:r w:rsidRPr="006D3A9F">
        <w:rPr>
          <w:rStyle w:val="HideTWBExt"/>
          <w:b w:val="0"/>
          <w:noProof w:val="0"/>
        </w:rPr>
        <w:t>&lt;Article&gt;</w:t>
      </w:r>
      <w:r w:rsidR="00E5087F" w:rsidRPr="006D3A9F">
        <w:t>–</w:t>
      </w:r>
      <w:r w:rsidRPr="006D3A9F">
        <w:rPr>
          <w:rStyle w:val="HideTWBExt"/>
          <w:b w:val="0"/>
          <w:noProof w:val="0"/>
        </w:rPr>
        <w:t>&lt;/Article&gt;</w:t>
      </w:r>
    </w:p>
    <w:p w:rsidR="00FF2CB3" w:rsidRPr="006D3A9F" w:rsidRDefault="006D3A9F" w:rsidP="006339AB">
      <w:pPr>
        <w:pStyle w:val="ConsHeading"/>
        <w:rPr>
          <w:noProof w:val="0"/>
        </w:rPr>
      </w:pPr>
      <w:r w:rsidRPr="006D3A9F">
        <w:rPr>
          <w:noProof w:val="0"/>
        </w:rPr>
        <w:t>EUROPAPARLAMENTETS ÄNDRINGSFÖRSLAG</w:t>
      </w:r>
      <w:r w:rsidR="00FD68C2" w:rsidRPr="006D3A9F">
        <w:rPr>
          <w:rStyle w:val="FootnoteReference"/>
          <w:noProof w:val="0"/>
        </w:rPr>
        <w:footnoteReference w:customMarkFollows="1" w:id="1"/>
        <w:t>*</w:t>
      </w:r>
    </w:p>
    <w:p w:rsidR="00892C85" w:rsidRPr="006D3A9F" w:rsidRDefault="005D31C1" w:rsidP="006C0168">
      <w:pPr>
        <w:pStyle w:val="Normal12Centre"/>
        <w:rPr>
          <w:noProof w:val="0"/>
        </w:rPr>
      </w:pPr>
      <w:r>
        <w:rPr>
          <w:noProof w:val="0"/>
        </w:rPr>
        <w:t>till kommissionens förslag</w:t>
      </w:r>
    </w:p>
    <w:p w:rsidR="00525DC0" w:rsidRPr="006D3A9F" w:rsidRDefault="00525DC0" w:rsidP="006C0168">
      <w:pPr>
        <w:pStyle w:val="Normal12Centre"/>
        <w:rPr>
          <w:noProof w:val="0"/>
        </w:rPr>
      </w:pPr>
      <w:r w:rsidRPr="006D3A9F">
        <w:rPr>
          <w:noProof w:val="0"/>
        </w:rPr>
        <w:t>---------------------------------------------------------</w:t>
      </w:r>
    </w:p>
    <w:p w:rsidR="005D31C1" w:rsidRDefault="005D31C1" w:rsidP="005D31C1">
      <w:pPr>
        <w:pStyle w:val="Typedudocument"/>
        <w:widowControl/>
        <w:spacing w:before="840" w:after="120" w:line="360" w:lineRule="auto"/>
        <w:rPr>
          <w:bCs/>
        </w:rPr>
      </w:pPr>
      <w:r>
        <w:t xml:space="preserve">EUROPAPARLAMENTETS OCH RÅDETS </w:t>
      </w:r>
      <w:r>
        <w:br/>
        <w:t>DIREKTIV (EU) 2019/…</w:t>
      </w:r>
    </w:p>
    <w:p w:rsidR="005D31C1" w:rsidRPr="005D31C1" w:rsidRDefault="005D31C1" w:rsidP="005D31C1">
      <w:pPr>
        <w:pStyle w:val="Titreobjet"/>
        <w:spacing w:after="120"/>
      </w:pPr>
      <w:r>
        <w:t>av den …</w:t>
      </w:r>
    </w:p>
    <w:p w:rsidR="005D31C1" w:rsidRDefault="005D31C1" w:rsidP="005D31C1">
      <w:pPr>
        <w:pStyle w:val="Titreobjet"/>
        <w:widowControl/>
        <w:spacing w:line="360" w:lineRule="auto"/>
        <w:rPr>
          <w:bCs/>
        </w:rPr>
      </w:pPr>
      <w:r>
        <w:t xml:space="preserve">om ändring av direktiv 2009/73/EG </w:t>
      </w:r>
      <w:r>
        <w:br/>
        <w:t>om gemensamma regler för den inre marknaden för naturgas</w:t>
      </w:r>
    </w:p>
    <w:p w:rsidR="005D31C1" w:rsidRDefault="005D31C1" w:rsidP="005D31C1">
      <w:pPr>
        <w:pStyle w:val="IntrtEEE"/>
        <w:widowControl/>
        <w:spacing w:before="0" w:after="0" w:line="360" w:lineRule="auto"/>
        <w:rPr>
          <w:b/>
          <w:bCs/>
        </w:rPr>
      </w:pPr>
      <w:r>
        <w:rPr>
          <w:b/>
          <w:bCs/>
        </w:rPr>
        <w:t>(Text av betydelse för EES)</w:t>
      </w:r>
    </w:p>
    <w:p w:rsidR="005D31C1" w:rsidRDefault="005D31C1" w:rsidP="005D31C1">
      <w:pPr>
        <w:spacing w:after="240" w:line="360" w:lineRule="auto"/>
      </w:pPr>
      <w:r>
        <w:t>EUROPAPARLAMENTET OCH EUROPEISKA UNIONENS RÅD HAR ANTAGIT DETTA DIREKTIV</w:t>
      </w:r>
    </w:p>
    <w:p w:rsidR="005D31C1" w:rsidRDefault="005D31C1" w:rsidP="005D31C1">
      <w:pPr>
        <w:widowControl/>
        <w:spacing w:after="240" w:line="360" w:lineRule="auto"/>
      </w:pPr>
      <w:r>
        <w:t>med beaktande av fördraget om Europeiska unionens funktionssätt, särskilt artikel 194.2,</w:t>
      </w:r>
    </w:p>
    <w:p w:rsidR="005D31C1" w:rsidRDefault="005D31C1" w:rsidP="005D31C1">
      <w:pPr>
        <w:widowControl/>
        <w:spacing w:after="240" w:line="360" w:lineRule="auto"/>
      </w:pPr>
      <w:r>
        <w:t>med beaktande av Europeiska kommissionens förslag,</w:t>
      </w:r>
    </w:p>
    <w:p w:rsidR="005D31C1" w:rsidRDefault="005D31C1" w:rsidP="005D31C1">
      <w:pPr>
        <w:widowControl/>
        <w:spacing w:after="240" w:line="360" w:lineRule="auto"/>
      </w:pPr>
      <w:r>
        <w:lastRenderedPageBreak/>
        <w:t>efter översändande av utkastet till lagstiftningsakt till de nationella parlamenten,</w:t>
      </w:r>
    </w:p>
    <w:p w:rsidR="005D31C1" w:rsidRDefault="005D31C1" w:rsidP="005D31C1">
      <w:pPr>
        <w:widowControl/>
        <w:spacing w:after="240" w:line="360" w:lineRule="auto"/>
      </w:pPr>
      <w:r>
        <w:t>med beaktande av Europeiska ekonomiska och sociala kommitténs yttrande</w:t>
      </w:r>
      <w:r>
        <w:rPr>
          <w:rStyle w:val="FootnoteReference"/>
        </w:rPr>
        <w:footnoteReference w:id="2"/>
      </w:r>
      <w:r>
        <w:t>,</w:t>
      </w:r>
    </w:p>
    <w:p w:rsidR="005D31C1" w:rsidRDefault="005D31C1" w:rsidP="005D31C1">
      <w:pPr>
        <w:widowControl/>
        <w:spacing w:after="240" w:line="360" w:lineRule="auto"/>
      </w:pPr>
      <w:r>
        <w:t>med beaktande av Regionkommitténs yttrande</w:t>
      </w:r>
      <w:r>
        <w:rPr>
          <w:rStyle w:val="FootnoteReference"/>
        </w:rPr>
        <w:footnoteReference w:id="3"/>
      </w:r>
      <w:r>
        <w:t>,</w:t>
      </w:r>
    </w:p>
    <w:p w:rsidR="005D31C1" w:rsidRDefault="005D31C1" w:rsidP="005D31C1">
      <w:pPr>
        <w:widowControl/>
        <w:spacing w:after="240" w:line="360" w:lineRule="auto"/>
      </w:pPr>
      <w:r>
        <w:t>i enlighet med det ordinarie lagstiftningsförfarandet</w:t>
      </w:r>
      <w:r w:rsidRPr="005D31C1">
        <w:rPr>
          <w:b/>
          <w:bCs/>
          <w:i/>
          <w:iCs/>
          <w:vertAlign w:val="superscript"/>
        </w:rPr>
        <w:footnoteReference w:id="4"/>
      </w:r>
      <w:r>
        <w:t>, och</w:t>
      </w:r>
    </w:p>
    <w:p w:rsidR="005D31C1" w:rsidRDefault="005D31C1" w:rsidP="005D31C1">
      <w:pPr>
        <w:widowControl/>
        <w:spacing w:after="240" w:line="360" w:lineRule="auto"/>
      </w:pPr>
      <w:r>
        <w:br w:type="page"/>
      </w:r>
      <w:r>
        <w:lastRenderedPageBreak/>
        <w:t>av följande skäl:</w:t>
      </w:r>
    </w:p>
    <w:p w:rsidR="005D31C1" w:rsidRDefault="005D31C1" w:rsidP="005D31C1">
      <w:pPr>
        <w:widowControl/>
        <w:spacing w:after="240" w:line="360" w:lineRule="auto"/>
        <w:ind w:left="567" w:hanging="567"/>
      </w:pPr>
      <w:r>
        <w:t>(1)</w:t>
      </w:r>
      <w:r>
        <w:tab/>
        <w:t xml:space="preserve">Den inre marknaden för naturgas, som stegvis har genomförts i hela unionen sedan 1999, syftar till att skapa faktiska valmöjligheter för alla slutkunder i unionen, både enskilda och företag, nya affärsmöjligheter, </w:t>
      </w:r>
      <w:r>
        <w:rPr>
          <w:b/>
          <w:i/>
          <w:color w:val="000000"/>
        </w:rPr>
        <w:t>rättvisa konkurrensvillkor</w:t>
      </w:r>
      <w:r>
        <w:t>, konkurrenskraftiga priser, effektiva investeringssignaler och högre kvalitet på tjänsterna, och ska även bidra till försörjningstrygghet och hållbarhet.</w:t>
      </w:r>
    </w:p>
    <w:p w:rsidR="005D31C1" w:rsidRDefault="005D31C1" w:rsidP="005D31C1">
      <w:pPr>
        <w:widowControl/>
        <w:spacing w:after="240" w:line="360" w:lineRule="auto"/>
        <w:ind w:left="567" w:hanging="567"/>
      </w:pPr>
      <w:r>
        <w:t>(2)</w:t>
      </w:r>
      <w:r>
        <w:tab/>
        <w:t>Genom Europaparlamentets och rådets direktiv 2003/55/EG</w:t>
      </w:r>
      <w:r>
        <w:rPr>
          <w:rStyle w:val="FootnoteReference"/>
        </w:rPr>
        <w:footnoteReference w:id="5"/>
      </w:r>
      <w:r>
        <w:t xml:space="preserve"> och direktiv 2009/73/EG</w:t>
      </w:r>
      <w:r>
        <w:rPr>
          <w:rStyle w:val="FootnoteReference"/>
        </w:rPr>
        <w:footnoteReference w:id="6"/>
      </w:r>
      <w:r>
        <w:t xml:space="preserve"> har ett betydande steg tagits mot fullbordandet av den inre marknaden för naturgas.</w:t>
      </w:r>
    </w:p>
    <w:p w:rsidR="005D31C1" w:rsidRDefault="005D31C1" w:rsidP="005D31C1">
      <w:pPr>
        <w:widowControl/>
        <w:spacing w:after="240" w:line="360" w:lineRule="auto"/>
        <w:ind w:left="567" w:hanging="567"/>
      </w:pPr>
      <w:r>
        <w:br w:type="page"/>
      </w:r>
      <w:r>
        <w:lastRenderedPageBreak/>
        <w:t>(3)</w:t>
      </w:r>
      <w:r>
        <w:tab/>
        <w:t>Det här direktivet syftar till att undanröja ▌ hindren för fullbordandet av den inre marknaden för naturgas till följd av underlåtelsen att tillämpa unionens marknadsregler för gas</w:t>
      </w:r>
      <w:r>
        <w:rPr>
          <w:b/>
          <w:i/>
          <w:color w:val="000000"/>
        </w:rPr>
        <w:t>överföringsledningar</w:t>
      </w:r>
      <w:r>
        <w:t xml:space="preserve"> till och från tredjeländer. De ändringar som införs genom detta direktiv syftar till att säkerställa att reglerna för gasöverförings</w:t>
      </w:r>
      <w:r>
        <w:rPr>
          <w:b/>
          <w:i/>
          <w:color w:val="000000"/>
        </w:rPr>
        <w:t>ledningar</w:t>
      </w:r>
      <w:r>
        <w:t xml:space="preserve"> som kopplar samman två eller fler medlemsstater också är tillämpliga inom unionen på </w:t>
      </w:r>
      <w:r>
        <w:rPr>
          <w:b/>
          <w:i/>
          <w:color w:val="000000"/>
        </w:rPr>
        <w:t>gasöverföringsledningar</w:t>
      </w:r>
      <w:r>
        <w:t xml:space="preserve"> till och från tredjeländer. Detta kommer att göra lagstiftningen inom unionen samstämmig och samtidigt motverka snedvridning av konkurrensen på unionens inre marknad för energi </w:t>
      </w:r>
      <w:r>
        <w:rPr>
          <w:b/>
          <w:i/>
          <w:color w:val="000000"/>
        </w:rPr>
        <w:t>och negativa effekter på försörjningstryggheten</w:t>
      </w:r>
      <w:r>
        <w:t>. Det kommer också att öka transparensen och skapa rättslig säkerhet för marknadsaktörerna, särskilt investerare i gasinfrastruktur och systemanvändare, vad gäller det tillämpliga regelverket.</w:t>
      </w:r>
    </w:p>
    <w:p w:rsidR="005D31C1" w:rsidRDefault="005D31C1" w:rsidP="005D31C1">
      <w:pPr>
        <w:widowControl/>
        <w:spacing w:after="240" w:line="360" w:lineRule="auto"/>
        <w:ind w:left="567" w:hanging="567"/>
      </w:pPr>
      <w:r>
        <w:t>(4)</w:t>
      </w:r>
      <w:r>
        <w:tab/>
        <w:t>För att ta hänsyn till avsaknaden av särskilda unionsregler för gas</w:t>
      </w:r>
      <w:r>
        <w:rPr>
          <w:b/>
          <w:i/>
        </w:rPr>
        <w:t>överföringsledningar</w:t>
      </w:r>
      <w:r>
        <w:t xml:space="preserve"> till och från tredjeländer före dagen för detta direktivs ikraftträdande, bör medlemsstaterna kunna bevilja undantag från vissa bestämmelser i direktiv 2009/73/EG för sådana </w:t>
      </w:r>
      <w:r>
        <w:rPr>
          <w:b/>
          <w:i/>
          <w:color w:val="000000"/>
        </w:rPr>
        <w:t>gasöverföringsledningar</w:t>
      </w:r>
      <w:r>
        <w:t xml:space="preserve"> som är färdigställda före dagen för detta direktivs ikraftträdande. Den relevanta dagen för tillämpning av andra åtskillnadsmodeller än åtskilt ägande bör anpassas för gas</w:t>
      </w:r>
      <w:r>
        <w:rPr>
          <w:b/>
          <w:i/>
          <w:color w:val="000000"/>
        </w:rPr>
        <w:t>överföringsledningar</w:t>
      </w:r>
      <w:r>
        <w:t xml:space="preserve"> till och från tredjeländer.</w:t>
      </w:r>
    </w:p>
    <w:p w:rsidR="005D31C1" w:rsidRDefault="005D31C1" w:rsidP="005D31C1">
      <w:pPr>
        <w:widowControl/>
        <w:spacing w:after="240" w:line="360" w:lineRule="auto"/>
        <w:ind w:left="567" w:hanging="567"/>
      </w:pPr>
      <w:r>
        <w:br w:type="page"/>
      </w:r>
      <w:r>
        <w:rPr>
          <w:b/>
          <w:i/>
          <w:color w:val="000000"/>
        </w:rPr>
        <w:lastRenderedPageBreak/>
        <w:t>(5)</w:t>
      </w:r>
      <w:r>
        <w:tab/>
      </w:r>
      <w:r>
        <w:rPr>
          <w:b/>
          <w:i/>
          <w:color w:val="000000"/>
        </w:rPr>
        <w:t>Rörledningar som kopplar samman ett projekt för olje- eller gasproduktion i ett tredjeland med en bearbetningsanläggning eller slutlig landningsterminal i en medlemsstat bör anses vara rörledningsnät i tidigare led. Rörledningar genom vilka ett projekt för olje- eller gasproduktion i en medlemsstat kopplas samman med en bearbetningsanläggning eller slutlig landningsterminal i ett tredjeland bör inte anses vara rörledningsnät i tidigare led vid tillämpningen av detta direktiv eftersom sådana rörledningar sannolikt inte i betydande grad påverkar den inre marknaden för energi.</w:t>
      </w:r>
    </w:p>
    <w:p w:rsidR="005D31C1" w:rsidRDefault="005D31C1" w:rsidP="005D31C1">
      <w:pPr>
        <w:widowControl/>
        <w:spacing w:after="240" w:line="360" w:lineRule="auto"/>
        <w:ind w:left="567" w:hanging="567"/>
      </w:pPr>
      <w:r>
        <w:rPr>
          <w:b/>
          <w:i/>
          <w:color w:val="000000"/>
        </w:rPr>
        <w:t>(6)</w:t>
      </w:r>
      <w:r>
        <w:tab/>
      </w:r>
      <w:r>
        <w:rPr>
          <w:b/>
          <w:i/>
          <w:color w:val="000000"/>
        </w:rPr>
        <w:t>Systemansvariga för överföringssystem bör vara fria att ingå tekniska avtal med systemansvariga för överföringssystem eller andra enheter i tredjeländer om frågor som rör drift och sammanlänkning av överföringssystem, under förutsättning att innehållet i dessa avtal är förenligt med unionslagsrätten.</w:t>
      </w:r>
    </w:p>
    <w:p w:rsidR="005D31C1" w:rsidRDefault="005D31C1" w:rsidP="005D31C1">
      <w:pPr>
        <w:widowControl/>
        <w:spacing w:after="240" w:line="360" w:lineRule="auto"/>
        <w:ind w:left="567" w:hanging="567"/>
      </w:pPr>
      <w:r>
        <w:rPr>
          <w:b/>
          <w:i/>
          <w:color w:val="000000"/>
        </w:rPr>
        <w:t>(7)</w:t>
      </w:r>
      <w:r>
        <w:rPr>
          <w:b/>
          <w:i/>
          <w:color w:val="000000"/>
        </w:rPr>
        <w:tab/>
        <w:t>Tekniska avtal om driften av överföringsledningar mellan systemansvariga för överföringssystem eller andra enheter bör fortsätta att gälla under förutsättning att de följer unionsrätten och relevanta beslut av den nationella tillsynsmyndigheten.</w:t>
      </w:r>
    </w:p>
    <w:p w:rsidR="005D31C1" w:rsidRDefault="005D31C1" w:rsidP="005D31C1">
      <w:pPr>
        <w:widowControl/>
        <w:spacing w:after="240" w:line="360" w:lineRule="auto"/>
        <w:ind w:left="567" w:hanging="567"/>
      </w:pPr>
      <w:r>
        <w:br w:type="page"/>
      </w:r>
      <w:r>
        <w:rPr>
          <w:b/>
          <w:i/>
          <w:color w:val="000000"/>
        </w:rPr>
        <w:lastRenderedPageBreak/>
        <w:t>(8)</w:t>
      </w:r>
      <w:r>
        <w:tab/>
      </w:r>
      <w:r>
        <w:rPr>
          <w:b/>
          <w:i/>
          <w:color w:val="000000"/>
        </w:rPr>
        <w:t>Om sådana tekniska avtal har ingåtts krävs enligt detta direktiv inte något ingående vare sig av ett internationellt avtal mellan en medlemsstat och ett tredjeland eller av ett avtal mellan unionen och ett tredjeland om driften av den berörda gasöverföringsledningen.</w:t>
      </w:r>
    </w:p>
    <w:p w:rsidR="005D31C1" w:rsidRDefault="005D31C1" w:rsidP="005D31C1">
      <w:pPr>
        <w:widowControl/>
        <w:spacing w:after="240" w:line="360" w:lineRule="auto"/>
        <w:ind w:left="567" w:hanging="567"/>
      </w:pPr>
      <w:r>
        <w:t>(9)</w:t>
      </w:r>
      <w:r>
        <w:tab/>
        <w:t xml:space="preserve">Tillämpligheten av direktiv 2009/73/EG </w:t>
      </w:r>
      <w:r>
        <w:rPr>
          <w:b/>
          <w:i/>
          <w:color w:val="000000"/>
        </w:rPr>
        <w:t>på</w:t>
      </w:r>
      <w:r>
        <w:t xml:space="preserve"> gas</w:t>
      </w:r>
      <w:r>
        <w:rPr>
          <w:b/>
          <w:i/>
          <w:color w:val="000000"/>
        </w:rPr>
        <w:t>överföringsledningar</w:t>
      </w:r>
      <w:r>
        <w:t xml:space="preserve"> till och från tredjeländer förblir begränsad till </w:t>
      </w:r>
      <w:r>
        <w:rPr>
          <w:b/>
          <w:i/>
          <w:color w:val="000000"/>
        </w:rPr>
        <w:t>medlemsstaternas territorium</w:t>
      </w:r>
      <w:r>
        <w:t xml:space="preserve">. När det gäller </w:t>
      </w:r>
      <w:r>
        <w:rPr>
          <w:b/>
          <w:i/>
          <w:color w:val="000000"/>
        </w:rPr>
        <w:t>gasöverföringsledningar</w:t>
      </w:r>
      <w:r>
        <w:t xml:space="preserve"> till havs bör direktiv 2009/73/EG gälla i territorial</w:t>
      </w:r>
      <w:r>
        <w:rPr>
          <w:b/>
          <w:i/>
          <w:color w:val="000000"/>
        </w:rPr>
        <w:t>vatten</w:t>
      </w:r>
      <w:r>
        <w:t xml:space="preserve"> tillhörande den medlems</w:t>
      </w:r>
      <w:r>
        <w:rPr>
          <w:b/>
          <w:i/>
          <w:color w:val="000000"/>
        </w:rPr>
        <w:t>stat i vilken den första sammanlänkningspunkten med medlemsstaternas nät är belägen.</w:t>
      </w:r>
    </w:p>
    <w:p w:rsidR="005D31C1" w:rsidRDefault="005D31C1" w:rsidP="005D31C1">
      <w:pPr>
        <w:widowControl/>
        <w:spacing w:after="240" w:line="360" w:lineRule="auto"/>
        <w:ind w:left="567" w:hanging="567"/>
      </w:pPr>
      <w:r>
        <w:rPr>
          <w:b/>
          <w:i/>
          <w:color w:val="000000"/>
        </w:rPr>
        <w:t>(10)</w:t>
      </w:r>
      <w:r>
        <w:tab/>
      </w:r>
      <w:r>
        <w:rPr>
          <w:b/>
          <w:i/>
          <w:color w:val="000000"/>
        </w:rPr>
        <w:t>Befintliga avtal om driften av överföringsledningar som ingåtts mellan en medlemsstat och ett tredjeland bör kunna fortsätta att gälla i enlighet med detta direktiv.</w:t>
      </w:r>
    </w:p>
    <w:p w:rsidR="005D31C1" w:rsidRDefault="005D31C1" w:rsidP="005D31C1">
      <w:pPr>
        <w:widowControl/>
        <w:spacing w:after="240" w:line="360" w:lineRule="auto"/>
        <w:ind w:left="567" w:hanging="567"/>
      </w:pPr>
      <w:r>
        <w:rPr>
          <w:b/>
          <w:i/>
          <w:color w:val="000000"/>
        </w:rPr>
        <w:br w:type="page"/>
      </w:r>
      <w:r>
        <w:rPr>
          <w:b/>
          <w:i/>
          <w:color w:val="000000"/>
        </w:rPr>
        <w:lastRenderedPageBreak/>
        <w:t>(11)</w:t>
      </w:r>
      <w:r>
        <w:tab/>
      </w:r>
      <w:r>
        <w:rPr>
          <w:b/>
          <w:i/>
          <w:color w:val="000000"/>
        </w:rPr>
        <w:t>När det gäller avtal eller delar av avtal med tredjeländer som kan påverka unionens gemensamma regler bör ett konsekvent och öppet förfarande införas som gör det möjligt att på en medlemsstats begäran bemyndiga den att ändra, utvidga, anpassa, förnya eller ingå ett avtal med ett tredjeland om driften av en överföringsledning eller ett tidigare led i rörledningsnätet mellan medlemsstaten och ett tredjeland. Förfarandet bör inte försena genomförandet av detta direktiv, bör inte påverka fördelningen av befogenheter mellan unionen och medlemsstaterna och bör gälla för befintliga och nya avtal.</w:t>
      </w:r>
    </w:p>
    <w:p w:rsidR="005D31C1" w:rsidRDefault="005D31C1" w:rsidP="005D31C1">
      <w:pPr>
        <w:widowControl/>
        <w:spacing w:after="240" w:line="360" w:lineRule="auto"/>
        <w:ind w:left="567" w:hanging="567"/>
      </w:pPr>
      <w:r>
        <w:rPr>
          <w:b/>
          <w:i/>
          <w:color w:val="000000"/>
        </w:rPr>
        <w:t>(12)</w:t>
      </w:r>
      <w:r>
        <w:tab/>
      </w:r>
      <w:r>
        <w:rPr>
          <w:b/>
          <w:i/>
          <w:color w:val="000000"/>
        </w:rPr>
        <w:t>Om det är uppenbart att innehållet i ett avtal omfattas till en del av unionens behörighet och till en del av en medlemsstats behörighet är det avgörande att säkerställa nära samarbete mellan den medlemsstaten och unionsinstitutionerna.</w:t>
      </w:r>
    </w:p>
    <w:p w:rsidR="005D31C1" w:rsidRPr="005D31C1" w:rsidRDefault="005D31C1" w:rsidP="005D31C1">
      <w:pPr>
        <w:widowControl/>
        <w:spacing w:after="240" w:line="360" w:lineRule="auto"/>
        <w:ind w:left="567" w:hanging="567"/>
      </w:pPr>
      <w:r>
        <w:rPr>
          <w:b/>
          <w:i/>
          <w:color w:val="000000"/>
        </w:rPr>
        <w:br w:type="page"/>
      </w:r>
      <w:r>
        <w:rPr>
          <w:b/>
          <w:i/>
          <w:color w:val="000000"/>
        </w:rPr>
        <w:lastRenderedPageBreak/>
        <w:t>(13)</w:t>
      </w:r>
      <w:r>
        <w:tab/>
      </w:r>
      <w:hyperlink r:id="rId7" w:tgtFrame="_self" w:history="1">
        <w:r w:rsidRPr="005D31C1">
          <w:rPr>
            <w:rStyle w:val="Hyperlink"/>
            <w:b/>
            <w:i/>
            <w:color w:val="000000"/>
            <w:u w:val="none"/>
          </w:rPr>
          <w:t>Kommissionens förordning (EU) 2015/703</w:t>
        </w:r>
        <w:r w:rsidRPr="005D31C1">
          <w:rPr>
            <w:rStyle w:val="Hyperlink"/>
            <w:b/>
            <w:i/>
            <w:color w:val="000000"/>
            <w:u w:val="none"/>
            <w:vertAlign w:val="superscript"/>
          </w:rPr>
          <w:footnoteReference w:id="7"/>
        </w:r>
      </w:hyperlink>
      <w:r>
        <w:rPr>
          <w:b/>
          <w:i/>
          <w:color w:val="000000"/>
        </w:rPr>
        <w:t>, kommissionens förordning (EU) 2017/459</w:t>
      </w:r>
      <w:r>
        <w:rPr>
          <w:rStyle w:val="FootnoteReference"/>
          <w:bCs/>
          <w:color w:val="000000"/>
        </w:rPr>
        <w:footnoteReference w:id="8"/>
      </w:r>
      <w:r>
        <w:rPr>
          <w:b/>
          <w:i/>
          <w:color w:val="000000"/>
        </w:rPr>
        <w:t>, kommissionens beslut 2012/490/EU</w:t>
      </w:r>
      <w:r>
        <w:rPr>
          <w:rStyle w:val="FootnoteReference"/>
          <w:bCs/>
          <w:color w:val="000000"/>
        </w:rPr>
        <w:footnoteReference w:id="9"/>
      </w:r>
      <w:r>
        <w:rPr>
          <w:b/>
          <w:i/>
          <w:color w:val="000000"/>
        </w:rPr>
        <w:t xml:space="preserve"> samt kapitlen III, V, VI och IX, och artikel 28 i kommissionens förordning (EU) 2017/460</w:t>
      </w:r>
      <w:r>
        <w:rPr>
          <w:rStyle w:val="FootnoteReference"/>
          <w:bCs/>
          <w:color w:val="000000"/>
        </w:rPr>
        <w:footnoteReference w:id="10"/>
      </w:r>
      <w:r>
        <w:rPr>
          <w:b/>
          <w:i/>
          <w:color w:val="000000"/>
        </w:rPr>
        <w:t xml:space="preserve"> är tillämpliga </w:t>
      </w:r>
      <w:r>
        <w:rPr>
          <w:b/>
          <w:i/>
        </w:rPr>
        <w:t>på e</w:t>
      </w:r>
      <w:r>
        <w:rPr>
          <w:b/>
          <w:i/>
          <w:color w:val="000000"/>
        </w:rPr>
        <w:t>ntrypunkter från och exitpunkter till tredjeländer, i enlighet med den berörda nationella tillsynsmyndighetens relevanta beslut, medan kommissionens förordning (EU) nr</w:t>
      </w:r>
      <w:bookmarkStart w:id="1" w:name="_GoBack"/>
      <w:bookmarkEnd w:id="1"/>
      <w:r w:rsidR="00A747FC">
        <w:rPr>
          <w:b/>
          <w:i/>
          <w:color w:val="000000"/>
        </w:rPr>
        <w:t> </w:t>
      </w:r>
      <w:r>
        <w:rPr>
          <w:b/>
          <w:i/>
          <w:color w:val="000000"/>
        </w:rPr>
        <w:t>312/2014</w:t>
      </w:r>
      <w:r>
        <w:rPr>
          <w:rStyle w:val="FootnoteReference"/>
          <w:bCs/>
          <w:color w:val="000000"/>
        </w:rPr>
        <w:footnoteReference w:id="11"/>
      </w:r>
      <w:r>
        <w:rPr>
          <w:b/>
          <w:i/>
          <w:color w:val="000000"/>
        </w:rPr>
        <w:t xml:space="preserve"> endast gäller balanseringsområdena inom unionens gränser.</w:t>
      </w:r>
    </w:p>
    <w:p w:rsidR="005D31C1" w:rsidRDefault="005D31C1" w:rsidP="005D31C1">
      <w:pPr>
        <w:widowControl/>
        <w:spacing w:after="240" w:line="360" w:lineRule="auto"/>
        <w:ind w:left="567" w:hanging="567"/>
      </w:pPr>
      <w:r>
        <w:rPr>
          <w:b/>
          <w:bCs/>
          <w:i/>
          <w:iCs/>
        </w:rPr>
        <w:t>(14)</w:t>
      </w:r>
      <w:r>
        <w:rPr>
          <w:b/>
          <w:bCs/>
          <w:i/>
          <w:iCs/>
        </w:rPr>
        <w:tab/>
        <w:t>För att fatta beslut om att bemyndiga eller vägra att bemyndiga en medlemsstat att ändra, förlänga, anpassa, förnya eller ingå ett avtal med ett tredjeland bör kommissionen tilldelas genomförandebefogenheter.</w:t>
      </w:r>
      <w:r>
        <w:rPr>
          <w:b/>
          <w:i/>
          <w:color w:val="000000"/>
        </w:rPr>
        <w:t xml:space="preserve"> Dessa befogenheter bör utövas i enlighet med Europaparlamentets och rådets förordning (EU) nr 182/2011</w:t>
      </w:r>
      <w:r>
        <w:rPr>
          <w:rStyle w:val="FootnoteReference"/>
          <w:rFonts w:cs="Arial"/>
          <w:color w:val="000000"/>
        </w:rPr>
        <w:footnoteReference w:id="12"/>
      </w:r>
      <w:r>
        <w:rPr>
          <w:b/>
          <w:i/>
          <w:color w:val="000000"/>
        </w:rPr>
        <w:t>.</w:t>
      </w:r>
    </w:p>
    <w:p w:rsidR="005D31C1" w:rsidRDefault="005D31C1" w:rsidP="005D31C1">
      <w:pPr>
        <w:widowControl/>
        <w:spacing w:after="240" w:line="360" w:lineRule="auto"/>
        <w:ind w:left="567" w:hanging="567"/>
      </w:pPr>
      <w:r>
        <w:rPr>
          <w:b/>
          <w:i/>
          <w:color w:val="000000"/>
        </w:rPr>
        <w:br w:type="page"/>
      </w:r>
      <w:r>
        <w:rPr>
          <w:b/>
          <w:i/>
          <w:color w:val="000000"/>
        </w:rPr>
        <w:lastRenderedPageBreak/>
        <w:t>(15)</w:t>
      </w:r>
      <w:r>
        <w:tab/>
      </w:r>
      <w:r>
        <w:rPr>
          <w:b/>
          <w:i/>
          <w:color w:val="000000"/>
        </w:rPr>
        <w:t>Eftersom målet för detta direktiv, nämligen att skapa enhetlighet i lagstiftningen inom unionen och samtidigt motverka snedvridning av konkurrensen på unionens inre marknad för energi, inte i tillräcklig utsträckning kan uppnås av medlemsstaterna utan snarare, på grund av dess omfattning och verkningar, kan uppnås bättre på unionsnivå, kan unionen vidta åtgärder i enlighet med subsidiaritetsprincipen i artikel 5 i fördraget om Europeiska unionen. I enlighet med proportionalitetsprincipen i samma artikel går detta direktiv inte utöver vad som är nödvändigt för att uppnå detta mål.</w:t>
      </w:r>
    </w:p>
    <w:p w:rsidR="005D31C1" w:rsidRDefault="005D31C1" w:rsidP="005D31C1">
      <w:pPr>
        <w:widowControl/>
        <w:spacing w:after="240" w:line="360" w:lineRule="auto"/>
        <w:ind w:left="567" w:hanging="567"/>
        <w:rPr>
          <w:rFonts w:cs="Arial"/>
          <w:b/>
          <w:i/>
          <w:color w:val="000000"/>
        </w:rPr>
      </w:pPr>
      <w:r>
        <w:rPr>
          <w:b/>
          <w:i/>
          <w:color w:val="000000"/>
        </w:rPr>
        <w:t>(16)</w:t>
      </w:r>
      <w:r>
        <w:rPr>
          <w:b/>
          <w:i/>
          <w:color w:val="000000"/>
        </w:rPr>
        <w:tab/>
        <w:t>I enlighet med den gemensamma politiska förklaringen av den 28 september 2011 från medlemsstaterna och kommissionen om förklarande dokument</w:t>
      </w:r>
      <w:r>
        <w:rPr>
          <w:rStyle w:val="FootnoteReference"/>
          <w:color w:val="000000"/>
        </w:rPr>
        <w:footnoteReference w:id="13"/>
      </w:r>
      <w:r>
        <w:rPr>
          <w:b/>
          <w:i/>
          <w:color w:val="000000"/>
        </w:rPr>
        <w:t xml:space="preserve"> har medlemsstaterna åtagit sig att, i de fall detta är berättigat, låta anmälan av införlivandeåtgärder åtföljas av ett eller flera dokument som förklarar förhållandet mellan de olika delarna i direktivet och motsvarande delar i de nationella instrumenten för införlivande. Med avseende på detta direktiv anser lagstiftaren att översändandet av sådana dokument är berättigat.</w:t>
      </w:r>
    </w:p>
    <w:p w:rsidR="005D31C1" w:rsidRDefault="005D31C1" w:rsidP="005D31C1">
      <w:pPr>
        <w:widowControl/>
        <w:spacing w:after="240" w:line="360" w:lineRule="auto"/>
        <w:ind w:left="567" w:hanging="567"/>
      </w:pPr>
      <w:r>
        <w:t>(17)</w:t>
      </w:r>
      <w:r>
        <w:tab/>
        <w:t>Direktiv 2009/73/EG bör därför ändras i enlighet med detta.</w:t>
      </w:r>
    </w:p>
    <w:p w:rsidR="005D31C1" w:rsidRDefault="005D31C1" w:rsidP="005D31C1">
      <w:pPr>
        <w:widowControl/>
        <w:spacing w:after="240" w:line="360" w:lineRule="auto"/>
      </w:pPr>
      <w:r>
        <w:t>HÄRIGENOM FÖRESKRIVS FÖLJANDE.</w:t>
      </w:r>
    </w:p>
    <w:p w:rsidR="005D31C1" w:rsidRDefault="005D31C1" w:rsidP="005D31C1">
      <w:pPr>
        <w:pStyle w:val="NormalCentered"/>
        <w:spacing w:before="0" w:after="240"/>
        <w:rPr>
          <w:b/>
          <w:bCs/>
          <w:i/>
        </w:rPr>
      </w:pPr>
      <w:r>
        <w:br w:type="page"/>
      </w:r>
      <w:r>
        <w:lastRenderedPageBreak/>
        <w:t>Artikel 1</w:t>
      </w:r>
      <w:r>
        <w:br/>
      </w:r>
      <w:r>
        <w:rPr>
          <w:b/>
          <w:bCs/>
          <w:i/>
        </w:rPr>
        <w:t>Ändringar av direktiv 2009/73/EG</w:t>
      </w:r>
    </w:p>
    <w:p w:rsidR="005D31C1" w:rsidRDefault="005D31C1" w:rsidP="005D31C1">
      <w:pPr>
        <w:widowControl/>
        <w:spacing w:after="240" w:line="360" w:lineRule="auto"/>
      </w:pPr>
      <w:r>
        <w:t>Direktiv 2009/73/EG ska ändras på följande sätt:</w:t>
      </w:r>
    </w:p>
    <w:p w:rsidR="005D31C1" w:rsidRDefault="005D31C1" w:rsidP="005D31C1">
      <w:pPr>
        <w:widowControl/>
        <w:spacing w:after="240" w:line="360" w:lineRule="auto"/>
        <w:ind w:left="567" w:hanging="567"/>
      </w:pPr>
      <w:r>
        <w:t>1.</w:t>
      </w:r>
      <w:r>
        <w:tab/>
        <w:t>Artikel 2 led 17 ska ersättas med följande:</w:t>
      </w:r>
    </w:p>
    <w:p w:rsidR="005D31C1" w:rsidRDefault="005D31C1" w:rsidP="005D31C1">
      <w:pPr>
        <w:widowControl/>
        <w:spacing w:after="240" w:line="360" w:lineRule="auto"/>
        <w:ind w:left="1134" w:hanging="567"/>
      </w:pPr>
      <w:r>
        <w:t>”17.</w:t>
      </w:r>
      <w:r>
        <w:tab/>
      </w:r>
      <w:r>
        <w:rPr>
          <w:i/>
          <w:iCs/>
        </w:rPr>
        <w:t>sammanlänkning</w:t>
      </w:r>
      <w:r>
        <w:t xml:space="preserve">: en överföringsledning som passerar eller sträcker sig över en gräns mellan medlemsstater </w:t>
      </w:r>
      <w:r>
        <w:rPr>
          <w:b/>
          <w:i/>
          <w:color w:val="000000"/>
        </w:rPr>
        <w:t>i syfte att koppla samman dessa medlemsstaters nationella överföringssystem eller en överföringsledning</w:t>
      </w:r>
      <w:r>
        <w:t xml:space="preserve"> mellan </w:t>
      </w:r>
      <w:r>
        <w:rPr>
          <w:b/>
          <w:i/>
          <w:color w:val="000000"/>
        </w:rPr>
        <w:t>en</w:t>
      </w:r>
      <w:r>
        <w:t xml:space="preserve"> medlems</w:t>
      </w:r>
      <w:r>
        <w:rPr>
          <w:b/>
          <w:i/>
          <w:color w:val="000000"/>
        </w:rPr>
        <w:t>stat</w:t>
      </w:r>
      <w:r>
        <w:t xml:space="preserve"> och </w:t>
      </w:r>
      <w:r>
        <w:rPr>
          <w:b/>
          <w:i/>
          <w:color w:val="000000"/>
        </w:rPr>
        <w:t>ett</w:t>
      </w:r>
      <w:r>
        <w:t xml:space="preserve"> tredje</w:t>
      </w:r>
      <w:r>
        <w:rPr>
          <w:b/>
          <w:i/>
          <w:color w:val="000000"/>
        </w:rPr>
        <w:t>land fram till den medlemsstatens territorium eller territorialvatten.</w:t>
      </w:r>
      <w:r>
        <w:t>”</w:t>
      </w:r>
    </w:p>
    <w:p w:rsidR="005D31C1" w:rsidRDefault="005D31C1" w:rsidP="005D31C1">
      <w:pPr>
        <w:widowControl/>
        <w:spacing w:after="240" w:line="360" w:lineRule="auto"/>
        <w:ind w:left="567" w:hanging="567"/>
      </w:pPr>
      <w:r>
        <w:t>2.</w:t>
      </w:r>
      <w:r>
        <w:tab/>
        <w:t>Artikel 9 ska ändras på följande sätt:</w:t>
      </w:r>
    </w:p>
    <w:p w:rsidR="005D31C1" w:rsidRDefault="005D31C1" w:rsidP="005D31C1">
      <w:pPr>
        <w:widowControl/>
        <w:spacing w:after="240" w:line="360" w:lineRule="auto"/>
        <w:ind w:left="1134" w:hanging="567"/>
      </w:pPr>
      <w:r>
        <w:t>a)</w:t>
      </w:r>
      <w:r>
        <w:tab/>
        <w:t>I punkt 8 ska första stycket ersättas med följande:</w:t>
      </w:r>
    </w:p>
    <w:p w:rsidR="005D31C1" w:rsidRDefault="005D31C1" w:rsidP="005D31C1">
      <w:pPr>
        <w:widowControl/>
        <w:spacing w:after="240" w:line="360" w:lineRule="auto"/>
        <w:ind w:left="1701" w:hanging="567"/>
      </w:pPr>
      <w:r>
        <w:t>”8.</w:t>
      </w:r>
      <w:r>
        <w:tab/>
        <w:t xml:space="preserve">Om överföringssystemet den 3 september 2009 tillhörde ett vertikalt integrerat företag får en medlemsstat besluta att inte tillämpa punkt 1. Vad gäller </w:t>
      </w:r>
      <w:r>
        <w:rPr>
          <w:b/>
          <w:i/>
          <w:color w:val="000000"/>
        </w:rPr>
        <w:t>den del av överföringssystemet som kopplar samman en medlemsstat med ett tredjeland</w:t>
      </w:r>
      <w:r>
        <w:t xml:space="preserve">, mellan </w:t>
      </w:r>
      <w:r>
        <w:rPr>
          <w:b/>
          <w:i/>
          <w:color w:val="000000"/>
        </w:rPr>
        <w:t>den medlemsstatens</w:t>
      </w:r>
      <w:r>
        <w:t xml:space="preserve"> gräns och den första </w:t>
      </w:r>
      <w:r>
        <w:rPr>
          <w:b/>
          <w:i/>
          <w:color w:val="000000"/>
        </w:rPr>
        <w:t>anslutnings</w:t>
      </w:r>
      <w:r>
        <w:t xml:space="preserve">punkten i </w:t>
      </w:r>
      <w:r>
        <w:rPr>
          <w:b/>
          <w:i/>
          <w:color w:val="000000"/>
        </w:rPr>
        <w:t>den medlemsstatens</w:t>
      </w:r>
      <w:r>
        <w:t xml:space="preserve"> nät, om överföringssystemet den … [datum för ikraftträdande av detta ändringsdirektiv] tillhörde ett vertikalt integrerat företag, får en medlemsstat besluta att inte tillämpa punkt 1.”</w:t>
      </w:r>
    </w:p>
    <w:p w:rsidR="005D31C1" w:rsidRDefault="005D31C1" w:rsidP="005D31C1">
      <w:pPr>
        <w:widowControl/>
        <w:spacing w:after="240" w:line="360" w:lineRule="auto"/>
        <w:ind w:left="1134" w:hanging="567"/>
      </w:pPr>
      <w:r>
        <w:t>b)</w:t>
      </w:r>
      <w:r>
        <w:tab/>
        <w:t>Punkt 9 ska ersättas med följande:</w:t>
      </w:r>
    </w:p>
    <w:p w:rsidR="005D31C1" w:rsidRDefault="005D31C1" w:rsidP="005D31C1">
      <w:pPr>
        <w:widowControl/>
        <w:tabs>
          <w:tab w:val="left" w:pos="1701"/>
        </w:tabs>
        <w:spacing w:after="240" w:line="360" w:lineRule="auto"/>
        <w:ind w:left="1701" w:hanging="567"/>
      </w:pPr>
      <w:r>
        <w:t>”9.</w:t>
      </w:r>
      <w:r>
        <w:tab/>
        <w:t>Om överföringssystemet den 3 september 2009 tillhörde ett vertikalt integrerat företag och det finns arrangemang som säkerställer att den systemansvarige för överföringssystemet faktiskt är mer oberoende än vad som föreskrivs i bestämmelserna i kapitel IV, får en medlemsstat besluta att inte tillämpa punkt 1 i denna artikel.</w:t>
      </w:r>
    </w:p>
    <w:p w:rsidR="005D31C1" w:rsidRDefault="005D31C1" w:rsidP="005D31C1">
      <w:pPr>
        <w:widowControl/>
        <w:tabs>
          <w:tab w:val="left" w:pos="1701"/>
        </w:tabs>
        <w:spacing w:after="240" w:line="360" w:lineRule="auto"/>
        <w:ind w:left="1701" w:hanging="567"/>
      </w:pPr>
      <w:r>
        <w:tab/>
        <w:t xml:space="preserve">Vad gäller </w:t>
      </w:r>
      <w:r>
        <w:rPr>
          <w:b/>
          <w:i/>
          <w:color w:val="000000"/>
        </w:rPr>
        <w:t>den del av överföringssystemet som kopplar samman en medlemsstat med ett tredjeland</w:t>
      </w:r>
      <w:r>
        <w:t xml:space="preserve">, mellan </w:t>
      </w:r>
      <w:r>
        <w:rPr>
          <w:b/>
          <w:i/>
          <w:color w:val="000000"/>
        </w:rPr>
        <w:t>den medlemsstatens</w:t>
      </w:r>
      <w:r>
        <w:t xml:space="preserve"> gräns och den </w:t>
      </w:r>
      <w:r>
        <w:lastRenderedPageBreak/>
        <w:t xml:space="preserve">första </w:t>
      </w:r>
      <w:r>
        <w:rPr>
          <w:b/>
          <w:i/>
          <w:color w:val="000000"/>
        </w:rPr>
        <w:t>anslutnings</w:t>
      </w:r>
      <w:r>
        <w:t xml:space="preserve">punkten i </w:t>
      </w:r>
      <w:r>
        <w:rPr>
          <w:b/>
          <w:i/>
          <w:color w:val="000000"/>
        </w:rPr>
        <w:t>den medlemsstatens</w:t>
      </w:r>
      <w:r>
        <w:t xml:space="preserve"> nät, om överföringssystemet den … [datum för ikraftträdande av detta ändringsdirektiv] tillhör ett vertikalt integrerat företag och det finns arrangemang som säkerställer att den systemansvarige för överföringssystemet faktiskt är mer oberoende än vad som föreskrivs i bestämmelserna i kapitel IV, får den medlemsstaten besluta att inte tillämpa punkt 1 i denna artikel.”</w:t>
      </w:r>
    </w:p>
    <w:p w:rsidR="005D31C1" w:rsidRDefault="005D31C1" w:rsidP="00A747FC">
      <w:pPr>
        <w:widowControl/>
        <w:spacing w:after="240" w:line="360" w:lineRule="auto"/>
        <w:ind w:left="567" w:hanging="567"/>
      </w:pPr>
      <w:r>
        <w:br w:type="page"/>
      </w:r>
      <w:r>
        <w:lastRenderedPageBreak/>
        <w:t>3.</w:t>
      </w:r>
      <w:r>
        <w:tab/>
        <w:t>Artikel 14.1 ska ersättas med följande:</w:t>
      </w:r>
    </w:p>
    <w:p w:rsidR="005D31C1" w:rsidRDefault="005D31C1" w:rsidP="00A747FC">
      <w:pPr>
        <w:widowControl/>
        <w:spacing w:after="240" w:line="360" w:lineRule="auto"/>
        <w:ind w:left="1134" w:hanging="567"/>
      </w:pPr>
      <w:r>
        <w:t>”1.</w:t>
      </w:r>
      <w:r>
        <w:tab/>
        <w:t>Om överföringssystemet den 3 september 2009 tillhörde ett vertikalt integrerat företag, får en medlemsstat besluta att inte tillämpa artikel 9.1 och utse en oberoende systemansvarig (ISO) på förslag av överföringssystemets ägare (TSOW).</w:t>
      </w:r>
    </w:p>
    <w:p w:rsidR="005D31C1" w:rsidRPr="005D31C1" w:rsidRDefault="005D31C1" w:rsidP="00A747FC">
      <w:pPr>
        <w:widowControl/>
        <w:spacing w:after="240" w:line="360" w:lineRule="auto"/>
        <w:ind w:left="1134" w:hanging="567"/>
      </w:pPr>
      <w:r>
        <w:tab/>
        <w:t xml:space="preserve">Vad gäller </w:t>
      </w:r>
      <w:r>
        <w:rPr>
          <w:b/>
          <w:i/>
          <w:color w:val="000000"/>
        </w:rPr>
        <w:t>den del av överföringssystemet som kopplar samman en medlemsstat med ett tredjeland</w:t>
      </w:r>
      <w:r>
        <w:t xml:space="preserve">, mellan </w:t>
      </w:r>
      <w:r>
        <w:rPr>
          <w:b/>
          <w:i/>
          <w:color w:val="000000"/>
        </w:rPr>
        <w:t>den medlemsstatens</w:t>
      </w:r>
      <w:r>
        <w:t xml:space="preserve"> gräns och den första </w:t>
      </w:r>
      <w:r>
        <w:rPr>
          <w:b/>
          <w:i/>
          <w:color w:val="000000"/>
        </w:rPr>
        <w:t>anslutnings</w:t>
      </w:r>
      <w:r>
        <w:t xml:space="preserve">punkten i </w:t>
      </w:r>
      <w:r>
        <w:rPr>
          <w:b/>
          <w:i/>
          <w:color w:val="000000"/>
        </w:rPr>
        <w:t>den medlemsstatens</w:t>
      </w:r>
      <w:r>
        <w:t xml:space="preserve"> nät, om överföringssystemet den … [datum för ikraftträdande av detta ändringsdirektiv] tillhörde ett vertikalt integrerat företag, får den medlemsstaten besluta att inte tillämpa artikel 9.1 och utse en oberoende systemansvarig (ISO) på förslag av överföringssystemets ägare (TSOW).</w:t>
      </w:r>
    </w:p>
    <w:p w:rsidR="005D31C1" w:rsidRDefault="005D31C1" w:rsidP="00A747FC">
      <w:pPr>
        <w:widowControl/>
        <w:spacing w:after="240" w:line="360" w:lineRule="auto"/>
        <w:ind w:left="1134" w:hanging="567"/>
      </w:pPr>
      <w:r>
        <w:tab/>
        <w:t>Utnämningen av en oberoende systemansvarig (ISO) ska godkännas av kommissionen.”</w:t>
      </w:r>
    </w:p>
    <w:p w:rsidR="005D31C1" w:rsidRDefault="005D31C1" w:rsidP="00A747FC">
      <w:pPr>
        <w:widowControl/>
        <w:spacing w:after="240" w:line="360" w:lineRule="auto"/>
        <w:ind w:left="567" w:hanging="567"/>
      </w:pPr>
      <w:r>
        <w:br w:type="page"/>
      </w:r>
      <w:r>
        <w:rPr>
          <w:b/>
          <w:i/>
          <w:color w:val="000000"/>
        </w:rPr>
        <w:t>4.</w:t>
      </w:r>
      <w:r>
        <w:tab/>
        <w:t>Artikel 34.4 ska ersättas med följande:</w:t>
      </w:r>
    </w:p>
    <w:p w:rsidR="005D31C1" w:rsidRDefault="005D31C1" w:rsidP="00A747FC">
      <w:pPr>
        <w:widowControl/>
        <w:spacing w:after="240" w:line="360" w:lineRule="auto"/>
        <w:ind w:left="1134" w:hanging="567"/>
      </w:pPr>
      <w:r>
        <w:t>”4.</w:t>
      </w:r>
      <w:r>
        <w:tab/>
        <w:t xml:space="preserve">Vid gränsöverskridande tvister ska de tvistlösningsförfaranden tillämpas som gäller i den medlemsstat som har jurisdiktion över de tidigare leden i rörledningsnätet till vilka tillträde vägras. Vid gränsöverskridande tvister där flera medlemsstater täcker det berörda systemet ska de berörda medlemsstaterna samråda med varandra i syfte att säkerställa att bestämmelserna i detta direktiv tillämpas konsekvent. </w:t>
      </w:r>
      <w:r>
        <w:rPr>
          <w:b/>
          <w:i/>
          <w:color w:val="000000"/>
        </w:rPr>
        <w:t>Om ett tidigare led i rörledningsnätet har sitt ursprung i ett tredjeland och är sammankopplat med</w:t>
      </w:r>
      <w:r>
        <w:rPr>
          <w:color w:val="000000"/>
        </w:rPr>
        <w:t xml:space="preserve"> </w:t>
      </w:r>
      <w:r>
        <w:t xml:space="preserve">minst en medlemsstat ▌ ska de berörda medlemsstaterna samråda med varandra, och </w:t>
      </w:r>
      <w:r>
        <w:rPr>
          <w:b/>
          <w:i/>
          <w:color w:val="000000"/>
          <w:szCs w:val="24"/>
        </w:rPr>
        <w:t>den medlemsstat i vilken den första entrypunkten i medlemsstaternas nät är belägen</w:t>
      </w:r>
      <w:r>
        <w:rPr>
          <w:szCs w:val="24"/>
        </w:rPr>
        <w:t xml:space="preserve"> ska samråda</w:t>
      </w:r>
      <w:r>
        <w:rPr>
          <w:sz w:val="18"/>
        </w:rPr>
        <w:t xml:space="preserve"> </w:t>
      </w:r>
      <w:r>
        <w:t xml:space="preserve">med </w:t>
      </w:r>
      <w:r>
        <w:rPr>
          <w:color w:val="000000"/>
        </w:rPr>
        <w:t>▌</w:t>
      </w:r>
      <w:r>
        <w:t xml:space="preserve"> det berörda </w:t>
      </w:r>
      <w:r>
        <w:rPr>
          <w:b/>
          <w:i/>
          <w:color w:val="000000"/>
        </w:rPr>
        <w:t>tredjeland</w:t>
      </w:r>
      <w:r>
        <w:t xml:space="preserve"> </w:t>
      </w:r>
      <w:r>
        <w:rPr>
          <w:b/>
          <w:bCs/>
          <w:i/>
          <w:color w:val="000000"/>
        </w:rPr>
        <w:t>i vilket rörledningsnätet i tidigare led har sitt ursprung</w:t>
      </w:r>
      <w:r>
        <w:t xml:space="preserve">, i syfte att säkerställa att detta direktiv, när det gäller det berörda nätet, tillämpas konsekvent </w:t>
      </w:r>
      <w:r>
        <w:rPr>
          <w:b/>
          <w:i/>
          <w:color w:val="000000"/>
        </w:rPr>
        <w:t>inom medlemsstaternas territorium</w:t>
      </w:r>
      <w:r>
        <w:t>.”</w:t>
      </w:r>
    </w:p>
    <w:p w:rsidR="005D31C1" w:rsidRDefault="005D31C1" w:rsidP="00A747FC">
      <w:pPr>
        <w:widowControl/>
        <w:spacing w:after="240" w:line="360" w:lineRule="auto"/>
        <w:ind w:left="567" w:hanging="567"/>
      </w:pPr>
      <w:r>
        <w:rPr>
          <w:b/>
          <w:i/>
          <w:color w:val="000000"/>
        </w:rPr>
        <w:t>5.</w:t>
      </w:r>
      <w:r>
        <w:tab/>
        <w:t>Artikel 36 ska ändras på följande sätt:</w:t>
      </w:r>
    </w:p>
    <w:p w:rsidR="005D31C1" w:rsidRDefault="005D31C1" w:rsidP="00A747FC">
      <w:pPr>
        <w:widowControl/>
        <w:spacing w:after="240" w:line="360" w:lineRule="auto"/>
        <w:ind w:left="1134" w:hanging="567"/>
      </w:pPr>
      <w:r>
        <w:rPr>
          <w:b/>
          <w:i/>
          <w:color w:val="000000"/>
        </w:rPr>
        <w:t>a)</w:t>
      </w:r>
      <w:r>
        <w:tab/>
        <w:t xml:space="preserve">Punkt </w:t>
      </w:r>
      <w:r>
        <w:rPr>
          <w:b/>
          <w:i/>
          <w:color w:val="000000"/>
        </w:rPr>
        <w:t>1 e</w:t>
      </w:r>
      <w:r>
        <w:t xml:space="preserve"> ska ersättas med följande:</w:t>
      </w:r>
    </w:p>
    <w:p w:rsidR="005D31C1" w:rsidRDefault="005D31C1" w:rsidP="00A747FC">
      <w:pPr>
        <w:widowControl/>
        <w:spacing w:after="240" w:line="360" w:lineRule="auto"/>
        <w:ind w:left="1701" w:hanging="567"/>
      </w:pPr>
      <w:r>
        <w:rPr>
          <w:b/>
          <w:i/>
          <w:color w:val="000000"/>
        </w:rPr>
        <w:t>”e)</w:t>
      </w:r>
      <w:r>
        <w:rPr>
          <w:b/>
          <w:i/>
          <w:color w:val="000000"/>
        </w:rPr>
        <w:tab/>
        <w:t>Undantaget får inte skada konkurrensen på de relevanta marknader som sannolikt kommer att påverkas av investeringen, en effektivt fungerande inre marknad för naturgas, effektivt fungerande berörda reglerade system eller försörjningstryggheten i fråga om naturgas i unionen.”</w:t>
      </w:r>
    </w:p>
    <w:p w:rsidR="005D31C1" w:rsidRDefault="005D31C1" w:rsidP="00A747FC">
      <w:pPr>
        <w:widowControl/>
        <w:spacing w:after="240" w:line="360" w:lineRule="auto"/>
        <w:ind w:left="1134" w:hanging="567"/>
      </w:pPr>
      <w:r>
        <w:br w:type="page"/>
      </w:r>
      <w:r>
        <w:rPr>
          <w:b/>
          <w:i/>
          <w:color w:val="000000"/>
        </w:rPr>
        <w:t>b)</w:t>
      </w:r>
      <w:r>
        <w:tab/>
      </w:r>
      <w:r>
        <w:rPr>
          <w:b/>
          <w:i/>
          <w:color w:val="000000"/>
        </w:rPr>
        <w:t>Punkt 3 ska ersättas med följande:</w:t>
      </w:r>
    </w:p>
    <w:p w:rsidR="005D31C1" w:rsidRDefault="005D31C1" w:rsidP="00A747FC">
      <w:pPr>
        <w:widowControl/>
        <w:spacing w:after="240" w:line="360" w:lineRule="auto"/>
        <w:ind w:left="1701" w:hanging="567"/>
      </w:pPr>
      <w:r>
        <w:rPr>
          <w:b/>
          <w:i/>
          <w:color w:val="000000"/>
        </w:rPr>
        <w:t>”3.</w:t>
      </w:r>
      <w:r>
        <w:rPr>
          <w:b/>
          <w:i/>
          <w:color w:val="000000"/>
        </w:rPr>
        <w:tab/>
        <w:t>Den tillsynsmyndighet som avses i kapitel VIII får besluta, från fall till fall, om det undantag som avses i punkterna 1 och 2. Innan beslutet om undantag antas ska den nationella tillsynsmyndigheten, eller i förekommande fall en annan behörig myndighet i den medlemsstaten, samråda med</w:t>
      </w:r>
    </w:p>
    <w:p w:rsidR="005D31C1" w:rsidRDefault="005D31C1" w:rsidP="00A747FC">
      <w:pPr>
        <w:widowControl/>
        <w:spacing w:after="240" w:line="360" w:lineRule="auto"/>
        <w:ind w:left="2268" w:hanging="567"/>
      </w:pPr>
      <w:r>
        <w:rPr>
          <w:b/>
          <w:i/>
          <w:color w:val="000000"/>
        </w:rPr>
        <w:t>a)</w:t>
      </w:r>
      <w:r>
        <w:tab/>
      </w:r>
      <w:r>
        <w:rPr>
          <w:b/>
          <w:i/>
          <w:color w:val="000000"/>
        </w:rPr>
        <w:t>de nationella tillsynsmyndigheterna i de medlemsstater vars marknader sannolikt kommer att påverkas av den nya infrastrukturen, och</w:t>
      </w:r>
    </w:p>
    <w:p w:rsidR="005D31C1" w:rsidRDefault="005D31C1" w:rsidP="00A747FC">
      <w:pPr>
        <w:widowControl/>
        <w:spacing w:after="240" w:line="360" w:lineRule="auto"/>
        <w:ind w:left="2268" w:hanging="567"/>
      </w:pPr>
      <w:r>
        <w:rPr>
          <w:b/>
          <w:i/>
          <w:color w:val="000000"/>
        </w:rPr>
        <w:t>b)</w:t>
      </w:r>
      <w:r>
        <w:tab/>
      </w:r>
      <w:r>
        <w:rPr>
          <w:b/>
          <w:i/>
          <w:color w:val="000000"/>
        </w:rPr>
        <w:t>tredjelandets berörda myndigheter, om</w:t>
      </w:r>
      <w:r>
        <w:t xml:space="preserve"> den berörda infrastrukturen är </w:t>
      </w:r>
      <w:r>
        <w:rPr>
          <w:b/>
          <w:i/>
          <w:color w:val="000000"/>
        </w:rPr>
        <w:t>sammankopplad med unionens nät</w:t>
      </w:r>
      <w:r>
        <w:t xml:space="preserve">, som omfattas av en medlemsstats jurisdiktion, och </w:t>
      </w:r>
      <w:r>
        <w:rPr>
          <w:b/>
          <w:i/>
          <w:color w:val="000000"/>
        </w:rPr>
        <w:t>har sitt ursprung eller sin slutpunkt</w:t>
      </w:r>
      <w:r>
        <w:t xml:space="preserve"> i ett eller flera tredjeländer.</w:t>
      </w:r>
    </w:p>
    <w:p w:rsidR="005D31C1" w:rsidRDefault="005D31C1" w:rsidP="00A747FC">
      <w:pPr>
        <w:widowControl/>
        <w:spacing w:after="240" w:line="360" w:lineRule="auto"/>
        <w:ind w:left="1418"/>
      </w:pPr>
      <w:r>
        <w:rPr>
          <w:b/>
          <w:i/>
          <w:color w:val="000000"/>
        </w:rPr>
        <w:t>Om de tredjelandsmyndigheter som rådfrågats inte svarar inom rimlig tid eller inom en fastställd tidsfrist på högst tre månader får</w:t>
      </w:r>
      <w:r>
        <w:t xml:space="preserve"> den </w:t>
      </w:r>
      <w:r>
        <w:rPr>
          <w:b/>
          <w:i/>
          <w:color w:val="000000"/>
        </w:rPr>
        <w:t>berörda</w:t>
      </w:r>
      <w:r>
        <w:t xml:space="preserve"> nationella tillsynsmyndigheten </w:t>
      </w:r>
      <w:r>
        <w:rPr>
          <w:b/>
          <w:i/>
          <w:color w:val="000000"/>
        </w:rPr>
        <w:t>anta det beslut som krävs.”</w:t>
      </w:r>
    </w:p>
    <w:p w:rsidR="005D31C1" w:rsidRDefault="005D31C1" w:rsidP="00A747FC">
      <w:pPr>
        <w:widowControl/>
        <w:spacing w:after="240" w:line="360" w:lineRule="auto"/>
        <w:ind w:left="1418" w:hanging="567"/>
      </w:pPr>
      <w:r>
        <w:br w:type="page"/>
        <w:t>c)</w:t>
      </w:r>
      <w:r>
        <w:tab/>
        <w:t>Punkt 4 andra stycket ska ersättas med följande:</w:t>
      </w:r>
    </w:p>
    <w:p w:rsidR="005D31C1" w:rsidRDefault="005D31C1" w:rsidP="00A747FC">
      <w:pPr>
        <w:widowControl/>
        <w:spacing w:after="240" w:line="360" w:lineRule="auto"/>
        <w:ind w:left="1418"/>
      </w:pPr>
      <w:r>
        <w:t xml:space="preserve">”När samtliga berörda tillsynsmyndigheter har kommit överens beträffande begäran om undantag inom sex månader från den dag då begäran mottogs av den sista av dessa tillsynsmyndigheter, ska de informera byrån om detta. Om den berörda infrastrukturen är </w:t>
      </w:r>
      <w:r>
        <w:rPr>
          <w:b/>
          <w:i/>
          <w:color w:val="000000"/>
        </w:rPr>
        <w:t xml:space="preserve">en överföringsledning mellan en medlemsstat och ett tredjeland får, innan beslutet om undantag antas, </w:t>
      </w:r>
      <w:r>
        <w:t xml:space="preserve">den nationella tillsynsmyndigheten, </w:t>
      </w:r>
      <w:r>
        <w:rPr>
          <w:b/>
          <w:i/>
          <w:color w:val="000000"/>
        </w:rPr>
        <w:t>eller i förekommande fall en annan behörig myndighet i den medlemsstat där den första sammanlänkningspunkten med</w:t>
      </w:r>
      <w:r>
        <w:t xml:space="preserve"> medlemsstaterna</w:t>
      </w:r>
      <w:r>
        <w:rPr>
          <w:b/>
          <w:i/>
          <w:color w:val="000000"/>
        </w:rPr>
        <w:t>s nät är belägen</w:t>
      </w:r>
      <w:r>
        <w:t xml:space="preserve">, samråda med den berörda myndigheten i det tredjelandet, i syfte att, vad gäller den berörda infrastrukturen, säkerställa att detta direktiv tillämpas konsekvent </w:t>
      </w:r>
      <w:r>
        <w:rPr>
          <w:b/>
          <w:i/>
          <w:color w:val="000000"/>
        </w:rPr>
        <w:t>inom medlemsstaternas territorium och, i förekommande fall, i den medlemsstatens territorialvatten. Om den tredjelandsmyndighet som rådfrågats inte svarar inom rimlig tid eller inom en fastställd tidsfrist på högst tre månader får den berörda nationella tillsynsmyndigheten anta det beslut som krävs.”</w:t>
      </w:r>
    </w:p>
    <w:p w:rsidR="005D31C1" w:rsidRDefault="005D31C1" w:rsidP="00A747FC">
      <w:pPr>
        <w:widowControl/>
        <w:spacing w:after="240" w:line="360" w:lineRule="auto"/>
        <w:ind w:left="567" w:hanging="567"/>
      </w:pPr>
      <w:r>
        <w:br w:type="page"/>
      </w:r>
      <w:r>
        <w:rPr>
          <w:b/>
          <w:i/>
          <w:color w:val="000000"/>
        </w:rPr>
        <w:t>6.</w:t>
      </w:r>
      <w:r>
        <w:tab/>
        <w:t>Artikel 41.1 c ska ersättas med följande:</w:t>
      </w:r>
    </w:p>
    <w:p w:rsidR="005D31C1" w:rsidRDefault="005D31C1" w:rsidP="00A747FC">
      <w:pPr>
        <w:widowControl/>
        <w:spacing w:after="240" w:line="360" w:lineRule="auto"/>
        <w:ind w:left="1134" w:hanging="567"/>
      </w:pPr>
      <w:r>
        <w:t>”c)</w:t>
      </w:r>
      <w:r>
        <w:tab/>
        <w:t>Samarbeta om gränsöverskridande frågor med tillsynsmyndigheten eller myndigheterna i de andra berörda medlemsstaterna och med byrån ▌</w:t>
      </w:r>
      <w:r>
        <w:rPr>
          <w:b/>
          <w:i/>
        </w:rPr>
        <w:t xml:space="preserve">. </w:t>
      </w:r>
      <w:r>
        <w:rPr>
          <w:b/>
          <w:i/>
          <w:color w:val="000000"/>
        </w:rPr>
        <w:t>För</w:t>
      </w:r>
      <w:r>
        <w:t xml:space="preserve"> infrastruktur till och från ett tredje</w:t>
      </w:r>
      <w:r>
        <w:rPr>
          <w:b/>
          <w:i/>
          <w:color w:val="000000"/>
        </w:rPr>
        <w:t>land, kan tillsynsmyndigheten i den medlemsstat där den första sammanlänkningspunkten med medlemsstaternas nät är belägen efter samråd med tillsynsmyndigheterna i andra berörda medlemsstater</w:t>
      </w:r>
      <w:r>
        <w:t xml:space="preserve"> samarbeta med tredjelandets berörda myndigheter, i syfte att för denna infrastruktur uppnå en konsekvent tillämpning av detta direktiv inom </w:t>
      </w:r>
      <w:r>
        <w:rPr>
          <w:b/>
          <w:i/>
          <w:color w:val="000000"/>
        </w:rPr>
        <w:t>medlemsstaternas territorium.”</w:t>
      </w:r>
    </w:p>
    <w:p w:rsidR="005D31C1" w:rsidRDefault="005D31C1" w:rsidP="00A747FC">
      <w:pPr>
        <w:widowControl/>
        <w:spacing w:after="240" w:line="360" w:lineRule="auto"/>
        <w:ind w:left="567" w:hanging="567"/>
      </w:pPr>
      <w:r>
        <w:rPr>
          <w:b/>
          <w:i/>
          <w:color w:val="000000"/>
        </w:rPr>
        <w:t>7.</w:t>
      </w:r>
      <w:r>
        <w:tab/>
        <w:t>I artikel 42 ska följande punkt läggas till:</w:t>
      </w:r>
    </w:p>
    <w:p w:rsidR="005D31C1" w:rsidRDefault="005D31C1" w:rsidP="00A747FC">
      <w:pPr>
        <w:widowControl/>
        <w:spacing w:after="240" w:line="360" w:lineRule="auto"/>
        <w:ind w:left="1134" w:hanging="567"/>
      </w:pPr>
      <w:r>
        <w:t>”6.</w:t>
      </w:r>
      <w:r>
        <w:tab/>
        <w:t xml:space="preserve">Tillsynsmyndigheterna, </w:t>
      </w:r>
      <w:r>
        <w:rPr>
          <w:b/>
          <w:i/>
          <w:color w:val="000000"/>
        </w:rPr>
        <w:t>eller, i förekommande fall, andra behöriga myndigheter kan</w:t>
      </w:r>
      <w:r>
        <w:t xml:space="preserve"> samråda och samarbeta med de berörda myndigheterna i tredjeländer när det gäller driften av gas</w:t>
      </w:r>
      <w:r>
        <w:rPr>
          <w:b/>
          <w:i/>
          <w:color w:val="000000"/>
        </w:rPr>
        <w:t>infrastruktur</w:t>
      </w:r>
      <w:r>
        <w:t xml:space="preserve"> till och från tredjeländer, i syfte att, vad gäller den berörda infrastrukturen, säkerställa att detta direktiv tillämpas konsekvent i </w:t>
      </w:r>
      <w:r>
        <w:rPr>
          <w:b/>
          <w:i/>
          <w:color w:val="000000"/>
        </w:rPr>
        <w:t>medlemsstatens territorium och territorialvatten.”</w:t>
      </w:r>
    </w:p>
    <w:p w:rsidR="005D31C1" w:rsidRDefault="005D31C1" w:rsidP="00A747FC">
      <w:pPr>
        <w:widowControl/>
        <w:spacing w:after="240" w:line="360" w:lineRule="auto"/>
        <w:ind w:left="851" w:hanging="851"/>
      </w:pPr>
      <w:r>
        <w:br w:type="page"/>
      </w:r>
      <w:r>
        <w:rPr>
          <w:b/>
          <w:i/>
          <w:color w:val="000000"/>
        </w:rPr>
        <w:t>8.</w:t>
      </w:r>
      <w:r>
        <w:rPr>
          <w:b/>
          <w:i/>
          <w:color w:val="000000"/>
        </w:rPr>
        <w:tab/>
        <w:t>Följande artikel ska läggas till:</w:t>
      </w:r>
    </w:p>
    <w:p w:rsidR="005D31C1" w:rsidRDefault="005D31C1" w:rsidP="00A747FC">
      <w:pPr>
        <w:widowControl/>
        <w:spacing w:after="240" w:line="360" w:lineRule="auto"/>
        <w:ind w:left="851"/>
      </w:pPr>
      <w:r>
        <w:rPr>
          <w:b/>
          <w:i/>
          <w:color w:val="000000"/>
        </w:rPr>
        <w:t>”Artikel 48a</w:t>
      </w:r>
      <w:r>
        <w:rPr>
          <w:b/>
          <w:i/>
          <w:color w:val="000000"/>
        </w:rPr>
        <w:br/>
        <w:t>Tekniska avtal avseende driften av överföringsledningar</w:t>
      </w:r>
    </w:p>
    <w:p w:rsidR="005D31C1" w:rsidRDefault="005D31C1" w:rsidP="00A747FC">
      <w:pPr>
        <w:widowControl/>
        <w:spacing w:after="240" w:line="360" w:lineRule="auto"/>
        <w:ind w:left="851"/>
      </w:pPr>
      <w:r>
        <w:rPr>
          <w:b/>
          <w:i/>
          <w:color w:val="000000"/>
        </w:rPr>
        <w:t>Detta direktiv påverkar inte friheten för systemansvariga för överföringssystem eller andra ekonomiska aktörer att ingå tekniska avtal om frågor som rör driften av överföringsledningar mellan en medlemsstat och ett tredjeland eller låta dem fortsätta att gälla, i den mån avtalen är förenliga med unionsrätten och relevanta beslut av de nationella tillsynsmyndigheterna i de berörda medlemsstaterna. Sådana avtal ska anmälas till de berörda medlemsstaternas tillsynsmyndigheter.”</w:t>
      </w:r>
    </w:p>
    <w:p w:rsidR="005D31C1" w:rsidRDefault="005D31C1" w:rsidP="00A747FC">
      <w:pPr>
        <w:widowControl/>
        <w:spacing w:after="240" w:line="360" w:lineRule="auto"/>
        <w:ind w:left="567" w:hanging="567"/>
      </w:pPr>
      <w:r>
        <w:br w:type="page"/>
      </w:r>
      <w:r>
        <w:rPr>
          <w:b/>
          <w:i/>
          <w:color w:val="000000"/>
        </w:rPr>
        <w:t>9.</w:t>
      </w:r>
      <w:r>
        <w:rPr>
          <w:b/>
          <w:i/>
          <w:color w:val="000000"/>
        </w:rPr>
        <w:tab/>
        <w:t>Följande artiklar ska införas:</w:t>
      </w:r>
    </w:p>
    <w:p w:rsidR="005D31C1" w:rsidRDefault="005D31C1" w:rsidP="00A747FC">
      <w:pPr>
        <w:widowControl/>
        <w:spacing w:after="240" w:line="360" w:lineRule="auto"/>
        <w:ind w:left="567"/>
      </w:pPr>
      <w:r>
        <w:rPr>
          <w:b/>
          <w:i/>
          <w:color w:val="000000"/>
        </w:rPr>
        <w:t>”Artikel 49a</w:t>
      </w:r>
      <w:r>
        <w:rPr>
          <w:b/>
          <w:i/>
          <w:color w:val="000000"/>
        </w:rPr>
        <w:br/>
        <w:t>Undantag när det gäller överföringsledningar till och från tredjeländer</w:t>
      </w:r>
    </w:p>
    <w:p w:rsidR="005D31C1" w:rsidRDefault="005D31C1" w:rsidP="00A747FC">
      <w:pPr>
        <w:widowControl/>
        <w:spacing w:after="240" w:line="360" w:lineRule="auto"/>
        <w:ind w:left="1134" w:hanging="567"/>
      </w:pPr>
      <w:r>
        <w:t>1.</w:t>
      </w:r>
      <w:r>
        <w:tab/>
        <w:t>När det gäller gas</w:t>
      </w:r>
      <w:r>
        <w:rPr>
          <w:b/>
          <w:i/>
          <w:color w:val="000000"/>
        </w:rPr>
        <w:t>överföringsledningar mellan en medlemsstat och ett tredjeland</w:t>
      </w:r>
      <w:r>
        <w:t xml:space="preserve"> som färdigställts före den …[dagen för detta ändringsdirektivs ikraftträdande], </w:t>
      </w:r>
      <w:r>
        <w:rPr>
          <w:b/>
          <w:i/>
          <w:color w:val="000000"/>
        </w:rPr>
        <w:t>får den medlemsstat i vilken den första anslutningspunkten för en sådan överföringsledning till en medlemsstats nät är belägen,</w:t>
      </w:r>
      <w:r>
        <w:t xml:space="preserve"> </w:t>
      </w:r>
      <w:r>
        <w:rPr>
          <w:b/>
          <w:i/>
          <w:color w:val="000000"/>
        </w:rPr>
        <w:t>av objektiva skäl, till exempel kostnadstäckningsskäl eller försörjningstrygghetsskäl, besluta</w:t>
      </w:r>
      <w:r>
        <w:t xml:space="preserve"> att göra undantag från artiklarna 9, 10, 11 och 32 samt artikel 41.6, 41.8 och 41.10 för avsnitten av </w:t>
      </w:r>
      <w:r>
        <w:rPr>
          <w:b/>
          <w:i/>
          <w:color w:val="000000"/>
        </w:rPr>
        <w:t>sådana gasöverföringsledningar i dess territorium och territorialvatten</w:t>
      </w:r>
      <w:r>
        <w:t>, förutsatt att ett sådant undantag inte skulle skada konkurrensen i unionen eller en effektivt fungerande inre marknad för naturgas, eller för en trygg energiförsörjning i unionen.</w:t>
      </w:r>
    </w:p>
    <w:p w:rsidR="005D31C1" w:rsidRDefault="005D31C1" w:rsidP="00A747FC">
      <w:pPr>
        <w:widowControl/>
        <w:spacing w:after="240" w:line="360" w:lineRule="auto"/>
        <w:ind w:left="1134"/>
        <w:rPr>
          <w:szCs w:val="24"/>
        </w:rPr>
      </w:pPr>
      <w:r>
        <w:t xml:space="preserve">Undantaget ska vara tidsbegränsat </w:t>
      </w:r>
      <w:r>
        <w:rPr>
          <w:b/>
          <w:i/>
          <w:color w:val="000000"/>
        </w:rPr>
        <w:t>upp till 20 år</w:t>
      </w:r>
      <w:r>
        <w:t>, på grundval av en objektiv motivering, som kan förnyas om det är berättigat och får förenas med villkor som bidrar till uppnåendet av ovan nämnda förhållanden.</w:t>
      </w:r>
    </w:p>
    <w:p w:rsidR="005D31C1" w:rsidRDefault="005D31C1" w:rsidP="00A747FC">
      <w:pPr>
        <w:widowControl/>
        <w:spacing w:after="240" w:line="360" w:lineRule="auto"/>
        <w:ind w:left="1134"/>
        <w:rPr>
          <w:szCs w:val="22"/>
        </w:rPr>
      </w:pPr>
      <w:r>
        <w:br w:type="page"/>
      </w:r>
      <w:r>
        <w:rPr>
          <w:b/>
          <w:i/>
          <w:color w:val="000000"/>
        </w:rPr>
        <w:t>Sådana undantag ska inte vara tillämpliga på överföringsledningar mellan en medlemsstat och ett tredjeland som är skyldigt att införliva detta direktiv och som på ett ändamålsenligt sätt har genomfört detta direktiv enligt ett avtal som ingåtts med unionen.</w:t>
      </w:r>
    </w:p>
    <w:p w:rsidR="005D31C1" w:rsidRDefault="005D31C1" w:rsidP="00A747FC">
      <w:pPr>
        <w:widowControl/>
        <w:spacing w:after="240" w:line="360" w:lineRule="auto"/>
        <w:ind w:left="1134" w:hanging="567"/>
      </w:pPr>
      <w:r>
        <w:t>2.</w:t>
      </w:r>
      <w:r>
        <w:tab/>
        <w:t xml:space="preserve">Om den berörda </w:t>
      </w:r>
      <w:r>
        <w:rPr>
          <w:b/>
          <w:i/>
          <w:color w:val="000000"/>
        </w:rPr>
        <w:t>överföringsledningen</w:t>
      </w:r>
      <w:r>
        <w:t xml:space="preserve"> är belägen i mer än en medlemsstats territorium ska den medlemsstat i </w:t>
      </w:r>
      <w:r>
        <w:rPr>
          <w:b/>
          <w:i/>
          <w:color w:val="000000"/>
        </w:rPr>
        <w:t>vars territorium den första anslutningspunkten till medlemsstaternas nät ligger efter samråd med samtliga berörda medlemsstater besluta om att bevilja undantag för den överföringsledningen</w:t>
      </w:r>
      <w:r>
        <w:t>.</w:t>
      </w:r>
    </w:p>
    <w:p w:rsidR="005D31C1" w:rsidRDefault="005D31C1" w:rsidP="00A747FC">
      <w:pPr>
        <w:widowControl/>
        <w:spacing w:after="240" w:line="360" w:lineRule="auto"/>
        <w:ind w:left="1134"/>
      </w:pPr>
      <w:r>
        <w:rPr>
          <w:b/>
          <w:i/>
          <w:color w:val="000000"/>
        </w:rPr>
        <w:t>På begäran av de berörda medlemsstaterna kan kommissionen besluta att inta en observatörsroll i samrådet mellan den medlemsstat på vars territorium den första anslutningspunkten är belägen och tredjelandet med avseende på konsekvent tillämpning av detta direktiv i medlemsstatens territorium och territorialvatten där</w:t>
      </w:r>
      <w:r>
        <w:t xml:space="preserve"> den första sammanlänkningspunkten är belägen,</w:t>
      </w:r>
      <w:r>
        <w:rPr>
          <w:b/>
          <w:i/>
          <w:color w:val="000000"/>
        </w:rPr>
        <w:t xml:space="preserve"> inbegripet beviljandet av undantag för sådana överföringsledningar.</w:t>
      </w:r>
    </w:p>
    <w:p w:rsidR="005D31C1" w:rsidRDefault="005D31C1" w:rsidP="00A747FC">
      <w:pPr>
        <w:widowControl/>
        <w:spacing w:after="240" w:line="360" w:lineRule="auto"/>
        <w:ind w:left="1134" w:hanging="567"/>
      </w:pPr>
      <w:r>
        <w:rPr>
          <w:b/>
          <w:i/>
          <w:color w:val="000000"/>
        </w:rPr>
        <w:t>3.</w:t>
      </w:r>
      <w:r>
        <w:rPr>
          <w:b/>
          <w:i/>
          <w:color w:val="000000"/>
        </w:rPr>
        <w:tab/>
      </w:r>
      <w:r>
        <w:t xml:space="preserve">Beslut enligt punkterna 1 och 2 </w:t>
      </w:r>
      <w:r>
        <w:rPr>
          <w:b/>
          <w:i/>
          <w:color w:val="000000"/>
        </w:rPr>
        <w:t>ska antas</w:t>
      </w:r>
      <w:r>
        <w:t xml:space="preserve"> senast den … [ett år från ikraftträdandet av detta ändringsdirektiv].</w:t>
      </w:r>
      <w:r>
        <w:rPr>
          <w:color w:val="000000"/>
        </w:rPr>
        <w:t xml:space="preserve"> </w:t>
      </w:r>
      <w:r>
        <w:rPr>
          <w:b/>
          <w:i/>
          <w:color w:val="000000"/>
        </w:rPr>
        <w:t xml:space="preserve">Medlemsstaterna ska anmäla dessa beslut till kommissionen och offentliggöra dem. </w:t>
      </w:r>
    </w:p>
    <w:p w:rsidR="005D31C1" w:rsidRDefault="005D31C1" w:rsidP="00A747FC">
      <w:pPr>
        <w:pStyle w:val="Typedudocument"/>
        <w:widowControl/>
        <w:spacing w:before="0" w:after="240" w:line="360" w:lineRule="auto"/>
        <w:jc w:val="left"/>
        <w:rPr>
          <w:iCs/>
        </w:rPr>
      </w:pPr>
      <w:r>
        <w:rPr>
          <w:b w:val="0"/>
        </w:rPr>
        <w:br w:type="page"/>
      </w:r>
    </w:p>
    <w:p w:rsidR="005D31C1" w:rsidRDefault="005D31C1" w:rsidP="00A747FC">
      <w:pPr>
        <w:pStyle w:val="Text2"/>
        <w:spacing w:before="0" w:after="240"/>
      </w:pPr>
      <w:r>
        <w:rPr>
          <w:b/>
          <w:i/>
          <w:color w:val="000000"/>
        </w:rPr>
        <w:t>Artikel 49b</w:t>
      </w:r>
      <w:r>
        <w:rPr>
          <w:b/>
          <w:i/>
          <w:color w:val="000000"/>
        </w:rPr>
        <w:br/>
        <w:t>Bemyndigande</w:t>
      </w:r>
    </w:p>
    <w:p w:rsidR="005D31C1" w:rsidRDefault="005D31C1" w:rsidP="00A747FC">
      <w:pPr>
        <w:widowControl/>
        <w:spacing w:after="240" w:line="360" w:lineRule="auto"/>
        <w:ind w:left="1134" w:hanging="567"/>
        <w:rPr>
          <w:szCs w:val="24"/>
        </w:rPr>
      </w:pPr>
      <w:r>
        <w:rPr>
          <w:b/>
          <w:i/>
          <w:color w:val="000000"/>
        </w:rPr>
        <w:t>1.</w:t>
      </w:r>
      <w:r>
        <w:tab/>
      </w:r>
      <w:r>
        <w:rPr>
          <w:b/>
          <w:i/>
          <w:color w:val="000000"/>
        </w:rPr>
        <w:t>Befintliga avtal mellan en medlemsstat och ett tredjeland om driften av en överföringsledning eller ett tidigare led i rörledningsnätet får, utan att det påverkar andra skyldigheter som följer av unionsrätten, eller fördelningen av befogenheter mellan unionen och medlemsstaterna, fortsätta att gälla till dess att ett efterföljande avtal mellan unionen och samma tredjeland träder i kraft eller om förfarandet i punkterna 2–15 i denna artikel tillämpas.</w:t>
      </w:r>
    </w:p>
    <w:p w:rsidR="005D31C1" w:rsidRDefault="005D31C1" w:rsidP="00A747FC">
      <w:pPr>
        <w:widowControl/>
        <w:spacing w:after="240" w:line="360" w:lineRule="auto"/>
        <w:ind w:left="1134" w:hanging="567"/>
        <w:rPr>
          <w:szCs w:val="24"/>
        </w:rPr>
      </w:pPr>
      <w:r>
        <w:rPr>
          <w:b/>
          <w:i/>
          <w:color w:val="000000"/>
        </w:rPr>
        <w:t>2.</w:t>
      </w:r>
      <w:r>
        <w:tab/>
      </w:r>
      <w:r>
        <w:rPr>
          <w:b/>
          <w:i/>
          <w:color w:val="000000"/>
        </w:rPr>
        <w:t>Om en medlemsstat har för avsikt att inleda förhandlingar med ett tredjeland i syfte att ändra, förlänga, anpassa, förnya eller ingå ett avtal med ett tredjeland om driften av en överföringsledning, och det gäller frågor som helt eller delvis omfattas av detta direktivs tillämpningsområde, ska den anmäla detta skriftligen till kommissionen, utan att det påverkar fördelningen av befogenheter mellan unionen och medlemsstaterna.</w:t>
      </w:r>
    </w:p>
    <w:p w:rsidR="005D31C1" w:rsidRDefault="005D31C1" w:rsidP="00A747FC">
      <w:pPr>
        <w:widowControl/>
        <w:spacing w:after="240" w:line="360" w:lineRule="auto"/>
        <w:ind w:left="1134"/>
        <w:rPr>
          <w:szCs w:val="24"/>
        </w:rPr>
      </w:pPr>
      <w:r>
        <w:br w:type="page"/>
        <w:t>En sådan</w:t>
      </w:r>
      <w:r>
        <w:rPr>
          <w:b/>
          <w:i/>
          <w:color w:val="000000"/>
        </w:rPr>
        <w:t xml:space="preserve"> anmälan ska inbegripa relevant dokumentation och uppgift om vilka bestämmelser som ska tas upp vid förhandlingarna eller omförhandlas, syftet med förhandlingarna samt all annan relevant information, och den ska översändas till kommissionen senast fem månader före det planerade inledandet av förhandlingarna.</w:t>
      </w:r>
    </w:p>
    <w:p w:rsidR="005D31C1" w:rsidRDefault="005D31C1" w:rsidP="00A747FC">
      <w:pPr>
        <w:widowControl/>
        <w:spacing w:after="240" w:line="360" w:lineRule="auto"/>
        <w:ind w:left="1134" w:hanging="567"/>
        <w:rPr>
          <w:szCs w:val="24"/>
        </w:rPr>
      </w:pPr>
      <w:r>
        <w:rPr>
          <w:b/>
          <w:i/>
          <w:color w:val="000000"/>
        </w:rPr>
        <w:t>3.</w:t>
      </w:r>
      <w:r>
        <w:tab/>
      </w:r>
      <w:r>
        <w:rPr>
          <w:b/>
          <w:i/>
          <w:color w:val="000000"/>
        </w:rPr>
        <w:t>Efter det att kommissionen har fått den anmälan som avses i punkt 2 ska den bemyndiga den berörda medlemsstaten att inleda formella förhandlingar med ett tredjeland avseende den del som kan påverka unionens gemensamma regler såvida den inte anser att inledande av sådana förhandlingar skulle</w:t>
      </w:r>
    </w:p>
    <w:p w:rsidR="005D31C1" w:rsidRDefault="005D31C1" w:rsidP="00A747FC">
      <w:pPr>
        <w:widowControl/>
        <w:spacing w:after="240" w:line="360" w:lineRule="auto"/>
        <w:ind w:left="1701" w:hanging="567"/>
        <w:rPr>
          <w:szCs w:val="24"/>
        </w:rPr>
      </w:pPr>
      <w:r>
        <w:rPr>
          <w:b/>
          <w:i/>
          <w:color w:val="000000"/>
        </w:rPr>
        <w:t>a)</w:t>
      </w:r>
      <w:r>
        <w:tab/>
      </w:r>
      <w:r>
        <w:rPr>
          <w:b/>
          <w:i/>
          <w:color w:val="000000"/>
        </w:rPr>
        <w:t>vara oförenliga med unionsrätten av andra skäl än fördelningen av befogenheter mellan unionen och medlemsstaterna,</w:t>
      </w:r>
    </w:p>
    <w:p w:rsidR="005D31C1" w:rsidRDefault="005D31C1" w:rsidP="00A747FC">
      <w:pPr>
        <w:widowControl/>
        <w:spacing w:after="240" w:line="360" w:lineRule="auto"/>
        <w:ind w:left="1701" w:hanging="567"/>
        <w:rPr>
          <w:szCs w:val="24"/>
        </w:rPr>
      </w:pPr>
      <w:r>
        <w:rPr>
          <w:b/>
          <w:i/>
          <w:color w:val="000000"/>
        </w:rPr>
        <w:t>b)</w:t>
      </w:r>
      <w:r>
        <w:rPr>
          <w:b/>
          <w:i/>
          <w:color w:val="000000"/>
        </w:rPr>
        <w:tab/>
        <w:t>skada den inre naturgasmarknadens funktion, konkurrensen eller försörjningstryggheten i en medlemsstat eller unionen,</w:t>
      </w:r>
    </w:p>
    <w:p w:rsidR="005D31C1" w:rsidRDefault="005D31C1" w:rsidP="00A747FC">
      <w:pPr>
        <w:widowControl/>
        <w:spacing w:after="240" w:line="360" w:lineRule="auto"/>
        <w:ind w:left="1701" w:hanging="567"/>
        <w:rPr>
          <w:szCs w:val="24"/>
        </w:rPr>
      </w:pPr>
      <w:r>
        <w:rPr>
          <w:b/>
          <w:i/>
          <w:color w:val="000000"/>
        </w:rPr>
        <w:t>c)</w:t>
      </w:r>
      <w:r>
        <w:tab/>
      </w:r>
      <w:r>
        <w:rPr>
          <w:b/>
          <w:i/>
          <w:color w:val="000000"/>
        </w:rPr>
        <w:t>undergräva målen för unionens pågående förhandlingar om mellanstatliga avtal med ett tredjeland,</w:t>
      </w:r>
    </w:p>
    <w:p w:rsidR="005D31C1" w:rsidRDefault="005D31C1" w:rsidP="00A747FC">
      <w:pPr>
        <w:widowControl/>
        <w:spacing w:after="240" w:line="360" w:lineRule="auto"/>
        <w:ind w:left="1701" w:hanging="567"/>
        <w:rPr>
          <w:szCs w:val="24"/>
        </w:rPr>
      </w:pPr>
      <w:r>
        <w:rPr>
          <w:b/>
          <w:i/>
          <w:color w:val="000000"/>
        </w:rPr>
        <w:t>d)</w:t>
      </w:r>
      <w:r>
        <w:tab/>
      </w:r>
      <w:r>
        <w:rPr>
          <w:b/>
          <w:i/>
          <w:color w:val="000000"/>
        </w:rPr>
        <w:t>vara diskriminerade.</w:t>
      </w:r>
    </w:p>
    <w:p w:rsidR="005D31C1" w:rsidRDefault="005D31C1" w:rsidP="00A747FC">
      <w:pPr>
        <w:widowControl/>
        <w:spacing w:after="240" w:line="360" w:lineRule="auto"/>
        <w:ind w:left="1134" w:hanging="567"/>
        <w:rPr>
          <w:rStyle w:val="Emphasis"/>
          <w:i w:val="0"/>
        </w:rPr>
      </w:pPr>
      <w:r>
        <w:br w:type="page"/>
      </w:r>
      <w:r>
        <w:rPr>
          <w:b/>
          <w:i/>
          <w:color w:val="000000"/>
        </w:rPr>
        <w:t>4.</w:t>
      </w:r>
      <w:r>
        <w:tab/>
      </w:r>
      <w:r>
        <w:rPr>
          <w:b/>
          <w:i/>
          <w:color w:val="000000"/>
        </w:rPr>
        <w:t>Vid genomförandet av bedömningen enligt punkt 3 ska kommissionen ta hänsyn till huruvida det planerade avtalet gäller en överföringsledning eller en rörledning i tidigare led som bidrar till diversifiering av naturgasförsörjning och leverantörer genom nya naturgaskällor.</w:t>
      </w:r>
    </w:p>
    <w:p w:rsidR="005D31C1" w:rsidRDefault="005D31C1" w:rsidP="00A747FC">
      <w:pPr>
        <w:widowControl/>
        <w:spacing w:after="240" w:line="360" w:lineRule="auto"/>
        <w:ind w:left="1134" w:hanging="567"/>
      </w:pPr>
      <w:r>
        <w:rPr>
          <w:b/>
          <w:i/>
          <w:color w:val="000000"/>
        </w:rPr>
        <w:t>5.</w:t>
      </w:r>
      <w:r>
        <w:tab/>
        <w:t>I</w:t>
      </w:r>
      <w:r>
        <w:rPr>
          <w:b/>
          <w:i/>
          <w:color w:val="000000"/>
        </w:rPr>
        <w:t>nom 90 dagar från mottagandet av den anmälan som avses i punkt 2 ska kommissionen anta ett beslut om att bemyndiga eller att vägra att bemyndiga en medlemsstat att inleda förhandlingar i syfte att ändra, förlänga, anpassa, förnya eller ingå ett avtal med ett tredjeland. Om ytterligare information krävs för att anta ett beslut ska perioden på 90 dagar börja löpa från den dag den ytterligare informationen mottogs.</w:t>
      </w:r>
    </w:p>
    <w:p w:rsidR="005D31C1" w:rsidRDefault="005D31C1" w:rsidP="00A747FC">
      <w:pPr>
        <w:widowControl/>
        <w:spacing w:after="240" w:line="360" w:lineRule="auto"/>
        <w:ind w:left="1134" w:hanging="567"/>
        <w:rPr>
          <w:szCs w:val="24"/>
        </w:rPr>
      </w:pPr>
      <w:r>
        <w:rPr>
          <w:b/>
          <w:i/>
          <w:color w:val="000000"/>
        </w:rPr>
        <w:t>6.</w:t>
      </w:r>
      <w:r>
        <w:tab/>
      </w:r>
      <w:r>
        <w:rPr>
          <w:b/>
          <w:i/>
          <w:color w:val="000000"/>
        </w:rPr>
        <w:t>Om kommissionen inte antar ett beslut om att vägra att bemyndiga en medlemsstat att inleda förhandlingar i syfte att ändra, förlänga, anpassa, förnya eller ingå ett avtal med ett tredjeland, ska den informera den berörda medlemsstaten om detta och ange skälen för detta.</w:t>
      </w:r>
    </w:p>
    <w:p w:rsidR="005D31C1" w:rsidRPr="005D31C1" w:rsidRDefault="005D31C1" w:rsidP="00A747FC">
      <w:pPr>
        <w:widowControl/>
        <w:spacing w:after="240" w:line="360" w:lineRule="auto"/>
        <w:ind w:left="1134" w:hanging="567"/>
        <w:rPr>
          <w:b/>
          <w:i/>
          <w:color w:val="000000"/>
          <w:szCs w:val="22"/>
        </w:rPr>
      </w:pPr>
      <w:r>
        <w:rPr>
          <w:b/>
          <w:i/>
          <w:color w:val="000000"/>
        </w:rPr>
        <w:t>7.</w:t>
      </w:r>
      <w:r>
        <w:tab/>
      </w:r>
      <w:r>
        <w:rPr>
          <w:b/>
          <w:i/>
          <w:color w:val="000000"/>
        </w:rPr>
        <w:t>Beslut om att bemyndiga eller vägra att bemyndiga en medlemsstat att inleda förhandlingar i syfte att ändra, förlänga, anpassa, förnya eller ingå ett avtal med ett tredjeland ska , antas genom genomförandeakter, i enlighet med förfarandet i artikel 51.2.</w:t>
      </w:r>
    </w:p>
    <w:p w:rsidR="005D31C1" w:rsidRDefault="005D31C1" w:rsidP="00A747FC">
      <w:pPr>
        <w:widowControl/>
        <w:spacing w:after="240" w:line="360" w:lineRule="auto"/>
        <w:ind w:left="1134" w:hanging="567"/>
      </w:pPr>
      <w:r>
        <w:br w:type="page"/>
      </w:r>
      <w:r>
        <w:rPr>
          <w:b/>
          <w:i/>
          <w:color w:val="000000"/>
        </w:rPr>
        <w:t>8.</w:t>
      </w:r>
      <w:r>
        <w:tab/>
      </w:r>
      <w:r>
        <w:rPr>
          <w:b/>
          <w:i/>
          <w:color w:val="000000"/>
        </w:rPr>
        <w:t>Kommissionen får ge vägledning och begära att specifika klausuler införs i det planerade avtalet i syfte att säkerställa förenlighet med unionsrätten i enlighet med Europaparlamentets och rådets beslut (EU) 2017/684*.</w:t>
      </w:r>
    </w:p>
    <w:p w:rsidR="005D31C1" w:rsidRDefault="005D31C1" w:rsidP="00A747FC">
      <w:pPr>
        <w:widowControl/>
        <w:spacing w:after="240" w:line="360" w:lineRule="auto"/>
        <w:ind w:left="1134" w:hanging="567"/>
        <w:rPr>
          <w:szCs w:val="24"/>
        </w:rPr>
      </w:pPr>
      <w:r>
        <w:rPr>
          <w:b/>
          <w:i/>
          <w:color w:val="000000"/>
        </w:rPr>
        <w:t>9.</w:t>
      </w:r>
      <w:r>
        <w:tab/>
      </w:r>
      <w:r>
        <w:rPr>
          <w:b/>
          <w:i/>
          <w:color w:val="000000"/>
        </w:rPr>
        <w:t>Kommissionen ska hållas informerad om framstegen i och resultaten av förhandlingarna om att ändra, förlänga, anpassa, förnya eller ingå ett avtal under de olika faserna och får begära att få delta i sådana förhandlingar mellan medlemsstaten och tredjelandet i enlighet med beslut (EU) 2017/684.</w:t>
      </w:r>
    </w:p>
    <w:p w:rsidR="005D31C1" w:rsidRDefault="005D31C1" w:rsidP="00A747FC">
      <w:pPr>
        <w:widowControl/>
        <w:spacing w:after="240" w:line="360" w:lineRule="auto"/>
        <w:ind w:left="1134" w:hanging="567"/>
        <w:rPr>
          <w:szCs w:val="24"/>
        </w:rPr>
      </w:pPr>
      <w:r>
        <w:rPr>
          <w:b/>
          <w:i/>
          <w:color w:val="000000"/>
        </w:rPr>
        <w:t>10.</w:t>
      </w:r>
      <w:r>
        <w:tab/>
      </w:r>
      <w:r>
        <w:rPr>
          <w:b/>
          <w:i/>
          <w:color w:val="000000"/>
        </w:rPr>
        <w:t>Kommissionen ska underrätta Europaparlamentet och rådet om de beslut som antas enligt punkt 5.</w:t>
      </w:r>
    </w:p>
    <w:p w:rsidR="005D31C1" w:rsidRDefault="005D31C1" w:rsidP="00A747FC">
      <w:pPr>
        <w:widowControl/>
        <w:spacing w:after="240" w:line="360" w:lineRule="auto"/>
        <w:ind w:left="1134" w:hanging="567"/>
        <w:rPr>
          <w:sz w:val="22"/>
          <w:szCs w:val="22"/>
        </w:rPr>
      </w:pPr>
      <w:r>
        <w:rPr>
          <w:b/>
          <w:i/>
          <w:color w:val="000000"/>
        </w:rPr>
        <w:t>11.</w:t>
      </w:r>
      <w:r>
        <w:tab/>
      </w:r>
      <w:r>
        <w:rPr>
          <w:b/>
          <w:i/>
          <w:color w:val="000000"/>
        </w:rPr>
        <w:t>Innan ett avtal med ett tredjeland undertecknas ska den berörda medlemsstaten till kommissionen anmäla utgången av förhandlingarna och översända texten till det förhandlade avtalet till kommissionen.</w:t>
      </w:r>
    </w:p>
    <w:p w:rsidR="005D31C1" w:rsidRDefault="005D31C1" w:rsidP="00A747FC">
      <w:pPr>
        <w:widowControl/>
        <w:spacing w:after="240" w:line="360" w:lineRule="auto"/>
        <w:ind w:left="1134" w:hanging="567"/>
        <w:rPr>
          <w:sz w:val="22"/>
        </w:rPr>
      </w:pPr>
      <w:r>
        <w:br w:type="page"/>
      </w:r>
      <w:r>
        <w:rPr>
          <w:b/>
          <w:i/>
          <w:color w:val="000000"/>
        </w:rPr>
        <w:t>12.</w:t>
      </w:r>
      <w:r>
        <w:tab/>
      </w:r>
      <w:r>
        <w:rPr>
          <w:b/>
          <w:i/>
          <w:color w:val="000000"/>
        </w:rPr>
        <w:t>När kommissionen har mottagit anmälan enligt punkt 11 ska den bedöma det framförhandlade avtalet enligt punkt 3. Om kommissionen finner att förhandlingarna har resulterat i ett avtal som är förenligt med punkt 3 ska den bemyndiga medlemsstaten att underteckna och ingå avtalet.</w:t>
      </w:r>
    </w:p>
    <w:p w:rsidR="005D31C1" w:rsidRDefault="005D31C1" w:rsidP="00A747FC">
      <w:pPr>
        <w:widowControl/>
        <w:spacing w:after="240" w:line="360" w:lineRule="auto"/>
        <w:ind w:left="1134" w:hanging="567"/>
        <w:rPr>
          <w:sz w:val="22"/>
        </w:rPr>
      </w:pPr>
      <w:r>
        <w:rPr>
          <w:b/>
          <w:i/>
          <w:color w:val="000000"/>
        </w:rPr>
        <w:t>13.</w:t>
      </w:r>
      <w:r>
        <w:tab/>
      </w:r>
      <w:r>
        <w:rPr>
          <w:b/>
          <w:i/>
          <w:color w:val="000000"/>
        </w:rPr>
        <w:t>Inom 90 dagar efter det att den anmälan som avses i punkt 11 har mottagits, ska kommissionen anta ett beslut om att bemyndiga eller om att vägra att bemyndiga en medlemsstat att underteckna och ingå ett avtal med ett tredjeland. Om ytterligare information krävs för att anta ett beslut ska perioden på 90 dagar börja löpa från den dag den ytterligare informationen mottogs.</w:t>
      </w:r>
    </w:p>
    <w:p w:rsidR="005D31C1" w:rsidRDefault="005D31C1" w:rsidP="00A747FC">
      <w:pPr>
        <w:widowControl/>
        <w:spacing w:after="240" w:line="360" w:lineRule="auto"/>
        <w:ind w:left="1134" w:hanging="567"/>
        <w:rPr>
          <w:sz w:val="22"/>
        </w:rPr>
      </w:pPr>
      <w:r>
        <w:rPr>
          <w:b/>
          <w:i/>
          <w:color w:val="000000"/>
        </w:rPr>
        <w:t>14.</w:t>
      </w:r>
      <w:r>
        <w:tab/>
      </w:r>
      <w:r>
        <w:rPr>
          <w:b/>
          <w:i/>
          <w:color w:val="000000"/>
        </w:rPr>
        <w:t>Om kommissionen antar ett beslut enligt punkt 13 om att bemyndiga en medlemsstat att underteckna och ingå avtalet med tredjeland, ska den berörda medlemsstaten till kommissionen anmäla ingåendet och ikraftträdandet av avtalet samt senare ändringar av det avtalets status.</w:t>
      </w:r>
    </w:p>
    <w:p w:rsidR="005D31C1" w:rsidRPr="005D31C1" w:rsidRDefault="005D31C1" w:rsidP="00A747FC">
      <w:pPr>
        <w:widowControl/>
        <w:spacing w:after="240" w:line="360" w:lineRule="auto"/>
        <w:ind w:left="1134" w:hanging="567"/>
      </w:pPr>
      <w:r>
        <w:br w:type="page"/>
      </w:r>
      <w:r>
        <w:rPr>
          <w:b/>
          <w:i/>
          <w:color w:val="000000"/>
        </w:rPr>
        <w:t>15.</w:t>
      </w:r>
      <w:r>
        <w:tab/>
      </w:r>
      <w:r>
        <w:rPr>
          <w:b/>
          <w:i/>
          <w:color w:val="000000"/>
        </w:rPr>
        <w:t>Om kommissionen inte antar ett beslut i enlighet med punkt 13 om att vägra att bemyndiga en medlemsstat att underteckna och ingå avtalet med tredjeland, ska den informera den berörda medlemsstaten om detta och ange skälen för detta.</w:t>
      </w:r>
    </w:p>
    <w:p w:rsidR="005D31C1" w:rsidRDefault="005D31C1" w:rsidP="00A747FC">
      <w:pPr>
        <w:pStyle w:val="Text2"/>
        <w:spacing w:before="0" w:after="240"/>
        <w:ind w:hanging="567"/>
      </w:pPr>
      <w:r>
        <w:rPr>
          <w:b/>
          <w:i/>
          <w:color w:val="000000"/>
        </w:rPr>
        <w:t>________________</w:t>
      </w:r>
    </w:p>
    <w:p w:rsidR="005D31C1" w:rsidRDefault="005D31C1" w:rsidP="00A747FC">
      <w:pPr>
        <w:pStyle w:val="Text2"/>
        <w:spacing w:before="0" w:after="240"/>
        <w:ind w:hanging="567"/>
        <w:rPr>
          <w:b/>
          <w:i/>
          <w:color w:val="000000"/>
        </w:rPr>
      </w:pPr>
      <w:r>
        <w:rPr>
          <w:b/>
          <w:i/>
          <w:color w:val="000000"/>
        </w:rPr>
        <w:t>*</w:t>
      </w:r>
      <w:r>
        <w:rPr>
          <w:b/>
          <w:i/>
          <w:color w:val="000000"/>
        </w:rPr>
        <w:tab/>
        <w:t>Europaparlamentets och rådets beslut (EU) 2017/684 av den 5 april 2017 om inrättandet av en mekanism för informationsutbyte om mellanstatliga avtal och icke-bindande instrument mellan medlemsstaterna och tredjeländer på energiområdet och om upphävande av beslut nr 994/2012/EU (EUT L 99, 12.4.2017, s. 1).”</w:t>
      </w:r>
    </w:p>
    <w:p w:rsidR="005D31C1" w:rsidRDefault="005D31C1" w:rsidP="00A747FC">
      <w:pPr>
        <w:pStyle w:val="NormalCentered"/>
        <w:widowControl/>
        <w:tabs>
          <w:tab w:val="left" w:pos="567"/>
        </w:tabs>
        <w:spacing w:before="0" w:after="240"/>
        <w:ind w:left="567" w:hanging="567"/>
        <w:rPr>
          <w:b/>
          <w:bCs/>
          <w:i/>
          <w:iCs/>
        </w:rPr>
      </w:pPr>
      <w:r>
        <w:br w:type="page"/>
        <w:t>Artikel 2</w:t>
      </w:r>
      <w:r>
        <w:br/>
      </w:r>
      <w:r>
        <w:rPr>
          <w:b/>
          <w:bCs/>
          <w:i/>
          <w:iCs/>
        </w:rPr>
        <w:t>Införlivande</w:t>
      </w:r>
    </w:p>
    <w:p w:rsidR="005D31C1" w:rsidRDefault="005D31C1" w:rsidP="00A747FC">
      <w:pPr>
        <w:widowControl/>
        <w:tabs>
          <w:tab w:val="left" w:pos="567"/>
        </w:tabs>
        <w:spacing w:after="240" w:line="360" w:lineRule="auto"/>
        <w:ind w:left="567" w:hanging="567"/>
      </w:pPr>
      <w:r>
        <w:t>1.</w:t>
      </w:r>
      <w:r>
        <w:tab/>
        <w:t>Medlemsstaterna ska sätta i kraft de lagar och andra författningar som är nödvändiga för att följa detta direktiv senast den … [</w:t>
      </w:r>
      <w:r>
        <w:rPr>
          <w:b/>
          <w:i/>
          <w:color w:val="000000"/>
        </w:rPr>
        <w:t>9 månader</w:t>
      </w:r>
      <w:r>
        <w:t xml:space="preserve"> efter dagen för detta ändringsdirektivs ikraftträdande]</w:t>
      </w:r>
      <w:r>
        <w:rPr>
          <w:b/>
          <w:i/>
          <w:color w:val="000000"/>
        </w:rPr>
        <w:t>, detta ska inte påverka eventuella undantag i enlighet med artikel 49a i direktiv 2009/73/EG</w:t>
      </w:r>
      <w:r>
        <w:t>. De ska genast överlämna texten till dessa bestämmelser till kommissionen.</w:t>
      </w:r>
    </w:p>
    <w:p w:rsidR="005D31C1" w:rsidRDefault="005D31C1" w:rsidP="00A747FC">
      <w:pPr>
        <w:widowControl/>
        <w:tabs>
          <w:tab w:val="left" w:pos="567"/>
        </w:tabs>
        <w:spacing w:after="240" w:line="360" w:lineRule="auto"/>
        <w:ind w:left="567"/>
      </w:pPr>
      <w:r>
        <w:t>När en medlemsstat antar dessa bestämmelser ska de innehålla en hänvisning till detta direktiv eller åtföljas av en sådan hänvisning när de offentliggörs. Närmare föreskrifter om hur hänvisningen ska göras ska varje medlemsstat själv utfärda.</w:t>
      </w:r>
    </w:p>
    <w:p w:rsidR="005D31C1" w:rsidRDefault="005D31C1" w:rsidP="00A747FC">
      <w:pPr>
        <w:widowControl/>
        <w:tabs>
          <w:tab w:val="left" w:pos="567"/>
        </w:tabs>
        <w:spacing w:after="240" w:line="360" w:lineRule="auto"/>
        <w:ind w:left="567"/>
      </w:pPr>
      <w:r>
        <w:rPr>
          <w:b/>
          <w:i/>
          <w:color w:val="000000"/>
        </w:rPr>
        <w:t>Genom undantag från första stycket ska kustlösa medlemsstater som varken har geografiska gränser eller en överföringsledning till ett tredjeland inte vara skyldiga att sätta i kraft de åtgärder som är nödvändiga för att följa detta direktiv.</w:t>
      </w:r>
    </w:p>
    <w:p w:rsidR="005D31C1" w:rsidRDefault="005D31C1" w:rsidP="00A747FC">
      <w:pPr>
        <w:widowControl/>
        <w:tabs>
          <w:tab w:val="left" w:pos="567"/>
        </w:tabs>
        <w:spacing w:after="240" w:line="360" w:lineRule="auto"/>
        <w:ind w:left="567"/>
      </w:pPr>
      <w:r>
        <w:br w:type="page"/>
      </w:r>
      <w:r>
        <w:rPr>
          <w:b/>
          <w:i/>
          <w:color w:val="000000"/>
        </w:rPr>
        <w:t>Genom undantag från första stycket ska Cypern och Malta på grund av sitt geografiska läge inte vara skyldiga att sätta i kraft de åtgärder som är nödvändiga för att följa detta direktiv så länge dessa stater inte har någon infrastruktur, inbegripet rörledningsnät i tidigare led, som kopplar samman dem med tredjeländer.</w:t>
      </w:r>
    </w:p>
    <w:p w:rsidR="005D31C1" w:rsidRDefault="005D31C1" w:rsidP="00A747FC">
      <w:pPr>
        <w:widowControl/>
        <w:spacing w:after="240" w:line="360" w:lineRule="auto"/>
        <w:ind w:left="567" w:hanging="567"/>
      </w:pPr>
      <w:r>
        <w:t>2.</w:t>
      </w:r>
      <w:r>
        <w:tab/>
        <w:t>Medlemsstaterna ska till kommissionen överlämna texten till de centrala bestämmelser i nationell rätt som de antar inom det område som omfattas av detta direktiv.</w:t>
      </w:r>
    </w:p>
    <w:p w:rsidR="005D31C1" w:rsidRDefault="005D31C1" w:rsidP="00A747FC">
      <w:pPr>
        <w:pStyle w:val="NormalCentered"/>
        <w:spacing w:before="0" w:after="240"/>
        <w:rPr>
          <w:b/>
          <w:bCs/>
          <w:i/>
          <w:iCs/>
        </w:rPr>
      </w:pPr>
      <w:r>
        <w:t>Artikel 3</w:t>
      </w:r>
      <w:r>
        <w:br/>
      </w:r>
      <w:r>
        <w:rPr>
          <w:b/>
          <w:bCs/>
          <w:i/>
          <w:iCs/>
        </w:rPr>
        <w:t>Ikraftträdande</w:t>
      </w:r>
    </w:p>
    <w:p w:rsidR="005D31C1" w:rsidRDefault="005D31C1" w:rsidP="00A747FC">
      <w:pPr>
        <w:widowControl/>
        <w:spacing w:after="240" w:line="360" w:lineRule="auto"/>
      </w:pPr>
      <w:r>
        <w:t xml:space="preserve">Detta direktiv träder i kraft den tjugonde dagen efter det att det har offentliggjorts i </w:t>
      </w:r>
      <w:r>
        <w:rPr>
          <w:i/>
          <w:iCs/>
        </w:rPr>
        <w:t>Europeiska unionens officiella tidning</w:t>
      </w:r>
      <w:r>
        <w:t>.</w:t>
      </w:r>
    </w:p>
    <w:p w:rsidR="005D31C1" w:rsidRDefault="005D31C1" w:rsidP="00A747FC">
      <w:pPr>
        <w:pStyle w:val="NormalCentered"/>
        <w:spacing w:before="0" w:after="240"/>
        <w:rPr>
          <w:b/>
          <w:bCs/>
          <w:i/>
          <w:iCs/>
        </w:rPr>
      </w:pPr>
      <w:r>
        <w:t>Artikel 4</w:t>
      </w:r>
      <w:r>
        <w:br/>
      </w:r>
      <w:r>
        <w:rPr>
          <w:b/>
          <w:bCs/>
          <w:i/>
          <w:iCs/>
        </w:rPr>
        <w:t>Adressater</w:t>
      </w:r>
    </w:p>
    <w:p w:rsidR="005D31C1" w:rsidRDefault="005D31C1" w:rsidP="00A747FC">
      <w:pPr>
        <w:spacing w:after="240" w:line="360" w:lineRule="auto"/>
      </w:pPr>
      <w:r>
        <w:t>Detta direktiv riktar sig till medlemsstaterna.</w:t>
      </w:r>
    </w:p>
    <w:p w:rsidR="005D31C1" w:rsidRDefault="005D31C1" w:rsidP="00A747FC">
      <w:pPr>
        <w:pStyle w:val="Fait"/>
        <w:keepNext w:val="0"/>
        <w:spacing w:before="0" w:after="240" w:line="360" w:lineRule="auto"/>
      </w:pPr>
      <w:r>
        <w:t>Utfärdat i</w:t>
      </w:r>
    </w:p>
    <w:p w:rsidR="005D31C1" w:rsidRDefault="005D31C1" w:rsidP="00A747FC">
      <w:pPr>
        <w:pStyle w:val="Institutionquisigne"/>
        <w:keepNext w:val="0"/>
        <w:tabs>
          <w:tab w:val="clear" w:pos="4252"/>
          <w:tab w:val="left" w:pos="5103"/>
        </w:tabs>
        <w:spacing w:before="0" w:after="240" w:line="360" w:lineRule="auto"/>
        <w:rPr>
          <w:iCs/>
        </w:rPr>
      </w:pPr>
      <w:r>
        <w:t>På Europaparlamentets vägnar</w:t>
      </w:r>
      <w:r>
        <w:tab/>
        <w:t>På rådets vägnar</w:t>
      </w:r>
    </w:p>
    <w:p w:rsidR="005D31C1" w:rsidRDefault="005D31C1" w:rsidP="00A747FC">
      <w:pPr>
        <w:pStyle w:val="Personnequisigne"/>
        <w:tabs>
          <w:tab w:val="clear" w:pos="4252"/>
          <w:tab w:val="left" w:pos="5103"/>
        </w:tabs>
        <w:spacing w:after="240" w:line="360" w:lineRule="auto"/>
        <w:rPr>
          <w:iCs/>
        </w:rPr>
      </w:pPr>
      <w:r>
        <w:t>Ordförande</w:t>
      </w:r>
      <w:r>
        <w:tab/>
        <w:t>Ordförande</w:t>
      </w:r>
    </w:p>
    <w:p w:rsidR="005D31C1" w:rsidRDefault="005D31C1" w:rsidP="00A747FC">
      <w:pPr>
        <w:pStyle w:val="Typedudocument"/>
        <w:widowControl/>
        <w:spacing w:before="0" w:after="240" w:line="360" w:lineRule="auto"/>
        <w:jc w:val="left"/>
        <w:rPr>
          <w:iCs/>
        </w:rPr>
      </w:pPr>
    </w:p>
    <w:p w:rsidR="006C0168" w:rsidRPr="006D3A9F" w:rsidRDefault="006C0168" w:rsidP="00A747FC">
      <w:pPr>
        <w:pStyle w:val="Normal12Centre"/>
        <w:spacing w:line="360" w:lineRule="auto"/>
        <w:rPr>
          <w:noProof w:val="0"/>
        </w:rPr>
      </w:pPr>
    </w:p>
    <w:p w:rsidR="00AE46A3" w:rsidRPr="006D3A9F" w:rsidRDefault="00AE46A3" w:rsidP="00AE46A3">
      <w:pPr>
        <w:pStyle w:val="Olang"/>
      </w:pPr>
      <w:r w:rsidRPr="006D3A9F">
        <w:t xml:space="preserve">Or. </w:t>
      </w:r>
      <w:r w:rsidRPr="006D3A9F">
        <w:rPr>
          <w:rStyle w:val="HideTWBExt"/>
          <w:noProof w:val="0"/>
        </w:rPr>
        <w:t>&lt;Original&gt;</w:t>
      </w:r>
      <w:r w:rsidR="005D31C1" w:rsidRPr="005D31C1">
        <w:rPr>
          <w:rStyle w:val="HideTWBInt"/>
        </w:rPr>
        <w:t>{EN}</w:t>
      </w:r>
      <w:r w:rsidR="005D31C1">
        <w:t>en</w:t>
      </w:r>
      <w:r w:rsidRPr="006D3A9F">
        <w:rPr>
          <w:rStyle w:val="HideTWBExt"/>
          <w:noProof w:val="0"/>
        </w:rPr>
        <w:t>&lt;/Original&gt;</w:t>
      </w:r>
    </w:p>
    <w:p w:rsidR="0004541F" w:rsidRPr="006D3A9F" w:rsidRDefault="0004541F">
      <w:r w:rsidRPr="006D3A9F">
        <w:rPr>
          <w:rStyle w:val="HideTWBExt"/>
          <w:noProof w:val="0"/>
        </w:rPr>
        <w:t>&lt;/Amend&gt;</w:t>
      </w:r>
    </w:p>
    <w:sectPr w:rsidR="0004541F" w:rsidRPr="006D3A9F" w:rsidSect="00907D6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9F" w:rsidRPr="006D3A9F" w:rsidRDefault="006D3A9F">
      <w:r w:rsidRPr="006D3A9F">
        <w:separator/>
      </w:r>
    </w:p>
  </w:endnote>
  <w:endnote w:type="continuationSeparator" w:id="0">
    <w:p w:rsidR="006D3A9F" w:rsidRPr="006D3A9F" w:rsidRDefault="006D3A9F">
      <w:r w:rsidRPr="006D3A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D" w:rsidRDefault="007C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6D3A9F" w:rsidRDefault="00B92ABC">
    <w:pPr>
      <w:pStyle w:val="Footer"/>
    </w:pPr>
    <w:r w:rsidRPr="006D3A9F">
      <w:rPr>
        <w:rStyle w:val="HideTWBExt"/>
        <w:noProof w:val="0"/>
      </w:rPr>
      <w:t>&lt;PathFdR&gt;</w:t>
    </w:r>
    <w:r w:rsidR="005D31C1" w:rsidRPr="005D31C1">
      <w:t>AM\1181375SV.docx</w:t>
    </w:r>
    <w:r w:rsidRPr="006D3A9F">
      <w:rPr>
        <w:rStyle w:val="HideTWBExt"/>
        <w:noProof w:val="0"/>
      </w:rPr>
      <w:t>&lt;/PathFdR&gt;</w:t>
    </w:r>
    <w:r w:rsidRPr="006D3A9F">
      <w:tab/>
    </w:r>
    <w:r w:rsidRPr="006D3A9F">
      <w:rPr>
        <w:rStyle w:val="PageNumber"/>
      </w:rPr>
      <w:fldChar w:fldCharType="begin"/>
    </w:r>
    <w:r w:rsidRPr="006D3A9F">
      <w:rPr>
        <w:rStyle w:val="PageNumber"/>
      </w:rPr>
      <w:instrText xml:space="preserve"> PAGE </w:instrText>
    </w:r>
    <w:r w:rsidRPr="006D3A9F">
      <w:rPr>
        <w:rStyle w:val="PageNumber"/>
      </w:rPr>
      <w:fldChar w:fldCharType="separate"/>
    </w:r>
    <w:r w:rsidR="007C36DD">
      <w:rPr>
        <w:rStyle w:val="PageNumber"/>
        <w:noProof/>
      </w:rPr>
      <w:t>10</w:t>
    </w:r>
    <w:r w:rsidRPr="006D3A9F">
      <w:rPr>
        <w:rStyle w:val="PageNumber"/>
      </w:rPr>
      <w:fldChar w:fldCharType="end"/>
    </w:r>
    <w:r w:rsidRPr="006D3A9F">
      <w:rPr>
        <w:rStyle w:val="PageNumber"/>
      </w:rPr>
      <w:t>/</w:t>
    </w:r>
    <w:r w:rsidRPr="006D3A9F">
      <w:rPr>
        <w:rStyle w:val="PageNumber"/>
      </w:rPr>
      <w:fldChar w:fldCharType="begin"/>
    </w:r>
    <w:r w:rsidRPr="006D3A9F">
      <w:rPr>
        <w:rStyle w:val="PageNumber"/>
      </w:rPr>
      <w:instrText xml:space="preserve"> NUMPAGES </w:instrText>
    </w:r>
    <w:r w:rsidRPr="006D3A9F">
      <w:rPr>
        <w:rStyle w:val="PageNumber"/>
      </w:rPr>
      <w:fldChar w:fldCharType="separate"/>
    </w:r>
    <w:r w:rsidR="007C36DD">
      <w:rPr>
        <w:rStyle w:val="PageNumber"/>
        <w:noProof/>
      </w:rPr>
      <w:t>27</w:t>
    </w:r>
    <w:r w:rsidRPr="006D3A9F">
      <w:rPr>
        <w:rStyle w:val="PageNumber"/>
      </w:rPr>
      <w:fldChar w:fldCharType="end"/>
    </w:r>
    <w:r w:rsidRPr="006D3A9F">
      <w:tab/>
      <w:t>PE</w:t>
    </w:r>
    <w:r w:rsidRPr="006D3A9F">
      <w:rPr>
        <w:rStyle w:val="HideTWBExt"/>
        <w:noProof w:val="0"/>
      </w:rPr>
      <w:t>&lt;NoPE&gt;</w:t>
    </w:r>
    <w:r w:rsidR="005D31C1">
      <w:t>637.674</w:t>
    </w:r>
    <w:r w:rsidRPr="006D3A9F">
      <w:rPr>
        <w:rStyle w:val="HideTWBExt"/>
        <w:noProof w:val="0"/>
      </w:rPr>
      <w:t>&lt;/NoPE&gt;&lt;Version&gt;</w:t>
    </w:r>
    <w:r w:rsidR="006D3A9F" w:rsidRPr="006D3A9F">
      <w:t>v</w:t>
    </w:r>
    <w:r w:rsidR="005D31C1">
      <w:t>01-00</w:t>
    </w:r>
    <w:r w:rsidRPr="006D3A9F">
      <w:rPr>
        <w:rStyle w:val="HideTWBExt"/>
        <w:noProof w:val="0"/>
      </w:rPr>
      <w:t>&lt;/Version&gt;</w:t>
    </w:r>
  </w:p>
  <w:p w:rsidR="00B92ABC" w:rsidRPr="006D3A9F" w:rsidRDefault="00875510" w:rsidP="00FB235E">
    <w:pPr>
      <w:pStyle w:val="Footer2"/>
      <w:tabs>
        <w:tab w:val="center" w:pos="4535"/>
      </w:tabs>
    </w:pPr>
    <w:r w:rsidRPr="006D3A9F">
      <w:fldChar w:fldCharType="begin"/>
    </w:r>
    <w:r w:rsidRPr="006D3A9F">
      <w:instrText xml:space="preserve"> DOCPROPERTY "&lt;Extension&gt;" </w:instrText>
    </w:r>
    <w:r w:rsidRPr="006D3A9F">
      <w:fldChar w:fldCharType="separate"/>
    </w:r>
    <w:r w:rsidR="007C36DD">
      <w:t>SV</w:t>
    </w:r>
    <w:r w:rsidRPr="006D3A9F">
      <w:fldChar w:fldCharType="end"/>
    </w:r>
    <w:r w:rsidRPr="006D3A9F">
      <w:rPr>
        <w:color w:val="C0C0C0"/>
      </w:rPr>
      <w:tab/>
    </w:r>
    <w:r w:rsidR="005D31C1">
      <w:rPr>
        <w:b w:val="0"/>
        <w:i/>
        <w:color w:val="C0C0C0"/>
        <w:sz w:val="22"/>
        <w:szCs w:val="22"/>
      </w:rPr>
      <w:t>Förenade i mångfalden</w:t>
    </w:r>
    <w:r w:rsidRPr="006D3A9F">
      <w:rPr>
        <w:color w:val="C0C0C0"/>
      </w:rPr>
      <w:tab/>
    </w:r>
    <w:r w:rsidRPr="006D3A9F">
      <w:fldChar w:fldCharType="begin"/>
    </w:r>
    <w:r w:rsidRPr="006D3A9F">
      <w:instrText xml:space="preserve"> DOCPROPERTY "&lt;Extension&gt;" </w:instrText>
    </w:r>
    <w:r w:rsidRPr="006D3A9F">
      <w:fldChar w:fldCharType="separate"/>
    </w:r>
    <w:r w:rsidR="007C36DD">
      <w:t>SV</w:t>
    </w:r>
    <w:r w:rsidRPr="006D3A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D" w:rsidRDefault="007C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9F" w:rsidRPr="006D3A9F" w:rsidRDefault="006D3A9F">
      <w:r w:rsidRPr="006D3A9F">
        <w:separator/>
      </w:r>
    </w:p>
  </w:footnote>
  <w:footnote w:type="continuationSeparator" w:id="0">
    <w:p w:rsidR="006D3A9F" w:rsidRPr="006D3A9F" w:rsidRDefault="006D3A9F">
      <w:r w:rsidRPr="006D3A9F">
        <w:continuationSeparator/>
      </w:r>
    </w:p>
  </w:footnote>
  <w:footnote w:id="1">
    <w:p w:rsidR="00B92ABC" w:rsidRPr="005D31C1" w:rsidRDefault="00B92ABC">
      <w:pPr>
        <w:pStyle w:val="FootnoteText"/>
        <w:rPr>
          <w:sz w:val="20"/>
        </w:rPr>
      </w:pPr>
      <w:r w:rsidRPr="005D31C1">
        <w:rPr>
          <w:rStyle w:val="FootnoteReference"/>
          <w:sz w:val="20"/>
        </w:rPr>
        <w:t>*</w:t>
      </w:r>
      <w:r w:rsidRPr="005D31C1">
        <w:rPr>
          <w:sz w:val="20"/>
        </w:rPr>
        <w:t xml:space="preserve"> </w:t>
      </w:r>
      <w:r w:rsidR="006D3A9F" w:rsidRPr="005D31C1">
        <w:rPr>
          <w:sz w:val="20"/>
        </w:rPr>
        <w:t>Ändringar: ny text eller text som ersätter tidigare text markeras med fetkursiv stil och strykningar med symbolen ▌.</w:t>
      </w:r>
    </w:p>
  </w:footnote>
  <w:footnote w:id="2">
    <w:p w:rsidR="005D31C1" w:rsidRPr="005D31C1" w:rsidRDefault="005D31C1" w:rsidP="005D31C1">
      <w:pPr>
        <w:pStyle w:val="FootnoteText"/>
        <w:ind w:left="851" w:hanging="851"/>
        <w:rPr>
          <w:sz w:val="20"/>
          <w:lang w:val="fr-BE"/>
        </w:rPr>
      </w:pPr>
      <w:r w:rsidRPr="005D31C1">
        <w:rPr>
          <w:rStyle w:val="FootnoteReference"/>
          <w:sz w:val="20"/>
        </w:rPr>
        <w:footnoteRef/>
      </w:r>
      <w:r w:rsidRPr="005D31C1">
        <w:rPr>
          <w:sz w:val="20"/>
          <w:lang w:val="fr-BE"/>
        </w:rPr>
        <w:t xml:space="preserve"> </w:t>
      </w:r>
      <w:r w:rsidRPr="005D31C1">
        <w:rPr>
          <w:sz w:val="20"/>
          <w:lang w:val="fr-BE"/>
        </w:rPr>
        <w:t>EUT C 262, 25.7.2018, s. 64.</w:t>
      </w:r>
    </w:p>
  </w:footnote>
  <w:footnote w:id="3">
    <w:p w:rsidR="005D31C1" w:rsidRPr="005D31C1" w:rsidRDefault="005D31C1" w:rsidP="005D31C1">
      <w:pPr>
        <w:pStyle w:val="FootnoteText"/>
        <w:ind w:left="851" w:hanging="851"/>
        <w:rPr>
          <w:sz w:val="20"/>
        </w:rPr>
      </w:pPr>
      <w:r w:rsidRPr="005D31C1">
        <w:rPr>
          <w:rStyle w:val="FootnoteReference"/>
          <w:sz w:val="20"/>
        </w:rPr>
        <w:footnoteRef/>
      </w:r>
      <w:r w:rsidRPr="005D31C1">
        <w:rPr>
          <w:sz w:val="20"/>
        </w:rPr>
        <w:t xml:space="preserve"> </w:t>
      </w:r>
      <w:r w:rsidRPr="005D31C1">
        <w:rPr>
          <w:sz w:val="20"/>
        </w:rPr>
        <w:t>EUT C 361, 5.10.2018, s. 72.</w:t>
      </w:r>
    </w:p>
  </w:footnote>
  <w:footnote w:id="4">
    <w:p w:rsidR="005D31C1" w:rsidRPr="005D31C1" w:rsidRDefault="005D31C1" w:rsidP="005D31C1">
      <w:pPr>
        <w:pStyle w:val="FootnoteText"/>
        <w:ind w:left="851" w:hanging="851"/>
        <w:rPr>
          <w:b/>
          <w:bCs/>
          <w:sz w:val="20"/>
        </w:rPr>
      </w:pPr>
      <w:r w:rsidRPr="005D31C1">
        <w:rPr>
          <w:rStyle w:val="FootnoteReference"/>
          <w:iCs/>
          <w:sz w:val="20"/>
        </w:rPr>
        <w:footnoteRef/>
      </w:r>
      <w:r>
        <w:rPr>
          <w:b/>
          <w:bCs/>
          <w:sz w:val="20"/>
        </w:rPr>
        <w:t xml:space="preserve"> </w:t>
      </w:r>
      <w:r w:rsidRPr="005D31C1">
        <w:rPr>
          <w:b/>
          <w:bCs/>
          <w:i/>
          <w:iCs/>
          <w:sz w:val="20"/>
        </w:rPr>
        <w:t xml:space="preserve">Europaparlamentets ståndpunkt av den ... (ännu ej offentliggjord i EUT) och rådets beslut av den </w:t>
      </w:r>
      <w:r w:rsidRPr="005D31C1">
        <w:rPr>
          <w:b/>
          <w:bCs/>
          <w:sz w:val="20"/>
        </w:rPr>
        <w:t>….</w:t>
      </w:r>
    </w:p>
  </w:footnote>
  <w:footnote w:id="5">
    <w:p w:rsidR="005D31C1" w:rsidRPr="005D31C1" w:rsidRDefault="005D31C1" w:rsidP="005D31C1">
      <w:pPr>
        <w:pStyle w:val="FootnoteText"/>
        <w:rPr>
          <w:sz w:val="20"/>
        </w:rPr>
      </w:pPr>
      <w:r w:rsidRPr="005D31C1">
        <w:rPr>
          <w:rStyle w:val="FootnoteReference"/>
          <w:sz w:val="20"/>
        </w:rPr>
        <w:footnoteRef/>
      </w:r>
      <w:r>
        <w:rPr>
          <w:sz w:val="20"/>
        </w:rPr>
        <w:t xml:space="preserve"> </w:t>
      </w:r>
      <w:r w:rsidRPr="005D31C1">
        <w:rPr>
          <w:sz w:val="20"/>
        </w:rPr>
        <w:t>Europaparlamentets och rådets direktiv 2003/55/EG av den 26 juni 2003 om gemensamma regler för den inre marknaden för naturgas (EUT L 176, 15.7.2003, s. 57).</w:t>
      </w:r>
    </w:p>
  </w:footnote>
  <w:footnote w:id="6">
    <w:p w:rsidR="005D31C1" w:rsidRPr="005D31C1" w:rsidRDefault="005D31C1" w:rsidP="005D31C1">
      <w:pPr>
        <w:pStyle w:val="FootnoteText"/>
        <w:rPr>
          <w:sz w:val="20"/>
        </w:rPr>
      </w:pPr>
      <w:r w:rsidRPr="005D31C1">
        <w:rPr>
          <w:rStyle w:val="FootnoteReference"/>
          <w:sz w:val="20"/>
        </w:rPr>
        <w:footnoteRef/>
      </w:r>
      <w:r>
        <w:rPr>
          <w:sz w:val="20"/>
        </w:rPr>
        <w:t xml:space="preserve"> </w:t>
      </w:r>
      <w:r w:rsidRPr="005D31C1">
        <w:rPr>
          <w:sz w:val="20"/>
        </w:rPr>
        <w:t>Europaparlamentets och rådets direktiv 2009/73/EG av den 13 juli 2009 om gemensamma regler för den inre marknaden för naturgas och om upphävande av direktiv 2003/55/EG (EUT L 211, 14.8.2009, s. 94).</w:t>
      </w:r>
    </w:p>
  </w:footnote>
  <w:footnote w:id="7">
    <w:p w:rsidR="005D31C1" w:rsidRPr="005D31C1" w:rsidRDefault="005D31C1" w:rsidP="005D31C1">
      <w:pPr>
        <w:pStyle w:val="FootnoteText"/>
        <w:rPr>
          <w:sz w:val="20"/>
        </w:rPr>
      </w:pPr>
      <w:r w:rsidRPr="005D31C1">
        <w:rPr>
          <w:rStyle w:val="FootnoteReference"/>
          <w:sz w:val="20"/>
        </w:rPr>
        <w:footnoteRef/>
      </w:r>
      <w:r>
        <w:rPr>
          <w:sz w:val="20"/>
        </w:rPr>
        <w:t xml:space="preserve"> </w:t>
      </w:r>
      <w:hyperlink r:id="rId1" w:tgtFrame="_self" w:history="1">
        <w:r w:rsidRPr="005D31C1">
          <w:rPr>
            <w:rStyle w:val="Hyperlink"/>
            <w:b/>
            <w:i/>
            <w:color w:val="000000"/>
            <w:sz w:val="20"/>
            <w:u w:val="none"/>
          </w:rPr>
          <w:t>Kommissionens förordning (EU) 2015/73 av den 30 april 2015 om fastställandet av nätföreskrifter med regler för driftskompatibilitet och informationsutbyte (EUT L 113, 1.5.2015, s. 13)</w:t>
        </w:r>
      </w:hyperlink>
      <w:r w:rsidRPr="005D31C1">
        <w:rPr>
          <w:sz w:val="20"/>
        </w:rPr>
        <w:t>.</w:t>
      </w:r>
    </w:p>
  </w:footnote>
  <w:footnote w:id="8">
    <w:p w:rsidR="005D31C1" w:rsidRPr="005D31C1" w:rsidRDefault="005D31C1" w:rsidP="005D31C1">
      <w:pPr>
        <w:pStyle w:val="FootnoteText"/>
        <w:rPr>
          <w:sz w:val="20"/>
        </w:rPr>
      </w:pPr>
      <w:r w:rsidRPr="005D31C1">
        <w:rPr>
          <w:rStyle w:val="FootnoteReference"/>
          <w:sz w:val="20"/>
        </w:rPr>
        <w:footnoteRef/>
      </w:r>
      <w:r w:rsidRPr="005D31C1">
        <w:rPr>
          <w:sz w:val="20"/>
        </w:rPr>
        <w:t xml:space="preserve"> </w:t>
      </w:r>
      <w:hyperlink r:id="rId2" w:tgtFrame="_self" w:history="1">
        <w:r w:rsidRPr="005D31C1">
          <w:rPr>
            <w:rStyle w:val="Hyperlink"/>
            <w:b/>
            <w:i/>
            <w:color w:val="000000"/>
            <w:sz w:val="20"/>
            <w:u w:val="none"/>
          </w:rPr>
          <w:t>Kommissionens förordning (EU) 2017/459 av den 16 mars 2017 om fastställandet av nätföreskrifter för mekanismer för kapacitetstilldelning i överföringssystem för gas och om upphävande av förordning (EU) nr</w:t>
        </w:r>
        <w:r w:rsidRPr="005D31C1">
          <w:rPr>
            <w:rStyle w:val="Hyperlink"/>
            <w:b/>
            <w:i/>
            <w:color w:val="000000"/>
            <w:sz w:val="20"/>
            <w:u w:val="none"/>
          </w:rPr>
          <w:t> </w:t>
        </w:r>
        <w:r w:rsidRPr="005D31C1">
          <w:rPr>
            <w:rStyle w:val="Hyperlink"/>
            <w:b/>
            <w:i/>
            <w:color w:val="000000"/>
            <w:sz w:val="20"/>
            <w:u w:val="none"/>
          </w:rPr>
          <w:t>984/2013</w:t>
        </w:r>
      </w:hyperlink>
      <w:r w:rsidRPr="005D31C1">
        <w:rPr>
          <w:b/>
          <w:i/>
          <w:color w:val="000000"/>
          <w:sz w:val="20"/>
        </w:rPr>
        <w:t xml:space="preserve"> (EUT L 72, 17.3.2017, s. 1)</w:t>
      </w:r>
      <w:r w:rsidRPr="005D31C1">
        <w:rPr>
          <w:sz w:val="20"/>
        </w:rPr>
        <w:t>.</w:t>
      </w:r>
    </w:p>
  </w:footnote>
  <w:footnote w:id="9">
    <w:p w:rsidR="005D31C1" w:rsidRPr="005D31C1" w:rsidRDefault="005D31C1" w:rsidP="005D31C1">
      <w:pPr>
        <w:pStyle w:val="FootnoteText"/>
        <w:rPr>
          <w:sz w:val="20"/>
        </w:rPr>
      </w:pPr>
      <w:r w:rsidRPr="005D31C1">
        <w:rPr>
          <w:rStyle w:val="FootnoteReference"/>
          <w:sz w:val="20"/>
        </w:rPr>
        <w:footnoteRef/>
      </w:r>
      <w:r w:rsidRPr="005D31C1">
        <w:rPr>
          <w:sz w:val="20"/>
        </w:rPr>
        <w:t xml:space="preserve"> </w:t>
      </w:r>
      <w:hyperlink r:id="rId3" w:tgtFrame="_self" w:tooltip="Kommissionens beslut om ändring av bilaga I till förordning (EG) nr 715/2009 om villkor för tillträde till naturgasöverföringsnäten [2012/490/EU, 24 augusti 2012]" w:history="1">
        <w:r w:rsidRPr="005D31C1">
          <w:rPr>
            <w:rStyle w:val="Hyperlink"/>
            <w:b/>
            <w:i/>
            <w:color w:val="000000"/>
            <w:sz w:val="20"/>
            <w:u w:val="none"/>
          </w:rPr>
          <w:t>Kommissionens beslut 2012/490/EU om ändring av bilaga I till Europaparlamentets och rådets förordning (EG) nr 715/2009 om villkor för tillträde till naturgasöverföringsnäten (EUT L 231, 28.8.2012, s. 16)</w:t>
        </w:r>
      </w:hyperlink>
      <w:r w:rsidRPr="005D31C1">
        <w:rPr>
          <w:sz w:val="20"/>
        </w:rPr>
        <w:t>.</w:t>
      </w:r>
    </w:p>
  </w:footnote>
  <w:footnote w:id="10">
    <w:p w:rsidR="005D31C1" w:rsidRPr="005D31C1" w:rsidRDefault="005D31C1" w:rsidP="005D31C1">
      <w:pPr>
        <w:pStyle w:val="FootnoteText"/>
        <w:rPr>
          <w:sz w:val="20"/>
        </w:rPr>
      </w:pPr>
      <w:r w:rsidRPr="005D31C1">
        <w:rPr>
          <w:rStyle w:val="FootnoteReference"/>
          <w:sz w:val="20"/>
        </w:rPr>
        <w:footnoteRef/>
      </w:r>
      <w:r w:rsidRPr="005D31C1">
        <w:rPr>
          <w:sz w:val="20"/>
        </w:rPr>
        <w:t xml:space="preserve"> </w:t>
      </w:r>
      <w:hyperlink r:id="rId4" w:tgtFrame="_self" w:history="1">
        <w:r w:rsidRPr="005D31C1">
          <w:rPr>
            <w:rStyle w:val="Hyperlink"/>
            <w:b/>
            <w:i/>
            <w:color w:val="000000"/>
            <w:sz w:val="20"/>
            <w:u w:val="none"/>
          </w:rPr>
          <w:t>Kommissionens förordning (EU) 2017/460 av den 16 mars 2017 om fastställandet av nätföreskrifter för harmoniserade tariffstrukturer för överföring av gas</w:t>
        </w:r>
      </w:hyperlink>
      <w:r w:rsidRPr="005D31C1">
        <w:rPr>
          <w:b/>
          <w:i/>
          <w:color w:val="000000"/>
          <w:sz w:val="20"/>
        </w:rPr>
        <w:t xml:space="preserve"> (EUT L 72, 17.3.2017, s. 29)</w:t>
      </w:r>
      <w:r w:rsidRPr="005D31C1">
        <w:rPr>
          <w:sz w:val="20"/>
        </w:rPr>
        <w:t>.</w:t>
      </w:r>
    </w:p>
  </w:footnote>
  <w:footnote w:id="11">
    <w:p w:rsidR="005D31C1" w:rsidRPr="005D31C1" w:rsidRDefault="005D31C1" w:rsidP="005D31C1">
      <w:pPr>
        <w:pStyle w:val="FootnoteText"/>
        <w:rPr>
          <w:sz w:val="20"/>
        </w:rPr>
      </w:pPr>
      <w:r w:rsidRPr="005D31C1">
        <w:rPr>
          <w:rStyle w:val="FootnoteReference"/>
          <w:sz w:val="20"/>
        </w:rPr>
        <w:footnoteRef/>
      </w:r>
      <w:r w:rsidRPr="005D31C1">
        <w:rPr>
          <w:sz w:val="20"/>
        </w:rPr>
        <w:t xml:space="preserve"> </w:t>
      </w:r>
      <w:hyperlink r:id="rId5" w:tgtFrame="_self" w:tooltip="Kommissionens förordning (EU) nr 312/2014 av den 26 mars 2014 om fastställandet av nätföreskrifter för balansering av överföringsnät för gas (Text av betydelse för EES)" w:history="1">
        <w:r w:rsidRPr="005D31C1">
          <w:rPr>
            <w:rStyle w:val="Hyperlink"/>
            <w:b/>
            <w:i/>
            <w:color w:val="000000"/>
            <w:sz w:val="20"/>
            <w:u w:val="none"/>
          </w:rPr>
          <w:t>Kommissionens förordning (EU) nr 312/2014 av den 26 mars 2014 om fastställandet av nätföreskrifter för balansering av överföringsnät för gas (EUT L 91, 37.3.2014, s. 15)</w:t>
        </w:r>
      </w:hyperlink>
      <w:r w:rsidRPr="005D31C1">
        <w:rPr>
          <w:sz w:val="20"/>
        </w:rPr>
        <w:t>.</w:t>
      </w:r>
    </w:p>
  </w:footnote>
  <w:footnote w:id="12">
    <w:p w:rsidR="005D31C1" w:rsidRPr="005D31C1" w:rsidRDefault="005D31C1" w:rsidP="005D31C1">
      <w:pPr>
        <w:pStyle w:val="FootnoteText"/>
        <w:rPr>
          <w:sz w:val="20"/>
        </w:rPr>
      </w:pPr>
      <w:r w:rsidRPr="005D31C1">
        <w:rPr>
          <w:rStyle w:val="FootnoteReference"/>
          <w:bCs/>
          <w:iCs/>
          <w:sz w:val="20"/>
        </w:rPr>
        <w:footnoteRef/>
      </w:r>
      <w:r>
        <w:rPr>
          <w:sz w:val="20"/>
        </w:rPr>
        <w:t xml:space="preserve"> </w:t>
      </w:r>
      <w:r w:rsidRPr="005D31C1">
        <w:rPr>
          <w:b/>
          <w:i/>
          <w:color w:val="000000"/>
          <w:sz w:val="20"/>
        </w:rPr>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13">
    <w:p w:rsidR="005D31C1" w:rsidRPr="005D31C1" w:rsidRDefault="005D31C1" w:rsidP="005D31C1">
      <w:pPr>
        <w:pStyle w:val="FootnoteText"/>
        <w:ind w:left="851" w:hanging="851"/>
        <w:rPr>
          <w:sz w:val="20"/>
        </w:rPr>
      </w:pPr>
      <w:r w:rsidRPr="005D31C1">
        <w:rPr>
          <w:rStyle w:val="FootnoteReference"/>
          <w:sz w:val="20"/>
        </w:rPr>
        <w:footnoteRef/>
      </w:r>
      <w:r w:rsidRPr="005D31C1">
        <w:rPr>
          <w:sz w:val="20"/>
        </w:rPr>
        <w:t xml:space="preserve"> EUT C 369, 17.12.2011, s.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D" w:rsidRDefault="007C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D" w:rsidRDefault="007C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DD" w:rsidRDefault="007C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3"/>
    <w:docVar w:name="DOCDT" w:val="27/03/2019"/>
    <w:docVar w:name="DOCMNU" w:val=" 2"/>
    <w:docVar w:name="iNoAmend" w:val="23"/>
    <w:docVar w:name="InsideLoop" w:val="1"/>
    <w:docVar w:name="LastEditedSection" w:val=" 1"/>
    <w:docVar w:name="NRAKEY" w:val="0143"/>
    <w:docVar w:name="ONBEHALFKEY1" w:val="ITRE"/>
    <w:docVar w:name="ORLANGKEY" w:val="EN"/>
    <w:docVar w:name="RepeatBlock-AmendS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248080 HideTWBExt;}}{\*\rsidtbl \rsid24658\rsid358857\rsid735077\rsid787282\rsid1248080\rsid2892074\rsid3622648\rsid4666813\rsid5448273\rsid5708216\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SJ\'d6HOLM Outi}{\operator SJ\'d6HOLM Outi}{\creatim\yr2019\mo4\dy1\hr12\min10}{\revtim\yr2019\mo4\dy1\hr12\min10}{\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48080\utinl \fet0{\*\wgrffmtfilter 013f}\ilfomacatclnup0{\*\template C:\\Users\\osjoholm\\AppData\\Local\\Temp\\Blank1.dot}{\*\ftnsep \ltrpar \pard\plain \ltrpar_x000d__x000a_\ql \li0\ri0\widctlpar\wrapdefault\aspalpha\aspnum\faauto\adjustright\rin0\lin0\itap0 \rtlch\fcs1 \af0\afs20\alang1025 \ltrch\fcs0 \fs24\lang2057\langfe2057\cgrid\langnp2057\langfenp2057 {\rtlch\fcs1 \af0 \ltrch\fcs0 \insrsid5448273 \chftnsep _x000d__x000a_\par }}{\*\ftnsepc \ltrpar \pard\plain \ltrpar\ql \li0\ri0\widctlpar\wrapdefault\aspalpha\aspnum\faauto\adjustright\rin0\lin0\itap0 \rtlch\fcs1 \af0\afs20\alang1025 \ltrch\fcs0 \fs24\lang2057\langfe2057\cgrid\langnp2057\langfenp2057 {\rtlch\fcs1 \af0 _x000d__x000a_\ltrch\fcs0 \insrsid5448273 \chftnsepc _x000d__x000a_\par }}{\*\aftnsep \ltrpar \pard\plain \ltrpar\ql \li0\ri0\widctlpar\wrapdefault\aspalpha\aspnum\faauto\adjustright\rin0\lin0\itap0 \rtlch\fcs1 \af0\afs20\alang1025 \ltrch\fcs0 \fs24\lang2057\langfe2057\cgrid\langnp2057\langfenp2057 {\rtlch\fcs1 \af0 _x000d__x000a_\ltrch\fcs0 \insrsid5448273 \chftnsep _x000d__x000a_\par }}{\*\aftnsepc \ltrpar \pard\plain \ltrpar\ql \li0\ri0\widctlpar\wrapdefault\aspalpha\aspnum\faauto\adjustright\rin0\lin0\itap0 \rtlch\fcs1 \af0\afs20\alang1025 \ltrch\fcs0 \fs24\lang2057\langfe2057\cgrid\langnp2057\langfenp2057 {\rtlch\fcs1 \af0 _x000d__x000a_\ltrch\fcs0 \insrsid544827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3\langfe2057\langnp1053\insrsid1248080\charrsid9925950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2f_x000d__x000a_f81b73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057791 HideTWBExt;}{\*\cs16 \additive \v\cf15 \spriority0 \styrsid6057791 HideTWBInt;}{\s17\ql \li0\ri0\nowidctlpar\wrapdefault\aspalpha\aspnum\faauto\adjustright\rin0\lin0\itap0 \rtlch\fcs1 _x000d__x000a_\af0\afs20\alang1025 \ltrch\fcs0 \b\fs24\lang1053\langfe2057\cgrid\langnp1053\langfenp2057 \sbasedon0 \snext17 \slink18 \spriority0 \styrsid6057791 NormalBold;}{\*\cs18 \additive \b\fs24\lang1053\langfe0\langnp1053 _x000d__x000a_\slink17 \slocked \spriority0 \styrsid6057791 NormalBold Char;}}{\*\rsidtbl \rsid24658\rsid358857\rsid735077\rsid787282\rsid2892074\rsid3622648\rsid4666813\rsid5708216\rsid6057791\rsid6641733\rsid7553164\rsid8465581\rsid8681905\rsid8724649\rsid9636012_x000d__x000a_\rsid9862312\rsid11215221\rsid11370291\rsid11434737\rsid11607138\rsid11824949\rsid12154954\rsid14424199\rsid15204470\rsid15285974\rsid15535219\rsid15950462\rsid16324206\rsid16662270\rsid16712815}{\mmathPr\mmathFont34\mbrkBin0\mbrkBinSub0\msmallFrac0_x000d__x000a_\mdispDef1\mlMargin0\mrMargin0\mdefJc1\mwrapIndent1440\mintLim0\mnaryLim1}{\info{\author SJ\'d6HOLM Outi}{\operator SJ\'d6HOLM Outi}{\creatim\yr2019\mo4\dy1\hr12\min11}{\revtim\yr2019\mo4\dy1\hr12\min1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057791\utinl \fet0{\*\wgrffmtfilter 013f}\ilfomacatclnup0{\*\template C:\\Users\\osjoholm\\AppData\\Local\\Temp\\Blank1.dot}{\*\ftnsep \ltrpar \pard\plain \ltrpar_x000d__x000a_\ql \li0\ri0\widctlpar\wrapdefault\aspalpha\aspnum\faauto\adjustright\rin0\lin0\itap0 \rtlch\fcs1 \af0\afs20\alang1025 \ltrch\fcs0 \fs24\lang2057\langfe2057\cgrid\langnp2057\langfenp2057 {\rtlch\fcs1 \af0 \ltrch\fcs0 \insrsid16712815 \chftnsep _x000d__x000a_\par }}{\*\ftnsepc \ltrpar \pard\plain \ltrpar\ql \li0\ri0\widctlpar\wrapdefault\aspalpha\aspnum\faauto\adjustright\rin0\lin0\itap0 \rtlch\fcs1 \af0\afs20\alang1025 \ltrch\fcs0 \fs24\lang2057\langfe2057\cgrid\langnp2057\langfenp2057 {\rtlch\fcs1 \af0 _x000d__x000a_\ltrch\fcs0 \insrsid16712815 \chftnsepc _x000d__x000a_\par }}{\*\aftnsep \ltrpar \pard\plain \ltrpar\ql \li0\ri0\widctlpar\wrapdefault\aspalpha\aspnum\faauto\adjustright\rin0\lin0\itap0 \rtlch\fcs1 \af0\afs20\alang1025 \ltrch\fcs0 \fs24\lang2057\langfe2057\cgrid\langnp2057\langfenp2057 {\rtlch\fcs1 \af0 _x000d__x000a_\ltrch\fcs0 \insrsid16712815 \chftnsep _x000d__x000a_\par }}{\*\aftnsepc \ltrpar \pard\plain \ltrpar\ql \li0\ri0\widctlpar\wrapdefault\aspalpha\aspnum\faauto\adjustright\rin0\lin0\itap0 \rtlch\fcs1 \af0\afs20\alang1025 \ltrch\fcs0 \fs24\lang2057\langfe2057\cgrid\langnp2057\langfenp2057 {\rtlch\fcs1 \af0 _x000d__x000a_\ltrch\fcs0 \insrsid1671281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7791 \rtlch\fcs1 \af0\afs20\alang1025 \ltrch\fcs0 \b\fs24\lang1053\langfe2057\cgrid\langnp1053\langfenp2057 {\rtlch\fcs1 \af0 \ltrch\fcs0 _x000d__x000a_\cs15\b0\v\f1\fs20\cf9\insrsid6057791\charrsid9925950 {\*\bkmkstart By}&lt;By&gt;&lt;Members&gt;}{\rtlch\fcs1 \af0 \ltrch\fcs0 \insrsid6057791\charrsid9925950 #}{\rtlch\fcs1 \af0 \ltrch\fcs0 \cs16\v\cf15\insrsid6057791\charrsid9925950 (MOD@InsideLoop(\'a7)}{_x000d__x000a_\rtlch\fcs1 \af0 \ltrch\fcs0 \insrsid6057791\charrsid9925950 ##}{\rtlch\fcs1 \af0 \ltrch\fcs0 \cs16\v\cf15\insrsid6057791\charrsid9925950 IF(FromTORIS = 'True')THEN([PRESMEMBERS])ELSE([TRADMEMBERS])}{\rtlch\fcs1 \af0 \ltrch\fcs0 _x000d__x000a_\insrsid6057791\charrsid9925950 #}{\rtlch\fcs1 \af0 \ltrch\fcs0 \cs15\b0\v\f1\fs20\cf9\insrsid6057791\charrsid9925950 &lt;/Members&gt;}{\rtlch\fcs1 \af0 \ltrch\fcs0 \insrsid6057791\charrsid9925950 _x000d__x000a_\par }\pard\plain \ltrpar\ql \li0\ri0\widctlpar\wrapdefault\aspalpha\aspnum\faauto\adjustright\rin0\lin0\itap0\pararsid6057791 \rtlch\fcs1 \af0\afs20\alang1025 \ltrch\fcs0 \fs24\lang2057\langfe2057\cgrid\langnp2057\langfenp2057 {\rtlch\fcs1 \af0 \ltrch\fcs0 _x000d__x000a_\cs15\v\f1\fs20\cf9\lang1053\langfe2057\langnp1053\insrsid6057791\charrsid9925950 &lt;AuNomDe&gt;&lt;OptDel&gt;}{\rtlch\fcs1 \af0 \ltrch\fcs0 \lang1053\langfe2057\langnp1053\insrsid6057791\charrsid9925950 #}{\rtlch\fcs1 \af0 \ltrch\fcs0 _x000d__x000a_\cs16\v\cf15\lang1053\langfe2057\langnp1053\insrsid6057791\charrsid9925950 IF(FromTORIS = 'True')THEN([PRESONBEHALF])ELSE([TRADONBEHALF])}{\rtlch\fcs1 \af0 \ltrch\fcs0 \lang1053\langfe2057\langnp1053\insrsid6057791\charrsid9925950 #}{\rtlch\fcs1 \af0 _x000d__x000a_\ltrch\fcs0 \cs15\v\f1\fs20\cf9\lang1053\langfe2057\langnp1053\insrsid6057791\charrsid9925950 &lt;/OptDel&gt;&lt;/AuNomDe&gt;}{\rtlch\fcs1 \af0 \ltrch\fcs0 \lang1053\langfe2057\langnp1053\insrsid6057791\charrsid9925950 _x000d__x000a_\par }{\rtlch\fcs1 \af0 \ltrch\fcs0 \cs15\v\f1\fs20\cf9\lang1053\langfe2057\langnp1053\insrsid6057791\charrsid9925950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f_x000d__x000a_b63773e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1"/>
    <w:docVar w:name="TITLEMNU" w:val=" 1"/>
    <w:docVar w:name="TVTMEMBERS1" w:val="Jerzy Buzek"/>
    <w:docVar w:name="TXTLANGUE" w:val="SV"/>
    <w:docVar w:name="TXTLANGUEMIN" w:val="sv"/>
    <w:docVar w:name="TXTNRFIRSTAM" w:val="23"/>
    <w:docVar w:name="TXTNRPE" w:val="637.674"/>
    <w:docVar w:name="TXTPEorAP" w:val="PE"/>
    <w:docVar w:name="TXTROUTE" w:val="AM\1181375SV.docx"/>
    <w:docVar w:name="TXTVERSION" w:val="01-00"/>
  </w:docVars>
  <w:rsids>
    <w:rsidRoot w:val="006D3A9F"/>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959CE"/>
    <w:rsid w:val="00510280"/>
    <w:rsid w:val="00525DC0"/>
    <w:rsid w:val="005D31C1"/>
    <w:rsid w:val="005E6C7D"/>
    <w:rsid w:val="00623133"/>
    <w:rsid w:val="006339AB"/>
    <w:rsid w:val="00660F58"/>
    <w:rsid w:val="006A5C2D"/>
    <w:rsid w:val="006C0168"/>
    <w:rsid w:val="006D3A9F"/>
    <w:rsid w:val="00766A75"/>
    <w:rsid w:val="007A605C"/>
    <w:rsid w:val="007C36DD"/>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747FC"/>
    <w:rsid w:val="00AD4980"/>
    <w:rsid w:val="00AE46A3"/>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408C"/>
  <w15:chartTrackingRefBased/>
  <w15:docId w15:val="{2138DBF0-6A02-4841-9F35-C7D18551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Footnote1,Footnote10,Footnote11,Footnote2,Footnote21,Footnote3,Footnote31,Footnote4,Footnote41,Footnote5,Footnote51,Footnote6,Footnote61,Footnote7,Footnote71,Footnote8,Footnote9,Fußnotentextf,Fußnotentextr,stile 1"/>
    <w:basedOn w:val="Normal"/>
    <w:link w:val="FootnoteTextChar"/>
    <w:uiPriority w:val="99"/>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BVI fnr,(Footnote Reference),Appel note de bas de p,Exposant 3 Point,Footnote,Footnote Reference Superscript,Footnote number,Footnote reference number,Footnote symbol,Ref,SUPERS,Times 10 Point,Voetnootverwijzing,note TESI"/>
    <w:uiPriority w:val="99"/>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styleId="Emphasis">
    <w:name w:val="Emphasis"/>
    <w:uiPriority w:val="20"/>
    <w:qFormat/>
    <w:rsid w:val="005D31C1"/>
    <w:rPr>
      <w:i/>
      <w:iCs w:val="0"/>
    </w:rPr>
  </w:style>
  <w:style w:type="character" w:customStyle="1" w:styleId="FootnoteTextChar">
    <w:name w:val="Footnote Text Char"/>
    <w:aliases w:val="Footnote1 Char,Footnote10 Char,Footnote11 Char,Footnote2 Char,Footnote21 Char,Footnote3 Char,Footnote31 Char,Footnote4 Char,Footnote41 Char,Footnote5 Char,Footnote51 Char,Footnote6 Char,Footnote61 Char,Footnote7 Char,Footnote71 Char"/>
    <w:link w:val="FootnoteText"/>
    <w:uiPriority w:val="99"/>
    <w:semiHidden/>
    <w:locked/>
    <w:rsid w:val="005D31C1"/>
    <w:rPr>
      <w:sz w:val="22"/>
      <w:lang w:val="sv-SE"/>
    </w:rPr>
  </w:style>
  <w:style w:type="paragraph" w:customStyle="1" w:styleId="NormalCentered">
    <w:name w:val="Normal Centered"/>
    <w:basedOn w:val="Normal"/>
    <w:rsid w:val="005D31C1"/>
    <w:pPr>
      <w:autoSpaceDE w:val="0"/>
      <w:autoSpaceDN w:val="0"/>
      <w:adjustRightInd w:val="0"/>
      <w:spacing w:before="200" w:after="120" w:line="360" w:lineRule="auto"/>
      <w:jc w:val="center"/>
    </w:pPr>
    <w:rPr>
      <w:szCs w:val="22"/>
    </w:rPr>
  </w:style>
  <w:style w:type="paragraph" w:customStyle="1" w:styleId="Text2">
    <w:name w:val="Text 2"/>
    <w:basedOn w:val="Normal"/>
    <w:rsid w:val="005D31C1"/>
    <w:pPr>
      <w:autoSpaceDE w:val="0"/>
      <w:autoSpaceDN w:val="0"/>
      <w:adjustRightInd w:val="0"/>
      <w:spacing w:before="120" w:after="120" w:line="360" w:lineRule="auto"/>
      <w:ind w:left="1134"/>
    </w:pPr>
    <w:rPr>
      <w:szCs w:val="22"/>
    </w:rPr>
  </w:style>
  <w:style w:type="paragraph" w:customStyle="1" w:styleId="Institutionquisigne">
    <w:name w:val="Institution qui signe"/>
    <w:basedOn w:val="Normal"/>
    <w:next w:val="Personnequisigne"/>
    <w:rsid w:val="005D31C1"/>
    <w:pPr>
      <w:keepNext/>
      <w:tabs>
        <w:tab w:val="left" w:pos="4252"/>
      </w:tabs>
      <w:autoSpaceDE w:val="0"/>
      <w:autoSpaceDN w:val="0"/>
      <w:adjustRightInd w:val="0"/>
      <w:spacing w:before="720"/>
      <w:jc w:val="both"/>
    </w:pPr>
    <w:rPr>
      <w:i/>
      <w:szCs w:val="22"/>
    </w:rPr>
  </w:style>
  <w:style w:type="paragraph" w:customStyle="1" w:styleId="Fait">
    <w:name w:val="Fait à"/>
    <w:basedOn w:val="Normal"/>
    <w:next w:val="Institutionquisigne"/>
    <w:rsid w:val="005D31C1"/>
    <w:pPr>
      <w:keepNext/>
      <w:autoSpaceDE w:val="0"/>
      <w:autoSpaceDN w:val="0"/>
      <w:adjustRightInd w:val="0"/>
      <w:spacing w:before="120"/>
      <w:jc w:val="both"/>
    </w:pPr>
    <w:rPr>
      <w:szCs w:val="22"/>
    </w:rPr>
  </w:style>
  <w:style w:type="paragraph" w:customStyle="1" w:styleId="Personnequisigne">
    <w:name w:val="Personne qui signe"/>
    <w:basedOn w:val="Normal"/>
    <w:next w:val="Institutionquisigne"/>
    <w:rsid w:val="005D31C1"/>
    <w:pPr>
      <w:tabs>
        <w:tab w:val="left" w:pos="4252"/>
      </w:tabs>
      <w:autoSpaceDE w:val="0"/>
      <w:autoSpaceDN w:val="0"/>
      <w:adjustRightInd w:val="0"/>
    </w:pPr>
    <w:rPr>
      <w:i/>
      <w:szCs w:val="22"/>
    </w:rPr>
  </w:style>
  <w:style w:type="paragraph" w:customStyle="1" w:styleId="Titreobjet">
    <w:name w:val="Titre objet"/>
    <w:basedOn w:val="Normal"/>
    <w:next w:val="Normal"/>
    <w:rsid w:val="005D31C1"/>
    <w:pPr>
      <w:autoSpaceDE w:val="0"/>
      <w:autoSpaceDN w:val="0"/>
      <w:adjustRightInd w:val="0"/>
      <w:spacing w:before="360" w:after="360"/>
      <w:jc w:val="center"/>
    </w:pPr>
    <w:rPr>
      <w:b/>
      <w:szCs w:val="22"/>
    </w:rPr>
  </w:style>
  <w:style w:type="paragraph" w:customStyle="1" w:styleId="Typedudocument">
    <w:name w:val="Type du document"/>
    <w:basedOn w:val="Normal"/>
    <w:next w:val="Titreobjet"/>
    <w:rsid w:val="005D31C1"/>
    <w:pPr>
      <w:autoSpaceDE w:val="0"/>
      <w:autoSpaceDN w:val="0"/>
      <w:adjustRightInd w:val="0"/>
      <w:spacing w:before="360"/>
      <w:jc w:val="center"/>
    </w:pPr>
    <w:rPr>
      <w:b/>
      <w:szCs w:val="22"/>
    </w:rPr>
  </w:style>
  <w:style w:type="paragraph" w:customStyle="1" w:styleId="IntrtEEE">
    <w:name w:val="Intérêt EEE"/>
    <w:basedOn w:val="Normal"/>
    <w:next w:val="Normal"/>
    <w:rsid w:val="005D31C1"/>
    <w:pPr>
      <w:autoSpaceDE w:val="0"/>
      <w:autoSpaceDN w:val="0"/>
      <w:adjustRightInd w:val="0"/>
      <w:spacing w:before="360" w:after="240"/>
      <w:jc w:val="center"/>
    </w:pPr>
    <w:rPr>
      <w:szCs w:val="22"/>
    </w:rPr>
  </w:style>
  <w:style w:type="character" w:styleId="Hyperlink">
    <w:name w:val="Hyperlink"/>
    <w:uiPriority w:val="99"/>
    <w:unhideWhenUsed/>
    <w:rsid w:val="005D3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SV/TXT/?qid=1430734293842&amp;uri=OJ:JOL_2015_113_R_000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V/ALL/?uri=CELEX:32012D0490" TargetMode="External"/><Relationship Id="rId2" Type="http://schemas.openxmlformats.org/officeDocument/2006/relationships/hyperlink" Target="https://eur-lex.europa.eu/legal-content/SV/TXT/?qid=1503060564207&amp;uri=CELEX:32017R0459" TargetMode="External"/><Relationship Id="rId1" Type="http://schemas.openxmlformats.org/officeDocument/2006/relationships/hyperlink" Target="https://eur-lex.europa.eu/legal-content/SV/TXT/?qid=1430734293842&amp;uri=OJ:JOL_2015_113_R_0003" TargetMode="External"/><Relationship Id="rId5" Type="http://schemas.openxmlformats.org/officeDocument/2006/relationships/hyperlink" Target="https://eur-lex.europa.eu/legal-content/SV/TXT/?uri=uriserv:OJ.L_.2014.091.01.0015.01.ENG" TargetMode="External"/><Relationship Id="rId4" Type="http://schemas.openxmlformats.org/officeDocument/2006/relationships/hyperlink" Target="https://eur-lex.europa.eu/legal-content/SV/TXT/?uri=CELEX:32017R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1789</Words>
  <Characters>23529</Characters>
  <Application>Microsoft Office Word</Application>
  <DocSecurity>0</DocSecurity>
  <Lines>1680</Lines>
  <Paragraphs>1489</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SJÖHOLM Outi</dc:creator>
  <cp:keywords/>
  <dc:description/>
  <cp:lastModifiedBy>SJÖHOLM Outi</cp:lastModifiedBy>
  <cp:revision>2</cp:revision>
  <cp:lastPrinted>2004-11-28T11:03:00Z</cp:lastPrinted>
  <dcterms:created xsi:type="dcterms:W3CDTF">2019-04-01T14:05:00Z</dcterms:created>
  <dcterms:modified xsi:type="dcterms:W3CDTF">2019-04-01T14:05:00Z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1181375</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\\eiciLUXpr1\pdocep$\DocEP\TRANSFIL\SV\AM_Ple_LegConsolidated.SV(21/02/2019 16:03:04)</vt:lpwstr>
  </property>
  <property fmtid="{D5CDD505-2E9C-101B-9397-08002B2CF9AE}" pid="9" name="&lt;Model&gt;">
    <vt:lpwstr>AM_Ple_LegConsolidated</vt:lpwstr>
  </property>
  <property fmtid="{D5CDD505-2E9C-101B-9397-08002B2CF9AE}" pid="10" name="FooterPath">
    <vt:lpwstr>AM\1181375SV.docx</vt:lpwstr>
  </property>
  <property fmtid="{D5CDD505-2E9C-101B-9397-08002B2CF9AE}" pid="11" name="PE number">
    <vt:lpwstr>637.674</vt:lpwstr>
  </property>
  <property fmtid="{D5CDD505-2E9C-101B-9397-08002B2CF9AE}" pid="12" name="Bookout">
    <vt:lpwstr>OK - 2019/04/01 16:05</vt:lpwstr>
  </property>
</Properties>
</file>