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6F0BBA" w:rsidTr="009E2EDA">
        <w:trPr>
          <w:trHeight w:hRule="exact" w:val="1418"/>
        </w:trPr>
        <w:tc>
          <w:tcPr>
            <w:tcW w:w="6804" w:type="dxa"/>
            <w:shd w:val="clear" w:color="auto" w:fill="auto"/>
            <w:vAlign w:val="center"/>
          </w:tcPr>
          <w:p w:rsidR="009949CB" w:rsidRPr="006F0BBA" w:rsidRDefault="006F0BBA" w:rsidP="009E2EDA">
            <w:pPr>
              <w:pStyle w:val="EPName"/>
              <w:rPr>
                <w:lang w:val="cs-CZ"/>
              </w:rPr>
            </w:pPr>
            <w:bookmarkStart w:id="0" w:name="_GoBack"/>
            <w:bookmarkEnd w:id="0"/>
            <w:r w:rsidRPr="006F0BBA">
              <w:rPr>
                <w:lang w:val="cs-CZ"/>
              </w:rPr>
              <w:t>Evropský parlament</w:t>
            </w:r>
          </w:p>
          <w:p w:rsidR="009949CB" w:rsidRPr="00023D6C" w:rsidRDefault="00023D6C" w:rsidP="00023D6C">
            <w:pPr>
              <w:pStyle w:val="EPTerm"/>
              <w:rPr>
                <w:rStyle w:val="HideTWBExt"/>
                <w:noProof w:val="0"/>
                <w:vanish w:val="0"/>
                <w:color w:val="auto"/>
                <w:lang w:val="cs-CZ"/>
              </w:rPr>
            </w:pPr>
            <w:r>
              <w:t>2014-2019</w:t>
            </w:r>
          </w:p>
        </w:tc>
        <w:tc>
          <w:tcPr>
            <w:tcW w:w="2268" w:type="dxa"/>
            <w:shd w:val="clear" w:color="auto" w:fill="auto"/>
          </w:tcPr>
          <w:p w:rsidR="009949CB" w:rsidRPr="006F0BBA" w:rsidRDefault="00A12B36" w:rsidP="009E2ED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65833" w:rsidRPr="006F0BBA" w:rsidRDefault="00D65833" w:rsidP="00D65833">
      <w:pPr>
        <w:pStyle w:val="LineTop"/>
        <w:rPr>
          <w:lang w:val="cs-CZ"/>
        </w:rPr>
      </w:pPr>
    </w:p>
    <w:p w:rsidR="00D65833" w:rsidRPr="006F0BBA" w:rsidRDefault="00D65833" w:rsidP="00D65833">
      <w:pPr>
        <w:pStyle w:val="ZCommittee"/>
        <w:rPr>
          <w:lang w:val="cs-CZ"/>
        </w:rPr>
      </w:pPr>
      <w:r w:rsidRPr="006F0BBA">
        <w:rPr>
          <w:rStyle w:val="HideTWBExt"/>
          <w:noProof w:val="0"/>
          <w:lang w:val="cs-CZ"/>
        </w:rPr>
        <w:t>&lt;</w:t>
      </w:r>
      <w:r w:rsidRPr="006F0BBA">
        <w:rPr>
          <w:rStyle w:val="HideTWBExt"/>
          <w:i w:val="0"/>
          <w:noProof w:val="0"/>
          <w:lang w:val="cs-CZ"/>
        </w:rPr>
        <w:t>Commission&gt;</w:t>
      </w:r>
      <w:r w:rsidR="006F0BBA" w:rsidRPr="006F0BBA">
        <w:rPr>
          <w:lang w:val="cs-CZ"/>
        </w:rPr>
        <w:t>Dokument ze zasedání</w:t>
      </w:r>
      <w:r w:rsidRPr="006F0BBA">
        <w:rPr>
          <w:rStyle w:val="HideTWBExt"/>
          <w:noProof w:val="0"/>
          <w:lang w:val="cs-CZ"/>
        </w:rPr>
        <w:t>&lt;/</w:t>
      </w:r>
      <w:r w:rsidRPr="006F0BBA">
        <w:rPr>
          <w:rStyle w:val="HideTWBExt"/>
          <w:i w:val="0"/>
          <w:noProof w:val="0"/>
          <w:lang w:val="cs-CZ"/>
        </w:rPr>
        <w:t>Commission</w:t>
      </w:r>
      <w:r w:rsidRPr="006F0BBA">
        <w:rPr>
          <w:rStyle w:val="HideTWBExt"/>
          <w:noProof w:val="0"/>
          <w:lang w:val="cs-CZ"/>
        </w:rPr>
        <w:t>&gt;</w:t>
      </w:r>
    </w:p>
    <w:p w:rsidR="00D65833" w:rsidRPr="006F0BBA" w:rsidRDefault="00D65833" w:rsidP="00D65833">
      <w:pPr>
        <w:pStyle w:val="LineBottom"/>
      </w:pPr>
    </w:p>
    <w:p w:rsidR="008B31F4" w:rsidRPr="006F0BBA" w:rsidRDefault="008B31F4" w:rsidP="008B31F4">
      <w:pPr>
        <w:pStyle w:val="ZDateAdd"/>
      </w:pPr>
      <w:r w:rsidRPr="006F0BBA">
        <w:rPr>
          <w:rStyle w:val="HideTWBExt"/>
          <w:noProof w:val="0"/>
        </w:rPr>
        <w:t>&lt;Date&gt;</w:t>
      </w:r>
      <w:r w:rsidR="00023D6C" w:rsidRPr="00023D6C">
        <w:rPr>
          <w:rStyle w:val="HideTWBInt"/>
        </w:rPr>
        <w:t>{25/05/2018}</w:t>
      </w:r>
      <w:r w:rsidR="00023D6C">
        <w:t>25.5.2018</w:t>
      </w:r>
      <w:r w:rsidRPr="006F0BBA">
        <w:rPr>
          <w:rStyle w:val="HideTWBExt"/>
          <w:noProof w:val="0"/>
        </w:rPr>
        <w:t>&lt;/Date&gt;</w:t>
      </w:r>
      <w:r w:rsidRPr="006F0BBA">
        <w:tab/>
      </w:r>
      <w:r w:rsidRPr="006F0BBA">
        <w:rPr>
          <w:rStyle w:val="HideTWBExt"/>
          <w:noProof w:val="0"/>
        </w:rPr>
        <w:t>&lt;NoDocSe&gt;</w:t>
      </w:r>
      <w:r w:rsidR="00023D6C">
        <w:rPr>
          <w:rFonts w:ascii="Arial" w:hAnsi="Arial"/>
          <w:b/>
          <w:bCs/>
        </w:rPr>
        <w:t>A8</w:t>
      </w:r>
      <w:r w:rsidR="00023D6C">
        <w:rPr>
          <w:rFonts w:ascii="Arial" w:hAnsi="Arial"/>
          <w:b/>
          <w:bCs/>
        </w:rPr>
        <w:noBreakHyphen/>
      </w:r>
      <w:r w:rsidR="00023D6C" w:rsidRPr="00023D6C">
        <w:rPr>
          <w:rFonts w:ascii="Arial" w:hAnsi="Arial"/>
          <w:b/>
          <w:bCs/>
        </w:rPr>
        <w:t>0154/2018</w:t>
      </w:r>
      <w:r w:rsidRPr="006F0BBA">
        <w:rPr>
          <w:rStyle w:val="HideTWBExt"/>
          <w:noProof w:val="0"/>
        </w:rPr>
        <w:t>&lt;/NoDocSe&gt;</w:t>
      </w:r>
      <w:r w:rsidRPr="006F0BBA">
        <w:rPr>
          <w:rFonts w:ascii="Arial" w:hAnsi="Arial"/>
          <w:b/>
          <w:bCs/>
        </w:rPr>
        <w:t>/</w:t>
      </w:r>
      <w:r w:rsidR="00C04425" w:rsidRPr="006F0BBA">
        <w:rPr>
          <w:rFonts w:ascii="Arial" w:hAnsi="Arial"/>
          <w:b/>
          <w:bCs/>
        </w:rPr>
        <w:t>err</w:t>
      </w:r>
      <w:r w:rsidR="003A1478" w:rsidRPr="006F0BBA">
        <w:rPr>
          <w:rStyle w:val="HideTWBExt"/>
          <w:noProof w:val="0"/>
        </w:rPr>
        <w:t>&lt;NoER&gt;</w:t>
      </w:r>
      <w:r w:rsidR="00023D6C" w:rsidRPr="00023D6C">
        <w:rPr>
          <w:rFonts w:ascii="Arial" w:hAnsi="Arial"/>
          <w:b/>
          <w:bCs/>
        </w:rPr>
        <w:t>01</w:t>
      </w:r>
      <w:r w:rsidR="003A1478" w:rsidRPr="006F0BBA">
        <w:rPr>
          <w:rStyle w:val="HideTWBExt"/>
          <w:noProof w:val="0"/>
        </w:rPr>
        <w:t>&lt;/NoER&gt;</w:t>
      </w:r>
    </w:p>
    <w:p w:rsidR="008B31F4" w:rsidRPr="006F0BBA" w:rsidRDefault="00FC7D10" w:rsidP="008B31F4">
      <w:pPr>
        <w:pStyle w:val="DocType"/>
      </w:pPr>
      <w:r w:rsidRPr="006F0BBA">
        <w:rPr>
          <w:rStyle w:val="HideTWBExt"/>
          <w:noProof w:val="0"/>
        </w:rPr>
        <w:t>&lt;</w:t>
      </w:r>
      <w:r w:rsidRPr="006F0BBA">
        <w:rPr>
          <w:rStyle w:val="HideTWBExt"/>
          <w:b w:val="0"/>
          <w:noProof w:val="0"/>
        </w:rPr>
        <w:t>TitreType</w:t>
      </w:r>
      <w:r w:rsidRPr="006F0BBA">
        <w:rPr>
          <w:rStyle w:val="HideTWBExt"/>
          <w:noProof w:val="0"/>
        </w:rPr>
        <w:t>&gt;</w:t>
      </w:r>
      <w:r w:rsidR="00023D6C">
        <w:t>ADDENDUM</w:t>
      </w:r>
      <w:r w:rsidRPr="006F0BBA">
        <w:rPr>
          <w:rStyle w:val="HideTWBExt"/>
          <w:noProof w:val="0"/>
        </w:rPr>
        <w:t>&lt;/</w:t>
      </w:r>
      <w:r w:rsidRPr="006F0BBA">
        <w:rPr>
          <w:rStyle w:val="HideTWBExt"/>
          <w:b w:val="0"/>
          <w:noProof w:val="0"/>
        </w:rPr>
        <w:t>TitreType</w:t>
      </w:r>
      <w:r w:rsidRPr="006F0BBA">
        <w:rPr>
          <w:rStyle w:val="HideTWBExt"/>
          <w:noProof w:val="0"/>
        </w:rPr>
        <w:t>&gt;</w:t>
      </w:r>
    </w:p>
    <w:p w:rsidR="008B31F4" w:rsidRPr="006F0BBA" w:rsidRDefault="0087709A" w:rsidP="00F36373">
      <w:pPr>
        <w:pStyle w:val="Normal12Centre"/>
      </w:pPr>
      <w:r w:rsidRPr="006F0BBA">
        <w:rPr>
          <w:rStyle w:val="HideTWBExt"/>
          <w:noProof w:val="0"/>
        </w:rPr>
        <w:t>&lt;DocER&gt;</w:t>
      </w:r>
      <w:r w:rsidR="00023D6C">
        <w:t>ke zprávě</w:t>
      </w:r>
      <w:r w:rsidRPr="006F0BBA">
        <w:rPr>
          <w:rStyle w:val="HideTWBExt"/>
          <w:noProof w:val="0"/>
        </w:rPr>
        <w:t>&lt;/DocER&gt;</w:t>
      </w:r>
    </w:p>
    <w:p w:rsidR="00051161" w:rsidRPr="006F0BBA" w:rsidRDefault="00FC7D10" w:rsidP="00051161">
      <w:pPr>
        <w:pStyle w:val="NormalCentre"/>
      </w:pPr>
      <w:r w:rsidRPr="006F0BBA">
        <w:rPr>
          <w:rStyle w:val="HideTWBExt"/>
          <w:noProof w:val="0"/>
        </w:rPr>
        <w:t>&lt;Titre&gt;</w:t>
      </w:r>
      <w:r w:rsidR="00781A40">
        <w:t>o</w:t>
      </w:r>
      <w:r w:rsidR="00023D6C" w:rsidRPr="00023D6C">
        <w:t xml:space="preserve"> návrhu nařízení Evropského parlamentu a Rady o statistice přepravy věcí po vnitrozemských vodních cestách (kodifikované znění)</w:t>
      </w:r>
      <w:r w:rsidRPr="006F0BBA">
        <w:rPr>
          <w:rStyle w:val="HideTWBExt"/>
          <w:noProof w:val="0"/>
        </w:rPr>
        <w:t>&lt;/Titre&gt;</w:t>
      </w:r>
    </w:p>
    <w:p w:rsidR="00051161" w:rsidRPr="006F0BBA" w:rsidRDefault="00FC7D10" w:rsidP="00D02C73">
      <w:pPr>
        <w:pStyle w:val="NormalCentre"/>
      </w:pPr>
      <w:r w:rsidRPr="006F0BBA">
        <w:rPr>
          <w:rStyle w:val="HideTWBExt"/>
          <w:noProof w:val="0"/>
        </w:rPr>
        <w:t>&lt;DocRef&gt;</w:t>
      </w:r>
      <w:r w:rsidR="00D02C73" w:rsidRPr="006F0BBA">
        <w:rPr>
          <w:rStyle w:val="HideTWBExt"/>
          <w:noProof w:val="0"/>
        </w:rPr>
        <w:t>&lt;OptDel&gt;</w:t>
      </w:r>
      <w:r w:rsidR="00023D6C" w:rsidRPr="00023D6C">
        <w:t>(COM(2017)0545 – C8-0337/2017 – 2017/0256(COD))</w:t>
      </w:r>
      <w:r w:rsidR="00D02C73" w:rsidRPr="006F0BBA">
        <w:rPr>
          <w:rStyle w:val="HideTWBExt"/>
          <w:noProof w:val="0"/>
        </w:rPr>
        <w:t>&lt;/OptDel&gt;</w:t>
      </w:r>
      <w:r w:rsidRPr="006F0BBA">
        <w:rPr>
          <w:rStyle w:val="HideTWBExt"/>
          <w:noProof w:val="0"/>
        </w:rPr>
        <w:t>&lt;/DocRef&gt;</w:t>
      </w:r>
    </w:p>
    <w:p w:rsidR="00051161" w:rsidRPr="006F0BBA" w:rsidRDefault="00051161" w:rsidP="00D02C73">
      <w:pPr>
        <w:pStyle w:val="Normal12a12bCentre"/>
      </w:pPr>
      <w:r w:rsidRPr="006F0BBA">
        <w:rPr>
          <w:rStyle w:val="HideTWBExt"/>
          <w:noProof w:val="0"/>
        </w:rPr>
        <w:t>&lt;Commission&gt;</w:t>
      </w:r>
      <w:r w:rsidR="00023D6C" w:rsidRPr="00023D6C">
        <w:rPr>
          <w:rStyle w:val="HideTWBInt"/>
        </w:rPr>
        <w:t>{JURI}</w:t>
      </w:r>
      <w:r w:rsidR="00023D6C">
        <w:t>Výbor pro právní záležitosti</w:t>
      </w:r>
      <w:r w:rsidRPr="006F0BBA">
        <w:rPr>
          <w:rStyle w:val="HideTWBExt"/>
          <w:noProof w:val="0"/>
        </w:rPr>
        <w:t>&lt;/Commission&gt;</w:t>
      </w:r>
    </w:p>
    <w:p w:rsidR="00051161" w:rsidRPr="006F0BBA" w:rsidRDefault="00023D6C" w:rsidP="00051161">
      <w:pPr>
        <w:pStyle w:val="NormalCentre"/>
      </w:pPr>
      <w:r>
        <w:t>Zpravodajka</w:t>
      </w:r>
      <w:r w:rsidR="006F0BBA" w:rsidRPr="006F0BBA">
        <w:t>:</w:t>
      </w:r>
      <w:r w:rsidR="00051161" w:rsidRPr="006F0BBA">
        <w:t xml:space="preserve"> </w:t>
      </w:r>
      <w:r w:rsidR="00055703" w:rsidRPr="006F0BBA">
        <w:rPr>
          <w:rStyle w:val="HideTWBExt"/>
          <w:noProof w:val="0"/>
        </w:rPr>
        <w:t>&lt;Depute&gt;</w:t>
      </w:r>
      <w:r w:rsidRPr="00023D6C">
        <w:t>Lidia Joanna Geringer de Oedenberg</w:t>
      </w:r>
      <w:r w:rsidR="00055703" w:rsidRPr="006F0BBA">
        <w:rPr>
          <w:rStyle w:val="HideTWBExt"/>
          <w:noProof w:val="0"/>
        </w:rPr>
        <w:t>&lt;/Depute&gt;</w:t>
      </w:r>
    </w:p>
    <w:p w:rsidR="00051161" w:rsidRPr="006F0BBA" w:rsidRDefault="00023D6C" w:rsidP="009E4A8C">
      <w:pPr>
        <w:pStyle w:val="NormalCentre"/>
      </w:pPr>
      <w:r>
        <w:t>A8</w:t>
      </w:r>
      <w:r>
        <w:noBreakHyphen/>
      </w:r>
      <w:r w:rsidRPr="00023D6C">
        <w:t>0154/2018</w:t>
      </w:r>
    </w:p>
    <w:p w:rsidR="009E4A8C" w:rsidRPr="006F0BBA" w:rsidRDefault="009E4A8C" w:rsidP="009E4A8C">
      <w:pPr>
        <w:pBdr>
          <w:bottom w:val="single" w:sz="4" w:space="1" w:color="auto"/>
        </w:pBdr>
      </w:pPr>
    </w:p>
    <w:p w:rsidR="009E4A8C" w:rsidRPr="006F0BBA" w:rsidRDefault="00EC5E57" w:rsidP="00EC5E57">
      <w:r w:rsidRPr="006F0BBA">
        <w:rPr>
          <w:rStyle w:val="HideTWBExt"/>
          <w:noProof w:val="0"/>
        </w:rPr>
        <w:t>&lt;OptDel&gt;</w:t>
      </w:r>
      <w:bookmarkStart w:id="1" w:name="DocEPTmp"/>
      <w:bookmarkEnd w:id="1"/>
      <w:r w:rsidR="00023D6C">
        <w:t>Návrh legislativního usnesení</w:t>
      </w:r>
      <w:r w:rsidRPr="006F0BBA">
        <w:rPr>
          <w:rStyle w:val="HideTWBExt"/>
          <w:noProof w:val="0"/>
        </w:rPr>
        <w:t>&lt;/OptDel&gt;</w:t>
      </w:r>
    </w:p>
    <w:p w:rsidR="009E4A8C" w:rsidRPr="006F0BBA" w:rsidRDefault="00023D6C" w:rsidP="00EC5E57">
      <w:pPr>
        <w:pStyle w:val="Normal12a12bBold"/>
      </w:pPr>
      <w:r>
        <w:t>Návrh postoje Evropského parlamentu by po provedení konečné právně-jazykové redakce službami Parlamentu a Rady měl znít takto:</w:t>
      </w:r>
      <w:bookmarkStart w:id="2" w:name="DocEPTmp2"/>
      <w:bookmarkEnd w:id="2"/>
    </w:p>
    <w:p w:rsidR="00CB0F99" w:rsidRDefault="00CB0F99" w:rsidP="00A41F34">
      <w:pPr>
        <w:pStyle w:val="Typedudocument"/>
        <w:spacing w:line="360" w:lineRule="auto"/>
      </w:pPr>
      <w:r>
        <w:t>NAŘÍZENÍ</w:t>
      </w:r>
      <w:r>
        <w:br/>
      </w:r>
      <w:r w:rsidRPr="004C48F4">
        <w:t>EVROPSKÉHO PARLAMENTU A RADY</w:t>
      </w:r>
      <w:r>
        <w:t xml:space="preserve"> (EU) 2018/…</w:t>
      </w:r>
    </w:p>
    <w:p w:rsidR="00CB0F99" w:rsidRPr="00A41F34" w:rsidRDefault="00CB0F99" w:rsidP="00A41F34">
      <w:pPr>
        <w:pStyle w:val="dateda"/>
      </w:pPr>
      <w:r>
        <w:t>ze dne …</w:t>
      </w:r>
    </w:p>
    <w:p w:rsidR="00CB0F99" w:rsidRDefault="00CB0F99" w:rsidP="00A41F34">
      <w:pPr>
        <w:pStyle w:val="Titreobjet"/>
        <w:spacing w:line="360" w:lineRule="auto"/>
      </w:pPr>
      <w:r w:rsidRPr="004C48F4">
        <w:t>o statistice přepravy věcí po vnitrozemských vodních cestách</w:t>
      </w:r>
    </w:p>
    <w:p w:rsidR="00CB0F99" w:rsidRDefault="00CB0F99" w:rsidP="00D13981">
      <w:pPr>
        <w:pStyle w:val="Titreobjet"/>
        <w:rPr>
          <w:noProof/>
          <w:lang w:eastAsia="en-GB"/>
        </w:rPr>
      </w:pPr>
      <w:r w:rsidRPr="004C48F4">
        <w:t>(kodifikované znění)</w:t>
      </w:r>
    </w:p>
    <w:p w:rsidR="00CB0F99" w:rsidRPr="00A41F34" w:rsidRDefault="00CB0F99" w:rsidP="00A41F34">
      <w:pPr>
        <w:pStyle w:val="Institutionquiagit"/>
        <w:spacing w:line="360" w:lineRule="auto"/>
        <w:rPr>
          <w:noProof/>
        </w:rPr>
      </w:pPr>
      <w:r w:rsidRPr="00A41F34">
        <w:rPr>
          <w:noProof/>
        </w:rPr>
        <w:lastRenderedPageBreak/>
        <w:t>EVROPSKÝ PARLAMENT A RADA EVROPSKÉ UNIE,</w:t>
      </w:r>
    </w:p>
    <w:p w:rsidR="00CB0F99" w:rsidRPr="00CB0F99" w:rsidRDefault="00CB0F99" w:rsidP="00CB0F99">
      <w:pPr>
        <w:spacing w:before="120" w:after="120" w:line="360" w:lineRule="auto"/>
        <w:rPr>
          <w:noProof/>
        </w:rPr>
      </w:pPr>
      <w:r w:rsidRPr="00A41F34">
        <w:rPr>
          <w:noProof/>
        </w:rPr>
        <w:t>s ohledem na Smlouvu o fungování Evropské unie, a zejména na čl. 338 odst. </w:t>
      </w:r>
      <w:r w:rsidRPr="00CB0F99">
        <w:rPr>
          <w:noProof/>
        </w:rPr>
        <w:t>1 této smlouvy,</w:t>
      </w:r>
    </w:p>
    <w:p w:rsidR="00CB0F99" w:rsidRPr="00CB0F99" w:rsidRDefault="00CB0F99" w:rsidP="00CB0F99">
      <w:pPr>
        <w:spacing w:before="120" w:after="120" w:line="360" w:lineRule="auto"/>
        <w:rPr>
          <w:noProof/>
        </w:rPr>
      </w:pPr>
      <w:r w:rsidRPr="00CB0F99">
        <w:rPr>
          <w:noProof/>
        </w:rPr>
        <w:t>s ohledem na návrh Evropské komise,</w:t>
      </w:r>
    </w:p>
    <w:p w:rsidR="00CB0F99" w:rsidRPr="00CB0F99" w:rsidRDefault="00CB0F99" w:rsidP="00CB0F99">
      <w:pPr>
        <w:spacing w:before="120" w:after="120" w:line="360" w:lineRule="auto"/>
        <w:rPr>
          <w:rFonts w:eastAsia="Calibri"/>
          <w:noProof/>
        </w:rPr>
      </w:pPr>
      <w:r w:rsidRPr="00CB0F99">
        <w:rPr>
          <w:rFonts w:eastAsia="Calibri"/>
          <w:noProof/>
        </w:rPr>
        <w:t>po postoupení návrhu legislativního aktu vnitrostátním parlamentům,</w:t>
      </w:r>
    </w:p>
    <w:p w:rsidR="00CB0F99" w:rsidRPr="00CB0F99" w:rsidRDefault="00CB0F99" w:rsidP="00CB0F99">
      <w:pPr>
        <w:spacing w:before="120" w:after="120" w:line="360" w:lineRule="auto"/>
        <w:rPr>
          <w:rFonts w:eastAsia="Calibri"/>
          <w:noProof/>
        </w:rPr>
      </w:pPr>
      <w:r w:rsidRPr="00CB0F99">
        <w:rPr>
          <w:rFonts w:eastAsia="Calibri"/>
          <w:noProof/>
        </w:rPr>
        <w:t>s ohledem na stanovisko Evropského hospodářského a sociálního výboru,</w:t>
      </w:r>
    </w:p>
    <w:p w:rsidR="00CB0F99" w:rsidRPr="00DA0B50" w:rsidRDefault="00CB0F99" w:rsidP="00CB0F99">
      <w:pPr>
        <w:spacing w:before="120" w:after="120" w:line="360" w:lineRule="auto"/>
        <w:rPr>
          <w:rFonts w:eastAsia="Calibri"/>
          <w:noProof/>
          <w:lang w:val="pt-PT"/>
        </w:rPr>
      </w:pPr>
      <w:r w:rsidRPr="00DA0B50">
        <w:rPr>
          <w:rFonts w:eastAsia="Calibri"/>
          <w:noProof/>
          <w:lang w:val="pt-PT"/>
        </w:rPr>
        <w:t>v souladu s řádným legislativním postupem</w:t>
      </w:r>
      <w:r>
        <w:rPr>
          <w:rStyle w:val="FootnoteReference"/>
          <w:noProof/>
        </w:rPr>
        <w:footnoteReference w:id="1"/>
      </w:r>
      <w:r w:rsidRPr="00DA0B50">
        <w:rPr>
          <w:rFonts w:eastAsia="Calibri"/>
          <w:noProof/>
          <w:lang w:val="pt-PT"/>
        </w:rPr>
        <w:t>,</w:t>
      </w:r>
    </w:p>
    <w:p w:rsidR="00CB0F99" w:rsidRDefault="00CB0F99">
      <w:pPr>
        <w:spacing w:after="200" w:line="276" w:lineRule="auto"/>
        <w:rPr>
          <w:rFonts w:eastAsia="Calibri"/>
          <w:noProof/>
          <w:lang w:val="pt-PT"/>
        </w:rPr>
      </w:pPr>
      <w:r>
        <w:rPr>
          <w:rFonts w:eastAsia="Calibri"/>
          <w:noProof/>
          <w:lang w:val="pt-PT"/>
        </w:rPr>
        <w:br w:type="page"/>
      </w:r>
    </w:p>
    <w:p w:rsidR="00CB0F99" w:rsidRPr="00DA0B50" w:rsidRDefault="00CB0F99" w:rsidP="00CB0F99">
      <w:pPr>
        <w:spacing w:before="120" w:after="120" w:line="360" w:lineRule="auto"/>
        <w:rPr>
          <w:noProof/>
          <w:lang w:val="pt-PT"/>
        </w:rPr>
      </w:pPr>
      <w:r w:rsidRPr="00DA0B50">
        <w:rPr>
          <w:rFonts w:eastAsia="Calibri"/>
          <w:noProof/>
          <w:lang w:val="pt-PT"/>
        </w:rPr>
        <w:t>vzhledem k těmto důvodům:</w:t>
      </w:r>
    </w:p>
    <w:p w:rsidR="00CB0F99" w:rsidRDefault="00CB0F99" w:rsidP="00CB0F99">
      <w:pPr>
        <w:pStyle w:val="ManualConsidrant"/>
        <w:spacing w:line="360" w:lineRule="auto"/>
        <w:ind w:left="720" w:hanging="720"/>
        <w:jc w:val="left"/>
        <w:rPr>
          <w:noProof/>
          <w:lang w:eastAsia="en-GB"/>
        </w:rPr>
      </w:pPr>
      <w:r>
        <w:rPr>
          <w:noProof/>
        </w:rPr>
        <w:t>(1)</w:t>
      </w:r>
      <w:r>
        <w:rPr>
          <w:noProof/>
        </w:rPr>
        <w:tab/>
      </w:r>
      <w:r>
        <w:rPr>
          <w:noProof/>
          <w:lang w:eastAsia="zh-CN"/>
        </w:rPr>
        <w:t xml:space="preserve">Nařízení Evropského parlamentu a Rady (ES) č. </w:t>
      </w:r>
      <w:r>
        <w:rPr>
          <w:rFonts w:eastAsia="Times New Roman"/>
          <w:noProof/>
        </w:rPr>
        <w:t>1365/2006</w:t>
      </w:r>
      <w:r>
        <w:rPr>
          <w:rStyle w:val="FootnoteReference"/>
          <w:noProof/>
        </w:rPr>
        <w:footnoteReference w:id="2"/>
      </w:r>
      <w:r>
        <w:rPr>
          <w:noProof/>
          <w:lang w:eastAsia="zh-CN"/>
        </w:rPr>
        <w:t xml:space="preserve"> bylo několikrát podstatně změněno</w:t>
      </w:r>
      <w:r>
        <w:rPr>
          <w:rStyle w:val="FootnoteReference"/>
          <w:noProof/>
        </w:rPr>
        <w:footnoteReference w:id="3"/>
      </w:r>
      <w:r>
        <w:rPr>
          <w:noProof/>
          <w:lang w:eastAsia="zh-CN"/>
        </w:rPr>
        <w:t>. V zájmu přehlednosti a srozumitelnosti by uvedené nařízení mělo být kodifikováno.</w:t>
      </w:r>
    </w:p>
    <w:p w:rsidR="00CB0F99" w:rsidRPr="005E4E71" w:rsidRDefault="00CB0F99" w:rsidP="00CB0F99">
      <w:pPr>
        <w:pStyle w:val="ManualConsidrant"/>
        <w:spacing w:line="360" w:lineRule="auto"/>
        <w:ind w:left="720" w:hanging="720"/>
        <w:jc w:val="left"/>
        <w:rPr>
          <w:noProof/>
        </w:rPr>
      </w:pPr>
      <w:r>
        <w:rPr>
          <w:noProof/>
        </w:rPr>
        <w:t>(2)</w:t>
      </w:r>
      <w:r>
        <w:rPr>
          <w:noProof/>
        </w:rPr>
        <w:tab/>
        <w:t>Vnitrozemské vodní cesty jsou významnou součástí dopravních sítí Unie a podpora vnitrozemské vodní dopravy je jedním z cílů společné dopravní politiky jak z důvodů hospodářské účinnosti, tak za účelem omezování spotřeby energie a dopadu dopravy na životní prostředí.</w:t>
      </w:r>
    </w:p>
    <w:p w:rsidR="00CB0F99" w:rsidRPr="005E4E71" w:rsidRDefault="00CB0F99" w:rsidP="00CB0F99">
      <w:pPr>
        <w:pStyle w:val="ManualConsidrant"/>
        <w:spacing w:line="360" w:lineRule="auto"/>
        <w:ind w:left="720" w:hanging="720"/>
        <w:jc w:val="left"/>
        <w:rPr>
          <w:noProof/>
        </w:rPr>
      </w:pPr>
      <w:r>
        <w:rPr>
          <w:noProof/>
        </w:rPr>
        <w:t>(3)</w:t>
      </w:r>
      <w:r>
        <w:rPr>
          <w:noProof/>
        </w:rPr>
        <w:tab/>
        <w:t>Komise potřebuje statistiky o přepravě věcí po vnitrozemských vodních cestách, aby mohla sledovat a rozvíjet společnou dopravní politiku i dopravní prvky regionální politiky a politiky transevropských sítí.</w:t>
      </w:r>
    </w:p>
    <w:p w:rsidR="00CB0F99" w:rsidRDefault="00CB0F99" w:rsidP="00A41F34">
      <w:pPr>
        <w:spacing w:after="200" w:line="276" w:lineRule="auto"/>
        <w:rPr>
          <w:noProof/>
        </w:rPr>
      </w:pPr>
      <w:r w:rsidRPr="00A41F34">
        <w:rPr>
          <w:noProof/>
        </w:rPr>
        <w:br w:type="page"/>
      </w:r>
    </w:p>
    <w:p w:rsidR="00CB0F99" w:rsidRDefault="00CB0F99" w:rsidP="00CB0F99">
      <w:pPr>
        <w:pStyle w:val="ManualConsidrant"/>
        <w:spacing w:line="360" w:lineRule="auto"/>
        <w:ind w:left="720" w:hanging="720"/>
        <w:jc w:val="left"/>
        <w:rPr>
          <w:noProof/>
        </w:rPr>
      </w:pPr>
      <w:r>
        <w:rPr>
          <w:noProof/>
        </w:rPr>
        <w:t>(4)</w:t>
      </w:r>
      <w:r>
        <w:rPr>
          <w:noProof/>
        </w:rPr>
        <w:tab/>
        <w:t>K dosažení nejvyšší proveditelné srovnatelnosti mezi jednotlivými druhy dopravy by se evropské statistiky o všech druzích dopravy měly shromažďovat podle společných koncepcí a norem.</w:t>
      </w:r>
    </w:p>
    <w:p w:rsidR="00CB0F99" w:rsidRDefault="00CB0F99" w:rsidP="00CB0F99">
      <w:pPr>
        <w:pStyle w:val="ManualConsidrant"/>
        <w:spacing w:line="360" w:lineRule="auto"/>
        <w:ind w:left="720" w:hanging="720"/>
        <w:jc w:val="left"/>
        <w:rPr>
          <w:noProof/>
        </w:rPr>
      </w:pPr>
      <w:r>
        <w:rPr>
          <w:noProof/>
        </w:rPr>
        <w:t>(5)</w:t>
      </w:r>
      <w:r>
        <w:rPr>
          <w:noProof/>
        </w:rPr>
        <w:tab/>
        <w:t>Doprava po vnitrozemských vodních cestách není provozována ve všech členských státech, a proto se účinky tohoto nařízení omezují na ty členské státy, v nichž tento druh dopravy existuje.</w:t>
      </w:r>
    </w:p>
    <w:p w:rsidR="00CB0F99" w:rsidRDefault="00CB0F99" w:rsidP="00CB0F99">
      <w:pPr>
        <w:pStyle w:val="ManualConsidrant"/>
        <w:spacing w:line="360" w:lineRule="auto"/>
        <w:ind w:left="720" w:hanging="720"/>
        <w:jc w:val="left"/>
        <w:rPr>
          <w:noProof/>
        </w:rPr>
      </w:pPr>
      <w:r>
        <w:rPr>
          <w:noProof/>
        </w:rPr>
        <w:t>(6)</w:t>
      </w:r>
      <w:r>
        <w:rPr>
          <w:noProof/>
        </w:rPr>
        <w:tab/>
        <w:t>Nařízení Evropského parlamentu a Rady (ES) č. 223/2009</w:t>
      </w:r>
      <w:r>
        <w:rPr>
          <w:rStyle w:val="FootnoteReference"/>
          <w:noProof/>
          <w:lang w:val="en-GB"/>
        </w:rPr>
        <w:footnoteReference w:id="4"/>
      </w:r>
      <w:r>
        <w:rPr>
          <w:noProof/>
        </w:rPr>
        <w:t xml:space="preserve"> stanoví referenční rámec pro toto nařízení.</w:t>
      </w:r>
    </w:p>
    <w:p w:rsidR="00CB0F99" w:rsidRDefault="00CB0F99" w:rsidP="00A41F34">
      <w:pPr>
        <w:spacing w:after="200" w:line="276" w:lineRule="auto"/>
        <w:rPr>
          <w:noProof/>
        </w:rPr>
      </w:pPr>
      <w:r w:rsidRPr="00A41F34">
        <w:rPr>
          <w:noProof/>
        </w:rPr>
        <w:br w:type="page"/>
      </w:r>
    </w:p>
    <w:p w:rsidR="00CB0F99" w:rsidRDefault="00CB0F99" w:rsidP="00A41F34">
      <w:pPr>
        <w:pStyle w:val="ManualConsidrant"/>
        <w:spacing w:line="360" w:lineRule="auto"/>
        <w:ind w:left="720" w:hanging="720"/>
        <w:jc w:val="left"/>
        <w:rPr>
          <w:noProof/>
        </w:rPr>
      </w:pPr>
      <w:r>
        <w:rPr>
          <w:noProof/>
        </w:rPr>
        <w:t>(7)</w:t>
      </w:r>
      <w:r>
        <w:rPr>
          <w:noProof/>
        </w:rPr>
        <w:tab/>
        <w:t>Za účelem zohlednění hospodářského a technického vývoje a změn definic přijatých na mezinárodní úrovni by měla být na Komisi přenesena pravomoc přijímat akty v souladu s článkem 290 Smlouvy o fungování Evropské unie, pokud jde o změnu tohoto nařízení zvýšením prahu na více než 1 000 000 tun pro statistické pokrytí vnitrozemské vodní dopravy, úpravou definic nebo stanovením nových definic i úpravou obsahu příloh tohoto nařízení za účelem zohlednění změn kódů a nomenklatury na mezinárodní úrovni nebo v příslušných legislativních aktech Unie.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w:t>
      </w:r>
      <w:r>
        <w:rPr>
          <w:rStyle w:val="FootnoteReference"/>
          <w:noProof/>
        </w:rPr>
        <w:footnoteReference w:id="5"/>
      </w:r>
      <w:r>
        <w:rPr>
          <w:noProof/>
        </w:rPr>
        <w:t>. Pro zajištění rovné účasti na vypracovávání aktů v přenesené pravomoci obdrží Evropský parlament a Rada veškeré dokumenty současně s odborníky z členských států a jejich odborníci mají automaticky přístup na zasedání skupin odborníků Komise, jež se věnují přípravě aktů v přenesené pravomoci.</w:t>
      </w:r>
    </w:p>
    <w:p w:rsidR="00CB0F99" w:rsidRDefault="00CB0F99" w:rsidP="00A41F34">
      <w:pPr>
        <w:pStyle w:val="ManualConsidrant"/>
        <w:spacing w:line="360" w:lineRule="auto"/>
        <w:ind w:left="720" w:hanging="720"/>
        <w:jc w:val="left"/>
        <w:rPr>
          <w:noProof/>
        </w:rPr>
      </w:pPr>
      <w:r>
        <w:rPr>
          <w:noProof/>
        </w:rPr>
        <w:t>(8)</w:t>
      </w:r>
      <w:r>
        <w:rPr>
          <w:noProof/>
        </w:rPr>
        <w:tab/>
        <w:t>Komise by měla zajistit, aby tyto akty v přenesené pravomoci nepředstavovaly další podstatnou zátěž pro členské státy nebo respondenty.</w:t>
      </w:r>
    </w:p>
    <w:p w:rsidR="00CB0F99" w:rsidRDefault="00CB0F99" w:rsidP="00A41F34">
      <w:pPr>
        <w:spacing w:after="200" w:line="276" w:lineRule="auto"/>
        <w:rPr>
          <w:noProof/>
        </w:rPr>
      </w:pPr>
      <w:r w:rsidRPr="00A41F34">
        <w:rPr>
          <w:noProof/>
        </w:rPr>
        <w:br w:type="page"/>
      </w:r>
    </w:p>
    <w:p w:rsidR="00CB0F99" w:rsidRDefault="00CB0F99" w:rsidP="00CB0F99">
      <w:pPr>
        <w:pStyle w:val="ManualConsidrant"/>
        <w:spacing w:line="360" w:lineRule="auto"/>
        <w:ind w:left="720" w:hanging="720"/>
        <w:jc w:val="left"/>
        <w:rPr>
          <w:noProof/>
        </w:rPr>
      </w:pPr>
      <w:r>
        <w:rPr>
          <w:noProof/>
        </w:rPr>
        <w:t>(9)</w:t>
      </w:r>
      <w:r>
        <w:rPr>
          <w:noProof/>
        </w:rPr>
        <w:tab/>
        <w:t>Za účelem zajištění jednotných podmínek k provedení tohoto nařízení by měly být Komisi svěřeny prováděcí pravomoci umožňující jí přijímat způsoby předávání údajů, včetně norem pro výměnu údajů, způsoby šíření výsledků Komisí (Eurostatem) a rovněž vypracovat a zveřejňovat metodické požadavky a kritéria, jejichž cílem je zajistit kvalitu poskytovaných údajů. Tyto pravomoci by měly být vykonávány v souladu s nařízením Evropského parlamentu a Rady (EU) č. 182/2011</w:t>
      </w:r>
      <w:r>
        <w:rPr>
          <w:rStyle w:val="FootnoteReference"/>
          <w:noProof/>
        </w:rPr>
        <w:footnoteReference w:id="6"/>
      </w:r>
      <w:r>
        <w:rPr>
          <w:noProof/>
        </w:rPr>
        <w:t>.</w:t>
      </w:r>
    </w:p>
    <w:p w:rsidR="00CB0F99" w:rsidRPr="005E4E71" w:rsidRDefault="00CB0F99" w:rsidP="00CB0F99">
      <w:pPr>
        <w:pStyle w:val="ManualConsidrant"/>
        <w:spacing w:line="360" w:lineRule="auto"/>
        <w:ind w:left="720" w:hanging="720"/>
        <w:jc w:val="left"/>
        <w:rPr>
          <w:noProof/>
        </w:rPr>
      </w:pPr>
      <w:r>
        <w:rPr>
          <w:noProof/>
        </w:rPr>
        <w:t>(10)</w:t>
      </w:r>
      <w:r>
        <w:rPr>
          <w:noProof/>
        </w:rPr>
        <w:tab/>
      </w:r>
      <w:r>
        <w:rPr>
          <w:noProof/>
          <w:lang w:eastAsia="en-GB"/>
        </w:rPr>
        <w:t>Je nezbytné, aby Komise zajistila provedení pilotních studií o dostupnosti statistických údajů týkajících se osobní přepravy po vnitrozemských vodních cestách, včetně prostřednictvím přeshraničních dopravních služeb. Unie by měla přispívat na náklady na provedení těchto pilotních studií. Tento příspěvek by měl být poskytnut ve formě grantů udělovaných národním statistickým úřadům a jiným vnitrostátním orgánům uvedeným v článku 5 nařízení (ES) č. 223/2009 a v souladu s nařízením Evropského parlamentu a Rady (EU, Euratom) č. 966/2012</w:t>
      </w:r>
      <w:r>
        <w:rPr>
          <w:rStyle w:val="FootnoteReference"/>
          <w:noProof/>
        </w:rPr>
        <w:footnoteReference w:id="7"/>
      </w:r>
      <w:r>
        <w:rPr>
          <w:noProof/>
          <w:lang w:eastAsia="en-GB"/>
        </w:rPr>
        <w:t>.</w:t>
      </w:r>
    </w:p>
    <w:p w:rsidR="00CB0F99" w:rsidRDefault="00CB0F99" w:rsidP="00A41F34">
      <w:pPr>
        <w:spacing w:after="200" w:line="276" w:lineRule="auto"/>
        <w:rPr>
          <w:noProof/>
        </w:rPr>
      </w:pPr>
      <w:r w:rsidRPr="00A41F34">
        <w:rPr>
          <w:noProof/>
        </w:rPr>
        <w:br w:type="page"/>
      </w:r>
    </w:p>
    <w:p w:rsidR="00CB0F99" w:rsidRDefault="00CB0F99" w:rsidP="00CB0F99">
      <w:pPr>
        <w:pStyle w:val="ManualConsidrant"/>
        <w:spacing w:line="360" w:lineRule="auto"/>
        <w:ind w:left="720" w:hanging="720"/>
        <w:jc w:val="left"/>
        <w:rPr>
          <w:noProof/>
        </w:rPr>
      </w:pPr>
      <w:r>
        <w:rPr>
          <w:noProof/>
        </w:rPr>
        <w:t>(11)</w:t>
      </w:r>
      <w:r>
        <w:rPr>
          <w:noProof/>
        </w:rPr>
        <w:tab/>
        <w:t xml:space="preserve">Jelikož cíle tohoto nařízení, totiž vytvoření společných statistických norem, které umožní získávat harmonizované údaje, nemůže být </w:t>
      </w:r>
      <w:r w:rsidRPr="00ED2289">
        <w:rPr>
          <w:noProof/>
        </w:rPr>
        <w:t xml:space="preserve">dosaženo </w:t>
      </w:r>
      <w:r>
        <w:rPr>
          <w:noProof/>
        </w:rPr>
        <w:t xml:space="preserve">uspokojivě členskými státy, ale spíše jej, z důvodu rozsahu uvedeného vytvoření norem, může být lépe dosaženo na úrovni </w:t>
      </w:r>
      <w:r w:rsidRPr="005E4E71">
        <w:rPr>
          <w:rFonts w:eastAsiaTheme="minorEastAsia"/>
          <w:noProof/>
          <w:szCs w:val="24"/>
          <w:lang w:eastAsia="en-GB"/>
        </w:rPr>
        <w:t>Unie</w:t>
      </w:r>
      <w:r>
        <w:rPr>
          <w:noProof/>
        </w:rPr>
        <w:t xml:space="preserve">, může </w:t>
      </w:r>
      <w:r w:rsidRPr="005E4E71">
        <w:rPr>
          <w:rFonts w:eastAsiaTheme="minorEastAsia"/>
          <w:noProof/>
          <w:szCs w:val="24"/>
          <w:lang w:eastAsia="en-GB"/>
        </w:rPr>
        <w:t>Unie</w:t>
      </w:r>
      <w:r>
        <w:rPr>
          <w:noProof/>
        </w:rPr>
        <w:t xml:space="preserve"> přijmout opatření v souladu se zásadou subsidiarity stanovenou v článku 5 Smlouvy o </w:t>
      </w:r>
      <w:r w:rsidRPr="005E4E71">
        <w:rPr>
          <w:rFonts w:eastAsiaTheme="minorEastAsia"/>
          <w:iCs/>
          <w:noProof/>
          <w:szCs w:val="24"/>
          <w:lang w:eastAsia="en-GB"/>
        </w:rPr>
        <w:t>Evropské Unii</w:t>
      </w:r>
      <w:r>
        <w:rPr>
          <w:noProof/>
        </w:rPr>
        <w:t>. V souladu se zásadou proporcionality stanovenou v uvedeném článku nepřekračuje toto nařízení rámec toho, co je nezbytné pro dosažení tohoto cíle,</w:t>
      </w:r>
    </w:p>
    <w:p w:rsidR="00CB0F99" w:rsidRDefault="00CB0F99" w:rsidP="00DA0B50">
      <w:pPr>
        <w:pStyle w:val="Formuledadoption"/>
        <w:keepNext w:val="0"/>
        <w:autoSpaceDE w:val="0"/>
        <w:autoSpaceDN w:val="0"/>
        <w:spacing w:line="360" w:lineRule="auto"/>
        <w:jc w:val="left"/>
        <w:rPr>
          <w:noProof/>
          <w:lang w:eastAsia="en-GB"/>
        </w:rPr>
      </w:pPr>
      <w:r>
        <w:rPr>
          <w:noProof/>
          <w:lang w:eastAsia="en-GB"/>
        </w:rPr>
        <w:t>P</w:t>
      </w:r>
      <w:r>
        <w:rPr>
          <w:rFonts w:hint="eastAsia"/>
          <w:noProof/>
          <w:lang w:eastAsia="en-GB"/>
        </w:rPr>
        <w:t>Ř</w:t>
      </w:r>
      <w:r>
        <w:rPr>
          <w:noProof/>
          <w:lang w:eastAsia="en-GB"/>
        </w:rPr>
        <w:t>IJALY TOTO NA</w:t>
      </w:r>
      <w:r>
        <w:rPr>
          <w:rFonts w:hint="eastAsia"/>
          <w:noProof/>
          <w:lang w:eastAsia="en-GB"/>
        </w:rPr>
        <w:t>ŘÍ</w:t>
      </w:r>
      <w:r>
        <w:rPr>
          <w:noProof/>
          <w:lang w:eastAsia="en-GB"/>
        </w:rPr>
        <w:t>ZEN</w:t>
      </w:r>
      <w:r>
        <w:rPr>
          <w:rFonts w:hint="eastAsia"/>
          <w:noProof/>
          <w:lang w:eastAsia="en-GB"/>
        </w:rPr>
        <w:t>Í</w:t>
      </w:r>
      <w:r>
        <w:rPr>
          <w:noProof/>
          <w:lang w:eastAsia="en-GB"/>
        </w:rPr>
        <w:t>:</w:t>
      </w:r>
    </w:p>
    <w:p w:rsidR="00CB0F99" w:rsidRDefault="00CB0F99">
      <w:pPr>
        <w:spacing w:after="200" w:line="276" w:lineRule="auto"/>
        <w:rPr>
          <w:i/>
          <w:noProof/>
        </w:rPr>
      </w:pPr>
      <w:r w:rsidRPr="00A41F34">
        <w:rPr>
          <w:noProof/>
        </w:rPr>
        <w:br w:type="page"/>
      </w:r>
    </w:p>
    <w:p w:rsidR="00CB0F99" w:rsidRPr="000B6EBA" w:rsidRDefault="00CB0F99" w:rsidP="00D13981">
      <w:pPr>
        <w:pStyle w:val="Titrearticle"/>
        <w:spacing w:line="360" w:lineRule="auto"/>
      </w:pPr>
      <w:r w:rsidRPr="000B6EBA">
        <w:t>Článek 1</w:t>
      </w:r>
      <w:r w:rsidRPr="000B6EBA">
        <w:br/>
        <w:t>Předmět</w:t>
      </w:r>
    </w:p>
    <w:p w:rsidR="00CB0F99" w:rsidRPr="00DA0B50" w:rsidRDefault="00CB0F99" w:rsidP="00CB0F99">
      <w:pPr>
        <w:autoSpaceDE w:val="0"/>
        <w:autoSpaceDN w:val="0"/>
        <w:spacing w:before="120" w:after="120" w:line="360" w:lineRule="auto"/>
        <w:rPr>
          <w:rFonts w:eastAsiaTheme="minorEastAsia"/>
          <w:noProof/>
          <w:szCs w:val="24"/>
        </w:rPr>
      </w:pPr>
      <w:r w:rsidRPr="00DA0B50">
        <w:rPr>
          <w:rFonts w:eastAsiaTheme="minorEastAsia"/>
          <w:noProof/>
          <w:szCs w:val="24"/>
        </w:rPr>
        <w:t xml:space="preserve">Toto nařízení stanoví společná pravidla pro vypracovávání </w:t>
      </w:r>
      <w:r w:rsidRPr="00DA0B50">
        <w:rPr>
          <w:noProof/>
        </w:rPr>
        <w:t xml:space="preserve">evropských </w:t>
      </w:r>
      <w:r w:rsidRPr="00DA0B50">
        <w:rPr>
          <w:rFonts w:eastAsiaTheme="minorEastAsia"/>
          <w:noProof/>
          <w:szCs w:val="24"/>
        </w:rPr>
        <w:t>statistik týkajících se vnitrozemské vodní dopravy.</w:t>
      </w:r>
    </w:p>
    <w:p w:rsidR="00CB0F99" w:rsidRPr="00DA0B50" w:rsidRDefault="00CB0F99" w:rsidP="00D13981">
      <w:pPr>
        <w:pStyle w:val="Titrearticle"/>
        <w:spacing w:line="360" w:lineRule="auto"/>
        <w:rPr>
          <w:noProof/>
          <w:lang w:eastAsia="en-GB"/>
        </w:rPr>
      </w:pPr>
      <w:r w:rsidRPr="003322B9">
        <w:rPr>
          <w:noProof/>
          <w:lang w:eastAsia="en-GB"/>
        </w:rPr>
        <w:t>Článek 2</w:t>
      </w:r>
      <w:r>
        <w:rPr>
          <w:noProof/>
          <w:lang w:eastAsia="en-GB"/>
        </w:rPr>
        <w:br/>
      </w:r>
      <w:r w:rsidRPr="00DA0B50">
        <w:rPr>
          <w:noProof/>
          <w:lang w:eastAsia="en-GB"/>
        </w:rPr>
        <w:t>Oblast působnosti</w:t>
      </w:r>
    </w:p>
    <w:p w:rsidR="00CB0F99" w:rsidRPr="00DA0B50" w:rsidRDefault="00CB0F99" w:rsidP="00CB0F99">
      <w:pPr>
        <w:pStyle w:val="Manualnumpar"/>
        <w:ind w:left="851" w:hanging="851"/>
      </w:pPr>
      <w:r>
        <w:t>1.</w:t>
      </w:r>
      <w:r>
        <w:tab/>
      </w:r>
      <w:r w:rsidRPr="00DA0B50">
        <w:t>Členské státy předávají Komisi (Eurostatu) údaje, které se týkají dopravy po vnitrozemských vodních cestách na jejich území.</w:t>
      </w:r>
    </w:p>
    <w:p w:rsidR="00CB0F99" w:rsidRPr="00DA0B50" w:rsidRDefault="00CB0F99" w:rsidP="00CB0F99">
      <w:pPr>
        <w:autoSpaceDE w:val="0"/>
        <w:autoSpaceDN w:val="0"/>
        <w:spacing w:before="120" w:after="120" w:line="360" w:lineRule="auto"/>
        <w:ind w:left="851" w:hanging="851"/>
        <w:rPr>
          <w:rFonts w:eastAsiaTheme="minorEastAsia"/>
          <w:noProof/>
          <w:szCs w:val="24"/>
        </w:rPr>
      </w:pPr>
      <w:r>
        <w:rPr>
          <w:rFonts w:eastAsiaTheme="minorEastAsia"/>
          <w:noProof/>
          <w:szCs w:val="24"/>
        </w:rPr>
        <w:t>2.</w:t>
      </w:r>
      <w:r>
        <w:rPr>
          <w:rFonts w:eastAsiaTheme="minorEastAsia"/>
          <w:noProof/>
          <w:szCs w:val="24"/>
        </w:rPr>
        <w:tab/>
      </w:r>
      <w:r w:rsidRPr="00DA0B50">
        <w:rPr>
          <w:rFonts w:eastAsiaTheme="minorEastAsia"/>
          <w:noProof/>
          <w:szCs w:val="24"/>
        </w:rPr>
        <w:t>Členské státy, ve kterých celkový objem věcí přepravených ročně po vnitrozemských vodních cestách v rámci vnitrostátní, mezinárodní nebo tranzitní dopravy překročí 1 000 000 tun, poskytují údaje uvedené v čl. 4 odst. 1.</w:t>
      </w:r>
    </w:p>
    <w:p w:rsidR="00CB0F99" w:rsidRPr="00DA0B50" w:rsidRDefault="00CB0F99" w:rsidP="00CB0F99">
      <w:pPr>
        <w:autoSpaceDE w:val="0"/>
        <w:autoSpaceDN w:val="0"/>
        <w:spacing w:before="120" w:after="120" w:line="360" w:lineRule="auto"/>
        <w:ind w:left="851" w:hanging="851"/>
        <w:rPr>
          <w:rFonts w:eastAsiaTheme="minorEastAsia"/>
          <w:noProof/>
          <w:szCs w:val="24"/>
        </w:rPr>
      </w:pPr>
      <w:r>
        <w:rPr>
          <w:rFonts w:eastAsiaTheme="minorEastAsia"/>
          <w:noProof/>
          <w:szCs w:val="24"/>
        </w:rPr>
        <w:t>3.</w:t>
      </w:r>
      <w:r>
        <w:rPr>
          <w:rFonts w:eastAsiaTheme="minorEastAsia"/>
          <w:noProof/>
          <w:szCs w:val="24"/>
        </w:rPr>
        <w:tab/>
      </w:r>
      <w:r w:rsidRPr="00DA0B50">
        <w:rPr>
          <w:rFonts w:eastAsiaTheme="minorEastAsia"/>
          <w:noProof/>
          <w:szCs w:val="24"/>
        </w:rPr>
        <w:t xml:space="preserve">Odchylně od odstavce 2 poskytují členské státy, </w:t>
      </w:r>
      <w:r>
        <w:rPr>
          <w:rFonts w:eastAsiaTheme="minorEastAsia"/>
          <w:noProof/>
          <w:szCs w:val="24"/>
        </w:rPr>
        <w:t>ve kterých</w:t>
      </w:r>
      <w:r w:rsidRPr="00DA0B50">
        <w:rPr>
          <w:rFonts w:eastAsiaTheme="minorEastAsia"/>
          <w:noProof/>
          <w:szCs w:val="24"/>
        </w:rPr>
        <w:t xml:space="preserve"> neexistuje mezinárodní ani tranzitní doprava po vnitrozemských vodních cestách, ale </w:t>
      </w:r>
      <w:r>
        <w:rPr>
          <w:rFonts w:eastAsiaTheme="minorEastAsia"/>
          <w:noProof/>
          <w:szCs w:val="24"/>
        </w:rPr>
        <w:t>v nichž</w:t>
      </w:r>
      <w:r w:rsidRPr="00DA0B50">
        <w:rPr>
          <w:rFonts w:eastAsiaTheme="minorEastAsia"/>
          <w:noProof/>
          <w:szCs w:val="24"/>
        </w:rPr>
        <w:t xml:space="preserve"> celkový objem věcí přepravených ročně po vnitrozemských vodních cestách v rámci vnitrostátní dopravy překročí 1 000 000 tun, pouze údaje požadované podle čl. 4 odst. 2.</w:t>
      </w:r>
    </w:p>
    <w:p w:rsidR="00CB0F99" w:rsidRDefault="00CB0F99">
      <w:pPr>
        <w:spacing w:after="200" w:line="276" w:lineRule="auto"/>
        <w:rPr>
          <w:rFonts w:eastAsiaTheme="minorEastAsia"/>
          <w:noProof/>
          <w:szCs w:val="24"/>
        </w:rPr>
      </w:pPr>
      <w:r>
        <w:rPr>
          <w:rFonts w:eastAsiaTheme="minorEastAsia"/>
          <w:noProof/>
          <w:szCs w:val="24"/>
        </w:rPr>
        <w:br w:type="page"/>
      </w:r>
    </w:p>
    <w:p w:rsidR="00CB0F99" w:rsidRPr="00DA0B50" w:rsidRDefault="00CB0F99" w:rsidP="00CB0F99">
      <w:pPr>
        <w:spacing w:before="120" w:after="120" w:line="360" w:lineRule="auto"/>
        <w:rPr>
          <w:rFonts w:eastAsiaTheme="minorEastAsia"/>
          <w:noProof/>
          <w:szCs w:val="24"/>
        </w:rPr>
      </w:pPr>
      <w:r>
        <w:rPr>
          <w:rFonts w:eastAsiaTheme="minorEastAsia"/>
          <w:noProof/>
          <w:szCs w:val="24"/>
        </w:rPr>
        <w:t>4.</w:t>
      </w:r>
      <w:r>
        <w:rPr>
          <w:rFonts w:eastAsiaTheme="minorEastAsia"/>
          <w:noProof/>
          <w:szCs w:val="24"/>
        </w:rPr>
        <w:tab/>
      </w:r>
      <w:r w:rsidRPr="00DA0B50">
        <w:rPr>
          <w:rFonts w:eastAsiaTheme="minorEastAsia"/>
          <w:noProof/>
          <w:szCs w:val="24"/>
        </w:rPr>
        <w:t>Toto nařízení se nepoužije na:</w:t>
      </w:r>
    </w:p>
    <w:p w:rsidR="00CB0F99" w:rsidRDefault="00CB0F99" w:rsidP="00CB0F99">
      <w:pPr>
        <w:pStyle w:val="Point1"/>
        <w:ind w:left="1418" w:hanging="567"/>
      </w:pPr>
      <w:r>
        <w:t>a)</w:t>
      </w:r>
      <w:r>
        <w:tab/>
        <w:t>přepravu věcí plavidly o hrubé nosnosti menší než 50 tun;</w:t>
      </w:r>
    </w:p>
    <w:p w:rsidR="00CB0F99" w:rsidRDefault="00CB0F99" w:rsidP="00CB0F99">
      <w:pPr>
        <w:pStyle w:val="Point1"/>
        <w:ind w:left="1418" w:hanging="567"/>
      </w:pPr>
      <w:r>
        <w:t>b)</w:t>
      </w:r>
      <w:r>
        <w:tab/>
        <w:t>plavidla používaná především pro přepravu cestujících;</w:t>
      </w:r>
    </w:p>
    <w:p w:rsidR="00CB0F99" w:rsidRDefault="00CB0F99" w:rsidP="00CB0F99">
      <w:pPr>
        <w:pStyle w:val="Point1"/>
        <w:ind w:left="1418" w:hanging="567"/>
        <w:rPr>
          <w:lang w:val="pl-PL"/>
        </w:rPr>
      </w:pPr>
      <w:r>
        <w:rPr>
          <w:lang w:val="pl-PL"/>
        </w:rPr>
        <w:t>c)</w:t>
      </w:r>
      <w:r>
        <w:rPr>
          <w:lang w:val="pl-PL"/>
        </w:rPr>
        <w:tab/>
        <w:t>plavidla používaná jako trajekty;</w:t>
      </w:r>
    </w:p>
    <w:p w:rsidR="00CB0F99" w:rsidRDefault="00CB0F99" w:rsidP="00CB0F99">
      <w:pPr>
        <w:pStyle w:val="Point1"/>
        <w:ind w:left="1418" w:hanging="567"/>
        <w:rPr>
          <w:lang w:val="pl-PL"/>
        </w:rPr>
      </w:pPr>
      <w:r>
        <w:rPr>
          <w:lang w:val="pl-PL"/>
        </w:rPr>
        <w:t>d)</w:t>
      </w:r>
      <w:r>
        <w:rPr>
          <w:lang w:val="pl-PL"/>
        </w:rPr>
        <w:tab/>
        <w:t>plavidla používaná přístavními správami a orgány veřejné moci výhradně pro neobchodní účely;</w:t>
      </w:r>
    </w:p>
    <w:p w:rsidR="00CB0F99" w:rsidRDefault="00CB0F99" w:rsidP="00CB0F99">
      <w:pPr>
        <w:pStyle w:val="Point1"/>
        <w:ind w:left="1418" w:hanging="567"/>
        <w:rPr>
          <w:lang w:val="pl-PL"/>
        </w:rPr>
      </w:pPr>
      <w:r>
        <w:rPr>
          <w:lang w:val="pl-PL"/>
        </w:rPr>
        <w:t>e)</w:t>
      </w:r>
      <w:r>
        <w:rPr>
          <w:lang w:val="pl-PL"/>
        </w:rPr>
        <w:tab/>
        <w:t>plavidla používaná výhradně pro zásobování palivem nebo skladování;</w:t>
      </w:r>
    </w:p>
    <w:p w:rsidR="00CB0F99" w:rsidRDefault="00CB0F99" w:rsidP="00CB0F99">
      <w:pPr>
        <w:pStyle w:val="Point1"/>
        <w:ind w:left="1418" w:hanging="567"/>
        <w:rPr>
          <w:lang w:val="pl-PL"/>
        </w:rPr>
      </w:pPr>
      <w:r>
        <w:rPr>
          <w:lang w:val="pl-PL"/>
        </w:rPr>
        <w:t>f)</w:t>
      </w:r>
      <w:r>
        <w:rPr>
          <w:lang w:val="pl-PL"/>
        </w:rPr>
        <w:tab/>
        <w:t>plavidla nepoužívaná pro přepravu věcí, jako jsou rybářské lodě, plovoucí bagry, plovoucí dílny, obytné čluny a rekreační lodě.</w:t>
      </w:r>
    </w:p>
    <w:p w:rsidR="00CB0F99" w:rsidRDefault="00CB0F99" w:rsidP="00CB0F99">
      <w:pPr>
        <w:pStyle w:val="Point0"/>
        <w:spacing w:line="360" w:lineRule="auto"/>
        <w:ind w:left="851" w:hanging="851"/>
        <w:rPr>
          <w:noProof/>
          <w:lang w:eastAsia="en-GB"/>
        </w:rPr>
      </w:pPr>
      <w:r>
        <w:rPr>
          <w:noProof/>
          <w:lang w:eastAsia="en-GB"/>
        </w:rPr>
        <w:t>5.</w:t>
      </w:r>
      <w:r>
        <w:rPr>
          <w:noProof/>
          <w:lang w:eastAsia="en-GB"/>
        </w:rPr>
        <w:tab/>
        <w:t xml:space="preserve">Komisi je svěřena pravomoc přijímat akty v přenesené pravomoci v souladu s článkem 10, pokud jde o změny odstavce 2 tohoto článku za účelem zvýšení prahu v něm uvedeného pro statistické pokrytí vnitrozemské vodní dopravy s cílem zohlednit hospodářský a technický vývoj. </w:t>
      </w:r>
    </w:p>
    <w:p w:rsidR="00CB0F99" w:rsidRDefault="00CB0F99">
      <w:pPr>
        <w:spacing w:after="200" w:line="276" w:lineRule="auto"/>
        <w:rPr>
          <w:rFonts w:eastAsiaTheme="minorEastAsia"/>
          <w:noProof/>
          <w:szCs w:val="24"/>
          <w:lang w:val="pl-PL"/>
        </w:rPr>
      </w:pPr>
      <w:r>
        <w:rPr>
          <w:rFonts w:eastAsiaTheme="minorEastAsia"/>
          <w:noProof/>
          <w:szCs w:val="24"/>
          <w:lang w:val="pl-PL"/>
        </w:rPr>
        <w:br w:type="page"/>
      </w:r>
    </w:p>
    <w:p w:rsidR="00CB0F99" w:rsidRDefault="00CB0F99" w:rsidP="00CB0F99">
      <w:pPr>
        <w:autoSpaceDE w:val="0"/>
        <w:autoSpaceDN w:val="0"/>
        <w:spacing w:before="120" w:after="120" w:line="360" w:lineRule="auto"/>
        <w:rPr>
          <w:rFonts w:eastAsiaTheme="minorEastAsia"/>
          <w:noProof/>
          <w:szCs w:val="24"/>
          <w:lang w:val="pl-PL"/>
        </w:rPr>
      </w:pPr>
      <w:r>
        <w:rPr>
          <w:rFonts w:eastAsiaTheme="minorEastAsia"/>
          <w:noProof/>
          <w:szCs w:val="24"/>
          <w:lang w:val="pl-PL"/>
        </w:rPr>
        <w:t>Při výkonu této pravomoci Komise zajistí, aby akty přijaté v přenesené pravomoci nepředstavovaly další podstatnou zátěž pro členské státy či respondenty. Kromě toho Komise statistická opatření stanovená těmito akty v přenesené pravomoci řádně odůvodní a ve vhodných případech použije analýzy efektivity nákladů, včetně hodnocení zatížení respondentů a nákladů na vypracovávání, jak je uvedeno v čl. 14 odst. 3 písm. c) nařízení (ES) č. 223/2009.</w:t>
      </w:r>
    </w:p>
    <w:p w:rsidR="00CB0F99" w:rsidRPr="000B6EBA" w:rsidRDefault="00CB0F99" w:rsidP="00D13981">
      <w:pPr>
        <w:pStyle w:val="Titrearticle"/>
        <w:spacing w:line="360" w:lineRule="auto"/>
      </w:pPr>
      <w:r w:rsidRPr="000B6EBA">
        <w:t>Článek 3</w:t>
      </w:r>
      <w:r w:rsidRPr="000B6EBA">
        <w:br/>
        <w:t>Definice</w:t>
      </w:r>
    </w:p>
    <w:p w:rsidR="00CB0F99" w:rsidRDefault="00CB0F99" w:rsidP="00CB0F99">
      <w:pPr>
        <w:autoSpaceDE w:val="0"/>
        <w:autoSpaceDN w:val="0"/>
        <w:spacing w:before="120" w:after="120" w:line="360" w:lineRule="auto"/>
        <w:rPr>
          <w:rFonts w:eastAsiaTheme="minorEastAsia"/>
          <w:noProof/>
          <w:szCs w:val="24"/>
          <w:lang w:val="pl-PL"/>
        </w:rPr>
      </w:pPr>
      <w:r>
        <w:rPr>
          <w:rFonts w:eastAsiaTheme="minorEastAsia"/>
          <w:noProof/>
          <w:szCs w:val="24"/>
          <w:lang w:val="pl-PL"/>
        </w:rPr>
        <w:t>Pro účely tohoto nařízení se rozumí:</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a)</w:t>
      </w:r>
      <w:r>
        <w:rPr>
          <w:noProof/>
          <w:lang w:val="pl-PL" w:eastAsia="en-GB"/>
        </w:rPr>
        <w:tab/>
        <w:t>„splavnou vnitrozemskou vodní cestou“ vodní tok, nikoliv část moře, který je díky svým přirozeným vlastnostem nebo vlastnostem vytvořeným člověkem vhodný pro plavbu, zejména na plavidlech vnitrozemské vodní dopravy;</w:t>
      </w:r>
    </w:p>
    <w:p w:rsidR="00CB0F99" w:rsidRDefault="00CB0F99" w:rsidP="00CB0F99">
      <w:pPr>
        <w:spacing w:before="120" w:after="120" w:line="360" w:lineRule="auto"/>
        <w:ind w:left="851" w:hanging="851"/>
        <w:rPr>
          <w:noProof/>
          <w:lang w:val="pl-PL"/>
        </w:rPr>
      </w:pPr>
      <w:r>
        <w:rPr>
          <w:noProof/>
          <w:lang w:val="pl-PL"/>
        </w:rPr>
        <w:t>b)</w:t>
      </w:r>
      <w:r>
        <w:rPr>
          <w:noProof/>
          <w:lang w:val="pl-PL"/>
        </w:rPr>
        <w:tab/>
        <w:t>„plavidlem vnitrozemské vodní dopravy“ plovoucí konstrukce určená k přepravě věcí nebo k veřejné přepravě cestujících, která se plaví převážně po splavných vnitrozemských vodních cestách nebo v chráněných vodách nebo vodách k chráněným vodám přilehlých nebo v oblastech, kde platí přístavní předpisy;</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c)</w:t>
      </w:r>
      <w:r>
        <w:rPr>
          <w:noProof/>
          <w:lang w:val="pl-PL" w:eastAsia="en-GB"/>
        </w:rPr>
        <w:tab/>
        <w:t>„zemí registrace plavidla“ země, v níž je plavidlo registrováno;</w:t>
      </w:r>
    </w:p>
    <w:p w:rsidR="00CB0F99" w:rsidRDefault="00CB0F99">
      <w:pPr>
        <w:spacing w:after="200" w:line="276" w:lineRule="auto"/>
        <w:rPr>
          <w:noProof/>
          <w:lang w:val="pl-PL"/>
        </w:rPr>
      </w:pPr>
      <w:r>
        <w:rPr>
          <w:noProof/>
          <w:lang w:val="pl-PL"/>
        </w:rPr>
        <w:br w:type="page"/>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d)</w:t>
      </w:r>
      <w:r>
        <w:rPr>
          <w:noProof/>
          <w:lang w:val="pl-PL" w:eastAsia="en-GB"/>
        </w:rPr>
        <w:tab/>
        <w:t>„vnitrozemskou vodní dopravou“ každý přesun věcí a/nebo cestujících pomocí plavidel vnitrozemské vodní dopravy, který je prováděn zcela nebo částečně po splavných vnitrozemských vodních cestách;</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e)</w:t>
      </w:r>
      <w:r>
        <w:rPr>
          <w:noProof/>
          <w:lang w:val="pl-PL" w:eastAsia="en-GB"/>
        </w:rPr>
        <w:tab/>
        <w:t>„vnitrostátní vnitrozemskou vodní dopravou“ vnitrozemská vodní doprava mezi dvěma přístavy na území určitého státu bez ohledu na zemi registrace plavidla;</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f)</w:t>
      </w:r>
      <w:r>
        <w:rPr>
          <w:noProof/>
          <w:lang w:val="pl-PL" w:eastAsia="en-GB"/>
        </w:rPr>
        <w:tab/>
        <w:t>„mezinárodní vnitrozemskou vodní dopravou“ vnitrozemská vodní doprava mezi dvěma přístavy, které se nacházejí na území různých států;</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g)</w:t>
      </w:r>
      <w:r>
        <w:rPr>
          <w:noProof/>
          <w:lang w:val="pl-PL" w:eastAsia="en-GB"/>
        </w:rPr>
        <w:tab/>
        <w:t>„tranzitní vnitrozemskou vodní dopravou“ vnitrozemská vodní doprava přes území určitého státu mezi dvěma přístavy, které se oba nacházejí na území jiného státu nebo jiných států, pokud během celé cesty na území daného státu není provedena překládka;</w:t>
      </w:r>
    </w:p>
    <w:p w:rsidR="00CB0F99" w:rsidRDefault="00CB0F99" w:rsidP="00CB0F99">
      <w:pPr>
        <w:pStyle w:val="Point0"/>
        <w:autoSpaceDE w:val="0"/>
        <w:autoSpaceDN w:val="0"/>
        <w:spacing w:line="360" w:lineRule="auto"/>
        <w:ind w:left="851" w:hanging="851"/>
        <w:jc w:val="left"/>
        <w:rPr>
          <w:noProof/>
          <w:lang w:val="pl-PL" w:eastAsia="en-GB"/>
        </w:rPr>
      </w:pPr>
      <w:r>
        <w:rPr>
          <w:noProof/>
          <w:lang w:val="pl-PL" w:eastAsia="en-GB"/>
        </w:rPr>
        <w:t>h)</w:t>
      </w:r>
      <w:r>
        <w:rPr>
          <w:noProof/>
          <w:lang w:val="pl-PL" w:eastAsia="en-GB"/>
        </w:rPr>
        <w:tab/>
        <w:t>„provozem po vnitrozemské vodní cestě“ každý pohyb plavidla po dané splavné vnitrozemské vodní cestě.</w:t>
      </w:r>
    </w:p>
    <w:p w:rsidR="00CB0F99" w:rsidRDefault="00CB0F99" w:rsidP="00CB0F99">
      <w:pPr>
        <w:autoSpaceDE w:val="0"/>
        <w:autoSpaceDN w:val="0"/>
        <w:spacing w:before="120" w:after="120" w:line="360" w:lineRule="auto"/>
        <w:rPr>
          <w:rFonts w:eastAsiaTheme="minorEastAsia"/>
          <w:noProof/>
          <w:szCs w:val="24"/>
          <w:lang w:val="pl-PL"/>
        </w:rPr>
      </w:pPr>
      <w:r>
        <w:rPr>
          <w:rFonts w:eastAsiaTheme="minorEastAsia"/>
          <w:noProof/>
          <w:szCs w:val="24"/>
          <w:lang w:val="pl-PL"/>
        </w:rPr>
        <w:t xml:space="preserve">Komisi je svěřena pravomoc přijímat akty v přenesené pravomoci v souladu s článkem </w:t>
      </w:r>
      <w:r w:rsidRPr="00DA0B50">
        <w:rPr>
          <w:noProof/>
          <w:lang w:val="pl-PL"/>
        </w:rPr>
        <w:t>10</w:t>
      </w:r>
      <w:r>
        <w:rPr>
          <w:rFonts w:eastAsiaTheme="minorEastAsia"/>
          <w:noProof/>
          <w:szCs w:val="24"/>
          <w:lang w:val="pl-PL"/>
        </w:rPr>
        <w:t xml:space="preserve">, pokud jde o změny </w:t>
      </w:r>
      <w:r>
        <w:rPr>
          <w:noProof/>
          <w:lang w:val="pl-PL"/>
        </w:rPr>
        <w:t>prvního pododstavce</w:t>
      </w:r>
      <w:r w:rsidRPr="00DA0B50">
        <w:rPr>
          <w:noProof/>
          <w:lang w:val="pl-PL"/>
        </w:rPr>
        <w:t xml:space="preserve"> </w:t>
      </w:r>
      <w:r>
        <w:rPr>
          <w:rFonts w:eastAsiaTheme="minorEastAsia"/>
          <w:noProof/>
          <w:szCs w:val="24"/>
          <w:lang w:val="pl-PL"/>
        </w:rPr>
        <w:t>tohoto článku za účelem úpravy definic v něm obsažených nebo stanovení nových definic s cílem zohlednit příslušné definice změněné nebo přijaté na mezinárodní úrovni.</w:t>
      </w:r>
    </w:p>
    <w:p w:rsidR="00CB0F99" w:rsidRDefault="00CB0F99">
      <w:pPr>
        <w:spacing w:after="200" w:line="276" w:lineRule="auto"/>
        <w:rPr>
          <w:rFonts w:eastAsiaTheme="minorEastAsia"/>
          <w:noProof/>
          <w:szCs w:val="24"/>
          <w:lang w:val="pl-PL"/>
        </w:rPr>
      </w:pPr>
      <w:r>
        <w:rPr>
          <w:rFonts w:eastAsiaTheme="minorEastAsia"/>
          <w:noProof/>
          <w:szCs w:val="24"/>
          <w:lang w:val="pl-PL"/>
        </w:rPr>
        <w:br w:type="page"/>
      </w:r>
    </w:p>
    <w:p w:rsidR="00CB0F99" w:rsidRDefault="00CB0F99" w:rsidP="00CB0F99">
      <w:pPr>
        <w:autoSpaceDE w:val="0"/>
        <w:autoSpaceDN w:val="0"/>
        <w:spacing w:before="120" w:after="120" w:line="360" w:lineRule="auto"/>
        <w:rPr>
          <w:rFonts w:eastAsiaTheme="minorEastAsia"/>
          <w:noProof/>
          <w:szCs w:val="24"/>
          <w:lang w:val="pl-PL"/>
        </w:rPr>
      </w:pPr>
      <w:r>
        <w:rPr>
          <w:rFonts w:eastAsiaTheme="minorEastAsia"/>
          <w:noProof/>
          <w:szCs w:val="24"/>
          <w:lang w:val="pl-PL"/>
        </w:rPr>
        <w:t>Při výkonu této pravomoci Komise zajistí, aby akty přijaté v přenesené pravomoci nepředstavovaly další podstatnou zátěž pro členské státy či respondenty. Kromě toho Komise statistická opatření stanovená těmito akty v přenesené pravomoci řádně odůvodní a ve vhodných případech použije analýzy efektivity nákladů, včetně hodnocení zatížení respondentů a nákladů na vypracovávání, jak je uvedeno v čl. 14 odst. 3 písm. c) nařízení (ES) č. 223/2009.</w:t>
      </w:r>
    </w:p>
    <w:p w:rsidR="00CB0F99" w:rsidRPr="00D13981" w:rsidRDefault="00CB0F99" w:rsidP="00D13981">
      <w:pPr>
        <w:pStyle w:val="Titrearticle"/>
        <w:spacing w:line="360" w:lineRule="auto"/>
        <w:rPr>
          <w:noProof/>
          <w:lang w:eastAsia="en-GB"/>
        </w:rPr>
      </w:pPr>
      <w:r w:rsidRPr="00D13981">
        <w:rPr>
          <w:noProof/>
          <w:lang w:val="pl-PL" w:eastAsia="en-GB"/>
        </w:rPr>
        <w:t>Článek 4</w:t>
      </w:r>
      <w:r w:rsidRPr="00D13981">
        <w:rPr>
          <w:noProof/>
          <w:lang w:val="pl-PL" w:eastAsia="en-GB"/>
        </w:rPr>
        <w:br/>
      </w:r>
      <w:r w:rsidRPr="00D13981">
        <w:t>Shromažďování</w:t>
      </w:r>
      <w:r w:rsidRPr="00D13981">
        <w:rPr>
          <w:noProof/>
          <w:lang w:eastAsia="en-GB"/>
        </w:rPr>
        <w:t xml:space="preserve"> údajů</w:t>
      </w:r>
    </w:p>
    <w:p w:rsidR="00CB0F99" w:rsidRDefault="00CB0F99" w:rsidP="00CB0F99">
      <w:pPr>
        <w:pStyle w:val="Manualn"/>
        <w:ind w:left="851" w:hanging="851"/>
        <w:rPr>
          <w:lang w:val="pl-PL"/>
        </w:rPr>
      </w:pPr>
      <w:r>
        <w:rPr>
          <w:lang w:val="pl-PL"/>
        </w:rPr>
        <w:t>1.</w:t>
      </w:r>
      <w:r>
        <w:rPr>
          <w:lang w:val="pl-PL"/>
        </w:rPr>
        <w:tab/>
        <w:t xml:space="preserve">Údaje </w:t>
      </w:r>
      <w:r w:rsidRPr="00D13981">
        <w:t>se</w:t>
      </w:r>
      <w:r>
        <w:rPr>
          <w:lang w:val="pl-PL"/>
        </w:rPr>
        <w:t xml:space="preserve"> shromažďují v souladu s tabulkami uvedenými v přílohách I až </w:t>
      </w:r>
      <w:r w:rsidRPr="00DA0B50">
        <w:rPr>
          <w:lang w:val="pl-PL"/>
        </w:rPr>
        <w:t>IV</w:t>
      </w:r>
      <w:r>
        <w:rPr>
          <w:lang w:val="pl-PL"/>
        </w:rPr>
        <w:t>.</w:t>
      </w:r>
    </w:p>
    <w:p w:rsidR="00CB0F99" w:rsidRDefault="00CB0F99" w:rsidP="00CB0F99">
      <w:pPr>
        <w:pStyle w:val="Manualn"/>
        <w:ind w:left="851" w:hanging="851"/>
        <w:rPr>
          <w:lang w:val="pl-PL"/>
        </w:rPr>
      </w:pPr>
      <w:r>
        <w:rPr>
          <w:lang w:val="pl-PL"/>
        </w:rPr>
        <w:t>2.</w:t>
      </w:r>
      <w:r>
        <w:rPr>
          <w:lang w:val="pl-PL"/>
        </w:rPr>
        <w:tab/>
        <w:t>V </w:t>
      </w:r>
      <w:r w:rsidRPr="00D13981">
        <w:t>případě</w:t>
      </w:r>
      <w:r>
        <w:rPr>
          <w:lang w:val="pl-PL"/>
        </w:rPr>
        <w:t xml:space="preserve"> uvedeném v čl. 2 odst. 3 se údaje shromažďují v souladu s tabulkou uvedenou v příloze V.</w:t>
      </w:r>
    </w:p>
    <w:p w:rsidR="00CB0F99" w:rsidRDefault="00CB0F99" w:rsidP="00CB0F99">
      <w:pPr>
        <w:pStyle w:val="Manualn"/>
        <w:ind w:left="851" w:hanging="851"/>
        <w:rPr>
          <w:lang w:val="pl-PL"/>
        </w:rPr>
      </w:pPr>
      <w:r>
        <w:rPr>
          <w:lang w:val="pl-PL"/>
        </w:rPr>
        <w:t>3.</w:t>
      </w:r>
      <w:r>
        <w:rPr>
          <w:lang w:val="pl-PL"/>
        </w:rPr>
        <w:tab/>
        <w:t>Pro účely tohoto nařízení se věci klasifikují v souladu s přílohou VI.</w:t>
      </w:r>
    </w:p>
    <w:p w:rsidR="00CB0F99" w:rsidRDefault="00CB0F99" w:rsidP="00CB0F99">
      <w:pPr>
        <w:pStyle w:val="Manualn"/>
        <w:ind w:left="851" w:hanging="851"/>
        <w:rPr>
          <w:lang w:val="pl-PL"/>
        </w:rPr>
      </w:pPr>
      <w:r>
        <w:rPr>
          <w:lang w:val="pl-PL"/>
        </w:rPr>
        <w:t>4.</w:t>
      </w:r>
      <w:r>
        <w:rPr>
          <w:lang w:val="pl-PL"/>
        </w:rPr>
        <w:tab/>
        <w:t xml:space="preserve">Komisi je svěřena pravomoc přijímat akty v přenesené pravomoci v souladu s článkem 10, pokud jde o změnu příloh tak, aby odrážely změny kódů a nomenklatury na mezinárodní úrovni nebo v příslušných legislativních aktech Unie. </w:t>
      </w:r>
    </w:p>
    <w:p w:rsidR="00CB0F99" w:rsidRDefault="00CB0F99">
      <w:pPr>
        <w:spacing w:after="200" w:line="276" w:lineRule="auto"/>
        <w:rPr>
          <w:rFonts w:eastAsiaTheme="minorEastAsia"/>
          <w:noProof/>
          <w:szCs w:val="24"/>
          <w:lang w:val="pl-PL"/>
        </w:rPr>
      </w:pPr>
      <w:r>
        <w:rPr>
          <w:rFonts w:eastAsiaTheme="minorEastAsia"/>
          <w:noProof/>
          <w:szCs w:val="24"/>
          <w:lang w:val="pl-PL"/>
        </w:rPr>
        <w:br w:type="page"/>
      </w:r>
    </w:p>
    <w:p w:rsidR="00CB0F99" w:rsidRDefault="00CB0F99" w:rsidP="00CB0F99">
      <w:pPr>
        <w:autoSpaceDE w:val="0"/>
        <w:autoSpaceDN w:val="0"/>
        <w:spacing w:before="120" w:after="120" w:line="360" w:lineRule="auto"/>
        <w:ind w:left="567"/>
        <w:rPr>
          <w:rFonts w:eastAsiaTheme="minorEastAsia"/>
          <w:noProof/>
          <w:szCs w:val="24"/>
          <w:lang w:val="pl-PL"/>
        </w:rPr>
      </w:pPr>
      <w:r>
        <w:rPr>
          <w:rFonts w:eastAsiaTheme="minorEastAsia"/>
          <w:noProof/>
          <w:szCs w:val="24"/>
          <w:lang w:val="pl-PL"/>
        </w:rPr>
        <w:t>Při výkonu této pravomoci Komise zajistí, aby akty přijaté v přenesené pravomoci nepředstavovaly další podstatnou zátěž pro členské státy či respondenty. Kromě toho Komise statistická opatření stanovená těmito akty v přenesené pravomoci řádně odůvodní a ve vhodných případech použije analýzy efektivity nákladů, včetně hodnocení zatížení respondentů a nákladů na vypracovávání, jak je uvedeno v čl. 14 odst. 3 písm. c) nařízení (ES) č. 223/2009.</w:t>
      </w:r>
    </w:p>
    <w:p w:rsidR="00CB0F99" w:rsidRDefault="00CB0F99" w:rsidP="00D13981">
      <w:pPr>
        <w:pStyle w:val="Titrearticle"/>
        <w:spacing w:line="360" w:lineRule="auto"/>
        <w:rPr>
          <w:noProof/>
          <w:lang w:val="pl-PL" w:eastAsia="en-GB"/>
        </w:rPr>
      </w:pPr>
      <w:r w:rsidRPr="000B6EBA">
        <w:t>Článek</w:t>
      </w:r>
      <w:r>
        <w:rPr>
          <w:noProof/>
          <w:lang w:val="pl-PL" w:eastAsia="en-GB"/>
        </w:rPr>
        <w:t xml:space="preserve"> 5</w:t>
      </w:r>
      <w:r>
        <w:rPr>
          <w:noProof/>
          <w:lang w:val="pl-PL" w:eastAsia="en-GB"/>
        </w:rPr>
        <w:br/>
        <w:t>Pilotní studie</w:t>
      </w:r>
    </w:p>
    <w:p w:rsidR="00CB0F99" w:rsidRDefault="00CB0F99" w:rsidP="00CB0F99">
      <w:pPr>
        <w:pStyle w:val="Manualn"/>
        <w:ind w:left="851" w:hanging="851"/>
      </w:pPr>
      <w:r>
        <w:t>1.</w:t>
      </w:r>
      <w:r>
        <w:tab/>
        <w:t>Do 8. prosince 2018 vypracuje Komise ve spolupráci s členskými státy vhodnou metodiku pro sestavování statistiky osobní přepravy po vnitrozemských vodních cestách, včetně prostřednictvím přeshraničních dopravních služeb.</w:t>
      </w:r>
    </w:p>
    <w:p w:rsidR="00CB0F99" w:rsidRPr="00A41F34" w:rsidRDefault="00CB0F99" w:rsidP="00CB0F99">
      <w:pPr>
        <w:pStyle w:val="Manualn"/>
        <w:ind w:left="851" w:hanging="851"/>
      </w:pPr>
      <w:r w:rsidRPr="00D13981">
        <w:t>2.</w:t>
      </w:r>
      <w:r w:rsidRPr="00D13981">
        <w:tab/>
        <w:t xml:space="preserve">Do 8. prosince 2019 zahájí Komise dobrovolné pilotní studie prováděné členskými státy, jež poskytnou údaje v rámci oblasti působnosti tohoto nařízení ohledně dostupnosti statistických údajů týkajících se osobní přepravy po vnitrozemských vodních cestách, včetně prostřednictvím přeshraničních dopravních služeb. </w:t>
      </w:r>
      <w:r w:rsidRPr="00A41F34">
        <w:t>Účelem těchto pilotních studií je vyhodnotit proveditelnost sběru údajů, náklady související se sběrem údajů a následnou kvalitu statistik.</w:t>
      </w:r>
    </w:p>
    <w:p w:rsidR="00CB0F99" w:rsidRPr="00A41F34" w:rsidRDefault="00CB0F99">
      <w:pPr>
        <w:spacing w:after="200" w:line="276" w:lineRule="auto"/>
        <w:rPr>
          <w:rFonts w:eastAsiaTheme="minorEastAsia"/>
          <w:noProof/>
          <w:szCs w:val="24"/>
        </w:rPr>
      </w:pPr>
      <w:r w:rsidRPr="00A41F34">
        <w:rPr>
          <w:rFonts w:eastAsiaTheme="minorEastAsia"/>
          <w:noProof/>
          <w:szCs w:val="24"/>
        </w:rPr>
        <w:br w:type="page"/>
      </w:r>
    </w:p>
    <w:p w:rsidR="00CB0F99" w:rsidRDefault="00CB0F99" w:rsidP="00A41F34">
      <w:pPr>
        <w:pStyle w:val="Manualn"/>
        <w:ind w:left="851" w:hanging="851"/>
      </w:pPr>
      <w:r>
        <w:t>3.</w:t>
      </w:r>
      <w:r>
        <w:tab/>
        <w:t>Do 8. prosince 2020 předloží Komise Evropskému parlamentu a Radě zprávu o provádění pilotních studií. V závislosti na výsledcích této zprávy Komise v přiměřené lhůtě předloží Evropskému parlamentu a Radě případný legislativní návrh na změnu tohoto nařízení, pokud jde o statistiky osobní přepravy po vnitrozemských vodních cestách, včetně prostřednictvím přeshraničních dopravních služeb.</w:t>
      </w:r>
    </w:p>
    <w:p w:rsidR="00CB0F99" w:rsidRDefault="00CB0F99" w:rsidP="00A41F34">
      <w:pPr>
        <w:pStyle w:val="Manualn"/>
        <w:ind w:left="851" w:hanging="851"/>
      </w:pPr>
      <w:r>
        <w:t>4.</w:t>
      </w:r>
      <w:r>
        <w:tab/>
        <w:t>Na financování pilotních studií se ve vhodných případech a se zřetelem k přidané hodnotě z hlediska Unie poskytne příspěvek ze souhrnného rozpočtu Unie.</w:t>
      </w:r>
    </w:p>
    <w:p w:rsidR="00CB0F99" w:rsidRPr="00A41F34" w:rsidRDefault="00CB0F99" w:rsidP="00D13981">
      <w:pPr>
        <w:pStyle w:val="Titrearticle"/>
        <w:spacing w:line="360" w:lineRule="auto"/>
        <w:rPr>
          <w:noProof/>
          <w:lang w:eastAsia="en-GB"/>
        </w:rPr>
      </w:pPr>
      <w:r w:rsidRPr="00A41F34">
        <w:rPr>
          <w:noProof/>
          <w:lang w:eastAsia="en-GB"/>
        </w:rPr>
        <w:t>Článek 6</w:t>
      </w:r>
      <w:r w:rsidRPr="00A41F34">
        <w:rPr>
          <w:noProof/>
          <w:lang w:eastAsia="en-GB"/>
        </w:rPr>
        <w:br/>
        <w:t>Předávání údajů</w:t>
      </w:r>
    </w:p>
    <w:p w:rsidR="00CB0F99" w:rsidRDefault="00CB0F99" w:rsidP="00A41F34">
      <w:pPr>
        <w:pStyle w:val="Manualn"/>
        <w:ind w:left="851" w:hanging="851"/>
      </w:pPr>
      <w:r>
        <w:t>1.</w:t>
      </w:r>
      <w:r>
        <w:tab/>
        <w:t>Údaje se předávají co nejdříve, nejpozději však pět měsíců po skončení příslušného sledovaného období.</w:t>
      </w:r>
    </w:p>
    <w:p w:rsidR="00CB0F99" w:rsidRDefault="00CB0F99" w:rsidP="00A41F34">
      <w:pPr>
        <w:pStyle w:val="Manualn"/>
        <w:ind w:left="851" w:hanging="851"/>
      </w:pPr>
      <w:r>
        <w:t>2.</w:t>
      </w:r>
      <w:r>
        <w:tab/>
        <w:t>Komise přijme prováděcí akty, kterými stanoví pravidla pro předávání údajů Komisi (Eurostatu), včetně norem pro výměnu údajů. Tyto prováděcí akty se přijímají přezkumným postupem podle čl. 11 odst. 2.</w:t>
      </w:r>
    </w:p>
    <w:p w:rsidR="00CB0F99" w:rsidRDefault="00CB0F99">
      <w:pPr>
        <w:spacing w:after="200" w:line="276" w:lineRule="auto"/>
        <w:rPr>
          <w:i/>
        </w:rPr>
      </w:pPr>
      <w:r w:rsidRPr="00A41F34">
        <w:br w:type="page"/>
      </w:r>
    </w:p>
    <w:p w:rsidR="00CB0F99" w:rsidRPr="000B6EBA" w:rsidRDefault="00CB0F99" w:rsidP="00D13981">
      <w:pPr>
        <w:pStyle w:val="Titrearticle"/>
        <w:spacing w:line="360" w:lineRule="auto"/>
      </w:pPr>
      <w:r w:rsidRPr="000B6EBA">
        <w:t>Článek 7</w:t>
      </w:r>
      <w:r w:rsidRPr="000B6EBA">
        <w:br/>
        <w:t>Šíření</w:t>
      </w:r>
    </w:p>
    <w:p w:rsidR="00CB0F99" w:rsidRPr="00A41F34" w:rsidRDefault="00CB0F99" w:rsidP="00CB0F99">
      <w:pPr>
        <w:autoSpaceDE w:val="0"/>
        <w:autoSpaceDN w:val="0"/>
        <w:spacing w:before="120" w:after="120" w:line="360" w:lineRule="auto"/>
        <w:rPr>
          <w:rFonts w:eastAsiaTheme="minorEastAsia"/>
          <w:noProof/>
          <w:szCs w:val="24"/>
        </w:rPr>
      </w:pPr>
      <w:r w:rsidRPr="00A41F34">
        <w:rPr>
          <w:noProof/>
        </w:rPr>
        <w:t xml:space="preserve">Evropské </w:t>
      </w:r>
      <w:r w:rsidRPr="00A41F34">
        <w:rPr>
          <w:rFonts w:eastAsiaTheme="minorEastAsia"/>
          <w:noProof/>
          <w:szCs w:val="24"/>
        </w:rPr>
        <w:t>statistiky založené na údajích uvedených v článku 4 se rozšiřují se stejnou periodicitou, s jakou probíhá předávání údajů členskými státy.</w:t>
      </w:r>
    </w:p>
    <w:p w:rsidR="00CB0F99" w:rsidRPr="00A41F34" w:rsidRDefault="00CB0F99" w:rsidP="00CB0F99">
      <w:pPr>
        <w:autoSpaceDE w:val="0"/>
        <w:autoSpaceDN w:val="0"/>
        <w:spacing w:before="120" w:after="120" w:line="360" w:lineRule="auto"/>
        <w:rPr>
          <w:rFonts w:eastAsiaTheme="minorEastAsia"/>
          <w:noProof/>
          <w:szCs w:val="24"/>
        </w:rPr>
      </w:pPr>
      <w:r w:rsidRPr="00A41F34">
        <w:rPr>
          <w:rFonts w:eastAsiaTheme="minorEastAsia"/>
          <w:noProof/>
          <w:szCs w:val="24"/>
        </w:rPr>
        <w:t>Komise přijme prováděcí akty, kterými stanoví způsoby šíření výsledků. Tyto prováděcí akty se přijímají přezkumným postupem podle čl. 11 odst. 2.</w:t>
      </w:r>
    </w:p>
    <w:p w:rsidR="00CB0F99" w:rsidRDefault="00CB0F99" w:rsidP="00D13981">
      <w:pPr>
        <w:pStyle w:val="Titrearticle"/>
        <w:spacing w:line="360" w:lineRule="auto"/>
        <w:rPr>
          <w:noProof/>
          <w:lang w:eastAsia="en-GB"/>
        </w:rPr>
      </w:pPr>
      <w:r>
        <w:rPr>
          <w:noProof/>
          <w:lang w:eastAsia="en-GB"/>
        </w:rPr>
        <w:t>Článek 8</w:t>
      </w:r>
      <w:r>
        <w:rPr>
          <w:noProof/>
          <w:lang w:eastAsia="en-GB"/>
        </w:rPr>
        <w:br/>
        <w:t>Kvalita statistik</w:t>
      </w:r>
    </w:p>
    <w:p w:rsidR="00CB0F99" w:rsidRDefault="00CB0F99" w:rsidP="00D13981">
      <w:pPr>
        <w:pStyle w:val="Point0"/>
        <w:spacing w:line="360" w:lineRule="auto"/>
        <w:ind w:left="851" w:hanging="851"/>
        <w:rPr>
          <w:noProof/>
          <w:lang w:eastAsia="en-GB"/>
        </w:rPr>
      </w:pPr>
      <w:r>
        <w:rPr>
          <w:noProof/>
          <w:lang w:eastAsia="en-GB"/>
        </w:rPr>
        <w:t>1.</w:t>
      </w:r>
      <w:r>
        <w:rPr>
          <w:noProof/>
          <w:lang w:eastAsia="en-GB"/>
        </w:rPr>
        <w:tab/>
        <w:t>Komise přijme prováděcí akty, kterými stanoví metodické požadavky a kritéria, jejichž cílem je zajistit kvalitu získaných údajů. Tyto prováděcí akty se přijímají přezkumným postupem podle čl. 11 odst. 2.</w:t>
      </w:r>
    </w:p>
    <w:p w:rsidR="00CB0F99" w:rsidRDefault="00CB0F99" w:rsidP="00D13981">
      <w:pPr>
        <w:pStyle w:val="Point0"/>
        <w:spacing w:line="360" w:lineRule="auto"/>
        <w:ind w:left="851" w:hanging="851"/>
        <w:rPr>
          <w:noProof/>
          <w:lang w:eastAsia="en-GB"/>
        </w:rPr>
      </w:pPr>
      <w:r>
        <w:rPr>
          <w:noProof/>
          <w:lang w:eastAsia="en-GB"/>
        </w:rPr>
        <w:t>2.</w:t>
      </w:r>
      <w:r>
        <w:rPr>
          <w:noProof/>
          <w:lang w:eastAsia="en-GB"/>
        </w:rPr>
        <w:tab/>
        <w:t>Členské státy přijmou veškerá opatření nutná k zajištění kvality předávaných údajů.</w:t>
      </w:r>
    </w:p>
    <w:p w:rsidR="00CB0F99" w:rsidRDefault="00CB0F99" w:rsidP="00D13981">
      <w:pPr>
        <w:pStyle w:val="Point0"/>
        <w:spacing w:line="360" w:lineRule="auto"/>
        <w:ind w:left="851" w:hanging="851"/>
        <w:rPr>
          <w:noProof/>
          <w:lang w:eastAsia="en-GB"/>
        </w:rPr>
      </w:pPr>
      <w:r>
        <w:rPr>
          <w:noProof/>
          <w:lang w:eastAsia="en-GB"/>
        </w:rPr>
        <w:t>3.</w:t>
      </w:r>
      <w:r>
        <w:rPr>
          <w:noProof/>
          <w:lang w:eastAsia="en-GB"/>
        </w:rPr>
        <w:tab/>
        <w:t>Komise (Eurostat) posuzuje kvalitu předávaných údajů. Členské státy předkládají Komisi (Eurostatu) zprávu obsahující veškeré informace a údaje, o které případně požádá za účelem ověření kvality předávaných údajů.</w:t>
      </w:r>
    </w:p>
    <w:p w:rsidR="00CB0F99" w:rsidRPr="00A41F34" w:rsidRDefault="00CB0F99">
      <w:pPr>
        <w:spacing w:after="200" w:line="276" w:lineRule="auto"/>
        <w:rPr>
          <w:rFonts w:eastAsiaTheme="minorEastAsia"/>
          <w:noProof/>
          <w:szCs w:val="24"/>
        </w:rPr>
      </w:pPr>
      <w:r w:rsidRPr="00A41F34">
        <w:rPr>
          <w:rFonts w:eastAsiaTheme="minorEastAsia"/>
          <w:noProof/>
          <w:szCs w:val="24"/>
        </w:rPr>
        <w:br w:type="page"/>
      </w:r>
    </w:p>
    <w:p w:rsidR="00CB0F99" w:rsidRDefault="00CB0F99" w:rsidP="00B33117">
      <w:pPr>
        <w:pStyle w:val="Point0"/>
        <w:spacing w:line="360" w:lineRule="auto"/>
        <w:ind w:left="851" w:hanging="851"/>
        <w:rPr>
          <w:noProof/>
          <w:lang w:eastAsia="en-GB"/>
        </w:rPr>
      </w:pPr>
      <w:r>
        <w:rPr>
          <w:noProof/>
          <w:lang w:eastAsia="en-GB"/>
        </w:rPr>
        <w:t>4.</w:t>
      </w:r>
      <w:r>
        <w:rPr>
          <w:noProof/>
          <w:lang w:eastAsia="en-GB"/>
        </w:rPr>
        <w:tab/>
        <w:t>Pro účely tohoto nařízení se na předávané údaje použijí kritéria kvality uvedená v čl. 12 odst. 1 nařízení (ES) č. 223/2009.</w:t>
      </w:r>
    </w:p>
    <w:p w:rsidR="00CB0F99" w:rsidRDefault="00CB0F99" w:rsidP="00B33117">
      <w:pPr>
        <w:pStyle w:val="Point0"/>
        <w:spacing w:line="360" w:lineRule="auto"/>
        <w:ind w:left="851" w:hanging="851"/>
        <w:rPr>
          <w:noProof/>
          <w:lang w:eastAsia="en-GB"/>
        </w:rPr>
      </w:pPr>
      <w:r>
        <w:rPr>
          <w:noProof/>
          <w:lang w:eastAsia="en-GB"/>
        </w:rPr>
        <w:t>5.</w:t>
      </w:r>
      <w:r>
        <w:rPr>
          <w:noProof/>
          <w:lang w:eastAsia="en-GB"/>
        </w:rPr>
        <w:tab/>
        <w:t>Komise přijme prováděcí akty, kterými stanoví podrobné podmínky, strukturu, periodicitu a srovnatelnost prvků zpráv o kvalitě. Tyto prováděcí akty se přijímají přezkumným postupem podle čl. 11 odst. 2.</w:t>
      </w:r>
    </w:p>
    <w:p w:rsidR="00CB0F99" w:rsidRPr="00AF5DA8" w:rsidRDefault="00CB0F99" w:rsidP="00B33117">
      <w:pPr>
        <w:pStyle w:val="Titrearticle"/>
        <w:spacing w:line="360" w:lineRule="auto"/>
      </w:pPr>
      <w:r w:rsidRPr="00AF5DA8">
        <w:t>Článek 9</w:t>
      </w:r>
      <w:r w:rsidRPr="00AF5DA8">
        <w:br/>
        <w:t>Zpráva o uplatňování</w:t>
      </w:r>
    </w:p>
    <w:p w:rsidR="00CB0F99" w:rsidRPr="00A41F34" w:rsidRDefault="00CB0F99" w:rsidP="00CB0F99">
      <w:pPr>
        <w:autoSpaceDE w:val="0"/>
        <w:autoSpaceDN w:val="0"/>
        <w:spacing w:before="120" w:after="120" w:line="360" w:lineRule="auto"/>
        <w:rPr>
          <w:rFonts w:eastAsiaTheme="minorEastAsia"/>
          <w:noProof/>
          <w:szCs w:val="24"/>
        </w:rPr>
      </w:pPr>
      <w:r w:rsidRPr="00A41F34">
        <w:rPr>
          <w:rFonts w:eastAsiaTheme="minorEastAsia"/>
          <w:noProof/>
          <w:szCs w:val="24"/>
        </w:rPr>
        <w:t>Do 31. prosince 2020 a poté každých pět let předloží Komise po konzultaci s Výborem pro Evropský statistický systém Evropskému parlamentu a Radě zprávu o uplatňování tohoto nařízení a o dalším vývoji.</w:t>
      </w:r>
    </w:p>
    <w:p w:rsidR="00CB0F99" w:rsidRPr="00A41F34" w:rsidRDefault="00CB0F99" w:rsidP="00CB0F99">
      <w:pPr>
        <w:autoSpaceDE w:val="0"/>
        <w:autoSpaceDN w:val="0"/>
        <w:spacing w:before="120" w:after="120" w:line="360" w:lineRule="auto"/>
        <w:rPr>
          <w:rFonts w:eastAsiaTheme="minorEastAsia"/>
          <w:noProof/>
          <w:szCs w:val="24"/>
        </w:rPr>
      </w:pPr>
      <w:r w:rsidRPr="00A41F34">
        <w:rPr>
          <w:rFonts w:eastAsiaTheme="minorEastAsia"/>
          <w:noProof/>
          <w:szCs w:val="24"/>
        </w:rPr>
        <w:t xml:space="preserve">V této zprávě Komise zohlední relevantní informace poskytnuté členskými státy ohledně možných zlepšení a ohledně potřeb uživatelů. Tato zpráva zejména </w:t>
      </w:r>
      <w:r w:rsidRPr="00A41F34">
        <w:rPr>
          <w:noProof/>
        </w:rPr>
        <w:t>posoudí</w:t>
      </w:r>
      <w:r w:rsidRPr="00A41F34">
        <w:rPr>
          <w:rFonts w:eastAsiaTheme="minorEastAsia"/>
          <w:noProof/>
          <w:szCs w:val="24"/>
        </w:rPr>
        <w:t>:</w:t>
      </w:r>
    </w:p>
    <w:p w:rsidR="00CB0F99" w:rsidRPr="00B33117" w:rsidRDefault="00CB0F99" w:rsidP="00CB0F99">
      <w:pPr>
        <w:pStyle w:val="Point0"/>
        <w:spacing w:line="360" w:lineRule="auto"/>
        <w:ind w:left="851" w:hanging="851"/>
      </w:pPr>
      <w:r w:rsidRPr="00A41F34">
        <w:rPr>
          <w:noProof/>
          <w:lang w:eastAsia="en-GB"/>
        </w:rPr>
        <w:t>a</w:t>
      </w:r>
      <w:r w:rsidRPr="00B33117">
        <w:t>)</w:t>
      </w:r>
      <w:r w:rsidRPr="00B33117">
        <w:tab/>
        <w:t>výhody plynoucí Unii, členským státům a poskytovatelům a uživatelům statistických informací z vypracovaných statistik v poměru k nákladům na ně;</w:t>
      </w:r>
    </w:p>
    <w:p w:rsidR="00CB0F99" w:rsidRPr="00A41F34" w:rsidRDefault="00CB0F99" w:rsidP="00CB0F99">
      <w:pPr>
        <w:pStyle w:val="Point0"/>
        <w:spacing w:line="360" w:lineRule="auto"/>
        <w:ind w:left="851" w:hanging="851"/>
        <w:rPr>
          <w:noProof/>
          <w:lang w:eastAsia="en-GB"/>
        </w:rPr>
      </w:pPr>
      <w:r w:rsidRPr="00B33117">
        <w:t>b)</w:t>
      </w:r>
      <w:r w:rsidRPr="00B33117">
        <w:tab/>
        <w:t>kvalitu předávaných údajů a používané metody shromažďování údajů</w:t>
      </w:r>
      <w:r w:rsidRPr="00A41F34">
        <w:rPr>
          <w:noProof/>
          <w:lang w:eastAsia="en-GB"/>
        </w:rPr>
        <w:t>.</w:t>
      </w:r>
    </w:p>
    <w:p w:rsidR="00CB0F99" w:rsidRDefault="00CB0F99">
      <w:pPr>
        <w:spacing w:after="200" w:line="276" w:lineRule="auto"/>
        <w:rPr>
          <w:i/>
        </w:rPr>
      </w:pPr>
      <w:r w:rsidRPr="00A41F34">
        <w:br w:type="page"/>
      </w:r>
    </w:p>
    <w:p w:rsidR="00CB0F99" w:rsidRPr="00AF5DA8" w:rsidRDefault="00CB0F99" w:rsidP="00B33117">
      <w:pPr>
        <w:pStyle w:val="Titrearticle"/>
        <w:spacing w:line="360" w:lineRule="auto"/>
      </w:pPr>
      <w:r w:rsidRPr="00AF5DA8">
        <w:t>Článek 10</w:t>
      </w:r>
      <w:r w:rsidRPr="00AF5DA8">
        <w:br/>
        <w:t>Výkon přenesené pravomoci</w:t>
      </w:r>
    </w:p>
    <w:p w:rsidR="00CB0F99" w:rsidRPr="00AF5DA8" w:rsidRDefault="00CB0F99" w:rsidP="00A41F34">
      <w:pPr>
        <w:pStyle w:val="Point0"/>
        <w:spacing w:line="360" w:lineRule="auto"/>
        <w:ind w:left="851" w:hanging="851"/>
        <w:jc w:val="left"/>
        <w:rPr>
          <w:noProof/>
          <w:lang w:eastAsia="en-GB"/>
        </w:rPr>
      </w:pPr>
      <w:r w:rsidRPr="00AF5DA8">
        <w:rPr>
          <w:noProof/>
          <w:lang w:eastAsia="en-GB"/>
        </w:rPr>
        <w:t>1.</w:t>
      </w:r>
      <w:r w:rsidRPr="00AF5DA8">
        <w:rPr>
          <w:noProof/>
          <w:lang w:eastAsia="en-GB"/>
        </w:rPr>
        <w:tab/>
        <w:t>Pravomoc přijímat akty v přenesené pravomoci je svěřena Komisi za podmínek stanovených v tomto článku.</w:t>
      </w:r>
    </w:p>
    <w:p w:rsidR="00CB0F99" w:rsidRDefault="00CB0F99" w:rsidP="00A41F34">
      <w:pPr>
        <w:pStyle w:val="Point0"/>
        <w:spacing w:line="360" w:lineRule="auto"/>
        <w:ind w:left="851" w:hanging="851"/>
        <w:jc w:val="left"/>
        <w:rPr>
          <w:noProof/>
          <w:lang w:val="pl-PL" w:eastAsia="en-GB"/>
        </w:rPr>
      </w:pPr>
      <w:r>
        <w:rPr>
          <w:noProof/>
          <w:lang w:eastAsia="en-GB"/>
        </w:rPr>
        <w:t>2.</w:t>
      </w:r>
      <w:r>
        <w:rPr>
          <w:noProof/>
          <w:lang w:eastAsia="en-GB"/>
        </w:rPr>
        <w:tab/>
      </w:r>
      <w:r w:rsidRPr="00AF5DA8">
        <w:rPr>
          <w:noProof/>
          <w:lang w:eastAsia="en-GB"/>
        </w:rPr>
        <w:t>Pravomoc přijímat akty v přenesené pravomoci uvedená v čl. 2 odst. 5, článku 3 a čl. 4 odst. 4 je svěřena Komisi na dobu pě</w:t>
      </w:r>
      <w:r>
        <w:rPr>
          <w:noProof/>
          <w:lang w:val="pl-PL" w:eastAsia="en-GB"/>
        </w:rPr>
        <w:t>ti let od 7. prosince 2016. Komise vypracuje zprávu o přenesené pravomoci nejpozději devět měsíců před koncem tohoto pětiletého období. Přenesení pravomoci se automaticky prodlužuje o stejně dlouhá období, pokud Evropský parlament nebo Rada nevysloví proti tomuto prodloužení námitku nejpozději tři měsíce před koncem každého z těchto období.</w:t>
      </w:r>
    </w:p>
    <w:p w:rsidR="00CB0F99" w:rsidRDefault="00CB0F99" w:rsidP="00A41F34">
      <w:pPr>
        <w:pStyle w:val="Point0"/>
        <w:spacing w:line="360" w:lineRule="auto"/>
        <w:ind w:left="851" w:hanging="851"/>
        <w:jc w:val="left"/>
        <w:rPr>
          <w:noProof/>
          <w:lang w:val="pl-PL" w:eastAsia="en-GB"/>
        </w:rPr>
      </w:pPr>
      <w:r>
        <w:rPr>
          <w:noProof/>
          <w:lang w:val="pl-PL" w:eastAsia="en-GB"/>
        </w:rPr>
        <w:t>3.</w:t>
      </w:r>
      <w:r>
        <w:rPr>
          <w:noProof/>
          <w:lang w:val="pl-PL" w:eastAsia="en-GB"/>
        </w:rPr>
        <w:tab/>
        <w:t xml:space="preserve">Evropský parlament nebo Rada mohou přenesení pravomoci uvedené v čl. 2 odst. 5, článku 3 a čl. 4 odst. 4 kdykoli zrušit. Rozhodnutím o zrušení se ukončuje přenesení pravomoci v něm určené. Rozhodnutí nabývá účinku prvním dnem po zveřejnění v </w:t>
      </w:r>
      <w:r>
        <w:rPr>
          <w:i/>
          <w:iCs/>
          <w:noProof/>
          <w:lang w:val="pl-PL" w:eastAsia="en-GB"/>
        </w:rPr>
        <w:t>Úředním věstníku Evropské unie</w:t>
      </w:r>
      <w:r>
        <w:rPr>
          <w:noProof/>
          <w:lang w:val="pl-PL" w:eastAsia="en-GB"/>
        </w:rPr>
        <w:t xml:space="preserve"> nebo k pozdějšímu dni, který je v něm upřesněn. Nedotýká se platnosti již platných aktů v přenesené pravomoci.</w:t>
      </w:r>
    </w:p>
    <w:p w:rsidR="00CB0F99" w:rsidRDefault="00CB0F99" w:rsidP="00A41F34">
      <w:pPr>
        <w:pStyle w:val="Point0"/>
        <w:spacing w:line="360" w:lineRule="auto"/>
        <w:ind w:left="851" w:hanging="851"/>
        <w:jc w:val="left"/>
        <w:rPr>
          <w:noProof/>
          <w:lang w:val="pl-PL" w:eastAsia="en-GB"/>
        </w:rPr>
      </w:pPr>
      <w:r>
        <w:rPr>
          <w:noProof/>
          <w:lang w:val="pl-PL" w:eastAsia="en-GB"/>
        </w:rPr>
        <w:t>4.</w:t>
      </w:r>
      <w:r>
        <w:rPr>
          <w:noProof/>
          <w:lang w:val="pl-PL" w:eastAsia="en-GB"/>
        </w:rPr>
        <w:tab/>
        <w:t>Před přijetím aktu v přenesené pravomoci Komise vede konzultace s odborníky jmenovanými jednotlivými členskými státy v souladu se zásadami stanovenými v interinstitucionální dohodě ze dne 13. dubna 2016 o zdokonalení tvorby právních předpisů.</w:t>
      </w:r>
    </w:p>
    <w:p w:rsidR="00CB0F99" w:rsidRDefault="00CB0F99">
      <w:pPr>
        <w:spacing w:after="200" w:line="276" w:lineRule="auto"/>
        <w:rPr>
          <w:rFonts w:eastAsiaTheme="minorEastAsia"/>
          <w:noProof/>
          <w:szCs w:val="24"/>
          <w:lang w:val="pl-PL"/>
        </w:rPr>
      </w:pPr>
      <w:r>
        <w:rPr>
          <w:rFonts w:eastAsiaTheme="minorEastAsia"/>
          <w:noProof/>
          <w:szCs w:val="24"/>
          <w:lang w:val="pl-PL"/>
        </w:rPr>
        <w:br w:type="page"/>
      </w:r>
    </w:p>
    <w:p w:rsidR="00CB0F99" w:rsidRDefault="00CB0F99" w:rsidP="00A41F34">
      <w:pPr>
        <w:pStyle w:val="Point0"/>
        <w:spacing w:line="360" w:lineRule="auto"/>
        <w:ind w:left="851" w:hanging="851"/>
        <w:jc w:val="left"/>
        <w:rPr>
          <w:noProof/>
          <w:lang w:eastAsia="en-GB"/>
        </w:rPr>
      </w:pPr>
      <w:r>
        <w:rPr>
          <w:noProof/>
          <w:lang w:eastAsia="en-GB"/>
        </w:rPr>
        <w:t>5.</w:t>
      </w:r>
      <w:r>
        <w:rPr>
          <w:noProof/>
          <w:lang w:eastAsia="en-GB"/>
        </w:rPr>
        <w:tab/>
        <w:t>Přijetí aktu v přenesené pravomoci Komise neprodleně oznámí současně Evropskému parlamentu a Radě.</w:t>
      </w:r>
    </w:p>
    <w:p w:rsidR="00CB0F99" w:rsidRDefault="00CB0F99" w:rsidP="00A41F34">
      <w:pPr>
        <w:pStyle w:val="Point0"/>
        <w:spacing w:line="360" w:lineRule="auto"/>
        <w:ind w:left="851" w:hanging="851"/>
        <w:jc w:val="left"/>
        <w:rPr>
          <w:noProof/>
          <w:lang w:eastAsia="en-GB"/>
        </w:rPr>
      </w:pPr>
      <w:r>
        <w:rPr>
          <w:noProof/>
          <w:lang w:eastAsia="en-GB"/>
        </w:rPr>
        <w:t>6.</w:t>
      </w:r>
      <w:r>
        <w:rPr>
          <w:noProof/>
          <w:lang w:eastAsia="en-GB"/>
        </w:rPr>
        <w:tab/>
        <w:t>Akt v přenesené pravomoci přijatý podle čl. 2 odst. 5, článku 3 nebo čl. 4 odst. 4 vstoupí v platnost pouze tehdy,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CB0F99" w:rsidRPr="00AF5DA8" w:rsidRDefault="00CB0F99" w:rsidP="00B33117">
      <w:pPr>
        <w:pStyle w:val="Titrearticle"/>
        <w:spacing w:line="360" w:lineRule="auto"/>
      </w:pPr>
      <w:r w:rsidRPr="00AF5DA8">
        <w:t>Článek 11</w:t>
      </w:r>
      <w:r w:rsidRPr="00AF5DA8">
        <w:br/>
        <w:t>Postup projednávání ve výboru</w:t>
      </w:r>
    </w:p>
    <w:p w:rsidR="00CB0F99" w:rsidRDefault="00CB0F99" w:rsidP="00A41F34">
      <w:pPr>
        <w:pStyle w:val="Point0"/>
        <w:spacing w:line="360" w:lineRule="auto"/>
        <w:ind w:left="851" w:hanging="851"/>
        <w:jc w:val="left"/>
        <w:rPr>
          <w:noProof/>
          <w:lang w:eastAsia="en-GB"/>
        </w:rPr>
      </w:pPr>
      <w:r w:rsidRPr="00B33117">
        <w:rPr>
          <w:noProof/>
          <w:lang w:eastAsia="en-GB"/>
        </w:rPr>
        <w:t>1.</w:t>
      </w:r>
      <w:r w:rsidRPr="00B33117">
        <w:rPr>
          <w:noProof/>
          <w:lang w:eastAsia="en-GB"/>
        </w:rPr>
        <w:tab/>
        <w:t xml:space="preserve">Komisi je nápomocen Výbor pro Evropský statistický systém zřízený nařízením (ES) č. 223/2009. </w:t>
      </w:r>
      <w:r>
        <w:rPr>
          <w:noProof/>
          <w:lang w:eastAsia="en-GB"/>
        </w:rPr>
        <w:t>Tento výbor je výborem ve smyslu nařízení (EU) č. 182/2011.</w:t>
      </w:r>
    </w:p>
    <w:p w:rsidR="00CB0F99" w:rsidRDefault="00CB0F99" w:rsidP="00A41F34">
      <w:pPr>
        <w:pStyle w:val="Point0"/>
        <w:spacing w:line="360" w:lineRule="auto"/>
        <w:ind w:left="851" w:hanging="851"/>
        <w:jc w:val="left"/>
        <w:rPr>
          <w:noProof/>
          <w:lang w:eastAsia="en-GB"/>
        </w:rPr>
      </w:pPr>
      <w:r>
        <w:rPr>
          <w:noProof/>
          <w:lang w:eastAsia="en-GB"/>
        </w:rPr>
        <w:t>2.</w:t>
      </w:r>
      <w:r>
        <w:rPr>
          <w:noProof/>
          <w:lang w:eastAsia="en-GB"/>
        </w:rPr>
        <w:tab/>
        <w:t>Odkazuje-li se na tento odstavec, použije se článek 5 nařízení (EU) č. 182/2011.</w:t>
      </w:r>
    </w:p>
    <w:p w:rsidR="00CB0F99" w:rsidRDefault="00CB0F99">
      <w:pPr>
        <w:spacing w:after="200" w:line="276" w:lineRule="auto"/>
        <w:rPr>
          <w:i/>
        </w:rPr>
      </w:pPr>
      <w:r w:rsidRPr="00A41F34">
        <w:br w:type="page"/>
      </w:r>
    </w:p>
    <w:p w:rsidR="00CB0F99" w:rsidRPr="00AF5DA8" w:rsidRDefault="00CB0F99" w:rsidP="00B33117">
      <w:pPr>
        <w:pStyle w:val="Titrearticle"/>
        <w:spacing w:line="360" w:lineRule="auto"/>
      </w:pPr>
      <w:r w:rsidRPr="00AF5DA8">
        <w:t>Článek 12</w:t>
      </w:r>
      <w:r w:rsidRPr="00AF5DA8">
        <w:br/>
        <w:t>Zrušení</w:t>
      </w:r>
    </w:p>
    <w:p w:rsidR="00CB0F99" w:rsidRPr="00A41F34" w:rsidRDefault="00CB0F99" w:rsidP="00CB0F99">
      <w:pPr>
        <w:autoSpaceDE w:val="0"/>
        <w:autoSpaceDN w:val="0"/>
        <w:spacing w:before="120" w:after="120" w:line="360" w:lineRule="auto"/>
        <w:rPr>
          <w:noProof/>
          <w:lang w:eastAsia="fr-BE"/>
        </w:rPr>
      </w:pPr>
      <w:r w:rsidRPr="00A41F34">
        <w:rPr>
          <w:noProof/>
          <w:lang w:eastAsia="fr-BE"/>
        </w:rPr>
        <w:t>Nařízení (ES) č. 1365/2006 se zrušuje.</w:t>
      </w:r>
    </w:p>
    <w:p w:rsidR="00CB0F99" w:rsidRPr="00A41F34" w:rsidRDefault="00CB0F99" w:rsidP="00CB0F99">
      <w:pPr>
        <w:autoSpaceDE w:val="0"/>
        <w:autoSpaceDN w:val="0"/>
        <w:spacing w:before="120" w:after="120" w:line="360" w:lineRule="auto"/>
        <w:rPr>
          <w:noProof/>
          <w:lang w:eastAsia="fr-BE"/>
        </w:rPr>
      </w:pPr>
      <w:r w:rsidRPr="00A41F34">
        <w:rPr>
          <w:noProof/>
          <w:lang w:eastAsia="fr-BE"/>
        </w:rPr>
        <w:t>Odkazy na zrušené nařízení se považují za odkazy na toto nařízení v souladu se srovnávací tabulkou v příloze VIII.</w:t>
      </w:r>
    </w:p>
    <w:p w:rsidR="00CB0F99" w:rsidRPr="00DA0B50" w:rsidRDefault="00CB0F99" w:rsidP="00B33117">
      <w:pPr>
        <w:pStyle w:val="Titrearticle"/>
        <w:spacing w:line="360" w:lineRule="auto"/>
        <w:rPr>
          <w:noProof/>
          <w:lang w:eastAsia="en-GB"/>
        </w:rPr>
      </w:pPr>
      <w:r>
        <w:rPr>
          <w:noProof/>
          <w:lang w:eastAsia="en-GB"/>
        </w:rPr>
        <w:t>Článek 13</w:t>
      </w:r>
      <w:r>
        <w:rPr>
          <w:noProof/>
          <w:lang w:eastAsia="en-GB"/>
        </w:rPr>
        <w:br/>
      </w:r>
      <w:r w:rsidRPr="00DA0B50">
        <w:rPr>
          <w:noProof/>
          <w:lang w:eastAsia="en-GB"/>
        </w:rPr>
        <w:t>Vstup v platnost</w:t>
      </w:r>
    </w:p>
    <w:p w:rsidR="00CB0F99" w:rsidRPr="00A41F34" w:rsidRDefault="00CB0F99" w:rsidP="00CB0F99">
      <w:pPr>
        <w:autoSpaceDE w:val="0"/>
        <w:autoSpaceDN w:val="0"/>
        <w:spacing w:before="120" w:after="120" w:line="360" w:lineRule="auto"/>
        <w:rPr>
          <w:rFonts w:eastAsiaTheme="minorEastAsia"/>
          <w:noProof/>
          <w:szCs w:val="24"/>
        </w:rPr>
      </w:pPr>
      <w:r w:rsidRPr="00A41F34">
        <w:rPr>
          <w:rFonts w:eastAsiaTheme="minorEastAsia"/>
          <w:noProof/>
          <w:szCs w:val="24"/>
        </w:rPr>
        <w:t>Toto nařízení vstupuje v platnost dvacátým dnem po vyhlášení v </w:t>
      </w:r>
      <w:r w:rsidRPr="00A41F34">
        <w:rPr>
          <w:rFonts w:eastAsiaTheme="minorEastAsia"/>
          <w:i/>
          <w:iCs/>
          <w:noProof/>
          <w:szCs w:val="24"/>
        </w:rPr>
        <w:t>Úředním věstníku Evropské unie</w:t>
      </w:r>
      <w:r w:rsidRPr="00A41F34">
        <w:rPr>
          <w:rFonts w:eastAsiaTheme="minorEastAsia"/>
          <w:noProof/>
          <w:szCs w:val="24"/>
        </w:rPr>
        <w:t>.</w:t>
      </w:r>
    </w:p>
    <w:p w:rsidR="00CB0F99" w:rsidRPr="00A41F34" w:rsidRDefault="00CB0F99" w:rsidP="00CB0F99">
      <w:pPr>
        <w:pStyle w:val="Applicationdirecte"/>
        <w:rPr>
          <w:lang w:val="cs-CZ"/>
        </w:rPr>
      </w:pPr>
      <w:r w:rsidRPr="00A41F34">
        <w:rPr>
          <w:lang w:val="cs-CZ"/>
        </w:rPr>
        <w:t>Toto nařízení je závazné v celém rozsahu a přímo použitelné ve všech členských státech.</w:t>
      </w:r>
    </w:p>
    <w:p w:rsidR="00CB0F99" w:rsidRDefault="00CB0F99" w:rsidP="00DA0B50">
      <w:pPr>
        <w:pStyle w:val="Fait"/>
        <w:rPr>
          <w:noProof/>
        </w:rPr>
      </w:pPr>
      <w:r w:rsidRPr="004C48F4">
        <w:t xml:space="preserve">V </w:t>
      </w:r>
      <w:r>
        <w:t>…</w:t>
      </w:r>
      <w:r w:rsidRPr="004C48F4">
        <w:t xml:space="preserve"> dne</w:t>
      </w:r>
    </w:p>
    <w:p w:rsidR="00CB0F99" w:rsidRDefault="00CB0F99" w:rsidP="00DA0B50">
      <w:pPr>
        <w:pStyle w:val="Institutionquisigne"/>
        <w:rPr>
          <w:noProof/>
        </w:rPr>
      </w:pPr>
      <w:r>
        <w:rPr>
          <w:noProof/>
        </w:rPr>
        <w:t>Za Evropský parlament</w:t>
      </w:r>
      <w:r>
        <w:rPr>
          <w:noProof/>
        </w:rPr>
        <w:tab/>
        <w:t>Za Radu</w:t>
      </w:r>
    </w:p>
    <w:p w:rsidR="00CB0F99" w:rsidRPr="00A41F34" w:rsidRDefault="00CB0F99" w:rsidP="00DA0B50">
      <w:pPr>
        <w:rPr>
          <w:noProof/>
        </w:rPr>
      </w:pPr>
      <w:r w:rsidRPr="00A41F34">
        <w:rPr>
          <w:noProof/>
        </w:rPr>
        <w:t>předseda</w:t>
      </w:r>
      <w:r w:rsidRPr="00A41F34">
        <w:rPr>
          <w:noProof/>
        </w:rPr>
        <w:tab/>
      </w:r>
      <w:r>
        <w:rPr>
          <w:noProof/>
        </w:rPr>
        <w:tab/>
      </w:r>
      <w:r>
        <w:rPr>
          <w:noProof/>
        </w:rPr>
        <w:tab/>
      </w:r>
      <w:r>
        <w:rPr>
          <w:noProof/>
        </w:rPr>
        <w:tab/>
      </w:r>
      <w:r>
        <w:rPr>
          <w:noProof/>
        </w:rPr>
        <w:tab/>
      </w:r>
      <w:r w:rsidRPr="00A41F34">
        <w:rPr>
          <w:noProof/>
        </w:rPr>
        <w:t>předseda</w:t>
      </w:r>
      <w:r>
        <w:rPr>
          <w:noProof/>
        </w:rPr>
        <w:t xml:space="preserve"> nebo předsedkyně</w:t>
      </w:r>
    </w:p>
    <w:p w:rsidR="00CB0F99" w:rsidRPr="00A41F34" w:rsidRDefault="00CB0F99" w:rsidP="00AF5DA8">
      <w:pPr>
        <w:pBdr>
          <w:bottom w:val="single" w:sz="4" w:space="0" w:color="000000"/>
        </w:pBdr>
        <w:spacing w:before="360" w:after="120"/>
        <w:ind w:left="3400" w:right="3400"/>
        <w:jc w:val="center"/>
        <w:rPr>
          <w:b/>
          <w:lang w:eastAsia="de-DE"/>
        </w:rPr>
      </w:pPr>
    </w:p>
    <w:p w:rsidR="00CB0F99" w:rsidRDefault="00CB0F99">
      <w:pPr>
        <w:spacing w:after="200" w:line="276" w:lineRule="auto"/>
        <w:rPr>
          <w:b/>
          <w:noProof/>
          <w:u w:val="single"/>
        </w:rPr>
      </w:pPr>
      <w:r>
        <w:rPr>
          <w:noProof/>
        </w:rPr>
        <w:br w:type="page"/>
      </w:r>
    </w:p>
    <w:p w:rsidR="00CB0F99" w:rsidRPr="00A41F34" w:rsidRDefault="00CB0F99" w:rsidP="00CB0F99">
      <w:pPr>
        <w:pStyle w:val="Annexetitre"/>
        <w:spacing w:line="360" w:lineRule="auto"/>
        <w:rPr>
          <w:b w:val="0"/>
          <w:noProof/>
          <w:lang w:eastAsia="en-GB"/>
        </w:rPr>
      </w:pPr>
      <w:r w:rsidRPr="00A41F34">
        <w:rPr>
          <w:noProof/>
          <w:lang w:eastAsia="en-GB"/>
        </w:rPr>
        <w:t>PŘÍLOHA I</w:t>
      </w:r>
    </w:p>
    <w:tbl>
      <w:tblPr>
        <w:tblW w:w="0" w:type="auto"/>
        <w:tblInd w:w="-34" w:type="dxa"/>
        <w:tblLayout w:type="fixed"/>
        <w:tblLook w:val="0000" w:firstRow="0" w:lastRow="0" w:firstColumn="0" w:lastColumn="0" w:noHBand="0" w:noVBand="0"/>
      </w:tblPr>
      <w:tblGrid>
        <w:gridCol w:w="1984"/>
        <w:gridCol w:w="1672"/>
        <w:gridCol w:w="3900"/>
        <w:gridCol w:w="1764"/>
      </w:tblGrid>
      <w:tr w:rsidR="00CB0F99" w:rsidRPr="0027651F" w:rsidTr="0016540A">
        <w:tc>
          <w:tcPr>
            <w:tcW w:w="9320" w:type="dxa"/>
            <w:gridSpan w:val="4"/>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jc w:val="center"/>
              <w:rPr>
                <w:rFonts w:eastAsiaTheme="minorEastAsia"/>
                <w:noProof/>
                <w:szCs w:val="24"/>
              </w:rPr>
            </w:pPr>
            <w:r w:rsidRPr="00A41F34">
              <w:rPr>
                <w:rFonts w:eastAsiaTheme="minorEastAsia"/>
                <w:noProof/>
                <w:szCs w:val="24"/>
              </w:rPr>
              <w:t xml:space="preserve">Tabulka </w:t>
            </w:r>
            <w:r w:rsidRPr="00A41F34">
              <w:rPr>
                <w:noProof/>
              </w:rPr>
              <w:t>I1.</w:t>
            </w:r>
            <w:r w:rsidRPr="00A41F34">
              <w:rPr>
                <w:rFonts w:eastAsiaTheme="minorEastAsia"/>
                <w:noProof/>
                <w:szCs w:val="24"/>
              </w:rPr>
              <w:tab/>
              <w:t>Přeprava věcí podle druhu věci (údaje za rok)</w:t>
            </w: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jc w:val="center"/>
              <w:rPr>
                <w:rFonts w:eastAsiaTheme="minorEastAsia"/>
                <w:noProof/>
                <w:szCs w:val="24"/>
              </w:rPr>
            </w:pPr>
            <w:r w:rsidRPr="00A41F34">
              <w:rPr>
                <w:rFonts w:eastAsiaTheme="minorEastAsia"/>
                <w:noProof/>
                <w:szCs w:val="24"/>
              </w:rPr>
              <w:t>Prvky</w:t>
            </w:r>
          </w:p>
        </w:tc>
        <w:tc>
          <w:tcPr>
            <w:tcW w:w="1672" w:type="dxa"/>
            <w:tcBorders>
              <w:top w:val="single" w:sz="2" w:space="0" w:color="auto"/>
              <w:left w:val="single" w:sz="2" w:space="0" w:color="auto"/>
              <w:bottom w:val="single" w:sz="2" w:space="0" w:color="auto"/>
              <w:right w:val="single" w:sz="2" w:space="0" w:color="auto"/>
            </w:tcBorders>
          </w:tcPr>
          <w:p w:rsidR="00CB0F99" w:rsidRPr="00CB0F99" w:rsidRDefault="00CB0F99" w:rsidP="00AF5DA8">
            <w:pPr>
              <w:autoSpaceDE w:val="0"/>
              <w:autoSpaceDN w:val="0"/>
              <w:spacing w:before="60" w:after="60"/>
              <w:jc w:val="center"/>
              <w:rPr>
                <w:rFonts w:eastAsiaTheme="minorEastAsia"/>
                <w:noProof/>
                <w:szCs w:val="24"/>
              </w:rPr>
            </w:pPr>
            <w:r w:rsidRPr="00CB0F99">
              <w:rPr>
                <w:rFonts w:eastAsiaTheme="minorEastAsia"/>
                <w:noProof/>
                <w:szCs w:val="24"/>
              </w:rPr>
              <w:t>Kód</w:t>
            </w:r>
          </w:p>
        </w:tc>
        <w:tc>
          <w:tcPr>
            <w:tcW w:w="3900" w:type="dxa"/>
            <w:tcBorders>
              <w:top w:val="single" w:sz="2" w:space="0" w:color="auto"/>
              <w:left w:val="single" w:sz="2" w:space="0" w:color="auto"/>
              <w:bottom w:val="single" w:sz="2" w:space="0" w:color="auto"/>
              <w:right w:val="single" w:sz="2" w:space="0" w:color="auto"/>
            </w:tcBorders>
          </w:tcPr>
          <w:p w:rsidR="00CB0F99" w:rsidRPr="00CB0F99" w:rsidRDefault="00CB0F99" w:rsidP="00AF5DA8">
            <w:pPr>
              <w:autoSpaceDE w:val="0"/>
              <w:autoSpaceDN w:val="0"/>
              <w:spacing w:before="60" w:after="60"/>
              <w:jc w:val="center"/>
              <w:rPr>
                <w:rFonts w:eastAsiaTheme="minorEastAsia"/>
                <w:noProof/>
                <w:szCs w:val="24"/>
              </w:rPr>
            </w:pPr>
            <w:r w:rsidRPr="00CB0F99">
              <w:rPr>
                <w:rFonts w:eastAsiaTheme="minorEastAsia"/>
                <w:noProof/>
                <w:szCs w:val="24"/>
              </w:rPr>
              <w:t>Nomenklatura</w:t>
            </w:r>
          </w:p>
        </w:tc>
        <w:tc>
          <w:tcPr>
            <w:tcW w:w="1764" w:type="dxa"/>
            <w:tcBorders>
              <w:top w:val="single" w:sz="2" w:space="0" w:color="auto"/>
              <w:left w:val="single" w:sz="2" w:space="0" w:color="auto"/>
              <w:bottom w:val="single" w:sz="2" w:space="0" w:color="auto"/>
              <w:right w:val="single" w:sz="2" w:space="0" w:color="auto"/>
            </w:tcBorders>
          </w:tcPr>
          <w:p w:rsidR="00CB0F99" w:rsidRPr="00CB0F99" w:rsidRDefault="00CB0F99" w:rsidP="00AF5DA8">
            <w:pPr>
              <w:autoSpaceDE w:val="0"/>
              <w:autoSpaceDN w:val="0"/>
              <w:spacing w:before="60" w:after="60"/>
              <w:jc w:val="center"/>
              <w:rPr>
                <w:rFonts w:eastAsiaTheme="minorEastAsia"/>
                <w:noProof/>
                <w:szCs w:val="24"/>
              </w:rPr>
            </w:pPr>
            <w:r w:rsidRPr="00CB0F99">
              <w:rPr>
                <w:rFonts w:eastAsiaTheme="minorEastAsia"/>
                <w:noProof/>
                <w:szCs w:val="24"/>
              </w:rPr>
              <w:t>Jednotka</w:t>
            </w: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Pr="00CB0F99" w:rsidRDefault="00CB0F99" w:rsidP="00AF5DA8">
            <w:pPr>
              <w:autoSpaceDE w:val="0"/>
              <w:autoSpaceDN w:val="0"/>
              <w:spacing w:before="60" w:after="60"/>
              <w:rPr>
                <w:rFonts w:eastAsiaTheme="minorEastAsia"/>
                <w:noProof/>
                <w:szCs w:val="24"/>
              </w:rPr>
            </w:pPr>
            <w:r w:rsidRPr="00CB0F99">
              <w:rPr>
                <w:rFonts w:eastAsiaTheme="minorEastAsia"/>
                <w:noProof/>
                <w:szCs w:val="24"/>
              </w:rPr>
              <w:t>Tabulka</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CB0F99">
              <w:rPr>
                <w:rFonts w:eastAsiaTheme="minorEastAsia"/>
                <w:noProof/>
                <w:szCs w:val="24"/>
              </w:rPr>
              <w:t>dvoumístný alfa</w:t>
            </w:r>
            <w:r w:rsidRPr="00A41F34">
              <w:rPr>
                <w:rFonts w:eastAsiaTheme="minorEastAsia"/>
                <w:noProof/>
                <w:szCs w:val="24"/>
                <w:lang w:val="fr-FR"/>
              </w:rPr>
              <w:t>numerický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w:t>
            </w:r>
            <w:r w:rsidRPr="00A41F34">
              <w:rPr>
                <w:noProof/>
                <w:lang w:val="en-GB"/>
              </w:rPr>
              <w:t>I</w:t>
            </w:r>
            <w:r w:rsidRPr="00A41F34">
              <w:rPr>
                <w:rFonts w:eastAsiaTheme="minorEastAsia"/>
                <w:noProof/>
                <w:szCs w:val="24"/>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dvoumístný písmenný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NUTS0 (kód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čtyřmístný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„rrrr“</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nakládky</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čtyřmístný alfanumerický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Style w:val="FootnoteReference"/>
                <w:noProof/>
              </w:rPr>
              <w:footnoteReference w:id="8"/>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vykládky</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čtyřmístný alfanumerický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41F34">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Fonts w:eastAsiaTheme="minorEastAsia"/>
                <w:noProof/>
                <w:szCs w:val="24"/>
                <w:vertAlign w:val="superscript"/>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672"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jednomístný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tabs>
                <w:tab w:val="left" w:pos="301"/>
              </w:tabs>
              <w:autoSpaceDE w:val="0"/>
              <w:autoSpaceDN w:val="0"/>
              <w:spacing w:before="60" w:after="60"/>
              <w:ind w:left="851" w:hanging="851"/>
              <w:rPr>
                <w:rFonts w:eastAsiaTheme="minorEastAsia"/>
                <w:noProof/>
                <w:szCs w:val="24"/>
                <w:lang w:val="fr-FR"/>
              </w:rPr>
            </w:pPr>
            <w:r w:rsidRPr="00A41F34">
              <w:rPr>
                <w:rFonts w:eastAsiaTheme="minorEastAsia"/>
                <w:noProof/>
                <w:szCs w:val="24"/>
                <w:lang w:val="fr-FR"/>
              </w:rPr>
              <w:t>1</w:t>
            </w:r>
            <w:r w:rsidRPr="00A41F34">
              <w:rPr>
                <w:rFonts w:eastAsiaTheme="minorEastAsia"/>
                <w:noProof/>
                <w:szCs w:val="24"/>
                <w:lang w:val="fr-FR"/>
              </w:rPr>
              <w:tab/>
              <w:t>=</w:t>
            </w:r>
            <w:r w:rsidRPr="00A41F34">
              <w:rPr>
                <w:rFonts w:eastAsiaTheme="minorEastAsia"/>
                <w:noProof/>
                <w:szCs w:val="24"/>
                <w:lang w:val="fr-FR"/>
              </w:rPr>
              <w:tab/>
              <w:t>vnitrostátní</w:t>
            </w:r>
          </w:p>
          <w:p w:rsidR="00CB0F99" w:rsidRPr="00A41F34" w:rsidRDefault="00CB0F99" w:rsidP="00AF5DA8">
            <w:pPr>
              <w:tabs>
                <w:tab w:val="left" w:pos="301"/>
              </w:tabs>
              <w:autoSpaceDE w:val="0"/>
              <w:autoSpaceDN w:val="0"/>
              <w:spacing w:before="60" w:after="60"/>
              <w:ind w:left="851" w:hanging="851"/>
              <w:rPr>
                <w:rFonts w:eastAsiaTheme="minorEastAsia"/>
                <w:noProof/>
                <w:szCs w:val="24"/>
                <w:lang w:val="fr-FR"/>
              </w:rPr>
            </w:pPr>
            <w:r w:rsidRPr="00A41F34">
              <w:rPr>
                <w:rFonts w:eastAsiaTheme="minorEastAsia"/>
                <w:noProof/>
                <w:szCs w:val="24"/>
                <w:lang w:val="fr-FR"/>
              </w:rPr>
              <w:t>2</w:t>
            </w:r>
            <w:r w:rsidRPr="00A41F34">
              <w:rPr>
                <w:rFonts w:eastAsiaTheme="minorEastAsia"/>
                <w:noProof/>
                <w:szCs w:val="24"/>
                <w:lang w:val="fr-FR"/>
              </w:rPr>
              <w:tab/>
              <w:t>=</w:t>
            </w:r>
            <w:r w:rsidRPr="00A41F34">
              <w:rPr>
                <w:rFonts w:eastAsiaTheme="minorEastAsia"/>
                <w:noProof/>
                <w:szCs w:val="24"/>
                <w:lang w:val="fr-FR"/>
              </w:rPr>
              <w:tab/>
              <w:t>mezinárodní (kromě tranzitní)</w:t>
            </w:r>
          </w:p>
          <w:p w:rsidR="00CB0F99" w:rsidRPr="00A41F34" w:rsidRDefault="00CB0F99" w:rsidP="00AF5DA8">
            <w:pPr>
              <w:tabs>
                <w:tab w:val="left" w:pos="301"/>
              </w:tabs>
              <w:autoSpaceDE w:val="0"/>
              <w:autoSpaceDN w:val="0"/>
              <w:spacing w:before="60" w:after="60"/>
              <w:ind w:left="851" w:hanging="851"/>
              <w:rPr>
                <w:rFonts w:eastAsiaTheme="minorEastAsia"/>
                <w:noProof/>
                <w:szCs w:val="24"/>
                <w:lang w:val="fr-FR"/>
              </w:rPr>
            </w:pPr>
            <w:r w:rsidRPr="00A41F34">
              <w:rPr>
                <w:rFonts w:eastAsiaTheme="minorEastAsia"/>
                <w:noProof/>
                <w:szCs w:val="24"/>
                <w:lang w:val="fr-FR"/>
              </w:rPr>
              <w:t>3</w:t>
            </w:r>
            <w:r w:rsidRPr="00A41F34">
              <w:rPr>
                <w:rFonts w:eastAsiaTheme="minorEastAsia"/>
                <w:noProof/>
                <w:szCs w:val="24"/>
                <w:lang w:val="fr-FR"/>
              </w:rPr>
              <w:tab/>
              <w:t>=</w:t>
            </w:r>
            <w:r w:rsidRPr="00A41F34">
              <w:rPr>
                <w:rFonts w:eastAsiaTheme="minorEastAsia"/>
                <w:noProof/>
                <w:szCs w:val="24"/>
                <w:lang w:val="fr-FR"/>
              </w:rPr>
              <w:tab/>
              <w:t>tranzitní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věci</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 xml:space="preserve">NST </w:t>
            </w:r>
            <w:r>
              <w:rPr>
                <w:noProof/>
              </w:rPr>
              <w:t>2007</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198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obalu</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věci přepravované v kontejnerech</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věci nepřepravované v kontejnerech a prázdné kontejnery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CB0F99">
        <w:trPr>
          <w:trHeight w:val="362"/>
        </w:trPr>
        <w:tc>
          <w:tcPr>
            <w:tcW w:w="198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Přepravené tuny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tuny</w:t>
            </w:r>
          </w:p>
        </w:tc>
      </w:tr>
      <w:tr w:rsidR="00CB0F99" w:rsidTr="00CB0F99">
        <w:trPr>
          <w:trHeight w:val="424"/>
        </w:trPr>
        <w:tc>
          <w:tcPr>
            <w:tcW w:w="198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Tunokilometry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tunokilometry</w:t>
            </w:r>
          </w:p>
        </w:tc>
      </w:tr>
    </w:tbl>
    <w:p w:rsidR="00CB0F99" w:rsidRPr="00AF5DA8" w:rsidRDefault="00CB0F99" w:rsidP="00AF5DA8">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lang w:val="en-GB"/>
        </w:rPr>
      </w:pPr>
      <w:r>
        <w:rPr>
          <w:noProof/>
          <w:lang w:val="en-GB"/>
        </w:rPr>
        <w:br w:type="page"/>
      </w:r>
    </w:p>
    <w:p w:rsidR="00CB0F99" w:rsidRDefault="00CB0F99" w:rsidP="00CB0F99">
      <w:pPr>
        <w:pStyle w:val="Annexetitre"/>
        <w:spacing w:line="360" w:lineRule="auto"/>
        <w:rPr>
          <w:noProof/>
          <w:lang w:eastAsia="en-GB"/>
        </w:rPr>
      </w:pPr>
      <w:r>
        <w:rPr>
          <w:noProof/>
          <w:lang w:val="en-GB" w:eastAsia="en-GB"/>
        </w:rPr>
        <w:t xml:space="preserve">PŘÍLOHA </w:t>
      </w:r>
      <w:r>
        <w:rPr>
          <w:noProof/>
          <w:lang w:val="en-GB"/>
        </w:rPr>
        <w:t>II</w:t>
      </w:r>
    </w:p>
    <w:tbl>
      <w:tblPr>
        <w:tblW w:w="0" w:type="auto"/>
        <w:tblLayout w:type="fixed"/>
        <w:tblLook w:val="0000" w:firstRow="0" w:lastRow="0" w:firstColumn="0" w:lastColumn="0" w:noHBand="0" w:noVBand="0"/>
      </w:tblPr>
      <w:tblGrid>
        <w:gridCol w:w="1857"/>
        <w:gridCol w:w="1672"/>
        <w:gridCol w:w="3993"/>
        <w:gridCol w:w="1764"/>
      </w:tblGrid>
      <w:tr w:rsidR="00CB0F99" w:rsidRPr="0027651F" w:rsidTr="00AF5DA8">
        <w:trPr>
          <w:tblHeader/>
        </w:trPr>
        <w:tc>
          <w:tcPr>
            <w:tcW w:w="9286" w:type="dxa"/>
            <w:gridSpan w:val="4"/>
            <w:tcBorders>
              <w:top w:val="single" w:sz="2" w:space="0" w:color="auto"/>
              <w:left w:val="single" w:sz="2" w:space="0" w:color="auto"/>
              <w:bottom w:val="single" w:sz="2" w:space="0" w:color="auto"/>
              <w:right w:val="single" w:sz="2" w:space="0" w:color="auto"/>
            </w:tcBorders>
          </w:tcPr>
          <w:p w:rsidR="00CB0F99" w:rsidRPr="00DA0B50" w:rsidRDefault="00CB0F99" w:rsidP="00AF5DA8">
            <w:pPr>
              <w:autoSpaceDE w:val="0"/>
              <w:autoSpaceDN w:val="0"/>
              <w:spacing w:before="60" w:after="60"/>
              <w:jc w:val="center"/>
              <w:rPr>
                <w:rFonts w:eastAsiaTheme="minorEastAsia"/>
                <w:noProof/>
                <w:szCs w:val="24"/>
              </w:rPr>
            </w:pPr>
            <w:r w:rsidRPr="00DA0B50">
              <w:rPr>
                <w:rFonts w:eastAsiaTheme="minorEastAsia"/>
                <w:noProof/>
                <w:szCs w:val="24"/>
              </w:rPr>
              <w:t>Tabulka II1</w:t>
            </w:r>
            <w:r>
              <w:rPr>
                <w:rFonts w:eastAsiaTheme="minorEastAsia"/>
                <w:noProof/>
                <w:szCs w:val="24"/>
              </w:rPr>
              <w:t>.</w:t>
            </w:r>
            <w:r w:rsidRPr="00DA0B50">
              <w:rPr>
                <w:rFonts w:eastAsiaTheme="minorEastAsia"/>
                <w:noProof/>
                <w:szCs w:val="24"/>
              </w:rPr>
              <w:tab/>
              <w:t>Přeprava podle země registrace plavidla a druhu plavidla (údaje za rok)</w:t>
            </w:r>
          </w:p>
        </w:tc>
      </w:tr>
      <w:tr w:rsidR="00CB0F99" w:rsidTr="00AF5DA8">
        <w:trPr>
          <w:tblHeader/>
        </w:trPr>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rPr>
            </w:pPr>
            <w:r>
              <w:rPr>
                <w:rFonts w:eastAsiaTheme="minorEastAsia"/>
                <w:noProof/>
                <w:szCs w:val="24"/>
              </w:rPr>
              <w:t>třímístny alfanumerický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Pr>
                <w:noProof/>
                <w:lang w:val="en-GB"/>
              </w:rPr>
              <w:t>II</w:t>
            </w:r>
            <w:r>
              <w:rPr>
                <w:rFonts w:eastAsiaTheme="minorEastAsia"/>
                <w:noProof/>
                <w:szCs w:val="24"/>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„rrrr“</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nakládky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alfanumerický</w:t>
            </w:r>
          </w:p>
        </w:tc>
        <w:tc>
          <w:tcPr>
            <w:tcW w:w="3993"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Style w:val="FootnoteReference"/>
                <w:noProof/>
              </w:rPr>
              <w:footnoteReference w:id="9"/>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vykládky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alfanumerický</w:t>
            </w:r>
          </w:p>
        </w:tc>
        <w:tc>
          <w:tcPr>
            <w:tcW w:w="3993"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Fonts w:eastAsiaTheme="minorEastAsia"/>
                <w:noProof/>
                <w:szCs w:val="24"/>
                <w:vertAlign w:val="superscript"/>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RPr="0027651F"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pageBreakBefore/>
              <w:autoSpaceDE w:val="0"/>
              <w:autoSpaceDN w:val="0"/>
              <w:spacing w:before="60" w:after="60"/>
              <w:rPr>
                <w:rFonts w:eastAsiaTheme="minorEastAsia"/>
                <w:noProof/>
                <w:szCs w:val="24"/>
                <w:lang w:val="fr-FR"/>
              </w:rPr>
            </w:pPr>
            <w:r>
              <w:rPr>
                <w:rFonts w:eastAsiaTheme="minorEastAsia"/>
                <w:noProof/>
                <w:szCs w:val="24"/>
                <w:lang w:val="fr-FR"/>
              </w:rPr>
              <w:lastRenderedPageBreak/>
              <w:t>Druh plavidla</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nákladní loď s vlastním pohonem</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nákladní loď bez vlastního pohonu</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tankové plavidlo s vlastním pohonem</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4</w:t>
            </w:r>
            <w:r>
              <w:rPr>
                <w:rFonts w:eastAsiaTheme="minorEastAsia"/>
                <w:noProof/>
                <w:szCs w:val="24"/>
                <w:lang w:val="fr-FR"/>
              </w:rPr>
              <w:tab/>
              <w:t>=</w:t>
            </w:r>
            <w:r>
              <w:rPr>
                <w:rFonts w:eastAsiaTheme="minorEastAsia"/>
                <w:noProof/>
                <w:szCs w:val="24"/>
                <w:lang w:val="fr-FR"/>
              </w:rPr>
              <w:tab/>
              <w:t>tankové plavidlo bez vlastního pohonu</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5</w:t>
            </w:r>
            <w:r>
              <w:rPr>
                <w:rFonts w:eastAsiaTheme="minorEastAsia"/>
                <w:noProof/>
                <w:szCs w:val="24"/>
                <w:lang w:val="fr-FR"/>
              </w:rPr>
              <w:tab/>
              <w:t>=</w:t>
            </w:r>
            <w:r>
              <w:rPr>
                <w:rFonts w:eastAsiaTheme="minorEastAsia"/>
                <w:noProof/>
                <w:szCs w:val="24"/>
                <w:lang w:val="fr-FR"/>
              </w:rPr>
              <w:tab/>
              <w:t>jiné nákladní plavidlo</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6</w:t>
            </w:r>
            <w:r>
              <w:rPr>
                <w:rFonts w:eastAsiaTheme="minorEastAsia"/>
                <w:noProof/>
                <w:szCs w:val="24"/>
                <w:lang w:val="fr-FR"/>
              </w:rPr>
              <w:tab/>
              <w:t>=</w:t>
            </w:r>
            <w:r>
              <w:rPr>
                <w:rFonts w:eastAsiaTheme="minorEastAsia"/>
                <w:noProof/>
                <w:szCs w:val="24"/>
                <w:lang w:val="fr-FR"/>
              </w:rPr>
              <w:tab/>
              <w:t>námořní plavidlo</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 registrace plavidla</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r>
              <w:rPr>
                <w:rStyle w:val="FootnoteReference"/>
                <w:noProof/>
              </w:rPr>
              <w:footnoteReference w:id="10"/>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Přepravené tuny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tuny</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99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r>
    </w:tbl>
    <w:p w:rsidR="00CB0F99" w:rsidRDefault="00CB0F99" w:rsidP="00DA0B50">
      <w:pPr>
        <w:autoSpaceDE w:val="0"/>
        <w:autoSpaceDN w:val="0"/>
        <w:rPr>
          <w:rFonts w:eastAsiaTheme="minorEastAsia"/>
          <w:noProof/>
          <w:szCs w:val="24"/>
          <w:lang w:val="fr-FR"/>
        </w:rPr>
      </w:pPr>
    </w:p>
    <w:tbl>
      <w:tblPr>
        <w:tblW w:w="0" w:type="auto"/>
        <w:tblLayout w:type="fixed"/>
        <w:tblLook w:val="0000" w:firstRow="0" w:lastRow="0" w:firstColumn="0" w:lastColumn="0" w:noHBand="0" w:noVBand="0"/>
      </w:tblPr>
      <w:tblGrid>
        <w:gridCol w:w="1857"/>
        <w:gridCol w:w="1765"/>
        <w:gridCol w:w="3621"/>
        <w:gridCol w:w="2043"/>
      </w:tblGrid>
      <w:tr w:rsidR="00CB0F99" w:rsidRPr="0027651F" w:rsidTr="00AF5DA8">
        <w:trPr>
          <w:tblHeader/>
        </w:trPr>
        <w:tc>
          <w:tcPr>
            <w:tcW w:w="9286" w:type="dxa"/>
            <w:gridSpan w:val="4"/>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pl-PL"/>
              </w:rPr>
            </w:pPr>
            <w:r>
              <w:rPr>
                <w:rFonts w:eastAsiaTheme="minorEastAsia"/>
                <w:noProof/>
                <w:szCs w:val="24"/>
                <w:lang w:val="pl-PL"/>
              </w:rPr>
              <w:t xml:space="preserve">Tabulka </w:t>
            </w:r>
            <w:r>
              <w:rPr>
                <w:noProof/>
                <w:lang w:val="pl-PL"/>
              </w:rPr>
              <w:t>II</w:t>
            </w:r>
            <w:r>
              <w:rPr>
                <w:rFonts w:eastAsiaTheme="minorEastAsia"/>
                <w:noProof/>
                <w:szCs w:val="24"/>
                <w:lang w:val="pl-PL"/>
              </w:rPr>
              <w:t>2:</w:t>
            </w:r>
            <w:r>
              <w:rPr>
                <w:rFonts w:eastAsiaTheme="minorEastAsia"/>
                <w:noProof/>
                <w:szCs w:val="24"/>
                <w:lang w:val="pl-PL"/>
              </w:rPr>
              <w:tab/>
              <w:t>Provoz plavidel (údaje za rok)</w:t>
            </w:r>
          </w:p>
        </w:tc>
      </w:tr>
      <w:tr w:rsidR="00CB0F99" w:rsidTr="00AF5DA8">
        <w:trPr>
          <w:tblHeader/>
        </w:trPr>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třímístny alfanumerický</w:t>
            </w: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Pr>
                <w:noProof/>
                <w:lang w:val="pl-PL"/>
              </w:rPr>
              <w:t>II</w:t>
            </w:r>
            <w:r>
              <w:rPr>
                <w:rFonts w:eastAsiaTheme="minorEastAsia"/>
                <w:noProof/>
                <w:szCs w:val="24"/>
                <w:lang w:val="fr-FR"/>
              </w:rPr>
              <w:t>2“</w:t>
            </w: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„rrrr“</w:t>
            </w: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851" w:hanging="851"/>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pageBreakBefore/>
              <w:autoSpaceDE w:val="0"/>
              <w:autoSpaceDN w:val="0"/>
              <w:spacing w:before="60" w:after="60"/>
              <w:rPr>
                <w:rFonts w:eastAsiaTheme="minorEastAsia"/>
                <w:noProof/>
                <w:szCs w:val="24"/>
                <w:lang w:val="fr-FR"/>
              </w:rPr>
            </w:pPr>
            <w:r>
              <w:rPr>
                <w:rFonts w:eastAsiaTheme="minorEastAsia"/>
                <w:noProof/>
                <w:szCs w:val="24"/>
                <w:lang w:val="fr-FR"/>
              </w:rPr>
              <w:lastRenderedPageBreak/>
              <w:t>Počet pohybů naložených plavidel</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pohyby plavidel</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Počet pohybů prázdných plavidel</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pohyby plavidel</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Kilometry ujeté naloženými plavidly</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plavidlokilometry</w:t>
            </w:r>
          </w:p>
        </w:tc>
      </w:tr>
      <w:tr w:rsidR="00CB0F99" w:rsidTr="0016540A">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Kilometry ujeté prázdnými plavidly</w:t>
            </w:r>
          </w:p>
        </w:tc>
        <w:tc>
          <w:tcPr>
            <w:tcW w:w="1765"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1"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plavidlokilometry</w:t>
            </w:r>
          </w:p>
        </w:tc>
      </w:tr>
    </w:tbl>
    <w:p w:rsidR="00CB0F99" w:rsidRDefault="00CB0F99" w:rsidP="00CB0F99">
      <w:pPr>
        <w:autoSpaceDE w:val="0"/>
        <w:autoSpaceDN w:val="0"/>
        <w:spacing w:before="120" w:after="120" w:line="360" w:lineRule="auto"/>
        <w:rPr>
          <w:rFonts w:eastAsiaTheme="minorEastAsia"/>
          <w:noProof/>
          <w:szCs w:val="24"/>
        </w:rPr>
      </w:pPr>
      <w:r w:rsidRPr="00AF5DA8">
        <w:rPr>
          <w:rFonts w:eastAsiaTheme="minorEastAsia"/>
          <w:noProof/>
          <w:szCs w:val="24"/>
        </w:rPr>
        <w:t>POZNÁMKA:</w:t>
      </w:r>
      <w:r>
        <w:rPr>
          <w:rFonts w:eastAsiaTheme="minorEastAsia"/>
          <w:noProof/>
          <w:szCs w:val="24"/>
        </w:rPr>
        <w:t xml:space="preserve"> Poskytnutí údajů v tabulce </w:t>
      </w:r>
      <w:r>
        <w:rPr>
          <w:noProof/>
        </w:rPr>
        <w:t>II</w:t>
      </w:r>
      <w:r>
        <w:rPr>
          <w:rFonts w:eastAsiaTheme="minorEastAsia"/>
          <w:noProof/>
          <w:szCs w:val="24"/>
        </w:rPr>
        <w:t>2 je nepovinné.</w:t>
      </w:r>
    </w:p>
    <w:p w:rsidR="00CB0F99" w:rsidRPr="00CB0F99" w:rsidRDefault="00CB0F99" w:rsidP="00AF5DA8">
      <w:pPr>
        <w:pBdr>
          <w:bottom w:val="single" w:sz="4" w:space="0" w:color="000000"/>
        </w:pBdr>
        <w:spacing w:before="360" w:after="120"/>
        <w:ind w:left="3400" w:right="3400"/>
        <w:jc w:val="center"/>
        <w:rPr>
          <w:b/>
          <w:noProof/>
        </w:rPr>
      </w:pPr>
    </w:p>
    <w:p w:rsidR="00CB0F99" w:rsidRPr="00CB0F99" w:rsidRDefault="00CB0F99">
      <w:pPr>
        <w:spacing w:after="200" w:line="276" w:lineRule="auto"/>
        <w:rPr>
          <w:b/>
          <w:noProof/>
          <w:u w:val="single"/>
        </w:rPr>
      </w:pPr>
      <w:r w:rsidRPr="00CB0F99">
        <w:rPr>
          <w:noProof/>
        </w:rPr>
        <w:br w:type="page"/>
      </w:r>
    </w:p>
    <w:p w:rsidR="00CB0F99" w:rsidRDefault="00CB0F99" w:rsidP="00CB0F99">
      <w:pPr>
        <w:pStyle w:val="Annexetitre"/>
        <w:spacing w:line="360" w:lineRule="auto"/>
        <w:rPr>
          <w:noProof/>
          <w:lang w:eastAsia="en-GB"/>
        </w:rPr>
      </w:pPr>
      <w:r>
        <w:rPr>
          <w:noProof/>
          <w:lang w:val="en-GB" w:eastAsia="en-GB"/>
        </w:rPr>
        <w:t xml:space="preserve">PŘÍLOHA </w:t>
      </w:r>
      <w:r>
        <w:rPr>
          <w:noProof/>
          <w:lang w:val="en-GB"/>
        </w:rPr>
        <w:t>III</w:t>
      </w:r>
    </w:p>
    <w:tbl>
      <w:tblPr>
        <w:tblW w:w="0" w:type="auto"/>
        <w:tblLayout w:type="fixed"/>
        <w:tblLook w:val="0000" w:firstRow="0" w:lastRow="0" w:firstColumn="0" w:lastColumn="0" w:noHBand="0" w:noVBand="0"/>
      </w:tblPr>
      <w:tblGrid>
        <w:gridCol w:w="1950"/>
        <w:gridCol w:w="1672"/>
        <w:gridCol w:w="3900"/>
        <w:gridCol w:w="1764"/>
      </w:tblGrid>
      <w:tr w:rsidR="00CB0F99" w:rsidRPr="0027651F" w:rsidTr="00AF5DA8">
        <w:trPr>
          <w:tblHeader/>
        </w:trPr>
        <w:tc>
          <w:tcPr>
            <w:tcW w:w="9286" w:type="dxa"/>
            <w:gridSpan w:val="4"/>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pl-PL"/>
              </w:rPr>
            </w:pPr>
            <w:r>
              <w:rPr>
                <w:rFonts w:eastAsiaTheme="minorEastAsia"/>
                <w:noProof/>
                <w:szCs w:val="24"/>
                <w:lang w:val="pl-PL"/>
              </w:rPr>
              <w:t xml:space="preserve">Tabulka </w:t>
            </w:r>
            <w:r>
              <w:rPr>
                <w:noProof/>
                <w:lang w:val="pl-PL"/>
              </w:rPr>
              <w:t>III1</w:t>
            </w:r>
            <w:r>
              <w:rPr>
                <w:rFonts w:eastAsiaTheme="minorEastAsia"/>
                <w:noProof/>
                <w:szCs w:val="24"/>
                <w:lang w:val="pl-PL"/>
              </w:rPr>
              <w:t>:</w:t>
            </w:r>
            <w:r>
              <w:rPr>
                <w:rFonts w:eastAsiaTheme="minorEastAsia"/>
                <w:noProof/>
                <w:szCs w:val="24"/>
                <w:lang w:val="pl-PL"/>
              </w:rPr>
              <w:tab/>
              <w:t>Kontejnerová přeprava podle druhu věci (údaje za rok)</w:t>
            </w:r>
          </w:p>
        </w:tc>
      </w:tr>
      <w:tr w:rsidR="00CB0F99" w:rsidTr="00AF5DA8">
        <w:trPr>
          <w:tblHeader/>
        </w:trPr>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alfanumerický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sidRPr="00DA49DA">
              <w:rPr>
                <w:noProof/>
                <w:lang w:val="pl-PL"/>
              </w:rPr>
              <w:t>III</w:t>
            </w:r>
            <w:r w:rsidRPr="00DA49DA">
              <w:rPr>
                <w:rFonts w:eastAsiaTheme="minorEastAsia"/>
                <w:noProof/>
                <w:szCs w:val="24"/>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„rrrr“</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nakládky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alfanumerický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Style w:val="FootnoteReference"/>
                <w:noProof/>
              </w:rPr>
              <w:footnoteReference w:id="11"/>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Země/region vykládky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alfanumerický</w:t>
            </w:r>
          </w:p>
        </w:tc>
        <w:tc>
          <w:tcPr>
            <w:tcW w:w="3900" w:type="dxa"/>
            <w:tcBorders>
              <w:top w:val="single" w:sz="2" w:space="0" w:color="auto"/>
              <w:left w:val="single" w:sz="2" w:space="0" w:color="auto"/>
              <w:bottom w:val="single" w:sz="2" w:space="0" w:color="auto"/>
              <w:right w:val="single" w:sz="2" w:space="0" w:color="auto"/>
            </w:tcBorders>
          </w:tcPr>
          <w:p w:rsidR="00CB0F99" w:rsidRPr="00A41F34" w:rsidRDefault="00CB0F99" w:rsidP="00AF5DA8">
            <w:pPr>
              <w:autoSpaceDE w:val="0"/>
              <w:autoSpaceDN w:val="0"/>
              <w:spacing w:before="60" w:after="60"/>
              <w:rPr>
                <w:rFonts w:eastAsiaTheme="minorEastAsia"/>
                <w:noProof/>
                <w:szCs w:val="24"/>
                <w:lang w:val="fr-FR"/>
              </w:rPr>
            </w:pPr>
            <w:r w:rsidRPr="00A41F34">
              <w:rPr>
                <w:rFonts w:eastAsiaTheme="minorEastAsia"/>
                <w:noProof/>
                <w:szCs w:val="24"/>
                <w:lang w:val="fr-FR"/>
              </w:rPr>
              <w:t>NUTS2</w:t>
            </w:r>
            <w:r w:rsidRPr="00A41F34">
              <w:rPr>
                <w:rFonts w:eastAsiaTheme="minorEastAsia"/>
                <w:noProof/>
                <w:szCs w:val="24"/>
                <w:vertAlign w:val="superscript"/>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RPr="0027651F"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Velikost kontejnerů</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20' přepravní jednotky</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40' přepravní jednotky</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přepravní jednotky &gt; 20' a &lt; 40'</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w:t>
            </w:r>
            <w:r>
              <w:rPr>
                <w:rFonts w:eastAsiaTheme="minorEastAsia"/>
                <w:noProof/>
                <w:szCs w:val="24"/>
                <w:lang w:val="fr-FR"/>
              </w:rPr>
              <w:tab/>
              <w:t>=</w:t>
            </w:r>
            <w:r>
              <w:rPr>
                <w:rFonts w:eastAsiaTheme="minorEastAsia"/>
                <w:noProof/>
                <w:szCs w:val="24"/>
                <w:lang w:val="fr-FR"/>
              </w:rPr>
              <w:tab/>
              <w:t>přepravní jednotky &gt; 40'</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pageBreakBefore/>
              <w:autoSpaceDE w:val="0"/>
              <w:autoSpaceDN w:val="0"/>
              <w:spacing w:before="60" w:after="60"/>
              <w:rPr>
                <w:rFonts w:eastAsiaTheme="minorEastAsia"/>
                <w:noProof/>
                <w:szCs w:val="24"/>
                <w:lang w:val="fr-FR"/>
              </w:rPr>
            </w:pPr>
            <w:r>
              <w:rPr>
                <w:rFonts w:eastAsiaTheme="minorEastAsia"/>
                <w:noProof/>
                <w:szCs w:val="24"/>
                <w:lang w:val="fr-FR"/>
              </w:rPr>
              <w:lastRenderedPageBreak/>
              <w:t>Stav ložení</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ložené kontejnery</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prázdné kontejnery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věci</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číselný</w:t>
            </w: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 xml:space="preserve">NST </w:t>
            </w:r>
            <w:r>
              <w:rPr>
                <w:noProof/>
              </w:rPr>
              <w:t>2007</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195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Přepravené tuny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tuny</w:t>
            </w:r>
          </w:p>
        </w:tc>
      </w:tr>
      <w:tr w:rsidR="00CB0F99" w:rsidTr="00CB0F99">
        <w:trPr>
          <w:trHeight w:val="442"/>
        </w:trPr>
        <w:tc>
          <w:tcPr>
            <w:tcW w:w="195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noProof/>
              </w:rPr>
              <w:br w:type="page"/>
            </w:r>
            <w:r>
              <w:rPr>
                <w:rFonts w:eastAsiaTheme="minorEastAsia"/>
                <w:noProof/>
                <w:szCs w:val="24"/>
                <w:lang w:val="fr-FR"/>
              </w:rPr>
              <w:t>Tunokilometry</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tunokilometry</w:t>
            </w:r>
          </w:p>
        </w:tc>
      </w:tr>
      <w:tr w:rsidR="00CB0F99" w:rsidTr="00CB0F99">
        <w:trPr>
          <w:trHeight w:val="406"/>
        </w:trPr>
        <w:tc>
          <w:tcPr>
            <w:tcW w:w="195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TEU</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TEU</w:t>
            </w:r>
          </w:p>
        </w:tc>
      </w:tr>
      <w:tr w:rsidR="00CB0F99" w:rsidTr="00CB0F99">
        <w:trPr>
          <w:trHeight w:val="426"/>
        </w:trPr>
        <w:tc>
          <w:tcPr>
            <w:tcW w:w="195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TEU-km</w:t>
            </w:r>
          </w:p>
        </w:tc>
        <w:tc>
          <w:tcPr>
            <w:tcW w:w="1672"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3900"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TEU-km</w:t>
            </w:r>
          </w:p>
        </w:tc>
      </w:tr>
    </w:tbl>
    <w:p w:rsidR="00CB0F99" w:rsidRPr="00AF5DA8" w:rsidRDefault="00CB0F99" w:rsidP="00AF5DA8">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lang w:val="en-GB"/>
        </w:rPr>
      </w:pPr>
      <w:r>
        <w:rPr>
          <w:noProof/>
          <w:lang w:val="en-GB"/>
        </w:rPr>
        <w:br w:type="page"/>
      </w:r>
    </w:p>
    <w:p w:rsidR="00CB0F99" w:rsidRDefault="00CB0F99" w:rsidP="00CB0F99">
      <w:pPr>
        <w:pStyle w:val="Annexetitre"/>
        <w:spacing w:line="360" w:lineRule="auto"/>
        <w:rPr>
          <w:noProof/>
          <w:lang w:eastAsia="en-GB"/>
        </w:rPr>
      </w:pPr>
      <w:r>
        <w:rPr>
          <w:noProof/>
          <w:lang w:val="en-GB" w:eastAsia="en-GB"/>
        </w:rPr>
        <w:t xml:space="preserve">PŘÍLOHA </w:t>
      </w:r>
      <w:r>
        <w:rPr>
          <w:noProof/>
          <w:lang w:val="en-GB"/>
        </w:rPr>
        <w:t>IV</w:t>
      </w:r>
    </w:p>
    <w:tbl>
      <w:tblPr>
        <w:tblW w:w="0" w:type="auto"/>
        <w:tblLayout w:type="fixed"/>
        <w:tblLook w:val="0000" w:firstRow="0" w:lastRow="0" w:firstColumn="0" w:lastColumn="0" w:noHBand="0" w:noVBand="0"/>
      </w:tblPr>
      <w:tblGrid>
        <w:gridCol w:w="2043"/>
        <w:gridCol w:w="1857"/>
        <w:gridCol w:w="3622"/>
        <w:gridCol w:w="1764"/>
      </w:tblGrid>
      <w:tr w:rsidR="00CB0F99" w:rsidRPr="0027651F" w:rsidTr="0016540A">
        <w:tc>
          <w:tcPr>
            <w:tcW w:w="9286" w:type="dxa"/>
            <w:gridSpan w:val="4"/>
            <w:tcBorders>
              <w:top w:val="single" w:sz="2" w:space="0" w:color="auto"/>
              <w:left w:val="single" w:sz="2" w:space="0" w:color="auto"/>
              <w:bottom w:val="single" w:sz="2" w:space="0" w:color="auto"/>
              <w:right w:val="single" w:sz="2" w:space="0" w:color="auto"/>
            </w:tcBorders>
          </w:tcPr>
          <w:p w:rsidR="00CB0F99" w:rsidRPr="00DA0B50" w:rsidRDefault="00CB0F99" w:rsidP="00AF5DA8">
            <w:pPr>
              <w:autoSpaceDE w:val="0"/>
              <w:autoSpaceDN w:val="0"/>
              <w:spacing w:before="60" w:after="60"/>
              <w:jc w:val="center"/>
              <w:rPr>
                <w:rFonts w:eastAsiaTheme="minorEastAsia"/>
                <w:noProof/>
                <w:szCs w:val="24"/>
              </w:rPr>
            </w:pPr>
            <w:r w:rsidRPr="00DA0B50">
              <w:rPr>
                <w:rFonts w:eastAsiaTheme="minorEastAsia"/>
                <w:noProof/>
                <w:szCs w:val="24"/>
              </w:rPr>
              <w:t xml:space="preserve">Tabulka </w:t>
            </w:r>
            <w:r w:rsidRPr="00DA0B50">
              <w:rPr>
                <w:noProof/>
              </w:rPr>
              <w:t>IV</w:t>
            </w:r>
            <w:r>
              <w:rPr>
                <w:noProof/>
              </w:rPr>
              <w:t>1</w:t>
            </w:r>
            <w:r>
              <w:rPr>
                <w:rFonts w:eastAsiaTheme="minorEastAsia"/>
                <w:noProof/>
                <w:szCs w:val="24"/>
              </w:rPr>
              <w:t>.</w:t>
            </w:r>
            <w:r w:rsidRPr="00DA0B50">
              <w:rPr>
                <w:rFonts w:eastAsiaTheme="minorEastAsia"/>
                <w:noProof/>
                <w:szCs w:val="24"/>
              </w:rPr>
              <w:tab/>
              <w:t>Přeprava podle země registrace plavidel (údaje za čtvrtletí)</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třímístny alfanumerický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Pr>
                <w:noProof/>
                <w:lang w:val="en-GB"/>
              </w:rPr>
              <w:t>IV</w:t>
            </w:r>
            <w:r>
              <w:rPr>
                <w:rFonts w:eastAsiaTheme="minorEastAsia"/>
                <w:noProof/>
                <w:szCs w:val="24"/>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„rrrr“</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Čtvrtletí</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41</w:t>
            </w:r>
            <w:r>
              <w:rPr>
                <w:rFonts w:eastAsiaTheme="minorEastAsia"/>
                <w:noProof/>
                <w:szCs w:val="24"/>
                <w:lang w:val="fr-FR"/>
              </w:rPr>
              <w:tab/>
              <w:t>=</w:t>
            </w:r>
            <w:r>
              <w:rPr>
                <w:rFonts w:eastAsiaTheme="minorEastAsia"/>
                <w:noProof/>
                <w:szCs w:val="24"/>
                <w:lang w:val="fr-FR"/>
              </w:rPr>
              <w:tab/>
              <w:t>čtvrtletí 1</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42</w:t>
            </w:r>
            <w:r>
              <w:rPr>
                <w:rFonts w:eastAsiaTheme="minorEastAsia"/>
                <w:noProof/>
                <w:szCs w:val="24"/>
                <w:lang w:val="fr-FR"/>
              </w:rPr>
              <w:tab/>
              <w:t>=</w:t>
            </w:r>
            <w:r>
              <w:rPr>
                <w:rFonts w:eastAsiaTheme="minorEastAsia"/>
                <w:noProof/>
                <w:szCs w:val="24"/>
                <w:lang w:val="fr-FR"/>
              </w:rPr>
              <w:tab/>
              <w:t>čtvrtletí 2</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43</w:t>
            </w:r>
            <w:r>
              <w:rPr>
                <w:rFonts w:eastAsiaTheme="minorEastAsia"/>
                <w:noProof/>
                <w:szCs w:val="24"/>
                <w:lang w:val="fr-FR"/>
              </w:rPr>
              <w:tab/>
              <w:t>=</w:t>
            </w:r>
            <w:r>
              <w:rPr>
                <w:rFonts w:eastAsiaTheme="minorEastAsia"/>
                <w:noProof/>
                <w:szCs w:val="24"/>
                <w:lang w:val="fr-FR"/>
              </w:rPr>
              <w:tab/>
              <w:t>čtvrtletí 3</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44</w:t>
            </w:r>
            <w:r>
              <w:rPr>
                <w:rFonts w:eastAsiaTheme="minorEastAsia"/>
                <w:noProof/>
                <w:szCs w:val="24"/>
                <w:lang w:val="fr-FR"/>
              </w:rPr>
              <w:tab/>
              <w:t>=</w:t>
            </w:r>
            <w:r>
              <w:rPr>
                <w:rFonts w:eastAsiaTheme="minorEastAsia"/>
                <w:noProof/>
                <w:szCs w:val="24"/>
                <w:lang w:val="fr-FR"/>
              </w:rPr>
              <w:tab/>
              <w:t>čtvrtletí 4</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RPr="0027651F"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 registrace plavidla</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r>
              <w:rPr>
                <w:rStyle w:val="FootnoteReference"/>
                <w:noProof/>
              </w:rPr>
              <w:footnoteReference w:id="12"/>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Přepravené tuny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tuny</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r>
    </w:tbl>
    <w:p w:rsidR="00CB0F99" w:rsidRDefault="00CB0F99" w:rsidP="00DA0B50">
      <w:pPr>
        <w:autoSpaceDE w:val="0"/>
        <w:autoSpaceDN w:val="0"/>
        <w:rPr>
          <w:rFonts w:eastAsiaTheme="minorEastAsia"/>
          <w:noProof/>
          <w:szCs w:val="24"/>
          <w:lang w:val="fr-FR"/>
        </w:rPr>
      </w:pPr>
    </w:p>
    <w:tbl>
      <w:tblPr>
        <w:tblW w:w="0" w:type="auto"/>
        <w:tblLayout w:type="fixed"/>
        <w:tblLook w:val="0000" w:firstRow="0" w:lastRow="0" w:firstColumn="0" w:lastColumn="0" w:noHBand="0" w:noVBand="0"/>
      </w:tblPr>
      <w:tblGrid>
        <w:gridCol w:w="2043"/>
        <w:gridCol w:w="1764"/>
        <w:gridCol w:w="3622"/>
        <w:gridCol w:w="1857"/>
      </w:tblGrid>
      <w:tr w:rsidR="00CB0F99" w:rsidRPr="0027651F" w:rsidTr="0016540A">
        <w:tc>
          <w:tcPr>
            <w:tcW w:w="9286" w:type="dxa"/>
            <w:gridSpan w:val="4"/>
            <w:tcBorders>
              <w:top w:val="single" w:sz="2" w:space="0" w:color="auto"/>
              <w:left w:val="single" w:sz="2" w:space="0" w:color="auto"/>
              <w:bottom w:val="single" w:sz="2" w:space="0" w:color="auto"/>
              <w:right w:val="single" w:sz="2" w:space="0" w:color="auto"/>
            </w:tcBorders>
          </w:tcPr>
          <w:p w:rsidR="00CB0F99" w:rsidRDefault="00CB0F99" w:rsidP="00AF5DA8">
            <w:pPr>
              <w:pageBreakBefore/>
              <w:autoSpaceDE w:val="0"/>
              <w:autoSpaceDN w:val="0"/>
              <w:spacing w:before="60" w:after="60"/>
              <w:jc w:val="center"/>
              <w:rPr>
                <w:rFonts w:eastAsiaTheme="minorEastAsia"/>
                <w:noProof/>
                <w:szCs w:val="24"/>
                <w:lang w:val="fr-FR"/>
              </w:rPr>
            </w:pPr>
            <w:r>
              <w:rPr>
                <w:rFonts w:eastAsiaTheme="minorEastAsia"/>
                <w:noProof/>
                <w:szCs w:val="24"/>
                <w:lang w:val="fr-FR"/>
              </w:rPr>
              <w:lastRenderedPageBreak/>
              <w:t xml:space="preserve">Tabulka </w:t>
            </w:r>
            <w:r>
              <w:rPr>
                <w:noProof/>
                <w:lang w:val="fr-FR"/>
              </w:rPr>
              <w:t>IV</w:t>
            </w:r>
            <w:r>
              <w:rPr>
                <w:rFonts w:eastAsiaTheme="minorEastAsia"/>
                <w:noProof/>
                <w:szCs w:val="24"/>
                <w:lang w:val="fr-FR"/>
              </w:rPr>
              <w:t>2:</w:t>
            </w:r>
            <w:r>
              <w:rPr>
                <w:rFonts w:eastAsiaTheme="minorEastAsia"/>
                <w:noProof/>
                <w:szCs w:val="24"/>
                <w:lang w:val="fr-FR"/>
              </w:rPr>
              <w:tab/>
              <w:t>Kontejnerová přeprava podle země registrace plavidel (údaje za čtvrtletí)</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třímístny alfanumerický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Pr>
                <w:noProof/>
                <w:lang w:val="fr-FR"/>
              </w:rPr>
              <w:t>IV</w:t>
            </w:r>
            <w:r>
              <w:rPr>
                <w:rFonts w:eastAsiaTheme="minorEastAsia"/>
                <w:noProof/>
                <w:szCs w:val="24"/>
                <w:lang w:val="fr-FR"/>
              </w:rPr>
              <w:t>2“</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„rrrr“</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Čtvrtletí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41</w:t>
            </w:r>
            <w:r>
              <w:rPr>
                <w:rFonts w:eastAsiaTheme="minorEastAsia"/>
                <w:noProof/>
                <w:szCs w:val="24"/>
                <w:lang w:val="fr-FR"/>
              </w:rPr>
              <w:tab/>
              <w:t>=</w:t>
            </w:r>
            <w:r>
              <w:rPr>
                <w:rFonts w:eastAsiaTheme="minorEastAsia"/>
                <w:noProof/>
                <w:szCs w:val="24"/>
                <w:lang w:val="fr-FR"/>
              </w:rPr>
              <w:tab/>
              <w:t>čtvrtletí 1</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42</w:t>
            </w:r>
            <w:r>
              <w:rPr>
                <w:rFonts w:eastAsiaTheme="minorEastAsia"/>
                <w:noProof/>
                <w:szCs w:val="24"/>
                <w:lang w:val="fr-FR"/>
              </w:rPr>
              <w:tab/>
              <w:t>=</w:t>
            </w:r>
            <w:r>
              <w:rPr>
                <w:rFonts w:eastAsiaTheme="minorEastAsia"/>
                <w:noProof/>
                <w:szCs w:val="24"/>
                <w:lang w:val="fr-FR"/>
              </w:rPr>
              <w:tab/>
              <w:t>čtvrtletí 2</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43</w:t>
            </w:r>
            <w:r>
              <w:rPr>
                <w:rFonts w:eastAsiaTheme="minorEastAsia"/>
                <w:noProof/>
                <w:szCs w:val="24"/>
                <w:lang w:val="fr-FR"/>
              </w:rPr>
              <w:tab/>
              <w:t>=</w:t>
            </w:r>
            <w:r>
              <w:rPr>
                <w:rFonts w:eastAsiaTheme="minorEastAsia"/>
                <w:noProof/>
                <w:szCs w:val="24"/>
                <w:lang w:val="fr-FR"/>
              </w:rPr>
              <w:tab/>
              <w:t>čtvrtletí 3</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44</w:t>
            </w:r>
            <w:r>
              <w:rPr>
                <w:rFonts w:eastAsiaTheme="minorEastAsia"/>
                <w:noProof/>
                <w:szCs w:val="24"/>
                <w:lang w:val="fr-FR"/>
              </w:rPr>
              <w:tab/>
              <w:t>=</w:t>
            </w:r>
            <w:r>
              <w:rPr>
                <w:rFonts w:eastAsiaTheme="minorEastAsia"/>
                <w:noProof/>
                <w:szCs w:val="24"/>
                <w:lang w:val="fr-FR"/>
              </w:rPr>
              <w:tab/>
              <w:t>čtvrtletí 4</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RPr="0027651F"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Země registrace plavidla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r w:rsidRPr="00A41F34">
              <w:rPr>
                <w:rStyle w:val="FootnoteReference"/>
                <w:noProof/>
              </w:rPr>
              <w:footnoteReference w:id="13"/>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Stav ložení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ložené kontejnery</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prázdné kontejnery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Přepravené tuny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tuny</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TEU</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TEU</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TEU-km</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TEU-km</w:t>
            </w:r>
          </w:p>
        </w:tc>
      </w:tr>
    </w:tbl>
    <w:p w:rsidR="00CB0F99" w:rsidRPr="00AF5DA8" w:rsidRDefault="00CB0F99" w:rsidP="00AF5DA8">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lang w:val="en-GB"/>
        </w:rPr>
      </w:pPr>
      <w:r>
        <w:rPr>
          <w:noProof/>
          <w:lang w:val="en-GB"/>
        </w:rPr>
        <w:br w:type="page"/>
      </w:r>
    </w:p>
    <w:p w:rsidR="00CB0F99" w:rsidRDefault="00CB0F99" w:rsidP="00CB0F99">
      <w:pPr>
        <w:pStyle w:val="Annexetitre"/>
        <w:spacing w:line="360" w:lineRule="auto"/>
        <w:rPr>
          <w:noProof/>
          <w:lang w:eastAsia="en-GB"/>
        </w:rPr>
      </w:pPr>
      <w:r>
        <w:rPr>
          <w:noProof/>
          <w:lang w:val="en-GB" w:eastAsia="en-GB"/>
        </w:rPr>
        <w:t xml:space="preserve">PŘÍLOHA </w:t>
      </w:r>
      <w:r>
        <w:rPr>
          <w:noProof/>
          <w:lang w:val="en-GB"/>
        </w:rPr>
        <w:t>V</w:t>
      </w:r>
    </w:p>
    <w:tbl>
      <w:tblPr>
        <w:tblW w:w="0" w:type="auto"/>
        <w:tblLayout w:type="fixed"/>
        <w:tblLook w:val="0000" w:firstRow="0" w:lastRow="0" w:firstColumn="0" w:lastColumn="0" w:noHBand="0" w:noVBand="0"/>
      </w:tblPr>
      <w:tblGrid>
        <w:gridCol w:w="2043"/>
        <w:gridCol w:w="1857"/>
        <w:gridCol w:w="3622"/>
        <w:gridCol w:w="1764"/>
      </w:tblGrid>
      <w:tr w:rsidR="00CB0F99" w:rsidRPr="0027651F" w:rsidTr="0016540A">
        <w:tc>
          <w:tcPr>
            <w:tcW w:w="9286" w:type="dxa"/>
            <w:gridSpan w:val="4"/>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pl-PL"/>
              </w:rPr>
            </w:pPr>
            <w:r>
              <w:rPr>
                <w:rFonts w:eastAsiaTheme="minorEastAsia"/>
                <w:noProof/>
                <w:szCs w:val="24"/>
                <w:lang w:val="pl-PL"/>
              </w:rPr>
              <w:t xml:space="preserve">Tabulka </w:t>
            </w:r>
            <w:r>
              <w:rPr>
                <w:noProof/>
                <w:lang w:val="pl-PL"/>
              </w:rPr>
              <w:t>V1.</w:t>
            </w:r>
            <w:r>
              <w:rPr>
                <w:rFonts w:eastAsiaTheme="minorEastAsia"/>
                <w:noProof/>
                <w:szCs w:val="24"/>
                <w:lang w:val="pl-PL"/>
              </w:rPr>
              <w:tab/>
              <w:t>Přeprava věcí (údaje za rok)</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Prvky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Kód</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Nomenklatura</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jc w:val="center"/>
              <w:rPr>
                <w:rFonts w:eastAsiaTheme="minorEastAsia"/>
                <w:noProof/>
                <w:szCs w:val="24"/>
                <w:lang w:val="fr-FR"/>
              </w:rPr>
            </w:pPr>
            <w:r>
              <w:rPr>
                <w:rFonts w:eastAsiaTheme="minorEastAsia"/>
                <w:noProof/>
                <w:szCs w:val="24"/>
                <w:lang w:val="fr-FR"/>
              </w:rPr>
              <w:t>Jednotka</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Tabulka</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alfanumerický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w:t>
            </w:r>
            <w:r>
              <w:rPr>
                <w:noProof/>
                <w:lang w:val="pl-PL"/>
              </w:rPr>
              <w:t>V</w:t>
            </w:r>
            <w:r>
              <w:rPr>
                <w:rFonts w:eastAsiaTheme="minorEastAsia"/>
                <w:noProof/>
                <w:szCs w:val="24"/>
                <w:lang w:val="fr-FR"/>
              </w:rPr>
              <w:t>1“</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Vykazující země</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písmenný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NUTS0 (kód země)</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Rok</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čtyřmístný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„rrrr“</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RPr="0027651F"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dopravy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jednomístný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1</w:t>
            </w:r>
            <w:r>
              <w:rPr>
                <w:rFonts w:eastAsiaTheme="minorEastAsia"/>
                <w:noProof/>
                <w:szCs w:val="24"/>
                <w:lang w:val="fr-FR"/>
              </w:rPr>
              <w:tab/>
              <w:t>=</w:t>
            </w:r>
            <w:r>
              <w:rPr>
                <w:rFonts w:eastAsiaTheme="minorEastAsia"/>
                <w:noProof/>
                <w:szCs w:val="24"/>
                <w:lang w:val="fr-FR"/>
              </w:rPr>
              <w:tab/>
              <w:t>vnitrostátní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2</w:t>
            </w:r>
            <w:r>
              <w:rPr>
                <w:rFonts w:eastAsiaTheme="minorEastAsia"/>
                <w:noProof/>
                <w:szCs w:val="24"/>
                <w:lang w:val="fr-FR"/>
              </w:rPr>
              <w:tab/>
              <w:t>=</w:t>
            </w:r>
            <w:r>
              <w:rPr>
                <w:rFonts w:eastAsiaTheme="minorEastAsia"/>
                <w:noProof/>
                <w:szCs w:val="24"/>
                <w:lang w:val="fr-FR"/>
              </w:rPr>
              <w:tab/>
              <w:t>mezinárodní (kromě tranzitní)</w:t>
            </w:r>
          </w:p>
          <w:p w:rsidR="00CB0F99" w:rsidRDefault="00CB0F99" w:rsidP="00AF5DA8">
            <w:pPr>
              <w:tabs>
                <w:tab w:val="left" w:pos="301"/>
              </w:tabs>
              <w:autoSpaceDE w:val="0"/>
              <w:autoSpaceDN w:val="0"/>
              <w:spacing w:before="60" w:after="60"/>
              <w:ind w:left="698" w:hanging="698"/>
              <w:rPr>
                <w:rFonts w:eastAsiaTheme="minorEastAsia"/>
                <w:noProof/>
                <w:szCs w:val="24"/>
                <w:lang w:val="fr-FR"/>
              </w:rPr>
            </w:pPr>
            <w:r>
              <w:rPr>
                <w:rFonts w:eastAsiaTheme="minorEastAsia"/>
                <w:noProof/>
                <w:szCs w:val="24"/>
                <w:lang w:val="fr-FR"/>
              </w:rPr>
              <w:t>3</w:t>
            </w:r>
            <w:r>
              <w:rPr>
                <w:rFonts w:eastAsiaTheme="minorEastAsia"/>
                <w:noProof/>
                <w:szCs w:val="24"/>
                <w:lang w:val="fr-FR"/>
              </w:rPr>
              <w:tab/>
              <w:t>=</w:t>
            </w:r>
            <w:r>
              <w:rPr>
                <w:rFonts w:eastAsiaTheme="minorEastAsia"/>
                <w:noProof/>
                <w:szCs w:val="24"/>
                <w:lang w:val="fr-FR"/>
              </w:rPr>
              <w:tab/>
              <w:t>tranzitní</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ind w:left="851" w:hanging="851"/>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Druh věci</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dvoumístný číselný</w:t>
            </w: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 xml:space="preserve">NST </w:t>
            </w:r>
            <w:r>
              <w:rPr>
                <w:noProof/>
              </w:rPr>
              <w:t>2007</w:t>
            </w: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 xml:space="preserve">Tuny přepravené </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tuny</w:t>
            </w:r>
          </w:p>
        </w:tc>
      </w:tr>
      <w:tr w:rsidR="00CB0F99" w:rsidTr="0016540A">
        <w:tc>
          <w:tcPr>
            <w:tcW w:w="2043"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c>
          <w:tcPr>
            <w:tcW w:w="1857"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3622"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p>
        </w:tc>
        <w:tc>
          <w:tcPr>
            <w:tcW w:w="1764" w:type="dxa"/>
            <w:tcBorders>
              <w:top w:val="single" w:sz="2" w:space="0" w:color="auto"/>
              <w:left w:val="single" w:sz="2" w:space="0" w:color="auto"/>
              <w:bottom w:val="single" w:sz="2" w:space="0" w:color="auto"/>
              <w:right w:val="single" w:sz="2" w:space="0" w:color="auto"/>
            </w:tcBorders>
          </w:tcPr>
          <w:p w:rsidR="00CB0F99" w:rsidRDefault="00CB0F99" w:rsidP="00AF5DA8">
            <w:pPr>
              <w:autoSpaceDE w:val="0"/>
              <w:autoSpaceDN w:val="0"/>
              <w:spacing w:before="60" w:after="60"/>
              <w:rPr>
                <w:rFonts w:eastAsiaTheme="minorEastAsia"/>
                <w:noProof/>
                <w:szCs w:val="24"/>
                <w:lang w:val="fr-FR"/>
              </w:rPr>
            </w:pPr>
            <w:r>
              <w:rPr>
                <w:rFonts w:eastAsiaTheme="minorEastAsia"/>
                <w:noProof/>
                <w:szCs w:val="24"/>
                <w:lang w:val="fr-FR"/>
              </w:rPr>
              <w:t>tunokilometry</w:t>
            </w:r>
          </w:p>
        </w:tc>
      </w:tr>
    </w:tbl>
    <w:p w:rsidR="00CB0F99" w:rsidRPr="00AF5DA8" w:rsidRDefault="00CB0F99" w:rsidP="00AF5DA8">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lang w:val="fr-FR"/>
        </w:rPr>
      </w:pPr>
      <w:r>
        <w:rPr>
          <w:noProof/>
          <w:lang w:val="fr-FR"/>
        </w:rPr>
        <w:br w:type="page"/>
      </w:r>
    </w:p>
    <w:p w:rsidR="00CB0F99" w:rsidRDefault="00CB0F99" w:rsidP="00CB0F99">
      <w:pPr>
        <w:pStyle w:val="Annexetitre"/>
        <w:spacing w:line="360" w:lineRule="auto"/>
        <w:rPr>
          <w:noProof/>
          <w:lang w:val="fr-FR" w:eastAsia="en-GB"/>
        </w:rPr>
      </w:pPr>
      <w:r>
        <w:rPr>
          <w:noProof/>
          <w:lang w:val="fr-FR" w:eastAsia="en-GB"/>
        </w:rPr>
        <w:t>PŘÍLOHA VI</w:t>
      </w:r>
    </w:p>
    <w:tbl>
      <w:tblPr>
        <w:tblW w:w="0" w:type="auto"/>
        <w:tblLayout w:type="fixed"/>
        <w:tblLook w:val="0000" w:firstRow="0" w:lastRow="0" w:firstColumn="0" w:lastColumn="0" w:noHBand="0" w:noVBand="0"/>
      </w:tblPr>
      <w:tblGrid>
        <w:gridCol w:w="929"/>
        <w:gridCol w:w="8357"/>
      </w:tblGrid>
      <w:tr w:rsidR="00CB0F99" w:rsidTr="0016540A">
        <w:tc>
          <w:tcPr>
            <w:tcW w:w="9286" w:type="dxa"/>
            <w:gridSpan w:val="2"/>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jc w:val="center"/>
              <w:rPr>
                <w:rFonts w:eastAsiaTheme="minorEastAsia"/>
                <w:noProof/>
                <w:szCs w:val="24"/>
                <w:lang w:val="fr-FR"/>
              </w:rPr>
            </w:pPr>
            <w:r>
              <w:rPr>
                <w:rFonts w:eastAsiaTheme="minorEastAsia"/>
                <w:noProof/>
                <w:szCs w:val="24"/>
                <w:lang w:val="fr-FR"/>
              </w:rPr>
              <w:t>NST 2007</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jc w:val="center"/>
              <w:rPr>
                <w:rFonts w:eastAsiaTheme="minorEastAsia"/>
                <w:noProof/>
                <w:szCs w:val="24"/>
                <w:lang w:val="fr-FR"/>
              </w:rPr>
            </w:pPr>
            <w:r>
              <w:rPr>
                <w:rFonts w:eastAsiaTheme="minorEastAsia"/>
                <w:noProof/>
                <w:szCs w:val="24"/>
                <w:lang w:val="fr-FR"/>
              </w:rPr>
              <w:t>Oddíl</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jc w:val="center"/>
              <w:rPr>
                <w:rFonts w:eastAsiaTheme="minorEastAsia"/>
                <w:noProof/>
                <w:szCs w:val="24"/>
                <w:lang w:val="fr-FR"/>
              </w:rPr>
            </w:pPr>
            <w:r>
              <w:rPr>
                <w:rFonts w:eastAsiaTheme="minorEastAsia"/>
                <w:noProof/>
                <w:szCs w:val="24"/>
                <w:lang w:val="fr-FR"/>
              </w:rPr>
              <w:t>Popis</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01</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Produkty zemědělství, myslivosti a lesnictví; ryby a jiné produkty rybolovu</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02</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Černé a hnědé uhlí (lignit); ropa a zemní plyn</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03</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Rudy kovů a produkty těžby a úpravy jiných nerostných surovin; rašelina; uran a thorium</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04</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Potravinářské výrobky, nápoje a tabák</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05</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Textilie a textilní výrobky; usně a výrobky z usně</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06</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Dřevo a dřevěné a korkové výrobky (kromě nábytku); proutěné a slaměné výrobky; buničina, papír a výrobky z papíru; tiskařské výrobky a nahraná média</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07</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it-IT"/>
              </w:rPr>
            </w:pPr>
            <w:r>
              <w:rPr>
                <w:rFonts w:eastAsiaTheme="minorEastAsia"/>
                <w:noProof/>
                <w:szCs w:val="24"/>
                <w:lang w:val="it-IT"/>
              </w:rPr>
              <w:t>Koks a rafinované ropné produkty</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08</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Chemické látky, přípravky, výrobky a umělá vlákna; pryžové a plastové výrobky; jaderné palivo</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09</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Jiné nekovové anorganické produkty</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10</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Obecné kovy; kovové konstrukce a kovodělné výrobky, kromě strojů a zařízení</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11</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Stroje a zařízení jinde neuvedené; kancelářské stroje a počítače; elektrické stroje a zařízení jinde neuvedené; rádiová, televizní, spojová zařízení a přístroje; lékařské, přesné a optické přístroje; hodinky a hodiny</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12</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Dopravní prostředky a zařízení</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13</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Nábytek; jiné průmyslové výrobky jinde neuvedené</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pageBreakBefore/>
              <w:autoSpaceDE w:val="0"/>
              <w:autoSpaceDN w:val="0"/>
              <w:spacing w:before="60" w:after="60"/>
              <w:rPr>
                <w:rFonts w:eastAsiaTheme="minorEastAsia"/>
                <w:noProof/>
                <w:szCs w:val="24"/>
                <w:lang w:val="fr-FR"/>
              </w:rPr>
            </w:pPr>
            <w:r>
              <w:rPr>
                <w:rFonts w:eastAsiaTheme="minorEastAsia"/>
                <w:noProof/>
                <w:szCs w:val="24"/>
                <w:lang w:val="fr-FR"/>
              </w:rPr>
              <w:lastRenderedPageBreak/>
              <w:t>14</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Druhotné suroviny; komunální a jiné odpady</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15</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Zásilky, balíky</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16</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Zařízení a materiál používaný při přepravě věcí</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17</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D13981">
            <w:pPr>
              <w:autoSpaceDE w:val="0"/>
              <w:autoSpaceDN w:val="0"/>
              <w:spacing w:before="60" w:after="60"/>
              <w:rPr>
                <w:rFonts w:eastAsiaTheme="minorEastAsia"/>
                <w:noProof/>
                <w:szCs w:val="24"/>
                <w:lang w:val="fr-FR"/>
              </w:rPr>
            </w:pPr>
            <w:r>
              <w:rPr>
                <w:rFonts w:eastAsiaTheme="minorEastAsia"/>
                <w:noProof/>
                <w:szCs w:val="24"/>
                <w:lang w:val="fr-FR"/>
              </w:rPr>
              <w:t>Věci přepravované v rámci stěhování domácností a kanceláří; zavazadla přepravovaná odděleně od cestujících; motorová vozidla přepravovaná za účelem opravy; jiné neobchodovatelné věci jinde neuvedené</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18</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Skupinové věci: kombinace druhů věcí, které se přepravují společně</w:t>
            </w:r>
          </w:p>
        </w:tc>
      </w:tr>
      <w:tr w:rsidR="00CB0F99" w:rsidRPr="0027651F"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19</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Neidentifikovatelné věci: věci, které z jakéhokoliv důvodu nelze identifikovat, a proto nemohou být zařazeny do skupin 01–16</w:t>
            </w:r>
          </w:p>
        </w:tc>
      </w:tr>
      <w:tr w:rsidR="00CB0F99" w:rsidTr="0016540A">
        <w:tc>
          <w:tcPr>
            <w:tcW w:w="929"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20</w:t>
            </w:r>
          </w:p>
        </w:tc>
        <w:tc>
          <w:tcPr>
            <w:tcW w:w="8357" w:type="dxa"/>
            <w:tcBorders>
              <w:top w:val="single" w:sz="2" w:space="0" w:color="auto"/>
              <w:left w:val="single" w:sz="2" w:space="0" w:color="auto"/>
              <w:bottom w:val="single" w:sz="2" w:space="0" w:color="auto"/>
              <w:right w:val="single" w:sz="2" w:space="0" w:color="auto"/>
            </w:tcBorders>
          </w:tcPr>
          <w:p w:rsidR="00CB0F99" w:rsidRDefault="00CB0F99" w:rsidP="0016540A">
            <w:pPr>
              <w:autoSpaceDE w:val="0"/>
              <w:autoSpaceDN w:val="0"/>
              <w:rPr>
                <w:rFonts w:eastAsiaTheme="minorEastAsia"/>
                <w:noProof/>
                <w:szCs w:val="24"/>
                <w:lang w:val="fr-FR"/>
              </w:rPr>
            </w:pPr>
            <w:r>
              <w:rPr>
                <w:rFonts w:eastAsiaTheme="minorEastAsia"/>
                <w:noProof/>
                <w:szCs w:val="24"/>
                <w:lang w:val="fr-FR"/>
              </w:rPr>
              <w:t>Jiné věci jinde neuvedené</w:t>
            </w:r>
          </w:p>
        </w:tc>
      </w:tr>
    </w:tbl>
    <w:p w:rsidR="00CB0F99" w:rsidRPr="00D13981" w:rsidRDefault="00CB0F99" w:rsidP="00D13981">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rPr>
      </w:pPr>
      <w:r>
        <w:rPr>
          <w:noProof/>
        </w:rPr>
        <w:br w:type="page"/>
      </w:r>
    </w:p>
    <w:p w:rsidR="00CB0F99" w:rsidRDefault="00CB0F99" w:rsidP="00DA0B50">
      <w:pPr>
        <w:pStyle w:val="Annexetitre"/>
        <w:rPr>
          <w:noProof/>
        </w:rPr>
      </w:pPr>
      <w:r>
        <w:rPr>
          <w:noProof/>
          <w:lang w:eastAsia="en-GB"/>
        </w:rPr>
        <w:t>PŘÍLOHA</w:t>
      </w:r>
      <w:r>
        <w:rPr>
          <w:noProof/>
        </w:rPr>
        <w:t xml:space="preserve"> VII</w:t>
      </w:r>
    </w:p>
    <w:p w:rsidR="00CB0F99" w:rsidRPr="00DA0B50" w:rsidRDefault="00CB0F99" w:rsidP="00CB0F99">
      <w:pPr>
        <w:spacing w:before="120" w:after="120" w:line="360" w:lineRule="auto"/>
        <w:jc w:val="center"/>
        <w:rPr>
          <w:noProof/>
        </w:rPr>
      </w:pPr>
      <w:bookmarkStart w:id="3" w:name="_CopyToNewDocument_"/>
      <w:bookmarkEnd w:id="3"/>
      <w:r w:rsidRPr="00DA0B50">
        <w:rPr>
          <w:noProof/>
        </w:rPr>
        <w:t>ZRUŠENÉ NAŘÍZENÍ A SEZNAM JEHO NÁSLEDNÝCH ZMĚN</w:t>
      </w:r>
    </w:p>
    <w:tbl>
      <w:tblPr>
        <w:tblW w:w="9000" w:type="dxa"/>
        <w:tblInd w:w="-34" w:type="dxa"/>
        <w:tblLayout w:type="fixed"/>
        <w:tblLook w:val="0000" w:firstRow="0" w:lastRow="0" w:firstColumn="0" w:lastColumn="0" w:noHBand="0" w:noVBand="0"/>
      </w:tblPr>
      <w:tblGrid>
        <w:gridCol w:w="34"/>
        <w:gridCol w:w="5963"/>
        <w:gridCol w:w="567"/>
        <w:gridCol w:w="1956"/>
        <w:gridCol w:w="480"/>
      </w:tblGrid>
      <w:tr w:rsidR="00CB0F99" w:rsidTr="00D13981">
        <w:trPr>
          <w:gridBefore w:val="1"/>
          <w:gridAfter w:val="1"/>
          <w:wBefore w:w="34" w:type="dxa"/>
          <w:wAfter w:w="480" w:type="dxa"/>
          <w:cantSplit/>
        </w:trPr>
        <w:tc>
          <w:tcPr>
            <w:tcW w:w="5963" w:type="dxa"/>
          </w:tcPr>
          <w:p w:rsidR="00CB0F99" w:rsidRDefault="00CB0F99" w:rsidP="00D13981">
            <w:pPr>
              <w:autoSpaceDE w:val="0"/>
              <w:autoSpaceDN w:val="0"/>
              <w:spacing w:before="60" w:after="60"/>
              <w:rPr>
                <w:noProof/>
              </w:rPr>
            </w:pPr>
            <w:r w:rsidRPr="00DA0B50">
              <w:rPr>
                <w:noProof/>
              </w:rPr>
              <w:t xml:space="preserve">Nařízení Evropského parlamentu a Rady (ES) č. </w:t>
            </w:r>
            <w:r w:rsidRPr="00DA0B50">
              <w:rPr>
                <w:rFonts w:eastAsiaTheme="minorEastAsia"/>
                <w:bCs/>
                <w:noProof/>
                <w:szCs w:val="24"/>
              </w:rPr>
              <w:t>1365/2006</w:t>
            </w:r>
            <w:r w:rsidRPr="00DA0B50">
              <w:rPr>
                <w:noProof/>
              </w:rPr>
              <w:br/>
              <w:t xml:space="preserve">(Úř. věst. </w:t>
            </w:r>
            <w:r>
              <w:rPr>
                <w:noProof/>
              </w:rPr>
              <w:t>L 264, 25.9.2006, s. 1)</w:t>
            </w:r>
          </w:p>
        </w:tc>
        <w:tc>
          <w:tcPr>
            <w:tcW w:w="2523" w:type="dxa"/>
            <w:gridSpan w:val="2"/>
          </w:tcPr>
          <w:p w:rsidR="00CB0F99" w:rsidRDefault="00CB0F99" w:rsidP="00D13981">
            <w:pPr>
              <w:spacing w:before="60" w:after="60"/>
              <w:rPr>
                <w:noProof/>
              </w:rPr>
            </w:pPr>
          </w:p>
        </w:tc>
      </w:tr>
      <w:tr w:rsidR="00CB0F99" w:rsidTr="00D13981">
        <w:trPr>
          <w:cantSplit/>
        </w:trPr>
        <w:tc>
          <w:tcPr>
            <w:tcW w:w="6564" w:type="dxa"/>
            <w:gridSpan w:val="3"/>
          </w:tcPr>
          <w:p w:rsidR="00CB0F99" w:rsidRDefault="00CB0F99" w:rsidP="00D13981">
            <w:pPr>
              <w:spacing w:before="60" w:after="60"/>
              <w:rPr>
                <w:noProof/>
              </w:rPr>
            </w:pPr>
            <w:r>
              <w:rPr>
                <w:noProof/>
              </w:rPr>
              <w:t>Nařízení Komise (ES) č. 425/2007</w:t>
            </w:r>
            <w:r>
              <w:rPr>
                <w:noProof/>
              </w:rPr>
              <w:br/>
              <w:t>(Úř. věst. L 103, 20.4.2007, s. 26)</w:t>
            </w:r>
          </w:p>
        </w:tc>
        <w:tc>
          <w:tcPr>
            <w:tcW w:w="2436" w:type="dxa"/>
            <w:gridSpan w:val="2"/>
          </w:tcPr>
          <w:p w:rsidR="00CB0F99" w:rsidRDefault="00CB0F99" w:rsidP="00D13981">
            <w:pPr>
              <w:spacing w:before="60" w:after="60"/>
              <w:rPr>
                <w:noProof/>
              </w:rPr>
            </w:pPr>
            <w:r>
              <w:rPr>
                <w:noProof/>
              </w:rPr>
              <w:t>Pouze článek 1</w:t>
            </w:r>
          </w:p>
        </w:tc>
      </w:tr>
      <w:tr w:rsidR="00CB0F99" w:rsidTr="00D13981">
        <w:trPr>
          <w:cantSplit/>
        </w:trPr>
        <w:tc>
          <w:tcPr>
            <w:tcW w:w="6564" w:type="dxa"/>
            <w:gridSpan w:val="3"/>
          </w:tcPr>
          <w:p w:rsidR="00CB0F99" w:rsidRDefault="00CB0F99" w:rsidP="00D13981">
            <w:pPr>
              <w:spacing w:before="60" w:after="60"/>
              <w:rPr>
                <w:noProof/>
              </w:rPr>
            </w:pPr>
            <w:r>
              <w:rPr>
                <w:noProof/>
              </w:rPr>
              <w:t>Nařízení Komise (ES) č. 1304/2007</w:t>
            </w:r>
            <w:r>
              <w:rPr>
                <w:noProof/>
              </w:rPr>
              <w:br/>
              <w:t>(Úř. věst. L 290, 8.11.2007, s. 14)</w:t>
            </w:r>
          </w:p>
        </w:tc>
        <w:tc>
          <w:tcPr>
            <w:tcW w:w="2436" w:type="dxa"/>
            <w:gridSpan w:val="2"/>
          </w:tcPr>
          <w:p w:rsidR="00CB0F99" w:rsidRDefault="00CB0F99" w:rsidP="00D13981">
            <w:pPr>
              <w:spacing w:before="60" w:after="60"/>
              <w:rPr>
                <w:noProof/>
              </w:rPr>
            </w:pPr>
            <w:r>
              <w:rPr>
                <w:noProof/>
              </w:rPr>
              <w:t>Pouze článek 4</w:t>
            </w:r>
          </w:p>
        </w:tc>
      </w:tr>
      <w:tr w:rsidR="00CB0F99" w:rsidTr="00D13981">
        <w:trPr>
          <w:cantSplit/>
        </w:trPr>
        <w:tc>
          <w:tcPr>
            <w:tcW w:w="6564" w:type="dxa"/>
            <w:gridSpan w:val="3"/>
          </w:tcPr>
          <w:p w:rsidR="00CB0F99" w:rsidRDefault="00CB0F99" w:rsidP="00D13981">
            <w:pPr>
              <w:spacing w:before="60" w:after="60"/>
              <w:rPr>
                <w:noProof/>
              </w:rPr>
            </w:pPr>
            <w:r>
              <w:rPr>
                <w:noProof/>
              </w:rPr>
              <w:t xml:space="preserve">Nařízení Evropského parlamentu a Rady (EU) </w:t>
            </w:r>
            <w:r>
              <w:rPr>
                <w:bCs/>
                <w:noProof/>
              </w:rPr>
              <w:t>2016/1954</w:t>
            </w:r>
            <w:r>
              <w:rPr>
                <w:noProof/>
              </w:rPr>
              <w:t xml:space="preserve"> </w:t>
            </w:r>
            <w:r>
              <w:rPr>
                <w:noProof/>
              </w:rPr>
              <w:br/>
              <w:t>(Úř. věst. L 311, 17.11.2016, s. 20)</w:t>
            </w:r>
          </w:p>
        </w:tc>
        <w:tc>
          <w:tcPr>
            <w:tcW w:w="2436" w:type="dxa"/>
            <w:gridSpan w:val="2"/>
          </w:tcPr>
          <w:p w:rsidR="00CB0F99" w:rsidRDefault="00CB0F99" w:rsidP="00D13981">
            <w:pPr>
              <w:spacing w:before="60" w:after="60"/>
              <w:rPr>
                <w:noProof/>
              </w:rPr>
            </w:pPr>
          </w:p>
        </w:tc>
      </w:tr>
    </w:tbl>
    <w:p w:rsidR="00CB0F99" w:rsidRPr="00D13981" w:rsidRDefault="00CB0F99" w:rsidP="00D13981">
      <w:pPr>
        <w:pBdr>
          <w:bottom w:val="single" w:sz="4" w:space="0" w:color="000000"/>
        </w:pBdr>
        <w:spacing w:before="360" w:after="120"/>
        <w:ind w:left="3400" w:right="3400"/>
        <w:jc w:val="center"/>
        <w:rPr>
          <w:b/>
          <w:noProof/>
          <w:lang w:val="en-GB"/>
        </w:rPr>
      </w:pPr>
    </w:p>
    <w:p w:rsidR="00CB0F99" w:rsidRDefault="00CB0F99">
      <w:pPr>
        <w:spacing w:after="200" w:line="276" w:lineRule="auto"/>
        <w:rPr>
          <w:b/>
          <w:noProof/>
          <w:u w:val="single"/>
          <w:lang w:val="en-GB"/>
        </w:rPr>
      </w:pPr>
      <w:r>
        <w:rPr>
          <w:noProof/>
          <w:lang w:val="en-GB"/>
        </w:rPr>
        <w:br w:type="page"/>
      </w:r>
    </w:p>
    <w:p w:rsidR="00CB0F99" w:rsidRDefault="00CB0F99" w:rsidP="00DA0B50">
      <w:pPr>
        <w:pStyle w:val="Annexetitre"/>
        <w:rPr>
          <w:b w:val="0"/>
          <w:noProof/>
          <w:lang w:eastAsia="en-GB"/>
        </w:rPr>
      </w:pPr>
      <w:r>
        <w:rPr>
          <w:noProof/>
          <w:lang w:val="en-GB" w:eastAsia="en-GB"/>
        </w:rPr>
        <w:t>PŘÍLOHA VIII</w:t>
      </w:r>
    </w:p>
    <w:p w:rsidR="00CB0F99" w:rsidRPr="00D13981" w:rsidRDefault="00CB0F99" w:rsidP="00CB0F99">
      <w:pPr>
        <w:spacing w:before="120" w:after="120" w:line="360" w:lineRule="auto"/>
        <w:jc w:val="center"/>
        <w:rPr>
          <w:b/>
          <w:bCs/>
        </w:rPr>
      </w:pPr>
      <w:r w:rsidRPr="00D13981">
        <w:rPr>
          <w:b/>
          <w:bCs/>
        </w:rPr>
        <w:t>Srovnávací tabulka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rsidR="00CB0F99" w:rsidTr="0016540A">
        <w:tc>
          <w:tcPr>
            <w:tcW w:w="4674" w:type="dxa"/>
            <w:tcBorders>
              <w:left w:val="nil"/>
            </w:tcBorders>
          </w:tcPr>
          <w:p w:rsidR="00CB0F99" w:rsidRDefault="00CB0F99" w:rsidP="00D13981">
            <w:pPr>
              <w:spacing w:before="60" w:after="60"/>
              <w:jc w:val="center"/>
              <w:rPr>
                <w:noProof/>
              </w:rPr>
            </w:pPr>
            <w:r>
              <w:rPr>
                <w:noProof/>
              </w:rPr>
              <w:t>Nařízení (ES) č. 1365/2006</w:t>
            </w:r>
          </w:p>
        </w:tc>
        <w:tc>
          <w:tcPr>
            <w:tcW w:w="4674" w:type="dxa"/>
            <w:tcBorders>
              <w:right w:val="nil"/>
            </w:tcBorders>
          </w:tcPr>
          <w:p w:rsidR="00CB0F99" w:rsidRDefault="00CB0F99" w:rsidP="00D13981">
            <w:pPr>
              <w:spacing w:before="60" w:after="60"/>
              <w:jc w:val="center"/>
              <w:rPr>
                <w:noProof/>
              </w:rPr>
            </w:pPr>
            <w:r>
              <w:rPr>
                <w:noProof/>
              </w:rPr>
              <w:t>Toto nařízení</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Články 1 až 4</w:t>
            </w:r>
          </w:p>
        </w:tc>
        <w:tc>
          <w:tcPr>
            <w:tcW w:w="4674" w:type="dxa"/>
            <w:tcBorders>
              <w:top w:val="nil"/>
              <w:bottom w:val="nil"/>
              <w:right w:val="nil"/>
            </w:tcBorders>
          </w:tcPr>
          <w:p w:rsidR="00CB0F99" w:rsidRDefault="00CB0F99" w:rsidP="00D13981">
            <w:pPr>
              <w:spacing w:before="60" w:after="60"/>
              <w:rPr>
                <w:noProof/>
              </w:rPr>
            </w:pPr>
            <w:r>
              <w:rPr>
                <w:noProof/>
              </w:rPr>
              <w:t>Články 1 až 4</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4a</w:t>
            </w:r>
          </w:p>
        </w:tc>
        <w:tc>
          <w:tcPr>
            <w:tcW w:w="4674" w:type="dxa"/>
            <w:tcBorders>
              <w:top w:val="nil"/>
              <w:bottom w:val="nil"/>
              <w:right w:val="nil"/>
            </w:tcBorders>
          </w:tcPr>
          <w:p w:rsidR="00CB0F99" w:rsidRDefault="00CB0F99" w:rsidP="00D13981">
            <w:pPr>
              <w:spacing w:before="60" w:after="60"/>
              <w:rPr>
                <w:noProof/>
              </w:rPr>
            </w:pPr>
            <w:r>
              <w:rPr>
                <w:noProof/>
              </w:rPr>
              <w:t>Článek 5</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5</w:t>
            </w:r>
          </w:p>
        </w:tc>
        <w:tc>
          <w:tcPr>
            <w:tcW w:w="4674" w:type="dxa"/>
            <w:tcBorders>
              <w:top w:val="nil"/>
              <w:bottom w:val="nil"/>
              <w:right w:val="nil"/>
            </w:tcBorders>
          </w:tcPr>
          <w:p w:rsidR="00CB0F99" w:rsidRDefault="00CB0F99" w:rsidP="00D13981">
            <w:pPr>
              <w:spacing w:before="60" w:after="60"/>
              <w:rPr>
                <w:noProof/>
              </w:rPr>
            </w:pPr>
            <w:r>
              <w:rPr>
                <w:noProof/>
              </w:rPr>
              <w:t>Článek 6</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6</w:t>
            </w:r>
          </w:p>
        </w:tc>
        <w:tc>
          <w:tcPr>
            <w:tcW w:w="4674" w:type="dxa"/>
            <w:tcBorders>
              <w:top w:val="nil"/>
              <w:bottom w:val="nil"/>
              <w:right w:val="nil"/>
            </w:tcBorders>
          </w:tcPr>
          <w:p w:rsidR="00CB0F99" w:rsidRDefault="00CB0F99" w:rsidP="00D13981">
            <w:pPr>
              <w:spacing w:before="60" w:after="60"/>
              <w:rPr>
                <w:noProof/>
              </w:rPr>
            </w:pPr>
            <w:r>
              <w:rPr>
                <w:noProof/>
              </w:rPr>
              <w:t>Článek 7</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7</w:t>
            </w:r>
          </w:p>
        </w:tc>
        <w:tc>
          <w:tcPr>
            <w:tcW w:w="4674" w:type="dxa"/>
            <w:tcBorders>
              <w:top w:val="nil"/>
              <w:bottom w:val="nil"/>
              <w:right w:val="nil"/>
            </w:tcBorders>
          </w:tcPr>
          <w:p w:rsidR="00CB0F99" w:rsidRDefault="00CB0F99" w:rsidP="00D13981">
            <w:pPr>
              <w:spacing w:before="60" w:after="60"/>
              <w:rPr>
                <w:noProof/>
              </w:rPr>
            </w:pPr>
            <w:r>
              <w:rPr>
                <w:noProof/>
              </w:rPr>
              <w:t>Článek 8</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8</w:t>
            </w:r>
          </w:p>
        </w:tc>
        <w:tc>
          <w:tcPr>
            <w:tcW w:w="4674" w:type="dxa"/>
            <w:tcBorders>
              <w:top w:val="nil"/>
              <w:bottom w:val="nil"/>
              <w:right w:val="nil"/>
            </w:tcBorders>
          </w:tcPr>
          <w:p w:rsidR="00CB0F99" w:rsidRDefault="00CB0F99" w:rsidP="00D13981">
            <w:pPr>
              <w:spacing w:before="60" w:after="60"/>
              <w:rPr>
                <w:noProof/>
              </w:rPr>
            </w:pPr>
            <w:r>
              <w:rPr>
                <w:noProof/>
              </w:rPr>
              <w:t>Článek 9</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10</w:t>
            </w:r>
          </w:p>
        </w:tc>
        <w:tc>
          <w:tcPr>
            <w:tcW w:w="4674" w:type="dxa"/>
            <w:tcBorders>
              <w:top w:val="nil"/>
              <w:bottom w:val="nil"/>
              <w:right w:val="nil"/>
            </w:tcBorders>
          </w:tcPr>
          <w:p w:rsidR="00CB0F99" w:rsidRDefault="00CB0F99" w:rsidP="00D13981">
            <w:pPr>
              <w:spacing w:before="60" w:after="60"/>
              <w:rPr>
                <w:noProof/>
              </w:rPr>
            </w:pPr>
            <w:r>
              <w:rPr>
                <w:noProof/>
              </w:rPr>
              <w:t>Článek 11</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Článek 11</w:t>
            </w:r>
          </w:p>
        </w:tc>
        <w:tc>
          <w:tcPr>
            <w:tcW w:w="4674" w:type="dxa"/>
            <w:tcBorders>
              <w:top w:val="nil"/>
              <w:bottom w:val="nil"/>
              <w:right w:val="nil"/>
            </w:tcBorders>
          </w:tcPr>
          <w:p w:rsidR="00CB0F99" w:rsidRDefault="00CB0F99" w:rsidP="00D13981">
            <w:pPr>
              <w:spacing w:before="60" w:after="60"/>
              <w:rPr>
                <w:noProof/>
              </w:rPr>
            </w:pPr>
            <w:r>
              <w:rPr>
                <w:noProof/>
              </w:rPr>
              <w:t>–</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w:t>
            </w:r>
          </w:p>
        </w:tc>
        <w:tc>
          <w:tcPr>
            <w:tcW w:w="4674" w:type="dxa"/>
            <w:tcBorders>
              <w:top w:val="nil"/>
              <w:bottom w:val="nil"/>
              <w:right w:val="nil"/>
            </w:tcBorders>
          </w:tcPr>
          <w:p w:rsidR="00CB0F99" w:rsidRDefault="00CB0F99" w:rsidP="00D13981">
            <w:pPr>
              <w:spacing w:before="60" w:after="60"/>
              <w:rPr>
                <w:noProof/>
              </w:rPr>
            </w:pPr>
            <w:r>
              <w:rPr>
                <w:noProof/>
              </w:rPr>
              <w:t>Článek 12</w:t>
            </w:r>
          </w:p>
        </w:tc>
      </w:tr>
      <w:tr w:rsidR="00CB0F99" w:rsidTr="0016540A">
        <w:tc>
          <w:tcPr>
            <w:tcW w:w="4674" w:type="dxa"/>
            <w:tcBorders>
              <w:top w:val="nil"/>
              <w:left w:val="nil"/>
              <w:bottom w:val="nil"/>
            </w:tcBorders>
          </w:tcPr>
          <w:p w:rsidR="00CB0F99" w:rsidRDefault="00CB0F99" w:rsidP="00D13981">
            <w:pPr>
              <w:spacing w:before="60" w:after="60"/>
              <w:rPr>
                <w:noProof/>
                <w:lang w:val="fr-BE"/>
              </w:rPr>
            </w:pPr>
            <w:r>
              <w:rPr>
                <w:noProof/>
              </w:rPr>
              <w:t xml:space="preserve">Článek </w:t>
            </w:r>
            <w:r>
              <w:rPr>
                <w:noProof/>
                <w:lang w:val="fr-BE"/>
              </w:rPr>
              <w:t>12</w:t>
            </w:r>
          </w:p>
        </w:tc>
        <w:tc>
          <w:tcPr>
            <w:tcW w:w="4674" w:type="dxa"/>
            <w:tcBorders>
              <w:top w:val="nil"/>
              <w:bottom w:val="nil"/>
              <w:right w:val="nil"/>
            </w:tcBorders>
          </w:tcPr>
          <w:p w:rsidR="00CB0F99" w:rsidRDefault="00CB0F99" w:rsidP="00D13981">
            <w:pPr>
              <w:spacing w:before="60" w:after="60"/>
              <w:rPr>
                <w:noProof/>
                <w:lang w:val="fr-BE"/>
              </w:rPr>
            </w:pPr>
            <w:r>
              <w:rPr>
                <w:noProof/>
              </w:rPr>
              <w:t xml:space="preserve">Článek </w:t>
            </w:r>
            <w:r>
              <w:rPr>
                <w:noProof/>
                <w:lang w:val="fr-BE"/>
              </w:rPr>
              <w:t>13</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A</w:t>
            </w:r>
          </w:p>
        </w:tc>
        <w:tc>
          <w:tcPr>
            <w:tcW w:w="4674" w:type="dxa"/>
            <w:tcBorders>
              <w:top w:val="nil"/>
              <w:bottom w:val="nil"/>
              <w:right w:val="nil"/>
            </w:tcBorders>
          </w:tcPr>
          <w:p w:rsidR="00CB0F99" w:rsidRDefault="00CB0F99" w:rsidP="00D13981">
            <w:pPr>
              <w:spacing w:before="60" w:after="60"/>
              <w:rPr>
                <w:noProof/>
              </w:rPr>
            </w:pPr>
            <w:r>
              <w:rPr>
                <w:noProof/>
              </w:rPr>
              <w:t>Příloha I</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B</w:t>
            </w:r>
          </w:p>
        </w:tc>
        <w:tc>
          <w:tcPr>
            <w:tcW w:w="4674" w:type="dxa"/>
            <w:tcBorders>
              <w:top w:val="nil"/>
              <w:bottom w:val="nil"/>
              <w:right w:val="nil"/>
            </w:tcBorders>
          </w:tcPr>
          <w:p w:rsidR="00CB0F99" w:rsidRDefault="00CB0F99" w:rsidP="00D13981">
            <w:pPr>
              <w:spacing w:before="60" w:after="60"/>
              <w:rPr>
                <w:noProof/>
              </w:rPr>
            </w:pPr>
            <w:r>
              <w:rPr>
                <w:noProof/>
              </w:rPr>
              <w:t>Příloha II</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C</w:t>
            </w:r>
          </w:p>
        </w:tc>
        <w:tc>
          <w:tcPr>
            <w:tcW w:w="4674" w:type="dxa"/>
            <w:tcBorders>
              <w:top w:val="nil"/>
              <w:bottom w:val="nil"/>
              <w:right w:val="nil"/>
            </w:tcBorders>
          </w:tcPr>
          <w:p w:rsidR="00CB0F99" w:rsidRDefault="00CB0F99" w:rsidP="00D13981">
            <w:pPr>
              <w:spacing w:before="60" w:after="60"/>
              <w:rPr>
                <w:noProof/>
              </w:rPr>
            </w:pPr>
            <w:r>
              <w:rPr>
                <w:noProof/>
              </w:rPr>
              <w:t>Příloha III</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D</w:t>
            </w:r>
          </w:p>
        </w:tc>
        <w:tc>
          <w:tcPr>
            <w:tcW w:w="4674" w:type="dxa"/>
            <w:tcBorders>
              <w:top w:val="nil"/>
              <w:bottom w:val="nil"/>
              <w:right w:val="nil"/>
            </w:tcBorders>
          </w:tcPr>
          <w:p w:rsidR="00CB0F99" w:rsidRDefault="00CB0F99" w:rsidP="00D13981">
            <w:pPr>
              <w:spacing w:before="60" w:after="60"/>
              <w:rPr>
                <w:noProof/>
              </w:rPr>
            </w:pPr>
            <w:r>
              <w:rPr>
                <w:noProof/>
              </w:rPr>
              <w:t>Příloha IV</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E</w:t>
            </w:r>
          </w:p>
        </w:tc>
        <w:tc>
          <w:tcPr>
            <w:tcW w:w="4674" w:type="dxa"/>
            <w:tcBorders>
              <w:top w:val="nil"/>
              <w:bottom w:val="nil"/>
              <w:right w:val="nil"/>
            </w:tcBorders>
          </w:tcPr>
          <w:p w:rsidR="00CB0F99" w:rsidRDefault="00CB0F99" w:rsidP="00D13981">
            <w:pPr>
              <w:spacing w:before="60" w:after="60"/>
              <w:rPr>
                <w:noProof/>
              </w:rPr>
            </w:pPr>
            <w:r>
              <w:rPr>
                <w:noProof/>
              </w:rPr>
              <w:t>Příloha V</w:t>
            </w:r>
          </w:p>
        </w:tc>
      </w:tr>
      <w:tr w:rsidR="00CB0F99" w:rsidTr="0016540A">
        <w:tc>
          <w:tcPr>
            <w:tcW w:w="4674" w:type="dxa"/>
            <w:tcBorders>
              <w:top w:val="nil"/>
              <w:left w:val="nil"/>
              <w:bottom w:val="nil"/>
            </w:tcBorders>
          </w:tcPr>
          <w:p w:rsidR="00CB0F99" w:rsidRDefault="00CB0F99" w:rsidP="00D13981">
            <w:pPr>
              <w:spacing w:before="60" w:after="60"/>
              <w:rPr>
                <w:noProof/>
              </w:rPr>
            </w:pPr>
            <w:r>
              <w:rPr>
                <w:noProof/>
              </w:rPr>
              <w:t>Příloha F</w:t>
            </w:r>
          </w:p>
        </w:tc>
        <w:tc>
          <w:tcPr>
            <w:tcW w:w="4674" w:type="dxa"/>
            <w:tcBorders>
              <w:top w:val="nil"/>
              <w:bottom w:val="nil"/>
              <w:right w:val="nil"/>
            </w:tcBorders>
          </w:tcPr>
          <w:p w:rsidR="00CB0F99" w:rsidRDefault="00CB0F99" w:rsidP="00D13981">
            <w:pPr>
              <w:spacing w:before="60" w:after="60"/>
              <w:rPr>
                <w:noProof/>
              </w:rPr>
            </w:pPr>
            <w:r>
              <w:rPr>
                <w:noProof/>
              </w:rPr>
              <w:t>Příloha VI</w:t>
            </w:r>
          </w:p>
        </w:tc>
      </w:tr>
      <w:tr w:rsidR="00CB0F99" w:rsidTr="00D13981">
        <w:tc>
          <w:tcPr>
            <w:tcW w:w="4674" w:type="dxa"/>
            <w:tcBorders>
              <w:top w:val="nil"/>
              <w:left w:val="nil"/>
              <w:bottom w:val="nil"/>
            </w:tcBorders>
          </w:tcPr>
          <w:p w:rsidR="00CB0F99" w:rsidRDefault="00CB0F99" w:rsidP="00D13981">
            <w:pPr>
              <w:spacing w:before="60" w:after="60"/>
              <w:rPr>
                <w:noProof/>
              </w:rPr>
            </w:pPr>
            <w:r>
              <w:rPr>
                <w:noProof/>
              </w:rPr>
              <w:t>–</w:t>
            </w:r>
          </w:p>
        </w:tc>
        <w:tc>
          <w:tcPr>
            <w:tcW w:w="4674" w:type="dxa"/>
            <w:tcBorders>
              <w:top w:val="nil"/>
              <w:bottom w:val="nil"/>
              <w:right w:val="nil"/>
            </w:tcBorders>
          </w:tcPr>
          <w:p w:rsidR="00CB0F99" w:rsidRDefault="00CB0F99" w:rsidP="00D13981">
            <w:pPr>
              <w:spacing w:before="60" w:after="60"/>
              <w:rPr>
                <w:noProof/>
              </w:rPr>
            </w:pPr>
            <w:r>
              <w:rPr>
                <w:noProof/>
              </w:rPr>
              <w:t>Příloha VII</w:t>
            </w:r>
          </w:p>
        </w:tc>
      </w:tr>
      <w:tr w:rsidR="00CB0F99" w:rsidTr="00D13981">
        <w:tc>
          <w:tcPr>
            <w:tcW w:w="4674" w:type="dxa"/>
            <w:tcBorders>
              <w:top w:val="nil"/>
              <w:left w:val="nil"/>
              <w:bottom w:val="single" w:sz="4" w:space="0" w:color="auto"/>
            </w:tcBorders>
          </w:tcPr>
          <w:p w:rsidR="00CB0F99" w:rsidRDefault="00CB0F99" w:rsidP="00D13981">
            <w:pPr>
              <w:spacing w:before="60" w:after="60"/>
              <w:rPr>
                <w:noProof/>
              </w:rPr>
            </w:pPr>
            <w:r>
              <w:rPr>
                <w:noProof/>
              </w:rPr>
              <w:t>–</w:t>
            </w:r>
          </w:p>
        </w:tc>
        <w:tc>
          <w:tcPr>
            <w:tcW w:w="4674" w:type="dxa"/>
            <w:tcBorders>
              <w:top w:val="nil"/>
              <w:bottom w:val="single" w:sz="4" w:space="0" w:color="auto"/>
              <w:right w:val="nil"/>
            </w:tcBorders>
          </w:tcPr>
          <w:p w:rsidR="00CB0F99" w:rsidRDefault="00CB0F99" w:rsidP="00D13981">
            <w:pPr>
              <w:spacing w:before="60" w:after="60"/>
              <w:rPr>
                <w:noProof/>
              </w:rPr>
            </w:pPr>
            <w:r>
              <w:rPr>
                <w:noProof/>
              </w:rPr>
              <w:t>Příloha VIII</w:t>
            </w:r>
          </w:p>
        </w:tc>
      </w:tr>
    </w:tbl>
    <w:p w:rsidR="00CB0F99" w:rsidRPr="00D13981" w:rsidRDefault="00CB0F99" w:rsidP="00D13981">
      <w:pPr>
        <w:pBdr>
          <w:bottom w:val="single" w:sz="4" w:space="0" w:color="000000"/>
        </w:pBdr>
        <w:spacing w:before="360" w:after="120"/>
        <w:ind w:left="3400" w:right="3400"/>
        <w:jc w:val="center"/>
        <w:rPr>
          <w:b/>
          <w:lang w:val="en-GB"/>
        </w:rPr>
      </w:pPr>
    </w:p>
    <w:p w:rsidR="00CB0F99" w:rsidRPr="00CB0F99" w:rsidRDefault="00CB0F99" w:rsidP="0026678F">
      <w:pPr>
        <w:pStyle w:val="Normal12Italic"/>
        <w:rPr>
          <w:i w:val="0"/>
        </w:rPr>
      </w:pPr>
    </w:p>
    <w:p w:rsidR="0026678F" w:rsidRPr="00CB0F99" w:rsidRDefault="00CB0F99" w:rsidP="0026678F">
      <w:pPr>
        <w:pStyle w:val="Normal12Italic"/>
      </w:pPr>
      <w:r w:rsidRPr="00CB0F99">
        <w:t>(Týká se všech jazykových znění.)</w:t>
      </w:r>
    </w:p>
    <w:sectPr w:rsidR="0026678F" w:rsidRPr="00CB0F99" w:rsidSect="00781A4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C8" w:rsidRPr="006F0BBA" w:rsidRDefault="00B06BC8">
      <w:r w:rsidRPr="006F0BBA">
        <w:separator/>
      </w:r>
    </w:p>
  </w:endnote>
  <w:endnote w:type="continuationSeparator" w:id="0">
    <w:p w:rsidR="00B06BC8" w:rsidRPr="006F0BBA" w:rsidRDefault="00B06BC8">
      <w:r w:rsidRPr="006F0B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40" w:rsidRDefault="00781A40" w:rsidP="00781A40">
    <w:pPr>
      <w:pStyle w:val="Footer"/>
    </w:pPr>
    <w:r>
      <w:t>PE</w:t>
    </w:r>
    <w:r w:rsidRPr="00781A40">
      <w:rPr>
        <w:rStyle w:val="HideTWBExt"/>
      </w:rPr>
      <w:t>&lt;NoPE&gt;</w:t>
    </w:r>
    <w:r>
      <w:t>618.089</w:t>
    </w:r>
    <w:r w:rsidRPr="00781A40">
      <w:rPr>
        <w:rStyle w:val="HideTWBExt"/>
      </w:rPr>
      <w:t>&lt;/NoPE&gt;&lt;Version&gt;</w:t>
    </w:r>
    <w:r>
      <w:t>v02-00</w:t>
    </w:r>
    <w:r w:rsidRPr="00781A40">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32</w:t>
      </w:r>
    </w:fldSimple>
    <w:r>
      <w:tab/>
    </w:r>
    <w:r w:rsidRPr="00781A40">
      <w:rPr>
        <w:rStyle w:val="HideTWBExt"/>
      </w:rPr>
      <w:t>&lt;PathFdR&gt;</w:t>
    </w:r>
    <w:r>
      <w:t>RR\1152300CS.docx</w:t>
    </w:r>
    <w:r w:rsidRPr="00781A40">
      <w:rPr>
        <w:rStyle w:val="HideTWBExt"/>
      </w:rPr>
      <w:t>&lt;/PathFdR&gt;</w:t>
    </w:r>
  </w:p>
  <w:p w:rsidR="00C04425" w:rsidRPr="006F0BBA" w:rsidRDefault="00781A40" w:rsidP="00781A40">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40" w:rsidRDefault="00781A40" w:rsidP="00781A40">
    <w:pPr>
      <w:pStyle w:val="Footer"/>
    </w:pPr>
    <w:r w:rsidRPr="00781A40">
      <w:rPr>
        <w:rStyle w:val="HideTWBExt"/>
      </w:rPr>
      <w:t>&lt;PathFdR&gt;</w:t>
    </w:r>
    <w:r>
      <w:t>RR\1152300CS.docx</w:t>
    </w:r>
    <w:r w:rsidRPr="00781A40">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32</w:t>
      </w:r>
    </w:fldSimple>
    <w:r>
      <w:tab/>
      <w:t>PE</w:t>
    </w:r>
    <w:r w:rsidRPr="00781A40">
      <w:rPr>
        <w:rStyle w:val="HideTWBExt"/>
      </w:rPr>
      <w:t>&lt;NoPE&gt;</w:t>
    </w:r>
    <w:r>
      <w:t>618.089</w:t>
    </w:r>
    <w:r w:rsidRPr="00781A40">
      <w:rPr>
        <w:rStyle w:val="HideTWBExt"/>
      </w:rPr>
      <w:t>&lt;/NoPE&gt;&lt;Version&gt;</w:t>
    </w:r>
    <w:r>
      <w:t>v02-00</w:t>
    </w:r>
    <w:r w:rsidRPr="00781A40">
      <w:rPr>
        <w:rStyle w:val="HideTWBExt"/>
      </w:rPr>
      <w:t>&lt;/Version&gt;</w:t>
    </w:r>
  </w:p>
  <w:p w:rsidR="00C04425" w:rsidRPr="006F0BBA" w:rsidRDefault="00781A40" w:rsidP="00781A40">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40" w:rsidRDefault="00781A40" w:rsidP="00781A40">
    <w:pPr>
      <w:pStyle w:val="Footer"/>
    </w:pPr>
    <w:r w:rsidRPr="00781A40">
      <w:rPr>
        <w:rStyle w:val="HideTWBExt"/>
      </w:rPr>
      <w:t>&lt;PathFdR&gt;</w:t>
    </w:r>
    <w:r>
      <w:t>RR\1152300CS.docx</w:t>
    </w:r>
    <w:r w:rsidRPr="00781A40">
      <w:rPr>
        <w:rStyle w:val="HideTWBExt"/>
      </w:rPr>
      <w:t>&lt;/PathFdR&gt;</w:t>
    </w:r>
    <w:r>
      <w:tab/>
    </w:r>
    <w:r>
      <w:tab/>
      <w:t>PE</w:t>
    </w:r>
    <w:r w:rsidRPr="00781A40">
      <w:rPr>
        <w:rStyle w:val="HideTWBExt"/>
      </w:rPr>
      <w:t>&lt;NoPE&gt;</w:t>
    </w:r>
    <w:r>
      <w:t>618.089</w:t>
    </w:r>
    <w:r w:rsidRPr="00781A40">
      <w:rPr>
        <w:rStyle w:val="HideTWBExt"/>
      </w:rPr>
      <w:t>&lt;/NoPE&gt;&lt;Version&gt;</w:t>
    </w:r>
    <w:r>
      <w:t>v02-00</w:t>
    </w:r>
    <w:r w:rsidRPr="00781A40">
      <w:rPr>
        <w:rStyle w:val="HideTWBExt"/>
      </w:rPr>
      <w:t>&lt;/Version&gt;</w:t>
    </w:r>
  </w:p>
  <w:p w:rsidR="00C04425" w:rsidRPr="006F0BBA" w:rsidRDefault="00781A40" w:rsidP="00781A40">
    <w:pPr>
      <w:pStyle w:val="Footer2"/>
      <w:tabs>
        <w:tab w:val="center" w:pos="4535"/>
      </w:tabs>
    </w:pPr>
    <w:r>
      <w:t>CS</w:t>
    </w:r>
    <w:r>
      <w:tab/>
    </w:r>
    <w:r w:rsidRPr="00781A40">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C8" w:rsidRPr="006F0BBA" w:rsidRDefault="00B06BC8">
      <w:r w:rsidRPr="006F0BBA">
        <w:separator/>
      </w:r>
    </w:p>
  </w:footnote>
  <w:footnote w:type="continuationSeparator" w:id="0">
    <w:p w:rsidR="00B06BC8" w:rsidRPr="006F0BBA" w:rsidRDefault="00B06BC8">
      <w:r w:rsidRPr="006F0BBA">
        <w:continuationSeparator/>
      </w:r>
    </w:p>
  </w:footnote>
  <w:footnote w:id="1">
    <w:p w:rsidR="00CB0F99" w:rsidRPr="002954D9" w:rsidRDefault="00CB0F99" w:rsidP="00F9349A">
      <w:pPr>
        <w:pStyle w:val="FootnoteText"/>
        <w:rPr>
          <w:sz w:val="24"/>
          <w:szCs w:val="24"/>
        </w:rPr>
      </w:pPr>
      <w:r>
        <w:rPr>
          <w:rStyle w:val="FootnoteReference"/>
        </w:rPr>
        <w:footnoteRef/>
      </w:r>
      <w:r>
        <w:tab/>
      </w:r>
      <w:r w:rsidRPr="002954D9">
        <w:rPr>
          <w:sz w:val="24"/>
          <w:szCs w:val="24"/>
          <w:lang w:val="pl-PL"/>
        </w:rPr>
        <w:t xml:space="preserve">Postoj Evropského parlamentu ze dne … (dosud nezveřejněný v </w:t>
      </w:r>
      <w:r>
        <w:rPr>
          <w:sz w:val="24"/>
          <w:szCs w:val="24"/>
          <w:lang w:val="pl-PL"/>
        </w:rPr>
        <w:t>Ú</w:t>
      </w:r>
      <w:r w:rsidRPr="002954D9">
        <w:rPr>
          <w:sz w:val="24"/>
          <w:szCs w:val="24"/>
          <w:lang w:val="pl-PL"/>
        </w:rPr>
        <w:t>ředním věstníku) a</w:t>
      </w:r>
      <w:r>
        <w:rPr>
          <w:sz w:val="24"/>
          <w:szCs w:val="24"/>
          <w:lang w:val="pl-PL"/>
        </w:rPr>
        <w:t> </w:t>
      </w:r>
      <w:r w:rsidRPr="002954D9">
        <w:rPr>
          <w:sz w:val="24"/>
          <w:szCs w:val="24"/>
          <w:lang w:val="pl-PL"/>
        </w:rPr>
        <w:t>rozhodnutí Rady ze dne … .</w:t>
      </w:r>
    </w:p>
  </w:footnote>
  <w:footnote w:id="2">
    <w:p w:rsidR="00CB0F99" w:rsidRPr="000B6EBA" w:rsidRDefault="00CB0F99" w:rsidP="000B6EBA">
      <w:pPr>
        <w:pStyle w:val="FootnoteText"/>
        <w:jc w:val="left"/>
        <w:rPr>
          <w:sz w:val="24"/>
          <w:szCs w:val="24"/>
        </w:rPr>
      </w:pPr>
      <w:r w:rsidRPr="000B6EBA">
        <w:rPr>
          <w:rStyle w:val="FootnoteReference"/>
          <w:sz w:val="24"/>
          <w:szCs w:val="24"/>
        </w:rPr>
        <w:footnoteRef/>
      </w:r>
      <w:r w:rsidRPr="000B6EBA">
        <w:tab/>
      </w:r>
      <w:r w:rsidRPr="000B6EBA">
        <w:rPr>
          <w:sz w:val="24"/>
          <w:szCs w:val="24"/>
        </w:rPr>
        <w:t xml:space="preserve">Nařízení Evropského parlamentu a Rady (ES) č. </w:t>
      </w:r>
      <w:r>
        <w:rPr>
          <w:sz w:val="24"/>
          <w:szCs w:val="24"/>
        </w:rPr>
        <w:t>1365/2006 ze dne 6. září </w:t>
      </w:r>
      <w:r w:rsidRPr="000B6EBA">
        <w:rPr>
          <w:sz w:val="24"/>
          <w:szCs w:val="24"/>
        </w:rPr>
        <w:t>2006 o statistice přepravy věcí po vnitrozemských vodních cestách a o zrušení směrnice Rady 80/1119/EHS (Úř. věst. L 264, 25.9.2006, s. 1).</w:t>
      </w:r>
    </w:p>
  </w:footnote>
  <w:footnote w:id="3">
    <w:p w:rsidR="00CB0F99" w:rsidRPr="00A41F34" w:rsidRDefault="00CB0F99" w:rsidP="00DA0B50">
      <w:pPr>
        <w:pStyle w:val="FootnoteText"/>
        <w:rPr>
          <w:sz w:val="24"/>
          <w:szCs w:val="24"/>
        </w:rPr>
      </w:pPr>
      <w:r w:rsidRPr="000B6EBA">
        <w:rPr>
          <w:rStyle w:val="FootnoteReference"/>
          <w:sz w:val="24"/>
          <w:szCs w:val="24"/>
        </w:rPr>
        <w:footnoteRef/>
      </w:r>
      <w:r w:rsidRPr="000B6EBA">
        <w:rPr>
          <w:sz w:val="24"/>
          <w:szCs w:val="24"/>
        </w:rPr>
        <w:tab/>
        <w:t>Viz příloha VII.</w:t>
      </w:r>
    </w:p>
  </w:footnote>
  <w:footnote w:id="4">
    <w:p w:rsidR="00CB0F99" w:rsidRPr="00A41F34" w:rsidRDefault="00CB0F99" w:rsidP="000B6EBA">
      <w:pPr>
        <w:pStyle w:val="FootnoteText"/>
        <w:jc w:val="left"/>
        <w:rPr>
          <w:sz w:val="24"/>
          <w:szCs w:val="24"/>
        </w:rPr>
      </w:pPr>
      <w:r>
        <w:rPr>
          <w:rStyle w:val="FootnoteReference"/>
        </w:rPr>
        <w:footnoteRef/>
      </w:r>
      <w:r>
        <w:tab/>
      </w:r>
      <w:r w:rsidRPr="00A41F34">
        <w:rPr>
          <w:sz w:val="24"/>
          <w:szCs w:val="24"/>
        </w:rPr>
        <w:t>Nařízení Evropského parlamentu a Rady (E</w:t>
      </w:r>
      <w:r>
        <w:rPr>
          <w:sz w:val="24"/>
          <w:szCs w:val="24"/>
        </w:rPr>
        <w:t>S</w:t>
      </w:r>
      <w:r w:rsidRPr="00A41F34">
        <w:rPr>
          <w:sz w:val="24"/>
          <w:szCs w:val="24"/>
        </w:rPr>
        <w:t>) č. 22</w:t>
      </w:r>
      <w:r>
        <w:rPr>
          <w:sz w:val="24"/>
          <w:szCs w:val="24"/>
        </w:rPr>
        <w:t>3/2009 ze dne 11. března 2009 o </w:t>
      </w:r>
      <w:r w:rsidRPr="00A41F34">
        <w:rPr>
          <w:sz w:val="24"/>
          <w:szCs w:val="24"/>
        </w:rPr>
        <w:t>evropské statistice a zrušení nařízení (ES, Euratom) č. 1101/2008 o předávání údajů, na které se vztahuje statistická důvěrnost, Statistickému úřadu Evropských společenství, nařízení Rady (ES) č. 322/97 o statistice Společenství a rozhodnutí Rady 89/382/EHS, Euratom, kterým se zřizuje Výbor pro statistické programy Evropských společenství (Úř. věst. L 87, 31.3.2009, s. 164).</w:t>
      </w:r>
    </w:p>
  </w:footnote>
  <w:footnote w:id="5">
    <w:p w:rsidR="00CB0F99" w:rsidRPr="00A41F34" w:rsidRDefault="00CB0F99" w:rsidP="00DA0B50">
      <w:pPr>
        <w:pStyle w:val="FootnoteText"/>
        <w:rPr>
          <w:sz w:val="24"/>
          <w:szCs w:val="24"/>
        </w:rPr>
      </w:pPr>
      <w:r w:rsidRPr="00D13981">
        <w:rPr>
          <w:rStyle w:val="FootnoteReference"/>
          <w:sz w:val="24"/>
          <w:szCs w:val="24"/>
        </w:rPr>
        <w:footnoteRef/>
      </w:r>
      <w:r>
        <w:tab/>
      </w:r>
      <w:hyperlink r:id="rId1" w:history="1">
        <w:r w:rsidRPr="00A41F34">
          <w:rPr>
            <w:sz w:val="24"/>
            <w:szCs w:val="24"/>
          </w:rPr>
          <w:t>Úř. věst. L 123, 12.5.2016, s. 1</w:t>
        </w:r>
      </w:hyperlink>
      <w:r w:rsidRPr="00A41F34">
        <w:rPr>
          <w:sz w:val="24"/>
          <w:szCs w:val="24"/>
        </w:rPr>
        <w:t>.</w:t>
      </w:r>
    </w:p>
  </w:footnote>
  <w:footnote w:id="6">
    <w:p w:rsidR="00CB0F99" w:rsidRPr="00A41F34" w:rsidRDefault="00CB0F99" w:rsidP="00DA0B50">
      <w:pPr>
        <w:pStyle w:val="FootnoteText"/>
        <w:rPr>
          <w:sz w:val="24"/>
          <w:szCs w:val="24"/>
        </w:rPr>
      </w:pPr>
      <w:r w:rsidRPr="00A41F34">
        <w:rPr>
          <w:rStyle w:val="FootnoteReference"/>
          <w:sz w:val="24"/>
          <w:szCs w:val="24"/>
        </w:rPr>
        <w:footnoteRef/>
      </w:r>
      <w:r w:rsidRPr="00A41F34">
        <w:rPr>
          <w:sz w:val="24"/>
          <w:szCs w:val="24"/>
        </w:rPr>
        <w:tab/>
        <w:t xml:space="preserve">Nařízení Evropského parlamentu a </w:t>
      </w:r>
      <w:r>
        <w:rPr>
          <w:sz w:val="24"/>
          <w:szCs w:val="24"/>
        </w:rPr>
        <w:t>Rady (EU) č 182/2011 ze dne 16. února </w:t>
      </w:r>
      <w:r w:rsidRPr="00A41F34">
        <w:rPr>
          <w:sz w:val="24"/>
          <w:szCs w:val="24"/>
        </w:rPr>
        <w:t>2011, kterým se stanoví pravidla a obecné zásady způsobu, jakým členské státy kontrolují Komisi při výkonu prováděcích pravomocí (Úř. věst. L 55, 28.2.2011, s. 13).</w:t>
      </w:r>
    </w:p>
  </w:footnote>
  <w:footnote w:id="7">
    <w:p w:rsidR="00CB0F99" w:rsidRPr="00A41F34" w:rsidRDefault="00CB0F99" w:rsidP="00A41F34">
      <w:pPr>
        <w:pStyle w:val="FootnoteText"/>
        <w:jc w:val="left"/>
        <w:rPr>
          <w:sz w:val="24"/>
          <w:szCs w:val="24"/>
        </w:rPr>
      </w:pPr>
      <w:r w:rsidRPr="00A41F34">
        <w:rPr>
          <w:rStyle w:val="FootnoteReference"/>
          <w:sz w:val="24"/>
          <w:szCs w:val="24"/>
        </w:rPr>
        <w:footnoteRef/>
      </w:r>
      <w:r>
        <w:tab/>
      </w:r>
      <w:r w:rsidRPr="00A41F34">
        <w:rPr>
          <w:sz w:val="24"/>
          <w:szCs w:val="24"/>
        </w:rPr>
        <w:t xml:space="preserve">Nařízení </w:t>
      </w:r>
      <w:r w:rsidRPr="00ED2289">
        <w:rPr>
          <w:sz w:val="24"/>
          <w:szCs w:val="24"/>
        </w:rPr>
        <w:t xml:space="preserve">Evropského parlamentu a Rady </w:t>
      </w:r>
      <w:r w:rsidRPr="00A41F34">
        <w:rPr>
          <w:sz w:val="24"/>
          <w:szCs w:val="24"/>
        </w:rPr>
        <w:t xml:space="preserve">(EU, Euratom) č. 966/2012 ze dne 25. října 2012, kterým se stanoví finanční pravidla </w:t>
      </w:r>
      <w:r>
        <w:rPr>
          <w:sz w:val="24"/>
          <w:szCs w:val="24"/>
        </w:rPr>
        <w:t xml:space="preserve">pro </w:t>
      </w:r>
      <w:r w:rsidRPr="00A41F34">
        <w:rPr>
          <w:sz w:val="24"/>
          <w:szCs w:val="24"/>
        </w:rPr>
        <w:t>souhrnn</w:t>
      </w:r>
      <w:r>
        <w:rPr>
          <w:sz w:val="24"/>
          <w:szCs w:val="24"/>
        </w:rPr>
        <w:t>ý</w:t>
      </w:r>
      <w:r w:rsidRPr="00A41F34">
        <w:rPr>
          <w:sz w:val="24"/>
          <w:szCs w:val="24"/>
        </w:rPr>
        <w:t xml:space="preserve"> rozpoč</w:t>
      </w:r>
      <w:r>
        <w:rPr>
          <w:sz w:val="24"/>
          <w:szCs w:val="24"/>
        </w:rPr>
        <w:t>e</w:t>
      </w:r>
      <w:r w:rsidRPr="00A41F34">
        <w:rPr>
          <w:sz w:val="24"/>
          <w:szCs w:val="24"/>
        </w:rPr>
        <w:t xml:space="preserve">t Unie a </w:t>
      </w:r>
      <w:r>
        <w:rPr>
          <w:sz w:val="24"/>
          <w:szCs w:val="24"/>
        </w:rPr>
        <w:t>kterým se zrušuje</w:t>
      </w:r>
      <w:r w:rsidRPr="00A41F34">
        <w:rPr>
          <w:sz w:val="24"/>
          <w:szCs w:val="24"/>
        </w:rPr>
        <w:t xml:space="preserve"> nařízení Rady (ES, Euratom) č. 1605/2002 (Úř. věst. L 298, 26</w:t>
      </w:r>
      <w:r>
        <w:rPr>
          <w:sz w:val="24"/>
          <w:szCs w:val="24"/>
        </w:rPr>
        <w:t>.10.2012, s. 1).</w:t>
      </w:r>
    </w:p>
  </w:footnote>
  <w:footnote w:id="8">
    <w:p w:rsidR="00CB0F99" w:rsidRPr="00AF5DA8" w:rsidRDefault="00CB0F99" w:rsidP="00DA0B50">
      <w:pPr>
        <w:pStyle w:val="FootnoteText"/>
        <w:rPr>
          <w:sz w:val="24"/>
          <w:szCs w:val="24"/>
        </w:rPr>
      </w:pPr>
      <w:r w:rsidRPr="00B33117">
        <w:rPr>
          <w:rStyle w:val="FootnoteReference"/>
          <w:sz w:val="24"/>
          <w:szCs w:val="24"/>
          <w:lang w:val="en-US"/>
        </w:rPr>
        <w:footnoteRef/>
      </w:r>
      <w:r w:rsidRPr="00B33117">
        <w:rPr>
          <w:sz w:val="24"/>
          <w:szCs w:val="24"/>
        </w:rPr>
        <w:tab/>
      </w:r>
      <w:r w:rsidRPr="00AF5DA8">
        <w:rPr>
          <w:sz w:val="24"/>
          <w:szCs w:val="24"/>
        </w:rPr>
        <w:t>Pokud není kód regionu znám nebo není k dispozici, použije se tato kodifikace:</w:t>
      </w:r>
      <w:r w:rsidRPr="00AF5DA8">
        <w:rPr>
          <w:sz w:val="24"/>
          <w:szCs w:val="24"/>
        </w:rPr>
        <w:tab/>
      </w:r>
      <w:r w:rsidRPr="00AF5DA8">
        <w:rPr>
          <w:sz w:val="24"/>
          <w:szCs w:val="24"/>
        </w:rPr>
        <w:br/>
        <w:t>-</w:t>
      </w:r>
      <w:r w:rsidRPr="00AF5DA8">
        <w:rPr>
          <w:sz w:val="24"/>
          <w:szCs w:val="24"/>
        </w:rPr>
        <w:tab/>
        <w:t>„NUTS0 + ZZ“, pokud pro partnerskou zemi existuje kód NUTS.</w:t>
      </w:r>
      <w:r w:rsidRPr="00AF5DA8">
        <w:rPr>
          <w:sz w:val="24"/>
          <w:szCs w:val="24"/>
        </w:rPr>
        <w:tab/>
      </w:r>
      <w:r w:rsidRPr="00AF5DA8">
        <w:rPr>
          <w:sz w:val="24"/>
          <w:szCs w:val="24"/>
        </w:rPr>
        <w:br/>
        <w:t>-</w:t>
      </w:r>
      <w:r w:rsidRPr="00AF5DA8">
        <w:rPr>
          <w:sz w:val="24"/>
          <w:szCs w:val="24"/>
        </w:rPr>
        <w:tab/>
        <w:t>„Kód ISO + ZZ“, pokud pro partnerskou zemi neexistuje kód NUTS.</w:t>
      </w:r>
      <w:r w:rsidRPr="00AF5DA8">
        <w:rPr>
          <w:sz w:val="24"/>
          <w:szCs w:val="24"/>
        </w:rPr>
        <w:tab/>
      </w:r>
      <w:r w:rsidRPr="00AF5DA8">
        <w:rPr>
          <w:sz w:val="24"/>
          <w:szCs w:val="24"/>
        </w:rPr>
        <w:br/>
        <w:t>-</w:t>
      </w:r>
      <w:r w:rsidRPr="00AF5DA8">
        <w:rPr>
          <w:sz w:val="24"/>
          <w:szCs w:val="24"/>
        </w:rPr>
        <w:tab/>
        <w:t>„ZZZZ“, pokud je partnerská země zcela neznámá.</w:t>
      </w:r>
    </w:p>
  </w:footnote>
  <w:footnote w:id="9">
    <w:p w:rsidR="00CB0F99" w:rsidRPr="00AF5DA8" w:rsidRDefault="00CB0F99" w:rsidP="00DA0B50">
      <w:pPr>
        <w:pStyle w:val="FootnoteText"/>
        <w:rPr>
          <w:sz w:val="24"/>
          <w:szCs w:val="24"/>
        </w:rPr>
      </w:pPr>
      <w:r w:rsidRPr="00AF5DA8">
        <w:rPr>
          <w:rStyle w:val="FootnoteReference"/>
          <w:sz w:val="24"/>
          <w:szCs w:val="24"/>
          <w:lang w:val="en-US"/>
        </w:rPr>
        <w:footnoteRef/>
      </w:r>
      <w:r w:rsidRPr="00AF5DA8">
        <w:rPr>
          <w:sz w:val="24"/>
          <w:szCs w:val="24"/>
        </w:rPr>
        <w:tab/>
        <w:t>Pokud není kód regionu znám nebo není k dispozici, použije se tato kodifikace:</w:t>
      </w:r>
      <w:r w:rsidRPr="00AF5DA8">
        <w:rPr>
          <w:sz w:val="24"/>
          <w:szCs w:val="24"/>
        </w:rPr>
        <w:tab/>
      </w:r>
      <w:r w:rsidRPr="00AF5DA8">
        <w:rPr>
          <w:sz w:val="24"/>
          <w:szCs w:val="24"/>
        </w:rPr>
        <w:br/>
        <w:t>-</w:t>
      </w:r>
      <w:r w:rsidRPr="00AF5DA8">
        <w:rPr>
          <w:sz w:val="24"/>
          <w:szCs w:val="24"/>
        </w:rPr>
        <w:tab/>
        <w:t>„NUTS0 + ZZ“, pokud pro partnerskou zemi existuje kód NUTS.</w:t>
      </w:r>
      <w:r w:rsidRPr="00AF5DA8">
        <w:rPr>
          <w:sz w:val="24"/>
          <w:szCs w:val="24"/>
        </w:rPr>
        <w:tab/>
      </w:r>
      <w:r w:rsidRPr="00AF5DA8">
        <w:rPr>
          <w:sz w:val="24"/>
          <w:szCs w:val="24"/>
        </w:rPr>
        <w:br/>
        <w:t>-</w:t>
      </w:r>
      <w:r w:rsidRPr="00AF5DA8">
        <w:rPr>
          <w:sz w:val="24"/>
          <w:szCs w:val="24"/>
        </w:rPr>
        <w:tab/>
        <w:t>„Kód ISO + ZZ“, pokud pro partnerskou zemi neexistuje kód NUTS.</w:t>
      </w:r>
      <w:r w:rsidRPr="00AF5DA8">
        <w:rPr>
          <w:sz w:val="24"/>
          <w:szCs w:val="24"/>
        </w:rPr>
        <w:tab/>
      </w:r>
      <w:r w:rsidRPr="00AF5DA8">
        <w:rPr>
          <w:sz w:val="24"/>
          <w:szCs w:val="24"/>
        </w:rPr>
        <w:br/>
        <w:t>-</w:t>
      </w:r>
      <w:r w:rsidRPr="00AF5DA8">
        <w:rPr>
          <w:sz w:val="24"/>
          <w:szCs w:val="24"/>
        </w:rPr>
        <w:tab/>
        <w:t>„ZZZZ“, pokud je partnerská země zcela neznámá.</w:t>
      </w:r>
    </w:p>
  </w:footnote>
  <w:footnote w:id="10">
    <w:p w:rsidR="00CB0F99" w:rsidRPr="00AF5DA8" w:rsidRDefault="00CB0F99" w:rsidP="00DA0B50">
      <w:pPr>
        <w:pStyle w:val="FootnoteText"/>
        <w:rPr>
          <w:sz w:val="24"/>
          <w:szCs w:val="24"/>
        </w:rPr>
      </w:pPr>
      <w:r w:rsidRPr="00AF5DA8">
        <w:rPr>
          <w:rStyle w:val="FootnoteReference"/>
          <w:sz w:val="24"/>
          <w:szCs w:val="24"/>
          <w:lang w:val="en-US"/>
        </w:rPr>
        <w:footnoteRef/>
      </w:r>
      <w:r w:rsidRPr="00AF5DA8">
        <w:rPr>
          <w:sz w:val="24"/>
          <w:szCs w:val="24"/>
        </w:rPr>
        <w:tab/>
        <w:t>Pokud pro zemi registrace plavidla neexistuje kód NUTS, vykáže se kód země ISO. Pokud země registrace plavidla není známa, použije se kód „ZZ“.</w:t>
      </w:r>
    </w:p>
  </w:footnote>
  <w:footnote w:id="11">
    <w:p w:rsidR="00CB0F99" w:rsidRPr="00AF5DA8" w:rsidRDefault="00CB0F99" w:rsidP="00DA0B50">
      <w:pPr>
        <w:pStyle w:val="FootnoteText"/>
        <w:rPr>
          <w:sz w:val="24"/>
          <w:szCs w:val="24"/>
        </w:rPr>
      </w:pPr>
      <w:r w:rsidRPr="00AF5DA8">
        <w:rPr>
          <w:rStyle w:val="FootnoteReference"/>
          <w:sz w:val="24"/>
          <w:szCs w:val="24"/>
          <w:lang w:val="en-US"/>
        </w:rPr>
        <w:footnoteRef/>
      </w:r>
      <w:r w:rsidRPr="00AF5DA8">
        <w:rPr>
          <w:sz w:val="24"/>
          <w:szCs w:val="24"/>
        </w:rPr>
        <w:tab/>
        <w:t>Pokud není kód regionu znám nebo není k dispozici, použije se tato kodifikace:</w:t>
      </w:r>
      <w:r w:rsidRPr="00AF5DA8">
        <w:rPr>
          <w:sz w:val="24"/>
          <w:szCs w:val="24"/>
        </w:rPr>
        <w:tab/>
      </w:r>
      <w:r w:rsidRPr="00AF5DA8">
        <w:rPr>
          <w:sz w:val="24"/>
          <w:szCs w:val="24"/>
        </w:rPr>
        <w:br/>
        <w:t>-</w:t>
      </w:r>
      <w:r w:rsidRPr="00AF5DA8">
        <w:rPr>
          <w:sz w:val="24"/>
          <w:szCs w:val="24"/>
        </w:rPr>
        <w:tab/>
        <w:t>„NUTS0 + ZZ“, pokud pro partnerskou zemi existuje kód NUTS.</w:t>
      </w:r>
      <w:r w:rsidRPr="00AF5DA8">
        <w:rPr>
          <w:sz w:val="24"/>
          <w:szCs w:val="24"/>
        </w:rPr>
        <w:tab/>
      </w:r>
      <w:r w:rsidRPr="00AF5DA8">
        <w:rPr>
          <w:sz w:val="24"/>
          <w:szCs w:val="24"/>
        </w:rPr>
        <w:br/>
        <w:t>-</w:t>
      </w:r>
      <w:r w:rsidRPr="00AF5DA8">
        <w:rPr>
          <w:sz w:val="24"/>
          <w:szCs w:val="24"/>
        </w:rPr>
        <w:tab/>
        <w:t>„Kód ISO + ZZ“, pokud pro partnerskou zemi neexistuje kód NUTS.</w:t>
      </w:r>
      <w:r w:rsidRPr="00AF5DA8">
        <w:rPr>
          <w:sz w:val="24"/>
          <w:szCs w:val="24"/>
        </w:rPr>
        <w:tab/>
      </w:r>
      <w:r w:rsidRPr="00AF5DA8">
        <w:rPr>
          <w:sz w:val="24"/>
          <w:szCs w:val="24"/>
        </w:rPr>
        <w:br/>
        <w:t>-</w:t>
      </w:r>
      <w:r w:rsidRPr="00AF5DA8">
        <w:rPr>
          <w:sz w:val="24"/>
          <w:szCs w:val="24"/>
        </w:rPr>
        <w:tab/>
        <w:t>„ZZZZ“, pokud je partnerská země zcela neznámá.</w:t>
      </w:r>
    </w:p>
  </w:footnote>
  <w:footnote w:id="12">
    <w:p w:rsidR="00CB0F99" w:rsidRPr="00AF5DA8" w:rsidRDefault="00CB0F99" w:rsidP="00DA0B50">
      <w:pPr>
        <w:pStyle w:val="FootnoteText"/>
        <w:rPr>
          <w:sz w:val="24"/>
          <w:szCs w:val="24"/>
        </w:rPr>
      </w:pPr>
      <w:r w:rsidRPr="00AF5DA8">
        <w:rPr>
          <w:rStyle w:val="FootnoteReference"/>
          <w:sz w:val="24"/>
          <w:szCs w:val="24"/>
          <w:lang w:val="en-US"/>
        </w:rPr>
        <w:footnoteRef/>
      </w:r>
      <w:r w:rsidRPr="00AF5DA8">
        <w:rPr>
          <w:sz w:val="24"/>
          <w:szCs w:val="24"/>
        </w:rPr>
        <w:tab/>
        <w:t>Pokud pro zemi registrace plavidla neexistuje kód NUTS, vykáže se kód země ISO. Pokud země registrace plavidla není známa, použije se kód „ZZ“.</w:t>
      </w:r>
    </w:p>
  </w:footnote>
  <w:footnote w:id="13">
    <w:p w:rsidR="00CB0F99" w:rsidRPr="00AF5DA8" w:rsidRDefault="00CB0F99" w:rsidP="00DA0B50">
      <w:pPr>
        <w:pStyle w:val="FootnoteText"/>
        <w:rPr>
          <w:sz w:val="24"/>
          <w:szCs w:val="24"/>
        </w:rPr>
      </w:pPr>
      <w:r w:rsidRPr="00AF5DA8">
        <w:rPr>
          <w:rStyle w:val="FootnoteReference"/>
          <w:sz w:val="24"/>
          <w:szCs w:val="24"/>
          <w:lang w:val="en-US"/>
        </w:rPr>
        <w:footnoteRef/>
      </w:r>
      <w:r w:rsidRPr="00AF5DA8">
        <w:rPr>
          <w:sz w:val="24"/>
          <w:szCs w:val="24"/>
        </w:rPr>
        <w:tab/>
        <w:t>Pokud pro zemi registrace plavidla neexistuje kód NUTS, vykáže se kód země ISO. Pokud země registrace plavidla není známa, použije se kód „ZZ“.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99" w:rsidRDefault="00CB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99" w:rsidRDefault="00CB0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99" w:rsidRDefault="00CB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ERRCOMM" w:val="JURI"/>
    <w:docVar w:name="ERRDATE" w:val="25/05/2018"/>
    <w:docVar w:name="ERRDOCREF" w:val="4"/>
    <w:docVar w:name="ERRDOCUMENT" w:val="1"/>
    <w:docVar w:name="ERRTYPE" w:val="2"/>
    <w:docVar w:name="LastEditedSection" w:val=" 1"/>
    <w:docVar w:name="strDocTypeID" w:val="ER"/>
    <w:docVar w:name="strSubDir" w:val="1152"/>
    <w:docVar w:name="TA_Type" w:val="TA_Erratum"/>
    <w:docVar w:name="TXTAUTHOR" w:val="Lidia Joanna Geringer de Oedenberg"/>
    <w:docVar w:name="TXTDOCREF" w:val="(COM(2017)0545 – C8-0337/2017 – 2017/0256(COD))"/>
    <w:docVar w:name="TXTERRVERSION" w:val="01"/>
    <w:docVar w:name="TXTLANGUE" w:val="CS"/>
    <w:docVar w:name="TXTLANGUEMIN" w:val="cs"/>
    <w:docVar w:name="TXTNRA" w:val="0154/2018"/>
    <w:docVar w:name="TXTNRAVERSION" w:val="01"/>
    <w:docVar w:name="TXTNRPE" w:val="618.089"/>
    <w:docVar w:name="TXTPEorAP" w:val="PE"/>
    <w:docVar w:name="TXTROUTE" w:val="RR\1152300CS.docx"/>
    <w:docVar w:name="TXTROUTEFDR" w:val="1152300"/>
    <w:docVar w:name="TXTROUTETYPE" w:val="RR"/>
    <w:docVar w:name="TXTTITLE" w:val="k návrhu nařízení Evropského parlamentu a Rady o statistice přepravy věcí po vnitrozemských vodních cestách (kodifikované znění)"/>
    <w:docVar w:name="TXTVERSION" w:val="02-00"/>
  </w:docVars>
  <w:rsids>
    <w:rsidRoot w:val="00B06BC8"/>
    <w:rsid w:val="00023D6C"/>
    <w:rsid w:val="000427ED"/>
    <w:rsid w:val="00051161"/>
    <w:rsid w:val="00055703"/>
    <w:rsid w:val="00082280"/>
    <w:rsid w:val="000B0781"/>
    <w:rsid w:val="00115E85"/>
    <w:rsid w:val="00141C4C"/>
    <w:rsid w:val="00231EA7"/>
    <w:rsid w:val="0026678F"/>
    <w:rsid w:val="0027459E"/>
    <w:rsid w:val="003A1478"/>
    <w:rsid w:val="00422BB2"/>
    <w:rsid w:val="004716FE"/>
    <w:rsid w:val="0062001B"/>
    <w:rsid w:val="0066188E"/>
    <w:rsid w:val="006A2838"/>
    <w:rsid w:val="006F0BBA"/>
    <w:rsid w:val="007152AF"/>
    <w:rsid w:val="00781A40"/>
    <w:rsid w:val="00815CE5"/>
    <w:rsid w:val="0087709A"/>
    <w:rsid w:val="008B31F4"/>
    <w:rsid w:val="00942D7B"/>
    <w:rsid w:val="00944F17"/>
    <w:rsid w:val="009949CB"/>
    <w:rsid w:val="009E2EDA"/>
    <w:rsid w:val="009E4A8C"/>
    <w:rsid w:val="00A34442"/>
    <w:rsid w:val="00AC6310"/>
    <w:rsid w:val="00B06BC8"/>
    <w:rsid w:val="00B32CC7"/>
    <w:rsid w:val="00B81F78"/>
    <w:rsid w:val="00B85286"/>
    <w:rsid w:val="00B90B7F"/>
    <w:rsid w:val="00BD01E1"/>
    <w:rsid w:val="00C04425"/>
    <w:rsid w:val="00C32AC7"/>
    <w:rsid w:val="00C37DE1"/>
    <w:rsid w:val="00C511E4"/>
    <w:rsid w:val="00CB0F99"/>
    <w:rsid w:val="00D02C73"/>
    <w:rsid w:val="00D13A2E"/>
    <w:rsid w:val="00D31746"/>
    <w:rsid w:val="00D65833"/>
    <w:rsid w:val="00DC4160"/>
    <w:rsid w:val="00E517A4"/>
    <w:rsid w:val="00E57F50"/>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880089-E7AE-463C-86B7-0E3F62F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styleId="FootnoteText">
    <w:name w:val="footnote text"/>
    <w:basedOn w:val="Normal"/>
    <w:link w:val="FootnoteTextChar"/>
    <w:uiPriority w:val="99"/>
    <w:unhideWhenUsed/>
    <w:rsid w:val="00CB0F99"/>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CB0F99"/>
    <w:rPr>
      <w:rFonts w:eastAsia="Calibri"/>
      <w:lang w:val="cs-CZ" w:eastAsia="en-US"/>
    </w:rPr>
  </w:style>
  <w:style w:type="character" w:styleId="FootnoteReference">
    <w:name w:val="footnote reference"/>
    <w:uiPriority w:val="99"/>
    <w:unhideWhenUsed/>
    <w:rsid w:val="00CB0F99"/>
    <w:rPr>
      <w:shd w:val="clear" w:color="auto" w:fill="auto"/>
      <w:vertAlign w:val="superscript"/>
    </w:rPr>
  </w:style>
  <w:style w:type="paragraph" w:customStyle="1" w:styleId="Point0">
    <w:name w:val="Point 0"/>
    <w:basedOn w:val="Normal"/>
    <w:rsid w:val="00CB0F99"/>
    <w:pPr>
      <w:widowControl/>
      <w:spacing w:before="120" w:after="120"/>
      <w:ind w:left="850" w:hanging="850"/>
      <w:jc w:val="both"/>
    </w:pPr>
    <w:rPr>
      <w:rFonts w:eastAsia="Calibri"/>
      <w:szCs w:val="22"/>
      <w:lang w:eastAsia="en-US"/>
    </w:rPr>
  </w:style>
  <w:style w:type="paragraph" w:customStyle="1" w:styleId="Fait">
    <w:name w:val="Fait à"/>
    <w:basedOn w:val="Normal"/>
    <w:next w:val="Institutionquisigne"/>
    <w:rsid w:val="00CB0F99"/>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CB0F99"/>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CB0F99"/>
    <w:pPr>
      <w:keepNext/>
      <w:widowControl/>
      <w:spacing w:before="600" w:after="120"/>
      <w:jc w:val="both"/>
    </w:pPr>
    <w:rPr>
      <w:rFonts w:eastAsia="Calibri"/>
      <w:szCs w:val="22"/>
      <w:lang w:eastAsia="en-US"/>
    </w:rPr>
  </w:style>
  <w:style w:type="paragraph" w:customStyle="1" w:styleId="Institutionquisigne">
    <w:name w:val="Institution qui signe"/>
    <w:basedOn w:val="Normal"/>
    <w:next w:val="Normal"/>
    <w:rsid w:val="00CB0F99"/>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CB0F99"/>
    <w:pPr>
      <w:widowControl/>
      <w:spacing w:before="120" w:after="120"/>
      <w:ind w:left="709" w:hanging="709"/>
      <w:jc w:val="both"/>
    </w:pPr>
    <w:rPr>
      <w:rFonts w:eastAsia="Calibri"/>
      <w:szCs w:val="22"/>
      <w:lang w:eastAsia="en-US"/>
    </w:rPr>
  </w:style>
  <w:style w:type="paragraph" w:customStyle="1" w:styleId="Titrearticle">
    <w:name w:val="Titre article"/>
    <w:basedOn w:val="Normal"/>
    <w:next w:val="Normal"/>
    <w:rsid w:val="00CB0F99"/>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CB0F99"/>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CB0F99"/>
    <w:pPr>
      <w:widowControl/>
      <w:spacing w:before="360"/>
      <w:jc w:val="center"/>
    </w:pPr>
    <w:rPr>
      <w:rFonts w:eastAsia="Calibri"/>
      <w:b/>
      <w:szCs w:val="22"/>
      <w:lang w:eastAsia="en-US"/>
    </w:rPr>
  </w:style>
  <w:style w:type="paragraph" w:customStyle="1" w:styleId="Annexetitre">
    <w:name w:val="Annexe titre"/>
    <w:basedOn w:val="Normal"/>
    <w:next w:val="Normal"/>
    <w:rsid w:val="00CB0F99"/>
    <w:pPr>
      <w:widowControl/>
      <w:spacing w:before="120" w:after="120"/>
      <w:jc w:val="center"/>
    </w:pPr>
    <w:rPr>
      <w:rFonts w:eastAsia="Calibri"/>
      <w:b/>
      <w:szCs w:val="22"/>
      <w:u w:val="single"/>
      <w:lang w:eastAsia="en-US"/>
    </w:rPr>
  </w:style>
  <w:style w:type="paragraph" w:customStyle="1" w:styleId="Manualn">
    <w:name w:val="Manual n"/>
    <w:basedOn w:val="Normal"/>
    <w:rsid w:val="00CB0F99"/>
    <w:pPr>
      <w:widowControl/>
      <w:autoSpaceDE w:val="0"/>
      <w:autoSpaceDN w:val="0"/>
      <w:spacing w:before="120" w:after="120" w:line="360" w:lineRule="auto"/>
      <w:ind w:left="720" w:hanging="720"/>
    </w:pPr>
    <w:rPr>
      <w:rFonts w:cs="Arial"/>
      <w:noProof/>
      <w:szCs w:val="24"/>
    </w:rPr>
  </w:style>
  <w:style w:type="paragraph" w:customStyle="1" w:styleId="Manualnumpar">
    <w:name w:val="Manual numpar"/>
    <w:basedOn w:val="Manualn"/>
    <w:rsid w:val="00CB0F99"/>
  </w:style>
  <w:style w:type="paragraph" w:customStyle="1" w:styleId="Applicationdirecte">
    <w:name w:val="Application directe"/>
    <w:basedOn w:val="Normal"/>
    <w:rsid w:val="00CB0F99"/>
    <w:pPr>
      <w:widowControl/>
      <w:autoSpaceDE w:val="0"/>
      <w:autoSpaceDN w:val="0"/>
      <w:spacing w:before="120" w:after="120" w:line="360" w:lineRule="auto"/>
    </w:pPr>
    <w:rPr>
      <w:rFonts w:cs="Arial"/>
      <w:noProof/>
      <w:szCs w:val="24"/>
      <w:lang w:val="pl-PL"/>
    </w:rPr>
  </w:style>
  <w:style w:type="paragraph" w:customStyle="1" w:styleId="dateda">
    <w:name w:val="date d a"/>
    <w:basedOn w:val="Titreobjet"/>
    <w:rsid w:val="00CB0F99"/>
  </w:style>
  <w:style w:type="paragraph" w:customStyle="1" w:styleId="Point1">
    <w:name w:val="Point 1"/>
    <w:basedOn w:val="Point0"/>
    <w:rsid w:val="00CB0F99"/>
    <w:pPr>
      <w:autoSpaceDE w:val="0"/>
      <w:autoSpaceDN w:val="0"/>
      <w:spacing w:line="360" w:lineRule="auto"/>
      <w:ind w:left="720" w:hanging="720"/>
      <w:jc w:val="left"/>
    </w:pPr>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AUTO/?uri=OJ:L:2016:12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CB3DD437</Template>
  <TotalTime>0</TotalTime>
  <Pages>32</Pages>
  <Words>3377</Words>
  <Characters>20097</Characters>
  <Application>Microsoft Office Word</Application>
  <DocSecurity>0</DocSecurity>
  <Lines>873</Lines>
  <Paragraphs>533</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HILL Romana</dc:creator>
  <cp:keywords/>
  <dc:description/>
  <cp:lastModifiedBy>HILL Romana</cp:lastModifiedBy>
  <cp:revision>2</cp:revision>
  <cp:lastPrinted>2005-10-13T14:57:00Z</cp:lastPrinted>
  <dcterms:created xsi:type="dcterms:W3CDTF">2018-05-25T13:05:00Z</dcterms:created>
  <dcterms:modified xsi:type="dcterms:W3CDTF">2018-05-25T13:05:00Z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618.089</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a8-0154_2018(ERR01)_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RR\1152300CS.docx</vt:lpwstr>
  </property>
</Properties>
</file>