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CC3F2C" w:rsidTr="009E2EDA">
        <w:trPr>
          <w:trHeight w:hRule="exact" w:val="1418"/>
        </w:trPr>
        <w:tc>
          <w:tcPr>
            <w:tcW w:w="6804" w:type="dxa"/>
            <w:shd w:val="clear" w:color="auto" w:fill="auto"/>
            <w:vAlign w:val="center"/>
          </w:tcPr>
          <w:p w:rsidR="009949CB" w:rsidRPr="00CC3F2C" w:rsidRDefault="00CC3F2C" w:rsidP="009E2EDA">
            <w:pPr>
              <w:pStyle w:val="EPName"/>
              <w:rPr>
                <w:lang w:val="sv-SE"/>
              </w:rPr>
            </w:pPr>
            <w:bookmarkStart w:id="0" w:name="_GoBack"/>
            <w:bookmarkEnd w:id="0"/>
            <w:r w:rsidRPr="00CC3F2C">
              <w:rPr>
                <w:lang w:val="sv-SE"/>
              </w:rPr>
              <w:t>Europaparlamentet</w:t>
            </w:r>
          </w:p>
          <w:p w:rsidR="009949CB" w:rsidRPr="009237A2" w:rsidRDefault="009237A2" w:rsidP="009237A2">
            <w:pPr>
              <w:pStyle w:val="EPTerm"/>
              <w:rPr>
                <w:rStyle w:val="HideTWBExt"/>
                <w:noProof w:val="0"/>
                <w:vanish w:val="0"/>
                <w:color w:val="auto"/>
                <w:lang w:val="sv-SE"/>
              </w:rPr>
            </w:pPr>
            <w:r>
              <w:t>2014-2019</w:t>
            </w:r>
          </w:p>
        </w:tc>
        <w:tc>
          <w:tcPr>
            <w:tcW w:w="2268" w:type="dxa"/>
            <w:shd w:val="clear" w:color="auto" w:fill="auto"/>
          </w:tcPr>
          <w:p w:rsidR="009949CB" w:rsidRPr="00CC3F2C" w:rsidRDefault="009949CB" w:rsidP="009E2EDA">
            <w:pPr>
              <w:pStyle w:val="EPLogo"/>
            </w:pPr>
            <w:r w:rsidRPr="00CC3F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65833" w:rsidRPr="00CC3F2C" w:rsidRDefault="00D65833" w:rsidP="00D65833">
      <w:pPr>
        <w:pStyle w:val="LineTop"/>
        <w:rPr>
          <w:lang w:val="sv-SE"/>
        </w:rPr>
      </w:pPr>
    </w:p>
    <w:p w:rsidR="00D65833" w:rsidRPr="00CC3F2C" w:rsidRDefault="00D65833" w:rsidP="00D65833">
      <w:pPr>
        <w:pStyle w:val="ZCommittee"/>
        <w:rPr>
          <w:lang w:val="sv-SE"/>
        </w:rPr>
      </w:pPr>
      <w:r w:rsidRPr="00CC3F2C">
        <w:rPr>
          <w:rStyle w:val="HideTWBExt"/>
          <w:noProof w:val="0"/>
          <w:lang w:val="sv-SE"/>
        </w:rPr>
        <w:t>&lt;</w:t>
      </w:r>
      <w:r w:rsidRPr="00CC3F2C">
        <w:rPr>
          <w:rStyle w:val="HideTWBExt"/>
          <w:i w:val="0"/>
          <w:noProof w:val="0"/>
          <w:lang w:val="sv-SE"/>
        </w:rPr>
        <w:t>Commission&gt;</w:t>
      </w:r>
      <w:r w:rsidR="00CC3F2C" w:rsidRPr="00CC3F2C">
        <w:rPr>
          <w:lang w:val="sv-SE"/>
        </w:rPr>
        <w:t>Plenarhandling</w:t>
      </w:r>
      <w:r w:rsidRPr="00CC3F2C">
        <w:rPr>
          <w:rStyle w:val="HideTWBExt"/>
          <w:noProof w:val="0"/>
          <w:lang w:val="sv-SE"/>
        </w:rPr>
        <w:t>&lt;/</w:t>
      </w:r>
      <w:r w:rsidRPr="00CC3F2C">
        <w:rPr>
          <w:rStyle w:val="HideTWBExt"/>
          <w:i w:val="0"/>
          <w:noProof w:val="0"/>
          <w:lang w:val="sv-SE"/>
        </w:rPr>
        <w:t>Commission</w:t>
      </w:r>
      <w:r w:rsidRPr="00CC3F2C">
        <w:rPr>
          <w:rStyle w:val="HideTWBExt"/>
          <w:noProof w:val="0"/>
          <w:lang w:val="sv-SE"/>
        </w:rPr>
        <w:t>&gt;</w:t>
      </w:r>
    </w:p>
    <w:p w:rsidR="00D65833" w:rsidRPr="00CC3F2C" w:rsidRDefault="00D65833" w:rsidP="00D65833">
      <w:pPr>
        <w:pStyle w:val="LineBottom"/>
      </w:pPr>
    </w:p>
    <w:p w:rsidR="008B31F4" w:rsidRPr="00CC3F2C" w:rsidRDefault="008B31F4" w:rsidP="008B31F4">
      <w:pPr>
        <w:pStyle w:val="ZDateAdd"/>
      </w:pPr>
      <w:r w:rsidRPr="00CC3F2C">
        <w:rPr>
          <w:rStyle w:val="HideTWBExt"/>
          <w:noProof w:val="0"/>
        </w:rPr>
        <w:t>&lt;Date&gt;</w:t>
      </w:r>
      <w:r w:rsidR="009237A2" w:rsidRPr="009237A2">
        <w:rPr>
          <w:rStyle w:val="HideTWBInt"/>
        </w:rPr>
        <w:t>{25/05/2018}</w:t>
      </w:r>
      <w:r w:rsidR="009237A2">
        <w:t>25.5.2018</w:t>
      </w:r>
      <w:r w:rsidRPr="00CC3F2C">
        <w:rPr>
          <w:rStyle w:val="HideTWBExt"/>
          <w:noProof w:val="0"/>
        </w:rPr>
        <w:t>&lt;/Date&gt;</w:t>
      </w:r>
      <w:r w:rsidRPr="00CC3F2C">
        <w:tab/>
      </w:r>
      <w:r w:rsidRPr="00CC3F2C">
        <w:rPr>
          <w:rStyle w:val="HideTWBExt"/>
          <w:noProof w:val="0"/>
        </w:rPr>
        <w:t>&lt;NoDocSe&gt;</w:t>
      </w:r>
      <w:r w:rsidR="009237A2">
        <w:rPr>
          <w:rFonts w:ascii="Arial" w:hAnsi="Arial"/>
          <w:b/>
          <w:bCs/>
        </w:rPr>
        <w:t>A8</w:t>
      </w:r>
      <w:r w:rsidR="009237A2">
        <w:rPr>
          <w:rFonts w:ascii="Arial" w:hAnsi="Arial"/>
          <w:b/>
          <w:bCs/>
        </w:rPr>
        <w:noBreakHyphen/>
      </w:r>
      <w:r w:rsidR="009237A2" w:rsidRPr="009237A2">
        <w:rPr>
          <w:rFonts w:ascii="Arial" w:hAnsi="Arial"/>
          <w:b/>
          <w:bCs/>
        </w:rPr>
        <w:t>0154/2018</w:t>
      </w:r>
      <w:r w:rsidRPr="00CC3F2C">
        <w:rPr>
          <w:rStyle w:val="HideTWBExt"/>
          <w:noProof w:val="0"/>
        </w:rPr>
        <w:t>&lt;/NoDocSe&gt;</w:t>
      </w:r>
      <w:r w:rsidRPr="00CC3F2C">
        <w:rPr>
          <w:rFonts w:ascii="Arial" w:hAnsi="Arial"/>
          <w:b/>
          <w:bCs/>
        </w:rPr>
        <w:t>/</w:t>
      </w:r>
      <w:r w:rsidR="00C04425" w:rsidRPr="00CC3F2C">
        <w:rPr>
          <w:rFonts w:ascii="Arial" w:hAnsi="Arial"/>
          <w:b/>
          <w:bCs/>
        </w:rPr>
        <w:t>err</w:t>
      </w:r>
      <w:r w:rsidR="003A1478" w:rsidRPr="00CC3F2C">
        <w:rPr>
          <w:rStyle w:val="HideTWBExt"/>
          <w:noProof w:val="0"/>
        </w:rPr>
        <w:t>&lt;NoER&gt;</w:t>
      </w:r>
      <w:r w:rsidR="009237A2" w:rsidRPr="009237A2">
        <w:rPr>
          <w:rFonts w:ascii="Arial" w:hAnsi="Arial"/>
          <w:b/>
          <w:bCs/>
        </w:rPr>
        <w:t>01</w:t>
      </w:r>
      <w:r w:rsidR="003A1478" w:rsidRPr="00CC3F2C">
        <w:rPr>
          <w:rStyle w:val="HideTWBExt"/>
          <w:noProof w:val="0"/>
        </w:rPr>
        <w:t>&lt;/NoER&gt;</w:t>
      </w:r>
    </w:p>
    <w:p w:rsidR="008B31F4" w:rsidRPr="00CC3F2C" w:rsidRDefault="00FC7D10" w:rsidP="008B31F4">
      <w:pPr>
        <w:pStyle w:val="DocType"/>
      </w:pPr>
      <w:r w:rsidRPr="00CC3F2C">
        <w:rPr>
          <w:rStyle w:val="HideTWBExt"/>
          <w:noProof w:val="0"/>
        </w:rPr>
        <w:t>&lt;</w:t>
      </w:r>
      <w:r w:rsidRPr="00CC3F2C">
        <w:rPr>
          <w:rStyle w:val="HideTWBExt"/>
          <w:b w:val="0"/>
          <w:noProof w:val="0"/>
        </w:rPr>
        <w:t>TitreType</w:t>
      </w:r>
      <w:r w:rsidRPr="00CC3F2C">
        <w:rPr>
          <w:rStyle w:val="HideTWBExt"/>
          <w:noProof w:val="0"/>
        </w:rPr>
        <w:t>&gt;</w:t>
      </w:r>
      <w:r w:rsidR="009237A2">
        <w:t>ADDENDUM</w:t>
      </w:r>
      <w:r w:rsidRPr="00CC3F2C">
        <w:rPr>
          <w:rStyle w:val="HideTWBExt"/>
          <w:noProof w:val="0"/>
        </w:rPr>
        <w:t>&lt;/</w:t>
      </w:r>
      <w:r w:rsidRPr="00CC3F2C">
        <w:rPr>
          <w:rStyle w:val="HideTWBExt"/>
          <w:b w:val="0"/>
          <w:noProof w:val="0"/>
        </w:rPr>
        <w:t>TitreType</w:t>
      </w:r>
      <w:r w:rsidRPr="00CC3F2C">
        <w:rPr>
          <w:rStyle w:val="HideTWBExt"/>
          <w:noProof w:val="0"/>
        </w:rPr>
        <w:t>&gt;</w:t>
      </w:r>
    </w:p>
    <w:p w:rsidR="008B31F4" w:rsidRPr="00CC3F2C" w:rsidRDefault="0087709A" w:rsidP="00F36373">
      <w:pPr>
        <w:pStyle w:val="Normal12Centre"/>
      </w:pPr>
      <w:r w:rsidRPr="00CC3F2C">
        <w:rPr>
          <w:rStyle w:val="HideTWBExt"/>
          <w:noProof w:val="0"/>
        </w:rPr>
        <w:t>&lt;DocER&gt;</w:t>
      </w:r>
      <w:r w:rsidR="009237A2">
        <w:t>till betänkandet</w:t>
      </w:r>
      <w:r w:rsidRPr="00CC3F2C">
        <w:rPr>
          <w:rStyle w:val="HideTWBExt"/>
          <w:noProof w:val="0"/>
        </w:rPr>
        <w:t>&lt;/DocER&gt;</w:t>
      </w:r>
    </w:p>
    <w:p w:rsidR="00051161" w:rsidRPr="00CC3F2C" w:rsidRDefault="00FC7D10" w:rsidP="00051161">
      <w:pPr>
        <w:pStyle w:val="NormalCentre"/>
      </w:pPr>
      <w:r w:rsidRPr="00CC3F2C">
        <w:rPr>
          <w:rStyle w:val="HideTWBExt"/>
          <w:noProof w:val="0"/>
        </w:rPr>
        <w:t>&lt;Titre&gt;</w:t>
      </w:r>
      <w:r w:rsidR="009237A2" w:rsidRPr="009237A2">
        <w:t>om förslaget till Europaparlamentets och rådets förordning om statistik över godstransporter på inre vattenvägar (kodifiering)</w:t>
      </w:r>
      <w:r w:rsidRPr="00CC3F2C">
        <w:rPr>
          <w:rStyle w:val="HideTWBExt"/>
          <w:noProof w:val="0"/>
        </w:rPr>
        <w:t>&lt;/Titre&gt;</w:t>
      </w:r>
    </w:p>
    <w:p w:rsidR="00051161" w:rsidRPr="009237A2" w:rsidRDefault="00FC7D10" w:rsidP="00D02C73">
      <w:pPr>
        <w:pStyle w:val="NormalCentre"/>
        <w:rPr>
          <w:lang w:val="pt-PT"/>
        </w:rPr>
      </w:pPr>
      <w:r w:rsidRPr="009237A2">
        <w:rPr>
          <w:rStyle w:val="HideTWBExt"/>
          <w:noProof w:val="0"/>
          <w:lang w:val="pt-PT"/>
        </w:rPr>
        <w:t>&lt;DocRef&gt;</w:t>
      </w:r>
      <w:r w:rsidR="00D02C73" w:rsidRPr="009237A2">
        <w:rPr>
          <w:rStyle w:val="HideTWBExt"/>
          <w:noProof w:val="0"/>
          <w:lang w:val="pt-PT"/>
        </w:rPr>
        <w:t>&lt;OptDel&gt;</w:t>
      </w:r>
      <w:r w:rsidR="009237A2" w:rsidRPr="009237A2">
        <w:rPr>
          <w:lang w:val="pt-PT"/>
        </w:rPr>
        <w:t>(COM(2017)0545 – C8-0337/2017 – 2017/0256(COD))</w:t>
      </w:r>
      <w:r w:rsidR="00D02C73" w:rsidRPr="009237A2">
        <w:rPr>
          <w:rStyle w:val="HideTWBExt"/>
          <w:noProof w:val="0"/>
          <w:lang w:val="pt-PT"/>
        </w:rPr>
        <w:t>&lt;/OptDel&gt;</w:t>
      </w:r>
      <w:r w:rsidRPr="009237A2">
        <w:rPr>
          <w:rStyle w:val="HideTWBExt"/>
          <w:noProof w:val="0"/>
          <w:lang w:val="pt-PT"/>
        </w:rPr>
        <w:t>&lt;/DocRef&gt;</w:t>
      </w:r>
    </w:p>
    <w:p w:rsidR="00051161" w:rsidRPr="00CC3F2C" w:rsidRDefault="00051161" w:rsidP="00D02C73">
      <w:pPr>
        <w:pStyle w:val="Normal12a12bCentre"/>
      </w:pPr>
      <w:r w:rsidRPr="00CC3F2C">
        <w:rPr>
          <w:rStyle w:val="HideTWBExt"/>
          <w:noProof w:val="0"/>
        </w:rPr>
        <w:t>&lt;Commission&gt;</w:t>
      </w:r>
      <w:r w:rsidR="009237A2" w:rsidRPr="009237A2">
        <w:rPr>
          <w:rStyle w:val="HideTWBInt"/>
        </w:rPr>
        <w:t>{JURI}</w:t>
      </w:r>
      <w:r w:rsidR="009237A2">
        <w:t>Utskottet för rättsliga frågor</w:t>
      </w:r>
      <w:r w:rsidRPr="00CC3F2C">
        <w:rPr>
          <w:rStyle w:val="HideTWBExt"/>
          <w:noProof w:val="0"/>
        </w:rPr>
        <w:t>&lt;/Commission&gt;</w:t>
      </w:r>
    </w:p>
    <w:p w:rsidR="00051161" w:rsidRPr="00CC3F2C" w:rsidRDefault="00CC3F2C" w:rsidP="00051161">
      <w:pPr>
        <w:pStyle w:val="NormalCentre"/>
      </w:pPr>
      <w:r w:rsidRPr="00CC3F2C">
        <w:t>Föredragande:</w:t>
      </w:r>
      <w:r w:rsidR="00051161" w:rsidRPr="00CC3F2C">
        <w:t xml:space="preserve"> </w:t>
      </w:r>
      <w:r w:rsidR="00055703" w:rsidRPr="00CC3F2C">
        <w:rPr>
          <w:rStyle w:val="HideTWBExt"/>
          <w:noProof w:val="0"/>
        </w:rPr>
        <w:t>&lt;Depute&gt;</w:t>
      </w:r>
      <w:r w:rsidR="009237A2" w:rsidRPr="009237A2">
        <w:t>Lidia Joanna Geringer de Oedenberg</w:t>
      </w:r>
      <w:r w:rsidR="00055703" w:rsidRPr="00CC3F2C">
        <w:rPr>
          <w:rStyle w:val="HideTWBExt"/>
          <w:noProof w:val="0"/>
        </w:rPr>
        <w:t>&lt;/Depute&gt;</w:t>
      </w:r>
    </w:p>
    <w:p w:rsidR="00051161" w:rsidRPr="00CC3F2C" w:rsidRDefault="009237A2" w:rsidP="009E4A8C">
      <w:pPr>
        <w:pStyle w:val="NormalCentre"/>
      </w:pPr>
      <w:r>
        <w:t>A8</w:t>
      </w:r>
      <w:r>
        <w:noBreakHyphen/>
      </w:r>
      <w:r w:rsidRPr="009237A2">
        <w:t>0154/2018</w:t>
      </w:r>
    </w:p>
    <w:p w:rsidR="009E4A8C" w:rsidRPr="00CC3F2C" w:rsidRDefault="009E4A8C" w:rsidP="009E4A8C">
      <w:pPr>
        <w:pBdr>
          <w:bottom w:val="single" w:sz="4" w:space="1" w:color="auto"/>
        </w:pBdr>
      </w:pPr>
    </w:p>
    <w:p w:rsidR="009E4A8C" w:rsidRPr="00CC3F2C" w:rsidRDefault="00EC5E57" w:rsidP="00EC5E57">
      <w:r w:rsidRPr="00CC3F2C">
        <w:rPr>
          <w:rStyle w:val="HideTWBExt"/>
          <w:noProof w:val="0"/>
        </w:rPr>
        <w:t>&lt;OptDel&gt;</w:t>
      </w:r>
      <w:bookmarkStart w:id="1" w:name="DocEPTmp"/>
      <w:bookmarkEnd w:id="1"/>
      <w:r w:rsidR="009237A2">
        <w:t>Förslag till lagstiftningsresolution</w:t>
      </w:r>
      <w:r w:rsidRPr="00CC3F2C">
        <w:rPr>
          <w:rStyle w:val="HideTWBExt"/>
          <w:noProof w:val="0"/>
        </w:rPr>
        <w:t>&lt;/OptDel&gt;</w:t>
      </w:r>
    </w:p>
    <w:p w:rsidR="009E4A8C" w:rsidRPr="00CC3F2C" w:rsidRDefault="00C704F4" w:rsidP="00EC5E57">
      <w:pPr>
        <w:pStyle w:val="Normal12a12bBold"/>
      </w:pPr>
      <w:r w:rsidRPr="004F5C19">
        <w:t>Utkastet till Europaparlamentets ståndpunkt efter parlamentets och rådets juridiska språkgranskning ska ha följande lydelse:</w:t>
      </w:r>
    </w:p>
    <w:p w:rsidR="009237A2" w:rsidRPr="009237A2" w:rsidRDefault="009237A2" w:rsidP="009237A2">
      <w:pPr>
        <w:widowControl/>
        <w:spacing w:before="360"/>
        <w:jc w:val="center"/>
        <w:rPr>
          <w:rFonts w:eastAsia="Calibri"/>
          <w:b/>
          <w:szCs w:val="22"/>
          <w:lang w:eastAsia="en-US"/>
        </w:rPr>
      </w:pPr>
      <w:r w:rsidRPr="009237A2">
        <w:rPr>
          <w:rFonts w:eastAsia="Calibri"/>
          <w:b/>
          <w:szCs w:val="22"/>
          <w:lang w:eastAsia="en-US"/>
        </w:rPr>
        <w:t>EUROPAPARLAMENTETS OCH RÅDETS FÖRORDNING (EU) 2018/…</w:t>
      </w:r>
    </w:p>
    <w:p w:rsidR="009237A2" w:rsidRPr="009237A2" w:rsidRDefault="009237A2" w:rsidP="009237A2">
      <w:pPr>
        <w:widowControl/>
        <w:spacing w:before="360" w:after="360"/>
        <w:jc w:val="center"/>
        <w:rPr>
          <w:rFonts w:eastAsia="Calibri"/>
          <w:b/>
          <w:szCs w:val="22"/>
          <w:lang w:eastAsia="en-US"/>
        </w:rPr>
      </w:pPr>
      <w:r w:rsidRPr="009237A2">
        <w:rPr>
          <w:rFonts w:eastAsia="Calibri"/>
          <w:b/>
          <w:szCs w:val="22"/>
          <w:lang w:eastAsia="en-US"/>
        </w:rPr>
        <w:t>av den</w:t>
      </w:r>
    </w:p>
    <w:p w:rsidR="009237A2" w:rsidRPr="009237A2" w:rsidRDefault="009237A2" w:rsidP="009237A2">
      <w:pPr>
        <w:widowControl/>
        <w:spacing w:before="360" w:after="360"/>
        <w:jc w:val="center"/>
        <w:rPr>
          <w:rFonts w:eastAsia="Calibri"/>
          <w:b/>
          <w:noProof/>
          <w:szCs w:val="22"/>
          <w:lang w:eastAsia="en-US"/>
        </w:rPr>
      </w:pPr>
      <w:r w:rsidRPr="009237A2">
        <w:rPr>
          <w:rFonts w:eastAsia="Calibri"/>
          <w:b/>
          <w:szCs w:val="22"/>
          <w:lang w:eastAsia="en-US"/>
        </w:rPr>
        <w:t>om statistik över godstransporter på inre vattenvägar (kodifiering)</w:t>
      </w:r>
    </w:p>
    <w:p w:rsidR="009237A2" w:rsidRPr="009237A2" w:rsidRDefault="00C704F4" w:rsidP="00C704F4">
      <w:pPr>
        <w:keepNext/>
        <w:widowControl/>
        <w:spacing w:before="120" w:after="120" w:line="360" w:lineRule="auto"/>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EUROPAPARLAMENTET OCH EUROPEISKA UNIONENS RÅD HAR ANTAGIT DENNA FÖRORDNING</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med beaktande av fördraget</w:t>
      </w:r>
      <w:r w:rsidR="00833422">
        <w:rPr>
          <w:rFonts w:eastAsia="Calibri"/>
          <w:noProof/>
          <w:szCs w:val="22"/>
          <w:lang w:eastAsia="en-US"/>
        </w:rPr>
        <w:t xml:space="preserve"> </w:t>
      </w:r>
      <w:r w:rsidRPr="009237A2">
        <w:rPr>
          <w:rFonts w:eastAsia="Calibri"/>
          <w:noProof/>
          <w:szCs w:val="22"/>
          <w:lang w:eastAsia="en-US"/>
        </w:rPr>
        <w:t>om Europeiska unionens funktionssätt, särskilt artikel</w:t>
      </w:r>
      <w:r w:rsidR="00833422">
        <w:rPr>
          <w:rFonts w:eastAsia="Calibri"/>
          <w:noProof/>
          <w:szCs w:val="22"/>
          <w:lang w:eastAsia="en-US"/>
        </w:rPr>
        <w:t xml:space="preserve"> </w:t>
      </w:r>
      <w:r w:rsidRPr="009237A2">
        <w:rPr>
          <w:rFonts w:eastAsia="Calibri"/>
          <w:noProof/>
          <w:szCs w:val="22"/>
          <w:lang w:eastAsia="en-US"/>
        </w:rPr>
        <w:t>338.1,</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med beaktande av Europeiska kommissionens förslag,</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efter översändande av utkastet till lagstiftningsakt till de nationella parlamenten,</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i enlighet med det ordinarie lagstiftningsförfarandet</w:t>
      </w:r>
      <w:r w:rsidRPr="00C704F4">
        <w:rPr>
          <w:rFonts w:eastAsia="Calibri"/>
          <w:noProof/>
          <w:szCs w:val="22"/>
          <w:vertAlign w:val="superscript"/>
          <w:lang w:eastAsia="en-US"/>
        </w:rPr>
        <w:footnoteReference w:id="1"/>
      </w:r>
      <w:r w:rsidRPr="009237A2">
        <w:rPr>
          <w:rFonts w:eastAsia="Calibri"/>
          <w:noProof/>
          <w:szCs w:val="22"/>
          <w:lang w:eastAsia="en-US"/>
        </w:rPr>
        <w:t>, och</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av följande skäl:</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Europaparlamentets och rådets förordning (EG) nr 1365/2006</w:t>
      </w:r>
      <w:r w:rsidRPr="00C704F4">
        <w:rPr>
          <w:rFonts w:eastAsia="Calibri"/>
          <w:noProof/>
          <w:szCs w:val="22"/>
          <w:vertAlign w:val="superscript"/>
          <w:lang w:eastAsia="en-US"/>
        </w:rPr>
        <w:footnoteReference w:id="2"/>
      </w:r>
      <w:r w:rsidRPr="009237A2">
        <w:rPr>
          <w:rFonts w:eastAsia="Calibri"/>
          <w:noProof/>
          <w:szCs w:val="22"/>
          <w:lang w:eastAsia="en-US"/>
        </w:rPr>
        <w:t xml:space="preserve"> har ändrats flera gånger på ett väsentligt sätt</w:t>
      </w:r>
      <w:r w:rsidRPr="00C704F4">
        <w:rPr>
          <w:rFonts w:eastAsia="Calibri"/>
          <w:noProof/>
          <w:szCs w:val="22"/>
          <w:vertAlign w:val="superscript"/>
          <w:lang w:eastAsia="en-US"/>
        </w:rPr>
        <w:footnoteReference w:id="3"/>
      </w:r>
      <w:r w:rsidRPr="009237A2">
        <w:rPr>
          <w:rFonts w:eastAsia="Calibri"/>
          <w:noProof/>
          <w:szCs w:val="22"/>
          <w:lang w:eastAsia="en-US"/>
        </w:rPr>
        <w:t>. För att skapa klarhet och överskådlighet bör den förordningen kodifieras.</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De inre vattenvägarna utgör en betydande del av</w:t>
      </w:r>
      <w:r w:rsidR="00833422">
        <w:rPr>
          <w:rFonts w:eastAsia="Calibri"/>
          <w:noProof/>
          <w:szCs w:val="22"/>
          <w:lang w:eastAsia="en-US"/>
        </w:rPr>
        <w:t xml:space="preserve"> </w:t>
      </w:r>
      <w:r w:rsidRPr="009237A2">
        <w:rPr>
          <w:rFonts w:eastAsia="Calibri"/>
          <w:noProof/>
          <w:szCs w:val="22"/>
          <w:lang w:eastAsia="en-US"/>
        </w:rPr>
        <w:t>unionens transportnät, och att främja transporter på de inre vattenvägarna är ett av målen för den gemensamma transportpolitiken,</w:t>
      </w:r>
      <w:r w:rsidR="00833422">
        <w:rPr>
          <w:rFonts w:eastAsia="Calibri"/>
          <w:noProof/>
          <w:szCs w:val="22"/>
          <w:lang w:eastAsia="en-US"/>
        </w:rPr>
        <w:t xml:space="preserve"> </w:t>
      </w:r>
      <w:r w:rsidRPr="009237A2">
        <w:rPr>
          <w:rFonts w:eastAsia="Calibri"/>
          <w:noProof/>
          <w:szCs w:val="22"/>
          <w:lang w:eastAsia="en-US"/>
        </w:rPr>
        <w:t>både för att förbättra den ekonomiska effektiviteten</w:t>
      </w:r>
      <w:r w:rsidR="00833422">
        <w:rPr>
          <w:rFonts w:eastAsia="Calibri"/>
          <w:noProof/>
          <w:szCs w:val="22"/>
          <w:lang w:eastAsia="en-US"/>
        </w:rPr>
        <w:t xml:space="preserve"> </w:t>
      </w:r>
      <w:r w:rsidRPr="009237A2">
        <w:rPr>
          <w:rFonts w:eastAsia="Calibri"/>
          <w:noProof/>
          <w:szCs w:val="22"/>
          <w:lang w:eastAsia="en-US"/>
        </w:rPr>
        <w:t>och för att minska energiförbrukningen och transporternas inverkan på miljön.</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Kommissionen behöver statistik över godstransporter på de inre vattenvägarna för att övervaka och vidareutveckla den gemensamma transportpolitiken samt de delar av regionalpolitiken och politiken för de transeuropeiska näten som rör transporter.</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(4)</w:t>
      </w:r>
      <w:r w:rsidR="009237A2" w:rsidRPr="009237A2">
        <w:rPr>
          <w:rFonts w:eastAsia="Calibri"/>
          <w:noProof/>
          <w:szCs w:val="22"/>
          <w:lang w:eastAsia="en-US"/>
        </w:rPr>
        <w:tab/>
        <w:t>Det bör samlas in</w:t>
      </w:r>
      <w:r w:rsidR="00833422">
        <w:rPr>
          <w:rFonts w:eastAsia="Calibri"/>
          <w:noProof/>
          <w:szCs w:val="22"/>
          <w:lang w:eastAsia="en-US"/>
        </w:rPr>
        <w:t xml:space="preserve"> </w:t>
      </w:r>
      <w:r w:rsidR="009237A2" w:rsidRPr="009237A2">
        <w:rPr>
          <w:rFonts w:eastAsia="Calibri"/>
          <w:noProof/>
          <w:szCs w:val="22"/>
          <w:lang w:eastAsia="en-US"/>
        </w:rPr>
        <w:t>europeisk statistik över alla former av transporter enligt gemensamma begrepp och standarder, med målsättningen att uppnå största möjliga jämförbarhet mellan de olika transportsätten.</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(5)</w:t>
      </w:r>
      <w:r w:rsidRPr="009237A2">
        <w:rPr>
          <w:rFonts w:eastAsia="Calibri"/>
          <w:noProof/>
          <w:szCs w:val="22"/>
          <w:lang w:eastAsia="en-US"/>
        </w:rPr>
        <w:tab/>
        <w:t>Transporter på inre vattenvägar förekommer inte i alla medlemsstater och därför begränsas</w:t>
      </w:r>
      <w:r w:rsidR="00833422">
        <w:rPr>
          <w:rFonts w:eastAsia="Calibri"/>
          <w:noProof/>
          <w:szCs w:val="22"/>
          <w:lang w:eastAsia="en-US"/>
        </w:rPr>
        <w:t xml:space="preserve"> </w:t>
      </w:r>
      <w:r w:rsidRPr="009237A2">
        <w:rPr>
          <w:rFonts w:eastAsia="Calibri"/>
          <w:noProof/>
          <w:szCs w:val="22"/>
          <w:lang w:eastAsia="en-US"/>
        </w:rPr>
        <w:t>denna förordnings verkan till de medlemsstater där detta transportsätt förekommer.</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(6)</w:t>
      </w:r>
      <w:r w:rsidRPr="009237A2">
        <w:rPr>
          <w:rFonts w:eastAsia="Calibri"/>
          <w:noProof/>
          <w:szCs w:val="22"/>
          <w:lang w:eastAsia="en-US"/>
        </w:rPr>
        <w:tab/>
        <w:t>Europaparlamentets och rådets förordning (EG) nr 223/2009</w:t>
      </w:r>
      <w:r w:rsidRPr="00C704F4">
        <w:rPr>
          <w:rFonts w:eastAsia="Calibri"/>
          <w:noProof/>
          <w:szCs w:val="22"/>
          <w:vertAlign w:val="superscript"/>
          <w:lang w:eastAsia="en-US"/>
        </w:rPr>
        <w:footnoteReference w:id="4"/>
      </w:r>
      <w:r w:rsidRPr="009237A2">
        <w:rPr>
          <w:rFonts w:eastAsia="Calibri"/>
          <w:noProof/>
          <w:szCs w:val="22"/>
          <w:lang w:eastAsia="en-US"/>
        </w:rPr>
        <w:t xml:space="preserve"> utgör en referensram för bestämmelserna i denna förordning.</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(7)</w:t>
      </w:r>
      <w:r w:rsidR="009237A2" w:rsidRPr="009237A2">
        <w:rPr>
          <w:rFonts w:eastAsia="Calibri"/>
          <w:noProof/>
          <w:szCs w:val="22"/>
          <w:lang w:eastAsia="en-US"/>
        </w:rPr>
        <w:tab/>
        <w:t>I syfte att ta hänsyn till den ekonomiska och tekniska utvecklingen samt till ändringar i definitioner som antagits på internationell nivå bör befogenheten att anta akter i enlighet med artikel 290 i fördraget</w:t>
      </w:r>
      <w:r w:rsidR="00833422">
        <w:rPr>
          <w:rFonts w:eastAsia="Calibri"/>
          <w:noProof/>
          <w:szCs w:val="22"/>
          <w:lang w:eastAsia="en-US"/>
        </w:rPr>
        <w:t xml:space="preserve"> </w:t>
      </w:r>
      <w:r w:rsidR="009237A2" w:rsidRPr="009237A2">
        <w:rPr>
          <w:rFonts w:eastAsia="Calibri"/>
          <w:noProof/>
          <w:szCs w:val="22"/>
          <w:lang w:eastAsia="en-US"/>
        </w:rPr>
        <w:t>om Europeiska unionens funktionssätt delegeras till kommissionen med avseende på ändring av</w:t>
      </w:r>
      <w:r w:rsidR="00833422">
        <w:rPr>
          <w:rFonts w:eastAsia="Calibri"/>
          <w:noProof/>
          <w:szCs w:val="22"/>
          <w:lang w:eastAsia="en-US"/>
        </w:rPr>
        <w:t xml:space="preserve"> </w:t>
      </w:r>
      <w:r w:rsidR="009237A2" w:rsidRPr="009237A2">
        <w:rPr>
          <w:rFonts w:eastAsia="Calibri"/>
          <w:noProof/>
          <w:szCs w:val="22"/>
          <w:lang w:eastAsia="en-US"/>
        </w:rPr>
        <w:t>denna förordning för att höja gränsen för när transporter på inre vattenvägar ska omfattas av statistiken till över en miljon ton, för att anpassa definitioner eller fastställa nya samt för att anpassa bilagorna till</w:t>
      </w:r>
      <w:r w:rsidR="00833422">
        <w:rPr>
          <w:rFonts w:eastAsia="Calibri"/>
          <w:noProof/>
          <w:szCs w:val="22"/>
          <w:lang w:eastAsia="en-US"/>
        </w:rPr>
        <w:t xml:space="preserve"> </w:t>
      </w:r>
      <w:r w:rsidR="009237A2" w:rsidRPr="009237A2">
        <w:rPr>
          <w:rFonts w:eastAsia="Calibri"/>
          <w:noProof/>
          <w:szCs w:val="22"/>
          <w:lang w:eastAsia="en-US"/>
        </w:rPr>
        <w:t>denna förordning för att återspegla ändringar i kod och nomenklatur på internationell nivå eller i relevanta unionslagstiftningsakter. Det är särskilt viktigt att kommissionen genomför lämpliga samråd under sitt förberedande arbete, inklusive på expertnivå, och att dessa samråd genomförs i enlighet med principerna i det interinstitutionella avtalet av den 13 april 2016 om bättre lagstiftning</w:t>
      </w:r>
      <w:r w:rsidR="009237A2" w:rsidRPr="00C704F4">
        <w:rPr>
          <w:rFonts w:eastAsia="Calibri"/>
          <w:noProof/>
          <w:szCs w:val="22"/>
          <w:vertAlign w:val="superscript"/>
          <w:lang w:eastAsia="en-US"/>
        </w:rPr>
        <w:footnoteReference w:id="5"/>
      </w:r>
      <w:r w:rsidR="009237A2" w:rsidRPr="009237A2">
        <w:rPr>
          <w:rFonts w:eastAsia="Calibri"/>
          <w:noProof/>
          <w:szCs w:val="22"/>
          <w:lang w:eastAsia="en-US"/>
        </w:rPr>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(8)</w:t>
      </w:r>
      <w:r w:rsidRPr="009237A2">
        <w:rPr>
          <w:rFonts w:eastAsia="Calibri"/>
          <w:noProof/>
          <w:szCs w:val="22"/>
          <w:lang w:eastAsia="en-US"/>
        </w:rPr>
        <w:tab/>
        <w:t>Kommissionen bör säkerställa att dessa delegerade akter inte innebär någon betydande extra börda för medlemsstaterna eller uppgiftslämnarna.</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(9)</w:t>
      </w:r>
      <w:r w:rsidR="009237A2" w:rsidRPr="009237A2">
        <w:rPr>
          <w:rFonts w:eastAsia="Calibri"/>
          <w:noProof/>
          <w:szCs w:val="22"/>
          <w:lang w:eastAsia="en-US"/>
        </w:rPr>
        <w:tab/>
        <w:t>För att säkerställa enhetliga villkor för genomförandet av</w:t>
      </w:r>
      <w:r w:rsidR="00833422">
        <w:rPr>
          <w:rFonts w:eastAsia="Calibri"/>
          <w:noProof/>
          <w:szCs w:val="22"/>
          <w:lang w:eastAsia="en-US"/>
        </w:rPr>
        <w:t xml:space="preserve"> </w:t>
      </w:r>
      <w:r w:rsidR="009237A2" w:rsidRPr="009237A2">
        <w:rPr>
          <w:rFonts w:eastAsia="Calibri"/>
          <w:noProof/>
          <w:szCs w:val="22"/>
          <w:lang w:eastAsia="en-US"/>
        </w:rPr>
        <w:t>denna förordning bör kommissionen tilldelas genomförandebefogenheter så att den kan anta föreskrifter om metoder för överföring av uppgifter, inbegripet standarder för utbyte av uppgifter,</w:t>
      </w:r>
      <w:r w:rsidR="00833422">
        <w:rPr>
          <w:rFonts w:eastAsia="Calibri"/>
          <w:noProof/>
          <w:szCs w:val="22"/>
          <w:lang w:eastAsia="en-US"/>
        </w:rPr>
        <w:t xml:space="preserve"> </w:t>
      </w:r>
      <w:r w:rsidR="009237A2" w:rsidRPr="009237A2">
        <w:rPr>
          <w:rFonts w:eastAsia="Calibri"/>
          <w:noProof/>
          <w:szCs w:val="22"/>
          <w:lang w:eastAsia="en-US"/>
        </w:rPr>
        <w:t>liksom om förfarandet för kommissionens (Eurostats) spridning av resultaten,</w:t>
      </w:r>
      <w:r w:rsidR="00833422">
        <w:rPr>
          <w:rFonts w:eastAsia="Calibri"/>
          <w:noProof/>
          <w:szCs w:val="22"/>
          <w:lang w:eastAsia="en-US"/>
        </w:rPr>
        <w:t xml:space="preserve"> </w:t>
      </w:r>
      <w:r w:rsidR="009237A2" w:rsidRPr="009237A2">
        <w:rPr>
          <w:rFonts w:eastAsia="Calibri"/>
          <w:noProof/>
          <w:szCs w:val="22"/>
          <w:lang w:eastAsia="en-US"/>
        </w:rPr>
        <w:t>och så att den kan utforma och offentliggöra metodkrav och</w:t>
      </w:r>
      <w:r w:rsidR="00833422">
        <w:rPr>
          <w:rFonts w:eastAsia="Calibri"/>
          <w:noProof/>
          <w:szCs w:val="22"/>
          <w:lang w:eastAsia="en-US"/>
        </w:rPr>
        <w:t xml:space="preserve"> </w:t>
      </w:r>
      <w:r w:rsidR="009237A2" w:rsidRPr="009237A2">
        <w:rPr>
          <w:rFonts w:eastAsia="Calibri"/>
          <w:noProof/>
          <w:szCs w:val="22"/>
          <w:lang w:eastAsia="en-US"/>
        </w:rPr>
        <w:t>metodkriterier för att säkerställa kvaliteten på de uppgifter som tas fram. Dessa befogenheter bör utövas i enlighet med Europaparlamentets och rådets förordning (EU) nr 182/2011</w:t>
      </w:r>
      <w:r w:rsidR="009237A2" w:rsidRPr="00C704F4">
        <w:rPr>
          <w:rFonts w:eastAsia="Calibri"/>
          <w:noProof/>
          <w:szCs w:val="22"/>
          <w:vertAlign w:val="superscript"/>
          <w:lang w:eastAsia="en-US"/>
        </w:rPr>
        <w:footnoteReference w:id="6"/>
      </w:r>
      <w:r w:rsidR="009237A2" w:rsidRPr="009237A2">
        <w:rPr>
          <w:rFonts w:eastAsia="Calibri"/>
          <w:noProof/>
          <w:szCs w:val="22"/>
          <w:lang w:eastAsia="en-US"/>
        </w:rPr>
        <w:t>.</w:t>
      </w:r>
    </w:p>
    <w:p w:rsidR="009237A2" w:rsidRPr="009237A2" w:rsidRDefault="009237A2" w:rsidP="00C704F4">
      <w:pPr>
        <w:widowControl/>
        <w:spacing w:before="120" w:after="120" w:line="360" w:lineRule="auto"/>
        <w:ind w:left="851" w:hanging="851"/>
        <w:rPr>
          <w:rFonts w:eastAsia="Calibri"/>
          <w:noProof/>
          <w:szCs w:val="22"/>
          <w:lang w:eastAsia="en-US"/>
        </w:rPr>
      </w:pPr>
      <w:r w:rsidRPr="009237A2">
        <w:rPr>
          <w:rFonts w:eastAsia="Calibri"/>
          <w:noProof/>
          <w:szCs w:val="22"/>
          <w:lang w:eastAsia="en-US"/>
        </w:rPr>
        <w:t>(0)</w:t>
      </w:r>
      <w:r w:rsidRPr="009237A2">
        <w:rPr>
          <w:rFonts w:eastAsia="Calibri"/>
          <w:noProof/>
          <w:szCs w:val="22"/>
          <w:lang w:eastAsia="en-US"/>
        </w:rPr>
        <w:tab/>
        <w:t>Det är nödvändigt att kommissionen anordnar pilotstudier om tillgången till statistik avseende passagerartransporter på inre vattenvägar, inklusive genom gränsöverskridande transporttjänster. Unionen bör bidra till kostnaden för att utföra dessa pilotstudier. Detta bör ske i form av bidrag som beviljas till de nationella statistikbyråerna och andra nationella myndigheter som avses i artikel 5 i förordning (EG) nr 223/2009, i enlighet med Europaparlamentets och rådets förordning (EU, Euratom) nr 966/2012</w:t>
      </w:r>
      <w:r w:rsidRPr="00C704F4">
        <w:rPr>
          <w:rFonts w:eastAsia="Calibri"/>
          <w:noProof/>
          <w:szCs w:val="22"/>
          <w:vertAlign w:val="superscript"/>
          <w:lang w:eastAsia="en-US"/>
        </w:rPr>
        <w:footnoteReference w:id="7"/>
      </w:r>
      <w:r w:rsidRPr="009237A2">
        <w:rPr>
          <w:rFonts w:eastAsia="Calibri"/>
          <w:noProof/>
          <w:szCs w:val="22"/>
          <w:lang w:eastAsia="en-US"/>
        </w:rPr>
        <w:t>.</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(11)</w:t>
      </w:r>
      <w:r w:rsidR="009237A2" w:rsidRPr="009237A2">
        <w:rPr>
          <w:rFonts w:eastAsia="Calibri"/>
          <w:noProof/>
          <w:szCs w:val="22"/>
          <w:lang w:eastAsia="en-US"/>
        </w:rPr>
        <w:tab/>
        <w:t>Eftersom målet för denna förordning, nämligen att skapa gemensamma statistiska standarder som gör det möjligt att</w:t>
      </w:r>
      <w:r w:rsidR="00833422">
        <w:rPr>
          <w:rFonts w:eastAsia="Calibri"/>
          <w:noProof/>
          <w:szCs w:val="22"/>
          <w:lang w:eastAsia="en-US"/>
        </w:rPr>
        <w:t xml:space="preserve"> </w:t>
      </w:r>
      <w:r w:rsidR="009237A2" w:rsidRPr="009237A2">
        <w:rPr>
          <w:rFonts w:eastAsia="Calibri"/>
          <w:noProof/>
          <w:szCs w:val="22"/>
          <w:lang w:eastAsia="en-US"/>
        </w:rPr>
        <w:t>ta fram harmoniserade uppgifter, inte i tillräcklig utsträckning kan uppnås av medlemsstaterna, utan snarare, på grund av skapandets omfattning,</w:t>
      </w:r>
      <w:r w:rsidR="00833422">
        <w:rPr>
          <w:rFonts w:eastAsia="Calibri"/>
          <w:noProof/>
          <w:szCs w:val="22"/>
          <w:lang w:eastAsia="en-US"/>
        </w:rPr>
        <w:t xml:space="preserve"> </w:t>
      </w:r>
      <w:r w:rsidR="009237A2" w:rsidRPr="009237A2">
        <w:rPr>
          <w:rFonts w:eastAsia="Calibri"/>
          <w:noProof/>
          <w:szCs w:val="22"/>
          <w:lang w:eastAsia="en-US"/>
        </w:rPr>
        <w:t>kan uppnås bättre på</w:t>
      </w:r>
      <w:r w:rsidR="00833422">
        <w:rPr>
          <w:rFonts w:eastAsia="Calibri"/>
          <w:noProof/>
          <w:szCs w:val="22"/>
          <w:lang w:eastAsia="en-US"/>
        </w:rPr>
        <w:t xml:space="preserve"> </w:t>
      </w:r>
      <w:r w:rsidR="009237A2" w:rsidRPr="009237A2">
        <w:rPr>
          <w:rFonts w:eastAsia="Calibri"/>
          <w:noProof/>
          <w:szCs w:val="22"/>
          <w:lang w:eastAsia="en-US"/>
        </w:rPr>
        <w:t>unionsnivå, kan</w:t>
      </w:r>
      <w:r w:rsidR="00833422">
        <w:rPr>
          <w:rFonts w:eastAsia="Calibri"/>
          <w:noProof/>
          <w:szCs w:val="22"/>
          <w:lang w:eastAsia="en-US"/>
        </w:rPr>
        <w:t xml:space="preserve"> </w:t>
      </w:r>
      <w:r w:rsidR="009237A2" w:rsidRPr="009237A2">
        <w:rPr>
          <w:rFonts w:eastAsia="Calibri"/>
          <w:noProof/>
          <w:szCs w:val="22"/>
          <w:lang w:eastAsia="en-US"/>
        </w:rPr>
        <w:t>unionen vidta åtgärder i enlighet med subsidiaritetsprincipen i artikel 5 i fördraget</w:t>
      </w:r>
      <w:r w:rsidR="00833422">
        <w:rPr>
          <w:rFonts w:eastAsia="Calibri"/>
          <w:noProof/>
          <w:szCs w:val="22"/>
          <w:lang w:eastAsia="en-US"/>
        </w:rPr>
        <w:t xml:space="preserve"> </w:t>
      </w:r>
      <w:r w:rsidR="009237A2" w:rsidRPr="009237A2">
        <w:rPr>
          <w:rFonts w:eastAsia="Calibri"/>
          <w:noProof/>
          <w:szCs w:val="22"/>
          <w:lang w:eastAsia="en-US"/>
        </w:rPr>
        <w:t>om Europeiska unionen. I enlighet med proportionalitetsprincipen i samma artikel går denna förordning inte utöver vad som är nödvändigt för att uppnå detta mål.</w:t>
      </w:r>
    </w:p>
    <w:p w:rsidR="009237A2" w:rsidRPr="009237A2" w:rsidRDefault="009237A2" w:rsidP="00C704F4">
      <w:pPr>
        <w:keepNext/>
        <w:widowControl/>
        <w:spacing w:before="120" w:after="120" w:line="360" w:lineRule="auto"/>
        <w:ind w:left="851" w:hanging="851"/>
        <w:rPr>
          <w:rFonts w:eastAsia="Calibri"/>
          <w:noProof/>
          <w:szCs w:val="22"/>
          <w:lang w:eastAsia="en-US"/>
        </w:rPr>
      </w:pPr>
      <w:r w:rsidRPr="009237A2">
        <w:rPr>
          <w:rFonts w:eastAsia="Calibri"/>
          <w:noProof/>
          <w:szCs w:val="22"/>
          <w:lang w:eastAsia="en-US"/>
        </w:rPr>
        <w:t>HÄRIGENOM FÖRESKRIVS FÖLJANDE.</w:t>
      </w:r>
    </w:p>
    <w:p w:rsidR="009237A2" w:rsidRPr="009237A2" w:rsidRDefault="00C704F4" w:rsidP="00C704F4">
      <w:pPr>
        <w:keepNext/>
        <w:widowControl/>
        <w:spacing w:before="120" w:after="120" w:line="360" w:lineRule="auto"/>
        <w:jc w:val="center"/>
        <w:rPr>
          <w:rFonts w:eastAsia="Calibri"/>
          <w:bCs/>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Artikel 1</w:t>
      </w:r>
      <w:r w:rsidRPr="00C704F4">
        <w:rPr>
          <w:rFonts w:eastAsia="Calibri"/>
          <w:noProof/>
          <w:szCs w:val="22"/>
          <w:lang w:eastAsia="en-US"/>
        </w:rPr>
        <w:br/>
      </w:r>
      <w:r w:rsidR="009237A2" w:rsidRPr="009237A2">
        <w:rPr>
          <w:rFonts w:eastAsia="Calibri"/>
          <w:bCs/>
          <w:noProof/>
          <w:szCs w:val="22"/>
          <w:lang w:eastAsia="en-US"/>
        </w:rPr>
        <w:t>Syfte</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Genom denna förordning fastställs gemensamma bestämmelser för utarbetandet av</w:t>
      </w:r>
      <w:r w:rsidR="00833422">
        <w:rPr>
          <w:rFonts w:eastAsia="Calibri"/>
          <w:noProof/>
          <w:szCs w:val="22"/>
          <w:lang w:eastAsia="en-US"/>
        </w:rPr>
        <w:t xml:space="preserve"> </w:t>
      </w:r>
      <w:r w:rsidRPr="009237A2">
        <w:rPr>
          <w:rFonts w:eastAsia="Calibri"/>
          <w:noProof/>
          <w:szCs w:val="22"/>
          <w:lang w:eastAsia="en-US"/>
        </w:rPr>
        <w:t>europeisk statistik över transporter på inre vattenvägar.</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2</w:t>
      </w:r>
      <w:r w:rsidR="00C704F4" w:rsidRPr="00C704F4">
        <w:rPr>
          <w:rFonts w:eastAsia="Calibri"/>
          <w:noProof/>
          <w:szCs w:val="22"/>
          <w:lang w:eastAsia="en-US"/>
        </w:rPr>
        <w:br/>
      </w:r>
      <w:r w:rsidRPr="009237A2">
        <w:rPr>
          <w:rFonts w:eastAsia="Calibri"/>
          <w:bCs/>
          <w:noProof/>
          <w:szCs w:val="22"/>
          <w:lang w:eastAsia="en-US"/>
        </w:rPr>
        <w:t>Tillämpningsområde</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Medlemsstaterna ska överföra uppgifter om transporter på inre vattenvägar på deras nationella territorium till kommissionen (Eurostat).</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Medlemsstater i vilka den totala varumängd som årligen transporteras på inre vattenvägar som nationell transport, internationell transport eller transittransport överstiger en miljon ton ska tillhandahålla de uppgifter som avses i artikel 4.1.</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3.</w:t>
      </w:r>
      <w:r w:rsidRPr="00C704F4">
        <w:rPr>
          <w:rFonts w:eastAsia="Calibri"/>
          <w:noProof/>
          <w:szCs w:val="22"/>
          <w:lang w:eastAsia="en-US"/>
        </w:rPr>
        <w:tab/>
      </w:r>
      <w:r w:rsidR="009237A2" w:rsidRPr="009237A2">
        <w:rPr>
          <w:rFonts w:eastAsia="Calibri"/>
          <w:noProof/>
          <w:szCs w:val="22"/>
          <w:lang w:eastAsia="en-US"/>
        </w:rPr>
        <w:t>Genom undantag från punkt 2 ska medlemsstater som inte har</w:t>
      </w:r>
      <w:r w:rsidR="00833422">
        <w:rPr>
          <w:rFonts w:eastAsia="Calibri"/>
          <w:noProof/>
          <w:szCs w:val="22"/>
          <w:lang w:eastAsia="en-US"/>
        </w:rPr>
        <w:t xml:space="preserve"> </w:t>
      </w:r>
      <w:r w:rsidR="009237A2" w:rsidRPr="009237A2">
        <w:rPr>
          <w:rFonts w:eastAsia="Calibri"/>
          <w:noProof/>
          <w:szCs w:val="22"/>
          <w:lang w:eastAsia="en-US"/>
        </w:rPr>
        <w:t>internationell trafik eller transittrafik på inre vattenvägar, men i vilka den totala varumängden som årligen transporteras som nationella transporter på inre vattenvägar överstiger en miljon ton, tillhandahålla endast de uppgifter som avses i artikel 4.2.</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t>4.</w:t>
      </w:r>
      <w:r w:rsidRPr="00C704F4">
        <w:rPr>
          <w:rFonts w:eastAsia="Calibri"/>
          <w:noProof/>
          <w:szCs w:val="22"/>
          <w:lang w:eastAsia="en-US"/>
        </w:rPr>
        <w:tab/>
      </w:r>
      <w:r w:rsidR="009237A2" w:rsidRPr="009237A2">
        <w:rPr>
          <w:rFonts w:eastAsia="Calibri"/>
          <w:noProof/>
          <w:szCs w:val="22"/>
          <w:lang w:eastAsia="en-US"/>
        </w:rPr>
        <w:t>Denna förordning ska inte tillämpas på</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a)</w:t>
      </w:r>
      <w:r w:rsidRPr="009237A2">
        <w:rPr>
          <w:rFonts w:eastAsia="Calibri"/>
          <w:noProof/>
          <w:szCs w:val="22"/>
          <w:lang w:eastAsia="en-US"/>
        </w:rPr>
        <w:tab/>
        <w:t>godstransporter med fartyg med mindre än 50 ton dödvikt,</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b)</w:t>
      </w:r>
      <w:r w:rsidRPr="009237A2">
        <w:rPr>
          <w:rFonts w:eastAsia="Calibri"/>
          <w:noProof/>
          <w:szCs w:val="22"/>
          <w:lang w:eastAsia="en-US"/>
        </w:rPr>
        <w:tab/>
        <w:t>fartyg som används huvudsakligen för persontransport,</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c)</w:t>
      </w:r>
      <w:r w:rsidRPr="009237A2">
        <w:rPr>
          <w:rFonts w:eastAsia="Calibri"/>
          <w:noProof/>
          <w:szCs w:val="22"/>
          <w:lang w:eastAsia="en-US"/>
        </w:rPr>
        <w:tab/>
        <w:t>färjor,</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d)</w:t>
      </w:r>
      <w:r w:rsidRPr="009237A2">
        <w:rPr>
          <w:rFonts w:eastAsia="Calibri"/>
          <w:noProof/>
          <w:szCs w:val="22"/>
          <w:lang w:eastAsia="en-US"/>
        </w:rPr>
        <w:tab/>
        <w:t>fartyg som används uteslutande för icke-kommersiella ändamål av hamnförvaltningar och offentliga myndigheter,</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e)</w:t>
      </w:r>
      <w:r w:rsidRPr="009237A2">
        <w:rPr>
          <w:rFonts w:eastAsia="Calibri"/>
          <w:noProof/>
          <w:szCs w:val="22"/>
          <w:lang w:eastAsia="en-US"/>
        </w:rPr>
        <w:tab/>
        <w:t>fartyg som används uteslutande för bunkring eller lagring,</w:t>
      </w:r>
    </w:p>
    <w:p w:rsidR="009237A2" w:rsidRPr="009237A2" w:rsidRDefault="009237A2" w:rsidP="00C704F4">
      <w:pPr>
        <w:widowControl/>
        <w:spacing w:before="120" w:after="120" w:line="360" w:lineRule="auto"/>
        <w:ind w:left="1418" w:hanging="567"/>
        <w:rPr>
          <w:rFonts w:eastAsia="Calibri"/>
          <w:noProof/>
          <w:szCs w:val="22"/>
          <w:lang w:eastAsia="en-US"/>
        </w:rPr>
      </w:pPr>
      <w:r w:rsidRPr="009237A2">
        <w:rPr>
          <w:rFonts w:eastAsia="Calibri"/>
          <w:noProof/>
          <w:szCs w:val="22"/>
          <w:lang w:eastAsia="en-US"/>
        </w:rPr>
        <w:t>f)</w:t>
      </w:r>
      <w:r w:rsidRPr="009237A2">
        <w:rPr>
          <w:rFonts w:eastAsia="Calibri"/>
          <w:noProof/>
          <w:szCs w:val="22"/>
          <w:lang w:eastAsia="en-US"/>
        </w:rPr>
        <w:tab/>
        <w:t>fartyg som inte används för godstransport, såsom fiskefartyg, mudderverk, flytande verkstäder, husbåtar och fritidsbåtar.</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5.</w:t>
      </w:r>
      <w:r w:rsidRPr="00C704F4">
        <w:rPr>
          <w:rFonts w:eastAsia="Calibri"/>
          <w:noProof/>
          <w:szCs w:val="22"/>
          <w:lang w:eastAsia="en-US"/>
        </w:rPr>
        <w:tab/>
      </w:r>
      <w:r w:rsidR="009237A2" w:rsidRPr="009237A2">
        <w:rPr>
          <w:rFonts w:eastAsia="Calibri"/>
          <w:noProof/>
          <w:szCs w:val="22"/>
          <w:lang w:eastAsia="en-US"/>
        </w:rPr>
        <w:t>Kommissionen ges befogenhet attanta delegerade akter i enlighet med artikel 10 med avseende på ändring av punkt 2 i den här artikeln för att höja gränsen i den punkten för när transporter på inre vattenvägar ska omfattas av statistiken, i syfte att ta hänsyn till ekonomisk och teknisk utveckling.</w:t>
      </w:r>
    </w:p>
    <w:p w:rsidR="009237A2" w:rsidRPr="009237A2" w:rsidRDefault="00C704F4" w:rsidP="00C704F4">
      <w:pPr>
        <w:widowControl/>
        <w:spacing w:before="120" w:after="120" w:line="360" w:lineRule="auto"/>
        <w:ind w:left="851"/>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w:t>
      </w:r>
      <w:r w:rsidR="00833422">
        <w:rPr>
          <w:rFonts w:eastAsia="Calibri"/>
          <w:noProof/>
          <w:szCs w:val="22"/>
          <w:lang w:eastAsia="en-US"/>
        </w:rPr>
        <w:t xml:space="preserve"> </w:t>
      </w:r>
      <w:r w:rsidR="009237A2" w:rsidRPr="009237A2">
        <w:rPr>
          <w:rFonts w:eastAsia="Calibri"/>
          <w:noProof/>
          <w:szCs w:val="22"/>
          <w:lang w:eastAsia="en-US"/>
        </w:rPr>
        <w:t>inbegripet en bedömning av uppgiftslämnarbördan och produktionskostnaden i enlighet med vad som föreskrivs i artikel 14.3 c i förordning (EG) nr 223/2009.</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3</w:t>
      </w:r>
      <w:r w:rsidR="00C704F4" w:rsidRPr="00C704F4">
        <w:rPr>
          <w:rFonts w:eastAsia="Calibri"/>
          <w:noProof/>
          <w:szCs w:val="22"/>
          <w:lang w:eastAsia="en-US"/>
        </w:rPr>
        <w:br/>
      </w:r>
      <w:r w:rsidRPr="009237A2">
        <w:rPr>
          <w:rFonts w:eastAsia="Calibri"/>
          <w:bCs/>
          <w:noProof/>
          <w:szCs w:val="22"/>
          <w:lang w:eastAsia="en-US"/>
        </w:rPr>
        <w:t>Definitioner</w:t>
      </w:r>
    </w:p>
    <w:p w:rsidR="009237A2" w:rsidRPr="009237A2" w:rsidRDefault="009237A2" w:rsidP="00C704F4">
      <w:pPr>
        <w:keepNext/>
        <w:widowControl/>
        <w:spacing w:before="120" w:after="120" w:line="360" w:lineRule="auto"/>
        <w:rPr>
          <w:rFonts w:eastAsia="Calibri"/>
          <w:noProof/>
          <w:szCs w:val="22"/>
          <w:lang w:eastAsia="en-US"/>
        </w:rPr>
      </w:pPr>
      <w:r w:rsidRPr="009237A2">
        <w:rPr>
          <w:rFonts w:eastAsia="Calibri"/>
          <w:noProof/>
          <w:szCs w:val="22"/>
          <w:lang w:eastAsia="en-US"/>
        </w:rPr>
        <w:t>I denna förordning gäller följande definitioner:</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a)</w:t>
      </w:r>
      <w:r w:rsidRPr="009237A2">
        <w:rPr>
          <w:rFonts w:eastAsia="Calibri"/>
          <w:noProof/>
          <w:szCs w:val="22"/>
          <w:lang w:eastAsia="en-US"/>
        </w:rPr>
        <w:tab/>
      </w:r>
      <w:r w:rsidRPr="009237A2">
        <w:rPr>
          <w:rFonts w:eastAsia="Calibri"/>
          <w:i/>
          <w:iCs/>
          <w:noProof/>
          <w:szCs w:val="22"/>
          <w:lang w:eastAsia="en-US"/>
        </w:rPr>
        <w:t>farbar inre vattenväg</w:t>
      </w:r>
      <w:r w:rsidRPr="009237A2">
        <w:rPr>
          <w:rFonts w:eastAsia="Calibri"/>
          <w:noProof/>
          <w:szCs w:val="22"/>
          <w:lang w:eastAsia="en-US"/>
        </w:rPr>
        <w:t>: ett vattendrag som inte är en del av ett hav och som på naturlig eller konstgjord väg lämpar sig för sjöfart, i första hand av fartyg för inre vattenvägar,</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b)</w:t>
      </w:r>
      <w:r w:rsidRPr="009237A2">
        <w:rPr>
          <w:rFonts w:eastAsia="Calibri"/>
          <w:noProof/>
          <w:szCs w:val="22"/>
          <w:lang w:eastAsia="en-US"/>
        </w:rPr>
        <w:tab/>
      </w:r>
      <w:r w:rsidRPr="009237A2">
        <w:rPr>
          <w:rFonts w:eastAsia="Calibri"/>
          <w:i/>
          <w:iCs/>
          <w:noProof/>
          <w:szCs w:val="22"/>
          <w:lang w:eastAsia="en-US"/>
        </w:rPr>
        <w:t>fartyg för inre vattenvägar</w:t>
      </w:r>
      <w:r w:rsidRPr="009237A2">
        <w:rPr>
          <w:rFonts w:eastAsia="Calibri"/>
          <w:noProof/>
          <w:szCs w:val="22"/>
          <w:lang w:eastAsia="en-US"/>
        </w:rPr>
        <w:t>: en flytande farkost avsedd för att frakta gods eller passagerare huvudsakligen på farbara inre vattenvägar eller i farvatten inom eller i omedelbar närhet av skyddade farvatten samt inom områden som omfattas av hamnföreskrifter,</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c)</w:t>
      </w:r>
      <w:r w:rsidRPr="009237A2">
        <w:rPr>
          <w:rFonts w:eastAsia="Calibri"/>
          <w:noProof/>
          <w:szCs w:val="22"/>
          <w:lang w:eastAsia="en-US"/>
        </w:rPr>
        <w:tab/>
      </w:r>
      <w:r w:rsidRPr="009237A2">
        <w:rPr>
          <w:rFonts w:eastAsia="Calibri"/>
          <w:i/>
          <w:iCs/>
          <w:noProof/>
          <w:szCs w:val="22"/>
          <w:lang w:eastAsia="en-US"/>
        </w:rPr>
        <w:t>fartygets nationalitet</w:t>
      </w:r>
      <w:r w:rsidRPr="009237A2">
        <w:rPr>
          <w:rFonts w:eastAsia="Calibri"/>
          <w:noProof/>
          <w:szCs w:val="22"/>
          <w:lang w:eastAsia="en-US"/>
        </w:rPr>
        <w:t>: det land där fartyget är registrerat,</w:t>
      </w:r>
    </w:p>
    <w:p w:rsidR="009237A2" w:rsidRPr="009237A2" w:rsidRDefault="00C704F4" w:rsidP="00C704F4">
      <w:pPr>
        <w:widowControl/>
        <w:spacing w:before="120" w:after="120" w:line="360" w:lineRule="auto"/>
        <w:ind w:left="850" w:hanging="850"/>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d)</w:t>
      </w:r>
      <w:r w:rsidR="009237A2" w:rsidRPr="009237A2">
        <w:rPr>
          <w:rFonts w:eastAsia="Calibri"/>
          <w:noProof/>
          <w:szCs w:val="22"/>
          <w:lang w:eastAsia="en-US"/>
        </w:rPr>
        <w:tab/>
      </w:r>
      <w:r w:rsidR="009237A2" w:rsidRPr="009237A2">
        <w:rPr>
          <w:rFonts w:eastAsia="Calibri"/>
          <w:i/>
          <w:iCs/>
          <w:noProof/>
          <w:szCs w:val="22"/>
          <w:lang w:eastAsia="en-US"/>
        </w:rPr>
        <w:t>transporter på inre vattenvägar</w:t>
      </w:r>
      <w:r w:rsidR="009237A2" w:rsidRPr="009237A2">
        <w:rPr>
          <w:rFonts w:eastAsia="Calibri"/>
          <w:noProof/>
          <w:szCs w:val="22"/>
          <w:lang w:eastAsia="en-US"/>
        </w:rPr>
        <w:t>: varje förflyttning av varor och/eller passagerare med fartyg för inre vattenvägar som helt eller delvis äger rum på farbara inre vattenvägar,</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e)</w:t>
      </w:r>
      <w:r w:rsidRPr="009237A2">
        <w:rPr>
          <w:rFonts w:eastAsia="Calibri"/>
          <w:noProof/>
          <w:szCs w:val="22"/>
          <w:lang w:eastAsia="en-US"/>
        </w:rPr>
        <w:tab/>
      </w:r>
      <w:r w:rsidRPr="009237A2">
        <w:rPr>
          <w:rFonts w:eastAsia="Calibri"/>
          <w:i/>
          <w:iCs/>
          <w:noProof/>
          <w:szCs w:val="22"/>
          <w:lang w:eastAsia="en-US"/>
        </w:rPr>
        <w:t>nationella transporter på inre vattenvägar</w:t>
      </w:r>
      <w:r w:rsidRPr="009237A2">
        <w:rPr>
          <w:rFonts w:eastAsia="Calibri"/>
          <w:noProof/>
          <w:szCs w:val="22"/>
          <w:lang w:eastAsia="en-US"/>
        </w:rPr>
        <w:t>: transporter på inre vattenvägar mellan två hamnar inom ett nationellt territorium oberoende av fartygets nationalitet,</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f)</w:t>
      </w:r>
      <w:r w:rsidRPr="009237A2">
        <w:rPr>
          <w:rFonts w:eastAsia="Calibri"/>
          <w:noProof/>
          <w:szCs w:val="22"/>
          <w:lang w:eastAsia="en-US"/>
        </w:rPr>
        <w:tab/>
      </w:r>
      <w:r w:rsidRPr="009237A2">
        <w:rPr>
          <w:rFonts w:eastAsia="Calibri"/>
          <w:i/>
          <w:iCs/>
          <w:noProof/>
          <w:szCs w:val="22"/>
          <w:lang w:eastAsia="en-US"/>
        </w:rPr>
        <w:t>internationella transporter på inre vattenvägar</w:t>
      </w:r>
      <w:r w:rsidRPr="009237A2">
        <w:rPr>
          <w:rFonts w:eastAsia="Calibri"/>
          <w:noProof/>
          <w:szCs w:val="22"/>
          <w:lang w:eastAsia="en-US"/>
        </w:rPr>
        <w:t>: transporter på inre vattenvägar mellan två hamnar belägna inom olika nationella territorier,</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g)</w:t>
      </w:r>
      <w:r w:rsidRPr="009237A2">
        <w:rPr>
          <w:rFonts w:eastAsia="Calibri"/>
          <w:noProof/>
          <w:szCs w:val="22"/>
          <w:lang w:eastAsia="en-US"/>
        </w:rPr>
        <w:tab/>
      </w:r>
      <w:r w:rsidRPr="009237A2">
        <w:rPr>
          <w:rFonts w:eastAsia="Calibri"/>
          <w:i/>
          <w:iCs/>
          <w:noProof/>
          <w:szCs w:val="22"/>
          <w:lang w:eastAsia="en-US"/>
        </w:rPr>
        <w:t>transittransporter på inre vattenvägar</w:t>
      </w:r>
      <w:r w:rsidRPr="009237A2">
        <w:rPr>
          <w:rFonts w:eastAsia="Calibri"/>
          <w:noProof/>
          <w:szCs w:val="22"/>
          <w:lang w:eastAsia="en-US"/>
        </w:rPr>
        <w:t>: transporter på inre vattenvägar genom ett nationellt territorium mellan två hamnar som båda är belägna inom ett annat nationellt territorium eller andra nationella territorier, under förutsättning att det under hela resan inom det nationella territoriet inte sker någon omlastning,</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h)</w:t>
      </w:r>
      <w:r w:rsidRPr="009237A2">
        <w:rPr>
          <w:rFonts w:eastAsia="Calibri"/>
          <w:noProof/>
          <w:szCs w:val="22"/>
          <w:lang w:eastAsia="en-US"/>
        </w:rPr>
        <w:tab/>
      </w:r>
      <w:r w:rsidRPr="009237A2">
        <w:rPr>
          <w:rFonts w:eastAsia="Calibri"/>
          <w:i/>
          <w:iCs/>
          <w:noProof/>
          <w:szCs w:val="22"/>
          <w:lang w:eastAsia="en-US"/>
        </w:rPr>
        <w:t>trafik på inre vattenvägar</w:t>
      </w:r>
      <w:r w:rsidRPr="009237A2">
        <w:rPr>
          <w:rFonts w:eastAsia="Calibri"/>
          <w:noProof/>
          <w:szCs w:val="22"/>
          <w:lang w:eastAsia="en-US"/>
        </w:rPr>
        <w:t>: varje förflyttning av ett fartyg på en viss farbar inre vattenväg.</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Kommissionen ges befogenhet attanta delegerade akter i enlighet med artikel 10 med avseende på ändring av</w:t>
      </w:r>
      <w:r w:rsidR="00833422">
        <w:rPr>
          <w:rFonts w:eastAsia="Calibri"/>
          <w:noProof/>
          <w:szCs w:val="22"/>
          <w:lang w:eastAsia="en-US"/>
        </w:rPr>
        <w:t xml:space="preserve"> </w:t>
      </w:r>
      <w:r w:rsidRPr="009237A2">
        <w:rPr>
          <w:rFonts w:eastAsia="Calibri"/>
          <w:noProof/>
          <w:szCs w:val="22"/>
          <w:lang w:eastAsia="en-US"/>
        </w:rPr>
        <w:t>första stycket i den här artikeln för att anpassa definitionerna</w:t>
      </w:r>
      <w:r w:rsidR="00833422">
        <w:rPr>
          <w:rFonts w:eastAsia="Calibri"/>
          <w:noProof/>
          <w:szCs w:val="22"/>
          <w:lang w:eastAsia="en-US"/>
        </w:rPr>
        <w:t xml:space="preserve"> </w:t>
      </w:r>
      <w:r w:rsidRPr="009237A2">
        <w:rPr>
          <w:rFonts w:eastAsia="Calibri"/>
          <w:noProof/>
          <w:szCs w:val="22"/>
          <w:lang w:eastAsia="en-US"/>
        </w:rPr>
        <w:t xml:space="preserve">häri eller fastställa nya definitioner, i syfte att ta hänsyn till relevanta definitioner som ändrats eller antagits på internationell nivå. </w:t>
      </w:r>
    </w:p>
    <w:p w:rsidR="009237A2" w:rsidRPr="009237A2" w:rsidRDefault="00C704F4" w:rsidP="00C704F4">
      <w:pPr>
        <w:widowControl/>
        <w:spacing w:before="120" w:after="120" w:line="360" w:lineRule="auto"/>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w:t>
      </w:r>
      <w:r w:rsidR="00833422">
        <w:rPr>
          <w:rFonts w:eastAsia="Calibri"/>
          <w:noProof/>
          <w:szCs w:val="22"/>
          <w:lang w:eastAsia="en-US"/>
        </w:rPr>
        <w:t xml:space="preserve"> </w:t>
      </w:r>
      <w:r w:rsidR="009237A2" w:rsidRPr="009237A2">
        <w:rPr>
          <w:rFonts w:eastAsia="Calibri"/>
          <w:noProof/>
          <w:szCs w:val="22"/>
          <w:lang w:eastAsia="en-US"/>
        </w:rPr>
        <w:t>inbegripet en bedömning av uppgiftslämnarbördan och produktionskostnaden, i enlighet med vad som föreskrivs i artikel 14.3 c i förordning (EG) nr 223/2009.</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4</w:t>
      </w:r>
      <w:r w:rsidR="00C704F4" w:rsidRPr="00C704F4">
        <w:rPr>
          <w:rFonts w:eastAsia="Calibri"/>
          <w:noProof/>
          <w:szCs w:val="22"/>
          <w:lang w:eastAsia="en-US"/>
        </w:rPr>
        <w:br/>
      </w:r>
      <w:r w:rsidRPr="009237A2">
        <w:rPr>
          <w:rFonts w:eastAsia="Calibri"/>
          <w:bCs/>
          <w:noProof/>
          <w:szCs w:val="22"/>
          <w:lang w:eastAsia="en-US"/>
        </w:rPr>
        <w:t>Insamling av uppgifter</w:t>
      </w:r>
    </w:p>
    <w:p w:rsidR="009237A2" w:rsidRPr="009237A2" w:rsidRDefault="00C704F4" w:rsidP="00C704F4">
      <w:pPr>
        <w:widowControl/>
        <w:spacing w:before="120" w:after="120" w:line="360" w:lineRule="auto"/>
        <w:ind w:left="851" w:hanging="851"/>
        <w:jc w:val="both"/>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Uppgifterna ska samlas in i enlighet med tabellerna i bilagorna I–IV.</w:t>
      </w:r>
    </w:p>
    <w:p w:rsidR="009237A2" w:rsidRPr="009237A2" w:rsidRDefault="00C704F4" w:rsidP="00C704F4">
      <w:pPr>
        <w:widowControl/>
        <w:spacing w:before="120" w:after="120" w:line="360" w:lineRule="auto"/>
        <w:ind w:left="851" w:hanging="851"/>
        <w:jc w:val="both"/>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I det fall som avses i artikel 2.3 ska uppgifterna samlas in i enlighet med tabellen i bilaga V.</w:t>
      </w:r>
    </w:p>
    <w:p w:rsidR="009237A2" w:rsidRPr="009237A2" w:rsidRDefault="00C704F4" w:rsidP="00C704F4">
      <w:pPr>
        <w:widowControl/>
        <w:spacing w:before="120" w:after="120" w:line="360" w:lineRule="auto"/>
        <w:ind w:left="851" w:hanging="851"/>
        <w:jc w:val="both"/>
        <w:rPr>
          <w:rFonts w:eastAsia="Calibri"/>
          <w:noProof/>
          <w:szCs w:val="22"/>
          <w:lang w:eastAsia="en-US"/>
        </w:rPr>
      </w:pPr>
      <w:r w:rsidRPr="00C704F4">
        <w:rPr>
          <w:rFonts w:eastAsia="Calibri"/>
          <w:noProof/>
          <w:szCs w:val="22"/>
          <w:lang w:eastAsia="en-US"/>
        </w:rPr>
        <w:t>3.</w:t>
      </w:r>
      <w:r w:rsidRPr="00C704F4">
        <w:rPr>
          <w:rFonts w:eastAsia="Calibri"/>
          <w:noProof/>
          <w:szCs w:val="22"/>
          <w:lang w:eastAsia="en-US"/>
        </w:rPr>
        <w:tab/>
      </w:r>
      <w:r w:rsidR="009237A2" w:rsidRPr="009237A2">
        <w:rPr>
          <w:rFonts w:eastAsia="Calibri"/>
          <w:noProof/>
          <w:szCs w:val="22"/>
          <w:lang w:eastAsia="en-US"/>
        </w:rPr>
        <w:t>I denna förordning ska varor klassificeras i enlighet med bilaga VI.</w:t>
      </w:r>
    </w:p>
    <w:p w:rsidR="009237A2" w:rsidRPr="009237A2" w:rsidRDefault="00C704F4" w:rsidP="00C704F4">
      <w:pPr>
        <w:widowControl/>
        <w:spacing w:before="120" w:after="120" w:line="360" w:lineRule="auto"/>
        <w:ind w:left="851" w:hanging="851"/>
        <w:jc w:val="both"/>
        <w:rPr>
          <w:rFonts w:eastAsia="Calibri"/>
          <w:noProof/>
          <w:szCs w:val="22"/>
          <w:lang w:eastAsia="en-US"/>
        </w:rPr>
      </w:pPr>
      <w:r w:rsidRPr="00C704F4">
        <w:rPr>
          <w:rFonts w:eastAsia="Calibri"/>
          <w:noProof/>
          <w:szCs w:val="22"/>
          <w:lang w:eastAsia="en-US"/>
        </w:rPr>
        <w:t>4.</w:t>
      </w:r>
      <w:r w:rsidRPr="00C704F4">
        <w:rPr>
          <w:rFonts w:eastAsia="Calibri"/>
          <w:noProof/>
          <w:szCs w:val="22"/>
          <w:lang w:eastAsia="en-US"/>
        </w:rPr>
        <w:tab/>
      </w:r>
      <w:r w:rsidR="009237A2" w:rsidRPr="009237A2">
        <w:rPr>
          <w:rFonts w:eastAsia="Calibri"/>
          <w:noProof/>
          <w:szCs w:val="22"/>
          <w:lang w:eastAsia="en-US"/>
        </w:rPr>
        <w:t>Kommissionen ges befogenhet att anta delegerade akter i enlighet med artikel 10 med avseende på ändring av bilagorna</w:t>
      </w:r>
      <w:r w:rsidR="00833422">
        <w:rPr>
          <w:rFonts w:eastAsia="Calibri"/>
          <w:noProof/>
          <w:szCs w:val="22"/>
          <w:lang w:eastAsia="en-US"/>
        </w:rPr>
        <w:t xml:space="preserve"> </w:t>
      </w:r>
      <w:r w:rsidR="009237A2" w:rsidRPr="009237A2">
        <w:rPr>
          <w:rFonts w:eastAsia="Calibri"/>
          <w:noProof/>
          <w:szCs w:val="22"/>
          <w:lang w:eastAsia="en-US"/>
        </w:rPr>
        <w:t>för att återspegla ändringar i kod och nomenklatur på internationell nivå eller i relevanta unionslagstiftningsakter.</w:t>
      </w:r>
    </w:p>
    <w:p w:rsidR="009237A2" w:rsidRPr="009237A2" w:rsidRDefault="00C704F4" w:rsidP="00C704F4">
      <w:pPr>
        <w:widowControl/>
        <w:spacing w:before="120" w:after="120" w:line="360" w:lineRule="auto"/>
        <w:ind w:left="851"/>
        <w:jc w:val="both"/>
        <w:rPr>
          <w:rFonts w:eastAsia="Calibri"/>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w:t>
      </w:r>
      <w:r w:rsidR="00833422">
        <w:rPr>
          <w:rFonts w:eastAsia="Calibri"/>
          <w:noProof/>
          <w:szCs w:val="22"/>
          <w:lang w:eastAsia="en-US"/>
        </w:rPr>
        <w:t xml:space="preserve"> </w:t>
      </w:r>
      <w:r w:rsidR="009237A2" w:rsidRPr="009237A2">
        <w:rPr>
          <w:rFonts w:eastAsia="Calibri"/>
          <w:noProof/>
          <w:szCs w:val="22"/>
          <w:lang w:eastAsia="en-US"/>
        </w:rPr>
        <w:t>inbegripet en bedömning av uppgiftslämnarbördan och produktionskostnaden, i enlighet med vad som föreskrivs i artikel 14.3 c i förordning (EG) nr 223/2009.</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5</w:t>
      </w:r>
      <w:r w:rsidR="00C704F4" w:rsidRPr="00C704F4">
        <w:rPr>
          <w:rFonts w:eastAsia="Calibri"/>
          <w:noProof/>
          <w:szCs w:val="22"/>
          <w:lang w:eastAsia="en-US"/>
        </w:rPr>
        <w:br/>
      </w:r>
      <w:r w:rsidRPr="009237A2">
        <w:rPr>
          <w:rFonts w:eastAsia="Calibri"/>
          <w:bCs/>
          <w:noProof/>
          <w:szCs w:val="22"/>
          <w:lang w:eastAsia="en-US"/>
        </w:rPr>
        <w:t>Pilotstudier</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Senast den 8 december 2018 ska kommissionen, i samarbete med medlemsstaterna, utveckla en lämplig metod för att sammanställa statistik om passagerartransport på inre vattenvägar, inklusive genom gränsöverskridande transporttjänster.</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Senast den 8 december 2019 ska kommissionen inleda frivilliga pilotstudier som ska utföras av de medlemsstater som tillhandahåller uppgifter inom ramen för denna förordning om tillgången till statistik avseende passagerartransporter på inre vattenvägar, inklusive genom gränsöverskridande transporttjänster. Syftet med dessa pilotstudier ska vara att bedöma genomförbarheten av dessa nya uppgiftsinsamlingar, kostnaderna för tillhörande uppgiftsinsamling och den statistiska kvalitet som förutsätts.</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t>3.</w:t>
      </w:r>
      <w:r w:rsidRPr="00C704F4">
        <w:rPr>
          <w:rFonts w:eastAsia="Calibri"/>
          <w:noProof/>
          <w:szCs w:val="22"/>
          <w:lang w:eastAsia="en-US"/>
        </w:rPr>
        <w:tab/>
      </w:r>
      <w:r w:rsidR="009237A2" w:rsidRPr="009237A2">
        <w:rPr>
          <w:rFonts w:eastAsia="Calibri"/>
          <w:noProof/>
          <w:szCs w:val="22"/>
          <w:lang w:eastAsia="en-US"/>
        </w:rPr>
        <w:t>Senast den 8 december 2020 ska kommissionen lägga fram en rapport för Europaparlamentet och rådet om resultaten av pilotstudierna. Beroende på rapportens resultat ska kommissionen, om så är lämpligt och inom en rimlig tidsperiod, lägga fram ett lagstiftningsförslag till Europaparlamentet och rådet om ändring av denna förordning avseende statistik om passagerartransporter på inre vattenvägar, inklusive genom gränsöverskridande transporttjänster.</w:t>
      </w:r>
    </w:p>
    <w:p w:rsidR="009237A2" w:rsidRPr="009237A2" w:rsidRDefault="00C704F4" w:rsidP="00C704F4">
      <w:pPr>
        <w:widowControl/>
        <w:spacing w:before="120" w:after="120" w:line="360" w:lineRule="auto"/>
        <w:ind w:left="851" w:hanging="851"/>
        <w:rPr>
          <w:noProof/>
          <w:szCs w:val="24"/>
        </w:rPr>
      </w:pPr>
      <w:r w:rsidRPr="00C704F4">
        <w:rPr>
          <w:rFonts w:eastAsia="Calibri"/>
          <w:noProof/>
          <w:szCs w:val="22"/>
          <w:lang w:eastAsia="en-US"/>
        </w:rPr>
        <w:t>4.</w:t>
      </w:r>
      <w:r w:rsidRPr="00C704F4">
        <w:rPr>
          <w:rFonts w:eastAsia="Calibri"/>
          <w:noProof/>
          <w:szCs w:val="22"/>
          <w:lang w:eastAsia="en-US"/>
        </w:rPr>
        <w:tab/>
      </w:r>
      <w:r w:rsidR="009237A2" w:rsidRPr="009237A2">
        <w:rPr>
          <w:rFonts w:eastAsia="Calibri"/>
          <w:noProof/>
          <w:szCs w:val="22"/>
          <w:lang w:eastAsia="en-US"/>
        </w:rPr>
        <w:t>Unionens allmänna budget ska, där så är lämpligt och med hänsyn till mervärdet för unionen, bidra till finansieringen av dessa pilotstudier.</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6</w:t>
      </w:r>
      <w:r w:rsidR="00C704F4" w:rsidRPr="00C704F4">
        <w:rPr>
          <w:rFonts w:eastAsia="Calibri"/>
          <w:noProof/>
          <w:szCs w:val="22"/>
          <w:lang w:eastAsia="en-US"/>
        </w:rPr>
        <w:br/>
      </w:r>
      <w:r w:rsidRPr="009237A2">
        <w:rPr>
          <w:rFonts w:eastAsia="Calibri"/>
          <w:bCs/>
          <w:noProof/>
          <w:szCs w:val="22"/>
          <w:lang w:eastAsia="en-US"/>
        </w:rPr>
        <w:t>Överföring av uppgifter</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Uppgifterna ska överföras så snart som möjligt, dock senast fem månader efter den relevanta observationsperiodens slut.</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Kommissionen ska anta genomförandeakter med föreskrifter om överföring av uppgifter till kommissionen (Eurostat), inbegripet standarder för utbyte av uppgifter. Dessa genomförandeakter ska antas i enlighet med det granskningsförfarande som avses i artikel 11.2.</w:t>
      </w:r>
    </w:p>
    <w:p w:rsidR="009237A2" w:rsidRPr="009237A2" w:rsidRDefault="00C704F4" w:rsidP="00C704F4">
      <w:pPr>
        <w:keepNext/>
        <w:widowControl/>
        <w:spacing w:before="120" w:after="120" w:line="360" w:lineRule="auto"/>
        <w:jc w:val="center"/>
        <w:rPr>
          <w:rFonts w:eastAsia="Calibri"/>
          <w:b/>
          <w:bCs/>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Artikel 7</w:t>
      </w:r>
      <w:r w:rsidRPr="00C704F4">
        <w:rPr>
          <w:rFonts w:eastAsia="Calibri"/>
          <w:noProof/>
          <w:szCs w:val="22"/>
          <w:lang w:eastAsia="en-US"/>
        </w:rPr>
        <w:br/>
      </w:r>
      <w:r w:rsidR="009237A2" w:rsidRPr="009237A2">
        <w:rPr>
          <w:rFonts w:eastAsia="Calibri"/>
          <w:bCs/>
          <w:noProof/>
          <w:szCs w:val="22"/>
          <w:lang w:eastAsia="en-US"/>
        </w:rPr>
        <w:t>Spridning</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Europeisk statistik som bygger på de uppgifter som avses i artikel 4 ska spridas med en frekvens som motsvarar den som fastställts för medlemsstaternas överföring av uppgifter.</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Kommissionen ska anta genomförandeakter med föreskrifter om rutiner för spridning av resultaten. Dessa genomförandeakter ska antas i enlighet med det granskningsförfarande som avses i artikel 11.2.</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8</w:t>
      </w:r>
      <w:r w:rsidR="00C704F4" w:rsidRPr="00C704F4">
        <w:rPr>
          <w:rFonts w:eastAsia="Calibri"/>
          <w:noProof/>
          <w:szCs w:val="22"/>
          <w:lang w:eastAsia="en-US"/>
        </w:rPr>
        <w:br/>
      </w:r>
      <w:r w:rsidRPr="009237A2">
        <w:rPr>
          <w:rFonts w:eastAsia="Calibri"/>
          <w:bCs/>
          <w:noProof/>
          <w:szCs w:val="22"/>
          <w:lang w:eastAsia="en-US"/>
        </w:rPr>
        <w:t>Uppgifternas kvalitet</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Kommissionen ska anta genomförandeakter med</w:t>
      </w:r>
      <w:r w:rsidRPr="00C704F4">
        <w:rPr>
          <w:rFonts w:eastAsia="Calibri"/>
          <w:noProof/>
          <w:szCs w:val="22"/>
          <w:lang w:eastAsia="en-US"/>
        </w:rPr>
        <w:t xml:space="preserve"> föreskrifter om metodkrav och </w:t>
      </w:r>
      <w:r w:rsidR="009237A2" w:rsidRPr="009237A2">
        <w:rPr>
          <w:rFonts w:eastAsia="Calibri"/>
          <w:noProof/>
          <w:szCs w:val="22"/>
          <w:lang w:eastAsia="en-US"/>
        </w:rPr>
        <w:t>metodkriterier för att säkerställa kvaliteten på de uppgifter som tas fram. Dessa genomförandeakter ska antas i enlighet med det granskningsförfarande som avses i artikel 11.2.</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Medlemsstaterna ska vidta alla nödvändiga åtgärder för att säkerställa kvaliteten på de uppgifter som överförs.</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3.</w:t>
      </w:r>
      <w:r w:rsidRPr="00C704F4">
        <w:rPr>
          <w:rFonts w:eastAsia="Calibri"/>
          <w:noProof/>
          <w:szCs w:val="22"/>
          <w:lang w:eastAsia="en-US"/>
        </w:rPr>
        <w:tab/>
      </w:r>
      <w:r w:rsidR="009237A2" w:rsidRPr="009237A2">
        <w:rPr>
          <w:rFonts w:eastAsia="Calibri"/>
          <w:noProof/>
          <w:szCs w:val="22"/>
          <w:lang w:eastAsia="en-US"/>
        </w:rPr>
        <w:t>Kommissionen (Eurostat) ska bedöma de överförda uppgifternas kvalitet. Medlemsstaterna ska förse kommissionen (Eurostat) med en rapport innehållande de upplysningar och uppgifter som kommissionen (Eurostat) kan begära för att kontrollera kvaliteten på de överförda uppgifterna.</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t>4.</w:t>
      </w:r>
      <w:r w:rsidRPr="00C704F4">
        <w:rPr>
          <w:rFonts w:eastAsia="Calibri"/>
          <w:noProof/>
          <w:szCs w:val="22"/>
          <w:lang w:eastAsia="en-US"/>
        </w:rPr>
        <w:tab/>
      </w:r>
      <w:r w:rsidR="009237A2" w:rsidRPr="009237A2">
        <w:rPr>
          <w:rFonts w:eastAsia="Calibri"/>
          <w:noProof/>
          <w:szCs w:val="22"/>
          <w:lang w:eastAsia="en-US"/>
        </w:rPr>
        <w:t>Vid tillämpningen av denna förordning ska de kvalitetskriterier som avses i artikel 12.1 i förordning (EG) nr 223/2009 tillämpas på de uppgifter som överförs.</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5.</w:t>
      </w:r>
      <w:r w:rsidRPr="00C704F4">
        <w:rPr>
          <w:rFonts w:eastAsia="Calibri"/>
          <w:noProof/>
          <w:szCs w:val="22"/>
          <w:lang w:eastAsia="en-US"/>
        </w:rPr>
        <w:tab/>
      </w:r>
      <w:r w:rsidR="009237A2" w:rsidRPr="009237A2">
        <w:rPr>
          <w:rFonts w:eastAsia="Calibri"/>
          <w:noProof/>
          <w:szCs w:val="22"/>
          <w:lang w:eastAsia="en-US"/>
        </w:rPr>
        <w:t>Kommissionen ska anta genomförandeakter som fastställer närmare bestämmelser, struktur, tidsintervall och element som rör jämförbarhet för kvalitetsrapporterna. Dessa genomförandeakter ska antas i enlighet med det granskningsförfarande som avses i artikel 11.2.</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9</w:t>
      </w:r>
      <w:r w:rsidR="00C704F4" w:rsidRPr="00C704F4">
        <w:rPr>
          <w:rFonts w:eastAsia="Calibri"/>
          <w:noProof/>
          <w:szCs w:val="22"/>
          <w:lang w:eastAsia="en-US"/>
        </w:rPr>
        <w:br/>
      </w:r>
      <w:r w:rsidRPr="009237A2">
        <w:rPr>
          <w:rFonts w:eastAsia="Calibri"/>
          <w:bCs/>
          <w:noProof/>
          <w:szCs w:val="22"/>
          <w:lang w:eastAsia="en-US"/>
        </w:rPr>
        <w:t>Rapporter om genomförandet</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Senast den 31 december 2020 och därefter vart femte år ska kommissionen, efter samråd med kommittén för det europeiska statistiksystemet, till Europaparlamentet och rådet överlämna en rapport om genomförandet av denna förordning och om den framtida utvecklingen.</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I den rapporten ska kommissionen beakta relevant information som medlemsstaterna lämnat om möjliga förbättringar och om användarnas behov. Rapporten ska särskilt innehålla</w:t>
      </w:r>
      <w:r w:rsidR="00833422">
        <w:rPr>
          <w:rFonts w:eastAsia="Calibri"/>
          <w:noProof/>
          <w:szCs w:val="22"/>
          <w:lang w:eastAsia="en-US"/>
        </w:rPr>
        <w:t xml:space="preserve"> </w:t>
      </w:r>
      <w:r w:rsidRPr="009237A2">
        <w:rPr>
          <w:rFonts w:eastAsia="Calibri"/>
          <w:noProof/>
          <w:szCs w:val="22"/>
          <w:lang w:eastAsia="en-US"/>
        </w:rPr>
        <w:t>en bedömning av</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a)</w:t>
      </w:r>
      <w:r w:rsidRPr="009237A2">
        <w:rPr>
          <w:rFonts w:eastAsia="Calibri"/>
          <w:noProof/>
          <w:szCs w:val="22"/>
          <w:lang w:eastAsia="en-US"/>
        </w:rPr>
        <w:tab/>
        <w:t>den nytta i förhållande till kostnaderna som unionen, medlemsstaterna samt uppgiftslämnare och användare av statistisk information har av den framtagna statistiken,</w:t>
      </w:r>
    </w:p>
    <w:p w:rsidR="009237A2" w:rsidRPr="009237A2" w:rsidRDefault="009237A2" w:rsidP="00C704F4">
      <w:pPr>
        <w:widowControl/>
        <w:spacing w:before="120" w:after="120" w:line="360" w:lineRule="auto"/>
        <w:ind w:left="850" w:hanging="850"/>
        <w:rPr>
          <w:rFonts w:eastAsia="Calibri"/>
          <w:noProof/>
          <w:szCs w:val="22"/>
          <w:lang w:eastAsia="en-US"/>
        </w:rPr>
      </w:pPr>
      <w:r w:rsidRPr="009237A2">
        <w:rPr>
          <w:rFonts w:eastAsia="Calibri"/>
          <w:noProof/>
          <w:szCs w:val="22"/>
          <w:lang w:eastAsia="en-US"/>
        </w:rPr>
        <w:t>b)</w:t>
      </w:r>
      <w:r w:rsidRPr="009237A2">
        <w:rPr>
          <w:rFonts w:eastAsia="Calibri"/>
          <w:noProof/>
          <w:szCs w:val="22"/>
          <w:lang w:eastAsia="en-US"/>
        </w:rPr>
        <w:tab/>
        <w:t>kvaliteten på de överförda uppgifterna och de använda metoderna för insamling av uppgifter.</w:t>
      </w:r>
    </w:p>
    <w:p w:rsidR="009237A2" w:rsidRPr="009237A2" w:rsidRDefault="00C704F4" w:rsidP="00C704F4">
      <w:pPr>
        <w:keepNext/>
        <w:widowControl/>
        <w:spacing w:before="120" w:after="120" w:line="360" w:lineRule="auto"/>
        <w:jc w:val="center"/>
        <w:rPr>
          <w:rFonts w:eastAsia="Calibri"/>
          <w:bCs/>
          <w:noProof/>
          <w:szCs w:val="22"/>
          <w:lang w:eastAsia="en-US"/>
        </w:rPr>
      </w:pPr>
      <w:r w:rsidRPr="00C704F4">
        <w:rPr>
          <w:rFonts w:eastAsia="Calibri"/>
          <w:noProof/>
          <w:szCs w:val="22"/>
          <w:lang w:eastAsia="en-US"/>
        </w:rPr>
        <w:br w:type="page"/>
      </w:r>
      <w:r w:rsidR="009237A2" w:rsidRPr="009237A2">
        <w:rPr>
          <w:rFonts w:eastAsia="Calibri"/>
          <w:noProof/>
          <w:szCs w:val="22"/>
          <w:lang w:eastAsia="en-US"/>
        </w:rPr>
        <w:t>Artikel 10</w:t>
      </w:r>
      <w:r w:rsidRPr="00C704F4">
        <w:rPr>
          <w:rFonts w:eastAsia="Calibri"/>
          <w:noProof/>
          <w:szCs w:val="22"/>
          <w:lang w:eastAsia="en-US"/>
        </w:rPr>
        <w:br/>
      </w:r>
      <w:r w:rsidR="009237A2" w:rsidRPr="009237A2">
        <w:rPr>
          <w:rFonts w:eastAsia="Calibri"/>
          <w:bCs/>
          <w:noProof/>
          <w:szCs w:val="22"/>
          <w:lang w:eastAsia="en-US"/>
        </w:rPr>
        <w:t>Utövande av delegeringen</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Befogenheten att anta delegerade akter ges till kommissionen med förbehåll för de villkor som anges i denna artikel.</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Den befogenhet att anta delegerade akter som avses i artiklarna 2.5, 3 och 4.4 ska ges till kommissionen för en period på fem år från och med den 7 december 2016.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3.</w:t>
      </w:r>
      <w:r w:rsidRPr="00C704F4">
        <w:rPr>
          <w:rFonts w:eastAsia="Calibri"/>
          <w:noProof/>
          <w:szCs w:val="22"/>
          <w:lang w:eastAsia="en-US"/>
        </w:rPr>
        <w:tab/>
      </w:r>
      <w:r w:rsidR="009237A2" w:rsidRPr="009237A2">
        <w:rPr>
          <w:rFonts w:eastAsia="Calibri"/>
          <w:noProof/>
          <w:szCs w:val="22"/>
          <w:lang w:eastAsia="en-US"/>
        </w:rPr>
        <w:t xml:space="preserve">Den delegering av befogenhet som avses i artiklarna 2.5, 3 och 4.4 får när som helst återkallas av Europaparlamentet eller rådet. Ett beslut om återkallelse innebär att delegeringen av den befogenhet som anges i beslutet upphör att gälla. Beslutet får verkan dagen efter det att det offentliggörs i </w:t>
      </w:r>
      <w:r w:rsidR="009237A2" w:rsidRPr="009237A2">
        <w:rPr>
          <w:rFonts w:eastAsia="Calibri"/>
          <w:i/>
          <w:iCs/>
          <w:noProof/>
          <w:szCs w:val="22"/>
          <w:lang w:eastAsia="en-US"/>
        </w:rPr>
        <w:t>Europeiska unionens officiella tidning</w:t>
      </w:r>
      <w:r w:rsidR="009237A2" w:rsidRPr="009237A2">
        <w:rPr>
          <w:rFonts w:eastAsia="Calibri"/>
          <w:noProof/>
          <w:szCs w:val="22"/>
          <w:lang w:eastAsia="en-US"/>
        </w:rPr>
        <w:t>, eller vid ett senare i beslutet angivet datum. Det påverkar inte giltigheten av delegerade akter som redan har trätt i kraft.</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4.</w:t>
      </w:r>
      <w:r w:rsidRPr="00C704F4">
        <w:rPr>
          <w:rFonts w:eastAsia="Calibri"/>
          <w:noProof/>
          <w:szCs w:val="22"/>
          <w:lang w:eastAsia="en-US"/>
        </w:rPr>
        <w:tab/>
      </w:r>
      <w:r w:rsidR="009237A2" w:rsidRPr="009237A2">
        <w:rPr>
          <w:rFonts w:eastAsia="Calibri"/>
          <w:noProof/>
          <w:szCs w:val="22"/>
          <w:lang w:eastAsia="en-US"/>
        </w:rPr>
        <w:t>Innan kommissionen antar en delegerad akt ska den samråda med experter som utsetts av varje medlemsstat i enlighet med principerna i det interinstitutionella avtalet av den 13 april 2016 om bättre lagstiftning.</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br w:type="page"/>
        <w:t>5.</w:t>
      </w:r>
      <w:r w:rsidRPr="00C704F4">
        <w:rPr>
          <w:rFonts w:eastAsia="Calibri"/>
          <w:noProof/>
          <w:szCs w:val="22"/>
          <w:lang w:eastAsia="en-US"/>
        </w:rPr>
        <w:tab/>
      </w:r>
      <w:r w:rsidR="009237A2" w:rsidRPr="009237A2">
        <w:rPr>
          <w:rFonts w:eastAsia="Calibri"/>
          <w:noProof/>
          <w:szCs w:val="22"/>
          <w:lang w:eastAsia="en-US"/>
        </w:rPr>
        <w:t>Så snart kommissionen antar en delegerad akt ska den samtidigt delge Europaparlamentet och rådet denna.</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6.</w:t>
      </w:r>
      <w:r w:rsidRPr="00C704F4">
        <w:rPr>
          <w:rFonts w:eastAsia="Calibri"/>
          <w:noProof/>
          <w:szCs w:val="22"/>
          <w:lang w:eastAsia="en-US"/>
        </w:rPr>
        <w:tab/>
      </w:r>
      <w:r w:rsidR="009237A2" w:rsidRPr="009237A2">
        <w:rPr>
          <w:rFonts w:eastAsia="Calibri"/>
          <w:noProof/>
          <w:szCs w:val="22"/>
          <w:lang w:eastAsia="en-US"/>
        </w:rPr>
        <w:t>En delegerad akt som antas enligt artikel 2.5, 3 eller 4.4 ska träda i kraft endast om varken Europaparlamentet eller rådet har gjort några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11</w:t>
      </w:r>
      <w:r w:rsidR="00C704F4" w:rsidRPr="00C704F4">
        <w:rPr>
          <w:rFonts w:eastAsia="Calibri"/>
          <w:noProof/>
          <w:szCs w:val="22"/>
          <w:lang w:eastAsia="en-US"/>
        </w:rPr>
        <w:br/>
      </w:r>
      <w:r w:rsidRPr="009237A2">
        <w:rPr>
          <w:rFonts w:eastAsia="Calibri"/>
          <w:bCs/>
          <w:noProof/>
          <w:szCs w:val="22"/>
          <w:lang w:eastAsia="en-US"/>
        </w:rPr>
        <w:t>Kommittéförfarande</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1.</w:t>
      </w:r>
      <w:r w:rsidRPr="00C704F4">
        <w:rPr>
          <w:rFonts w:eastAsia="Calibri"/>
          <w:noProof/>
          <w:szCs w:val="22"/>
          <w:lang w:eastAsia="en-US"/>
        </w:rPr>
        <w:tab/>
      </w:r>
      <w:r w:rsidR="009237A2" w:rsidRPr="009237A2">
        <w:rPr>
          <w:rFonts w:eastAsia="Calibri"/>
          <w:noProof/>
          <w:szCs w:val="22"/>
          <w:lang w:eastAsia="en-US"/>
        </w:rPr>
        <w:t>Kommissionen ska biträdas av kommittén för det europeiska statistiksystemet, som inrättats genom förordning (EG) nr 223/2009. Denna kommitté ska vara en kommitté i den mening som avses i förordning (EU) nr 182/2011.</w:t>
      </w:r>
    </w:p>
    <w:p w:rsidR="009237A2" w:rsidRPr="009237A2" w:rsidRDefault="00C704F4" w:rsidP="00C704F4">
      <w:pPr>
        <w:widowControl/>
        <w:spacing w:before="120" w:after="120" w:line="360" w:lineRule="auto"/>
        <w:ind w:left="851" w:hanging="851"/>
        <w:rPr>
          <w:rFonts w:eastAsia="Calibri"/>
          <w:noProof/>
          <w:szCs w:val="22"/>
          <w:lang w:eastAsia="en-US"/>
        </w:rPr>
      </w:pPr>
      <w:r w:rsidRPr="00C704F4">
        <w:rPr>
          <w:rFonts w:eastAsia="Calibri"/>
          <w:noProof/>
          <w:szCs w:val="22"/>
          <w:lang w:eastAsia="en-US"/>
        </w:rPr>
        <w:t>2.</w:t>
      </w:r>
      <w:r w:rsidRPr="00C704F4">
        <w:rPr>
          <w:rFonts w:eastAsia="Calibri"/>
          <w:noProof/>
          <w:szCs w:val="22"/>
          <w:lang w:eastAsia="en-US"/>
        </w:rPr>
        <w:tab/>
      </w:r>
      <w:r w:rsidR="009237A2" w:rsidRPr="009237A2">
        <w:rPr>
          <w:rFonts w:eastAsia="Calibri"/>
          <w:noProof/>
          <w:szCs w:val="22"/>
          <w:lang w:eastAsia="en-US"/>
        </w:rPr>
        <w:t>När det hänvisas till denna punkt ska artikel 5 i förordning (EU) nr 182/2011 tillämpas.</w:t>
      </w:r>
    </w:p>
    <w:p w:rsidR="009237A2" w:rsidRPr="009237A2" w:rsidRDefault="009237A2" w:rsidP="00C704F4">
      <w:pPr>
        <w:widowControl/>
        <w:spacing w:before="120" w:after="120" w:line="360" w:lineRule="auto"/>
        <w:jc w:val="center"/>
        <w:rPr>
          <w:rFonts w:eastAsia="Calibri"/>
          <w:bCs/>
          <w:noProof/>
          <w:szCs w:val="22"/>
        </w:rPr>
      </w:pPr>
      <w:r w:rsidRPr="009237A2">
        <w:rPr>
          <w:rFonts w:eastAsia="Calibri"/>
          <w:i/>
          <w:noProof/>
          <w:szCs w:val="22"/>
        </w:rPr>
        <w:br w:type="page"/>
      </w:r>
      <w:r w:rsidRPr="009237A2">
        <w:rPr>
          <w:rFonts w:eastAsia="Calibri"/>
          <w:noProof/>
          <w:szCs w:val="22"/>
        </w:rPr>
        <w:t>Artikel 12</w:t>
      </w:r>
      <w:r w:rsidR="00C704F4" w:rsidRPr="00C704F4">
        <w:rPr>
          <w:rFonts w:eastAsia="Calibri"/>
          <w:noProof/>
          <w:szCs w:val="22"/>
        </w:rPr>
        <w:br/>
      </w:r>
      <w:r w:rsidRPr="009237A2">
        <w:rPr>
          <w:rFonts w:eastAsia="Calibri"/>
          <w:bCs/>
          <w:noProof/>
          <w:szCs w:val="22"/>
        </w:rPr>
        <w:t>Upphörande</w:t>
      </w:r>
    </w:p>
    <w:p w:rsidR="009237A2" w:rsidRPr="009237A2" w:rsidRDefault="009237A2" w:rsidP="00C704F4">
      <w:pPr>
        <w:widowControl/>
        <w:spacing w:before="120" w:after="120" w:line="360" w:lineRule="auto"/>
        <w:rPr>
          <w:rFonts w:eastAsia="Calibri"/>
          <w:noProof/>
          <w:szCs w:val="22"/>
        </w:rPr>
      </w:pPr>
      <w:r w:rsidRPr="009237A2">
        <w:rPr>
          <w:rFonts w:eastAsia="Calibri"/>
          <w:noProof/>
          <w:szCs w:val="22"/>
        </w:rPr>
        <w:t>Förordning (EG) nr 1365/2006 ska härmed upphöra att gälla.</w:t>
      </w:r>
    </w:p>
    <w:p w:rsidR="009237A2" w:rsidRPr="009237A2" w:rsidRDefault="009237A2" w:rsidP="00C704F4">
      <w:pPr>
        <w:widowControl/>
        <w:spacing w:before="120" w:after="120" w:line="360" w:lineRule="auto"/>
        <w:rPr>
          <w:rFonts w:eastAsia="Calibri"/>
          <w:noProof/>
          <w:szCs w:val="22"/>
        </w:rPr>
      </w:pPr>
      <w:r w:rsidRPr="009237A2">
        <w:rPr>
          <w:rFonts w:eastAsia="Calibri"/>
          <w:noProof/>
          <w:szCs w:val="22"/>
        </w:rPr>
        <w:t>Hänvisningar till den upphävda förordningen ska anses som hänvisningar till den här förordningen och ska läsas i enlighet med jämförelsetabellen i bilaga VIII.</w:t>
      </w:r>
    </w:p>
    <w:p w:rsidR="009237A2" w:rsidRPr="009237A2" w:rsidRDefault="009237A2" w:rsidP="00C704F4">
      <w:pPr>
        <w:keepNext/>
        <w:widowControl/>
        <w:spacing w:before="120" w:after="120" w:line="360" w:lineRule="auto"/>
        <w:jc w:val="center"/>
        <w:rPr>
          <w:rFonts w:eastAsia="Calibri"/>
          <w:bCs/>
          <w:noProof/>
          <w:szCs w:val="22"/>
          <w:lang w:eastAsia="en-US"/>
        </w:rPr>
      </w:pPr>
      <w:r w:rsidRPr="009237A2">
        <w:rPr>
          <w:rFonts w:eastAsia="Calibri"/>
          <w:noProof/>
          <w:szCs w:val="22"/>
          <w:lang w:eastAsia="en-US"/>
        </w:rPr>
        <w:t>Artikel 13</w:t>
      </w:r>
      <w:r w:rsidR="00C704F4" w:rsidRPr="00C704F4">
        <w:rPr>
          <w:rFonts w:eastAsia="Calibri"/>
          <w:noProof/>
          <w:szCs w:val="22"/>
          <w:lang w:eastAsia="en-US"/>
        </w:rPr>
        <w:br/>
      </w:r>
      <w:r w:rsidRPr="009237A2">
        <w:rPr>
          <w:rFonts w:eastAsia="Calibri"/>
          <w:bCs/>
          <w:noProof/>
          <w:szCs w:val="22"/>
          <w:lang w:eastAsia="en-US"/>
        </w:rPr>
        <w:t>Ikraftträdande</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 xml:space="preserve">Denna förordning träder i kraft den tjugonde dagen efter det att den har offentliggjorts i </w:t>
      </w:r>
      <w:r w:rsidRPr="009237A2">
        <w:rPr>
          <w:rFonts w:eastAsia="Calibri"/>
          <w:i/>
          <w:iCs/>
          <w:noProof/>
          <w:szCs w:val="22"/>
          <w:lang w:eastAsia="en-US"/>
        </w:rPr>
        <w:t>Europeiska unionens officiella tidning</w:t>
      </w:r>
      <w:r w:rsidRPr="009237A2">
        <w:rPr>
          <w:rFonts w:eastAsia="Calibri"/>
          <w:noProof/>
          <w:szCs w:val="22"/>
          <w:lang w:eastAsia="en-US"/>
        </w:rPr>
        <w:t>.</w:t>
      </w:r>
    </w:p>
    <w:p w:rsidR="009237A2" w:rsidRPr="009237A2" w:rsidRDefault="009237A2" w:rsidP="00C704F4">
      <w:pPr>
        <w:widowControl/>
        <w:spacing w:before="120" w:after="120" w:line="360" w:lineRule="auto"/>
        <w:rPr>
          <w:rFonts w:eastAsia="Calibri"/>
          <w:noProof/>
          <w:szCs w:val="22"/>
          <w:lang w:eastAsia="en-US"/>
        </w:rPr>
      </w:pPr>
      <w:r w:rsidRPr="009237A2">
        <w:rPr>
          <w:rFonts w:eastAsia="Calibri"/>
          <w:noProof/>
          <w:szCs w:val="22"/>
          <w:lang w:eastAsia="en-US"/>
        </w:rPr>
        <w:t>Denna förordning är till alla delar bindande och direkt tillämplig i alla medlemsstater.</w:t>
      </w:r>
    </w:p>
    <w:p w:rsidR="009237A2" w:rsidRPr="009237A2" w:rsidRDefault="009237A2" w:rsidP="00C704F4">
      <w:pPr>
        <w:keepNext/>
        <w:widowControl/>
        <w:spacing w:before="120" w:after="120" w:line="360" w:lineRule="auto"/>
        <w:rPr>
          <w:rFonts w:eastAsia="Calibri"/>
          <w:noProof/>
          <w:szCs w:val="22"/>
          <w:lang w:eastAsia="en-US"/>
        </w:rPr>
      </w:pPr>
      <w:r w:rsidRPr="009237A2">
        <w:rPr>
          <w:rFonts w:eastAsia="Calibri"/>
          <w:szCs w:val="22"/>
          <w:lang w:eastAsia="en-US"/>
        </w:rPr>
        <w:t>Utfärdad i ...</w:t>
      </w:r>
    </w:p>
    <w:p w:rsidR="009237A2" w:rsidRPr="009237A2" w:rsidRDefault="009237A2" w:rsidP="00C704F4">
      <w:pPr>
        <w:keepNext/>
        <w:widowControl/>
        <w:tabs>
          <w:tab w:val="left" w:pos="4252"/>
        </w:tabs>
        <w:spacing w:before="720"/>
        <w:rPr>
          <w:rFonts w:eastAsia="Calibri"/>
          <w:i/>
          <w:noProof/>
          <w:szCs w:val="22"/>
          <w:lang w:eastAsia="en-US"/>
        </w:rPr>
      </w:pPr>
      <w:r w:rsidRPr="009237A2">
        <w:rPr>
          <w:rFonts w:eastAsia="Calibri"/>
          <w:i/>
          <w:noProof/>
          <w:szCs w:val="22"/>
          <w:lang w:eastAsia="en-US"/>
        </w:rPr>
        <w:t>På Europaparlamentets vägnar</w:t>
      </w:r>
      <w:r w:rsidRPr="009237A2">
        <w:rPr>
          <w:rFonts w:eastAsia="Calibri"/>
          <w:i/>
          <w:noProof/>
          <w:szCs w:val="22"/>
          <w:lang w:eastAsia="en-US"/>
        </w:rPr>
        <w:tab/>
        <w:t>På rådets vägnar</w:t>
      </w:r>
    </w:p>
    <w:p w:rsidR="009237A2" w:rsidRPr="009237A2" w:rsidRDefault="009237A2" w:rsidP="00C704F4">
      <w:pPr>
        <w:widowControl/>
        <w:tabs>
          <w:tab w:val="left" w:pos="4252"/>
        </w:tabs>
        <w:rPr>
          <w:rFonts w:eastAsia="Calibri"/>
          <w:i/>
          <w:noProof/>
          <w:szCs w:val="22"/>
          <w:lang w:eastAsia="en-US"/>
        </w:rPr>
      </w:pPr>
      <w:r w:rsidRPr="009237A2">
        <w:rPr>
          <w:rFonts w:eastAsia="Calibri"/>
          <w:i/>
          <w:noProof/>
          <w:szCs w:val="22"/>
          <w:lang w:eastAsia="en-US"/>
        </w:rPr>
        <w:t>Ordförande</w:t>
      </w:r>
      <w:r w:rsidRPr="009237A2">
        <w:rPr>
          <w:rFonts w:eastAsia="Calibri"/>
          <w:i/>
          <w:noProof/>
          <w:szCs w:val="22"/>
          <w:lang w:eastAsia="en-US"/>
        </w:rPr>
        <w:tab/>
        <w:t>Ordförande</w:t>
      </w:r>
    </w:p>
    <w:p w:rsidR="009237A2" w:rsidRPr="009237A2" w:rsidRDefault="009237A2" w:rsidP="009237A2">
      <w:pPr>
        <w:widowControl/>
        <w:spacing w:after="200" w:line="276" w:lineRule="auto"/>
        <w:rPr>
          <w:rFonts w:eastAsia="Calibri"/>
          <w:i/>
          <w:noProof/>
          <w:szCs w:val="22"/>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I</w:t>
      </w:r>
    </w:p>
    <w:tbl>
      <w:tblPr>
        <w:tblW w:w="0" w:type="auto"/>
        <w:tblLayout w:type="fixed"/>
        <w:tblLook w:val="0000" w:firstRow="0" w:lastRow="0" w:firstColumn="0" w:lastColumn="0" w:noHBand="0" w:noVBand="0"/>
      </w:tblPr>
      <w:tblGrid>
        <w:gridCol w:w="2322"/>
        <w:gridCol w:w="1392"/>
        <w:gridCol w:w="3993"/>
        <w:gridCol w:w="1579"/>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I1.</w:t>
            </w:r>
            <w:r w:rsidRPr="009237A2">
              <w:rPr>
                <w:rFonts w:eastAsia="Calibri"/>
                <w:noProof/>
                <w:szCs w:val="22"/>
                <w:lang w:eastAsia="en-US"/>
              </w:rPr>
              <w:tab/>
              <w:t>Transporter efter varuslag (årsdata)</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tvåställig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”I1”</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lastning</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C704F4">
              <w:rPr>
                <w:rFonts w:eastAsia="Calibri"/>
                <w:noProof/>
                <w:szCs w:val="22"/>
                <w:vertAlign w:val="superscript"/>
                <w:lang w:eastAsia="en-US"/>
              </w:rPr>
              <w:footnoteReference w:id="8"/>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lossning</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9237A2">
              <w:rPr>
                <w:rFonts w:eastAsia="Calibri"/>
                <w:noProof/>
                <w:szCs w:val="22"/>
                <w:vertAlign w:val="superscript"/>
                <w:lang w:eastAsia="en-US"/>
              </w:rPr>
              <w:t>13</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Varuslag</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tvåsiffrig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NST</w:t>
            </w:r>
            <w:r w:rsidR="00833422">
              <w:rPr>
                <w:rFonts w:eastAsia="Calibri"/>
                <w:noProof/>
                <w:szCs w:val="22"/>
                <w:lang w:eastAsia="en-US"/>
              </w:rPr>
              <w:t xml:space="preserve"> </w:t>
            </w:r>
            <w:r w:rsidRPr="009237A2">
              <w:rPr>
                <w:rFonts w:eastAsia="Calibri"/>
                <w:noProof/>
                <w:szCs w:val="22"/>
                <w:lang w:eastAsia="en-US"/>
              </w:rPr>
              <w:t xml:space="preserve">2007 </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Förpackning</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gods i containrar</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gods som ej är i containrar samt tomma containrar</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c>
          <w:tcPr>
            <w:tcW w:w="139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9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bl>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II</w:t>
      </w:r>
    </w:p>
    <w:tbl>
      <w:tblPr>
        <w:tblW w:w="0" w:type="auto"/>
        <w:tblLayout w:type="fixed"/>
        <w:tblLook w:val="0000" w:firstRow="0" w:lastRow="0" w:firstColumn="0" w:lastColumn="0" w:noHBand="0" w:noVBand="0"/>
      </w:tblPr>
      <w:tblGrid>
        <w:gridCol w:w="2136"/>
        <w:gridCol w:w="1393"/>
        <w:gridCol w:w="4178"/>
        <w:gridCol w:w="1579"/>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II1.</w:t>
            </w:r>
            <w:r w:rsidRPr="009237A2">
              <w:rPr>
                <w:rFonts w:eastAsia="Calibri"/>
                <w:noProof/>
                <w:szCs w:val="22"/>
                <w:lang w:eastAsia="en-US"/>
              </w:rPr>
              <w:tab/>
              <w:t>Transport fördelat på fartygets nationalitet och typ (årsdata)</w:t>
            </w: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treställig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”II1”</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lastning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C704F4">
              <w:rPr>
                <w:rFonts w:eastAsia="Calibri"/>
                <w:noProof/>
                <w:szCs w:val="22"/>
                <w:vertAlign w:val="superscript"/>
                <w:lang w:eastAsia="en-US"/>
              </w:rPr>
              <w:footnoteReference w:id="9"/>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lossning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9237A2">
              <w:rPr>
                <w:rFonts w:eastAsia="Calibri"/>
                <w:noProof/>
                <w:szCs w:val="22"/>
                <w:vertAlign w:val="superscript"/>
                <w:lang w:eastAsia="en-US"/>
              </w:rPr>
              <w:t>15</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bl>
    <w:p w:rsidR="00C704F4" w:rsidRDefault="00C704F4">
      <w:r>
        <w:br w:type="page"/>
      </w:r>
    </w:p>
    <w:tbl>
      <w:tblPr>
        <w:tblW w:w="0" w:type="auto"/>
        <w:tblLayout w:type="fixed"/>
        <w:tblLook w:val="0000" w:firstRow="0" w:lastRow="0" w:firstColumn="0" w:lastColumn="0" w:noHBand="0" w:noVBand="0"/>
      </w:tblPr>
      <w:tblGrid>
        <w:gridCol w:w="2136"/>
        <w:gridCol w:w="1393"/>
        <w:gridCol w:w="4178"/>
        <w:gridCol w:w="1579"/>
      </w:tblGrid>
      <w:tr w:rsidR="00C704F4"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Tabell II1.</w:t>
            </w:r>
            <w:r w:rsidRPr="009237A2">
              <w:rPr>
                <w:rFonts w:eastAsia="Calibri"/>
                <w:noProof/>
                <w:szCs w:val="22"/>
                <w:lang w:eastAsia="en-US"/>
              </w:rPr>
              <w:tab/>
              <w:t>Transport fördelat på fartygets nationalitet och typ (årsdata)</w:t>
            </w:r>
          </w:p>
        </w:tc>
      </w:tr>
      <w:tr w:rsidR="00C704F4" w:rsidRPr="009237A2" w:rsidTr="00C704F4">
        <w:tc>
          <w:tcPr>
            <w:tcW w:w="2136"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Kod</w:t>
            </w:r>
          </w:p>
        </w:tc>
        <w:tc>
          <w:tcPr>
            <w:tcW w:w="4178"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579"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Fartygstyp</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pråm med egen framdrivning</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pråm utan egen framdrivning</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tankpråm med egen framdrivning</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w:t>
            </w:r>
            <w:r w:rsidRPr="009237A2">
              <w:rPr>
                <w:rFonts w:eastAsia="Calibri"/>
                <w:noProof/>
                <w:szCs w:val="22"/>
                <w:lang w:eastAsia="en-US"/>
              </w:rPr>
              <w:tab/>
              <w:t>=</w:t>
            </w:r>
            <w:r w:rsidRPr="009237A2">
              <w:rPr>
                <w:rFonts w:eastAsia="Calibri"/>
                <w:noProof/>
                <w:szCs w:val="22"/>
                <w:lang w:eastAsia="en-US"/>
              </w:rPr>
              <w:tab/>
              <w:t>tankpråm utan egen framdrivning</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5</w:t>
            </w:r>
            <w:r w:rsidRPr="009237A2">
              <w:rPr>
                <w:rFonts w:eastAsia="Calibri"/>
                <w:noProof/>
                <w:szCs w:val="22"/>
                <w:lang w:eastAsia="en-US"/>
              </w:rPr>
              <w:tab/>
              <w:t>=</w:t>
            </w:r>
            <w:r w:rsidRPr="009237A2">
              <w:rPr>
                <w:rFonts w:eastAsia="Calibri"/>
                <w:noProof/>
                <w:szCs w:val="22"/>
                <w:lang w:eastAsia="en-US"/>
              </w:rPr>
              <w:tab/>
              <w:t>annat lastfartyg</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6</w:t>
            </w:r>
            <w:r w:rsidRPr="009237A2">
              <w:rPr>
                <w:rFonts w:eastAsia="Calibri"/>
                <w:noProof/>
                <w:szCs w:val="22"/>
                <w:lang w:eastAsia="en-US"/>
              </w:rPr>
              <w:tab/>
              <w:t>=</w:t>
            </w:r>
            <w:r w:rsidRPr="009237A2">
              <w:rPr>
                <w:rFonts w:eastAsia="Calibri"/>
                <w:noProof/>
                <w:szCs w:val="22"/>
                <w:lang w:eastAsia="en-US"/>
              </w:rPr>
              <w:tab/>
              <w:t>sjögående fartyg</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Fartygets nationalitet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r w:rsidRPr="00C704F4">
              <w:rPr>
                <w:rFonts w:eastAsia="Calibri"/>
                <w:noProof/>
                <w:szCs w:val="22"/>
                <w:vertAlign w:val="superscript"/>
                <w:lang w:eastAsia="en-US"/>
              </w:rPr>
              <w:footnoteReference w:id="10"/>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1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41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bl>
    <w:p w:rsidR="009237A2" w:rsidRPr="009237A2" w:rsidRDefault="009237A2" w:rsidP="009237A2">
      <w:pPr>
        <w:widowControl/>
        <w:spacing w:before="120" w:after="120"/>
        <w:jc w:val="both"/>
        <w:rPr>
          <w:rFonts w:eastAsia="Calibri"/>
          <w:noProof/>
          <w:szCs w:val="22"/>
          <w:lang w:eastAsia="en-US"/>
        </w:rPr>
      </w:pPr>
    </w:p>
    <w:tbl>
      <w:tblPr>
        <w:tblW w:w="0" w:type="auto"/>
        <w:tblLayout w:type="fixed"/>
        <w:tblLook w:val="0000" w:firstRow="0" w:lastRow="0" w:firstColumn="0" w:lastColumn="0" w:noHBand="0" w:noVBand="0"/>
      </w:tblPr>
      <w:tblGrid>
        <w:gridCol w:w="2600"/>
        <w:gridCol w:w="1393"/>
        <w:gridCol w:w="3343"/>
        <w:gridCol w:w="1950"/>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II2.</w:t>
            </w:r>
            <w:r w:rsidRPr="009237A2">
              <w:rPr>
                <w:rFonts w:eastAsia="Calibri"/>
                <w:noProof/>
                <w:szCs w:val="22"/>
                <w:lang w:eastAsia="en-US"/>
              </w:rPr>
              <w:tab/>
              <w:t>Fartygstrafik (årsdata)</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treställig</w:t>
            </w: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”II2”</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C704F4"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Tabell II2.</w:t>
            </w:r>
            <w:r w:rsidRPr="009237A2">
              <w:rPr>
                <w:rFonts w:eastAsia="Calibri"/>
                <w:noProof/>
                <w:szCs w:val="22"/>
                <w:lang w:eastAsia="en-US"/>
              </w:rPr>
              <w:tab/>
              <w:t>Fartygstrafik (årsdata)</w:t>
            </w:r>
          </w:p>
        </w:tc>
      </w:tr>
      <w:tr w:rsidR="00C704F4" w:rsidRPr="009237A2" w:rsidTr="00C704F4">
        <w:tc>
          <w:tcPr>
            <w:tcW w:w="2600"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343"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950" w:type="dxa"/>
            <w:tcBorders>
              <w:top w:val="single" w:sz="2" w:space="0" w:color="auto"/>
              <w:left w:val="single" w:sz="2" w:space="0" w:color="auto"/>
              <w:bottom w:val="single" w:sz="2" w:space="0" w:color="auto"/>
              <w:right w:val="single" w:sz="2" w:space="0" w:color="auto"/>
            </w:tcBorders>
          </w:tcPr>
          <w:p w:rsidR="00C704F4" w:rsidRPr="009237A2" w:rsidRDefault="00C704F4" w:rsidP="00C704F4">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Antal förflyttningar – lastade fartyg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fartygsrörelser</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Antal förflyttningar – tomma fartyg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fartygsrörelser</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Fartygskilometer (lastade fartyg)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fartygskilometer</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Fartygskilometer (tomma fartyg)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34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fartygskilometer</w:t>
            </w:r>
          </w:p>
        </w:tc>
      </w:tr>
    </w:tbl>
    <w:p w:rsidR="009237A2" w:rsidRPr="009237A2" w:rsidRDefault="009237A2" w:rsidP="009237A2">
      <w:pPr>
        <w:widowControl/>
        <w:spacing w:before="120" w:after="120"/>
        <w:ind w:left="850" w:hanging="850"/>
        <w:jc w:val="both"/>
        <w:rPr>
          <w:rFonts w:eastAsia="Calibri"/>
          <w:noProof/>
          <w:szCs w:val="22"/>
          <w:lang w:eastAsia="en-US"/>
        </w:rPr>
      </w:pPr>
      <w:r w:rsidRPr="009237A2">
        <w:rPr>
          <w:rFonts w:eastAsia="Calibri"/>
          <w:i/>
          <w:iCs/>
          <w:noProof/>
          <w:szCs w:val="22"/>
          <w:lang w:eastAsia="en-US"/>
        </w:rPr>
        <w:t>Anm.:</w:t>
      </w:r>
      <w:r w:rsidRPr="009237A2">
        <w:rPr>
          <w:rFonts w:eastAsia="Calibri"/>
          <w:noProof/>
          <w:szCs w:val="22"/>
          <w:lang w:eastAsia="en-US"/>
        </w:rPr>
        <w:tab/>
        <w:t>Tabell II2 är inte obligatorisk.</w:t>
      </w:r>
    </w:p>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III</w:t>
      </w:r>
    </w:p>
    <w:tbl>
      <w:tblPr>
        <w:tblW w:w="0" w:type="auto"/>
        <w:tblLayout w:type="fixed"/>
        <w:tblLook w:val="0000" w:firstRow="0" w:lastRow="0" w:firstColumn="0" w:lastColumn="0" w:noHBand="0" w:noVBand="0"/>
      </w:tblPr>
      <w:tblGrid>
        <w:gridCol w:w="2229"/>
        <w:gridCol w:w="1393"/>
        <w:gridCol w:w="3807"/>
        <w:gridCol w:w="1857"/>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val="da-DK" w:eastAsia="en-US"/>
              </w:rPr>
            </w:pPr>
            <w:r w:rsidRPr="009237A2">
              <w:rPr>
                <w:rFonts w:eastAsia="Calibri"/>
                <w:noProof/>
                <w:szCs w:val="22"/>
                <w:lang w:val="da-DK" w:eastAsia="en-US"/>
              </w:rPr>
              <w:t>Tabell III1.</w:t>
            </w:r>
            <w:r w:rsidRPr="009237A2">
              <w:rPr>
                <w:rFonts w:eastAsia="Calibri"/>
                <w:noProof/>
                <w:szCs w:val="22"/>
                <w:lang w:val="da-DK" w:eastAsia="en-US"/>
              </w:rPr>
              <w:tab/>
              <w:t>Containertransporter efter varuslag (årsdata)</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w:t>
            </w:r>
            <w:r w:rsidRPr="009237A2">
              <w:rPr>
                <w:rFonts w:eastAsia="Calibri"/>
                <w:noProof/>
                <w:szCs w:val="22"/>
                <w:lang w:val="da-DK" w:eastAsia="en-US"/>
              </w:rPr>
              <w:t>III1</w:t>
            </w:r>
            <w:r w:rsidRPr="009237A2">
              <w:rPr>
                <w:rFonts w:eastAsia="Calibri"/>
                <w:noProof/>
                <w:szCs w:val="22"/>
                <w:lang w:eastAsia="en-US"/>
              </w:rPr>
              <w:t>”</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lastning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C704F4">
              <w:rPr>
                <w:rFonts w:eastAsia="Calibri"/>
                <w:noProof/>
                <w:szCs w:val="22"/>
                <w:vertAlign w:val="superscript"/>
                <w:lang w:eastAsia="en-US"/>
              </w:rPr>
              <w:footnoteReference w:id="11"/>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Land/region för lossning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fyrställig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NUTS2</w:t>
            </w:r>
            <w:r w:rsidRPr="009237A2">
              <w:rPr>
                <w:rFonts w:eastAsia="Calibri"/>
                <w:noProof/>
                <w:szCs w:val="22"/>
                <w:vertAlign w:val="superscript"/>
                <w:lang w:eastAsia="en-US"/>
              </w:rPr>
              <w:t>18</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Containerstorlek</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fraktenheter på 20’</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fraktenheter på 40’</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fraktenheter på &gt; 20’ och &lt; 40’</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w:t>
            </w:r>
            <w:r w:rsidRPr="009237A2">
              <w:rPr>
                <w:rFonts w:eastAsia="Calibri"/>
                <w:noProof/>
                <w:szCs w:val="22"/>
                <w:lang w:eastAsia="en-US"/>
              </w:rPr>
              <w:tab/>
              <w:t>=</w:t>
            </w:r>
            <w:r w:rsidRPr="009237A2">
              <w:rPr>
                <w:rFonts w:eastAsia="Calibri"/>
                <w:noProof/>
                <w:szCs w:val="22"/>
                <w:lang w:eastAsia="en-US"/>
              </w:rPr>
              <w:tab/>
              <w:t>fraktenheter på &gt; 40’</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bl>
    <w:p w:rsidR="00833422" w:rsidRDefault="00C704F4">
      <w:r>
        <w:br w:type="page"/>
      </w:r>
    </w:p>
    <w:tbl>
      <w:tblPr>
        <w:tblW w:w="0" w:type="auto"/>
        <w:tblLayout w:type="fixed"/>
        <w:tblLook w:val="0000" w:firstRow="0" w:lastRow="0" w:firstColumn="0" w:lastColumn="0" w:noHBand="0" w:noVBand="0"/>
      </w:tblPr>
      <w:tblGrid>
        <w:gridCol w:w="2229"/>
        <w:gridCol w:w="1393"/>
        <w:gridCol w:w="3807"/>
        <w:gridCol w:w="1857"/>
      </w:tblGrid>
      <w:tr w:rsidR="00833422" w:rsidRPr="009237A2" w:rsidTr="00F21287">
        <w:tc>
          <w:tcPr>
            <w:tcW w:w="9286" w:type="dxa"/>
            <w:gridSpan w:val="4"/>
            <w:tcBorders>
              <w:top w:val="single" w:sz="2" w:space="0" w:color="auto"/>
              <w:left w:val="single" w:sz="2" w:space="0" w:color="auto"/>
              <w:bottom w:val="single" w:sz="2" w:space="0" w:color="auto"/>
              <w:right w:val="single" w:sz="2" w:space="0" w:color="auto"/>
            </w:tcBorders>
          </w:tcPr>
          <w:p w:rsidR="00833422" w:rsidRPr="009237A2" w:rsidRDefault="00833422" w:rsidP="00F21287">
            <w:pPr>
              <w:widowControl/>
              <w:spacing w:before="120" w:after="120"/>
              <w:jc w:val="center"/>
              <w:rPr>
                <w:rFonts w:eastAsia="Calibri"/>
                <w:noProof/>
                <w:szCs w:val="22"/>
                <w:lang w:val="da-DK" w:eastAsia="en-US"/>
              </w:rPr>
            </w:pPr>
            <w:r w:rsidRPr="009237A2">
              <w:rPr>
                <w:rFonts w:eastAsia="Calibri"/>
                <w:noProof/>
                <w:szCs w:val="22"/>
                <w:lang w:val="da-DK" w:eastAsia="en-US"/>
              </w:rPr>
              <w:t>Tabell III1.</w:t>
            </w:r>
            <w:r w:rsidRPr="009237A2">
              <w:rPr>
                <w:rFonts w:eastAsia="Calibri"/>
                <w:noProof/>
                <w:szCs w:val="22"/>
                <w:lang w:val="da-DK" w:eastAsia="en-US"/>
              </w:rPr>
              <w:tab/>
              <w:t>Containertransporter efter varuslag (årsdata)</w:t>
            </w:r>
          </w:p>
        </w:tc>
      </w:tr>
      <w:tr w:rsidR="00833422" w:rsidRPr="009237A2" w:rsidTr="00F21287">
        <w:tc>
          <w:tcPr>
            <w:tcW w:w="2229" w:type="dxa"/>
            <w:tcBorders>
              <w:top w:val="single" w:sz="2" w:space="0" w:color="auto"/>
              <w:left w:val="single" w:sz="2" w:space="0" w:color="auto"/>
              <w:bottom w:val="single" w:sz="2" w:space="0" w:color="auto"/>
              <w:right w:val="single" w:sz="2" w:space="0" w:color="auto"/>
            </w:tcBorders>
          </w:tcPr>
          <w:p w:rsidR="00833422" w:rsidRPr="009237A2" w:rsidRDefault="00833422" w:rsidP="00F21287">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393" w:type="dxa"/>
            <w:tcBorders>
              <w:top w:val="single" w:sz="2" w:space="0" w:color="auto"/>
              <w:left w:val="single" w:sz="2" w:space="0" w:color="auto"/>
              <w:bottom w:val="single" w:sz="2" w:space="0" w:color="auto"/>
              <w:right w:val="single" w:sz="2" w:space="0" w:color="auto"/>
            </w:tcBorders>
          </w:tcPr>
          <w:p w:rsidR="00833422" w:rsidRPr="009237A2" w:rsidRDefault="00833422" w:rsidP="00F21287">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807" w:type="dxa"/>
            <w:tcBorders>
              <w:top w:val="single" w:sz="2" w:space="0" w:color="auto"/>
              <w:left w:val="single" w:sz="2" w:space="0" w:color="auto"/>
              <w:bottom w:val="single" w:sz="2" w:space="0" w:color="auto"/>
              <w:right w:val="single" w:sz="2" w:space="0" w:color="auto"/>
            </w:tcBorders>
          </w:tcPr>
          <w:p w:rsidR="00833422" w:rsidRPr="009237A2" w:rsidRDefault="00833422" w:rsidP="00F21287">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857" w:type="dxa"/>
            <w:tcBorders>
              <w:top w:val="single" w:sz="2" w:space="0" w:color="auto"/>
              <w:left w:val="single" w:sz="2" w:space="0" w:color="auto"/>
              <w:bottom w:val="single" w:sz="2" w:space="0" w:color="auto"/>
              <w:right w:val="single" w:sz="2" w:space="0" w:color="auto"/>
            </w:tcBorders>
          </w:tcPr>
          <w:p w:rsidR="00833422" w:rsidRPr="009237A2" w:rsidRDefault="00833422" w:rsidP="00F21287">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Lastning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lastade containrar</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tomma containrar</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Varuslag</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tvåsiffrig</w:t>
            </w: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NST</w:t>
            </w:r>
            <w:r w:rsidR="00833422">
              <w:rPr>
                <w:rFonts w:eastAsia="Calibri"/>
                <w:noProof/>
                <w:szCs w:val="22"/>
                <w:lang w:eastAsia="en-US"/>
              </w:rPr>
              <w:t xml:space="preserve"> </w:t>
            </w:r>
            <w:r w:rsidRPr="009237A2">
              <w:rPr>
                <w:rFonts w:eastAsia="Calibri"/>
                <w:noProof/>
                <w:szCs w:val="22"/>
                <w:lang w:eastAsia="en-US"/>
              </w:rPr>
              <w:t xml:space="preserve">2007 </w:t>
            </w: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br w:type="page"/>
              <w:t>Tonkilometer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TEU-kilometer</w:t>
            </w:r>
          </w:p>
        </w:tc>
        <w:tc>
          <w:tcPr>
            <w:tcW w:w="1393"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80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857"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TEU-kilometer</w:t>
            </w:r>
          </w:p>
        </w:tc>
      </w:tr>
    </w:tbl>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IV</w:t>
      </w:r>
    </w:p>
    <w:tbl>
      <w:tblPr>
        <w:tblW w:w="0" w:type="auto"/>
        <w:tblLayout w:type="fixed"/>
        <w:tblLook w:val="0000" w:firstRow="0" w:lastRow="0" w:firstColumn="0" w:lastColumn="0" w:noHBand="0" w:noVBand="0"/>
      </w:tblPr>
      <w:tblGrid>
        <w:gridCol w:w="2322"/>
        <w:gridCol w:w="1578"/>
        <w:gridCol w:w="3622"/>
        <w:gridCol w:w="1764"/>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IV1.</w:t>
            </w:r>
            <w:r w:rsidRPr="009237A2">
              <w:rPr>
                <w:rFonts w:eastAsia="Calibri"/>
                <w:noProof/>
                <w:szCs w:val="22"/>
                <w:lang w:eastAsia="en-US"/>
              </w:rPr>
              <w:tab/>
              <w:t>Transporter fördelat på fartygens nationalitet (kvartalsvisa uppgifter)</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treställig</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”IV1”</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Kvartal</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tvåsiffrig</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41</w:t>
            </w:r>
            <w:r w:rsidRPr="009237A2">
              <w:rPr>
                <w:rFonts w:eastAsia="Calibri"/>
                <w:noProof/>
                <w:szCs w:val="22"/>
                <w:lang w:eastAsia="en-US"/>
              </w:rPr>
              <w:tab/>
              <w:t>=</w:t>
            </w:r>
            <w:r w:rsidRPr="009237A2">
              <w:rPr>
                <w:rFonts w:eastAsia="Calibri"/>
                <w:noProof/>
                <w:szCs w:val="22"/>
                <w:lang w:eastAsia="en-US"/>
              </w:rPr>
              <w:tab/>
              <w:t>kvartal 1</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42</w:t>
            </w:r>
            <w:r w:rsidRPr="009237A2">
              <w:rPr>
                <w:rFonts w:eastAsia="Calibri"/>
                <w:noProof/>
                <w:szCs w:val="22"/>
                <w:lang w:eastAsia="en-US"/>
              </w:rPr>
              <w:tab/>
              <w:t>=</w:t>
            </w:r>
            <w:r w:rsidRPr="009237A2">
              <w:rPr>
                <w:rFonts w:eastAsia="Calibri"/>
                <w:noProof/>
                <w:szCs w:val="22"/>
                <w:lang w:eastAsia="en-US"/>
              </w:rPr>
              <w:tab/>
              <w:t>kvartal 2</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43</w:t>
            </w:r>
            <w:r w:rsidRPr="009237A2">
              <w:rPr>
                <w:rFonts w:eastAsia="Calibri"/>
                <w:noProof/>
                <w:szCs w:val="22"/>
                <w:lang w:eastAsia="en-US"/>
              </w:rPr>
              <w:tab/>
              <w:t>=</w:t>
            </w:r>
            <w:r w:rsidRPr="009237A2">
              <w:rPr>
                <w:rFonts w:eastAsia="Calibri"/>
                <w:noProof/>
                <w:szCs w:val="22"/>
                <w:lang w:eastAsia="en-US"/>
              </w:rPr>
              <w:tab/>
              <w:t>kvartal 3</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44</w:t>
            </w:r>
            <w:r w:rsidRPr="009237A2">
              <w:rPr>
                <w:rFonts w:eastAsia="Calibri"/>
                <w:noProof/>
                <w:szCs w:val="22"/>
                <w:lang w:eastAsia="en-US"/>
              </w:rPr>
              <w:tab/>
              <w:t>=</w:t>
            </w:r>
            <w:r w:rsidRPr="009237A2">
              <w:rPr>
                <w:rFonts w:eastAsia="Calibri"/>
                <w:noProof/>
                <w:szCs w:val="22"/>
                <w:lang w:eastAsia="en-US"/>
              </w:rPr>
              <w:tab/>
              <w:t>kvartal 4</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Fartygets nationalitet</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r w:rsidRPr="00C704F4">
              <w:rPr>
                <w:rFonts w:eastAsia="Calibri"/>
                <w:noProof/>
                <w:szCs w:val="22"/>
                <w:vertAlign w:val="superscript"/>
                <w:lang w:eastAsia="en-US"/>
              </w:rPr>
              <w:footnoteReference w:id="12"/>
            </w: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3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c>
          <w:tcPr>
            <w:tcW w:w="1578"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622"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764"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bl>
    <w:p w:rsidR="009237A2" w:rsidRPr="009237A2" w:rsidRDefault="009237A2" w:rsidP="009237A2">
      <w:pPr>
        <w:widowControl/>
        <w:spacing w:before="120" w:after="120"/>
        <w:jc w:val="both"/>
        <w:rPr>
          <w:rFonts w:eastAsia="Calibri"/>
          <w:noProof/>
          <w:szCs w:val="22"/>
          <w:lang w:eastAsia="en-US"/>
        </w:rPr>
      </w:pPr>
    </w:p>
    <w:p w:rsidR="009237A2" w:rsidRPr="009237A2" w:rsidRDefault="009237A2" w:rsidP="009237A2">
      <w:pPr>
        <w:widowControl/>
        <w:spacing w:before="120" w:after="120"/>
        <w:jc w:val="both"/>
        <w:rPr>
          <w:rFonts w:eastAsia="Calibri"/>
          <w:noProof/>
          <w:szCs w:val="22"/>
          <w:lang w:eastAsia="en-US"/>
        </w:rPr>
      </w:pPr>
      <w:r w:rsidRPr="009237A2">
        <w:rPr>
          <w:rFonts w:eastAsia="Calibri"/>
          <w:noProof/>
          <w:szCs w:val="22"/>
          <w:lang w:eastAsia="en-US"/>
        </w:rPr>
        <w:br w:type="page"/>
      </w:r>
    </w:p>
    <w:tbl>
      <w:tblPr>
        <w:tblW w:w="0" w:type="auto"/>
        <w:tblLayout w:type="fixed"/>
        <w:tblLook w:val="0000" w:firstRow="0" w:lastRow="0" w:firstColumn="0" w:lastColumn="0" w:noHBand="0" w:noVBand="0"/>
      </w:tblPr>
      <w:tblGrid>
        <w:gridCol w:w="2229"/>
        <w:gridCol w:w="1671"/>
        <w:gridCol w:w="3436"/>
        <w:gridCol w:w="1950"/>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IV2.</w:t>
            </w:r>
            <w:r w:rsidRPr="009237A2">
              <w:rPr>
                <w:rFonts w:eastAsia="Calibri"/>
                <w:noProof/>
                <w:szCs w:val="22"/>
                <w:lang w:eastAsia="en-US"/>
              </w:rPr>
              <w:tab/>
              <w:t>Containertransporter fördelat på fartygens nationalitet (kvartalsvisa uppgifter)</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treställig</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”IV2”</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Kvartal</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tvåsiffrig</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41</w:t>
            </w:r>
            <w:r w:rsidRPr="009237A2">
              <w:rPr>
                <w:rFonts w:eastAsia="Calibri"/>
                <w:noProof/>
                <w:szCs w:val="22"/>
                <w:lang w:eastAsia="en-US"/>
              </w:rPr>
              <w:tab/>
              <w:t>=</w:t>
            </w:r>
            <w:r w:rsidRPr="009237A2">
              <w:rPr>
                <w:rFonts w:eastAsia="Calibri"/>
                <w:noProof/>
                <w:szCs w:val="22"/>
                <w:lang w:eastAsia="en-US"/>
              </w:rPr>
              <w:tab/>
              <w:t>kvartal 1</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42</w:t>
            </w:r>
            <w:r w:rsidRPr="009237A2">
              <w:rPr>
                <w:rFonts w:eastAsia="Calibri"/>
                <w:noProof/>
                <w:szCs w:val="22"/>
                <w:lang w:eastAsia="en-US"/>
              </w:rPr>
              <w:tab/>
              <w:t>=</w:t>
            </w:r>
            <w:r w:rsidRPr="009237A2">
              <w:rPr>
                <w:rFonts w:eastAsia="Calibri"/>
                <w:noProof/>
                <w:szCs w:val="22"/>
                <w:lang w:eastAsia="en-US"/>
              </w:rPr>
              <w:tab/>
              <w:t>kvartal 2</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43</w:t>
            </w:r>
            <w:r w:rsidRPr="009237A2">
              <w:rPr>
                <w:rFonts w:eastAsia="Calibri"/>
                <w:noProof/>
                <w:szCs w:val="22"/>
                <w:lang w:eastAsia="en-US"/>
              </w:rPr>
              <w:tab/>
              <w:t>=</w:t>
            </w:r>
            <w:r w:rsidRPr="009237A2">
              <w:rPr>
                <w:rFonts w:eastAsia="Calibri"/>
                <w:noProof/>
                <w:szCs w:val="22"/>
                <w:lang w:eastAsia="en-US"/>
              </w:rPr>
              <w:tab/>
              <w:t>kvartal 3</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44</w:t>
            </w:r>
            <w:r w:rsidRPr="009237A2">
              <w:rPr>
                <w:rFonts w:eastAsia="Calibri"/>
                <w:noProof/>
                <w:szCs w:val="22"/>
                <w:lang w:eastAsia="en-US"/>
              </w:rPr>
              <w:tab/>
              <w:t>=</w:t>
            </w:r>
            <w:r w:rsidRPr="009237A2">
              <w:rPr>
                <w:rFonts w:eastAsia="Calibri"/>
                <w:noProof/>
                <w:szCs w:val="22"/>
                <w:lang w:eastAsia="en-US"/>
              </w:rPr>
              <w:tab/>
              <w:t>kvartal 4</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Fartygets nationalitet</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r w:rsidRPr="00C704F4">
              <w:rPr>
                <w:rFonts w:eastAsia="Calibri"/>
                <w:noProof/>
                <w:szCs w:val="22"/>
                <w:vertAlign w:val="superscript"/>
                <w:lang w:eastAsia="en-US"/>
              </w:rPr>
              <w:footnoteReference w:id="13"/>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Lastning</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lastade containrar</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tomma containrar</w:t>
            </w: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w:t>
            </w:r>
          </w:p>
        </w:tc>
      </w:tr>
      <w:tr w:rsidR="009237A2" w:rsidRPr="009237A2" w:rsidTr="00C704F4">
        <w:tc>
          <w:tcPr>
            <w:tcW w:w="222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TEU-kilometer</w:t>
            </w:r>
          </w:p>
        </w:tc>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43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95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TEU-kilometer</w:t>
            </w:r>
          </w:p>
        </w:tc>
      </w:tr>
    </w:tbl>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V</w:t>
      </w:r>
    </w:p>
    <w:tbl>
      <w:tblPr>
        <w:tblW w:w="0" w:type="auto"/>
        <w:tblLayout w:type="fixed"/>
        <w:tblLook w:val="0000" w:firstRow="0" w:lastRow="0" w:firstColumn="0" w:lastColumn="0" w:noHBand="0" w:noVBand="0"/>
      </w:tblPr>
      <w:tblGrid>
        <w:gridCol w:w="2600"/>
        <w:gridCol w:w="1486"/>
        <w:gridCol w:w="3621"/>
        <w:gridCol w:w="1579"/>
      </w:tblGrid>
      <w:tr w:rsidR="009237A2" w:rsidRPr="009237A2" w:rsidTr="00C704F4">
        <w:tc>
          <w:tcPr>
            <w:tcW w:w="9286" w:type="dxa"/>
            <w:gridSpan w:val="4"/>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Tabell V1.</w:t>
            </w:r>
            <w:r w:rsidRPr="009237A2">
              <w:rPr>
                <w:rFonts w:eastAsia="Calibri"/>
                <w:noProof/>
                <w:szCs w:val="22"/>
                <w:lang w:eastAsia="en-US"/>
              </w:rPr>
              <w:tab/>
              <w:t>Godstransport (årsdata)</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Element</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Kod</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Nomenklatur</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Enhet</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Tabell</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tvåställig</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”V1”</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Uppgiftslämnande land</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 bokstäver</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NUTS0 (landsbeteckning)</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År</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fyrsiffrig</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”åååå”</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Typ av transport</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ensiffrig</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1</w:t>
            </w:r>
            <w:r w:rsidRPr="009237A2">
              <w:rPr>
                <w:rFonts w:eastAsia="Calibri"/>
                <w:noProof/>
                <w:szCs w:val="22"/>
                <w:lang w:eastAsia="en-US"/>
              </w:rPr>
              <w:tab/>
              <w:t>=</w:t>
            </w:r>
            <w:r w:rsidRPr="009237A2">
              <w:rPr>
                <w:rFonts w:eastAsia="Calibri"/>
                <w:noProof/>
                <w:szCs w:val="22"/>
                <w:lang w:eastAsia="en-US"/>
              </w:rPr>
              <w:tab/>
              <w:t>nationell</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2</w:t>
            </w:r>
            <w:r w:rsidRPr="009237A2">
              <w:rPr>
                <w:rFonts w:eastAsia="Calibri"/>
                <w:noProof/>
                <w:szCs w:val="22"/>
                <w:lang w:eastAsia="en-US"/>
              </w:rPr>
              <w:tab/>
              <w:t>=</w:t>
            </w:r>
            <w:r w:rsidRPr="009237A2">
              <w:rPr>
                <w:rFonts w:eastAsia="Calibri"/>
                <w:noProof/>
                <w:szCs w:val="22"/>
                <w:lang w:eastAsia="en-US"/>
              </w:rPr>
              <w:tab/>
              <w:t>internationell (ej transit)</w:t>
            </w:r>
          </w:p>
          <w:p w:rsidR="009237A2" w:rsidRPr="009237A2" w:rsidRDefault="009237A2" w:rsidP="009237A2">
            <w:pPr>
              <w:widowControl/>
              <w:tabs>
                <w:tab w:val="left" w:pos="343"/>
              </w:tabs>
              <w:spacing w:before="120" w:after="120"/>
              <w:ind w:left="850" w:hanging="850"/>
              <w:jc w:val="both"/>
              <w:rPr>
                <w:rFonts w:eastAsia="Calibri"/>
                <w:noProof/>
                <w:szCs w:val="22"/>
                <w:lang w:eastAsia="en-US"/>
              </w:rPr>
            </w:pPr>
            <w:r w:rsidRPr="009237A2">
              <w:rPr>
                <w:rFonts w:eastAsia="Calibri"/>
                <w:noProof/>
                <w:szCs w:val="22"/>
                <w:lang w:eastAsia="en-US"/>
              </w:rPr>
              <w:t>3</w:t>
            </w:r>
            <w:r w:rsidRPr="009237A2">
              <w:rPr>
                <w:rFonts w:eastAsia="Calibri"/>
                <w:noProof/>
                <w:szCs w:val="22"/>
                <w:lang w:eastAsia="en-US"/>
              </w:rPr>
              <w:tab/>
              <w:t>=</w:t>
            </w:r>
            <w:r w:rsidRPr="009237A2">
              <w:rPr>
                <w:rFonts w:eastAsia="Calibri"/>
                <w:noProof/>
                <w:szCs w:val="22"/>
                <w:lang w:eastAsia="en-US"/>
              </w:rPr>
              <w:tab/>
              <w:t>transit</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ind w:left="850" w:hanging="850"/>
              <w:jc w:val="both"/>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Varuslag</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tvåsiffrig</w:t>
            </w: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NST</w:t>
            </w:r>
            <w:r w:rsidR="00833422">
              <w:rPr>
                <w:rFonts w:eastAsia="Calibri"/>
                <w:noProof/>
                <w:szCs w:val="22"/>
                <w:lang w:eastAsia="en-US"/>
              </w:rPr>
              <w:t xml:space="preserve"> </w:t>
            </w:r>
            <w:r w:rsidRPr="009237A2">
              <w:rPr>
                <w:rFonts w:eastAsia="Calibri"/>
                <w:noProof/>
                <w:szCs w:val="22"/>
                <w:lang w:eastAsia="en-US"/>
              </w:rPr>
              <w:t xml:space="preserve">2007 </w:t>
            </w: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Transporterade ton</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w:t>
            </w:r>
          </w:p>
        </w:tc>
      </w:tr>
      <w:tr w:rsidR="009237A2" w:rsidRPr="009237A2" w:rsidTr="00C704F4">
        <w:tc>
          <w:tcPr>
            <w:tcW w:w="2600"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c>
          <w:tcPr>
            <w:tcW w:w="1486"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362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p>
        </w:tc>
        <w:tc>
          <w:tcPr>
            <w:tcW w:w="1579"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tonkilometer</w:t>
            </w:r>
          </w:p>
        </w:tc>
      </w:tr>
    </w:tbl>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VI</w:t>
      </w:r>
    </w:p>
    <w:tbl>
      <w:tblPr>
        <w:tblW w:w="0" w:type="auto"/>
        <w:tblLayout w:type="fixed"/>
        <w:tblLook w:val="0000" w:firstRow="0" w:lastRow="0" w:firstColumn="0" w:lastColumn="0" w:noHBand="0" w:noVBand="0"/>
      </w:tblPr>
      <w:tblGrid>
        <w:gridCol w:w="1671"/>
        <w:gridCol w:w="7615"/>
      </w:tblGrid>
      <w:tr w:rsidR="009237A2" w:rsidRPr="009237A2" w:rsidTr="00C704F4">
        <w:tc>
          <w:tcPr>
            <w:tcW w:w="9286" w:type="dxa"/>
            <w:gridSpan w:val="2"/>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NST 2007</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Huvudgrupp</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Varuslag</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01</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Jordbruks-, jakt- och skogsbruksprodukter; fisk och andra fiskeriprodukter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02</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Stenkol och brunkol; råpetroleum och naturgas</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03</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Metallhaltiga malmer och övriga produkter från gruvor och stenbrott; torv; uranmalm och toriummalm</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04</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Livsmedel, dryckesvaror och tobak</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05</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Textil- och beklädnadsvaror; läder och lädervaror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06</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Trä och varor av trä och kork (utom möbler), varor av halm och andra flätningsmaterial; massa, papper och pappersvaror, trycksaker och ljudmedia</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07</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Stenkolsprodukter och raffinerade petroleumprodukter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08</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Kemikalier, kemiska produkter och konstfibrer; gummi- och plastvaror; kärnbränsle</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09</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Andra icke-metalliska mineraliska produkter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10</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Metaller; metallvaror, utom maskiner och apparater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11</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Övriga maskiner; kontorsmaskiner och datorer; diverse andra elektriska maskiner och apparater; radio, tv- och teleprodukter; precisionsinstrument, medicinska och optiska instrument samt ur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12</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Transportmedel</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13</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Möbler; diverse andra tillverkade varor</w:t>
            </w:r>
          </w:p>
        </w:tc>
      </w:tr>
    </w:tbl>
    <w:p w:rsidR="00833422" w:rsidRDefault="00833422">
      <w:r>
        <w:br w:type="page"/>
      </w:r>
    </w:p>
    <w:tbl>
      <w:tblPr>
        <w:tblW w:w="0" w:type="auto"/>
        <w:tblLayout w:type="fixed"/>
        <w:tblLook w:val="0000" w:firstRow="0" w:lastRow="0" w:firstColumn="0" w:lastColumn="0" w:noHBand="0" w:noVBand="0"/>
      </w:tblPr>
      <w:tblGrid>
        <w:gridCol w:w="1671"/>
        <w:gridCol w:w="7615"/>
      </w:tblGrid>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14</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Returråvara; kommunalt avfall och annat avfall</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15</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Post och paket</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16</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Utrustning och material som används vid varutransporter</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17</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Gods som flyttas i samband med flytt av hushåll eller kontor; bagage som transporteras separat från passagerarna; motorfordon som fraktas för reparation; övriga varor som inte omsätts på en marknad</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18</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Samlastat gods: flera olika slags gods som fraktas tillsammans</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19</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Oidentifierbart gods: gods som av någon anledning inte kan identifieras och därför inte kan hänföras till någon av huvudgrupperna 01–16</w:t>
            </w:r>
          </w:p>
        </w:tc>
      </w:tr>
      <w:tr w:rsidR="009237A2" w:rsidRPr="009237A2" w:rsidTr="00C704F4">
        <w:tc>
          <w:tcPr>
            <w:tcW w:w="1671"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20</w:t>
            </w:r>
          </w:p>
        </w:tc>
        <w:tc>
          <w:tcPr>
            <w:tcW w:w="7615" w:type="dxa"/>
            <w:tcBorders>
              <w:top w:val="single" w:sz="2" w:space="0" w:color="auto"/>
              <w:left w:val="single" w:sz="2" w:space="0" w:color="auto"/>
              <w:bottom w:val="single" w:sz="2" w:space="0" w:color="auto"/>
              <w:right w:val="single" w:sz="2" w:space="0" w:color="auto"/>
            </w:tcBorders>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Diverse andra varor</w:t>
            </w:r>
          </w:p>
        </w:tc>
      </w:tr>
    </w:tbl>
    <w:p w:rsidR="009237A2" w:rsidRPr="009237A2" w:rsidRDefault="009237A2" w:rsidP="009237A2">
      <w:pPr>
        <w:widowControl/>
        <w:spacing w:before="120" w:after="120"/>
        <w:jc w:val="center"/>
        <w:rPr>
          <w:rFonts w:eastAsia="Calibri"/>
          <w:noProof/>
          <w:szCs w:val="22"/>
          <w:lang w:eastAsia="en-US"/>
        </w:rPr>
      </w:pPr>
      <w:r w:rsidRPr="009237A2">
        <w:rPr>
          <w:rFonts w:eastAsia="Calibri"/>
          <w:noProof/>
          <w:szCs w:val="22"/>
          <w:lang w:eastAsia="en-US"/>
        </w:rPr>
        <w:t>_____________________</w:t>
      </w:r>
    </w:p>
    <w:p w:rsidR="009237A2" w:rsidRPr="009237A2" w:rsidRDefault="009237A2" w:rsidP="009237A2">
      <w:pPr>
        <w:widowControl/>
        <w:spacing w:after="200" w:line="276" w:lineRule="auto"/>
        <w:rPr>
          <w:rFonts w:eastAsia="Calibri"/>
          <w:noProof/>
          <w:szCs w:val="22"/>
          <w:lang w:val="en-US" w:eastAsia="en-US"/>
        </w:rPr>
      </w:pPr>
      <w:r w:rsidRPr="009237A2">
        <w:rPr>
          <w:rFonts w:eastAsia="Calibri"/>
          <w:noProof/>
          <w:szCs w:val="22"/>
          <w:lang w:val="en-US" w:eastAsia="en-US"/>
        </w:rPr>
        <w:br w:type="page"/>
      </w:r>
    </w:p>
    <w:p w:rsidR="009237A2" w:rsidRPr="009237A2" w:rsidRDefault="009237A2" w:rsidP="009237A2">
      <w:pPr>
        <w:widowControl/>
        <w:adjustRightInd w:val="0"/>
        <w:rPr>
          <w:rFonts w:eastAsia="Calibri"/>
          <w:noProof/>
          <w:szCs w:val="22"/>
          <w:lang w:val="en-US" w:eastAsia="en-US"/>
        </w:rPr>
      </w:pP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VII</w:t>
      </w:r>
    </w:p>
    <w:p w:rsidR="009237A2" w:rsidRPr="009237A2" w:rsidRDefault="009237A2" w:rsidP="009237A2">
      <w:pPr>
        <w:widowControl/>
        <w:spacing w:before="120" w:after="120"/>
        <w:jc w:val="center"/>
        <w:rPr>
          <w:rFonts w:eastAsia="Calibri"/>
          <w:b/>
          <w:bCs/>
          <w:noProof/>
          <w:szCs w:val="22"/>
          <w:lang w:eastAsia="en-US"/>
        </w:rPr>
      </w:pPr>
      <w:bookmarkStart w:id="2" w:name="_CopyToNewDocument_"/>
      <w:bookmarkEnd w:id="2"/>
      <w:r w:rsidRPr="009237A2">
        <w:rPr>
          <w:rFonts w:eastAsia="Calibri"/>
          <w:b/>
          <w:bCs/>
          <w:noProof/>
          <w:szCs w:val="22"/>
          <w:lang w:eastAsia="en-US"/>
        </w:rPr>
        <w:t xml:space="preserve">Upphävd förordning och </w:t>
      </w:r>
      <w:r w:rsidRPr="009237A2">
        <w:rPr>
          <w:b/>
          <w:noProof/>
          <w:lang w:eastAsia="en-US"/>
        </w:rPr>
        <w:t>en förteckning över ändringar av denna</w:t>
      </w:r>
    </w:p>
    <w:tbl>
      <w:tblPr>
        <w:tblW w:w="9348" w:type="dxa"/>
        <w:tblLayout w:type="fixed"/>
        <w:tblLook w:val="0000" w:firstRow="0" w:lastRow="0" w:firstColumn="0" w:lastColumn="0" w:noHBand="0" w:noVBand="0"/>
      </w:tblPr>
      <w:tblGrid>
        <w:gridCol w:w="348"/>
        <w:gridCol w:w="5997"/>
        <w:gridCol w:w="567"/>
        <w:gridCol w:w="1956"/>
        <w:gridCol w:w="480"/>
      </w:tblGrid>
      <w:tr w:rsidR="009237A2" w:rsidRPr="009237A2" w:rsidTr="00C704F4">
        <w:trPr>
          <w:gridAfter w:val="1"/>
          <w:wAfter w:w="480" w:type="dxa"/>
          <w:cantSplit/>
        </w:trPr>
        <w:tc>
          <w:tcPr>
            <w:tcW w:w="6345" w:type="dxa"/>
            <w:gridSpan w:val="2"/>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Europaparlamentets och rådets förordning (EG) nr 1365/2006</w:t>
            </w:r>
            <w:r w:rsidRPr="009237A2">
              <w:rPr>
                <w:rFonts w:eastAsia="Calibri"/>
                <w:noProof/>
                <w:szCs w:val="22"/>
                <w:lang w:eastAsia="en-US"/>
              </w:rPr>
              <w:br/>
            </w:r>
            <w:r w:rsidRPr="009237A2">
              <w:rPr>
                <w:noProof/>
                <w:lang w:eastAsia="en-US"/>
              </w:rPr>
              <w:t>(</w:t>
            </w:r>
            <w:r w:rsidRPr="009237A2">
              <w:rPr>
                <w:rFonts w:eastAsia="Calibri"/>
                <w:noProof/>
                <w:szCs w:val="22"/>
                <w:lang w:eastAsia="en-US"/>
              </w:rPr>
              <w:t>EUT L 264, 25.9.2006, s. 1)</w:t>
            </w:r>
          </w:p>
        </w:tc>
        <w:tc>
          <w:tcPr>
            <w:tcW w:w="2523" w:type="dxa"/>
            <w:gridSpan w:val="2"/>
          </w:tcPr>
          <w:p w:rsidR="009237A2" w:rsidRPr="009237A2" w:rsidRDefault="009237A2" w:rsidP="009237A2">
            <w:pPr>
              <w:widowControl/>
              <w:spacing w:before="120" w:after="120"/>
              <w:rPr>
                <w:noProof/>
                <w:lang w:eastAsia="en-US"/>
              </w:rPr>
            </w:pPr>
          </w:p>
        </w:tc>
      </w:tr>
      <w:tr w:rsidR="009237A2" w:rsidRPr="009237A2" w:rsidTr="00C704F4">
        <w:trPr>
          <w:gridBefore w:val="1"/>
          <w:wBefore w:w="348" w:type="dxa"/>
          <w:cantSplit/>
        </w:trPr>
        <w:tc>
          <w:tcPr>
            <w:tcW w:w="6564" w:type="dxa"/>
            <w:gridSpan w:val="2"/>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Kommissionens förordning (EG) nr 425/2007</w:t>
            </w:r>
            <w:r w:rsidRPr="009237A2">
              <w:rPr>
                <w:rFonts w:eastAsia="Calibri"/>
                <w:noProof/>
                <w:szCs w:val="22"/>
                <w:lang w:eastAsia="en-US"/>
              </w:rPr>
              <w:br/>
              <w:t>(EUT L 103, 20.4.2007, s. 26)</w:t>
            </w:r>
          </w:p>
        </w:tc>
        <w:tc>
          <w:tcPr>
            <w:tcW w:w="2436" w:type="dxa"/>
            <w:gridSpan w:val="2"/>
          </w:tcPr>
          <w:p w:rsidR="009237A2" w:rsidRPr="009237A2" w:rsidRDefault="009237A2" w:rsidP="009237A2">
            <w:pPr>
              <w:widowControl/>
              <w:spacing w:before="120" w:after="120"/>
              <w:rPr>
                <w:noProof/>
                <w:lang w:eastAsia="en-US"/>
              </w:rPr>
            </w:pPr>
            <w:r w:rsidRPr="009237A2">
              <w:rPr>
                <w:noProof/>
                <w:lang w:eastAsia="en-US"/>
              </w:rPr>
              <w:t>Endast artikel 1</w:t>
            </w:r>
          </w:p>
        </w:tc>
      </w:tr>
      <w:tr w:rsidR="009237A2" w:rsidRPr="009237A2" w:rsidTr="00C704F4">
        <w:trPr>
          <w:gridBefore w:val="1"/>
          <w:wBefore w:w="348" w:type="dxa"/>
          <w:cantSplit/>
        </w:trPr>
        <w:tc>
          <w:tcPr>
            <w:tcW w:w="6564" w:type="dxa"/>
            <w:gridSpan w:val="2"/>
          </w:tcPr>
          <w:p w:rsidR="009237A2" w:rsidRPr="009237A2" w:rsidRDefault="009237A2" w:rsidP="009237A2">
            <w:pPr>
              <w:widowControl/>
              <w:spacing w:before="120" w:after="120"/>
              <w:rPr>
                <w:rFonts w:eastAsia="Calibri"/>
                <w:noProof/>
                <w:szCs w:val="22"/>
                <w:lang w:eastAsia="en-US"/>
              </w:rPr>
            </w:pPr>
            <w:r w:rsidRPr="009237A2">
              <w:rPr>
                <w:rFonts w:eastAsia="Calibri"/>
                <w:noProof/>
                <w:szCs w:val="22"/>
                <w:lang w:eastAsia="en-US"/>
              </w:rPr>
              <w:t>Kommissionens förordning (EG) nr 1304/2007</w:t>
            </w:r>
            <w:r w:rsidRPr="009237A2">
              <w:rPr>
                <w:rFonts w:eastAsia="Calibri"/>
                <w:noProof/>
                <w:szCs w:val="22"/>
                <w:lang w:eastAsia="en-US"/>
              </w:rPr>
              <w:br/>
              <w:t>(EUT L 290, 8.11.2007, s. 14)</w:t>
            </w:r>
          </w:p>
        </w:tc>
        <w:tc>
          <w:tcPr>
            <w:tcW w:w="2436" w:type="dxa"/>
            <w:gridSpan w:val="2"/>
          </w:tcPr>
          <w:p w:rsidR="009237A2" w:rsidRPr="009237A2" w:rsidRDefault="009237A2" w:rsidP="009237A2">
            <w:pPr>
              <w:widowControl/>
              <w:spacing w:before="120" w:after="120"/>
              <w:rPr>
                <w:noProof/>
                <w:lang w:eastAsia="en-US"/>
              </w:rPr>
            </w:pPr>
            <w:r w:rsidRPr="009237A2">
              <w:rPr>
                <w:noProof/>
                <w:lang w:eastAsia="en-US"/>
              </w:rPr>
              <w:t xml:space="preserve">Endast artikel 4 </w:t>
            </w:r>
          </w:p>
        </w:tc>
      </w:tr>
      <w:tr w:rsidR="009237A2" w:rsidRPr="009237A2" w:rsidTr="00C704F4">
        <w:trPr>
          <w:gridBefore w:val="1"/>
          <w:wBefore w:w="348" w:type="dxa"/>
          <w:cantSplit/>
        </w:trPr>
        <w:tc>
          <w:tcPr>
            <w:tcW w:w="6564" w:type="dxa"/>
            <w:gridSpan w:val="2"/>
          </w:tcPr>
          <w:p w:rsidR="009237A2" w:rsidRPr="009237A2" w:rsidRDefault="009237A2" w:rsidP="009237A2">
            <w:pPr>
              <w:widowControl/>
              <w:spacing w:before="120" w:after="120"/>
              <w:rPr>
                <w:noProof/>
                <w:lang w:eastAsia="en-US"/>
              </w:rPr>
            </w:pPr>
            <w:r w:rsidRPr="009237A2">
              <w:rPr>
                <w:bCs/>
                <w:noProof/>
                <w:szCs w:val="22"/>
                <w:lang w:eastAsia="en-US"/>
              </w:rPr>
              <w:t>Europaparlamentets och rådets förordning (EU) 2016/1954</w:t>
            </w:r>
            <w:r w:rsidRPr="009237A2">
              <w:rPr>
                <w:noProof/>
                <w:lang w:eastAsia="en-US"/>
              </w:rPr>
              <w:br/>
            </w:r>
            <w:r w:rsidRPr="009237A2">
              <w:rPr>
                <w:noProof/>
                <w:szCs w:val="22"/>
                <w:lang w:eastAsia="en-US"/>
              </w:rPr>
              <w:t>(EUT L 311, 17.11.2016, s. 20)</w:t>
            </w:r>
          </w:p>
        </w:tc>
        <w:tc>
          <w:tcPr>
            <w:tcW w:w="2436" w:type="dxa"/>
            <w:gridSpan w:val="2"/>
          </w:tcPr>
          <w:p w:rsidR="009237A2" w:rsidRPr="009237A2" w:rsidRDefault="009237A2" w:rsidP="009237A2">
            <w:pPr>
              <w:widowControl/>
              <w:spacing w:before="120" w:after="120"/>
              <w:rPr>
                <w:noProof/>
                <w:lang w:eastAsia="en-US"/>
              </w:rPr>
            </w:pPr>
          </w:p>
        </w:tc>
      </w:tr>
    </w:tbl>
    <w:p w:rsidR="009237A2" w:rsidRPr="009237A2" w:rsidRDefault="009237A2" w:rsidP="009237A2">
      <w:pPr>
        <w:widowControl/>
        <w:spacing w:before="120" w:after="120"/>
        <w:jc w:val="center"/>
        <w:rPr>
          <w:noProof/>
          <w:lang w:eastAsia="en-US"/>
        </w:rPr>
      </w:pPr>
      <w:r w:rsidRPr="009237A2">
        <w:rPr>
          <w:noProof/>
          <w:lang w:eastAsia="en-US"/>
        </w:rPr>
        <w:t>_____________</w:t>
      </w:r>
    </w:p>
    <w:p w:rsidR="009237A2" w:rsidRPr="009237A2" w:rsidRDefault="009237A2" w:rsidP="009237A2">
      <w:pPr>
        <w:widowControl/>
        <w:spacing w:after="200" w:line="276" w:lineRule="auto"/>
        <w:rPr>
          <w:rFonts w:eastAsia="Calibri"/>
          <w:b/>
          <w:noProof/>
          <w:szCs w:val="22"/>
          <w:u w:val="single"/>
          <w:lang w:eastAsia="en-US"/>
        </w:rPr>
      </w:pPr>
      <w:r w:rsidRPr="009237A2">
        <w:rPr>
          <w:rFonts w:eastAsia="Calibri"/>
          <w:noProof/>
          <w:szCs w:val="22"/>
          <w:lang w:eastAsia="en-US"/>
        </w:rPr>
        <w:br w:type="page"/>
      </w:r>
    </w:p>
    <w:p w:rsidR="009237A2" w:rsidRPr="009237A2" w:rsidRDefault="009237A2" w:rsidP="009237A2">
      <w:pPr>
        <w:widowControl/>
        <w:spacing w:before="120" w:after="120"/>
        <w:jc w:val="center"/>
        <w:rPr>
          <w:rFonts w:eastAsia="Calibri"/>
          <w:b/>
          <w:noProof/>
          <w:szCs w:val="22"/>
          <w:u w:val="single"/>
          <w:lang w:eastAsia="en-US"/>
        </w:rPr>
      </w:pPr>
      <w:r w:rsidRPr="009237A2">
        <w:rPr>
          <w:rFonts w:eastAsia="Calibri"/>
          <w:b/>
          <w:noProof/>
          <w:szCs w:val="22"/>
          <w:u w:val="single"/>
          <w:lang w:eastAsia="en-US"/>
        </w:rPr>
        <w:t>BILAGA VIII</w:t>
      </w:r>
    </w:p>
    <w:p w:rsidR="009237A2" w:rsidRPr="009237A2" w:rsidRDefault="009237A2" w:rsidP="009237A2">
      <w:pPr>
        <w:keepNext/>
        <w:widowControl/>
        <w:spacing w:before="360" w:after="120"/>
        <w:jc w:val="center"/>
        <w:outlineLvl w:val="0"/>
        <w:rPr>
          <w:b/>
          <w:smallCaps/>
          <w:noProof/>
          <w:szCs w:val="22"/>
          <w:lang w:eastAsia="de-DE"/>
        </w:rPr>
      </w:pPr>
      <w:r w:rsidRPr="009237A2">
        <w:rPr>
          <w:b/>
          <w:smallCaps/>
          <w:noProof/>
          <w:szCs w:val="22"/>
          <w:lang w:eastAsia="de-DE"/>
        </w:rPr>
        <w:t>Jämförelsetabell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rsidR="009237A2" w:rsidRPr="009237A2" w:rsidTr="00C704F4">
        <w:tc>
          <w:tcPr>
            <w:tcW w:w="4674" w:type="dxa"/>
            <w:tcBorders>
              <w:left w:val="nil"/>
            </w:tcBorders>
          </w:tcPr>
          <w:p w:rsidR="009237A2" w:rsidRPr="009237A2" w:rsidRDefault="009237A2" w:rsidP="009237A2">
            <w:pPr>
              <w:widowControl/>
              <w:spacing w:before="120" w:after="120"/>
              <w:jc w:val="center"/>
              <w:rPr>
                <w:noProof/>
                <w:lang w:eastAsia="en-US"/>
              </w:rPr>
            </w:pPr>
            <w:r w:rsidRPr="009237A2">
              <w:rPr>
                <w:noProof/>
                <w:szCs w:val="22"/>
                <w:lang w:eastAsia="en-US"/>
              </w:rPr>
              <w:t xml:space="preserve">Förordning </w:t>
            </w:r>
            <w:r w:rsidRPr="009237A2">
              <w:rPr>
                <w:noProof/>
                <w:lang w:eastAsia="en-US"/>
              </w:rPr>
              <w:t>(EG) nr 1365/2006</w:t>
            </w:r>
          </w:p>
        </w:tc>
        <w:tc>
          <w:tcPr>
            <w:tcW w:w="4674" w:type="dxa"/>
            <w:tcBorders>
              <w:right w:val="nil"/>
            </w:tcBorders>
          </w:tcPr>
          <w:p w:rsidR="009237A2" w:rsidRPr="009237A2" w:rsidRDefault="009237A2" w:rsidP="009237A2">
            <w:pPr>
              <w:widowControl/>
              <w:spacing w:before="120" w:after="120"/>
              <w:jc w:val="center"/>
              <w:rPr>
                <w:noProof/>
                <w:lang w:eastAsia="en-US"/>
              </w:rPr>
            </w:pPr>
            <w:r w:rsidRPr="009237A2">
              <w:rPr>
                <w:noProof/>
                <w:szCs w:val="22"/>
                <w:lang w:eastAsia="en-US"/>
              </w:rPr>
              <w:t>Denna förordning</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Artikel 1–4</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Artikel 1–4</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4a</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5</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Artikel 5</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Artikel 6</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6</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7</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7</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8</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8</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9</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Artikel 10</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Artikel 11</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Artikel 11</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val="fr-BE" w:eastAsia="en-US"/>
              </w:rPr>
              <w:t>Artikel 12</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val="fr-BE" w:eastAsia="en-US"/>
              </w:rPr>
            </w:pPr>
            <w:r w:rsidRPr="009237A2">
              <w:rPr>
                <w:noProof/>
                <w:lang w:val="fr-BE" w:eastAsia="en-US"/>
              </w:rPr>
              <w:t>Artikel 12</w:t>
            </w:r>
          </w:p>
        </w:tc>
        <w:tc>
          <w:tcPr>
            <w:tcW w:w="4674" w:type="dxa"/>
            <w:tcBorders>
              <w:top w:val="nil"/>
              <w:bottom w:val="nil"/>
              <w:right w:val="nil"/>
            </w:tcBorders>
          </w:tcPr>
          <w:p w:rsidR="009237A2" w:rsidRPr="009237A2" w:rsidRDefault="009237A2" w:rsidP="009237A2">
            <w:pPr>
              <w:widowControl/>
              <w:spacing w:before="120" w:after="120"/>
              <w:jc w:val="both"/>
              <w:rPr>
                <w:noProof/>
                <w:lang w:val="fr-BE" w:eastAsia="en-US"/>
              </w:rPr>
            </w:pPr>
            <w:r w:rsidRPr="009237A2">
              <w:rPr>
                <w:noProof/>
                <w:lang w:val="fr-BE" w:eastAsia="en-US"/>
              </w:rPr>
              <w:t>Artikel 13</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A</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I</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B</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II</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C</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III</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D</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IV</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E</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V</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Bilaga F</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VI</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VII</w:t>
            </w:r>
          </w:p>
        </w:tc>
      </w:tr>
      <w:tr w:rsidR="009237A2" w:rsidRPr="009237A2" w:rsidTr="00C704F4">
        <w:tc>
          <w:tcPr>
            <w:tcW w:w="4674" w:type="dxa"/>
            <w:tcBorders>
              <w:top w:val="nil"/>
              <w:left w:val="nil"/>
              <w:bottom w:val="nil"/>
            </w:tcBorders>
          </w:tcPr>
          <w:p w:rsidR="009237A2" w:rsidRPr="009237A2" w:rsidRDefault="009237A2" w:rsidP="009237A2">
            <w:pPr>
              <w:widowControl/>
              <w:spacing w:before="120" w:after="120"/>
              <w:jc w:val="both"/>
              <w:rPr>
                <w:noProof/>
                <w:lang w:eastAsia="en-US"/>
              </w:rPr>
            </w:pPr>
            <w:r w:rsidRPr="009237A2">
              <w:rPr>
                <w:noProof/>
                <w:lang w:eastAsia="en-US"/>
              </w:rPr>
              <w:t>–</w:t>
            </w:r>
          </w:p>
        </w:tc>
        <w:tc>
          <w:tcPr>
            <w:tcW w:w="4674" w:type="dxa"/>
            <w:tcBorders>
              <w:top w:val="nil"/>
              <w:bottom w:val="nil"/>
              <w:right w:val="nil"/>
            </w:tcBorders>
          </w:tcPr>
          <w:p w:rsidR="009237A2" w:rsidRPr="009237A2" w:rsidRDefault="009237A2" w:rsidP="009237A2">
            <w:pPr>
              <w:widowControl/>
              <w:spacing w:before="120" w:after="120"/>
              <w:jc w:val="both"/>
              <w:rPr>
                <w:noProof/>
                <w:lang w:eastAsia="en-US"/>
              </w:rPr>
            </w:pPr>
            <w:r w:rsidRPr="009237A2">
              <w:rPr>
                <w:noProof/>
                <w:lang w:eastAsia="en-US"/>
              </w:rPr>
              <w:t>Bilaga VIII</w:t>
            </w:r>
          </w:p>
        </w:tc>
      </w:tr>
    </w:tbl>
    <w:p w:rsidR="009237A2" w:rsidRPr="009237A2" w:rsidRDefault="009237A2" w:rsidP="009237A2">
      <w:pPr>
        <w:widowControl/>
        <w:spacing w:before="120" w:after="120"/>
        <w:jc w:val="center"/>
        <w:rPr>
          <w:noProof/>
          <w:lang w:eastAsia="en-US"/>
        </w:rPr>
      </w:pPr>
      <w:r w:rsidRPr="009237A2">
        <w:rPr>
          <w:noProof/>
          <w:lang w:eastAsia="en-US"/>
        </w:rPr>
        <w:t>_____________</w:t>
      </w:r>
    </w:p>
    <w:p w:rsidR="009E4A8C" w:rsidRPr="00C704F4" w:rsidRDefault="00B32CC7" w:rsidP="0026678F">
      <w:pPr>
        <w:pStyle w:val="Normal12Italic"/>
      </w:pPr>
      <w:r w:rsidRPr="00C704F4">
        <w:rPr>
          <w:rStyle w:val="HideTWBExt"/>
          <w:i w:val="0"/>
          <w:iCs/>
          <w:noProof w:val="0"/>
        </w:rPr>
        <w:t>&lt;OptDel&gt;&lt;/OptDel&gt;</w:t>
      </w:r>
    </w:p>
    <w:p w:rsidR="0026678F" w:rsidRPr="00CC3F2C" w:rsidRDefault="009237A2" w:rsidP="0026678F">
      <w:pPr>
        <w:pStyle w:val="Normal12Italic"/>
      </w:pPr>
      <w:r w:rsidRPr="00C704F4">
        <w:t>(Berör samtliga språkversioner.)</w:t>
      </w:r>
      <w:bookmarkStart w:id="3" w:name="DocEPTmp2"/>
      <w:bookmarkEnd w:id="3"/>
    </w:p>
    <w:sectPr w:rsidR="0026678F" w:rsidRPr="00CC3F2C" w:rsidSect="0083342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F4" w:rsidRPr="00CC3F2C" w:rsidRDefault="00C704F4">
      <w:r w:rsidRPr="00CC3F2C">
        <w:separator/>
      </w:r>
    </w:p>
  </w:endnote>
  <w:endnote w:type="continuationSeparator" w:id="0">
    <w:p w:rsidR="00C704F4" w:rsidRPr="00CC3F2C" w:rsidRDefault="00C704F4">
      <w:r w:rsidRPr="00CC3F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rsidP="00833422">
    <w:pPr>
      <w:pStyle w:val="Footer"/>
    </w:pPr>
    <w:r>
      <w:t>PE</w:t>
    </w:r>
    <w:r w:rsidRPr="00833422">
      <w:rPr>
        <w:rStyle w:val="HideTWBExt"/>
      </w:rPr>
      <w:t>&lt;NoPE&gt;</w:t>
    </w:r>
    <w:r>
      <w:t>618.089</w:t>
    </w:r>
    <w:r w:rsidRPr="00833422">
      <w:rPr>
        <w:rStyle w:val="HideTWBExt"/>
      </w:rPr>
      <w:t>&lt;/NoPE&gt;&lt;Version&gt;</w:t>
    </w:r>
    <w:r>
      <w:t>v02-00</w:t>
    </w:r>
    <w:r w:rsidRPr="00833422">
      <w:rPr>
        <w:rStyle w:val="HideTWBExt"/>
      </w:rPr>
      <w:t>&lt;/Version&gt;</w:t>
    </w:r>
    <w:r>
      <w:tab/>
    </w:r>
    <w:r>
      <w:fldChar w:fldCharType="begin"/>
    </w:r>
    <w:r>
      <w:instrText xml:space="preserve"> PAGE  \* MERGEFORMAT </w:instrText>
    </w:r>
    <w:r>
      <w:fldChar w:fldCharType="separate"/>
    </w:r>
    <w:r w:rsidR="00881C85">
      <w:rPr>
        <w:noProof/>
      </w:rPr>
      <w:t>2</w:t>
    </w:r>
    <w:r>
      <w:fldChar w:fldCharType="end"/>
    </w:r>
    <w:r>
      <w:t>/</w:t>
    </w:r>
    <w:fldSimple w:instr=" NUMPAGES  \* MERGEFORMAT ">
      <w:r w:rsidR="00881C85">
        <w:rPr>
          <w:noProof/>
        </w:rPr>
        <w:t>24</w:t>
      </w:r>
    </w:fldSimple>
    <w:r>
      <w:tab/>
    </w:r>
    <w:r w:rsidRPr="00833422">
      <w:rPr>
        <w:rStyle w:val="HideTWBExt"/>
      </w:rPr>
      <w:t>&lt;PathFdR&gt;</w:t>
    </w:r>
    <w:r>
      <w:t>RR\1152300SV.docx</w:t>
    </w:r>
    <w:r w:rsidRPr="00833422">
      <w:rPr>
        <w:rStyle w:val="HideTWBExt"/>
      </w:rPr>
      <w:t>&lt;/PathFdR&gt;</w:t>
    </w:r>
  </w:p>
  <w:p w:rsidR="00C704F4" w:rsidRPr="00CC3F2C" w:rsidRDefault="00833422" w:rsidP="00833422">
    <w:pPr>
      <w:pStyle w:val="Footer2"/>
    </w:pPr>
    <w: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rsidP="00833422">
    <w:pPr>
      <w:pStyle w:val="Footer"/>
    </w:pPr>
    <w:r w:rsidRPr="00833422">
      <w:rPr>
        <w:rStyle w:val="HideTWBExt"/>
      </w:rPr>
      <w:t>&lt;PathFdR&gt;</w:t>
    </w:r>
    <w:r>
      <w:t>RR\1152300SV.docx</w:t>
    </w:r>
    <w:r w:rsidRPr="00833422">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24</w:t>
      </w:r>
    </w:fldSimple>
    <w:r>
      <w:tab/>
      <w:t>PE</w:t>
    </w:r>
    <w:r w:rsidRPr="00833422">
      <w:rPr>
        <w:rStyle w:val="HideTWBExt"/>
      </w:rPr>
      <w:t>&lt;NoPE&gt;</w:t>
    </w:r>
    <w:r>
      <w:t>618.089</w:t>
    </w:r>
    <w:r w:rsidRPr="00833422">
      <w:rPr>
        <w:rStyle w:val="HideTWBExt"/>
      </w:rPr>
      <w:t>&lt;/NoPE&gt;&lt;Version&gt;</w:t>
    </w:r>
    <w:r>
      <w:t>v02-00</w:t>
    </w:r>
    <w:r w:rsidRPr="00833422">
      <w:rPr>
        <w:rStyle w:val="HideTWBExt"/>
      </w:rPr>
      <w:t>&lt;/Version&gt;</w:t>
    </w:r>
  </w:p>
  <w:p w:rsidR="00C704F4" w:rsidRPr="00CC3F2C" w:rsidRDefault="00833422" w:rsidP="00833422">
    <w:pPr>
      <w:pStyle w:val="Footer2"/>
    </w:pPr>
    <w:r>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rsidP="00833422">
    <w:pPr>
      <w:pStyle w:val="Footer"/>
    </w:pPr>
    <w:r w:rsidRPr="00833422">
      <w:rPr>
        <w:rStyle w:val="HideTWBExt"/>
      </w:rPr>
      <w:t>&lt;PathFdR&gt;</w:t>
    </w:r>
    <w:r>
      <w:t>RR\1152300SV.docx</w:t>
    </w:r>
    <w:r w:rsidRPr="00833422">
      <w:rPr>
        <w:rStyle w:val="HideTWBExt"/>
      </w:rPr>
      <w:t>&lt;/PathFdR&gt;</w:t>
    </w:r>
    <w:r>
      <w:tab/>
    </w:r>
    <w:r>
      <w:tab/>
      <w:t>PE</w:t>
    </w:r>
    <w:r w:rsidRPr="00833422">
      <w:rPr>
        <w:rStyle w:val="HideTWBExt"/>
      </w:rPr>
      <w:t>&lt;NoPE&gt;</w:t>
    </w:r>
    <w:r>
      <w:t>618.089</w:t>
    </w:r>
    <w:r w:rsidRPr="00833422">
      <w:rPr>
        <w:rStyle w:val="HideTWBExt"/>
      </w:rPr>
      <w:t>&lt;/NoPE&gt;&lt;Version&gt;</w:t>
    </w:r>
    <w:r>
      <w:t>v02-00</w:t>
    </w:r>
    <w:r w:rsidRPr="00833422">
      <w:rPr>
        <w:rStyle w:val="HideTWBExt"/>
      </w:rPr>
      <w:t>&lt;/Version&gt;</w:t>
    </w:r>
  </w:p>
  <w:p w:rsidR="00C704F4" w:rsidRPr="00CC3F2C" w:rsidRDefault="00833422" w:rsidP="00833422">
    <w:pPr>
      <w:pStyle w:val="Footer2"/>
      <w:tabs>
        <w:tab w:val="center" w:pos="4535"/>
      </w:tabs>
    </w:pPr>
    <w:r>
      <w:t>SV</w:t>
    </w:r>
    <w:r>
      <w:tab/>
    </w:r>
    <w:r w:rsidRPr="00833422">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F4" w:rsidRPr="00CC3F2C" w:rsidRDefault="00C704F4">
      <w:r w:rsidRPr="00CC3F2C">
        <w:separator/>
      </w:r>
    </w:p>
  </w:footnote>
  <w:footnote w:type="continuationSeparator" w:id="0">
    <w:p w:rsidR="00C704F4" w:rsidRPr="00CC3F2C" w:rsidRDefault="00C704F4">
      <w:r w:rsidRPr="00CC3F2C">
        <w:continuationSeparator/>
      </w:r>
    </w:p>
  </w:footnote>
  <w:footnote w:id="1">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Europaparlamentets ståndpunkt av den … (ännu ej offentliggjord i EUT) och rådets beslut av den … .</w:t>
      </w:r>
    </w:p>
  </w:footnote>
  <w:footnote w:id="2">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Europaparlamentets och rådets förordning (EG) nr 1365/2006 av den 6 september 2006 om statistik över godstransporter på inre vattenvägar och om upphävande av rådets direktiv 80/1119/EEG (EUT L 264, 25.9.2006, s. 1).</w:t>
      </w:r>
    </w:p>
  </w:footnote>
  <w:footnote w:id="3">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Se bilaga VII.</w:t>
      </w:r>
    </w:p>
  </w:footnote>
  <w:footnote w:id="4">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Europaparlamentets och rådets förordning (EG) nr 223/2009 av den 11 mars 2009 om europeisk statistik och om upphävande av Europaparlamentets och rådets förordning (EG, Euratom) nr 1101/2008 om utlämnande av insynsskyddade statistiska uppgifter till Europeiska gemenskapernas statistikkontor, rådets förordning (EG) nr 322/97 om gemenskapsstatistik och rådets beslut 89/382/EEG, Euratom om inrättande av en kommitté för Europeiska gemenskapernas statistiska program (EUT L 87, 31.3.2009, s. 164).</w:t>
      </w:r>
    </w:p>
  </w:footnote>
  <w:footnote w:id="5">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EUT L 123, 12.5.2016, s. 1.</w:t>
      </w:r>
    </w:p>
  </w:footnote>
  <w:footnote w:id="6">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7">
    <w:p w:rsidR="00C704F4" w:rsidRPr="00367EA6" w:rsidRDefault="00C704F4" w:rsidP="009237A2">
      <w:pPr>
        <w:pStyle w:val="FootnoteText"/>
        <w:ind w:left="851" w:hanging="851"/>
        <w:rPr>
          <w:sz w:val="24"/>
          <w:szCs w:val="24"/>
        </w:rPr>
      </w:pPr>
      <w:r w:rsidRPr="00367EA6">
        <w:rPr>
          <w:rStyle w:val="FootnoteReference"/>
          <w:sz w:val="24"/>
          <w:szCs w:val="24"/>
        </w:rPr>
        <w:footnoteRef/>
      </w:r>
      <w:r w:rsidRPr="00367EA6">
        <w:rPr>
          <w:sz w:val="24"/>
          <w:szCs w:val="24"/>
        </w:rPr>
        <w:tab/>
        <w:t>Europaparlamentets och rådets förordning (EU, Euratom) nr 966/2012 av den 25 oktober 2012 om finansiella regler för unionens allmänna budget och om upphävande av rådets förordning (EG, Euratom) nr 1605/2002 (EUT L 298, 26.10.2012, s. 1).</w:t>
      </w:r>
    </w:p>
  </w:footnote>
  <w:footnote w:id="8">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regionkod eller om den är okänd ska följande koder användas:</w:t>
      </w:r>
      <w:r w:rsidRPr="00367EA6">
        <w:rPr>
          <w:sz w:val="24"/>
          <w:szCs w:val="24"/>
        </w:rPr>
        <w:tab/>
      </w:r>
      <w:r w:rsidRPr="00367EA6">
        <w:rPr>
          <w:sz w:val="24"/>
          <w:szCs w:val="24"/>
        </w:rPr>
        <w:br/>
        <w:t>-</w:t>
      </w:r>
      <w:r w:rsidRPr="00367EA6">
        <w:rPr>
          <w:sz w:val="24"/>
          <w:szCs w:val="24"/>
        </w:rPr>
        <w:tab/>
        <w:t>”NUTS0 + ZZ” om det finns en NUTS-kod för det land som är handelspartner.</w:t>
      </w:r>
      <w:r w:rsidRPr="00367EA6">
        <w:rPr>
          <w:sz w:val="24"/>
          <w:szCs w:val="24"/>
        </w:rPr>
        <w:tab/>
      </w:r>
      <w:r w:rsidRPr="00367EA6">
        <w:rPr>
          <w:sz w:val="24"/>
          <w:szCs w:val="24"/>
        </w:rPr>
        <w:br/>
        <w:t>-</w:t>
      </w:r>
      <w:r w:rsidRPr="00367EA6">
        <w:rPr>
          <w:sz w:val="24"/>
          <w:szCs w:val="24"/>
        </w:rPr>
        <w:tab/>
        <w:t>”ISO-kod + ZZ” om det inte finns någon NUTS-kod för det land som är handelspartner.</w:t>
      </w:r>
      <w:r w:rsidRPr="00367EA6">
        <w:rPr>
          <w:sz w:val="24"/>
          <w:szCs w:val="24"/>
        </w:rPr>
        <w:tab/>
      </w:r>
      <w:r w:rsidRPr="00367EA6">
        <w:rPr>
          <w:sz w:val="24"/>
          <w:szCs w:val="24"/>
        </w:rPr>
        <w:br/>
        <w:t>-</w:t>
      </w:r>
      <w:r w:rsidRPr="00367EA6">
        <w:rPr>
          <w:sz w:val="24"/>
          <w:szCs w:val="24"/>
        </w:rPr>
        <w:tab/>
        <w:t>”ZZZZ” om det land som är handelspartner är okänt.</w:t>
      </w:r>
    </w:p>
  </w:footnote>
  <w:footnote w:id="9">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regionkod eller om den är okänd ska följande koder användas:</w:t>
      </w:r>
      <w:r w:rsidRPr="00367EA6">
        <w:rPr>
          <w:sz w:val="24"/>
          <w:szCs w:val="24"/>
        </w:rPr>
        <w:tab/>
      </w:r>
      <w:r w:rsidRPr="00367EA6">
        <w:rPr>
          <w:sz w:val="24"/>
          <w:szCs w:val="24"/>
        </w:rPr>
        <w:br/>
        <w:t>-</w:t>
      </w:r>
      <w:r w:rsidRPr="00367EA6">
        <w:rPr>
          <w:sz w:val="24"/>
          <w:szCs w:val="24"/>
        </w:rPr>
        <w:tab/>
        <w:t>”NUTS0 + ZZ” om det finns en NUTS-kod för det land som är handelspartner.</w:t>
      </w:r>
      <w:r w:rsidRPr="00367EA6">
        <w:rPr>
          <w:sz w:val="24"/>
          <w:szCs w:val="24"/>
        </w:rPr>
        <w:tab/>
      </w:r>
      <w:r w:rsidRPr="00367EA6">
        <w:rPr>
          <w:sz w:val="24"/>
          <w:szCs w:val="24"/>
        </w:rPr>
        <w:br/>
        <w:t>-</w:t>
      </w:r>
      <w:r w:rsidRPr="00367EA6">
        <w:rPr>
          <w:sz w:val="24"/>
          <w:szCs w:val="24"/>
        </w:rPr>
        <w:tab/>
        <w:t>”ISO-kod + ZZ” om det inte finns någon NUTS-kod för det land som är handelspartner.</w:t>
      </w:r>
      <w:r w:rsidRPr="00367EA6">
        <w:rPr>
          <w:sz w:val="24"/>
          <w:szCs w:val="24"/>
        </w:rPr>
        <w:tab/>
      </w:r>
      <w:r w:rsidRPr="00367EA6">
        <w:rPr>
          <w:sz w:val="24"/>
          <w:szCs w:val="24"/>
        </w:rPr>
        <w:br/>
        <w:t>-</w:t>
      </w:r>
      <w:r w:rsidRPr="00367EA6">
        <w:rPr>
          <w:sz w:val="24"/>
          <w:szCs w:val="24"/>
        </w:rPr>
        <w:tab/>
        <w:t>”ZZZZ” om det land som är handelspartner är okänt.</w:t>
      </w:r>
    </w:p>
  </w:footnote>
  <w:footnote w:id="10">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NUTS-kod för det land där fartyget är registrerat ska ISO:s landsbeteckning användas. Om fartygets nationalitet är okänd ska koden ”ZZ” användas.</w:t>
      </w:r>
    </w:p>
  </w:footnote>
  <w:footnote w:id="11">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regionkod eller om den är okänd ska följande koder användas:</w:t>
      </w:r>
      <w:r w:rsidRPr="00367EA6">
        <w:rPr>
          <w:sz w:val="24"/>
          <w:szCs w:val="24"/>
        </w:rPr>
        <w:tab/>
      </w:r>
      <w:r w:rsidRPr="00367EA6">
        <w:rPr>
          <w:sz w:val="24"/>
          <w:szCs w:val="24"/>
        </w:rPr>
        <w:br/>
        <w:t>-</w:t>
      </w:r>
      <w:r w:rsidRPr="00367EA6">
        <w:rPr>
          <w:sz w:val="24"/>
          <w:szCs w:val="24"/>
        </w:rPr>
        <w:tab/>
        <w:t>”NUTS0 + ZZ” om det finns en NUTS-kod för det land som är handelspartner.</w:t>
      </w:r>
      <w:r w:rsidRPr="00367EA6">
        <w:rPr>
          <w:sz w:val="24"/>
          <w:szCs w:val="24"/>
        </w:rPr>
        <w:tab/>
      </w:r>
      <w:r w:rsidRPr="00367EA6">
        <w:rPr>
          <w:sz w:val="24"/>
          <w:szCs w:val="24"/>
        </w:rPr>
        <w:br/>
        <w:t>-</w:t>
      </w:r>
      <w:r w:rsidRPr="00367EA6">
        <w:rPr>
          <w:sz w:val="24"/>
          <w:szCs w:val="24"/>
        </w:rPr>
        <w:tab/>
        <w:t>”ISO-kod + ZZ” om det inte finns någon NUTS-kod för det land som är handelspartner.</w:t>
      </w:r>
      <w:r w:rsidRPr="00367EA6">
        <w:rPr>
          <w:sz w:val="24"/>
          <w:szCs w:val="24"/>
        </w:rPr>
        <w:tab/>
      </w:r>
      <w:r w:rsidRPr="00367EA6">
        <w:rPr>
          <w:sz w:val="24"/>
          <w:szCs w:val="24"/>
        </w:rPr>
        <w:br/>
        <w:t>-</w:t>
      </w:r>
      <w:r w:rsidRPr="00367EA6">
        <w:rPr>
          <w:sz w:val="24"/>
          <w:szCs w:val="24"/>
        </w:rPr>
        <w:tab/>
        <w:t>”ZZZZ” om det land som är handelspartner är okänt.</w:t>
      </w:r>
    </w:p>
  </w:footnote>
  <w:footnote w:id="12">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NUTS-kod för det land där fartyget är registrerat ska ISO:s landsbeteckning användas. Om fartygets nationalitet är okänd ska koden ”ZZ” användas.</w:t>
      </w:r>
    </w:p>
  </w:footnote>
  <w:footnote w:id="13">
    <w:p w:rsidR="00C704F4" w:rsidRPr="00367EA6" w:rsidRDefault="00C704F4" w:rsidP="009237A2">
      <w:pPr>
        <w:pStyle w:val="FootnoteText"/>
        <w:ind w:left="851" w:hanging="851"/>
        <w:rPr>
          <w:sz w:val="24"/>
          <w:szCs w:val="24"/>
        </w:rPr>
      </w:pPr>
      <w:r w:rsidRPr="00367EA6">
        <w:rPr>
          <w:rStyle w:val="FootnoteReference"/>
          <w:sz w:val="24"/>
          <w:szCs w:val="24"/>
          <w:lang w:val="en-US"/>
        </w:rPr>
        <w:footnoteRef/>
      </w:r>
      <w:r w:rsidRPr="00367EA6">
        <w:rPr>
          <w:sz w:val="24"/>
          <w:szCs w:val="24"/>
        </w:rPr>
        <w:tab/>
        <w:t>Om det inte finns någon NUTS-kod för det land där fartyget är registrerat skall ISO:s landsbeteckning användas. Om fartygets nationalitet är okänd skall koden ”ZZ” användas.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22" w:rsidRDefault="0083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RRCOMM" w:val="JURI"/>
    <w:docVar w:name="ERRDATE" w:val="25/05/2018"/>
    <w:docVar w:name="ERRDOCREF" w:val="4"/>
    <w:docVar w:name="ERRDOCUMENT" w:val="1"/>
    <w:docVar w:name="ERRTYPE" w:val="2"/>
    <w:docVar w:name="LastEditedSection" w:val=" 1"/>
    <w:docVar w:name="strDocTypeID" w:val="ER"/>
    <w:docVar w:name="strSubDir" w:val="1152"/>
    <w:docVar w:name="TA_Type" w:val="TA_Erratum"/>
    <w:docVar w:name="TXTAUTHOR" w:val="Lidia Joanna Geringer de Oedenberg"/>
    <w:docVar w:name="TXTDOCREF" w:val="(COM(2017)0545 – C8-0337/2017 – 2017/0256(COD))"/>
    <w:docVar w:name="TXTERRATUM" w:val="EUROPAPARLAMENTETS OCH RÅDETS FÖRORDNING (EU) 2018/…_x000d_av den_x000d_om statistik över godstransporter på inre vattenvägar (kodifiering)_x000d_EUROPAPARLAMENTET OCH EUROPEISKA UNIONENS RÅD HAR ANTAGIT DENNA FÖRORDNING_x000d_med beaktande av fördraget  om Europeiska unionens funktionssätt, särskilt artikel  338.1,_x000d_med beaktande av Europeiska kommissionens förslag,_x000d_efter översändande av utkastet till lagstiftningsakt till de nationella parlamenten,_x000d_i enlighet med det ordinarie lagstiftningsförfarandet_x0002_, och_x000d_av följande skäl:_x000d_(1)_x0009_Europaparlamentets och rådets förordning (EG) nr 1365/2006_x0002_ har ändrats flera gånger på ett väsentligt sätt_x0002_. För att skapa klarhet och överskådlighet bör den förordningen kodifieras._x000d__x000c__x000d_(2)_x0009_De inre vattenvägarna utgör en betydande del av  unionens transportnät, och att främja transporter på de inre vattenvägarna är ett av målen för den gemensamma transportpolitiken,  både för att förbättra den ekonomiska effektiviteten  och för att minska energiförbrukningen och transporternas inverkan på miljön._x000d_(3)_x0009_Kommissionen behöver statistik över godstransporter på de inre vattenvägarna för att övervaka och vidareutveckla den gemensamma transportpolitiken samt de delar av regionalpolitiken och politiken för de transeuropeiska näten som rör transporter._x000d_(4)_x0009_Det bör samlas in  europeisk statistik över alla former av transporter enligt gemensamma begrepp och standarder, med målsättningen att uppnå största möjliga jämförbarhet mellan de olika transportsätten._x000d_(5)_x0009_Transporter på inre vattenvägar förekommer inte i alla medlemsstater och därför begränsas  denna förordnings verkan till de medlemsstater där detta transportsätt förekommer._x000d__x000c__x000d_(6)_x0009_Europaparlamentets och rådets förordning (EG) nr 223/2009_x0002_ utgör en referensram för bestämmelserna i denna förordning._x000d_(7)_x0009_I syfte att ta hänsyn till den ekonomiska och tekniska utvecklingen samt till ändringar i definitioner som antagits på internationell nivå bör befogenheten att anta akter i enlighet med artikel 290 i fördraget  om Europeiska unionens funktionssätt delegeras till kommissionen med avseende på ändring av  denna förordning för att höja gränsen för när transporter på inre vattenvägar ska omfattas av statistiken till över en miljon ton, för att anpassa definitioner eller fastställa nya samt för att anpassa bilagorna till  denna förordning för att återspegla ändringar i kod och nomenklatur på internationell nivå eller i relevanta unionslagstiftningsakter. Det är särskilt viktigt att kommissionen genomför lämpliga samråd under sitt förberedande arbete, inklusive på expertnivå, och att dessa samråd genomförs i enlighet med principerna i det interinstitutionella avtalet av den 13 april 2016 om bättre lagstiftning_x0002_.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_x000d_(8)_x0009_Kommissionen bör säkerställa att dessa delegerade akter inte innebär någon betydande extra börda för medlemsstaterna eller uppgiftslämnarna._x000d_(9)_x0009_För att säkerställa enhetliga villkor för genomförandet av  denna förordning bör kommissionen tilldelas genomförandebefogenheter så att den kan anta föreskrifter om metoder för överföring av uppgifter, inbegripet standarder för utbyte av uppgifter,  liksom om förfarandet för kommissionens (Eurostats) spridning av resultaten,  och så att den kan utforma och offentliggöra metodkrav och  metodkriterier för att säkerställa kvaliteten på de uppgifter som tas fram. Dessa _x000d__x000c__x000d_befogenheter bör utövas i enlighet med Europaparlamentets och rådets förordning (EU) nr 182/2011_x0002_._x000d_(0)_x0009_Det är nödvändigt att kommissionen anordnar pilotstudier om tillgången till statistik avseende passagerartransporter på inre vattenvägar, inklusive genom gränsöverskridande transporttjänster. Unionen bör bidra till kostnaden för att utföra dessa pilotstudier. Detta bör ske i form av bidrag som beviljas till de nationella statistikbyråerna och andra nationella myndigheter som avses i artikel 5 i förordning (EG) nr 223/2009, i enlighet med Europaparlamentets och rådets förordning (EU, Euratom) nr 966/2012_x0002_._x000d_(11)_x0009_Eftersom målet för denna förordning, nämligen att skapa gemensamma statistiska standarder som gör det möjligt att  ta fram harmoniserade uppgifter, inte i tillräcklig utsträckning kan uppnås av medlemsstaterna, utan snarare, på grund av skapandets omfattning,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tta mål._x000d_HÄRIGENOM FÖRESKRIVS FÖLJANDE._x000d_Artikel 1_x000d_Syfte_x000d_Genom denna förordning fastställs gemensamma bestämmelser för utarbetandet av  europeisk statistik över transporter på inre vattenvägar._x000d_Artikel 2_x000d_Tillämpningsområde_x000d_1. Medlemsstaterna ska överföra uppgifter om transporter på inre vattenvägar på deras nationella territorium till kommissionen (Eurostat)._x000d_2. Medlemsstater i vilka den totala varumängd som årligen transporteras på inre vattenvägar som nationell transport, internationell transport eller transittransport överstiger en miljon ton ska tillhandahålla de uppgifter som avses i artikel 4.1._x000d_3. Genom undantag från punkt 2 ska medlemsstater som inte har  internationell trafik eller transittrafik på inre vattenvägar, men i vilka den totala varumängden som årligen transporteras som nationella transporter på inre vattenvägar överstiger en miljon ton, tillhandahålla endast de uppgifter som avses i artikel 4.2._x000d_4. Denna förordning ska inte tillämpas på_x000d_a)_x0009_godstransporter med fartyg med mindre än 50 ton dödvikt,_x000d_b)_x0009_fartyg som används huvudsakligen för persontransport,_x000d_c)_x0009_färjor,_x000d_d)_x0009_fartyg som används uteslutande för icke-kommersiella ändamål av hamnförvaltningar och offentliga myndigheter,_x000d_e)_x0009_fartyg som används uteslutande för bunkring eller lagring,_x000d_f)_x0009_fartyg som inte används för godstransport, såsom fiskefartyg, mudderverk, flytande verkstäder, husbåtar och fritidsbåtar._x000d_5. Kommissionen ges befogenhet attanta delegerade akter i enlighet med artikel 10 med avseende på ändring av punkt 2 i den här artikeln för att höja gränsen i den punkten för när transporter på inre vattenvägar ska omfattas av statistiken, i syfte att ta hänsyn till ekonomisk och teknisk utveckling._x000d_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  inbegripet en bedömning av uppgiftslämnarbördan och produktionskostnaden i enlighet med vad som föreskrivs i artikel 14.3 c i förordning (EG) nr 223/2009._x000d_Artikel 3_x000d_Definitioner_x000d_I denna förordning gäller följande definitioner:_x000d_a)_x0009_farbar inre vattenväg: ett vattendrag som inte är en del av ett hav och som på naturlig eller konstgjord väg lämpar sig för sjöfart, i första hand av fartyg för inre vattenvägar,_x000d_b)_x0009_fartyg för inre vattenvägar: en flytande farkost avsedd för att frakta gods eller passagerare huvudsakligen på farbara inre vattenvägar eller i farvatten inom eller i omedelbar närhet av skyddade farvatten samt inom områden som omfattas av hamnföreskrifter,_x000d_c)_x0009_fartygets nationalitet: det land där fartyget är registrerat,_x000d_d)_x0009_transporter på inre vattenvägar: varje förflyttning av varor och/eller passagerare med fartyg för inre vattenvägar som helt eller delvis äger rum på farbara inre vattenvägar,_x000d_e)_x0009_nationella transporter på inre vattenvägar: transporter på inre vattenvägar mellan två hamnar inom ett nationellt territorium oberoende av fartygets nationalitet,_x000d_f)_x0009_internationella transporter på inre vattenvägar: transporter på inre vattenvägar mellan två hamnar belägna inom olika nationella territorier,_x000d_g)_x0009_transittransporter på inre vattenvägar: transporter på inre vattenvägar genom ett nationellt territorium mellan två hamnar som båda är belägna inom ett annat nationellt territorium eller andra nationella territorier, under förutsättning att det under hela resan inom det nationella territoriet inte sker någon omlastning,_x000d_h)_x0009_trafik på inre vattenvägar: varje förflyttning av ett fartyg på en viss farbar inre vattenväg._x000d_Kommissionen ges befogenhet attanta delegerade akter i enlighet med artikel 10 med avseende på ändring av  första stycket i den här artikeln för att anpassa definitionerna  häri eller fastställa nya definitioner, i syfte att ta hänsyn till relevanta definitioner som ändrats eller antagits på internationell nivå. _x000d_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  inbegripet en bedömning av uppgiftslämnarbördan och produktionskostnaden, i enlighet med vad som föreskrivs i artikel 14.3 c i förordning (EG) nr 223/2009._x000d_Artikel 4_x000d_Insamling av uppgifter_x000d_1. Uppgifterna ska samlas in i enlighet med tabellerna i bilagorna I–IV._x000d_2. I det fall som avses i artikel 2.3 ska uppgifterna samlas in i enlighet med tabellen i bilaga V._x000d_3. I denna förordning ska varor klassificeras i enlighet med bilaga VI._x000d_4. Kommissionen ges befogenhet att anta delegerade akter i enlighet med artikel 10 med avseende på ändring av bilagorna  för att återspegla ändringar i kod och nomenklatur på internationell nivå eller i relevanta unionslagstiftningsakter._x000d_När kommissionen utövar den befogenheten ska den säkerställa att de delegerade akterna inte innebär någon betydande extra börda för medlemsstaterna eller uppgiftslämnarna. Dessutom ska kommissionen vederbörligen motivera de statistiska åtgärder som föreskrivs i dessa delegerade akter, när så är lämpligt med användning av en kostnadseffektivitetsanalys,  inbegripet en bedömning av uppgiftslämnarbördan och produktionskostnaden, i enlighet med vad som föreskrivs i artikel 14.3 c i förordning (EG) nr 223/2009._x000d_Artikel 5_x000d_Pilotstudier_x000d_1. Senast den 8 december 2018 ska kommissionen, i samarbete med medlemsstaterna, utveckla en lämplig metod för att sammanställa statistik om passagerartransport på inre vattenvägar, inklusive genom gränsöverskridande transporttjänster._x000d_2. Senast den 8 december 2019 ska kommissionen inleda frivilliga pilotstudier som ska utföras av de medlemsstater som tillhandahåller uppgifter inom ramen för denna förordning om tillgången till statistik avseende passagerartransporter på inre vattenvägar, inklusive genom gränsöverskridande transporttjänster. Syftet med dessa pilotstudier ska vara att bedöma genomförbarheten av dessa nya uppgiftsinsamlingar, kostnaderna för tillhörande uppgiftsinsamling och den statistiska kvalitet som förutsätts._x000d_3. Senast den 8 december 2020 ska kommissionen lägga fram en rapport för Europaparlamentet och rådet om resultaten av pilotstudierna. Beroende på rapportens resultat ska kommissionen, om så är lämpligt och inom en rimlig tidsperiod, lägga fram ett lagstiftningsförslag till Europaparlamentet och rådet om ändring av denna förordning avseende statistik om passagerartransporter på inre vattenvägar, inklusive genom gränsöverskridande transporttjänster._x000d_4. Unionens allmänna budget ska, där så är lämpligt och med hänsyn till mervärdet för unionen, bidra till finansieringen av dessa pilotstudier._x000d_Artikel 6_x000d_Överföring av uppgifter_x000d_1. Uppgifterna ska överföras så snart som möjligt, dock senast fem månader efter den relevanta observationsperiodens slut._x000d_2. Kommissionen ska anta genomförandeakter med föreskrifter om överföring av uppgifter till kommissionen (Eurostat), inbegripet standarder för utbyte av uppgifter. Dessa genomförandeakter ska antas i enlighet med det granskningsförfarande som avses i artikel 11.2._x000d_Artikel 7_x000d_Spridning_x000d_ Europeisk statistik som bygger på de uppgifter som avses i artikel 4 ska spridas med en frekvens som motsvarar den som fastställts för medlemsstaternas överföring av uppgifter._x000d_Kommissionen ska anta genomförandeakter med föreskrifter om rutiner för spridning av resultaten. Dessa genomförandeakter ska antas i enlighet med det granskningsförfarande som avses i artikel 11.2._x000d_Artikel 8_x000d_Uppgifternas kvalitet_x000d_1. Kommissionen ska anta genomförandeakter med föreskrifter om metodkrav och  metodkriterier för att säkerställa kvaliteten på de uppgifter som tas fram. Dessa genomförandeakter ska antas i enlighet med det granskningsförfarande som avses i artikel 11.2._x000d_2. Medlemsstaterna ska vidta alla nödvändiga åtgärder för att säkerställa kvaliteten på de uppgifter som överförs._x000d_3. Kommissionen (Eurostat) ska bedöma de överförda uppgifternas kvalitet. Medlemsstaterna ska förse kommissionen (Eurostat) med en rapport innehållande de upplysningar och uppgifter som kommissionen (Eurostat) kan begära för att kontrollera kvaliteten på de överförda uppgifterna._x000d_4. Vid tillämpningen av denna förordning ska de kvalitetskriterier som avses i artikel 12.1 i förordning (EG) nr 223/2009 tillämpas på de uppgifter som överförs._x000d_5. Kommissionen ska anta genomförandeakter som fastställer närmare bestämmelser, struktur, tidsintervall och element som rör jämförbarhet för kvalitetsrapporterna. Dessa genomförandeakter ska antas i enlighet med det granskningsförfarande som avses i artikel 11.2._x000d_Artikel 9_x000d_Rapporter om genomförandet_x000d_Senast den 31 december 2020 och därefter vart femte år ska kommissionen, efter samråd med kommittén för det europeiska statistiksystemet, till Europaparlamentet och rådet överlämna en rapport om genomförandet av denna förordning och om den framtida utvecklingen._x000d_I den rapporten ska kommissionen beakta relevant information som medlemsstaterna lämnat om möjliga förbättringar och om användarnas behov. Rapporten ska särskilt innehålla  en bedömning av_x000d_a)_x0009_den nytta i förhållande till kostnaderna som unionen, medlemsstaterna samt uppgiftslämnare och användare av statistisk information har av den framtagna statistiken,_x000d_b)_x0009_kvaliteten på de överförda uppgifterna och de använda metoderna för insamling av uppgifter._x000d_Artikel 10_x000d_Utövande av delegeringen_x000d_1. Befogenheten att anta delegerade akter ges till kommissionen med förbehåll för de villkor som anges i denna artikel._x000d_2. Den befogenhet att anta delegerade akter som avses i artiklarna 2.5, 3 och 4.4 ska ges till kommissionen för en period på fem år från och med den 7 december 2016.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_x000d_3. Den delegering av befogenhet som avses i artiklarna 2.5, 3 och 4.4 får när som helst återkallas av Europaparlamentet eller rådet. Ett beslut om återkallelse innebär att delegeringen av den befogenhet som anges i beslutet upphör att gälla. Beslutet får verkan dagen efter det att det offentliggörs i Europeiska unionens officiella tidning, eller vid ett senare i beslutet angivet datum. Det påverkar inte giltigheten av delegerade akter som redan har trätt i kraft._x000d_4. Innan kommissionen antar en delegerad akt ska den samråda med experter som utsetts av varje medlemsstat i enlighet med principerna i det interinstitutionella avtalet av den 13 april 2016 om bättre lagstiftning._x000d_5. Så snart kommissionen antar en delegerad akt ska den samtidigt delge Europaparlamentet och rådet denna._x000d_6. En delegerad akt som antas enligt artikel 2.5, 3 eller 4.4 ska träda i kraft endast om varken Europaparlamentet eller rådet har gjort några invändningar mot den delegerade akten inom en period på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_x000d_Artikel 11_x000d_Kommittéförfarande_x000d_1. Kommissionen ska biträdas av kommittén för det europeiska statistiksystemet, som inrättats genom förordning (EG) nr 223/2009. Denna kommitté ska vara en kommitté i den mening som avses i förordning (EU) nr 182/2011._x000d_2. När det hänvisas till denna punkt ska artikel 5 i förordning (EU) nr 182/2011 tillämpas._x000d__x000c__x000d_Artikel 12_x000d_Upphörande_x000d_Förordning (EG) nr 1365/2006 ska härmed upphöra att gälla._x000d_Hänvisningar till den upphävda förordningen ska anses som hänvisningar till den här förordningen och ska läsas i enlighet med jämförelsetabellen i bilaga VIII._x000d_Artikel 13_x000d_Ikraftträdande_x000d_Denna förordning träder i kraft den tjugonde dagen efter det att den har offentliggjorts i Europeiska unionens officiella tidning._x000d_Denna förordning är till alla delar bindande och direkt tillämplig i alla medlemsstater._x000d_Utfärdad i ..._x000d_På Europaparlamentets vägnar_x0009_På rådets vägnar_x000d_Ordförande_x0009_Ordförande_x000d__x000c__x000d_BILAGA I_x000d_Tabell I1._x0009_Transporter efter varuslag (årsdata)_x000d__x0007__x000d__x0007_Element_x000d__x0007_Kod_x000d__x0007_Nomenklatur_x000d__x0007_Enhet_x000d__x0007__x000d__x0007_Tabell_x000d__x0007_tvåställig_x000d__x0007_”I1”_x000d__x0007__x000d__x0007__x000d__x0007_Uppgiftslämnande land_x000d__x0007_två bokstäver_x000d__x0007_NUTS0 (landsbeteckning)_x000d__x0007__x000d__x0007__x000d__x0007_År_x000d__x0007_fyrsiffrig_x000d__x0007_”åååå”_x000d__x0007__x000d__x0007__x000d__x0007_Land/region för lastning_x000d__x0007_fyrställig_x000d__x0007_NUTS2_x0002__x000d__x0007__x000d__x0007__x000d__x0007_Land/region för lossning_x000d__x0007_fyrställig_x000d__x0007_NUTS213_x000d__x0007__x000d__x0007__x000d__x0007_Typ av transport_x000d__x0007_ensiffrig_x000d__x0007_1_x0009_=_x0009_nationell_x000d_2_x0009_=_x0009_internationell (ej transit)_x000d_3_x0009_=_x0009_transit_x000d__x0007__x000d__x0007__x000d__x0007_Varuslag_x000d__x0007_tvåsiffrig_x000d__x0007_NST  2007 _x000d__x0007__x000d__x0007__x000d__x0007_Förpackning_x000d__x0007_ensiffrig_x000d__x0007_1_x0009_=_x0009_gods i containrar_x000d_2_x0009_=_x0009_gods som ej är i containrar samt tomma containrar_x000d__x0007__x000d__x0007__x000d__x0007_Transporterade ton_x000d__x0007__x000d__x0007__x000d__x0007_ton_x000d__x0007__x000d__x0007_Tonkilometer_x000d__x0007__x000d__x0007__x000d__x0007_tonkilometer_x000d__x0007__x000d__x0007_______________________x000d__x000c__x000d_BILAGA II_x000d_Tabell II1._x0009_Transport fördelat på fartygets nationalitet och typ (årsdata)_x000d__x0007__x000d__x0007_Element_x000d__x0007_Kod_x000d__x0007_Nomenklatur_x000d__x0007_Enhet_x000d__x0007__x000d__x0007_Tabell_x000d__x0007_treställig_x000d__x0007_”II1”_x000d__x0007__x000d__x0007__x000d__x0007_Uppgiftslämnande land_x000d__x0007_två bokstäver_x000d__x0007_NUTS0 (landsbeteckning)_x000d__x0007__x000d__x0007__x000d__x0007_År_x000d__x0007_fyrsiffrig_x000d__x0007_”åååå”_x000d__x0007__x000d__x0007__x000d__x0007_Land/region för lastning_x000d__x0007_fyrställig_x000d__x0007_NUTS2_x0002__x000d__x0007__x000d__x0007__x000d__x0007_Land/region för lossning_x000d__x0007_fyrställig_x000d__x0007_NUTS215_x000d__x0007__x000d__x0007__x000d__x0007_Typ av transport_x000d__x0007_ensiffrig_x000d__x0007_1_x0009_=_x0009_nationell_x000d_2_x0009_=_x0009_internationell (ej transit)_x000d_3_x0009_=_x0009_transit_x000d__x0007__x000d__x0007__x000d__x0007_Fartygstyp_x000d__x0007_ensiffrig_x000d__x0007_1_x0009_=_x0009_pråm med egen framdrivning_x000d_2_x0009_=_x0009_pråm utan egen framdrivning_x000d_3_x0009_=_x0009_tankpråm med egen framdrivning_x000d_4_x0009_=_x0009_tankpråm utan egen framdrivning_x000d_5_x0009_=_x0009_annat lastfartyg_x000d_6_x0009_=_x0009_sjögående fartyg_x000d__x0007__x000d__x0007__x000d__x0007_Fartygets nationalitet_x000d__x0007_två bokstäver_x000d__x0007_NUTS0 (landsbeteckning)_x0002__x000d__x0007__x000d__x0007__x000d__x0007_Transporterade ton_x000d__x0007__x000d__x0007__x000d__x0007_ton_x000d__x0007__x000d__x0007_Tonkilometer_x000d__x0007__x000d__x0007__x000d__x0007_tonkilometer_x000d__x0007__x000d__x0007__x000d_Tabell II2._x0009_Fartygstrafik (årsdata)_x000d__x0007__x000d__x0007_Element_x000d__x0007_Kod_x000d__x0007_Nomenklatur_x000d__x0007_Enhet_x000d__x0007__x000d__x0007_Tabell_x000d__x0007_treställig_x000d__x0007_”II2”_x000d__x0007__x000d__x0007__x000d__x0007_Uppgiftslämnande land_x000d__x0007_två bokstäver_x000d__x0007_NUTS0 (landsbeteckning)_x000d__x0007__x000d__x0007__x000d__x0007_År_x000d__x0007_fyrsiffrig_x000d__x0007_”åååå”_x000d__x0007__x000d__x0007__x000d__x0007_Typ av transport_x000d__x0007_ensiffrig_x000d__x0007_1_x0009_=_x0009_nationell_x000d_2_x0009_=_x0009_internationell (ej transit)_x000d_3_x0009_=_x0009_transit_x000d__x0007__x000d__x0007__x000d__x0007_Antal förflyttningar – lastade fartyg_x000d__x0007__x000d__x0007__x000d__x0007_fartygsrörelser_x000d__x0007__x000d__x0007_Antal förflyttningar – tomma fartyg_x000d__x0007__x000d__x0007__x000d__x0007_fartygsrörelser_x000d__x0007__x000d__x0007_Fartygskilometer (lastade fartyg)_x000d__x0007__x000d__x0007__x000d__x0007_fartygskilometer_x000d__x0007__x000d__x0007_Fartygskilometer (tomma fartyg)_x000d__x0007__x000d__x0007__x000d__x0007_fartygskilometer_x000d__x0007__x000d__x0007_Anm.:_x0009_Tabell II2 är inte obligatorisk._x000d_______________________x000d__x000c__x000d_BILAGA III_x000d_Tabell III1._x0009_Containertransporter efter varuslag (årsdata)_x000d__x0007__x000d__x0007_Element_x000d__x0007_Kod_x000d__x0007_Nomenklatur_x000d__x0007_Enhet_x000d__x0007__x000d__x0007_Tabell_x000d__x0007_fyrställig_x000d__x0007_”III1”_x000d__x0007__x000d__x0007__x000d__x0007_Uppgiftslämnande land_x000d__x0007_två bokstäver_x000d__x0007_NUTS0 (landsbeteckning)_x000d__x0007__x000d__x0007__x000d__x0007_År_x000d__x0007_fyrsiffrig_x000d__x0007_”åååå”_x000d__x0007__x000d__x0007__x000d__x0007_Land/region för lastning_x000d__x0007_fyrställig_x000d__x0007_NUTS2_x0002__x000d__x0007__x000d__x0007__x000d__x0007_Land/region för lossning_x000d__x0007_fyrställig_x000d__x0007_NUTS218_x000d__x0007__x000d__x0007__x000d__x0007_Typ av transport_x000d__x0007_ensiffrig_x000d__x0007_1_x0009_=_x0009_nationell_x000d_2_x0009_=_x0009_internationell (ej transit)_x000d_3_x0009_=_x0009_transit_x000d__x0007__x000d__x0007__x000d__x0007_Containerstorlek_x000d__x0007_ensiffrig_x000d__x0007_1_x0009_=_x0009_fraktenheter på 20’_x000d_2_x0009_=_x0009_fraktenheter på 40’_x000d_3_x0009_=_x0009_fraktenheter på &gt; 20’ och &lt; 40’_x000d_4_x0009_=_x0009_fraktenheter på &gt; 40’_x000d__x0007__x000d__x0007__x000d__x0007_Lastning_x000d__x0007_ensiffrig_x000d__x0007_1_x0009_=_x0009_lastade containrar_x000d_2_x0009_=_x0009_tomma containrar_x000d__x0007__x000d__x0007__x000d__x0007_Varuslag_x000d__x0007_tvåsiffrig_x000d__x0007_NST  2007 _x000d__x0007__x000d__x0007__x000d__x0007_Transporterade ton_x000d__x0007__x000d__x0007__x000d__x0007_ton_x000d__x0007__x000d__x0007__x000c_Tonkilometer_x000d__x0007__x000d__x0007__x000d__x0007_tonkilometer_x000d__x0007__x000d__x0007_TEU_x000d__x0007__x000d__x0007__x000d__x0007_TEU_x000d__x0007__x000d__x0007_TEU-kilometer_x000d__x0007__x000d__x0007__x000d__x0007_TEU-kilometer_x000d__x0007__x000d__x0007_______________________x000d__x000c__x000d_BILAGA IV_x000d_Tabell IV1._x0009_Transporter fördelat på fartygens nationalitet (kvartalsvisa uppgifter)_x000d__x0007__x000d__x0007_Element_x000d__x0007_Kod_x000d__x0007_Nomenklatur_x000d__x0007_Enhet_x000d__x0007__x000d__x0007_Tabell_x000d__x0007_treställig_x000d__x0007_”IV1”_x000d__x0007__x000d__x0007__x000d__x0007_Uppgiftslämnande land_x000d__x0007_två bokstäver_x000d__x0007_NUTS0 (landsbeteckning)_x000d__x0007__x000d__x0007__x000d__x0007_År_x000d__x0007_fyrsiffrig_x000d__x0007_”åååå”_x000d__x0007__x000d__x0007__x000d__x0007_Kvartal_x000d__x0007_tvåsiffrig_x000d__x0007_41_x0009_=_x0009_kvartal 1_x000d_42_x0009_=_x0009_kvartal 2_x000d_43_x0009_=_x0009_kvartal 3_x000d_44_x0009_=_x0009_kvartal 4_x000d__x0007__x000d__x0007__x000d__x0007_Typ av transport_x000d__x0007_ensiffrig_x000d__x0007_1_x0009_=_x0009_nationell_x000d_2_x0009_=_x0009_internationell (ej transit)_x000d_3_x0009_=_x0009_transit_x000d__x0007__x000d__x0007__x000d__x0007_Fartygets nationalitet_x000d__x0007_två bokstäver_x000d__x0007_NUTS0 (landsbeteckning)_x0002__x000d__x0007__x000d__x0007__x000d__x0007_Transporterade ton_x000d__x0007__x000d__x0007__x000d__x0007_ton_x000d__x0007__x000d__x0007_Tonkilometer_x000d__x0007__x000d__x0007__x000d__x0007_tonkilometer_x000d__x0007__x000d__x0007__x000d__x000c__x000d_Tabell IV2._x0009_Containertransporter fördelat på fartygens nationalitet (kvartalsvisa uppgifter)_x000d__x0007__x000d__x0007_Element_x000d__x0007_Kod_x000d__x0007_Nomenklatur_x000d__x0007_Enhet_x000d__x0007__x000d__x0007_Tabell_x000d__x0007_treställig_x000d__x0007_”IV2”_x000d__x0007__x000d__x0007__x000d__x0007_Uppgiftslämnande land_x000d__x0007_två bokstäver_x000d__x0007_NUTS0 (landsbeteckning)_x000d__x0007__x000d__x0007__x000d__x0007_År_x000d__x0007_fyrsiffrig_x000d__x0007_”åååå”_x000d__x0007__x000d__x0007__x000d__x0007_Kvartal_x000d__x0007_tvåsiffrig_x000d__x0007_41_x0009_=_x0009_kvartal 1_x000d_42_x0009_=_x0009_kvartal 2_x000d_43_x0009_=_x0009_kvartal 3_x000d_44_x0009_=_x0009_kvartal 4_x000d__x0007__x000d__x0007__x000d__x0007_Typ av transport_x000d__x0007_ensiffrig_x000d__x0007_1_x0009_=_x0009_nationell_x000d_2_x0009_=_x0009_internationell (ej transit)_x000d_3_x0009_=_x0009_transit_x000d__x0007__x000d__x0007__x000d__x0007_Fartygets nationalitet_x000d__x0007_två bokstäver_x000d__x0007_NUTS0 (landsbeteckning)_x0002__x000d__x0007__x000d__x0007__x000d__x0007_Lastning_x000d__x0007_ensiffrig_x000d__x0007_1_x0009_=_x0009_lastade containrar_x000d_2_x0009_=_x0009_tomma containrar_x000d__x0007__x000d__x0007__x000d__x0007_Transporterade ton_x000d__x0007__x000d__x0007__x000d__x0007_ton_x000d__x0007__x000d__x0007_Tonkilometer_x000d__x0007__x000d__x0007__x000d__x0007_tonkilometer_x000d__x0007__x000d__x0007_TEU_x000d__x0007__x000d__x0007__x000d__x0007_TEU_x000d__x0007__x000d__x0007_TEU-kilometer_x000d__x0007__x000d__x0007__x000d__x0007_TEU-kilometer_x000d__x0007__x000d__x0007_______________________x000d__x000c__x000d_BILAGA V_x000d_Tabell V1._x0009_Godstransport (årsdata)_x000d__x0007__x000d__x0007_Element_x000d__x0007_Kod_x000d__x0007_Nomenklatur_x000d__x0007_Enhet_x000d__x0007__x000d__x0007_Tabell_x000d__x0007_tvåställig_x000d__x0007_”V1”_x000d__x0007__x000d__x0007__x000d__x0007_Uppgiftslämnande land_x000d__x0007_två bokstäver_x000d__x0007_NUTS0 (landsbeteckning)_x000d__x0007__x000d__x0007__x000d__x0007_År_x000d__x0007_fyrsiffrig_x000d__x0007_”åååå”_x000d__x0007__x000d__x0007__x000d__x0007_Typ av transport_x000d__x0007_ensiffrig_x000d__x0007_1_x0009_=_x0009_nationell_x000d_2_x0009_=_x0009_internationell (ej transit)_x000d_3_x0009_=_x0009_transit_x000d__x0007__x000d__x0007__x000d__x0007_Varuslag_x000d__x0007_tvåsiffrig_x000d__x0007_NST  2007 _x000d__x0007__x000d__x0007__x000d__x0007_Transporterade ton_x000d__x0007__x000d__x0007__x000d__x0007_ton_x000d__x0007__x000d__x0007_Tonkilometer_x000d__x0007__x000d__x0007__x000d__x0007_tonkilometer_x000d__x0007__x000d__x0007_______________________x000d__x000c__x000d_BILAGA VI_x000d_NST 2007_x000d__x0007__x000d__x0007_Huvudgrupp_x000d__x0007_Varuslag_x000d__x0007__x000d__x0007_01_x000d__x0007_Jordbruks-, jakt- och skogsbruksprodukter; fisk och andra fiskeriprodukter_x000d__x0007__x000d__x0007_02_x000d__x0007_Stenkol och brunkol; råpetroleum och naturgas_x000d__x0007__x000d__x0007_03_x000d__x0007_Metallhaltiga malmer och övriga produkter från gruvor och stenbrott; torv; uranmalm och toriummalm_x000d__x0007__x000d__x0007_04_x000d__x0007_Livsmedel, dryckesvaror och tobak_x000d__x0007__x000d__x0007_05_x000d__x0007_Textil- och beklädnadsvaror; läder och lädervaror_x000d__x0007__x000d__x0007_06_x000d__x0007_Trä och varor av trä och kork (utom möbler), varor av halm och andra flätningsmaterial; massa, papper och pappersvaror, trycksaker och ljudmedia_x000d__x0007__x000d__x0007_07_x000d__x0007_Stenkolsprodukter och raffinerade petroleumprodukter_x000d__x0007__x000d__x0007_08_x000d__x0007_Kemikalier, kemiska produkter och konstfibrer; gummi- och plastvaror; kärnbränsle_x000d__x0007__x000d__x0007_09_x000d__x0007_Andra icke-metalliska mineraliska produkter_x000d__x0007__x000d__x0007_10_x000d__x0007_Metaller; metallvaror, utom maskiner och apparater_x000d__x0007__x000d__x0007_11_x000d__x0007_Övriga maskiner; kontorsmaskiner och datorer; diverse andra elektriska maskiner och apparater; radio, tv- och teleprodukter; precisionsinstrument, medicinska och optiska instrument samt ur_x000d__x0007__x000d__x0007_12_x000d__x0007_Transportmedel_x000d__x0007__x000d__x0007_13_x000d__x0007_Möbler; diverse andra tillverkade varor_x000d__x0007__x000d__x0007_14_x000d__x0007_Returråvara; kommunalt avfall och annat avfall_x000d__x0007__x000d__x0007_15_x000d__x0007_Post och paket_x000d__x0007__x000d__x0007_16_x000d__x0007_Utrustning och material som används vid varutransporter_x000d__x0007__x000d__x0007_17_x000d__x0007_Gods som flyttas i samband med flytt av hushåll eller kontor; bagage som transporteras separat från passagerarna; motorfordon som fraktas för reparation; övriga varor som inte omsätts på en marknad_x000d__x0007__x000d__x0007__x000c__x000d_18_x000d__x0007_Samlastat gods: flera olika slags gods som fraktas tillsammans_x000d__x0007__x000d__x0007_19_x000d__x0007_Oidentifierbart gods: gods som av någon anledning inte kan identifieras och därför inte kan hänföras till någon av huvudgrupperna 01–16_x000d__x0007__x000d__x0007_20_x000d__x0007_Diverse andra varor_x000d__x0007__x000d__x0007_______________________x000d__x000c__x000d__x000d_BILAGA VII_x000d_Upphävd förordning och en förteckning över ändringar av denna_x000d_Europaparlamentets och rådets förordning (EG) nr 1365/2006_x000b_(EUT L 264, 25.9.2006, s. 1)_x000d__x0007__x000d__x0007__x000d__x0007_Kommissionens förordning (EG) nr 425/2007_x000b_(EUT L 103, 20.4.2007, s. 26)_x000d__x0007_Endast artikel 1_x000d__x0007__x000d__x0007_Kommissionens förordning (EG) nr 1304/2007_x000b_(EUT L 290, 8.11.2007, s. 14)_x000d__x0007_Endast artikel 4 _x000d__x0007__x000d__x0007_Europaparlamentets och rådets förordning (EU) 2016/1954_x000b_(EUT L 311, 17.11.2016, s. 20)_x000d__x0007__x000d__x0007__x000d__x0007_______________x000d__x000c__x000d_BILAGA VIII_x000d_Jämförelsetabell_x000d_Förordning (EG) nr 1365/2006_x000d__x0007_Denna förordning_x000d__x0007__x000d__x0007_Artikel 1–4_x000d__x0007_Artikel 1–4_x000d__x0007__x000d__x0007_Artikel 4a_x000d__x0007_Artikel 5_x000d__x0007__x000d__x0007_Artikel 5_x000d__x0007_Artikel 6_x000d__x0007__x000d__x0007_Artikel 6_x000d__x0007_Artikel 7_x000d__x0007__x000d__x0007_Artikel 7_x000d__x0007_Artikel 8_x000d__x0007__x000d__x0007_Artikel 8_x000d__x0007_Artikel 9_x000d__x0007__x000d__x0007_Artikel 10_x000d__x0007_Artikel 11_x000d__x0007__x000d__x0007_Artikel 11_x000d__x0007_–_x000d__x0007__x000d__x0007_–_x000d__x0007_Artikel 12_x000d__x0007__x000d__x0007_Artikel 12_x000d__x0007_Artikel 13_x000d__x0007__x000d__x0007_Bilaga A_x000d__x0007_Bilaga I_x000d__x0007__x000d__x0007_Bilaga B_x000d__x0007_Bilaga II_x000d__x0007__x000d__x0007_Bilaga C_x000d__x0007_Bilaga III_x000d__x0007__x000d__x0007_Bilaga D_x000d__x0007_Bilaga IV_x000d__x0007__x000d__x0007_Bilaga E_x000d__x0007_Bilaga V_x000d__x0007__x000d__x0007_Bilaga F_x000d__x0007_Bilaga VI_x000d__x0007__x000d__x0007_–_x000d__x0007_Bilaga VII_x000d__x0007__x000d__x0007_–_x000d__x0007_Bilaga VIII_x000d__x0007__x000d__x0007_______________x000d__x000d_"/>
    <w:docVar w:name="TXTERRVERSION" w:val="01"/>
    <w:docVar w:name="TXTLANGUE" w:val="SV"/>
    <w:docVar w:name="TXTLANGUEMIN" w:val="sv"/>
    <w:docVar w:name="TXTNRA" w:val="0154/2018"/>
    <w:docVar w:name="TXTNRAVERSION" w:val="01"/>
    <w:docVar w:name="TXTNRPE" w:val="618.089"/>
    <w:docVar w:name="TXTPEorAP" w:val="PE"/>
    <w:docVar w:name="TXTROUTE" w:val="RR\1152300SV.docx"/>
    <w:docVar w:name="TXTROUTEFDR" w:val="1152300"/>
    <w:docVar w:name="TXTROUTETYPE" w:val="RR"/>
    <w:docVar w:name="TXTTITLE" w:val="om förslaget till Europaparlamentets och rådets förordning om statistik över godstransporter på inre vattenvägar (kodifiering)"/>
    <w:docVar w:name="TXTVERSION" w:val="02-00"/>
  </w:docVars>
  <w:rsids>
    <w:rsidRoot w:val="00512CC6"/>
    <w:rsid w:val="000427ED"/>
    <w:rsid w:val="00051161"/>
    <w:rsid w:val="00055703"/>
    <w:rsid w:val="00082280"/>
    <w:rsid w:val="000B0781"/>
    <w:rsid w:val="00115E85"/>
    <w:rsid w:val="00141C4C"/>
    <w:rsid w:val="00231EA7"/>
    <w:rsid w:val="0026678F"/>
    <w:rsid w:val="0027459E"/>
    <w:rsid w:val="003A1478"/>
    <w:rsid w:val="00422BB2"/>
    <w:rsid w:val="004716FE"/>
    <w:rsid w:val="00512CC6"/>
    <w:rsid w:val="0062001B"/>
    <w:rsid w:val="006A2838"/>
    <w:rsid w:val="007152AF"/>
    <w:rsid w:val="00815CE5"/>
    <w:rsid w:val="00833422"/>
    <w:rsid w:val="0087709A"/>
    <w:rsid w:val="00881C85"/>
    <w:rsid w:val="008B31F4"/>
    <w:rsid w:val="009237A2"/>
    <w:rsid w:val="00942D7B"/>
    <w:rsid w:val="00944F17"/>
    <w:rsid w:val="009949CB"/>
    <w:rsid w:val="009E2EDA"/>
    <w:rsid w:val="009E4A8C"/>
    <w:rsid w:val="00A34442"/>
    <w:rsid w:val="00AC6310"/>
    <w:rsid w:val="00B32CC7"/>
    <w:rsid w:val="00B81F78"/>
    <w:rsid w:val="00B85286"/>
    <w:rsid w:val="00B90B7F"/>
    <w:rsid w:val="00BD01E1"/>
    <w:rsid w:val="00C04425"/>
    <w:rsid w:val="00C32AC7"/>
    <w:rsid w:val="00C37DE1"/>
    <w:rsid w:val="00C511E4"/>
    <w:rsid w:val="00C704F4"/>
    <w:rsid w:val="00CC3F2C"/>
    <w:rsid w:val="00D02C73"/>
    <w:rsid w:val="00D13A2E"/>
    <w:rsid w:val="00D31746"/>
    <w:rsid w:val="00D65833"/>
    <w:rsid w:val="00DC4160"/>
    <w:rsid w:val="00E517A4"/>
    <w:rsid w:val="00E57F50"/>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A4C6D-3430-468C-8D81-C9204884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styleId="FootnoteText">
    <w:name w:val="footnote text"/>
    <w:basedOn w:val="Normal"/>
    <w:link w:val="FootnoteTextChar"/>
    <w:rsid w:val="009237A2"/>
    <w:rPr>
      <w:sz w:val="20"/>
    </w:rPr>
  </w:style>
  <w:style w:type="character" w:customStyle="1" w:styleId="FootnoteTextChar">
    <w:name w:val="Footnote Text Char"/>
    <w:basedOn w:val="DefaultParagraphFont"/>
    <w:link w:val="FootnoteText"/>
    <w:rsid w:val="009237A2"/>
    <w:rPr>
      <w:lang w:val="sv-SE"/>
    </w:rPr>
  </w:style>
  <w:style w:type="character" w:styleId="FootnoteReference">
    <w:name w:val="footnote reference"/>
    <w:uiPriority w:val="99"/>
    <w:unhideWhenUsed/>
    <w:rsid w:val="009237A2"/>
    <w:rPr>
      <w:shd w:val="clear" w:color="auto" w:fill="auto"/>
      <w:vertAlign w:val="superscript"/>
    </w:rPr>
  </w:style>
  <w:style w:type="paragraph" w:customStyle="1" w:styleId="Typedudocument">
    <w:name w:val="Type du document"/>
    <w:basedOn w:val="Normal"/>
    <w:next w:val="Normal"/>
    <w:rsid w:val="009237A2"/>
    <w:pPr>
      <w:widowControl/>
      <w:spacing w:before="360"/>
      <w:jc w:val="cente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99E8-C90A-478E-A5AA-9964839E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3433</Words>
  <Characters>21560</Characters>
  <Application>Microsoft Office Word</Application>
  <DocSecurity>0</DocSecurity>
  <Lines>862</Lines>
  <Paragraphs>555</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GUSTAFSSON Lisbeth</dc:creator>
  <cp:keywords/>
  <dc:description/>
  <cp:lastModifiedBy>GUSTAFSSON Lisbeth</cp:lastModifiedBy>
  <cp:revision>2</cp:revision>
  <cp:lastPrinted>2005-10-13T14:57:00Z</cp:lastPrinted>
  <dcterms:created xsi:type="dcterms:W3CDTF">2018-05-25T13:36:00Z</dcterms:created>
  <dcterms:modified xsi:type="dcterms:W3CDTF">2018-05-25T13:36:00Z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618.089</vt:lpwstr>
  </property>
  <property fmtid="{D5CDD505-2E9C-101B-9397-08002B2CF9AE}" pid="6" name="Created with">
    <vt:lpwstr>9.3.0 Build [20180227]</vt:lpwstr>
  </property>
  <property fmtid="{D5CDD505-2E9C-101B-9397-08002B2CF9AE}" pid="7" name="LastEdited with">
    <vt:lpwstr>9.3.0 Build [20180227]</vt:lpwstr>
  </property>
  <property fmtid="{D5CDD505-2E9C-101B-9397-08002B2CF9AE}" pid="8" name="&lt;FdR&gt;">
    <vt:lpwstr>a8-0154_2018(ERR01)_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RR\1152300SV.docx</vt:lpwstr>
  </property>
</Properties>
</file>