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EC" w:rsidRPr="000B735F" w:rsidRDefault="005909EC" w:rsidP="005909EC">
      <w:pPr>
        <w:pStyle w:val="ZDateAM"/>
      </w:pPr>
      <w:bookmarkStart w:id="0" w:name="_GoBack"/>
      <w:bookmarkEnd w:id="0"/>
      <w:r>
        <w:rPr>
          <w:rStyle w:val="HideTWBExt"/>
          <w:noProof w:val="0"/>
        </w:rPr>
        <w:t>&lt;Amend&gt;&lt;Date&gt;</w:t>
      </w:r>
      <w:r>
        <w:rPr>
          <w:rStyle w:val="HideTWBInt"/>
        </w:rPr>
        <w:t>{23/05/2018}</w:t>
      </w:r>
      <w:r>
        <w:t>23.5.2018</w:t>
      </w:r>
      <w:r>
        <w:rPr>
          <w:rStyle w:val="HideTWBExt"/>
          <w:noProof w:val="0"/>
        </w:rPr>
        <w:t>&lt;/Date&gt;</w:t>
      </w:r>
      <w:r>
        <w:tab/>
      </w:r>
      <w:r>
        <w:rPr>
          <w:rStyle w:val="HideTWBExt"/>
          <w:noProof w:val="0"/>
        </w:rPr>
        <w:t>&lt;ANo&gt;</w:t>
      </w:r>
      <w:r>
        <w:t>A8-0167</w:t>
      </w:r>
      <w:r>
        <w:rPr>
          <w:rStyle w:val="HideTWBExt"/>
          <w:noProof w:val="0"/>
        </w:rPr>
        <w:t>&lt;/ANo&gt;</w:t>
      </w:r>
      <w:r>
        <w:t>/</w:t>
      </w:r>
      <w:r>
        <w:rPr>
          <w:rStyle w:val="HideTWBExt"/>
          <w:noProof w:val="0"/>
        </w:rPr>
        <w:t>&lt;NumAm&gt;</w:t>
      </w:r>
      <w:r>
        <w:t>1</w:t>
      </w:r>
      <w:r>
        <w:rPr>
          <w:rStyle w:val="HideTWBExt"/>
          <w:noProof w:val="0"/>
        </w:rPr>
        <w:t>&lt;/NumAm&gt;</w:t>
      </w:r>
    </w:p>
    <w:p w:rsidR="005909EC" w:rsidRPr="000B735F" w:rsidRDefault="000B735F" w:rsidP="005909EC">
      <w:pPr>
        <w:pStyle w:val="AMNumberTabs"/>
      </w:pPr>
      <w:r>
        <w:t>Pozmeňujúci návrh</w:t>
      </w:r>
      <w:r>
        <w:tab/>
      </w:r>
      <w:r>
        <w:tab/>
      </w:r>
      <w:r>
        <w:rPr>
          <w:rStyle w:val="HideTWBExt"/>
          <w:b w:val="0"/>
          <w:noProof w:val="0"/>
        </w:rPr>
        <w:t>&lt;NumAm&gt;</w:t>
      </w:r>
      <w:r>
        <w:t>1</w:t>
      </w:r>
      <w:r>
        <w:rPr>
          <w:rStyle w:val="HideTWBExt"/>
          <w:b w:val="0"/>
          <w:noProof w:val="0"/>
        </w:rPr>
        <w:t>&lt;/NumAm&gt;</w:t>
      </w:r>
    </w:p>
    <w:p w:rsidR="005909EC" w:rsidRPr="000B735F" w:rsidRDefault="005909EC" w:rsidP="005909EC">
      <w:pPr>
        <w:pStyle w:val="NormalBold"/>
      </w:pPr>
      <w:r>
        <w:rPr>
          <w:rStyle w:val="HideTWBExt"/>
          <w:b w:val="0"/>
          <w:noProof w:val="0"/>
        </w:rPr>
        <w:t>&lt;RepeatBlock-By&gt;&lt;Members&gt;</w:t>
      </w:r>
      <w:r>
        <w:t>Dubravka Šuica</w:t>
      </w:r>
      <w:r>
        <w:rPr>
          <w:rStyle w:val="HideTWBExt"/>
          <w:b w:val="0"/>
          <w:noProof w:val="0"/>
        </w:rPr>
        <w:t>&lt;/Members&gt;</w:t>
      </w:r>
    </w:p>
    <w:p w:rsidR="005909EC" w:rsidRPr="000B735F" w:rsidRDefault="005909EC" w:rsidP="005909EC">
      <w:r>
        <w:rPr>
          <w:rStyle w:val="HideTWBExt"/>
          <w:noProof w:val="0"/>
        </w:rPr>
        <w:t>&lt;AuNomDe&gt;</w:t>
      </w:r>
      <w:r>
        <w:rPr>
          <w:rStyle w:val="HideTWBInt"/>
        </w:rPr>
        <w:t>{PPE}</w:t>
      </w:r>
      <w:r>
        <w:t>v mene skupiny PPE</w:t>
      </w:r>
      <w:r>
        <w:rPr>
          <w:rStyle w:val="HideTWBExt"/>
          <w:noProof w:val="0"/>
        </w:rPr>
        <w:t>&lt;/AuNomDe&gt;</w:t>
      </w:r>
    </w:p>
    <w:p w:rsidR="005909EC" w:rsidRPr="000B735F" w:rsidRDefault="005909EC" w:rsidP="005909EC">
      <w:r>
        <w:rPr>
          <w:rStyle w:val="HideTWBExt"/>
          <w:noProof w:val="0"/>
        </w:rPr>
        <w:t>&lt;/RepeatBlock-By&gt;</w:t>
      </w:r>
    </w:p>
    <w:p w:rsidR="005909EC" w:rsidRPr="000B735F" w:rsidRDefault="005909EC" w:rsidP="005909EC">
      <w:pPr>
        <w:pStyle w:val="ProjRap"/>
      </w:pPr>
      <w:r>
        <w:rPr>
          <w:rStyle w:val="HideTWBExt"/>
          <w:b w:val="0"/>
          <w:noProof w:val="0"/>
        </w:rPr>
        <w:t>&lt;TitreType&gt;</w:t>
      </w:r>
      <w:r>
        <w:t>Správa</w:t>
      </w:r>
      <w:r>
        <w:rPr>
          <w:rStyle w:val="HideTWBExt"/>
          <w:b w:val="0"/>
          <w:noProof w:val="0"/>
        </w:rPr>
        <w:t>&lt;/TitreType&gt;</w:t>
      </w:r>
      <w:r>
        <w:tab/>
        <w:t>A8-0167/2018</w:t>
      </w:r>
    </w:p>
    <w:p w:rsidR="005909EC" w:rsidRPr="000B735F" w:rsidRDefault="005909EC" w:rsidP="005909EC">
      <w:pPr>
        <w:pStyle w:val="NormalBold"/>
      </w:pPr>
      <w:r>
        <w:rPr>
          <w:rStyle w:val="HideTWBExt"/>
          <w:b w:val="0"/>
          <w:noProof w:val="0"/>
        </w:rPr>
        <w:t>&lt;Rapporteur&gt;</w:t>
      </w:r>
      <w:r>
        <w:t>Linda McAvan, Dubravka Šuica</w:t>
      </w:r>
      <w:r>
        <w:rPr>
          <w:rStyle w:val="HideTWBExt"/>
          <w:b w:val="0"/>
          <w:noProof w:val="0"/>
        </w:rPr>
        <w:t>&lt;/Rapporteur&gt;</w:t>
      </w:r>
    </w:p>
    <w:p w:rsidR="005909EC" w:rsidRPr="000B735F" w:rsidRDefault="005909EC" w:rsidP="005909EC">
      <w:r>
        <w:rPr>
          <w:rStyle w:val="HideTWBExt"/>
          <w:noProof w:val="0"/>
        </w:rPr>
        <w:t>&lt;Titre&gt;</w:t>
      </w:r>
      <w:r>
        <w:t>Rodová rovnosť a posilnenie postavenia žien: Ako môžu vonkajšie vzťahy EÚ v období 2016 – 2020 zmeniť život dievčat a žien</w:t>
      </w:r>
      <w:r>
        <w:rPr>
          <w:rStyle w:val="HideTWBExt"/>
          <w:noProof w:val="0"/>
        </w:rPr>
        <w:t>&lt;/Titre&gt;</w:t>
      </w:r>
    </w:p>
    <w:p w:rsidR="005909EC" w:rsidRPr="000B735F" w:rsidRDefault="005909EC" w:rsidP="005909EC">
      <w:pPr>
        <w:pStyle w:val="Normal12"/>
      </w:pPr>
      <w:r>
        <w:rPr>
          <w:rStyle w:val="HideTWBExt"/>
          <w:noProof w:val="0"/>
        </w:rPr>
        <w:t>&lt;DocRef&gt;</w:t>
      </w:r>
      <w:r>
        <w:t>2017/2012(INI)</w:t>
      </w:r>
      <w:r>
        <w:rPr>
          <w:rStyle w:val="HideTWBExt"/>
          <w:noProof w:val="0"/>
        </w:rPr>
        <w:t>&lt;/DocRef&gt;</w:t>
      </w:r>
    </w:p>
    <w:p w:rsidR="005909EC" w:rsidRPr="000B735F" w:rsidRDefault="005909EC" w:rsidP="005909EC">
      <w:pPr>
        <w:pStyle w:val="Normal12Bold"/>
      </w:pPr>
      <w:r>
        <w:rPr>
          <w:rStyle w:val="HideTWBExt"/>
          <w:b w:val="0"/>
          <w:noProof w:val="0"/>
        </w:rPr>
        <w:t>&lt;DocAmend&gt;</w:t>
      </w:r>
      <w:r>
        <w:t>Návrh uznesenia (článok 170 ods. 3 rokovacieho poriadku), ktorým sa nahrádza návrh nelegislatívneho uznesenia A8-0167/2018</w:t>
      </w:r>
      <w:r>
        <w:rPr>
          <w:rStyle w:val="HideTWBExt"/>
          <w:b w:val="0"/>
          <w:noProof w:val="0"/>
        </w:rPr>
        <w:t>&lt;/DocAmend&gt;</w:t>
      </w:r>
    </w:p>
    <w:p w:rsidR="005909EC" w:rsidRPr="000B735F" w:rsidRDefault="00BC02AC" w:rsidP="005909EC">
      <w:pPr>
        <w:pStyle w:val="Normal12a12bBold"/>
      </w:pPr>
      <w:r>
        <w:rPr>
          <w:rStyle w:val="HideTWBExt"/>
          <w:b w:val="0"/>
          <w:noProof w:val="0"/>
        </w:rPr>
        <w:t>&lt;Article&gt;</w:t>
      </w:r>
      <w:r>
        <w:t>Uznesenie Európskeho parlamentu o rodovej rovnosti a posilnení postavenia žien: Ako môžu vonkajšie vzťahy EÚ v období 2016 – 2020 zmeniť život dievčat a žien</w:t>
      </w:r>
      <w:r>
        <w:rPr>
          <w:rStyle w:val="HideTWBExt"/>
          <w:b w:val="0"/>
          <w:noProof w:val="0"/>
        </w:rPr>
        <w:t>&lt;/Article&gt;</w:t>
      </w:r>
    </w:p>
    <w:p w:rsidR="005909EC" w:rsidRPr="000B735F" w:rsidRDefault="000B735F" w:rsidP="005909EC">
      <w:pPr>
        <w:pStyle w:val="Normal12"/>
      </w:pPr>
      <w:r>
        <w:rPr>
          <w:i/>
        </w:rPr>
        <w:t>Európsky parlament</w:t>
      </w:r>
      <w:r>
        <w:t>,</w:t>
      </w:r>
    </w:p>
    <w:p w:rsidR="00177429" w:rsidRPr="00F864C4" w:rsidRDefault="00177429" w:rsidP="00177429">
      <w:pPr>
        <w:pStyle w:val="Normal12Hanging"/>
      </w:pPr>
      <w:r>
        <w:t>–</w:t>
      </w:r>
      <w:r>
        <w:tab/>
        <w:t>so zreteľom na Dohovor OSN z 18. decembra 1979 o odstránení všetkých foriem diskriminácie žien (CEDAW),</w:t>
      </w:r>
    </w:p>
    <w:p w:rsidR="00177429" w:rsidRPr="00F864C4" w:rsidRDefault="00177429" w:rsidP="00177429">
      <w:pPr>
        <w:pStyle w:val="Normal12Hanging"/>
      </w:pPr>
      <w:r>
        <w:t>–</w:t>
      </w:r>
      <w:r>
        <w:tab/>
        <w:t>so zreteľom na Dohovor o boji proti obchodovaniu s ľuďmi (CETS č. 197) a Dohovor o ochrane detí pred sexuálnym vykorisťovaním a sexuálnym zneužívaním (CETS č. 201),</w:t>
      </w:r>
    </w:p>
    <w:p w:rsidR="00177429" w:rsidRPr="00F864C4" w:rsidRDefault="00177429" w:rsidP="00177429">
      <w:pPr>
        <w:pStyle w:val="Normal12Hanging"/>
      </w:pPr>
      <w:r>
        <w:t>–</w:t>
      </w:r>
      <w:r>
        <w:tab/>
        <w:t>so zreteľom na Dohovor Rady Európy z 11. mája 2011 o predchádzaní násiliu na ženách a domácemu násiliu a o boji proti nemu (Istanbulský dohovor),</w:t>
      </w:r>
    </w:p>
    <w:p w:rsidR="00177429" w:rsidRPr="00F864C4" w:rsidRDefault="00177429" w:rsidP="00177429">
      <w:pPr>
        <w:pStyle w:val="Normal12Hanging"/>
      </w:pPr>
      <w:r>
        <w:t>–</w:t>
      </w:r>
      <w:r>
        <w:tab/>
        <w:t>so zreteľom na správu Populačného fondu OSN (UNFPA) z roku 2012 s názvom Marrying Too Young – End Child Marriage (Sobáše príliš mladých – ukončenie manželstiev detí),</w:t>
      </w:r>
    </w:p>
    <w:p w:rsidR="00177429" w:rsidRPr="00F864C4" w:rsidRDefault="00177429" w:rsidP="00177429">
      <w:pPr>
        <w:pStyle w:val="Normal12Hanging"/>
      </w:pPr>
      <w:r>
        <w:t>–</w:t>
      </w:r>
      <w:r>
        <w:tab/>
        <w:t>so zreteľom na Pekinskú deklaráciu a akčnú platformu z roku 1995, ktoré boli prijaté na štvrtej svetovej konferencii, a so zreteľom na výsledky revíznych konferencií,</w:t>
      </w:r>
    </w:p>
    <w:p w:rsidR="00177429" w:rsidRPr="00F864C4" w:rsidRDefault="00177429" w:rsidP="00177429">
      <w:pPr>
        <w:pStyle w:val="Normal12Hanging"/>
      </w:pPr>
      <w:r>
        <w:t>–</w:t>
      </w:r>
      <w:r>
        <w:tab/>
        <w:t>so zreteľom na akčný program Medzinárodnej konferencie o populácii a rozvoji a na výsledky hodnotiacich konferencií,</w:t>
      </w:r>
    </w:p>
    <w:p w:rsidR="00177429" w:rsidRPr="00F864C4" w:rsidRDefault="00177429" w:rsidP="00177429">
      <w:pPr>
        <w:pStyle w:val="Normal12Hanging"/>
      </w:pPr>
      <w:r>
        <w:t>–</w:t>
      </w:r>
      <w:r>
        <w:tab/>
        <w:t>so zreteľom na rezolúcie Bezpečnostnej rady OSN o ženách, mieri a bezpečnosti č. 1325 (2000), č. 1820 (2009), č. 1888 (2009), č. 1889 (2010), č. 1960 (2011), č. 2106 (2013), č. 2122 (2013) a č. 2242 (2015),</w:t>
      </w:r>
    </w:p>
    <w:p w:rsidR="00177429" w:rsidRPr="00F864C4" w:rsidRDefault="00177429" w:rsidP="00177429">
      <w:pPr>
        <w:pStyle w:val="Normal12Hanging"/>
      </w:pPr>
      <w:r>
        <w:t>–</w:t>
      </w:r>
      <w:r>
        <w:tab/>
        <w:t>so zreteľom na akčný program z Addis Abeby prijatý na tretej medzinárodnej konferencii o financovaní rozvoja v júli 2015,</w:t>
      </w:r>
    </w:p>
    <w:p w:rsidR="00177429" w:rsidRPr="00F864C4" w:rsidRDefault="00177429" w:rsidP="00177429">
      <w:pPr>
        <w:pStyle w:val="Normal12Hanging"/>
      </w:pPr>
      <w:r>
        <w:t>–</w:t>
      </w:r>
      <w:r>
        <w:tab/>
        <w:t xml:space="preserve">so zreteľom na program trvalo udržateľného rozvoja do roku 2030, ktorý bol prijatý v </w:t>
      </w:r>
      <w:r>
        <w:lastRenderedPageBreak/>
        <w:t>septembri 2015 a nadobudol platnosť 1. januára 2016, a najmä na jeho ciele trvalo udržateľného rozvoja 1, 5, 8 a 10,</w:t>
      </w:r>
    </w:p>
    <w:p w:rsidR="00177429" w:rsidRPr="00F864C4" w:rsidRDefault="00177429" w:rsidP="00177429">
      <w:pPr>
        <w:pStyle w:val="Normal12Hanging"/>
      </w:pPr>
      <w:r>
        <w:t>–</w:t>
      </w:r>
      <w:r>
        <w:tab/>
        <w:t>so zreteľom na iniciatívu EÚ a OSN s názvom Spotlight Initiative,</w:t>
      </w:r>
    </w:p>
    <w:p w:rsidR="00177429" w:rsidRPr="00F864C4" w:rsidRDefault="00177429" w:rsidP="00177429">
      <w:pPr>
        <w:pStyle w:val="Normal12Hanging"/>
      </w:pPr>
      <w:r>
        <w:t>–</w:t>
      </w:r>
      <w:r>
        <w:tab/>
        <w:t>so zreteľom na články 2 a 3 ods. 3 Zmluvy o Európskej únii (Zmluva o EÚ),</w:t>
      </w:r>
    </w:p>
    <w:p w:rsidR="00177429" w:rsidRPr="00F864C4" w:rsidRDefault="00177429" w:rsidP="00177429">
      <w:pPr>
        <w:pStyle w:val="Normal12Hanging"/>
      </w:pPr>
      <w:r>
        <w:t>–</w:t>
      </w:r>
      <w:r>
        <w:tab/>
        <w:t>so zreteľom na články 8 a 208 Zmluvy o fungovaní Európskej únie (ZFEÚ),</w:t>
      </w:r>
    </w:p>
    <w:p w:rsidR="00177429" w:rsidRPr="00F864C4" w:rsidRDefault="00177429" w:rsidP="00177429">
      <w:pPr>
        <w:pStyle w:val="Normal12Hanging"/>
      </w:pPr>
      <w:r>
        <w:t>–</w:t>
      </w:r>
      <w:r>
        <w:tab/>
        <w:t>so zreteľom na akčný plán EÚ pre rodovú rovnosť na roky 2010 – 2015 (GAP I),</w:t>
      </w:r>
    </w:p>
    <w:p w:rsidR="00177429" w:rsidRPr="00F864C4" w:rsidRDefault="00177429" w:rsidP="00177429">
      <w:pPr>
        <w:pStyle w:val="Normal12Hanging"/>
      </w:pPr>
      <w:r>
        <w:t>–</w:t>
      </w:r>
      <w:r>
        <w:tab/>
        <w:t>so zreteľom na Európsky pakt pre rodovú rovnosť (2011 – 2020), ktorý prijala Rada 7. marca 2011,</w:t>
      </w:r>
    </w:p>
    <w:p w:rsidR="00177429" w:rsidRPr="00F864C4" w:rsidRDefault="00177429" w:rsidP="00177429">
      <w:pPr>
        <w:pStyle w:val="Normal12Hanging"/>
      </w:pPr>
      <w:r>
        <w:t>–</w:t>
      </w:r>
      <w:r>
        <w:tab/>
        <w:t>so zreteľom na oznámenie Komisie z 21. septembra 2010 s názvom Hodnotenie predností a nedostatkov stratégie pre rovnosť medzi ženami a mužmi v rokoch 2010 – 2015 (COM(2010)0491),</w:t>
      </w:r>
    </w:p>
    <w:p w:rsidR="00177429" w:rsidRPr="00F864C4" w:rsidRDefault="00177429" w:rsidP="00177429">
      <w:pPr>
        <w:pStyle w:val="Normal12Hanging"/>
      </w:pPr>
      <w:r>
        <w:t>–</w:t>
      </w:r>
      <w:r>
        <w:tab/>
        <w:t>so zreteľom na spoločné oznámenie Európskej komisie a vysokej predstaviteľky Únie pre zahraničné veci a bezpečnostnú politiku Európskemu parlamentu a Rade z 28. apríla 2015 s názvom Akčný plán EÚ pre ľudské práva a demokraciu (2015 – 2019), Udržiavanie problematiky ľudských práv v centre programu EÚ z 28. apríla 2015 (JOIN(2015)(0016)),</w:t>
      </w:r>
    </w:p>
    <w:p w:rsidR="00177429" w:rsidRPr="00F864C4" w:rsidRDefault="00177429" w:rsidP="00177429">
      <w:pPr>
        <w:pStyle w:val="Normal12Hanging"/>
      </w:pPr>
      <w:r>
        <w:t>–</w:t>
      </w:r>
      <w:r>
        <w:tab/>
        <w:t>so zreteľom na závery Rady o rodovej otázke v oblasti rozvoja z 26. mája 2015,</w:t>
      </w:r>
    </w:p>
    <w:p w:rsidR="00177429" w:rsidRPr="00F864C4" w:rsidRDefault="00177429" w:rsidP="00177429">
      <w:pPr>
        <w:pStyle w:val="Normal12Hanging"/>
      </w:pPr>
      <w:r>
        <w:t>–</w:t>
      </w:r>
      <w:r>
        <w:tab/>
        <w:t>so zreteľom na akčný plán EÚ pre rodovú rovnosť na roky 2016 – 2020 (GAP II), ktorý Rada EÚ prijala 26. októbra 2015, a na výročnú správu o jeho vykonávaní za rok 2016, ktorú 29. augusta 2017 zverejnila Európska komisia a vysoká predstaviteľka,</w:t>
      </w:r>
    </w:p>
    <w:p w:rsidR="00177429" w:rsidRPr="00F864C4" w:rsidRDefault="00177429" w:rsidP="00177429">
      <w:pPr>
        <w:pStyle w:val="Normal12Hanging"/>
      </w:pPr>
      <w:r>
        <w:t>–</w:t>
      </w:r>
      <w:r>
        <w:tab/>
        <w:t>so zreteľom na dokument Európskej komisie nazvaný Strategický záväzok k rodovej rovnosti na obdobie rokov 2016 – 2019 z 3. decembra 2015,</w:t>
      </w:r>
    </w:p>
    <w:p w:rsidR="00177429" w:rsidRPr="00F864C4" w:rsidRDefault="00177429" w:rsidP="00177429">
      <w:pPr>
        <w:pStyle w:val="Normal12Hanging"/>
      </w:pPr>
      <w:r>
        <w:t>–</w:t>
      </w:r>
      <w:r>
        <w:tab/>
        <w:t>so zreteľom na Globálnu stratégiu EÚ pre zahraničnú a bezpečnostnú politiku Európskej únie z júna 2016,</w:t>
      </w:r>
    </w:p>
    <w:p w:rsidR="00177429" w:rsidRPr="00F864C4" w:rsidRDefault="00177429" w:rsidP="00177429">
      <w:pPr>
        <w:pStyle w:val="Normal12Hanging"/>
      </w:pPr>
      <w:r>
        <w:t>–</w:t>
      </w:r>
      <w:r>
        <w:tab/>
        <w:t>so zreteľom na článok 208 Lisabonskej zmluvy, v ktorom je ustanovená zásada súdržnosti politík v záujme rozvoja, ktorá vyžaduje, aby sa ciele rozvojovej spolupráce zohľadňovali v politikách, ktoré môžu mať vplyv na rozvojové krajiny,</w:t>
      </w:r>
    </w:p>
    <w:p w:rsidR="00177429" w:rsidRPr="00F864C4" w:rsidRDefault="00177429" w:rsidP="00177429">
      <w:pPr>
        <w:pStyle w:val="Normal12Hanging"/>
      </w:pPr>
      <w:r>
        <w:t>–</w:t>
      </w:r>
      <w:r>
        <w:tab/>
        <w:t>so zreteľom na Európsky konsenzus o rozvoji,</w:t>
      </w:r>
    </w:p>
    <w:p w:rsidR="00177429" w:rsidRPr="00F864C4" w:rsidRDefault="00177429" w:rsidP="00177429">
      <w:pPr>
        <w:pStyle w:val="Normal12Hanging"/>
      </w:pPr>
      <w:r>
        <w:t>–</w:t>
      </w:r>
      <w:r>
        <w:tab/>
        <w:t>so zreteľom na svoje uznesenie z 8. októbra 2015 o obnovení akčného plánu EÚ o rodovej rovnosti a posilnení postavenia žien v rámci rozvojovej spolupráce</w:t>
      </w:r>
      <w:r w:rsidRPr="00F864C4">
        <w:rPr>
          <w:rStyle w:val="FootnoteReference"/>
          <w:szCs w:val="24"/>
        </w:rPr>
        <w:footnoteReference w:id="1"/>
      </w:r>
      <w:r>
        <w:t>,</w:t>
      </w:r>
    </w:p>
    <w:p w:rsidR="00177429" w:rsidRDefault="00177429" w:rsidP="00177429">
      <w:pPr>
        <w:pStyle w:val="Normal12Hanging"/>
      </w:pPr>
      <w:r>
        <w:t>–</w:t>
      </w:r>
      <w:r>
        <w:tab/>
        <w:t>so zreteľom na svoje uznesenie zo 14. februára 2017 o revízii Európskeho konsenzu o rozvoji</w:t>
      </w:r>
      <w:r w:rsidRPr="00F864C4">
        <w:rPr>
          <w:rStyle w:val="FootnoteReference"/>
          <w:szCs w:val="24"/>
        </w:rPr>
        <w:footnoteReference w:id="2"/>
      </w:r>
      <w:r>
        <w:t>,</w:t>
      </w:r>
    </w:p>
    <w:p w:rsidR="00177429" w:rsidRPr="00F864C4" w:rsidRDefault="00177429" w:rsidP="00177429">
      <w:pPr>
        <w:pStyle w:val="Normal12Hanging"/>
      </w:pPr>
      <w:r>
        <w:t>–</w:t>
      </w:r>
      <w:r>
        <w:tab/>
        <w:t>so zreteľom na usmernenia EÚ na presadzovanie a ochranu všetkých ľudských práv lesieb, gejov, bisexuálnych, transrodových a intersexuálnych osôb (LGBTI) prijaté 24. júna 2013,</w:t>
      </w:r>
    </w:p>
    <w:p w:rsidR="00177429" w:rsidRPr="00F864C4" w:rsidRDefault="00177429" w:rsidP="00177429">
      <w:pPr>
        <w:pStyle w:val="Normal12Hanging"/>
      </w:pPr>
      <w:r>
        <w:t>–</w:t>
      </w:r>
      <w:r>
        <w:tab/>
        <w:t>so zreteľom na správu organizácie COC Holandsko o vykonávaní usmernení EÚ týkajúcich sa LGBTI osôb</w:t>
      </w:r>
      <w:r w:rsidRPr="00F864C4">
        <w:rPr>
          <w:rStyle w:val="FootnoteReference"/>
        </w:rPr>
        <w:footnoteReference w:id="3"/>
      </w:r>
      <w:r>
        <w:t>,</w:t>
      </w:r>
    </w:p>
    <w:p w:rsidR="00177429" w:rsidRPr="00F864C4" w:rsidRDefault="00177429" w:rsidP="00177429">
      <w:pPr>
        <w:pStyle w:val="Normal12Hanging"/>
      </w:pPr>
      <w:r>
        <w:t>–</w:t>
      </w:r>
      <w:r>
        <w:tab/>
        <w:t>so zreteľom na článok 52 rokovacieho poriadku,</w:t>
      </w:r>
    </w:p>
    <w:p w:rsidR="00177429" w:rsidRPr="00F864C4" w:rsidRDefault="00177429" w:rsidP="00177429">
      <w:pPr>
        <w:pStyle w:val="Normal12Hanging"/>
      </w:pPr>
      <w:r>
        <w:t>–</w:t>
      </w:r>
      <w:r>
        <w:tab/>
        <w:t>so zreteľom na spoločné schôdze Výboru pre rozvoj a Výboru pre práva žien a rodovú rovnosť podľa článku 55 rokovacieho poriadku,</w:t>
      </w:r>
    </w:p>
    <w:p w:rsidR="00177429" w:rsidRPr="00F864C4" w:rsidRDefault="00177429" w:rsidP="00177429">
      <w:pPr>
        <w:pStyle w:val="Normal12Hanging"/>
      </w:pPr>
      <w:r>
        <w:t>–</w:t>
      </w:r>
      <w:r>
        <w:tab/>
        <w:t>so zreteľom na správu Výboru pre rozvoj a Výboru pre práva žien a rodovú rovnosť a stanovisko Výboru pre zahraničné veci (A8-0167/2018),</w:t>
      </w:r>
    </w:p>
    <w:p w:rsidR="00177429" w:rsidRPr="00F864C4" w:rsidRDefault="00177429" w:rsidP="00177429">
      <w:pPr>
        <w:pStyle w:val="Normal12Hanging"/>
      </w:pPr>
      <w:r>
        <w:t>A.</w:t>
      </w:r>
      <w:r>
        <w:tab/>
        <w:t xml:space="preserve">keďže zásada rovnosti žien a mužov je základnou hodnotou EÚ a je zakotvená v zmluvách EÚ a v Charte základných práv, a rodový rozmer je preto dôležitým nástrojom v začleňovaní tejto zásady do politík, opatrení a činností EÚ, aby sa zaistila rovnosť v praxi a dosiahol sa trvalo udržateľný rozvoj; keďže rovnosť a posilnenie postavenia žien sú základnou podmienkou splnenia cieľov trvalo udržateľného rozvoja na obdobie po roku 2015 a tiež samostatnou témou v oblasti ľudských práv; </w:t>
      </w:r>
    </w:p>
    <w:p w:rsidR="00177429" w:rsidRPr="00F864C4" w:rsidRDefault="00177429" w:rsidP="00177429">
      <w:pPr>
        <w:pStyle w:val="Normal12Hanging"/>
      </w:pPr>
      <w:r>
        <w:t>B.</w:t>
      </w:r>
      <w:r>
        <w:tab/>
        <w:t>keďže piatym cieľom trvalo udržateľného rozvoja je dosiahnutie rodovej rovnosti a posilnenie postavenia všetkých žien a dievčat na celom svete, a keďže tento cieľ je nutné uplatňovať v celom programe 2030, a to s cieľom dosiahnuť pokrok v plnení všetkých cieľov trvalo udržateľného rozvoja;</w:t>
      </w:r>
    </w:p>
    <w:p w:rsidR="00177429" w:rsidRPr="00F864C4" w:rsidRDefault="00177429" w:rsidP="00177429">
      <w:pPr>
        <w:pStyle w:val="Normal12Hanging"/>
      </w:pPr>
      <w:r>
        <w:t>C.</w:t>
      </w:r>
      <w:r>
        <w:tab/>
        <w:t>keďže žiadna rozvojová stratégia nemôže byť účinná, kým v nej ženy a dievčatá nebudú zohrávať ústrednú úlohu;</w:t>
      </w:r>
    </w:p>
    <w:p w:rsidR="00177429" w:rsidRPr="00F864C4" w:rsidRDefault="00177429" w:rsidP="00177429">
      <w:pPr>
        <w:pStyle w:val="Normal12Hanging"/>
      </w:pPr>
      <w:r>
        <w:t>D.</w:t>
      </w:r>
      <w:r>
        <w:tab/>
        <w:t>keďže pôvodný akčný plán EÚ pre rodovú rovnosť (2010 – 2015) (GAP I) priniesol určitý pokrok, ale obsahoval aj mnoho nedostatkov: úzky rozsah, absencia rodovo citlivého rozpočtovania, nedostatočné chápanie rámca rodovej rovnosti zo strany delegácií EÚ, nedostatočné odhodlanie vedenia EÚ a slabá inštitucionálna štruktúra a stimuly na motivovanie a primeranú podporu zamestnancov;</w:t>
      </w:r>
    </w:p>
    <w:p w:rsidR="00177429" w:rsidRPr="00F864C4" w:rsidRDefault="00177429" w:rsidP="00177429">
      <w:pPr>
        <w:pStyle w:val="Normal12Hanging"/>
      </w:pPr>
      <w:r>
        <w:t>E.</w:t>
      </w:r>
      <w:r>
        <w:tab/>
        <w:t xml:space="preserve">keďže Parlament vo svojom uznesení z 8. októbra 2015 vyzval na nápravu týchto nedostatkov a prijatie ďalších zmien vrátane rozšírenia rozsahu tohto akčného plánu a zvýšenia zodpovednosti riadiacich pracovníkov v oblasti rodovej rovnosti; </w:t>
      </w:r>
    </w:p>
    <w:p w:rsidR="00177429" w:rsidRPr="00F864C4" w:rsidRDefault="00177429" w:rsidP="00177429">
      <w:pPr>
        <w:pStyle w:val="Normal12Hanging"/>
      </w:pPr>
      <w:r>
        <w:t>F.</w:t>
      </w:r>
      <w:r>
        <w:tab/>
        <w:t>keďže v roku 2018 si pripomíname 70. výročie prijatia Všeobecnej deklarácie ľudských práv a keďže zásada rovnosti tvorí jadro vízie ľudských práv v Charte Organizácie Spojených národov z roku 1945, kde sa uvádza, že ľudské práva a základné slobody by sa mali vzťahovať na všetky ľudské bytosti „bez diskriminácie na základe rasy, pohlavia, jazyka či náboženstva“;</w:t>
      </w:r>
    </w:p>
    <w:p w:rsidR="00177429" w:rsidRPr="00F864C4" w:rsidRDefault="00177429" w:rsidP="00177429">
      <w:pPr>
        <w:pStyle w:val="Normal12Hanging"/>
      </w:pPr>
      <w:r>
        <w:t>G.</w:t>
      </w:r>
      <w:r>
        <w:tab/>
        <w:t>keďže nový akčný plán pre rodovú rovnosť 2016 – 2020 (GAP II) vyplynul z týchto odporúčaní Parlamentu so zameraním na posun v inštitucionálnej kultúre EÚ na úrovni ústredia a delegácií s cieľom vytvoriť systémové zmeny v spôsobe, akým EÚ pristupuje k zásade rovnosti medzi ženami a mužmi, ako aj na premenu životov žien a dievčat prostredníctvom štyroch kľúčových oblastí;</w:t>
      </w:r>
    </w:p>
    <w:p w:rsidR="00177429" w:rsidRPr="00F864C4" w:rsidRDefault="00177429" w:rsidP="00177429">
      <w:pPr>
        <w:pStyle w:val="Normal12Hanging"/>
      </w:pPr>
      <w:r>
        <w:t>H.</w:t>
      </w:r>
      <w:r>
        <w:tab/>
        <w:t>keďže štyri kľúčové oblasti vytvorené v rámci GAP II sú: zabezpečiť telesnú a duševnú integritu dievčat a žien; podporovať hospodárske a sociálne práva a posilňovanie postavenia dievčat a žien; posilniť vplyv a účasť dievčat a žien; a horizontálny pilier, ktorý pozostáva z posunu inštitucionálnej kultúry útvarov Komisie a ESVČ s cieľom účinnejšie plniť záväzky EÚ;</w:t>
      </w:r>
    </w:p>
    <w:p w:rsidR="00177429" w:rsidRPr="00F864C4" w:rsidRDefault="00177429" w:rsidP="00177429">
      <w:pPr>
        <w:pStyle w:val="Normal12Hanging"/>
      </w:pPr>
      <w:r>
        <w:t>I.</w:t>
      </w:r>
      <w:r>
        <w:tab/>
        <w:t>keďže Parlament vo svojom uznesení z 3. októbra 2017 o riešení problému zmenšujúceho sa priestoru občianskej spoločnosti v rozvojových krajinách</w:t>
      </w:r>
      <w:r w:rsidRPr="00F864C4">
        <w:rPr>
          <w:rStyle w:val="FootnoteReference"/>
        </w:rPr>
        <w:footnoteReference w:id="4"/>
      </w:r>
      <w:r>
        <w:t xml:space="preserve"> zdôrazňuje veľký význam presadzovania rodovej rovnosti a posilňovania postavenia žien prostredníctvom vonkajších vzťahov EÚ;</w:t>
      </w:r>
    </w:p>
    <w:p w:rsidR="00177429" w:rsidRPr="00F864C4" w:rsidRDefault="00177429" w:rsidP="00177429">
      <w:pPr>
        <w:pStyle w:val="Normal12Hanging"/>
      </w:pPr>
      <w:r>
        <w:t>J.</w:t>
      </w:r>
      <w:r>
        <w:tab/>
        <w:t xml:space="preserve">keďže podľa Komisie sa finančné záväzky EÚ v oblasti rodovej rovnosti a posilnenia postavenia žien zvýšili; keďže je nesmierne dôležité posúdiť rozpočtové prostriedky pridelené na opatrenia zamerané na plnenie týchto cieľov a začleniť ich do systémov monitorovania programov a projektov a do procesov hodnotenia; </w:t>
      </w:r>
    </w:p>
    <w:p w:rsidR="00177429" w:rsidRPr="00F864C4" w:rsidRDefault="00177429" w:rsidP="00177429">
      <w:pPr>
        <w:pStyle w:val="Normal12Hanging"/>
      </w:pPr>
      <w:r>
        <w:t>K.</w:t>
      </w:r>
      <w:r>
        <w:tab/>
        <w:t>zdôrazňuje, že účasť žien na hospodárskej aktivite je nevyhnutná pre udržateľný rozvoj a hospodársky rast;</w:t>
      </w:r>
    </w:p>
    <w:p w:rsidR="00177429" w:rsidRPr="00F864C4" w:rsidRDefault="00177429" w:rsidP="00177429">
      <w:pPr>
        <w:pStyle w:val="Normal12Hanging"/>
      </w:pPr>
      <w:r>
        <w:t>L.</w:t>
      </w:r>
      <w:r>
        <w:tab/>
        <w:t>keďže rok po prijatí GAP II je príliš skoro na riadne posúdenie jeho vplyvu; keďže pred hodnotením opatrení na úrovni EÚ sa odporúča interval aspoň troch rokov od intervencie alebo uplatňovania politiky; keďže cieľom tejto správy preto nie je diskutovať o cieľoch GAP II, ale posúdiť, ako sa stanovené ciele plnili v prvom roku, a odporučiť opatrenia na zlepšenie vykonávania v nasledujúcich rokoch;</w:t>
      </w:r>
    </w:p>
    <w:p w:rsidR="00177429" w:rsidRPr="00F864C4" w:rsidRDefault="00177429" w:rsidP="00177429">
      <w:pPr>
        <w:pStyle w:val="Normal12Hanging"/>
      </w:pPr>
      <w:r>
        <w:t>M.</w:t>
      </w:r>
      <w:r>
        <w:tab/>
        <w:t>keďže Dohovor o právach dieťaťa podpísalo 195 krajín, je právne záväzný a predstavuje základný nástroj na riešenie zraniteľnej situácie dievčat a ich potreby osobitnej ochrany a starostlivosti;</w:t>
      </w:r>
    </w:p>
    <w:p w:rsidR="00177429" w:rsidRPr="00F864C4" w:rsidRDefault="00177429" w:rsidP="00177429">
      <w:pPr>
        <w:pStyle w:val="Normal12Hanging"/>
      </w:pPr>
      <w:r>
        <w:t>N.</w:t>
      </w:r>
      <w:r>
        <w:tab/>
        <w:t>keďže delegácie a misie EÚ sú v popredí úsilia o vykonávanie akčného plánu GAP II v partnerských krajinách a vedenie a znalosti vedúcich aj ostatných pracovníkov delegácií a misií má významnú úlohu pri zaisťovaní úspešného vykonávania akčného plánu GAP II; keďže sa odporúča, aby prístup k vedúcim a riadiacim pozíciám v delegáciách EÚ malo viac žien;</w:t>
      </w:r>
    </w:p>
    <w:p w:rsidR="00177429" w:rsidRPr="00F864C4" w:rsidRDefault="00177429" w:rsidP="00177429">
      <w:pPr>
        <w:pStyle w:val="Normal12Hanging"/>
      </w:pPr>
      <w:r>
        <w:t>O.</w:t>
      </w:r>
      <w:r>
        <w:tab/>
        <w:t>keďže na lesby, homosexuálne, bisexuálne, transrodové a intersexuálne osoby (LGBTI) sa vzťahuje ochrana na základe existujúcich medzinárodných ľudsko-právnych predpisov a keďže usmernenia EÚ týkajúce sa LGBTI slúžia na to, aby osoby LGBTI mohli plne uplatňovať ľudské práva;</w:t>
      </w:r>
    </w:p>
    <w:p w:rsidR="00177429" w:rsidRPr="00F864C4" w:rsidRDefault="00177429" w:rsidP="00177429">
      <w:pPr>
        <w:pStyle w:val="Normal12Hanging"/>
      </w:pPr>
      <w:r>
        <w:t>P.</w:t>
      </w:r>
      <w:r>
        <w:tab/>
        <w:t xml:space="preserve">keďže mužov a ženy zasahujú konflikty, situácie po skončení konfliktov a nestabilné situácie rozdielne; keďže ženy sú nielen obete, ale aj vykonávateľky pozitívnych zmien, ktoré by mohli prispieť k predchádzaniu a riešeniu konfliktov, budovaniu mieru, mierovým rokovaniam a obnove po skončení konfliktu; keďže ženy a dievčatá môžu zažívať rôzne formy diskriminácie a byť viac vystavené chudobe; keďže každá tretia žena na svete pravdepodobne niekedy v živote zažije fyzické a sexuálne násilie; keďže 14 miliónov dievčat každoročne donútia k sobášu; </w:t>
      </w:r>
    </w:p>
    <w:p w:rsidR="00177429" w:rsidRPr="00F864C4" w:rsidRDefault="00177429" w:rsidP="00177429">
      <w:pPr>
        <w:pStyle w:val="Normal12Hanging"/>
      </w:pPr>
      <w:r>
        <w:t>1.</w:t>
      </w:r>
      <w:r>
        <w:tab/>
        <w:t>berie na vedomie prvú výročnú správu o vykonávaní akčného plánu za rok 2016, ktorá bola zverejnená v auguste 2017 a ktorá ukazuje na jasný posun smerom k vykonávaniu akčného plánu GAP II;</w:t>
      </w:r>
    </w:p>
    <w:p w:rsidR="00177429" w:rsidRPr="00F864C4" w:rsidRDefault="00177429" w:rsidP="00177429">
      <w:pPr>
        <w:pStyle w:val="Normal12Hanging"/>
      </w:pPr>
      <w:r>
        <w:t>2.</w:t>
      </w:r>
      <w:r>
        <w:tab/>
        <w:t>zdôrazňuje, že rok od prijatia GAP II je akčný plán ešte len na začiatku, no všeobecné smerovanie je vítané a zaznamenali sa niektoré pozitívne trendy; konštatuje však tiež mnohé problémy v oblasti podávania správ a vykonávania kľúčových priorít a cieľov trvalo udržateľného rozvoja súvisiacich s rodovou rovnosťou, monitorovania pokroku dosahovaného pri plnení všetkých cieľov, ako aj v súvislosti s uplatňovaním hľadiska rodovej rovnosti v politickom dialógu;</w:t>
      </w:r>
    </w:p>
    <w:p w:rsidR="00177429" w:rsidRPr="00F864C4" w:rsidRDefault="00177429" w:rsidP="00177429">
      <w:pPr>
        <w:pStyle w:val="Normal12Hanging"/>
      </w:pPr>
      <w:r>
        <w:t>3.</w:t>
      </w:r>
      <w:r>
        <w:tab/>
        <w:t>konštatuje, že využívanie najmodernejších spôsobov politického výskumu a rozsiahlych dôkazových materiálov zásadným spôsobom prispieva k zhromažďovaniu znalostí o rodovej rovnosti a posilňovaní postavenia žien, čo umožňuje rozvíjať politiky a stratégie, ktoré zvyšujú schopnosť Únie rodovú rovnosť reálne uplatňovať; žiada preto ESVČ a Komisiu, aby sa osobitne zamerali na svoj cieľ zabezpečiť nezávislé hodnotenie vykonávania opatrení stanovených v prílohe 1 GAP II;</w:t>
      </w:r>
    </w:p>
    <w:p w:rsidR="00177429" w:rsidRPr="00F864C4" w:rsidRDefault="00177429" w:rsidP="00177429">
      <w:pPr>
        <w:pStyle w:val="Normal12Hanging"/>
      </w:pPr>
      <w:r>
        <w:t>4.</w:t>
      </w:r>
      <w:r>
        <w:tab/>
        <w:t xml:space="preserve">poznamenáva, že GAP II zahŕňa komplexný program, ktorý sa prejavuje v rámci celého programu zahraničnej politiky EÚ, a v tejto súvislosti víta výber troch tematických pilierov, konkrétne zaistenie telesnej a duševnej integrity žien a dievčat, presadzovanie hospodárskych a sociálnych práv, posilnenie postavenia dievčat a žien a posilnenie hlasu a zapojenia dievčat a žien; zdôrazňuje, že tieto piliere sú určené na riešenie hlavných faktorov a príčin diskriminácie a marginalizácie; berie na vedomie aj horizontálny pilier, ktorý pozostáva z posunu inštitucionálnej kultúry útvarov Komisie a ESVČ s cieľom účinnejšie plniť záväzky EÚ týkajúce sa rodovej rovnosti a posilnenia postavenia žien prostredníctvom vonkajších vzťahov Únie; </w:t>
      </w:r>
    </w:p>
    <w:p w:rsidR="00177429" w:rsidRPr="00F864C4" w:rsidRDefault="00177429" w:rsidP="00177429">
      <w:pPr>
        <w:pStyle w:val="Normal12Hanging"/>
      </w:pPr>
      <w:r>
        <w:t>5.</w:t>
      </w:r>
      <w:r>
        <w:tab/>
        <w:t>poukazuje na to, že hlavné ovplyvňujúce faktory a príčiny, ktoré vedú k diskriminácii a marginalizácii, zahŕňajú: sexuálne a rodovo motivované násilie páchané na ženách a dievčatách, ako aj škodlivé tradície, napríklad detské manželstvá a mrzačenie ženských pohlavných orgánov; neadekvátny prístup k základným službám, napríklad v oblasti zdravia, vzdelávania, vody, sanitácie a výživy; ťažkosti pri získavaní prístupu k sexuálnemu a reprodukčnému zdraviu a nerovnaká účasť vo verejných a súkromných inštitúciách, ako aj v procesoch politického rozhodovania a v mierových procesoch; vyzýva delegácie EÚ, aby zaistili účinné a pravidelné zhromažďovanie údajov o násilí páchanom na ženách a dievčatách, rozpracovali odporúčania pre jednotlivé krajiny, a aby podporovali vytváranie ochranných mechanizmov a primeraných podporných štruktúr pre obete;</w:t>
      </w:r>
    </w:p>
    <w:p w:rsidR="00177429" w:rsidRPr="00F864C4" w:rsidRDefault="00177429" w:rsidP="00177429">
      <w:pPr>
        <w:pStyle w:val="Normal12Hanging"/>
      </w:pPr>
      <w:r>
        <w:t>6.</w:t>
      </w:r>
      <w:r>
        <w:tab/>
        <w:t>zdôrazňuje, že je potrebné účinnejšie využívanie rozpočtových príspevkov na programy prevencie detských manželstiev zamerané na vytvorenie prostredia, kde dievčatá môžu dosiahnuť svoj plný potenciál, a to aj prostredníctvom vzdelávania, mimoškolských sociálnych a hospodárskych programov pre dievčatá, systémov ochrany detí, chráneného bývania pre dievčatá a ženy, právneho poradenstva a psychologickej podpory;</w:t>
      </w:r>
    </w:p>
    <w:p w:rsidR="00177429" w:rsidRPr="00F864C4" w:rsidRDefault="00177429" w:rsidP="00177429">
      <w:pPr>
        <w:pStyle w:val="Normal12Hanging"/>
      </w:pPr>
      <w:r>
        <w:t>7.</w:t>
      </w:r>
      <w:r>
        <w:tab/>
        <w:t>konštatuje, že rodová nerovnosť sa prekrýva s inými formami nerovnosti a prehlbuje ich a že pochopenie tohto bodu musí usmerňovať výber priorít a záväzkov v oblasti krokov;</w:t>
      </w:r>
    </w:p>
    <w:p w:rsidR="00177429" w:rsidRPr="00F864C4" w:rsidRDefault="00177429" w:rsidP="00177429">
      <w:pPr>
        <w:pStyle w:val="Normal12Hanging"/>
      </w:pPr>
      <w:r>
        <w:t>8.</w:t>
      </w:r>
      <w:r>
        <w:tab/>
        <w:t>vyzýva, aby sa pri vykonávaní akčného plánu GAP II zamerala väčšia pozornosť na dievčatá a ženy trpiace ďalšími formami diskriminácie na základe etnicity, sexuality, zdravotného postihnutia, kasty či veku, a aby sa podľa toho rozčleňovali údaje;</w:t>
      </w:r>
    </w:p>
    <w:p w:rsidR="00177429" w:rsidRPr="00F864C4" w:rsidRDefault="00177429" w:rsidP="00177429">
      <w:pPr>
        <w:pStyle w:val="Normal12Hanging"/>
      </w:pPr>
      <w:r>
        <w:t>9.</w:t>
      </w:r>
      <w:r>
        <w:tab/>
        <w:t>trvá na tom, že väčšie zapojenie žien do trhu práce, lepšia podpora podnikania žien, ochrana rovnosti príležitostí a rovnosti odmien mužov a žien, a podpora rovnováhy pracovného a osobného života sú kľúčové faktory dosahovania dlhodobého inkluzívneho hospodárskeho rastu, boja proti nerovnostiam, a podpory finančnej nezávislosti žien;</w:t>
      </w:r>
    </w:p>
    <w:p w:rsidR="00177429" w:rsidRPr="00F864C4" w:rsidRDefault="00177429" w:rsidP="00177429">
      <w:pPr>
        <w:pStyle w:val="Normal12Hanging"/>
      </w:pPr>
      <w:r>
        <w:t>10.</w:t>
      </w:r>
      <w:r>
        <w:tab/>
        <w:t xml:space="preserve">víta pevný rámec na monitorovanie a zodpovednosť vytvorený na meranie a sledovanie pokroku GAP II a uznáva, že jeho vyššie ambície predstavujú pre EÚ skutočnú príležitosť na presadzovanie rovnosti žien a mužov, ako aj posilnenie postavenia dievčat a žien v oblasti vonkajších vzťahov; uznáva však, že treba prehĺbiť chápanie a harmonizáciu tohto rámca, aby bolo možné riadne posúdiť dôsledky opatrení EÚ; </w:t>
      </w:r>
    </w:p>
    <w:p w:rsidR="00177429" w:rsidRPr="00F864C4" w:rsidRDefault="00177429" w:rsidP="00177429">
      <w:pPr>
        <w:pStyle w:val="Normal12Hanging"/>
      </w:pPr>
      <w:r>
        <w:t>11.</w:t>
      </w:r>
      <w:r>
        <w:tab/>
        <w:t>uznáva význam posilnenia politík a opatrení podporujúcich vzdelanie dievčat a jeho vplyv z hľadiska posilňovania ich postavenia; poukazuje na to, že dievčatá a mladé ženy sú osobitne zraniteľné a že sa treba osobitne zamerať na zabezpečenie ich prístupu ku všetkým úrovniam vzdelávania; vyzýva v tomto smere na zváženie viacerých príležitostí v oblasti vedy, technológie, inžinierstva a matematiky (vedné odbory STEM);</w:t>
      </w:r>
    </w:p>
    <w:p w:rsidR="00177429" w:rsidRPr="00F864C4" w:rsidRDefault="00177429" w:rsidP="00177429">
      <w:pPr>
        <w:pStyle w:val="Normal12Hanging"/>
      </w:pPr>
      <w:r>
        <w:t>12.</w:t>
      </w:r>
      <w:r>
        <w:tab/>
        <w:t>poukazuje na to, že na podporu práv žien a ich ekonomického postavenia v jednotlivých hospodárskych odvetviach je nevyhnutné väčšie zapojenie verejného a súkromného sektora; zdôrazňuje potrebu zapojenia a zastúpenia žien v nových hospodárskych oblastiach, ktoré sú dôležité pre trvalo udržateľný rozvoj vrátane IKT; zdôrazňuje, že podnikanie zohráva pri posilňovaní práv žien významnú úlohu; v tomto kontexte požaduje, aby sa viac podporovali miestne MSP, najmä podnikateľky, aby sa im umožnilo mať prospech z rastu pod vedením súkromného sektora;</w:t>
      </w:r>
    </w:p>
    <w:p w:rsidR="00177429" w:rsidRPr="00F864C4" w:rsidRDefault="00177429" w:rsidP="00177429">
      <w:pPr>
        <w:pStyle w:val="Normal12Hanging"/>
      </w:pPr>
      <w:r>
        <w:t>13.</w:t>
      </w:r>
      <w:r>
        <w:tab/>
        <w:t>zdôrazňuje, že treba posilniť postavenie žien z vidieka zlepšením ich prístupu k pôde, vode, vzdelaniu a odbornej príprave, trhom a finančným službám;</w:t>
      </w:r>
    </w:p>
    <w:p w:rsidR="00177429" w:rsidRPr="00F864C4" w:rsidRDefault="00177429" w:rsidP="00177429">
      <w:pPr>
        <w:pStyle w:val="Normal12Hanging"/>
      </w:pPr>
      <w:r>
        <w:t>14.</w:t>
      </w:r>
      <w:r>
        <w:tab/>
        <w:t>vyzýva EÚ, aby podporovala väčšie zapojenie žien do procesov udržiavania a budovania mieru, do vojenských misií EÚ a do civilných misií EÚ zameraných na krízové riadenie;</w:t>
      </w:r>
    </w:p>
    <w:p w:rsidR="00177429" w:rsidRPr="00F864C4" w:rsidRDefault="00177429" w:rsidP="00177429">
      <w:pPr>
        <w:pStyle w:val="Normal12Hanging"/>
        <w:rPr>
          <w:b/>
          <w:i/>
        </w:rPr>
      </w:pPr>
      <w:r>
        <w:rPr>
          <w:b/>
          <w:i/>
        </w:rPr>
        <w:t>Úspechy GAP II</w:t>
      </w:r>
    </w:p>
    <w:p w:rsidR="00177429" w:rsidRPr="00F864C4" w:rsidRDefault="00177429" w:rsidP="00177429">
      <w:pPr>
        <w:pStyle w:val="Normal12Hanging"/>
      </w:pPr>
      <w:r>
        <w:t>15.</w:t>
      </w:r>
      <w:r>
        <w:tab/>
        <w:t>víta rozšírenie akčného plán pre rodovú rovnosť do všetkých vonkajších služieb EÚ a členských štátov a berie na vedomie pokrok v posune v inštitucionálnej kultúre EÚ na úrovni ústredia a delegácií, ktorý je pre posilnenie účinnosti iniciatív EÚ a ich vplyvu na rodovú rovnosť kľúčový; víta tiež povinnosť zavedenú v rámci akčného plánu GAP II, aby všetci aktéri z EÚ predkladali výročné správy o pokroku dosiahnutom aspoň v jednej tematickej oblasti; pripomína však potrebu posilnenia vedúceho postavenia a to, že je potrebné ďalej zlepšovať súdržnosť a koordináciu medzi inštitúciami EÚ a členskými štátmi s využitím existujúcich štruktúr a rozpočtu;</w:t>
      </w:r>
    </w:p>
    <w:p w:rsidR="00177429" w:rsidRPr="00F864C4" w:rsidRDefault="00177429" w:rsidP="00177429">
      <w:pPr>
        <w:pStyle w:val="Normal12Hanging"/>
      </w:pPr>
      <w:r>
        <w:t>16.</w:t>
      </w:r>
      <w:r>
        <w:tab/>
        <w:t>víta skutočnosť, že útvary Komisie a ESVČ, ako aj 81 % delegácií EÚ a 22 členských štátov predložilo správy za rok 2016; hoci si uvedomuje, že to, že delegácie nepodajú správu, môže byť spôsobené mimoriadnymi okolnosťami, očakáva, že delegácie a členské štáty zvýšia svoje úsilie, a želá si neustály každoročný pokrok smerujúci k tomu, aby sa podávali všetky správy; konštatuje, že rozdiely medzi štátmi sú naďalej veľké; pripomína, že plnohodnotný súlad v oblasti podávania správ o akčnom pláne pre rodovú rovnosť a jeho plnenia bude mať kľúčový význam pre dosiahnutie cieľa akčného plánu GAP II začleniť rodové opatrenia do roku 2020 do 85 % všetkých nových iniciatív;</w:t>
      </w:r>
    </w:p>
    <w:p w:rsidR="00177429" w:rsidRPr="00F864C4" w:rsidRDefault="00177429" w:rsidP="00177429">
      <w:pPr>
        <w:pStyle w:val="Normal12Hanging"/>
      </w:pPr>
      <w:r>
        <w:t>17.</w:t>
      </w:r>
      <w:r>
        <w:tab/>
        <w:t>víta praktické kroky smerujúce k zmene kultúry a zavedenie rodovej analýzy v prípade všetkých uskutočňovaných vonkajších činností, čo znamená, že celkovú zodpovednosť za podávanie správ o GAP nesú vedúci delegácií, ako aj vyšší počet zamestnancov na vysokej úrovni zúčastňujúcich sa na vykonávaní GAP II a  vymenovanie vyššieho počtu zástancov rodovej rovnosti a vytvorenie kontaktných miest pre rodové otázky v delegáciách EÚ;</w:t>
      </w:r>
    </w:p>
    <w:p w:rsidR="00177429" w:rsidRPr="00F864C4" w:rsidRDefault="00177429" w:rsidP="00177429">
      <w:pPr>
        <w:pStyle w:val="Normal12Hanging"/>
      </w:pPr>
      <w:r>
        <w:t>18.</w:t>
      </w:r>
      <w:r>
        <w:tab/>
        <w:t>berie na vedomie, že podľa správy ESVČ z novembra 2016 len niekoľko misií SBOP EÚ poskytuje školenia v oblasti sexuálneho alebo rodovo motivovaného obťažovania, a poukazuje na to, že v roku 2015 misie SBOP nenahlásili žiadny prípad sexuálneho alebo rodovo motivovaného obťažovania, zneužívania či násilia; zdôrazňuje, že je dôležité uplatňovať politiku nulovej tolerancie, pokiaľ ide o prípady sexuálneho alebo rodovo motivovaného obťažovania, a podporovať inštitucionálne štruktúry zamerané na prevenciu sexuálneho alebo rodovo motivovaného násilia; vyzýva ESVČ a členské štáty, aby podporovali všetko úsilie o boj proti sexuálnemu alebo rodovo motivovanému násiliu v medzinárodných operáciách na udržiavanie mieru a aby zabezpečovali účinnú ochranu oznamovateľov a obetí;</w:t>
      </w:r>
    </w:p>
    <w:p w:rsidR="00177429" w:rsidRPr="00F864C4" w:rsidRDefault="00177429" w:rsidP="00177429">
      <w:pPr>
        <w:pStyle w:val="Normal12Hanging"/>
      </w:pPr>
      <w:r>
        <w:t>19.</w:t>
      </w:r>
      <w:r>
        <w:tab/>
        <w:t>víta zvýšený počet opatrení zameraných na rodovú rovnosť a posilnenie postavenia žien (ukazovatele G1 a G2) a požiadavku, aby delegácie odôvodňovali projekty, ktoré nemajú takéto zameranie; požaduje ďalšie úsilie o ozrejmenie uplatňovania hľadiska rodovej rovnosti a o posilnenie cielených krokov;</w:t>
      </w:r>
    </w:p>
    <w:p w:rsidR="00177429" w:rsidRPr="00F864C4" w:rsidRDefault="00177429" w:rsidP="00177429">
      <w:pPr>
        <w:pStyle w:val="Normal12Hanging"/>
      </w:pPr>
      <w:r>
        <w:t>20.</w:t>
      </w:r>
      <w:r>
        <w:tab/>
        <w:t>odsudzuje všetky formy násilia páchaného na ženách a dievčatách vrátane obchodovania s ľuďmi, sexuálneho vykorisťovania, manželstva vynúteného násilím, zločinov páchaných z dôvodu cti, mrzačenia ženských genitálií a využívania sexuálneho násilia ako vojnovej zbrane; vyzýva EÚ a jej členské štáty, aby ratifikovali Istanbulský dohovor ako prvý právne záväzný medzinárodný nástroj, ktorého cieľom je predchádzať páchaniu násilia na ženách a bojovať proti nemu;</w:t>
      </w:r>
    </w:p>
    <w:p w:rsidR="00177429" w:rsidRPr="00F864C4" w:rsidRDefault="00177429" w:rsidP="00177429">
      <w:pPr>
        <w:pStyle w:val="Normal12Hanging"/>
      </w:pPr>
      <w:r>
        <w:t>21.</w:t>
      </w:r>
      <w:r>
        <w:tab/>
        <w:t>vyjadruje poľutovanie nad tým, že ženy, ktoré zažili alebo zažívajú násilie, nedostávajú vždy dostatočnú podporu, pokiaľ ide o informácie o chránenom bývaní, podporných službách a právach, linkách pomoci, krízových centrách pre znásilnené atď., prístup k týmto záležitostiam a ich poskytovanie; zdôrazňuje význam strategických opatrení na proaktívny boj proti rodovým stereotypom;</w:t>
      </w:r>
    </w:p>
    <w:p w:rsidR="00177429" w:rsidRPr="00F864C4" w:rsidRDefault="00177429" w:rsidP="00177429">
      <w:pPr>
        <w:pStyle w:val="Normal12Hanging"/>
      </w:pPr>
      <w:r>
        <w:t>22.</w:t>
      </w:r>
      <w:r>
        <w:tab/>
        <w:t>trvá na tom, že dievčatá a ženy, ktoré sa stali obeťami znásilnenia počas vojen, musia mať prístup k nediskriminačnej starostlivosti, a najmä ku komplexnej zdravotnej starostlivosti; víta skutočnosť, že mnohé delegácie EÚ sa zamerali na boj proti násiliu páchanému na ženách; trvá v tejto súvislosti na potrebe zaistiť ochranu práva na život a dôstojnosť všetkých žien a dievčat aktívnym bojom proti škodlivým praktikám ako rodovo podmienené vraždy; zdôrazňuje, že je nutné eliminovať používanie znásilňovania ako vojnovej zbrane a prostriedku útlaku a že EÚ musí vyvinúť tlak na vlády tretích krajín a všetky zainteresované subjekty pôsobiace v regiónoch, kde k takémuto rodovo podmienenému násiliu dochádza, aby s takýmito praktikami skoncovali, dostali páchateľov pred súd a spolupracovali s tými, čo prežili, s postihnutými ženami a s komunitami na tom, aby im pomohli s liečbou a zotavením;</w:t>
      </w:r>
    </w:p>
    <w:p w:rsidR="00177429" w:rsidRPr="00F864C4" w:rsidRDefault="00177429" w:rsidP="00177429">
      <w:pPr>
        <w:pStyle w:val="Normal12Hanging"/>
      </w:pPr>
      <w:r>
        <w:t>23.</w:t>
      </w:r>
      <w:r>
        <w:tab/>
        <w:t>zdôrazňuje, že všeobecné rešpektovanie sexuálneho a reprodukčného zdravia a prístup k nim prispievajú k dosahovaniu všetkých cieľov udržateľného rozvoja súvisiacich so zdravím, ako sú napríklad prenatálna starostlivosť a opatrenia na zabránenie vysokorizikovým pôrodom a na zníženie dojčenskej a detskej úmrtnosti; poukazuje na to, že prístup k plánovaniu rodiny a zdravotné služby pre matky sú dôležitý prvok na záchranu životov žien;</w:t>
      </w:r>
    </w:p>
    <w:p w:rsidR="00177429" w:rsidRPr="00F864C4" w:rsidRDefault="00177429" w:rsidP="00177429">
      <w:pPr>
        <w:pStyle w:val="Normal12Hanging"/>
      </w:pPr>
      <w:r>
        <w:t>24.</w:t>
      </w:r>
      <w:r>
        <w:tab/>
        <w:t xml:space="preserve">poznamenáva, že v správe sa uvádza potreba dôraznejšej podpory sexuálneho a reprodukčného zdravia ako nutnej podmienky rodovej rovnosti a posilnenia postavenia žien, ako aj potreba vhodných nástrojov na meranie pokroku z hľadiska zaisťovania všeobecného prístupu k sexuálnemu a reprodukčnému zdraviu, ako sa dohodlo v súlade so záväzkom EÚ týkajúcim sa akčného programu Medzinárodnej konferencie o populácii a rozvoji a Pekinskou akčnou platformou, a s výslednými dokumentmi ich hodnotiacich konferencií, pokiaľ ide o cieľ trvalo udržateľného rozvoja č. 5.6; v tejto súvislosti tiež pripomína ciele trvalo udržateľného rozvoja č. 3.7 a 5.3; </w:t>
      </w:r>
    </w:p>
    <w:p w:rsidR="00177429" w:rsidRPr="00F864C4" w:rsidRDefault="00177429" w:rsidP="00177429">
      <w:pPr>
        <w:pStyle w:val="Normal12Hanging"/>
      </w:pPr>
      <w:r>
        <w:t>25.</w:t>
      </w:r>
      <w:r>
        <w:tab/>
        <w:t>zdôrazňuje, že v kontexte zmenšujúceho sa priestoru pre občiansku spoločnosť by sa mala venovať väčšia pozornosť cieľu 18 zameranému na organizácie, ktoré sa zaoberajú právami žien, a obhajcom ľudských práv žien; domnieva sa, že tematická priorita týkajúca sa politických a občianskych práv, konkrétne zapojenia žien a dievčat do politických a občianskych práv, by mala mať pri vykonávaní akčného plánu GAP II väčší význam;</w:t>
      </w:r>
    </w:p>
    <w:p w:rsidR="00177429" w:rsidRPr="00F864C4" w:rsidRDefault="00177429" w:rsidP="00177429">
      <w:pPr>
        <w:pStyle w:val="Normal12Hanging"/>
        <w:rPr>
          <w:b/>
          <w:i/>
        </w:rPr>
      </w:pPr>
      <w:r>
        <w:rPr>
          <w:b/>
          <w:i/>
        </w:rPr>
        <w:t>Hlavné odporúčania pre Komisiu/ESVČ</w:t>
      </w:r>
    </w:p>
    <w:p w:rsidR="00177429" w:rsidRPr="00F864C4" w:rsidRDefault="00177429" w:rsidP="00177429">
      <w:pPr>
        <w:pStyle w:val="Normal12Hanging"/>
      </w:pPr>
      <w:r>
        <w:t>26.</w:t>
      </w:r>
      <w:r>
        <w:tab/>
        <w:t>vyzýva Komisiu a ESVČ, aby prijali ďalšie kroky na uľahčenie výmeny najlepších postupov v presadzovaní rovnosti medzi ženami a mužmi a začleňovaní rodovej rovnosti medzi delegáciami a oddeleniami, ako napríklad zriadením a podporou siete kontaktných miest pre rodové otázky a výmenou väčšieho množstva pozitívnych príkladov úspešnej praxe, okrem iného vrátane formulovania programu, jeho vykonávania a systémovej rodovej analýzy, a aby zaistili, aby mali rodové analýzy skutočný vplyv na programy vykonávané delegáciami EÚ;</w:t>
      </w:r>
    </w:p>
    <w:p w:rsidR="00177429" w:rsidRPr="00F864C4" w:rsidRDefault="00177429" w:rsidP="00177429">
      <w:pPr>
        <w:pStyle w:val="Normal12Hanging"/>
      </w:pPr>
      <w:r>
        <w:t>27.</w:t>
      </w:r>
      <w:r>
        <w:tab/>
        <w:t>poukazuje na to, že v rôznych prioritných oblastiach sa dosiahol významný pokrok, pričom však v niektorých sa zaznamenal pomalší pokrok, než sa mohlo očakávať; vyzýva Komisiu, aby prostredníctvom štúdie preskúmala dôvody, prečo delegácie EÚ častejšie zohľadňujú niektoré tematické ciele a prioritné oblasti, v ktorých sa dosahuje väčší pokrok;</w:t>
      </w:r>
    </w:p>
    <w:p w:rsidR="00177429" w:rsidRPr="00F864C4" w:rsidRDefault="00177429" w:rsidP="00177429">
      <w:pPr>
        <w:pStyle w:val="Normal12Hanging"/>
      </w:pPr>
      <w:r>
        <w:t>28.</w:t>
      </w:r>
      <w:r>
        <w:tab/>
        <w:t xml:space="preserve">požaduje posilnenie kapacity ľudských zdrojov určených na uplatňovanie hľadiska rodovej rovnosti v rámci útvarov Komisie prostredníctvom prispôsobenej odbornej prípravy a reorganizácie existujúcich štruktúr a zamestnancov; navrhuje posilnenú odbornú prípravu zamestnancov zameranú najmä na úradníkov na vyšších riadiacich pozíciách v rámci oddelení v GR DEVCO, GR NEAR, GR ECHO a ESVČ; domnieva sa, že zlepšenia a ďalšia špecializácia v oblasti školení týkajúcich sa problematiky rodovej rovnosti by sa mali sprístupniť aj miestnym partnerom na úrovni verejnej správy a v radoch neštátnych aktérov vrátane MVO; </w:t>
      </w:r>
    </w:p>
    <w:p w:rsidR="00177429" w:rsidRPr="00F864C4" w:rsidRDefault="00177429" w:rsidP="00177429">
      <w:pPr>
        <w:pStyle w:val="Normal12Hanging"/>
      </w:pPr>
      <w:r>
        <w:t>29.</w:t>
      </w:r>
      <w:r>
        <w:tab/>
        <w:t xml:space="preserve">zdôrazňuje, že treba zaistiť, aby všetky existujúce vonkajšie nástroje a politiky EÚ boli jednotné a navzájom sa dopĺňali, pokiaľ ide o ich vzťah k uplatňovaniu hľadiska rodovej rovnosti, a to vrátane nového Konsenzu o rozvoji, balíka zdrojov EÚ v oblasti uplatňovania hľadiska rodovej rovnosti v rozvojovej spolupráci a akčného plánu EÚ pre ľudské práva a demokraciu; </w:t>
      </w:r>
    </w:p>
    <w:p w:rsidR="00177429" w:rsidRPr="00F864C4" w:rsidRDefault="00177429" w:rsidP="00177429">
      <w:pPr>
        <w:pStyle w:val="Normal12Hanging"/>
      </w:pPr>
      <w:r>
        <w:t>30.</w:t>
      </w:r>
      <w:r>
        <w:tab/>
        <w:t>víta usmerňujúcu poznámku z 8. marca 2016, v ktorej sa vymedzujú zdroje a nástroje na vykonávanie akčného plánu GAP II a ktorá platí pre GR DEVCO a ESVČ, a vyzýva na vydanie usmerňujúcej poznámky pre všetky európske služby zapojené do vykonávania akčného plánu GAP II;</w:t>
      </w:r>
    </w:p>
    <w:p w:rsidR="00177429" w:rsidRPr="00F864C4" w:rsidRDefault="00177429" w:rsidP="00177429">
      <w:pPr>
        <w:pStyle w:val="Normal12Hanging"/>
      </w:pPr>
      <w:r>
        <w:t>31.</w:t>
      </w:r>
      <w:r>
        <w:tab/>
        <w:t>víta začatie spoločnej celosvetovej iniciatívy EÚ a OSN v oblasti rodovej rovnosti (iniciatíva Spotlight), v súlade s cieľom akčného plánu GAP II riešiť sexuálne a rodovo podmienené násilie a škodlivé praktiky ako mrzačenie ženských genitálií, manželstvá maloletých vynútené násilím či obchodovanie s ľuďmi; konštatuje však, že iniciatíva Spotlight rieši najmä tie prvky agendy, ktoré sú už dnes na celom svete predmetom spoločných obáv, čo dokazuje správa o vykonávaní, a zdôrazňuje preto potrebu presadzovať rodovú rovnosť komplexnejšie, prostredníctvom primeranej zmesi programov a modalít; žiada, aby sa na iniciatívu Spotlight poskytli dodatočné finančné zdroje;</w:t>
      </w:r>
    </w:p>
    <w:p w:rsidR="00177429" w:rsidRPr="00F864C4" w:rsidRDefault="00177429" w:rsidP="00177429">
      <w:pPr>
        <w:pStyle w:val="Normal12Hanging"/>
      </w:pPr>
      <w:r>
        <w:t>32.</w:t>
      </w:r>
      <w:r>
        <w:tab/>
        <w:t>zdôrazňuje, že zásadu rovnosti medzi ženami a mužmi musí EÚ presadzovať a uplatňovať aj vo svojich vonkajších vzťahoch; konštatuje, rokovania o obchodných dohodách sú dôležitý nástroj na presadzovanie rovnosti medzi ženami a mužmi a posilnenie postavenia žien v tretích krajinách; vyzýva preto GR TRADE, aby podniklo kroky na vykonávanie akčného plánu GAP II v rámci svojej práce a aby sa vo všetkých obchodných dohodách EÚ zohľadnili práva dievčat a žien a rodová rovnosť ako faktory podporujúce hospodársky rast, a aby sa v nich dodržiavali základné dohovory MOP o pracovných právach vrátane nútenej a detskej práce; pripomína, že pri vykonávaní obchodných politík EÚ treba monitorovať ich vplyv na posilňovanie postavenia žien a rodovú rovnosť; žiada, aby sa v kľúčových sektoroch, ktorých sa obchodné dohody najviac týkajú, zhromažďovali údaje rozčlenené podľa pohlavia, ktoré by mohli byť užitočným nástrojom na čo najpresnejšie predvídanie toho, aký vplyv by mohli mať na životy žien;</w:t>
      </w:r>
    </w:p>
    <w:p w:rsidR="00177429" w:rsidRPr="00F864C4" w:rsidRDefault="00177429" w:rsidP="00177429">
      <w:pPr>
        <w:pStyle w:val="Normal12Hanging"/>
      </w:pPr>
      <w:r>
        <w:t>33.</w:t>
      </w:r>
      <w:r>
        <w:tab/>
        <w:t>pripomína svoju požiadavku, ktorá sa týkala obchodných rokovaní s Chile, o zaradenie osobitnej kapitoly venovanej obchodu, rodovej rovnosti a posilňovaniu postavenia žien; zdôrazňuje, že návrh na zaradenie takejto samostatnej kapitoly do obchodnej dohody sa dnes stáva po prvý raz realitou; zdôrazňuje, že je potrebné, aby bol informovaný o obsahu tejto kapitoly a aby sa urobilo jej posúdenie so zreteľom na následné prijímanie rozhodnutí na všeobecnejšej úrovni; nabáda Európsku úniu, aby do obchodných dohôd zaradila prierezové opatrenia v záujme podpory rodovej rovnosti, výmeny osvedčených postupov a toho, aby ženy mohli mať z obchodných dohôd väčší prospech;</w:t>
      </w:r>
    </w:p>
    <w:p w:rsidR="00177429" w:rsidRPr="00F864C4" w:rsidRDefault="00177429" w:rsidP="00177429">
      <w:pPr>
        <w:pStyle w:val="Normal12Hanging"/>
      </w:pPr>
      <w:r>
        <w:t>34.</w:t>
      </w:r>
      <w:r>
        <w:tab/>
        <w:t>konštatuje, že posilnenie postavenia dievčat a žien je jedným zo stanovených cieľov vonkajšej činnosti EÚ prostredníctvom globálnej stratégie pre spoločnú zahraničnú a bezpečnostnú politiku; konštatuje, že úloha žien v mierových rokovaniach a mediácii, ako sa zohľadňuje v akčnom pláne GAP II, nie je dostatočná; zdôrazňuje významnú úlohu žien pri presadzovaní dialógu a budovaní dôvery, vytváraní mierových koalícií a prinášaní rôznych pohľadov na to, čo mier a bezpečnosť znamenajú, najmä v rámci predchádzania konfliktom, ich riešenia a obnovy po skončení konfliktu; konštatuje, že presadzovanie práv žien v krajinách zasiahnutých krízou alebo konfliktom podporuje silnejšie a odolnejšie komunity; víta vymenovanie hlavného poradcu ESVČ pre rodové otázky a vykonávanie rezolúcie Bezpečnostnej rady OSN č. 1325 o ženách, mieri a bezpečnosti; nabáda na posilňovanie opatrení členských štátov EÚ a medzinárodných opatrení prostredníctvom OSN s cieľom účinnejšie riešiť dosah situácií konfliktu a po jeho skončení na ženy a dievčatá; s osobitným dôrazom na sexuálne násilie súvisiace s konfliktmi; vyzýva Komisiu, aby podporovala novú globálnu sieť kontaktných miest v oblasti žien, mieru a bezpečnosti; berie na vedomie význam rezolúcie Bezpečnostnej rady OSN č. 2250 o mládeži, mieri a bezpečnosti a to, že je dôležité nájsť čo najlepší spôsob vykonávania tejto rezolúcie v EÚ;</w:t>
      </w:r>
    </w:p>
    <w:p w:rsidR="00177429" w:rsidRPr="00F864C4" w:rsidRDefault="00177429" w:rsidP="00177429">
      <w:pPr>
        <w:pStyle w:val="Normal12Hanging"/>
      </w:pPr>
      <w:r>
        <w:t>35.</w:t>
      </w:r>
      <w:r>
        <w:tab/>
        <w:t xml:space="preserve">víta tematickú prioritu, ktorou je posilnenie hospodárskeho a sociálneho postavenia, a analýzu prekážok brániacich v prístupe k zdrojom vrátane pôdy a úverov; </w:t>
      </w:r>
    </w:p>
    <w:p w:rsidR="00177429" w:rsidRPr="00F864C4" w:rsidRDefault="00177429" w:rsidP="00177429">
      <w:pPr>
        <w:pStyle w:val="Normal12Hanging"/>
      </w:pPr>
      <w:r>
        <w:t>36.</w:t>
      </w:r>
      <w:r>
        <w:tab/>
        <w:t>dôrazne nabáda inštitúcie, aby výrazne zvýšili podiel žien v rámci delegácií, najmä v pozíciách vedúcich delegácií EÚ, keďže v súčasnosti je zo 138 vedúcich delegácií EÚ len 28 žien, ako aj podiel žien medzi vedúcimi misií (v súčasnosti je medzi 17 vedúcimi misií len 5 žien); vyzýva preto Komisiu a ESVČ, aby účinne vykonávali cielené politiky na uľahčenie prístupu žien k vedúcim a manažérskym pozíciám; upozorňuje na nízke zastúpenie žien v rozhodovacích pozíciách, čo naznačuje, že existujú neviditeľné prekážky, ktoré ženám stoja v ceste k pozíciám s vyššou zodpovednosťou;</w:t>
      </w:r>
    </w:p>
    <w:p w:rsidR="00177429" w:rsidRPr="00F864C4" w:rsidRDefault="00177429" w:rsidP="00177429">
      <w:pPr>
        <w:pStyle w:val="Normal12Hanging"/>
      </w:pPr>
      <w:r>
        <w:t>37.</w:t>
      </w:r>
      <w:r>
        <w:tab/>
        <w:t>zdôrazňuje, že úspech GAP II bude v konečnom dôsledku závisieť od dlhodobého a konzistentného pôsobenia popredných politikov na vysokej úrovni a vedúcich pracovníkov medzi všetkými subjektmi EÚ a od úsilia EÚ prispôsobiť sa miestnej realite v prijímajúcich krajinách; víta v tejto súvislosti pozitívnu angažovanosť komisára zodpovedného za medzinárodnú spoluprácu a rozvoj a nabáda ostatných komisárov k väčšiemu zapojeniu; konštatuje, že je potrebné výraznejšie politické vedenie zo strany vysokej predstaviteľky a manažérov s cieľom zvýšiť zodpovednosť a koordinovať a posilňovať toto pôsobenie v nadchádzajúcich rokoch; vyzýva všetkých aktérov EÚ, aby využili balík zdrojov určených na rodovú rovnosť na zaistenie toho, aby uplatňovanie hľadiska rodovej rovnosti bolo konzistentné a aby bolo možné splniť ambiciózne ciele akčného plánu GAP II;</w:t>
      </w:r>
    </w:p>
    <w:p w:rsidR="00177429" w:rsidRPr="00F864C4" w:rsidRDefault="00177429" w:rsidP="00177429">
      <w:pPr>
        <w:pStyle w:val="Normal12Hanging"/>
      </w:pPr>
      <w:r>
        <w:t>38.</w:t>
      </w:r>
      <w:r>
        <w:tab/>
        <w:t>zdôrazňuje potrebu zapojenia a zastúpenia žien v hospodárskych oblastiach, ktoré sú dôležité pre trvalo udržateľný rozvoj; zdôrazňuje, že podnikanie zohráva pri posilňovaní práv žien významnú úlohu; v tejto súvislosti požaduje, aby sa mikroúvermi viac podporovali miestne MSP, najmä podnikateľky, s cieľom umožniť im profitovať z rastu pod vedením súkromného sektora;</w:t>
      </w:r>
    </w:p>
    <w:p w:rsidR="00177429" w:rsidRPr="00F864C4" w:rsidRDefault="00177429" w:rsidP="00177429">
      <w:pPr>
        <w:pStyle w:val="Normal12Hanging"/>
      </w:pPr>
      <w:r>
        <w:t>39.</w:t>
      </w:r>
      <w:r>
        <w:tab/>
        <w:t>vyzýva ESVČ, aby dôsledne vykonávala usmernenia EÚ týkajúce sa LGBTI s cieľom zaistiť, aby lesby, gejovia, bisexuálne, transrodové a intersexuálne osoby (LGBTI) mohli plne uplatňovať ľudské práva;</w:t>
      </w:r>
    </w:p>
    <w:p w:rsidR="00177429" w:rsidRPr="00F864C4" w:rsidRDefault="00177429" w:rsidP="00177429">
      <w:pPr>
        <w:pStyle w:val="Normal12Hanging"/>
        <w:rPr>
          <w:b/>
          <w:i/>
        </w:rPr>
      </w:pPr>
      <w:r>
        <w:rPr>
          <w:b/>
          <w:i/>
        </w:rPr>
        <w:t>Hlavné odporúčania pre delegácie EÚ</w:t>
      </w:r>
    </w:p>
    <w:p w:rsidR="00177429" w:rsidRPr="00F864C4" w:rsidRDefault="00177429" w:rsidP="00177429">
      <w:pPr>
        <w:pStyle w:val="Normal12Hanging"/>
      </w:pPr>
      <w:r>
        <w:t>40.</w:t>
      </w:r>
      <w:r>
        <w:tab/>
        <w:t>víta flexibilitu, ktorú GAP II poskytuje delegáciám na zvolenie priorít podľa situácie v danej krajine, keďže to umožňuje analýzu jednotlivých krajín a posudzovanie osobitných potrieb každej krajiny či regiónu, a teda riešenie tejto osobitnej výzvy, ktorou je posilnenie práv žien a ich hospodárskeho postavenia; odporúča však nabádať delegácie k tomu, aby do konca GAP II preukázali pokrok aspoň v jednej priorite z tematického piliera s cieľom zabezpečiť rovnomernejšie pokrytie rôznych tematických oblastí, ako je posilnenie politík a opatrení presadzujúcich vzdelávanie dievčat a ich dôsledkov v oblasti zdravia a posilnenia hospodárskeho postavenia; naliehavo požaduje dôraz na situáciu žien a dievčat v oblastiach postihnutých konfliktom, ako aj na rodovo podmienené násilie, predovšetkým s využívaním znásilňovania ako vojnovej zbrane; okrem toho pripomína, že kroky a projekty financované z prostriedkov EÚ by sa mali systematicky zameriavať na boj proti diskriminácii;</w:t>
      </w:r>
    </w:p>
    <w:p w:rsidR="00177429" w:rsidRPr="00F864C4" w:rsidRDefault="00177429" w:rsidP="00177429">
      <w:pPr>
        <w:pStyle w:val="Normal12Hanging"/>
      </w:pPr>
      <w:r>
        <w:t>41.</w:t>
      </w:r>
      <w:r>
        <w:tab/>
        <w:t>pripomína v zmluvách uvedenú povinnosť presadzovať hľadisko rodovej rovnosti vo všetkých činnostiach EÚ, a to aj v politických dialógoch a v rámci odvetvových politických dialógov; trvá na tom, že uplatňovanie hľadiska rodovej rovnosti by sa malo začleniť do národných plánov a politických rámcov, aby sa zaistila zodpovednosť partnerských krajín, a pripomína význam podpory rozvojových projektov presadzovaných ženami z týchto krajín; poukazuje na význam spolupráce s partnerskými krajinami na vnútroštátnom rodovo citlivom rozpočtovaní;</w:t>
      </w:r>
    </w:p>
    <w:p w:rsidR="00177429" w:rsidRPr="00F864C4" w:rsidRDefault="00177429" w:rsidP="00177429">
      <w:pPr>
        <w:pStyle w:val="Normal12Hanging"/>
      </w:pPr>
      <w:r>
        <w:t>42.</w:t>
      </w:r>
      <w:r>
        <w:tab/>
        <w:t>zdôrazňuje, že je dôležité zvýšiť mieru politickej účasti a zastúpenia žien v susedných krajinách EÚ a v rámci EÚ v súlade s existujúcimi programami EÚ, ako aj cieľmi a programami orgánu OSN Ženy;</w:t>
      </w:r>
    </w:p>
    <w:p w:rsidR="00177429" w:rsidRPr="00F864C4" w:rsidRDefault="00177429" w:rsidP="00177429">
      <w:pPr>
        <w:pStyle w:val="Normal12Hanging"/>
      </w:pPr>
      <w:r>
        <w:t>43.</w:t>
      </w:r>
      <w:r>
        <w:tab/>
        <w:t>v rámci politického dialógu zdôrazňuje význam zlepšenia účasti žien na vzdelávaní a hospodárskej aktivite, v zamestnaní a podnikaní ako prioritného nástroja zlepšenia postavenia žien v spoločnosti;</w:t>
      </w:r>
    </w:p>
    <w:p w:rsidR="00177429" w:rsidRPr="00F864C4" w:rsidRDefault="00177429" w:rsidP="00177429">
      <w:pPr>
        <w:pStyle w:val="Normal12Hanging"/>
      </w:pPr>
      <w:r>
        <w:t>44.</w:t>
      </w:r>
      <w:r>
        <w:tab/>
        <w:t>zdôrazňuje význam uskutočňovania systematickej rodovej analýzy založenej na dôkazoch, v ktorej sa v rámci možnosti použijú údaje rozčlenené podľa rodu a veku, a to po konzultácii s organizáciami občianskej spoločnosti; víta, že rodové analýzy 42 krajín boli dokončené, nabáda na ďalšie dokončenie analýz všetkých ostatných krajín a na omnoho väčšie využívanie kritérií rodovej rovnosti v systémoch monitorovania programov a projektov a v procesoch hodnotenia, a vyzýva, aby rodová analýza mala úlohu pri vymedzovaní cieľov, programov, projektov a dialógu v rámci stratégie danej krajiny; nabáda EÚ, aby preskúmala možnosti spoločného využívania, riadenia a aktualizovania rodovej analýzy systematickejším spôsobom;</w:t>
      </w:r>
    </w:p>
    <w:p w:rsidR="00177429" w:rsidRPr="00F864C4" w:rsidRDefault="00177429" w:rsidP="00177429">
      <w:pPr>
        <w:pStyle w:val="Normal12Hanging"/>
      </w:pPr>
      <w:r>
        <w:t>45.</w:t>
      </w:r>
      <w:r>
        <w:tab/>
        <w:t>berie na vedomie, že Komisia vo svojom spoločnom pracovnom dokumente útvarov o rámci na roky 2016 – 2020 uznala, že finančné investície EÚ do rodovej rovnosti sa systematicky nevyhodnocujú; vyzýva Komisiu, aby prijala jednoznačný prístup zameraný na výsledky, ktorý stanoví vysoké normy pre mechanizmy podávania správ, vyhodnocovania a zodpovednosti, a aby presadzovala rozhodovanie založené na dôkazoch v záujme efektívnejšieho a účinnejšieho využívania disponibilných finančných zdrojov; požaduje správu, v ktorej sa presne posúdi, nakoľko účinne sa finančné prostriedky používajú na presadzovanie rovnosti medzi ženami a mužmi a posilnenie postavenia žien, a v ktorej sa uvedú najvýznamnejšie dosiahnuté ciele;</w:t>
      </w:r>
    </w:p>
    <w:p w:rsidR="00177429" w:rsidRPr="00F864C4" w:rsidRDefault="00177429" w:rsidP="00177429">
      <w:pPr>
        <w:pStyle w:val="Normal12Hanging"/>
      </w:pPr>
      <w:r>
        <w:t>46.</w:t>
      </w:r>
      <w:r>
        <w:tab/>
        <w:t>zdôrazňuje, že treba ešte zlepšiť získavanie údajov na vnútroštátnej úrovni a vytvoriť osobitné ukazovatele s cieľmi stanovenými na základe týchto ukazovateľov, a zdôrazňuje aj dôležitosť ich monitorovania v súlade s rámcom cieľov trvalo udržateľného rozvoja;</w:t>
      </w:r>
    </w:p>
    <w:p w:rsidR="00177429" w:rsidRPr="00F864C4" w:rsidRDefault="00177429" w:rsidP="00177429">
      <w:pPr>
        <w:pStyle w:val="Normal12Hanging"/>
      </w:pPr>
      <w:r>
        <w:t>47.</w:t>
      </w:r>
      <w:r>
        <w:tab/>
        <w:t>pripomína, že práva žien sú ľudské práva, a vyzýva na vykonanie ďalšej práce, pokiaľ ide o riešenie otázok rodových stereotypov v spoločnostiach prostredníctvom širšej spolupráce s občianskou spoločnosťou, občianskymi organizáciami presadzujúcimi práva žien a posilňovanie ich postavenia, najmä v kontexte nestabilitu štátu a konfliktných či núdzových situáciách; domnieva sa, že vytvorenie nových sietí alebo rozvoj existujúcich sietí a zapojenie všetkých kľúčových aktérov vrátane súkromného sektora je zásadne dôležité, ako aj rozvoj verejno-súkromných partnerstiev, pokiaľ je to možné; zdôrazňuje potrebnosť čoraz väčšej úlohy žien v miestnych komunitách a MVO z hľadiska monitorovania miestnych orgánov a vyvodzovania zodpovednosti; zdôrazňuje, že namiesto vykresľovania žien a dievčat ako zraniteľných by sa mal klásť dôraz na ich úlohu ako hybnej sily zmien a rozvoja a mierových aktérok pri riešení konfliktov; zdôrazňuje, že na zabezpečenie skutočnej rovnosti medzi ženami a mužmi je potrebné začlenenie a aktívne zapojenie chlapcov a mužov; podporuje preto široké vzdelávanie zamerané na zmenu správania v oblasti rodovo podmieneného násilia, a to so zapojením všetkých mužov, chlapcov a komunít; zdôrazňuje, že sociálne normy týkajúce sa úloh žien a mužov spôsobujú, že ženy sú v zraniteľnejšej situácii, najmä pokiaľ ide o ich sexuálne a reprodukčné zdravie, a vedú ku škodlivým praktikám ako mrzačenie ženských genitálií či manželstvá detí, predčasné manželstvá a manželstvá vynútené násilím;</w:t>
      </w:r>
    </w:p>
    <w:p w:rsidR="00177429" w:rsidRPr="00F864C4" w:rsidRDefault="00177429" w:rsidP="00177429">
      <w:pPr>
        <w:pStyle w:val="Normal12Hanging"/>
      </w:pPr>
      <w:r>
        <w:t>48.</w:t>
      </w:r>
      <w:r>
        <w:tab/>
        <w:t>zdôrazňuje význam výraznejšieho zapojenia organizácií občianskej spoločnosti a iných zainteresovaných subjektov, napríklad subjektov pôsobiacich v oblasti ľudských práv, zdravia či životného prostredia, do činnosti delegácií EÚ, keďže takáto spolupráca by prispela k zvýšeniu viditeľnosti a zlepšeniu vykonávania akčného plánu GAP II, čím by sa zvýšila verejná zodpovednosť, pokiaľ ide o pokrok pri dosahovaní rodovej rovnosti;</w:t>
      </w:r>
    </w:p>
    <w:p w:rsidR="00177429" w:rsidRPr="00F864C4" w:rsidRDefault="00177429" w:rsidP="00177429">
      <w:pPr>
        <w:pStyle w:val="Normal12Hanging"/>
      </w:pPr>
      <w:r>
        <w:t>49.</w:t>
      </w:r>
      <w:r>
        <w:tab/>
        <w:t>vyjadruje znepokojenie v súvislosti s tým, že sa nevenuje dostatočná pozornosť ochrane obhajcov práv žien a organizácií, ktoré sa zaoberajú právami žien; žiada, aby sa pri vykonávaní akčného plánu GAP II venovala väčšia pozornosť tematickej priorite politických a občianskych práv, konkrétne účasti žien a dievčat na politických a občianskych právach;</w:t>
      </w:r>
    </w:p>
    <w:p w:rsidR="00177429" w:rsidRPr="00F864C4" w:rsidRDefault="00177429" w:rsidP="00177429">
      <w:pPr>
        <w:pStyle w:val="Normal12Hanging"/>
        <w:rPr>
          <w:b/>
          <w:i/>
        </w:rPr>
      </w:pPr>
      <w:r>
        <w:rPr>
          <w:b/>
          <w:i/>
        </w:rPr>
        <w:t>Hlavné odporúčania pre Európsky parlament</w:t>
      </w:r>
    </w:p>
    <w:p w:rsidR="00177429" w:rsidRPr="00F864C4" w:rsidRDefault="00177429" w:rsidP="00177429">
      <w:pPr>
        <w:pStyle w:val="Normal12Hanging"/>
      </w:pPr>
      <w:r>
        <w:t>50.</w:t>
      </w:r>
      <w:r>
        <w:tab/>
        <w:t>nabáda delegácie Európskeho parlamentu, aby sa vo svojej práci s partnerskými krajinami systematicky zaujímali o rodové plánovanie, výsledky rodovej analýzy a úsilie o podporu rovnosti žien a mužov, ako aj posilnenie postavenia žien a aby do programu svojich služobných ciest začlenili stretnutia so ženskými organizáciami; vyzýva Parlament, aby sa usiloval o lepšie vyvážené zastúpenie mužov a žien v zložení svojich delegácií;</w:t>
      </w:r>
    </w:p>
    <w:p w:rsidR="00177429" w:rsidRPr="00F864C4" w:rsidRDefault="00177429" w:rsidP="00177429">
      <w:pPr>
        <w:pStyle w:val="Normal12Hanging"/>
      </w:pPr>
      <w:r>
        <w:t>51.</w:t>
      </w:r>
      <w:r>
        <w:tab/>
        <w:t>žiada, aby Komisia sprístupnila správy o rodových analýzach jednotlivých krajín a zaradila ich do informačných brífingov pre všetky delegácie Európskeho parlamentu v tretích krajinách;</w:t>
      </w:r>
    </w:p>
    <w:p w:rsidR="00177429" w:rsidRPr="00F864C4" w:rsidRDefault="00177429" w:rsidP="00177429">
      <w:pPr>
        <w:pStyle w:val="Normal12Hanging"/>
      </w:pPr>
      <w:r>
        <w:t>52.</w:t>
      </w:r>
      <w:r>
        <w:tab/>
        <w:t xml:space="preserve">odporúča, aby Európsky parlament v budúcnosti pravidelne, a podľa možnosti každé dva roky, preskúmal správy o vykonávaní GAP II; </w:t>
      </w:r>
    </w:p>
    <w:p w:rsidR="00177429" w:rsidRPr="00F864C4" w:rsidRDefault="00177429" w:rsidP="00177429">
      <w:pPr>
        <w:pStyle w:val="Normal12Hanging"/>
        <w:rPr>
          <w:b/>
          <w:i/>
        </w:rPr>
      </w:pPr>
      <w:r>
        <w:rPr>
          <w:b/>
          <w:i/>
        </w:rPr>
        <w:t>Hlavné odporúčania k podávaniu správ v budúcnosti</w:t>
      </w:r>
    </w:p>
    <w:p w:rsidR="00177429" w:rsidRPr="00F864C4" w:rsidRDefault="00177429" w:rsidP="00177429">
      <w:pPr>
        <w:pStyle w:val="Normal12Hanging"/>
      </w:pPr>
      <w:r>
        <w:t>53.</w:t>
      </w:r>
      <w:r>
        <w:tab/>
        <w:t>zdôrazňuje, že treba zjednodušiť spôsob podávania správ tak, aby sa byrokracia znížila na minimum; vyzýva na vypracovanie systému podávania správ cez internet s prehľadnými vzormi a vydaním príručky na uľahčenie práce delegácií;</w:t>
      </w:r>
    </w:p>
    <w:p w:rsidR="00177429" w:rsidRPr="00F864C4" w:rsidRDefault="00177429" w:rsidP="00177429">
      <w:pPr>
        <w:pStyle w:val="Normal12Hanging"/>
      </w:pPr>
      <w:r>
        <w:t>54.</w:t>
      </w:r>
      <w:r>
        <w:tab/>
        <w:t>zdôrazňuje, že treba podporovať posilňovanie vnútroštátnych štatistických kapacít a mechanizmov v partnerských krajinách, s účinnou koordináciou finančnej a technickej pomoci, aby sa umožnilo lepšie meranie, monitorovanie a spracovanie výsledkov získaných v oblasti uplatňovania hľadiska rodovej rovnosti;</w:t>
      </w:r>
    </w:p>
    <w:p w:rsidR="00177429" w:rsidRPr="00F864C4" w:rsidRDefault="00177429" w:rsidP="00177429">
      <w:pPr>
        <w:pStyle w:val="Normal12Hanging"/>
      </w:pPr>
      <w:r>
        <w:t>55.</w:t>
      </w:r>
      <w:r>
        <w:tab/>
        <w:t>vyzýva Komisiu, aby zhromažďovala údaje rozčlenené podľa pohlavia v rámci vykonávania programov v oblasti posilňovania postavenia žien financovaných z prostriedkov EÚ; zdôrazňuje, že treba zlepšiť spoľahlivosť rodovej analýzy takou harmonizáciou údajov zhromaždených delegáciami EÚ, aby boli porovnateľné;</w:t>
      </w:r>
    </w:p>
    <w:p w:rsidR="00177429" w:rsidRPr="00F864C4" w:rsidRDefault="00177429" w:rsidP="00177429">
      <w:pPr>
        <w:pStyle w:val="Normal12Hanging"/>
      </w:pPr>
      <w:r>
        <w:t>56.</w:t>
      </w:r>
      <w:r>
        <w:tab/>
        <w:t>poukazuje na to, že je dôležité konzultovať s medzinárodnými a vnútroštátnymi partnermi, akademickou obcou, think tankmi a organizáciami žien, aby ich prínos a odborné znalosti mohli prispievať k monitorovaniu činností a programov v oblasti rodovej rovnosti, ktoré sa financujú z prostriedkov EÚ;</w:t>
      </w:r>
    </w:p>
    <w:p w:rsidR="00177429" w:rsidRPr="00F864C4" w:rsidRDefault="00177429" w:rsidP="00177429">
      <w:pPr>
        <w:pStyle w:val="Normal12Hanging"/>
      </w:pPr>
      <w:r>
        <w:t>57.</w:t>
      </w:r>
      <w:r>
        <w:tab/>
        <w:t>pripomína, že EÚ a jej členské štáty musia pri vykonávaní a rozvoji migračnej politiky EÚ rešpektovať práva dievčat a žien ako migrantiek, utečeniek a žiadateliek o azyl; v tejto súvislosti požaduje systematické riešenie sexuálneho násilia proti ženám v zariadeniach určených na zaistenie;</w:t>
      </w:r>
    </w:p>
    <w:p w:rsidR="00177429" w:rsidRPr="00F864C4" w:rsidRDefault="00177429" w:rsidP="00177429">
      <w:pPr>
        <w:pStyle w:val="Normal12Hanging"/>
        <w:jc w:val="center"/>
      </w:pPr>
      <w:r>
        <w:t>°</w:t>
      </w:r>
    </w:p>
    <w:p w:rsidR="00177429" w:rsidRPr="00F864C4" w:rsidRDefault="00177429" w:rsidP="00177429">
      <w:pPr>
        <w:pStyle w:val="Normal12Hanging"/>
        <w:jc w:val="center"/>
      </w:pPr>
      <w:r>
        <w:t>°</w:t>
      </w:r>
      <w:r>
        <w:tab/>
        <w:t>°</w:t>
      </w:r>
    </w:p>
    <w:p w:rsidR="00177429" w:rsidRPr="00F864C4" w:rsidRDefault="00177429" w:rsidP="00177429">
      <w:pPr>
        <w:pStyle w:val="Normal12Hanging"/>
      </w:pPr>
      <w:r>
        <w:t xml:space="preserve">58. </w:t>
      </w:r>
      <w:r>
        <w:tab/>
        <w:t>poveruje svojho predsedu, aby postúpil toto uznesenie Rade a Komisii.</w:t>
      </w:r>
    </w:p>
    <w:p w:rsidR="00177429" w:rsidRPr="00F864C4" w:rsidRDefault="00177429" w:rsidP="00177429">
      <w:pPr>
        <w:pStyle w:val="Olang"/>
      </w:pPr>
      <w:r w:rsidRPr="00F864C4">
        <w:t>Or. </w:t>
      </w:r>
      <w:r w:rsidRPr="00F864C4">
        <w:rPr>
          <w:rStyle w:val="HideTWBExt"/>
          <w:noProof w:val="0"/>
        </w:rPr>
        <w:t>&lt;Original&gt;</w:t>
      </w:r>
      <w:r w:rsidRPr="00F864C4">
        <w:rPr>
          <w:rStyle w:val="HideTWBInt"/>
        </w:rPr>
        <w:t>{EN}</w:t>
      </w:r>
      <w:r w:rsidRPr="00F864C4">
        <w:t>en</w:t>
      </w:r>
      <w:r w:rsidRPr="00F864C4">
        <w:rPr>
          <w:rStyle w:val="HideTWBExt"/>
          <w:noProof w:val="0"/>
        </w:rPr>
        <w:t>&lt;/Original&gt;</w:t>
      </w:r>
    </w:p>
    <w:p w:rsidR="005909EC" w:rsidRPr="000B735F" w:rsidRDefault="00177429" w:rsidP="00177429">
      <w:r>
        <w:rPr>
          <w:rStyle w:val="HideTWBExt"/>
          <w:noProof w:val="0"/>
        </w:rPr>
        <w:t>&lt;/Amend&gt;</w:t>
      </w:r>
    </w:p>
    <w:p w:rsidR="00744581" w:rsidRPr="000B735F" w:rsidRDefault="00744581" w:rsidP="005909EC"/>
    <w:sectPr w:rsidR="00744581" w:rsidRPr="000B735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134" w:right="1418" w:bottom="1418" w:left="1418" w:header="113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5F" w:rsidRPr="000B735F" w:rsidRDefault="000B735F">
      <w:r w:rsidRPr="000B735F">
        <w:separator/>
      </w:r>
    </w:p>
  </w:endnote>
  <w:endnote w:type="continuationSeparator" w:id="0">
    <w:p w:rsidR="000B735F" w:rsidRPr="000B735F" w:rsidRDefault="000B735F">
      <w:r w:rsidRPr="000B735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83" w:rsidRDefault="0072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83" w:rsidRDefault="00721483" w:rsidP="00721483">
    <w:pPr>
      <w:pStyle w:val="Footer"/>
    </w:pPr>
    <w:r w:rsidRPr="00721483">
      <w:rPr>
        <w:rStyle w:val="HideTWBExt"/>
      </w:rPr>
      <w:t>&lt;PathFdR&gt;</w:t>
    </w:r>
    <w:r>
      <w:t>AM\1153875SK.docx</w:t>
    </w:r>
    <w:r w:rsidRPr="00721483">
      <w:rPr>
        <w:rStyle w:val="HideTWBExt"/>
      </w:rPr>
      <w:t>&lt;/PathFdR&gt;</w:t>
    </w:r>
    <w:r>
      <w:tab/>
    </w:r>
    <w:r>
      <w:tab/>
      <w:t>PE</w:t>
    </w:r>
    <w:r w:rsidRPr="00721483">
      <w:rPr>
        <w:rStyle w:val="HideTWBExt"/>
      </w:rPr>
      <w:t>&lt;NoPE&gt;</w:t>
    </w:r>
    <w:r>
      <w:t>621.613</w:t>
    </w:r>
    <w:r w:rsidRPr="00721483">
      <w:rPr>
        <w:rStyle w:val="HideTWBExt"/>
      </w:rPr>
      <w:t>&lt;/NoPE&gt;&lt;Version&gt;</w:t>
    </w:r>
    <w:r>
      <w:t>v01-00</w:t>
    </w:r>
    <w:r w:rsidRPr="00721483">
      <w:rPr>
        <w:rStyle w:val="HideTWBExt"/>
      </w:rPr>
      <w:t>&lt;/Version&gt;</w:t>
    </w:r>
  </w:p>
  <w:p w:rsidR="005909EC" w:rsidRPr="000B735F" w:rsidRDefault="00721483" w:rsidP="00721483">
    <w:pPr>
      <w:pStyle w:val="Footer2"/>
      <w:tabs>
        <w:tab w:val="center" w:pos="4535"/>
        <w:tab w:val="right" w:pos="9921"/>
      </w:tabs>
    </w:pPr>
    <w:r>
      <w:t>SK</w:t>
    </w:r>
    <w:r>
      <w:tab/>
    </w:r>
    <w:r w:rsidRPr="00721483">
      <w:rPr>
        <w:b w:val="0"/>
        <w:i/>
        <w:color w:val="C0C0C0"/>
        <w:sz w:val="22"/>
      </w:rPr>
      <w:t>Zjednotení v rozmanitosti</w:t>
    </w:r>
    <w:r>
      <w:tab/>
      <w:t>SK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83" w:rsidRDefault="00721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5F" w:rsidRPr="000B735F" w:rsidRDefault="000B735F">
      <w:r w:rsidRPr="000B735F">
        <w:separator/>
      </w:r>
    </w:p>
  </w:footnote>
  <w:footnote w:type="continuationSeparator" w:id="0">
    <w:p w:rsidR="000B735F" w:rsidRPr="000B735F" w:rsidRDefault="000B735F">
      <w:r w:rsidRPr="000B735F">
        <w:continuationSeparator/>
      </w:r>
    </w:p>
  </w:footnote>
  <w:footnote w:id="1">
    <w:p w:rsidR="00177429" w:rsidRPr="00CA02C0" w:rsidRDefault="00177429" w:rsidP="00177429">
      <w:pPr>
        <w:pStyle w:val="FootnoteText"/>
      </w:pPr>
      <w:r>
        <w:rPr>
          <w:rStyle w:val="FootnoteReference"/>
        </w:rPr>
        <w:footnoteRef/>
      </w:r>
      <w:r>
        <w:t xml:space="preserve"> Ú. v. EÚ C 349, 17.10.2017, s. 50.</w:t>
      </w:r>
    </w:p>
  </w:footnote>
  <w:footnote w:id="2">
    <w:p w:rsidR="00177429" w:rsidRPr="00CA02C0" w:rsidRDefault="00177429" w:rsidP="00177429">
      <w:pPr>
        <w:pStyle w:val="FootnoteText"/>
      </w:pPr>
      <w:r>
        <w:rPr>
          <w:rStyle w:val="FootnoteReference"/>
        </w:rPr>
        <w:footnoteRef/>
      </w:r>
      <w:r>
        <w:t xml:space="preserve"> Prijaté texty, P8_TA(2017)0026.</w:t>
      </w:r>
    </w:p>
  </w:footnote>
  <w:footnote w:id="3">
    <w:p w:rsidR="00177429" w:rsidRPr="0056611E" w:rsidRDefault="00177429" w:rsidP="00177429">
      <w:pPr>
        <w:pStyle w:val="FootnoteText"/>
      </w:pPr>
      <w:r>
        <w:rPr>
          <w:rStyle w:val="FootnoteReference"/>
        </w:rPr>
        <w:footnoteRef/>
      </w:r>
      <w:r>
        <w:t xml:space="preserve"> https://www.ilga-europe.org/sites/default/files/Attachments/report_on_the_implementation_of_the_eu_lgbti_guidelines_2016.pdf.</w:t>
      </w:r>
    </w:p>
  </w:footnote>
  <w:footnote w:id="4">
    <w:p w:rsidR="00177429" w:rsidRPr="00621EB5" w:rsidRDefault="00177429" w:rsidP="00177429">
      <w:pPr>
        <w:pStyle w:val="FootnoteText"/>
      </w:pPr>
      <w:r>
        <w:rPr>
          <w:rStyle w:val="FootnoteReference"/>
        </w:rPr>
        <w:footnoteRef/>
      </w:r>
      <w:r>
        <w:t xml:space="preserve"> Prijaté texty, P8_TA(2017)0365.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83" w:rsidRDefault="00721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83" w:rsidRDefault="00721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83" w:rsidRDefault="0072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7672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489D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1A48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BEEB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C85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2459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43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5CB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44E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6AEA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T" w:val="23/05/2018"/>
    <w:docVar w:name="iNoAmend" w:val="1"/>
    <w:docVar w:name="LastEditedSection" w:val=" 1"/>
    <w:docVar w:name="NRAKEY" w:val="0167"/>
    <w:docVar w:name="RepeatBlock-AmendSK"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4\fbidi \froman\fcharset238\fprq2 Times New Roman CE;}{\f275\fbidi \froman\fcharset204\fprq2 Times New Roman Cyr;}_x000d__x000a_{\f277\fbidi \froman\fcharset161\fprq2 Times New Roman Greek;}{\f278\fbidi \froman\fcharset162\fprq2 Times New Roman Tur;}{\f279\fbidi \froman\fcharset177\fprq2 Times New Roman (Hebrew);}{\f280\fbidi \froman\fcharset178\fprq2 Times New Roman (Arabic);}_x000d__x000a_{\f281\fbidi \froman\fcharset186\fprq2 Times New Roman Baltic;}{\f282\fbidi \froman\fcharset163\fprq2 Times New Roman (Vietnamese);}{\f284\fbidi \fswiss\fcharset238\fprq2 Arial CE;}{\f285\fbidi \fswiss\fcharset204\fprq2 Arial Cyr;}_x000d__x000a_{\f287\fbidi \fswiss\fcharset161\fprq2 Arial Greek;}{\f288\fbidi \fswiss\fcharset162\fprq2 Arial Tur;}{\f289\fbidi \fswiss\fcharset177\fprq2 Arial (Hebrew);}{\f290\fbidi \fswiss\fcharset178\fprq2 Arial (Arabic);}_x000d__x000a_{\f291\fbidi \fswiss\fcharset186\fprq2 Arial Baltic;}{\f292\fbidi \fswiss\fcharset163\fprq2 Arial (Vietnamese);}{\f614\fbidi \froman\fcharset238\fprq2 Cambria Math CE;}{\f615\fbidi \froman\fcharset204\fprq2 Cambria Math Cyr;}_x000d__x000a_{\f617\fbidi \froman\fcharset161\fprq2 Cambria Math Greek;}{\f618\fbidi \froman\fcharset162\fprq2 Cambria Math Tur;}{\f621\fbidi \froman\fcharset186\fprq2 Cambria Math Baltic;}{\f622\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_x000d__x000a_\ts11\tsrowd\trftsWidthB3\trpaddl108\trpaddr108\trpaddfl3\trpaddft3\trpaddfb3\trpaddfr3\trcbpat1\trcfpat1\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6097707 HideTWBExt;}}{\*\rsidtbl \rsid24658\rsid735077\rsid2892074\rsid4666813\rsid5915614\rsid6097707\rsid6641733\rsid9636012\rsid11215221\rsid12154954\rsid14424199\rsid15204470\rsid15285974_x000d__x000a_\rsid15950462\rsid16324206\rsid16662270}{\mmathPr\mmathFont34\mbrkBin0\mbrkBinSub0\msmallFrac0\mdispDef1\mlMargin0\mrMargin0\mdefJc1\mwrapIndent1440\mintLim0\mnaryLim1}{\info{\author PETROVA Daniela}{\operator PETROVA Daniela}_x000d__x000a_{\creatim\yr2018\mo5\dy24\hr11\min20}{\revtim\yr2018\mo5\dy24\hr11\min20}{\version1}{\edmins0}{\nofpages1}{\nofwords0}{\nofchars7}{\*\company European Parliament}{\nofcharsws7}{\vern93}}{\*\xmlnstbl {\xmlns1 http://schemas.microsoft.com/office/word/2003/w_x000d__x000a_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097707\utinl \fet0{\*\wgrffmtfilter 013f}\ilfomacatclnup0{\*\template C:\\Users\\dpetrova\\AppData\\Local\\Temp\\Blank1.dot}{\*\ftnsep \ltrpar \pard\plain \ltrpar_x000d__x000a_\ql \li0\ri0\widctlpar\wrapdefault\aspalpha\aspnum\faauto\adjustright\rin0\lin0\itap0 \rtlch\fcs1 \af0\afs20\alang1025 \ltrch\fcs0 \fs24\lang2057\langfe2057\cgrid\langnp2057\langfenp2057 {\rtlch\fcs1 \af0 \ltrch\fcs0 \insrsid5915614 \chftnsep _x000d__x000a_\par }}{\*\ftnsepc \ltrpar \pard\plain \ltrpar\ql \li0\ri0\widctlpar\wrapdefault\aspalpha\aspnum\faauto\adjustright\rin0\lin0\itap0 \rtlch\fcs1 \af0\afs20\alang1025 \ltrch\fcs0 \fs24\lang2057\langfe2057\cgrid\langnp2057\langfenp2057 {\rtlch\fcs1 \af0 _x000d__x000a_\ltrch\fcs0 \insrsid5915614 \chftnsepc _x000d__x000a_\par }}{\*\aftnsep \ltrpar \pard\plain \ltrpar\ql \li0\ri0\widctlpar\wrapdefault\aspalpha\aspnum\faauto\adjustright\rin0\lin0\itap0 \rtlch\fcs1 \af0\afs20\alang1025 \ltrch\fcs0 \fs24\lang2057\langfe2057\cgrid\langnp2057\langfenp2057 {\rtlch\fcs1 \af0 _x000d__x000a_\ltrch\fcs0 \insrsid5915614 \chftnsep _x000d__x000a_\par }}{\*\aftnsepc \ltrpar \pard\plain \ltrpar\ql \li0\ri0\widctlpar\wrapdefault\aspalpha\aspnum\faauto\adjustright\rin0\lin0\itap0 \rtlch\fcs1 \af0\afs20\alang1025 \ltrch\fcs0 \fs24\lang2057\langfe2057\cgrid\langnp2057\langfenp2057 {\rtlch\fcs1 \af0 _x000d__x000a_\ltrch\fcs0 \insrsid591561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lang1051\langfe2057\langnp1051\insrsid6097707\charrsid750431 &lt;Amend&gt;}{\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41_x000d__x000a_dc8440f3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Ple_NonLegAlternative"/>
    <w:docVar w:name="strSubDir" w:val="1153"/>
    <w:docVar w:name="TVTMEMBERS1" w:val="Dubravka Šuica"/>
    <w:docVar w:name="TXTLANGUE" w:val="SK"/>
    <w:docVar w:name="TXTLANGUEMIN" w:val="sk"/>
    <w:docVar w:name="TXTNRPE" w:val="621.613"/>
    <w:docVar w:name="TXTPEorAP" w:val="PE"/>
    <w:docVar w:name="TXTROUTE" w:val="AM\1153875SK.docx"/>
    <w:docVar w:name="TXTVERSION" w:val="01-00"/>
  </w:docVars>
  <w:rsids>
    <w:rsidRoot w:val="000B735F"/>
    <w:rsid w:val="000B735F"/>
    <w:rsid w:val="00177429"/>
    <w:rsid w:val="001B6C00"/>
    <w:rsid w:val="00206FC8"/>
    <w:rsid w:val="0035429D"/>
    <w:rsid w:val="00394F63"/>
    <w:rsid w:val="00464B63"/>
    <w:rsid w:val="005909EC"/>
    <w:rsid w:val="005A58EF"/>
    <w:rsid w:val="006F7ACD"/>
    <w:rsid w:val="00721483"/>
    <w:rsid w:val="00744581"/>
    <w:rsid w:val="008077F3"/>
    <w:rsid w:val="00874091"/>
    <w:rsid w:val="009A1C7E"/>
    <w:rsid w:val="00B678EC"/>
    <w:rsid w:val="00BC02AC"/>
    <w:rsid w:val="00C331E8"/>
    <w:rsid w:val="00CD728B"/>
    <w:rsid w:val="00D5608B"/>
    <w:rsid w:val="00DE6754"/>
    <w:rsid w:val="00E1396C"/>
    <w:rsid w:val="00E356D6"/>
    <w:rsid w:val="00F33547"/>
    <w:rsid w:val="00F54AA2"/>
    <w:rsid w:val="00F9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506F49-7093-430E-8F23-93225F3A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Header">
    <w:name w:val="header"/>
    <w:basedOn w:val="Normal"/>
    <w:pPr>
      <w:tabs>
        <w:tab w:val="center" w:pos="4320"/>
        <w:tab w:val="right" w:pos="8640"/>
      </w:tabs>
    </w:p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character" w:styleId="PageNumber">
    <w:name w:val="page number"/>
    <w:basedOn w:val="DefaultParagraphFont"/>
  </w:style>
  <w:style w:type="paragraph" w:customStyle="1" w:styleId="ProjRap">
    <w:name w:val="ProjRap"/>
    <w:basedOn w:val="Normal"/>
    <w:rsid w:val="001B6C00"/>
    <w:pPr>
      <w:tabs>
        <w:tab w:val="right" w:pos="9072"/>
      </w:tabs>
      <w:ind w:right="-284"/>
    </w:pPr>
    <w:rPr>
      <w:b/>
    </w:rPr>
  </w:style>
  <w:style w:type="paragraph" w:customStyle="1" w:styleId="Justification">
    <w:name w:val="Justification"/>
    <w:basedOn w:val="Normal12"/>
    <w:rPr>
      <w:i/>
    </w:rPr>
  </w:style>
  <w:style w:type="paragraph" w:customStyle="1" w:styleId="Normal12">
    <w:name w:val="Normal12"/>
    <w:basedOn w:val="Normal"/>
    <w:pPr>
      <w:spacing w:after="240"/>
    </w:pPr>
  </w:style>
  <w:style w:type="paragraph" w:customStyle="1" w:styleId="Footer2">
    <w:name w:val="Footer2"/>
    <w:basedOn w:val="Normal"/>
    <w:rsid w:val="00E1396C"/>
    <w:pPr>
      <w:widowControl/>
      <w:tabs>
        <w:tab w:val="right" w:pos="9921"/>
      </w:tabs>
      <w:spacing w:after="240"/>
      <w:ind w:left="-850" w:right="-850"/>
    </w:pPr>
    <w:rPr>
      <w:rFonts w:ascii="Arial" w:hAnsi="Arial" w:cs="Arial"/>
      <w:b/>
      <w:sz w:val="48"/>
    </w:rPr>
  </w:style>
  <w:style w:type="character" w:customStyle="1" w:styleId="HideTWBInt">
    <w:name w:val="HideTWBInt"/>
    <w:rPr>
      <w:vanish/>
      <w:color w:val="808080"/>
    </w:rPr>
  </w:style>
  <w:style w:type="paragraph" w:customStyle="1" w:styleId="NormalBold">
    <w:name w:val="NormalBold"/>
    <w:basedOn w:val="Normal"/>
    <w:link w:val="NormalBoldChar"/>
    <w:rPr>
      <w:b/>
    </w:rPr>
  </w:style>
  <w:style w:type="paragraph" w:customStyle="1" w:styleId="Olang">
    <w:name w:val="Olang"/>
    <w:basedOn w:val="Normal12a12b"/>
    <w:pPr>
      <w:jc w:val="right"/>
    </w:pPr>
  </w:style>
  <w:style w:type="paragraph" w:customStyle="1" w:styleId="ColHeading">
    <w:name w:val="ColHeading"/>
    <w:basedOn w:val="Normal"/>
    <w:pPr>
      <w:spacing w:before="240" w:after="120"/>
      <w:jc w:val="center"/>
    </w:pPr>
    <w:rPr>
      <w:noProof/>
    </w:rPr>
  </w:style>
  <w:style w:type="paragraph" w:customStyle="1" w:styleId="NormalCentreKeep12b">
    <w:name w:val="NormalCentreKeep12b"/>
    <w:basedOn w:val="Normal12"/>
    <w:pPr>
      <w:keepNext/>
      <w:spacing w:before="240" w:after="0"/>
      <w:jc w:val="center"/>
    </w:pPr>
  </w:style>
  <w:style w:type="paragraph" w:customStyle="1" w:styleId="NormalCentreKeep">
    <w:name w:val="NormalCentreKeep"/>
    <w:basedOn w:val="Normal"/>
    <w:pPr>
      <w:keepNext/>
      <w:jc w:val="center"/>
    </w:pPr>
    <w:rPr>
      <w:noProof/>
    </w:rPr>
  </w:style>
  <w:style w:type="paragraph" w:customStyle="1" w:styleId="Normal12Centre">
    <w:name w:val="Normal12Centre"/>
    <w:basedOn w:val="Normal12"/>
    <w:pPr>
      <w:jc w:val="center"/>
    </w:pPr>
    <w:rPr>
      <w:noProof/>
    </w:rPr>
  </w:style>
  <w:style w:type="paragraph" w:customStyle="1" w:styleId="Normal6">
    <w:name w:val="Normal6"/>
    <w:basedOn w:val="Normal"/>
    <w:pPr>
      <w:spacing w:after="120"/>
    </w:pPr>
    <w:rPr>
      <w:noProof/>
    </w:rPr>
  </w:style>
  <w:style w:type="paragraph" w:customStyle="1" w:styleId="CrossRef">
    <w:name w:val="CrossRef"/>
    <w:basedOn w:val="Normal"/>
    <w:pPr>
      <w:keepNext/>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a12bBold">
    <w:name w:val="Normal12a12bBold"/>
    <w:basedOn w:val="Normal12a12b"/>
    <w:rPr>
      <w:b/>
    </w:rPr>
  </w:style>
  <w:style w:type="paragraph" w:customStyle="1" w:styleId="ZDateAM">
    <w:name w:val="ZDateAM"/>
    <w:basedOn w:val="Normal"/>
    <w:rsid w:val="001B6C00"/>
    <w:pPr>
      <w:tabs>
        <w:tab w:val="right" w:pos="9072"/>
      </w:tabs>
      <w:ind w:right="-284"/>
    </w:pPr>
  </w:style>
  <w:style w:type="paragraph" w:customStyle="1" w:styleId="Normal12Bold">
    <w:name w:val="Normal12Bold"/>
    <w:basedOn w:val="Normal12"/>
    <w:rPr>
      <w:b/>
    </w:rPr>
  </w:style>
  <w:style w:type="paragraph" w:customStyle="1" w:styleId="Normal24">
    <w:name w:val="Normal24"/>
    <w:basedOn w:val="Normal"/>
    <w:pPr>
      <w:spacing w:after="480"/>
    </w:pPr>
  </w:style>
  <w:style w:type="paragraph" w:customStyle="1" w:styleId="Normal12Keep">
    <w:name w:val="Normal12Keep"/>
    <w:basedOn w:val="Normal12"/>
    <w:pPr>
      <w:keepNext/>
    </w:pPr>
  </w:style>
  <w:style w:type="paragraph" w:customStyle="1" w:styleId="Normal12a12bKeep">
    <w:name w:val="Normal12a12bKeep"/>
    <w:basedOn w:val="Normal12a12b"/>
    <w:pPr>
      <w:keepNext/>
    </w:pPr>
  </w:style>
  <w:style w:type="paragraph" w:customStyle="1" w:styleId="Normal12Hanging">
    <w:name w:val="Normal12Hanging"/>
    <w:basedOn w:val="Normal12"/>
    <w:pPr>
      <w:ind w:left="567" w:hanging="567"/>
    </w:pPr>
  </w:style>
  <w:style w:type="character" w:customStyle="1" w:styleId="NormalBoldChar">
    <w:name w:val="NormalBold Char"/>
    <w:link w:val="NormalBold"/>
    <w:rsid w:val="005909EC"/>
    <w:rPr>
      <w:b/>
      <w:sz w:val="24"/>
      <w:lang w:val="sk-SK" w:eastAsia="en-GB" w:bidi="ar-SA"/>
    </w:rPr>
  </w:style>
  <w:style w:type="paragraph" w:customStyle="1" w:styleId="AMNumberTabs">
    <w:name w:val="AMNumberTabs"/>
    <w:basedOn w:val="Normal"/>
    <w:rsid w:val="005909EC"/>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rsid w:val="00177429"/>
    <w:rPr>
      <w:sz w:val="20"/>
    </w:rPr>
  </w:style>
  <w:style w:type="character" w:customStyle="1" w:styleId="FootnoteTextChar">
    <w:name w:val="Footnote Text Char"/>
    <w:basedOn w:val="DefaultParagraphFont"/>
    <w:link w:val="FootnoteText"/>
    <w:rsid w:val="00177429"/>
    <w:rPr>
      <w:lang w:val="sk-SK"/>
    </w:rPr>
  </w:style>
  <w:style w:type="character" w:styleId="FootnoteReference">
    <w:name w:val="footnote reference"/>
    <w:rsid w:val="001774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5473</Words>
  <Characters>32701</Characters>
  <Application>Microsoft Office Word</Application>
  <DocSecurity>0</DocSecurity>
  <Lines>527</Lines>
  <Paragraphs>143</Paragraphs>
  <ScaleCrop>false</ScaleCrop>
  <HeadingPairs>
    <vt:vector size="2" baseType="variant">
      <vt:variant>
        <vt:lpstr>Title</vt:lpstr>
      </vt:variant>
      <vt:variant>
        <vt:i4>1</vt:i4>
      </vt:variant>
    </vt:vector>
  </HeadingPairs>
  <TitlesOfParts>
    <vt:vector size="1" baseType="lpstr">
      <vt:lpstr>AM_Ple_NonLegAlternative</vt:lpstr>
    </vt:vector>
  </TitlesOfParts>
  <Company/>
  <LinksUpToDate>false</LinksUpToDate>
  <CharactersWithSpaces>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AM_Ple_NonLegAlternative</dc:title>
  <dc:subject/>
  <dc:creator>PETROVA Daniela</dc:creator>
  <cp:keywords/>
  <dc:description/>
  <cp:lastModifiedBy>PETROVA Daniela</cp:lastModifiedBy>
  <cp:revision>2</cp:revision>
  <cp:lastPrinted>2004-11-28T14:16:00Z</cp:lastPrinted>
  <dcterms:created xsi:type="dcterms:W3CDTF">2018-05-25T13:43:00Z</dcterms:created>
  <dcterms:modified xsi:type="dcterms:W3CDTF">2018-05-25T13:43:00Z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9.3.0 Build [20180227]</vt:lpwstr>
  </property>
  <property fmtid="{D5CDD505-2E9C-101B-9397-08002B2CF9AE}" pid="4" name="&lt;FdR&gt;">
    <vt:lpwstr>1153875</vt:lpwstr>
  </property>
  <property fmtid="{D5CDD505-2E9C-101B-9397-08002B2CF9AE}" pid="5" name="&lt;Type&gt;">
    <vt:lpwstr>AM</vt:lpwstr>
  </property>
  <property fmtid="{D5CDD505-2E9C-101B-9397-08002B2CF9AE}" pid="6" name="&lt;ModelCod&gt;">
    <vt:lpwstr>\\eiciLUXpr1\pdocep$\DocEP\DOCS\General\AM\AM_NonLeg\AM_Ple_NonLeg\AM_Ple_NonLegAlternative.dot(17/02/2016 11:46:13)</vt:lpwstr>
  </property>
  <property fmtid="{D5CDD505-2E9C-101B-9397-08002B2CF9AE}" pid="7" name="&lt;ModelTra&gt;">
    <vt:lpwstr>\\eiciLUXpr1\pdocep$\DocEP\TRANSFIL\SK\AM_Ple_NonLegAlternative.SK(23/02/2018 10:41:04)</vt:lpwstr>
  </property>
  <property fmtid="{D5CDD505-2E9C-101B-9397-08002B2CF9AE}" pid="8" name="&lt;Model&gt;">
    <vt:lpwstr>AM_Ple_NonLegAlternative</vt:lpwstr>
  </property>
  <property fmtid="{D5CDD505-2E9C-101B-9397-08002B2CF9AE}" pid="9" name="FooterPath">
    <vt:lpwstr>AM\1153875SK.docx</vt:lpwstr>
  </property>
  <property fmtid="{D5CDD505-2E9C-101B-9397-08002B2CF9AE}" pid="10" name="PE number">
    <vt:lpwstr>621.613</vt:lpwstr>
  </property>
  <property fmtid="{D5CDD505-2E9C-101B-9397-08002B2CF9AE}" pid="11" name="Bookout">
    <vt:lpwstr>OK - 2018/05/25 15:43</vt:lpwstr>
  </property>
  <property fmtid="{D5CDD505-2E9C-101B-9397-08002B2CF9AE}" pid="12" name="SDLStudio">
    <vt:lpwstr/>
  </property>
  <property fmtid="{D5CDD505-2E9C-101B-9397-08002B2CF9AE}" pid="13" name="&lt;Extension&gt;">
    <vt:lpwstr>SK</vt:lpwstr>
  </property>
  <property fmtid="{D5CDD505-2E9C-101B-9397-08002B2CF9AE}" pid="14" name="SubscribeElise">
    <vt:lpwstr/>
  </property>
</Properties>
</file>