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0D" w:rsidRDefault="0049130D" w:rsidP="0049130D">
      <w:pPr>
        <w:tabs>
          <w:tab w:val="right" w:pos="9184"/>
        </w:tabs>
      </w:pPr>
    </w:p>
    <w:p w:rsidR="0049130D" w:rsidRDefault="0049130D" w:rsidP="0049130D">
      <w:pPr>
        <w:tabs>
          <w:tab w:val="right" w:pos="9184"/>
        </w:tabs>
      </w:pPr>
    </w:p>
    <w:p w:rsidR="0049130D" w:rsidRDefault="0049130D" w:rsidP="0049130D">
      <w:pPr>
        <w:tabs>
          <w:tab w:val="right" w:pos="9184"/>
        </w:tabs>
      </w:pPr>
    </w:p>
    <w:p w:rsidR="0049130D" w:rsidRDefault="0049130D" w:rsidP="0049130D">
      <w:pPr>
        <w:tabs>
          <w:tab w:val="right" w:pos="9184"/>
        </w:tabs>
      </w:pPr>
    </w:p>
    <w:p w:rsidR="0049130D" w:rsidRDefault="0049130D" w:rsidP="0049130D">
      <w:pPr>
        <w:tabs>
          <w:tab w:val="right" w:pos="9184"/>
        </w:tabs>
      </w:pPr>
      <w:r w:rsidRPr="0049130D">
        <w:rPr>
          <w:rStyle w:val="HideTWBExt"/>
        </w:rPr>
        <w:t>&lt;Date&gt;</w:t>
      </w:r>
      <w:r>
        <w:t>28.9.2018</w:t>
      </w:r>
      <w:r w:rsidRPr="0049130D">
        <w:rPr>
          <w:rStyle w:val="HideTWBExt"/>
        </w:rPr>
        <w:t>&lt;/Date&gt;</w:t>
      </w:r>
      <w:r>
        <w:tab/>
        <w:t xml:space="preserve">A8-0201/ </w:t>
      </w:r>
      <w:r w:rsidRPr="0049130D">
        <w:rPr>
          <w:rStyle w:val="HideTWBExt"/>
        </w:rPr>
        <w:t>&lt;NumOfAM&gt;</w:t>
      </w:r>
      <w:r>
        <w:t>001-046</w:t>
      </w:r>
      <w:bookmarkStart w:id="0" w:name="_GoBack"/>
      <w:bookmarkEnd w:id="0"/>
      <w:r w:rsidRPr="0049130D">
        <w:rPr>
          <w:rStyle w:val="HideTWBExt"/>
        </w:rPr>
        <w:t>&lt;/NumOfAM&gt;</w:t>
      </w:r>
    </w:p>
    <w:p w:rsidR="0049130D" w:rsidRDefault="0049130D" w:rsidP="0049130D">
      <w:pPr>
        <w:tabs>
          <w:tab w:val="right" w:pos="9184"/>
        </w:tabs>
      </w:pPr>
    </w:p>
    <w:p w:rsidR="0049130D" w:rsidRDefault="0049130D" w:rsidP="0049130D">
      <w:pPr>
        <w:tabs>
          <w:tab w:val="right" w:pos="9184"/>
        </w:tabs>
      </w:pPr>
    </w:p>
    <w:p w:rsidR="0049130D" w:rsidRDefault="0049130D" w:rsidP="0049130D">
      <w:pPr>
        <w:tabs>
          <w:tab w:val="right" w:pos="9184"/>
        </w:tabs>
      </w:pPr>
      <w:r>
        <w:rPr>
          <w:b/>
        </w:rPr>
        <w:t xml:space="preserve">GROZĪJUMI 001-046 </w:t>
      </w:r>
    </w:p>
    <w:p w:rsidR="0049130D" w:rsidRDefault="002F3D50" w:rsidP="0049130D">
      <w:pPr>
        <w:tabs>
          <w:tab w:val="right" w:pos="9184"/>
        </w:tabs>
      </w:pPr>
      <w:r>
        <w:t>iesniegusi</w:t>
      </w:r>
      <w:r w:rsidR="0049130D">
        <w:t xml:space="preserve"> </w:t>
      </w:r>
      <w:r w:rsidR="0049130D" w:rsidRPr="0049130D">
        <w:rPr>
          <w:rStyle w:val="HideTWBExt"/>
        </w:rPr>
        <w:t>&lt;Committee&gt;</w:t>
      </w:r>
      <w:r w:rsidR="0049130D">
        <w:t>Iekšējā tirgus un patērētāju aizsardzības komiteja</w:t>
      </w:r>
      <w:r w:rsidR="0049130D" w:rsidRPr="0049130D">
        <w:rPr>
          <w:rStyle w:val="HideTWBExt"/>
        </w:rPr>
        <w:t>&lt;/Committee&gt;</w:t>
      </w:r>
    </w:p>
    <w:p w:rsidR="0049130D" w:rsidRDefault="0049130D" w:rsidP="0049130D">
      <w:pPr>
        <w:tabs>
          <w:tab w:val="right" w:pos="9184"/>
        </w:tabs>
      </w:pPr>
    </w:p>
    <w:p w:rsidR="0049130D" w:rsidRDefault="0049130D" w:rsidP="0049130D">
      <w:pPr>
        <w:tabs>
          <w:tab w:val="right" w:pos="9184"/>
        </w:tabs>
        <w:rPr>
          <w:b/>
        </w:rPr>
      </w:pPr>
      <w:r>
        <w:rPr>
          <w:b/>
        </w:rPr>
        <w:t>Ziņojums</w:t>
      </w:r>
    </w:p>
    <w:p w:rsidR="0049130D" w:rsidRDefault="0049130D" w:rsidP="0049130D">
      <w:pPr>
        <w:tabs>
          <w:tab w:val="right" w:pos="9184"/>
        </w:tabs>
        <w:rPr>
          <w:b/>
        </w:rPr>
      </w:pPr>
      <w:r w:rsidRPr="0049130D">
        <w:rPr>
          <w:rStyle w:val="HideTWBExt"/>
        </w:rPr>
        <w:t>&lt;Chairman&gt;</w:t>
      </w:r>
      <w:r w:rsidRPr="002F3D50">
        <w:rPr>
          <w:b/>
          <w:i/>
        </w:rPr>
        <w:t>Anna Maria Corazza Bildt</w:t>
      </w:r>
      <w:r w:rsidRPr="0049130D">
        <w:rPr>
          <w:rStyle w:val="HideTWBExt"/>
        </w:rPr>
        <w:t>&lt;/Chairman&gt;</w:t>
      </w:r>
      <w:r>
        <w:rPr>
          <w:b/>
        </w:rPr>
        <w:tab/>
      </w:r>
      <w:r w:rsidRPr="0049130D">
        <w:rPr>
          <w:rStyle w:val="HideTWBExt"/>
        </w:rPr>
        <w:t>&lt;A5Nr&gt;</w:t>
      </w:r>
      <w:r>
        <w:rPr>
          <w:b/>
        </w:rPr>
        <w:t>A8-0201/2018</w:t>
      </w:r>
      <w:r w:rsidRPr="0049130D">
        <w:rPr>
          <w:rStyle w:val="HideTWBExt"/>
        </w:rPr>
        <w:t>&lt;/A5Nr&gt;</w:t>
      </w:r>
    </w:p>
    <w:p w:rsidR="0049130D" w:rsidRDefault="0049130D" w:rsidP="0049130D">
      <w:pPr>
        <w:tabs>
          <w:tab w:val="right" w:pos="9184"/>
        </w:tabs>
      </w:pPr>
      <w:r w:rsidRPr="0049130D">
        <w:rPr>
          <w:rStyle w:val="HideTWBExt"/>
        </w:rPr>
        <w:t>&lt;ShortTitel&gt;</w:t>
      </w:r>
      <w:r>
        <w:t>Nepersonizētu datu brīva aprite Eiropas Savienībā</w:t>
      </w:r>
      <w:r w:rsidRPr="0049130D">
        <w:rPr>
          <w:rStyle w:val="HideTWBExt"/>
        </w:rPr>
        <w:t>&lt;/ShortTitel&gt;</w:t>
      </w:r>
    </w:p>
    <w:p w:rsidR="0049130D" w:rsidRDefault="0049130D" w:rsidP="0049130D">
      <w:pPr>
        <w:tabs>
          <w:tab w:val="right" w:pos="9184"/>
        </w:tabs>
      </w:pPr>
    </w:p>
    <w:p w:rsidR="0049130D" w:rsidRDefault="0049130D" w:rsidP="0049130D">
      <w:pPr>
        <w:tabs>
          <w:tab w:val="right" w:pos="9184"/>
        </w:tabs>
      </w:pPr>
      <w:r w:rsidRPr="0049130D">
        <w:rPr>
          <w:rStyle w:val="HideTWBExt"/>
        </w:rPr>
        <w:t>&lt;Procedure&gt;</w:t>
      </w:r>
      <w:r>
        <w:t>Regulas priekšlikums</w:t>
      </w:r>
      <w:r w:rsidRPr="0049130D">
        <w:rPr>
          <w:rStyle w:val="HideTWBExt"/>
        </w:rPr>
        <w:t>&lt;/Procedure&gt;</w:t>
      </w:r>
      <w:r>
        <w:t xml:space="preserve"> </w:t>
      </w:r>
      <w:r w:rsidRPr="0049130D">
        <w:rPr>
          <w:rStyle w:val="HideTWBExt"/>
        </w:rPr>
        <w:t>&lt;ReferenceNo&gt;</w:t>
      </w:r>
      <w:r>
        <w:t>(COM(2017)0495 – C8-0312/2017 – 2017/0228(COD))</w:t>
      </w:r>
      <w:r w:rsidRPr="0049130D">
        <w:rPr>
          <w:rStyle w:val="HideTWBExt"/>
        </w:rPr>
        <w:t>&lt;/ReferenceNo&gt;</w:t>
      </w:r>
    </w:p>
    <w:p w:rsidR="0049130D" w:rsidRDefault="0049130D" w:rsidP="0049130D">
      <w:pPr>
        <w:tabs>
          <w:tab w:val="right" w:pos="9184"/>
        </w:tabs>
      </w:pPr>
    </w:p>
    <w:p w:rsidR="0049130D" w:rsidRDefault="0049130D" w:rsidP="0049130D">
      <w:pPr>
        <w:tabs>
          <w:tab w:val="right" w:pos="9184"/>
        </w:tabs>
      </w:pPr>
    </w:p>
    <w:p w:rsidR="0049130D" w:rsidRDefault="0049130D" w:rsidP="0049130D">
      <w:pPr>
        <w:tabs>
          <w:tab w:val="right" w:pos="9184"/>
        </w:tabs>
      </w:pPr>
    </w:p>
    <w:p w:rsidR="0049130D" w:rsidRDefault="0049130D" w:rsidP="0049130D">
      <w:pPr>
        <w:tabs>
          <w:tab w:val="right" w:pos="9184"/>
        </w:tabs>
        <w:jc w:val="center"/>
      </w:pPr>
      <w:r>
        <w:t>_____________________________________________________________</w:t>
      </w:r>
    </w:p>
    <w:p w:rsidR="0049130D" w:rsidRDefault="0049130D" w:rsidP="0049130D">
      <w:pPr>
        <w:tabs>
          <w:tab w:val="right" w:pos="9184"/>
        </w:tabs>
        <w:jc w:val="center"/>
      </w:pPr>
    </w:p>
    <w:p w:rsidR="00FE0DFE" w:rsidRPr="0049130D" w:rsidRDefault="00FE0DFE" w:rsidP="0049130D">
      <w:pPr>
        <w:pStyle w:val="AMNumberTabs"/>
      </w:pPr>
      <w:r w:rsidRPr="0049130D">
        <w:t>Grozījums Nr.</w:t>
      </w:r>
      <w:r w:rsidRPr="0049130D">
        <w:tab/>
      </w:r>
      <w:r w:rsidRPr="0049130D">
        <w:tab/>
        <w:t>1</w:t>
      </w:r>
    </w:p>
    <w:p w:rsidR="00FE0DFE" w:rsidRPr="0049130D" w:rsidRDefault="00FE0DFE" w:rsidP="00FE0DFE">
      <w:pPr>
        <w:pStyle w:val="NormalBold12b"/>
        <w:keepNext/>
      </w:pPr>
      <w:r w:rsidRPr="0049130D">
        <w:t>Regulas priekšlikums</w:t>
      </w:r>
    </w:p>
    <w:p w:rsidR="00FE0DFE" w:rsidRPr="0049130D" w:rsidRDefault="00FE0DFE" w:rsidP="00FE0DFE">
      <w:pPr>
        <w:pStyle w:val="NormalBold"/>
      </w:pPr>
      <w:r w:rsidRPr="0049130D">
        <w:t>1. apsvērums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E0DFE" w:rsidRPr="0049130D" w:rsidTr="00B8137D">
        <w:trPr>
          <w:trHeight w:hRule="exact" w:val="240"/>
          <w:jc w:val="center"/>
        </w:trPr>
        <w:tc>
          <w:tcPr>
            <w:tcW w:w="9752" w:type="dxa"/>
            <w:gridSpan w:val="2"/>
          </w:tcPr>
          <w:p w:rsidR="00FE0DFE" w:rsidRPr="0049130D" w:rsidRDefault="00FE0DFE" w:rsidP="00B8137D"/>
        </w:tc>
      </w:tr>
      <w:tr w:rsidR="00FE0DFE" w:rsidRPr="0049130D" w:rsidTr="00B8137D">
        <w:trPr>
          <w:trHeight w:val="240"/>
          <w:jc w:val="center"/>
        </w:trPr>
        <w:tc>
          <w:tcPr>
            <w:tcW w:w="4876" w:type="dxa"/>
          </w:tcPr>
          <w:p w:rsidR="00FE0DFE" w:rsidRPr="0049130D" w:rsidRDefault="00FE0DFE" w:rsidP="00B8137D">
            <w:pPr>
              <w:pStyle w:val="ColumnHeading"/>
            </w:pPr>
            <w:r w:rsidRPr="0049130D">
              <w:t>Komisijas ierosinātais teksts</w:t>
            </w:r>
          </w:p>
        </w:tc>
        <w:tc>
          <w:tcPr>
            <w:tcW w:w="4876" w:type="dxa"/>
          </w:tcPr>
          <w:p w:rsidR="00FE0DFE" w:rsidRPr="0049130D" w:rsidRDefault="00FE0DFE" w:rsidP="00B8137D">
            <w:pPr>
              <w:pStyle w:val="ColumnHeading"/>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(1)</w:t>
            </w:r>
            <w:r w:rsidRPr="0049130D">
              <w:tab/>
              <w:t>Tautsaimniecības digitalizācija uzņem ātrumu. Informācijas un komunikācijas tehnoloģijas (IKT) vairs nav atsevišķa nozare, bet pamats visām mūsdienu novatoriskajām saimnieciskajām sistēmām un sabiedrībai. Elektroniskie dati ir šo sistēmu kodols, kurus analizējot vai kombinējot ar pakalpojumiem un produktiem, var iegūt milzu vērtību.</w:t>
            </w:r>
          </w:p>
        </w:tc>
        <w:tc>
          <w:tcPr>
            <w:tcW w:w="4876" w:type="dxa"/>
          </w:tcPr>
          <w:p w:rsidR="00FE0DFE" w:rsidRPr="0049130D" w:rsidRDefault="00FE0DFE" w:rsidP="00B8137D">
            <w:pPr>
              <w:pStyle w:val="Normal6"/>
            </w:pPr>
            <w:r w:rsidRPr="0049130D">
              <w:t>(1)</w:t>
            </w:r>
            <w:r w:rsidRPr="0049130D">
              <w:tab/>
              <w:t xml:space="preserve">Tautsaimniecības digitalizācija uzņem ātrumu. Informācijas un komunikācijas tehnoloģijas (IKT) vairs nav atsevišķa nozare, bet pamats visām mūsdienu novatoriskajām saimnieciskajām sistēmām un sabiedrībai. Elektroniskie dati ir šo sistēmu kodols, kurus analizējot vai </w:t>
            </w:r>
            <w:r w:rsidRPr="0049130D">
              <w:rPr>
                <w:b/>
                <w:i/>
              </w:rPr>
              <w:t xml:space="preserve">drošos apstākļos </w:t>
            </w:r>
            <w:r w:rsidRPr="0049130D">
              <w:t>kombinējot ar pakalpojumiem un produktiem, var iegūt milzu vērtību.</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2</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3. apsvērums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(3)</w:t>
            </w:r>
            <w:r w:rsidRPr="0049130D">
              <w:tab/>
              <w:t xml:space="preserve">Uz datu </w:t>
            </w:r>
            <w:r w:rsidRPr="0049130D">
              <w:rPr>
                <w:b/>
                <w:i/>
              </w:rPr>
              <w:t>glabāšanas vai citādas apstrādes pakalpojumiem</w:t>
            </w:r>
            <w:r w:rsidRPr="0049130D">
              <w:t xml:space="preserve"> saskaņā ar </w:t>
            </w:r>
            <w:r w:rsidRPr="0049130D">
              <w:lastRenderedPageBreak/>
              <w:t>Līgumu par Eiropas Savienības darbību attiecas brīvība veikt uzņēmējdarbību un sniegt pakalpojumus. Taču pakalpojumu sniegšanu apgrūtina vai brīžiem pat liedz dažas valstu prasības, lai dati atrastos konkrētā teritorijā.</w:t>
            </w:r>
          </w:p>
        </w:tc>
        <w:tc>
          <w:tcPr>
            <w:tcW w:w="4876" w:type="dxa"/>
          </w:tcPr>
          <w:p w:rsidR="00FE0DFE" w:rsidRPr="0049130D" w:rsidRDefault="00FE0DFE" w:rsidP="00B8137D">
            <w:pPr>
              <w:pStyle w:val="Normal6"/>
              <w:rPr>
                <w:szCs w:val="24"/>
              </w:rPr>
            </w:pPr>
            <w:r w:rsidRPr="0049130D">
              <w:lastRenderedPageBreak/>
              <w:t>(3)</w:t>
            </w:r>
            <w:r w:rsidRPr="0049130D">
              <w:tab/>
              <w:t xml:space="preserve">Uz datu </w:t>
            </w:r>
            <w:r w:rsidRPr="0049130D">
              <w:rPr>
                <w:b/>
                <w:i/>
              </w:rPr>
              <w:t>apstrādes pakalpojumiem, tostarp uz datu pārnešanu,</w:t>
            </w:r>
            <w:r w:rsidRPr="0049130D">
              <w:t xml:space="preserve"> saskaņā ar </w:t>
            </w:r>
            <w:r w:rsidRPr="0049130D">
              <w:lastRenderedPageBreak/>
              <w:t>Līgumu par Eiropas Savienības darbību attiecas brīvība veikt uzņēmējdarbību un sniegt pakalpojumus. Taču pakalpojumu sniegšanu apgrūtina vai brīžiem pat liedz dažas valstu</w:t>
            </w:r>
            <w:r w:rsidRPr="0049130D">
              <w:rPr>
                <w:b/>
                <w:i/>
              </w:rPr>
              <w:t>, reģionālās vai vietējās</w:t>
            </w:r>
            <w:r w:rsidRPr="0049130D">
              <w:t xml:space="preserve"> prasības, lai dati atrastos konkrētā teritorijā.</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3</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4. apsvērums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(4)</w:t>
            </w:r>
            <w:r w:rsidRPr="0049130D">
              <w:tab/>
              <w:t xml:space="preserve">Šādus šķēršļus datu </w:t>
            </w:r>
            <w:r w:rsidRPr="0049130D">
              <w:rPr>
                <w:b/>
                <w:i/>
              </w:rPr>
              <w:t xml:space="preserve">glabāšanas vai citādas </w:t>
            </w:r>
            <w:r w:rsidRPr="0049130D">
              <w:t>apstrādes pakalpojumu brīvai apritei un datu</w:t>
            </w:r>
            <w:r w:rsidRPr="0049130D">
              <w:rPr>
                <w:b/>
                <w:i/>
              </w:rPr>
              <w:t xml:space="preserve"> glabāšanas vai citādas</w:t>
            </w:r>
            <w:r w:rsidRPr="0049130D">
              <w:t xml:space="preserve"> apstrādes pakalpojumu sniedzēju tiesībām veikt uzņēmējdarbību rada dalībvalstu tiesību aktos ietvertās prasības, lai dati </w:t>
            </w:r>
            <w:r w:rsidRPr="0049130D">
              <w:rPr>
                <w:b/>
                <w:i/>
              </w:rPr>
              <w:t xml:space="preserve">glabāšanas vai citādas </w:t>
            </w:r>
            <w:r w:rsidRPr="0049130D">
              <w:t>apstrādes vajadzībām atrastos noteiktā ģeogrāfiskā apgabalā vai teritorijā. Tāpat iedarbojas citas normas vai administratīvā prakse, kas uzliek īpašas prasības, kuras apgrūtina datu</w:t>
            </w:r>
            <w:r w:rsidRPr="0049130D">
              <w:rPr>
                <w:b/>
                <w:i/>
              </w:rPr>
              <w:t xml:space="preserve"> glabāšanu vai citādu</w:t>
            </w:r>
            <w:r w:rsidRPr="0049130D">
              <w:t xml:space="preserve"> apstrādi ārpus noteikta ģeogrāfiskā apgabala vai teritorijas Savienības iekšienē, piemēram, prasība izmantot konkrētā dalībvalstī sertificētas vai apstiprinātas tehnoloģiskās iekārtas. Juridiskā nenoteiktība jautājumā par likumīgas vai nelikumīgas datu atrašanās vietas prasību apmēru vēl vairāk ierobežo tirgus subjektiem un publiskajam sektoram pieejamo izvēli datu </w:t>
            </w:r>
            <w:r w:rsidRPr="0049130D">
              <w:rPr>
                <w:b/>
                <w:i/>
              </w:rPr>
              <w:t>glabāšanas</w:t>
            </w:r>
            <w:r w:rsidRPr="0049130D">
              <w:t xml:space="preserve"> </w:t>
            </w:r>
            <w:r w:rsidRPr="0049130D">
              <w:rPr>
                <w:b/>
                <w:i/>
              </w:rPr>
              <w:t>vai</w:t>
            </w:r>
            <w:r w:rsidRPr="0049130D">
              <w:t xml:space="preserve"> </w:t>
            </w:r>
            <w:r w:rsidRPr="0049130D">
              <w:rPr>
                <w:b/>
                <w:i/>
              </w:rPr>
              <w:t xml:space="preserve">citādas </w:t>
            </w:r>
            <w:r w:rsidRPr="0049130D">
              <w:t>apstrādes vietas ziņā.</w:t>
            </w:r>
          </w:p>
        </w:tc>
        <w:tc>
          <w:tcPr>
            <w:tcW w:w="4876" w:type="dxa"/>
          </w:tcPr>
          <w:p w:rsidR="00FE0DFE" w:rsidRPr="0049130D" w:rsidRDefault="00FE0DFE" w:rsidP="00B8137D">
            <w:pPr>
              <w:pStyle w:val="Normal6"/>
              <w:rPr>
                <w:szCs w:val="24"/>
              </w:rPr>
            </w:pPr>
            <w:r w:rsidRPr="0049130D">
              <w:t>(4)</w:t>
            </w:r>
            <w:r w:rsidRPr="0049130D">
              <w:tab/>
              <w:t xml:space="preserve">Šādus šķēršļus datu apstrādes pakalpojumu brīvai apritei un datu apstrādes pakalpojumu sniedzēju tiesībām veikt uzņēmējdarbību rada dalībvalstu tiesību aktos ietvertās prasības, lai dati apstrādes vajadzībām atrastos noteiktā ģeogrāfiskā apgabalā vai teritorijā. Tāpat iedarbojas citas normas vai administratīvā prakse, kas uzliek īpašas prasības, kuras apgrūtina datu apstrādi ārpus noteikta ģeogrāfiskā apgabala vai teritorijas Savienības iekšienē, piemēram, prasība izmantot konkrētā dalībvalstī sertificētas vai apstiprinātas tehnoloģiskās iekārtas. Juridiskā nenoteiktība jautājumā par likumīgas vai nelikumīgas datu atrašanās vietas prasību apmēru vēl vairāk ierobežo tirgus subjektiem un publiskajam sektoram pieejamo izvēli datu apstrādes vietas ziņā. </w:t>
            </w:r>
            <w:r w:rsidRPr="0049130D">
              <w:rPr>
                <w:b/>
                <w:i/>
              </w:rPr>
              <w:t>Šī regula nekādā veidā neierobežo uzņēmumu brīvību noslēgt līgumus, kuros tiek noteikta datu atrašanās vieta. Šī regula ir paredzēta tikai tam, lai uzlabotu izvēles iespējas, nodrošinot, ka saskaņota atrašanās vieta var būt jebkur Savienībā.</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4</w:t>
      </w:r>
    </w:p>
    <w:p w:rsidR="00FE0DFE" w:rsidRPr="0049130D" w:rsidRDefault="00FE0DFE" w:rsidP="00FE0DFE">
      <w:pPr>
        <w:pStyle w:val="NormalBold12b"/>
        <w:keepNext/>
      </w:pPr>
      <w:r w:rsidRPr="0049130D">
        <w:t>Regulas priekšlikums</w:t>
      </w:r>
    </w:p>
    <w:p w:rsidR="00FE0DFE" w:rsidRPr="0049130D" w:rsidRDefault="00FE0DFE" w:rsidP="00FE0DFE">
      <w:pPr>
        <w:pStyle w:val="NormalBold"/>
      </w:pPr>
      <w:r w:rsidRPr="0049130D">
        <w:t>5.a apsvērums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hideMark/>
          </w:tcPr>
          <w:p w:rsidR="00FE0DFE" w:rsidRPr="0049130D" w:rsidRDefault="00FE0DFE" w:rsidP="00B8137D">
            <w:pPr>
              <w:pStyle w:val="ColumnHeading"/>
              <w:keepNext/>
            </w:pPr>
            <w:r w:rsidRPr="0049130D">
              <w:t>Komisijas ierosinātais teksts</w:t>
            </w:r>
          </w:p>
        </w:tc>
        <w:tc>
          <w:tcPr>
            <w:tcW w:w="4876" w:type="dxa"/>
            <w:hideMark/>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p>
        </w:tc>
        <w:tc>
          <w:tcPr>
            <w:tcW w:w="4876" w:type="dxa"/>
            <w:hideMark/>
          </w:tcPr>
          <w:p w:rsidR="00FE0DFE" w:rsidRPr="0049130D" w:rsidRDefault="00FE0DFE" w:rsidP="00B8137D">
            <w:pPr>
              <w:pStyle w:val="Normal6"/>
              <w:rPr>
                <w:szCs w:val="24"/>
              </w:rPr>
            </w:pPr>
            <w:r w:rsidRPr="0049130D">
              <w:rPr>
                <w:b/>
                <w:i/>
              </w:rPr>
              <w:t>(5a)</w:t>
            </w:r>
            <w:r w:rsidRPr="0049130D">
              <w:rPr>
                <w:b/>
                <w:i/>
              </w:rPr>
              <w:tab/>
              <w:t>Minēto šķēršļu kombinācija ir novedusi pie mākoņdatošanas pakalpojumu sniedzēju konkurences trūkuma Eiropā, dažādām problēmām, ko izraisa piesaiste pārdevējam, un būtiska datu mobilitātes trūkuma. Turklāt datu atrašanās vietas politika apdraud pētniecības un izstrādes uzņēmumu iespējas sekmēt sadarbību starp uzņēmumiem, universitātēm un citām pētniecības organizācijām ar mērķi veicināt pašiem savu inovāciju.</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5</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7.a apsvērums (jauns)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p>
        </w:tc>
        <w:tc>
          <w:tcPr>
            <w:tcW w:w="4876" w:type="dxa"/>
          </w:tcPr>
          <w:p w:rsidR="00FE0DFE" w:rsidRPr="0049130D" w:rsidRDefault="00FE0DFE" w:rsidP="00B8137D">
            <w:pPr>
              <w:pStyle w:val="Normal6"/>
              <w:rPr>
                <w:szCs w:val="24"/>
              </w:rPr>
            </w:pPr>
            <w:r w:rsidRPr="0049130D">
              <w:rPr>
                <w:b/>
                <w:i/>
              </w:rPr>
              <w:t>(7a)</w:t>
            </w:r>
            <w:r w:rsidRPr="0049130D">
              <w:rPr>
                <w:b/>
                <w:i/>
              </w:rPr>
              <w:tab/>
              <w:t>Datu brīvai apritei Savienībā būs svarīga loma datos balstītas izaugsmes un inovācijas sasniegšanā. Tāpat kā uzņēmumi un patērētāji arī dalībvalstu publiskās iestādes un struktūras var gūt labumu no lielākas izvēles brīvības attiecībā uz tādu pakalpojumu sniedzējiem, kuri ir balstīti uz datiem, kā arī gūt labumu no konkurētspējīgākām cenām un efektīvākas pakalpojumu sniegšanas iedzīvotājiem. Ņemot vērā lielos datu apjomus, ko apstrādā publiskās iestādes un struktūras, ir ārkārtīgi svarīgi, lai tās rādītu piemēru, ieviešot datu apstrādes pakalpojumus, un atturētos noteikt datu atrašanās vietas ierobežojumus, kad tās izmanto datu apstrādes pakalpojumus. Tāpēc šai regulai būtu jāattiecas arī uz publiskajām iestādēm un struktūrām, tostarp publiskā iepirkuma kontekstā, neskarot Eiropas Parlamenta un Padomes Direktīvu 2014/24/ES</w:t>
            </w:r>
            <w:r w:rsidRPr="0049130D">
              <w:rPr>
                <w:b/>
                <w:i/>
                <w:vertAlign w:val="superscript"/>
              </w:rPr>
              <w:t>1a</w:t>
            </w:r>
            <w:r w:rsidRPr="0049130D">
              <w:rPr>
                <w:b/>
                <w:i/>
              </w:rPr>
              <w:t xml:space="preserve">. Tajā pašā laikā šī regula neuzliek publisko tiesību subjektiem pienākumu izmantot datu apstrādes </w:t>
            </w:r>
            <w:r w:rsidRPr="0049130D">
              <w:rPr>
                <w:b/>
                <w:i/>
              </w:rPr>
              <w:lastRenderedPageBreak/>
              <w:t>ārpakalpojumus.</w:t>
            </w:r>
          </w:p>
        </w:tc>
      </w:tr>
      <w:tr w:rsidR="00FE0DFE" w:rsidRPr="0049130D" w:rsidTr="00B8137D">
        <w:trPr>
          <w:jc w:val="center"/>
        </w:trPr>
        <w:tc>
          <w:tcPr>
            <w:tcW w:w="4876" w:type="dxa"/>
          </w:tcPr>
          <w:p w:rsidR="00FE0DFE" w:rsidRPr="0049130D" w:rsidRDefault="00FE0DFE" w:rsidP="00B8137D">
            <w:pPr>
              <w:pStyle w:val="Normal6"/>
            </w:pPr>
          </w:p>
        </w:tc>
        <w:tc>
          <w:tcPr>
            <w:tcW w:w="4876" w:type="dxa"/>
          </w:tcPr>
          <w:p w:rsidR="00FE0DFE" w:rsidRPr="0049130D" w:rsidRDefault="00FE0DFE" w:rsidP="00B8137D">
            <w:pPr>
              <w:pStyle w:val="Normal6"/>
              <w:rPr>
                <w:b/>
                <w:i/>
              </w:rPr>
            </w:pPr>
            <w:r w:rsidRPr="0049130D">
              <w:rPr>
                <w:b/>
                <w:i/>
              </w:rPr>
              <w:t>_____________</w:t>
            </w:r>
          </w:p>
        </w:tc>
      </w:tr>
      <w:tr w:rsidR="00FE0DFE" w:rsidRPr="0049130D" w:rsidTr="00B8137D">
        <w:trPr>
          <w:jc w:val="center"/>
        </w:trPr>
        <w:tc>
          <w:tcPr>
            <w:tcW w:w="4876" w:type="dxa"/>
          </w:tcPr>
          <w:p w:rsidR="00FE0DFE" w:rsidRPr="0049130D" w:rsidRDefault="00FE0DFE" w:rsidP="00B8137D">
            <w:pPr>
              <w:pStyle w:val="Normal6"/>
            </w:pPr>
          </w:p>
        </w:tc>
        <w:tc>
          <w:tcPr>
            <w:tcW w:w="4876" w:type="dxa"/>
          </w:tcPr>
          <w:p w:rsidR="00FE0DFE" w:rsidRPr="0049130D" w:rsidRDefault="00FE0DFE" w:rsidP="00B8137D">
            <w:pPr>
              <w:pStyle w:val="Normal6"/>
              <w:rPr>
                <w:b/>
                <w:i/>
              </w:rPr>
            </w:pPr>
            <w:r w:rsidRPr="0049130D">
              <w:rPr>
                <w:b/>
                <w:i/>
                <w:vertAlign w:val="superscript"/>
              </w:rPr>
              <w:t>1a</w:t>
            </w:r>
            <w:r w:rsidRPr="0049130D">
              <w:rPr>
                <w:b/>
                <w:i/>
              </w:rPr>
              <w:t xml:space="preserve"> Eiropas Parlamenta un Padomes 2014. gada 26. februāra Direktīva 2014/24/ES par publisko iepirkumu un ar ko atceļ Direktīvu 2004/18/EK (Dokuments attiecas uz EEZ) (OV L 94, 28.3.2014., 65. lpp.).</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6</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9. apsvērums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(9)</w:t>
            </w:r>
            <w:r w:rsidRPr="0049130D">
              <w:tab/>
            </w:r>
            <w:r w:rsidRPr="0049130D">
              <w:rPr>
                <w:b/>
                <w:i/>
              </w:rPr>
              <w:t>Šai regulai nebūtu jāskar galvenokārt Regulā</w:t>
            </w:r>
            <w:r w:rsidRPr="0049130D">
              <w:t xml:space="preserve"> (ES) 2016/67930, </w:t>
            </w:r>
            <w:r w:rsidRPr="0049130D">
              <w:rPr>
                <w:b/>
                <w:i/>
              </w:rPr>
              <w:t>Direktīvā</w:t>
            </w:r>
            <w:r w:rsidRPr="0049130D">
              <w:t xml:space="preserve"> (ES) 2016/68031 un </w:t>
            </w:r>
            <w:r w:rsidRPr="0049130D">
              <w:rPr>
                <w:b/>
                <w:i/>
              </w:rPr>
              <w:t>Direktīvā</w:t>
            </w:r>
            <w:r w:rsidRPr="0049130D">
              <w:t xml:space="preserve"> 2002/58/EK32</w:t>
            </w:r>
            <w:r w:rsidRPr="0049130D">
              <w:rPr>
                <w:b/>
                <w:i/>
              </w:rPr>
              <w:t xml:space="preserve"> noteiktais tiesiskais regulējums, kas attiecas uz fizisku personu aizsardzību personas datu apstrādē</w:t>
            </w:r>
            <w:r w:rsidRPr="0049130D">
              <w:t>.</w:t>
            </w:r>
          </w:p>
        </w:tc>
        <w:tc>
          <w:tcPr>
            <w:tcW w:w="4876" w:type="dxa"/>
          </w:tcPr>
          <w:p w:rsidR="00FE0DFE" w:rsidRPr="0049130D" w:rsidRDefault="00FE0DFE" w:rsidP="00B8137D">
            <w:pPr>
              <w:pStyle w:val="Normal6"/>
              <w:rPr>
                <w:szCs w:val="24"/>
              </w:rPr>
            </w:pPr>
            <w:r w:rsidRPr="0049130D">
              <w:t>(9)</w:t>
            </w:r>
            <w:r w:rsidRPr="0049130D">
              <w:tab/>
            </w:r>
            <w:r w:rsidRPr="0049130D">
              <w:rPr>
                <w:b/>
                <w:i/>
              </w:rPr>
              <w:t>Šī regula neskar tiesisko regulējumu, kas attiecas uz fizisku personu aizsardzību personas datu apstrādē un privātās dzīves neaizskaramību un personas datu aizsardzību elektronisko sakaru jomā, jo īpaši Regulu</w:t>
            </w:r>
            <w:r w:rsidRPr="0049130D">
              <w:t xml:space="preserve"> (ES) 2016/679</w:t>
            </w:r>
            <w:r w:rsidRPr="0049130D">
              <w:rPr>
                <w:vertAlign w:val="superscript"/>
              </w:rPr>
              <w:t>30</w:t>
            </w:r>
            <w:r w:rsidRPr="0049130D">
              <w:t xml:space="preserve">, </w:t>
            </w:r>
            <w:r w:rsidRPr="0049130D">
              <w:rPr>
                <w:b/>
                <w:i/>
              </w:rPr>
              <w:t>Direktīvu</w:t>
            </w:r>
            <w:r w:rsidRPr="0049130D">
              <w:t xml:space="preserve"> (ES) 2016/680</w:t>
            </w:r>
            <w:r w:rsidRPr="0049130D">
              <w:rPr>
                <w:vertAlign w:val="superscript"/>
              </w:rPr>
              <w:t>31</w:t>
            </w:r>
            <w:r w:rsidRPr="0049130D">
              <w:t xml:space="preserve"> un </w:t>
            </w:r>
            <w:r w:rsidRPr="0049130D">
              <w:rPr>
                <w:b/>
                <w:i/>
              </w:rPr>
              <w:t>Direktīvu</w:t>
            </w:r>
            <w:r w:rsidRPr="0049130D">
              <w:t xml:space="preserve"> 2002/58/EK</w:t>
            </w:r>
            <w:r w:rsidRPr="0049130D">
              <w:rPr>
                <w:vertAlign w:val="superscript"/>
              </w:rPr>
              <w:t>32</w:t>
            </w:r>
            <w:r w:rsidRPr="0049130D">
              <w:t>.</w:t>
            </w:r>
          </w:p>
        </w:tc>
      </w:tr>
      <w:tr w:rsidR="00FE0DFE" w:rsidRPr="0049130D" w:rsidTr="00B8137D">
        <w:trPr>
          <w:jc w:val="center"/>
        </w:trPr>
        <w:tc>
          <w:tcPr>
            <w:tcW w:w="4876" w:type="dxa"/>
          </w:tcPr>
          <w:p w:rsidR="00FE0DFE" w:rsidRPr="0049130D" w:rsidRDefault="00FE0DFE" w:rsidP="00B8137D">
            <w:pPr>
              <w:pStyle w:val="Normal6"/>
            </w:pPr>
            <w:r w:rsidRPr="0049130D">
              <w:t>__________________</w:t>
            </w:r>
          </w:p>
        </w:tc>
        <w:tc>
          <w:tcPr>
            <w:tcW w:w="4876" w:type="dxa"/>
          </w:tcPr>
          <w:p w:rsidR="00FE0DFE" w:rsidRPr="0049130D" w:rsidRDefault="00FE0DFE" w:rsidP="00B8137D">
            <w:pPr>
              <w:pStyle w:val="Normal6"/>
              <w:rPr>
                <w:szCs w:val="24"/>
              </w:rPr>
            </w:pPr>
            <w:r w:rsidRPr="0049130D">
              <w:t>__________________</w:t>
            </w:r>
          </w:p>
        </w:tc>
      </w:tr>
      <w:tr w:rsidR="00FE0DFE" w:rsidRPr="0049130D" w:rsidTr="00B8137D">
        <w:trPr>
          <w:jc w:val="center"/>
        </w:trPr>
        <w:tc>
          <w:tcPr>
            <w:tcW w:w="4876" w:type="dxa"/>
          </w:tcPr>
          <w:p w:rsidR="00FE0DFE" w:rsidRPr="0049130D" w:rsidRDefault="00FE0DFE" w:rsidP="00B8137D">
            <w:pPr>
              <w:pStyle w:val="Normal6"/>
            </w:pPr>
            <w:r w:rsidRPr="0049130D">
              <w:rPr>
                <w:vertAlign w:val="superscript"/>
              </w:rPr>
              <w:t>30</w:t>
            </w:r>
            <w:r w:rsidRPr="0049130D">
              <w:t xml:space="preserve"> Eiropas Parlamenta un Padomes 2016. gada 27. aprīļa Regula (ES) 2016/679 par fizisku personu aizsardzību attiecībā uz personas datu apstrādi un šādu datu brīvu apriti un ar ko atceļ Direktīvu 95/46/EK (Vispārīgā datu aizsardzības regula) (OV L 119, 4.5.2016., 1. lpp.).</w:t>
            </w:r>
          </w:p>
        </w:tc>
        <w:tc>
          <w:tcPr>
            <w:tcW w:w="4876" w:type="dxa"/>
          </w:tcPr>
          <w:p w:rsidR="00FE0DFE" w:rsidRPr="0049130D" w:rsidRDefault="00FE0DFE" w:rsidP="00B8137D">
            <w:pPr>
              <w:pStyle w:val="Normal6"/>
              <w:rPr>
                <w:szCs w:val="24"/>
              </w:rPr>
            </w:pPr>
            <w:r w:rsidRPr="0049130D">
              <w:rPr>
                <w:vertAlign w:val="superscript"/>
              </w:rPr>
              <w:t>30</w:t>
            </w:r>
            <w:r w:rsidRPr="0049130D">
              <w:t xml:space="preserve"> Eiropas Parlamenta un Padomes 2016. gada 27. aprīļa Regula (ES) 2016/679 par fizisku personu aizsardzību attiecībā uz personas datu apstrādi un šādu datu brīvu apriti un ar ko atceļ Direktīvu 95/46/EK (Vispārīgā datu aizsardzības regula) (OV L 119, 4.5.2016., 1. lpp.).</w:t>
            </w:r>
          </w:p>
        </w:tc>
      </w:tr>
      <w:tr w:rsidR="00FE0DFE" w:rsidRPr="0049130D" w:rsidTr="00B8137D">
        <w:trPr>
          <w:jc w:val="center"/>
        </w:trPr>
        <w:tc>
          <w:tcPr>
            <w:tcW w:w="4876" w:type="dxa"/>
          </w:tcPr>
          <w:p w:rsidR="00FE0DFE" w:rsidRPr="0049130D" w:rsidRDefault="00FE0DFE" w:rsidP="00B8137D">
            <w:pPr>
              <w:pStyle w:val="Normal6"/>
            </w:pPr>
            <w:r w:rsidRPr="0049130D">
              <w:rPr>
                <w:vertAlign w:val="superscript"/>
              </w:rPr>
              <w:t>31</w:t>
            </w:r>
            <w:r w:rsidRPr="0049130D">
              <w:t xml:space="preserve"> Eiropas Parlamenta un Padomes 2016. gada 27. aprīļa Direktīva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(OV L 119, 4.5.2016., 89. lpp.).</w:t>
            </w:r>
          </w:p>
        </w:tc>
        <w:tc>
          <w:tcPr>
            <w:tcW w:w="4876" w:type="dxa"/>
          </w:tcPr>
          <w:p w:rsidR="00FE0DFE" w:rsidRPr="0049130D" w:rsidRDefault="00FE0DFE" w:rsidP="00B8137D">
            <w:pPr>
              <w:pStyle w:val="Normal6"/>
              <w:rPr>
                <w:szCs w:val="24"/>
              </w:rPr>
            </w:pPr>
            <w:r w:rsidRPr="0049130D">
              <w:rPr>
                <w:vertAlign w:val="superscript"/>
              </w:rPr>
              <w:t>31</w:t>
            </w:r>
            <w:r w:rsidRPr="0049130D">
              <w:t xml:space="preserve"> Eiropas Parlamenta un Padomes 2016. gada 27. aprīļa Direktīva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(OV L 119, 4.5.2016., 89. lpp.).</w:t>
            </w:r>
          </w:p>
        </w:tc>
      </w:tr>
      <w:tr w:rsidR="00FE0DFE" w:rsidRPr="0049130D" w:rsidTr="00B8137D">
        <w:trPr>
          <w:jc w:val="center"/>
        </w:trPr>
        <w:tc>
          <w:tcPr>
            <w:tcW w:w="4876" w:type="dxa"/>
          </w:tcPr>
          <w:p w:rsidR="00FE0DFE" w:rsidRPr="0049130D" w:rsidRDefault="00FE0DFE" w:rsidP="00B8137D">
            <w:pPr>
              <w:pStyle w:val="Normal6"/>
            </w:pPr>
            <w:r w:rsidRPr="0049130D">
              <w:rPr>
                <w:vertAlign w:val="superscript"/>
              </w:rPr>
              <w:t>32</w:t>
            </w:r>
            <w:r w:rsidRPr="0049130D">
              <w:t xml:space="preserve"> Eiropas Parlamenta un Padomes 2002. gada 12. jūlija Direktīva 2002/58/EK </w:t>
            </w:r>
            <w:r w:rsidRPr="0049130D">
              <w:lastRenderedPageBreak/>
              <w:t>par personas datu apstrādi un privātās dzīves aizsardzību elektronisko komunikāciju nozarē (direktīva par privāto dzīvi un elektronisko komunikāciju) (OV L 201, 31.7.2002., 37. lpp.).</w:t>
            </w:r>
          </w:p>
        </w:tc>
        <w:tc>
          <w:tcPr>
            <w:tcW w:w="4876" w:type="dxa"/>
          </w:tcPr>
          <w:p w:rsidR="00FE0DFE" w:rsidRPr="0049130D" w:rsidRDefault="00FE0DFE" w:rsidP="00B8137D">
            <w:pPr>
              <w:pStyle w:val="Normal6"/>
              <w:rPr>
                <w:szCs w:val="24"/>
              </w:rPr>
            </w:pPr>
            <w:r w:rsidRPr="0049130D">
              <w:rPr>
                <w:vertAlign w:val="superscript"/>
              </w:rPr>
              <w:lastRenderedPageBreak/>
              <w:t>32</w:t>
            </w:r>
            <w:r w:rsidRPr="0049130D">
              <w:t xml:space="preserve"> Eiropas Parlamenta un Padomes 2002. gada 12. jūlija Direktīva 2002/58/EK </w:t>
            </w:r>
            <w:r w:rsidRPr="0049130D">
              <w:lastRenderedPageBreak/>
              <w:t>par personas datu apstrādi un privātās dzīves aizsardzību elektronisko komunikāciju nozarē (direktīva par privāto dzīvi un elektronisko komunikāciju) (OV L 201, 31.7.2002., 37. lpp.).</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7</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10. apsvērums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(10)</w:t>
            </w:r>
            <w:r w:rsidRPr="0049130D">
              <w:tab/>
              <w:t xml:space="preserve">Saskaņā ar Regulu (ES) 2016/679 dalībvalstis nedrīkst ierobežot un liegt personas datu brīvu apriti Savienībā tādu iemeslu dēļ, kas saistīti ar fizisku personu aizsardzību personas datu apstrādē. Tādu pašu brīvas aprites principu Savienībā šī regula paredz arī </w:t>
            </w:r>
            <w:r w:rsidRPr="0049130D">
              <w:rPr>
                <w:b/>
                <w:i/>
              </w:rPr>
              <w:t>nepersonizētiem</w:t>
            </w:r>
            <w:r w:rsidRPr="0049130D">
              <w:t xml:space="preserve"> datiem, izņemot gadījumus, kad tās ierobežojums vai aizliegums ir pamatots ar drošības apsvērumiem.</w:t>
            </w:r>
          </w:p>
        </w:tc>
        <w:tc>
          <w:tcPr>
            <w:tcW w:w="4876" w:type="dxa"/>
          </w:tcPr>
          <w:p w:rsidR="00FE0DFE" w:rsidRPr="0049130D" w:rsidRDefault="00FE0DFE" w:rsidP="00B8137D">
            <w:pPr>
              <w:pStyle w:val="Normal6"/>
              <w:rPr>
                <w:szCs w:val="24"/>
              </w:rPr>
            </w:pPr>
            <w:r w:rsidRPr="0049130D">
              <w:t>(10)</w:t>
            </w:r>
            <w:r w:rsidRPr="0049130D">
              <w:tab/>
              <w:t xml:space="preserve">Saskaņā ar Regulu (ES) 2016/679 dalībvalstis nedrīkst ierobežot un liegt personas datu brīvu apriti Savienībā tādu iemeslu dēļ, kas saistīti ar fizisku personu aizsardzību personas datu apstrādē. Tādu pašu brīvas aprites principu Savienībā šī regula paredz arī </w:t>
            </w:r>
            <w:r w:rsidRPr="0049130D">
              <w:rPr>
                <w:b/>
                <w:i/>
              </w:rPr>
              <w:t>nepersoniskiem</w:t>
            </w:r>
            <w:r w:rsidRPr="0049130D">
              <w:t xml:space="preserve"> datiem, izņemot gadījumus, kad tās ierobežojums vai aizliegums ir pamatots ar </w:t>
            </w:r>
            <w:r w:rsidRPr="0049130D">
              <w:rPr>
                <w:b/>
                <w:i/>
              </w:rPr>
              <w:t xml:space="preserve">sabiedriskās </w:t>
            </w:r>
            <w:r w:rsidRPr="0049130D">
              <w:t xml:space="preserve">drošības apsvērumiem. </w:t>
            </w:r>
            <w:r w:rsidRPr="0049130D">
              <w:rPr>
                <w:b/>
                <w:i/>
              </w:rPr>
              <w:t>Regulā (ES) 2016/679 un šajā regulā ir paredzēts saskaņots to noteikumu kopums, ar ko nodrošina dažādu veidu datu brīvu apriti. Gadījumā, ja datu kopas satur gan personas datus, gan nepersoniskus datus, Regula (ES) 2016/679 būtu jāpiemēro tai datu kopas daļai, kas satur personas datus, savukārt šī regula būtu jāpiemēro datu kopas nepersonisko datu daļai. Ja nepersoniskie dati un personas dati jauktu datu kopā ir nedalāmi saistīti, šo regulu piemēro, neskarot Regulu (ES) 2016/679. Ja tehnoloģiski sasniegumi, piemēram, mākslīgais intelekts, mašīnmācīšanās, lietu internets un lielo datu analīze, rada iespēju anonimizētus datus padarīt par personas datiem, šādus datus uzskata par personas datiem un attiecīgi piemēro Regulu (ES) 2016/679. Turklāt šī regula nenosaka nedz pienākumu uzglabāt dažādu veidu datus atsevišķi, nedz pienākumu sadalīt jauktu datu kopas.</w:t>
            </w:r>
          </w:p>
        </w:tc>
      </w:tr>
    </w:tbl>
    <w:p w:rsidR="00FE0DFE" w:rsidRPr="0049130D" w:rsidRDefault="00FE0DFE" w:rsidP="00FE0DFE"/>
    <w:p w:rsidR="00FE0DFE" w:rsidRPr="0049130D" w:rsidRDefault="00FE0DFE" w:rsidP="00FE0DFE">
      <w:pPr>
        <w:pStyle w:val="AMNumberTabs"/>
        <w:keepNext/>
      </w:pPr>
      <w:r w:rsidRPr="0049130D">
        <w:lastRenderedPageBreak/>
        <w:t>Grozījums Nr.</w:t>
      </w:r>
      <w:r w:rsidRPr="0049130D">
        <w:tab/>
      </w:r>
      <w:r w:rsidRPr="0049130D">
        <w:tab/>
        <w:t>8</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12. apsvērums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(12)</w:t>
            </w:r>
            <w:r w:rsidRPr="0049130D">
              <w:tab/>
              <w:t xml:space="preserve">Datu atrašanās vietas prasības nepārprotami apgrūtina datu </w:t>
            </w:r>
            <w:r w:rsidRPr="0049130D">
              <w:rPr>
                <w:b/>
                <w:i/>
              </w:rPr>
              <w:t xml:space="preserve">glabāšanas vai citādas </w:t>
            </w:r>
            <w:r w:rsidRPr="0049130D">
              <w:t xml:space="preserve">apstrādes pakalpojumu netraucētu sniegšanu iekšējā tirgū un visā Savienībā. Šādas prasības būtu jāaizliedz, ja vien tām par pamatojumu nav </w:t>
            </w:r>
            <w:r w:rsidRPr="0049130D">
              <w:rPr>
                <w:b/>
                <w:i/>
              </w:rPr>
              <w:t>sabiedriskā drošība</w:t>
            </w:r>
            <w:r w:rsidRPr="0049130D">
              <w:t xml:space="preserve">, kā noteikts Savienības tiesību aktos, jo īpaši Līguma par Eiropas Savienības darbību 52. pantā, un ja vien tās neatbilst Līguma par Eiropas Savienību 5. pantā ietvertajam proporcionalitātes principam. Lai īstenotu principu, kas paredz </w:t>
            </w:r>
            <w:r w:rsidRPr="0049130D">
              <w:rPr>
                <w:b/>
                <w:i/>
              </w:rPr>
              <w:t>nepersonizētu</w:t>
            </w:r>
            <w:r w:rsidRPr="0049130D">
              <w:t xml:space="preserve"> datu brīvu plūsmu pāri robežām, panāktu spēkā esošo datu atrašanās vietas prasību ātru atcelšanu un </w:t>
            </w:r>
            <w:r w:rsidRPr="0049130D">
              <w:rPr>
                <w:b/>
                <w:i/>
              </w:rPr>
              <w:t>operatīvu vajadzību dēļ iespējotu datu glabāšanu vai citādu apstrādi</w:t>
            </w:r>
            <w:r w:rsidRPr="0049130D">
              <w:t xml:space="preserve"> dažādās ES vietās, un tā kā šī regula paredz pasākumus, kas nodrošinās datu pieejamību regulatīvās kontroles vajadzībām, nevajadzētu dalībvalstīm dot iespēju izmantot citu pamatojumu kā vien sabiedriskās drošības apsvērumus.</w:t>
            </w:r>
          </w:p>
        </w:tc>
        <w:tc>
          <w:tcPr>
            <w:tcW w:w="4876" w:type="dxa"/>
          </w:tcPr>
          <w:p w:rsidR="00FE0DFE" w:rsidRPr="0049130D" w:rsidRDefault="00FE0DFE" w:rsidP="00B8137D">
            <w:pPr>
              <w:pStyle w:val="Normal6"/>
              <w:rPr>
                <w:szCs w:val="24"/>
              </w:rPr>
            </w:pPr>
            <w:r w:rsidRPr="0049130D">
              <w:t>(12)</w:t>
            </w:r>
            <w:r w:rsidRPr="0049130D">
              <w:tab/>
              <w:t xml:space="preserve">Datu atrašanās vietas prasības nepārprotami apgrūtina datu apstrādes pakalpojumu netraucētu sniegšanu iekšējā tirgū un visā Savienībā. Šādas prasības būtu jāaizliedz, ja vien tām par pamatojumu nav </w:t>
            </w:r>
            <w:r w:rsidRPr="0049130D">
              <w:rPr>
                <w:b/>
                <w:i/>
              </w:rPr>
              <w:t>nopietni sabiedriskās drošības apsvērumi</w:t>
            </w:r>
            <w:r w:rsidRPr="0049130D">
              <w:t xml:space="preserve">, kā noteikts Savienības tiesību aktos, jo īpaši Līguma par Eiropas Savienības darbību 52. pantā, un ja vien tās neatbilst Līguma par Eiropas Savienību 5. pantā ietvertajam proporcionalitātes principam. Lai īstenotu principu, kas paredz </w:t>
            </w:r>
            <w:r w:rsidRPr="0049130D">
              <w:rPr>
                <w:b/>
                <w:i/>
              </w:rPr>
              <w:t>nepersonisku</w:t>
            </w:r>
            <w:r w:rsidRPr="0049130D">
              <w:t xml:space="preserve"> datu brīvu plūsmu pāri robežām, panāktu spēkā esošo datu atrašanās vietas prasību ātru atcelšanu un </w:t>
            </w:r>
            <w:r w:rsidRPr="0049130D">
              <w:rPr>
                <w:b/>
                <w:i/>
              </w:rPr>
              <w:t>radītu iespēju operatīvu iemeslu dēļ apstrādāt datus</w:t>
            </w:r>
            <w:r w:rsidRPr="0049130D">
              <w:t xml:space="preserve"> dažādās ES vietās, un tā kā šī regula paredz pasākumus, kas nodrošinās datu pieejamību regulatīvās kontroles vajadzībām, nevajadzētu dalībvalstīm dot iespēju izmantot citu pamatojumu kā vien sabiedriskās drošības apsvērumus.</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9</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12.a apsvērums (jauns)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p>
        </w:tc>
        <w:tc>
          <w:tcPr>
            <w:tcW w:w="4876" w:type="dxa"/>
          </w:tcPr>
          <w:p w:rsidR="00FE0DFE" w:rsidRPr="0049130D" w:rsidRDefault="00FE0DFE" w:rsidP="00B8137D">
            <w:pPr>
              <w:pStyle w:val="Normal6"/>
              <w:rPr>
                <w:szCs w:val="24"/>
              </w:rPr>
            </w:pPr>
            <w:r w:rsidRPr="0049130D">
              <w:rPr>
                <w:b/>
                <w:i/>
              </w:rPr>
              <w:t>(12a)</w:t>
            </w:r>
            <w:r w:rsidRPr="0049130D">
              <w:rPr>
                <w:b/>
                <w:i/>
              </w:rPr>
              <w:tab/>
              <w:t xml:space="preserve">Jēdziens “sabiedriskā drošība” LESD 52. panta nozīmē, kā to ir interpretējusi Tiesa, attiecas gan uz dalībvalsts iekšējo, gan ārējo drošību. Ar to tiek iepriekš pieņemts, ka reāli un pietiekami nopietni tiek apdraudētas kādas no sabiedrības pamatinteresēm, piemēram, institūciju darbība, svarīgi sabiedriskie pakalpojumi un iedzīvotāju izdzīvošana, kā arī tas, ka pastāv ārējo </w:t>
            </w:r>
            <w:r w:rsidRPr="0049130D">
              <w:rPr>
                <w:b/>
                <w:i/>
              </w:rPr>
              <w:lastRenderedPageBreak/>
              <w:t>attiecību vai tautu mierīgas līdzāspastāvēšanas būtiska traucējuma vai arī militāro interešu apdraudējuma risks. Ar jēdzienu “nopietni sabiedriskās drošības apsvērumi” tiek iepriekš pieņemts, ka pastāv īpaši nopietni draudi sabiedriskajai drošībai. Saskaņā ar proporcionalitātes principu datu atrašanās vietas prasībām, kuras izņēmuma gadījumos tiek pamatotas ar nopietniem sabiedriskās drošības apsvērumiem, vajadzētu būt piemērotām noteiktā mērķa sasniegšanai un tām nevajadzētu pārsniegt to, kas ir nepieciešams, lai šo mērķi sasniegtu.</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10</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13. apsvērums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(13)</w:t>
            </w:r>
            <w:r w:rsidRPr="0049130D">
              <w:tab/>
              <w:t xml:space="preserve">Lai efektīvi piemērotu principu par </w:t>
            </w:r>
            <w:r w:rsidRPr="0049130D">
              <w:rPr>
                <w:b/>
                <w:i/>
              </w:rPr>
              <w:t>nepersonizētu</w:t>
            </w:r>
            <w:r w:rsidRPr="0049130D">
              <w:t xml:space="preserve"> datu brīvu plūsmu pāri robežām un novērstu jaunus šķēršļus, kas var kavēt iekšējā tirgus darbību, dalībvalstīm būtu jāpaziņo Komisijai par katru tiesību akta projektu, kurā iekļauta kāda jauna vai grozīta spēkā esošā datu atrašanās vietas prasība. Minētie </w:t>
            </w:r>
            <w:r w:rsidRPr="0049130D">
              <w:rPr>
                <w:b/>
                <w:i/>
              </w:rPr>
              <w:t>paziņojumi</w:t>
            </w:r>
            <w:r w:rsidRPr="0049130D">
              <w:t xml:space="preserve"> būtu jāiesniedz un jānovērtē saskaņā ar </w:t>
            </w:r>
            <w:r w:rsidRPr="0049130D">
              <w:rPr>
                <w:b/>
                <w:i/>
              </w:rPr>
              <w:t>Direktīvā</w:t>
            </w:r>
            <w:r w:rsidRPr="0049130D">
              <w:t xml:space="preserve"> (ES) 2015/1535</w:t>
            </w:r>
            <w:r w:rsidRPr="0049130D">
              <w:rPr>
                <w:vertAlign w:val="superscript"/>
              </w:rPr>
              <w:t>33</w:t>
            </w:r>
            <w:r w:rsidRPr="0049130D">
              <w:rPr>
                <w:b/>
                <w:i/>
              </w:rPr>
              <w:t xml:space="preserve"> noteikto procedūru</w:t>
            </w:r>
            <w:r w:rsidRPr="0049130D">
              <w:t>.</w:t>
            </w:r>
          </w:p>
        </w:tc>
        <w:tc>
          <w:tcPr>
            <w:tcW w:w="4876" w:type="dxa"/>
          </w:tcPr>
          <w:p w:rsidR="00FE0DFE" w:rsidRPr="0049130D" w:rsidRDefault="00FE0DFE" w:rsidP="00B8137D">
            <w:pPr>
              <w:pStyle w:val="Normal6"/>
              <w:rPr>
                <w:szCs w:val="24"/>
              </w:rPr>
            </w:pPr>
            <w:r w:rsidRPr="0049130D">
              <w:t>(13)</w:t>
            </w:r>
            <w:r w:rsidRPr="0049130D">
              <w:tab/>
              <w:t xml:space="preserve">Lai efektīvi piemērotu principu par </w:t>
            </w:r>
            <w:r w:rsidRPr="0049130D">
              <w:rPr>
                <w:b/>
                <w:i/>
              </w:rPr>
              <w:t>nepersonisku</w:t>
            </w:r>
            <w:r w:rsidRPr="0049130D">
              <w:t xml:space="preserve"> datu brīvu plūsmu pāri robežām un novērstu jaunus šķēršļus, kas var kavēt iekšējā tirgus darbību, dalībvalstīm būtu</w:t>
            </w:r>
            <w:r w:rsidRPr="0049130D">
              <w:rPr>
                <w:b/>
                <w:i/>
              </w:rPr>
              <w:t xml:space="preserve"> nekavējoties</w:t>
            </w:r>
            <w:r w:rsidRPr="0049130D">
              <w:t xml:space="preserve"> jāpaziņo Komisijai par katru tiesību akta projektu, kurā iekļauta kāda jauna vai grozīta spēkā esošā datu atrašanās vietas prasība. Minētie </w:t>
            </w:r>
            <w:r w:rsidRPr="0049130D">
              <w:rPr>
                <w:b/>
                <w:i/>
              </w:rPr>
              <w:t>tiesību aktu projekti</w:t>
            </w:r>
            <w:r w:rsidRPr="0049130D">
              <w:t xml:space="preserve"> būtu jāiesniedz un jānovērtē saskaņā ar </w:t>
            </w:r>
            <w:r w:rsidRPr="0049130D">
              <w:rPr>
                <w:b/>
                <w:i/>
              </w:rPr>
              <w:t>Direktīvu</w:t>
            </w:r>
            <w:r w:rsidRPr="0049130D">
              <w:t xml:space="preserve"> (ES) 2015/1535</w:t>
            </w:r>
            <w:r w:rsidRPr="0049130D">
              <w:rPr>
                <w:vertAlign w:val="superscript"/>
              </w:rPr>
              <w:t>33</w:t>
            </w:r>
            <w:r w:rsidRPr="0049130D">
              <w:t>.</w:t>
            </w:r>
          </w:p>
        </w:tc>
      </w:tr>
      <w:tr w:rsidR="00FE0DFE" w:rsidRPr="0049130D" w:rsidTr="00B8137D">
        <w:trPr>
          <w:jc w:val="center"/>
        </w:trPr>
        <w:tc>
          <w:tcPr>
            <w:tcW w:w="4876" w:type="dxa"/>
          </w:tcPr>
          <w:p w:rsidR="00FE0DFE" w:rsidRPr="0049130D" w:rsidRDefault="00FE0DFE" w:rsidP="00B8137D">
            <w:pPr>
              <w:pStyle w:val="Normal6"/>
            </w:pPr>
            <w:r w:rsidRPr="0049130D">
              <w:t>__________________</w:t>
            </w:r>
          </w:p>
        </w:tc>
        <w:tc>
          <w:tcPr>
            <w:tcW w:w="4876" w:type="dxa"/>
          </w:tcPr>
          <w:p w:rsidR="00FE0DFE" w:rsidRPr="0049130D" w:rsidRDefault="00FE0DFE" w:rsidP="00B8137D">
            <w:pPr>
              <w:pStyle w:val="Normal6"/>
              <w:rPr>
                <w:szCs w:val="24"/>
              </w:rPr>
            </w:pPr>
            <w:r w:rsidRPr="0049130D">
              <w:t>__________________</w:t>
            </w:r>
          </w:p>
        </w:tc>
      </w:tr>
      <w:tr w:rsidR="00FE0DFE" w:rsidRPr="0049130D" w:rsidTr="00B8137D">
        <w:trPr>
          <w:jc w:val="center"/>
        </w:trPr>
        <w:tc>
          <w:tcPr>
            <w:tcW w:w="4876" w:type="dxa"/>
          </w:tcPr>
          <w:p w:rsidR="00FE0DFE" w:rsidRPr="0049130D" w:rsidRDefault="00FE0DFE" w:rsidP="00B8137D">
            <w:pPr>
              <w:pStyle w:val="Normal6"/>
            </w:pPr>
            <w:r w:rsidRPr="0049130D">
              <w:rPr>
                <w:vertAlign w:val="superscript"/>
              </w:rPr>
              <w:t>33</w:t>
            </w:r>
            <w:r w:rsidRPr="0049130D">
              <w:t xml:space="preserve"> Eiropas Parlamenta un Padomes 2015. gada 9. septembra Direktīva (ES) 2015/1535, ar ko nosaka informācijas sniegšanas kārtību tehnisko noteikumu un Informācijas sabiedrības pakalpojumu noteikumu jomā (OV L 241, 17.9.2015., 1. lpp.).</w:t>
            </w:r>
          </w:p>
        </w:tc>
        <w:tc>
          <w:tcPr>
            <w:tcW w:w="4876" w:type="dxa"/>
          </w:tcPr>
          <w:p w:rsidR="00FE0DFE" w:rsidRPr="0049130D" w:rsidRDefault="00FE0DFE" w:rsidP="00B8137D">
            <w:pPr>
              <w:pStyle w:val="Normal6"/>
              <w:rPr>
                <w:szCs w:val="24"/>
              </w:rPr>
            </w:pPr>
            <w:r w:rsidRPr="0049130D">
              <w:rPr>
                <w:vertAlign w:val="superscript"/>
              </w:rPr>
              <w:t>33</w:t>
            </w:r>
            <w:r w:rsidRPr="0049130D">
              <w:t xml:space="preserve"> Eiropas Parlamenta un Padomes 2015. gada 9. septembra Direktīva (ES) 2015/1535, ar ko nosaka informācijas sniegšanas kārtību tehnisko noteikumu un Informācijas sabiedrības pakalpojumu noteikumu jomā (OV L 241, 17.9.2015., 1. lpp.).</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11</w:t>
      </w:r>
    </w:p>
    <w:p w:rsidR="00FE0DFE" w:rsidRPr="0049130D" w:rsidRDefault="00FE0DFE" w:rsidP="00FE0DFE"/>
    <w:p w:rsidR="00FE0DFE" w:rsidRPr="0049130D" w:rsidRDefault="00FE0DFE" w:rsidP="00FE0DFE">
      <w:pPr>
        <w:pStyle w:val="NormalBold"/>
        <w:keepNext/>
      </w:pPr>
      <w:r w:rsidRPr="0049130D">
        <w:lastRenderedPageBreak/>
        <w:t>Regulas priekšlikums</w:t>
      </w:r>
    </w:p>
    <w:p w:rsidR="00FE0DFE" w:rsidRPr="0049130D" w:rsidRDefault="00FE0DFE" w:rsidP="00FE0DFE">
      <w:pPr>
        <w:pStyle w:val="NormalBold"/>
      </w:pPr>
      <w:r w:rsidRPr="0049130D">
        <w:t>14. apsvērums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(14)</w:t>
            </w:r>
            <w:r w:rsidRPr="0049130D">
              <w:tab/>
              <w:t xml:space="preserve">Turklāt, lai novērstu iespējamos šķēršļus, dalībvalstīm 12 mēnešu pārejas laikā būtu jāpārskata spēkā esošās datu atrašanās vietas prasības un kopā ar pamatojumu jāpaziņo Komisijai par visām datu atrašanās vietas prasībām, kuras tās uzskata par atbilstošām šai regulai. Šiem </w:t>
            </w:r>
            <w:r w:rsidRPr="0049130D">
              <w:rPr>
                <w:b/>
                <w:i/>
              </w:rPr>
              <w:t>ziņojumiem</w:t>
            </w:r>
            <w:r w:rsidRPr="0049130D">
              <w:t xml:space="preserve"> vajadzētu būt tādiem, lai Komisija varētu novērtēt atbilstību </w:t>
            </w:r>
            <w:r w:rsidRPr="0049130D">
              <w:rPr>
                <w:b/>
                <w:i/>
              </w:rPr>
              <w:t>visām pārējām</w:t>
            </w:r>
            <w:r w:rsidRPr="0049130D">
              <w:t xml:space="preserve"> datu atrašanās vietas </w:t>
            </w:r>
            <w:r w:rsidRPr="0049130D">
              <w:rPr>
                <w:b/>
                <w:i/>
              </w:rPr>
              <w:t>prasībām</w:t>
            </w:r>
            <w:r w:rsidRPr="0049130D">
              <w:t>.</w:t>
            </w:r>
          </w:p>
        </w:tc>
        <w:tc>
          <w:tcPr>
            <w:tcW w:w="4876" w:type="dxa"/>
          </w:tcPr>
          <w:p w:rsidR="00FE0DFE" w:rsidRPr="0049130D" w:rsidRDefault="00FE0DFE" w:rsidP="00B8137D">
            <w:pPr>
              <w:pStyle w:val="Normal6"/>
              <w:rPr>
                <w:szCs w:val="24"/>
              </w:rPr>
            </w:pPr>
            <w:r w:rsidRPr="0049130D">
              <w:t>(14)</w:t>
            </w:r>
            <w:r w:rsidRPr="0049130D">
              <w:tab/>
              <w:t xml:space="preserve">Turklāt, lai novērstu iespējamos šķēršļus, dalībvalstīm 12 mēnešu pārejas laikā būtu jāpārskata spēkā esošās datu atrašanās vietas prasības un kopā ar pamatojumu jāpaziņo Komisijai par visām datu atrašanās vietas prasībām, kuras tās uzskata par atbilstošām šai regulai. Šiem </w:t>
            </w:r>
            <w:r w:rsidRPr="0049130D">
              <w:rPr>
                <w:b/>
                <w:i/>
              </w:rPr>
              <w:t>paziņojumiem</w:t>
            </w:r>
            <w:r w:rsidRPr="0049130D">
              <w:t xml:space="preserve"> vajadzētu būt tādiem, lai Komisija varētu novērtēt </w:t>
            </w:r>
            <w:r w:rsidRPr="0049130D">
              <w:rPr>
                <w:b/>
                <w:i/>
              </w:rPr>
              <w:t xml:space="preserve">visu atlikušo datu atrašanās vietas prasību </w:t>
            </w:r>
            <w:r w:rsidRPr="0049130D">
              <w:t xml:space="preserve">atbilstību </w:t>
            </w:r>
            <w:r w:rsidRPr="0049130D">
              <w:rPr>
                <w:b/>
                <w:i/>
              </w:rPr>
              <w:t>un attiecīgā gadījumā pieņemt lēmumus, ar kuriem dalībvalstīm prasa grozīt vai atcelt šādas</w:t>
            </w:r>
            <w:r w:rsidRPr="0049130D">
              <w:t xml:space="preserve"> datu atrašanās vietas </w:t>
            </w:r>
            <w:r w:rsidRPr="0049130D">
              <w:rPr>
                <w:b/>
                <w:i/>
              </w:rPr>
              <w:t>prasības</w:t>
            </w:r>
            <w:r w:rsidRPr="0049130D">
              <w:t>.</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12</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15. apsvērums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(15)</w:t>
            </w:r>
            <w:r w:rsidRPr="0049130D">
              <w:tab/>
              <w:t xml:space="preserve">Lai dalībvalstīs varētu nodrošinātu datu atrašanās vietas prasību pārredzamību fiziskām un juridiskām personām, piemēram, datu glabāšanas vai citādas apstrādes pakalpojumu sniedzējiem un lietotājiem, informācija par </w:t>
            </w:r>
            <w:r w:rsidRPr="0049130D">
              <w:rPr>
                <w:b/>
                <w:i/>
              </w:rPr>
              <w:t>šādiem pasākumiem</w:t>
            </w:r>
            <w:r w:rsidRPr="0049130D">
              <w:t xml:space="preserve"> dalībvalstīm būtu jāpublicē vienotā tiešsaistes informācijas punktā un pastāvīgi jāatjaunina. Lai par datu atrašanās vietas prasībām pienācīgi informētu fiziskās un juridiskās personas visā Savienībā, dalībvalstīm būtu jāpaziņo Komisijai šādu tiešsaistes vietu adreses. Komisijai šāda informācija būtu jāpublicē savā tīmekļa vietnē.</w:t>
            </w:r>
          </w:p>
        </w:tc>
        <w:tc>
          <w:tcPr>
            <w:tcW w:w="4876" w:type="dxa"/>
          </w:tcPr>
          <w:p w:rsidR="00FE0DFE" w:rsidRPr="0049130D" w:rsidRDefault="00FE0DFE" w:rsidP="00B8137D">
            <w:pPr>
              <w:pStyle w:val="Normal6"/>
              <w:rPr>
                <w:szCs w:val="24"/>
              </w:rPr>
            </w:pPr>
            <w:r w:rsidRPr="0049130D">
              <w:t>(15)</w:t>
            </w:r>
            <w:r w:rsidRPr="0049130D">
              <w:tab/>
              <w:t xml:space="preserve">Lai dalībvalstīs varētu nodrošinātu datu atrašanās vietas prasību pārredzamību fiziskām un juridiskām personām, piemēram, datu glabāšanas vai citādas apstrādes pakalpojumu sniedzējiem un lietotājiem, </w:t>
            </w:r>
            <w:r w:rsidRPr="0049130D">
              <w:rPr>
                <w:b/>
                <w:i/>
              </w:rPr>
              <w:t xml:space="preserve">sīkāka </w:t>
            </w:r>
            <w:r w:rsidRPr="0049130D">
              <w:t xml:space="preserve">informācija par </w:t>
            </w:r>
            <w:r w:rsidRPr="0049130D">
              <w:rPr>
                <w:b/>
                <w:i/>
              </w:rPr>
              <w:t>šādām prasībām</w:t>
            </w:r>
            <w:r w:rsidRPr="0049130D">
              <w:t xml:space="preserve"> dalībvalstīm būtu jāpublicē vienotā tiešsaistes informācijas punktā </w:t>
            </w:r>
            <w:r w:rsidRPr="0049130D">
              <w:rPr>
                <w:b/>
                <w:i/>
              </w:rPr>
              <w:t xml:space="preserve">vai šāda sīkāka informācija būtu jāsniedz Savienības līmeņa informācijas punktam, kas izveidots saskaņā ar citu Savienības tiesību aktu [piemēram, ar Eiropas Parlamenta </w:t>
            </w:r>
            <w:r w:rsidRPr="0049130D">
              <w:t xml:space="preserve">un </w:t>
            </w:r>
            <w:r w:rsidRPr="0049130D">
              <w:rPr>
                <w:b/>
                <w:i/>
              </w:rPr>
              <w:t xml:space="preserve">Padomes Regulu (ES) Nr. … par vienoto digitālo vārteju]. Dalībvalstīm šī informācija būtu </w:t>
            </w:r>
            <w:r w:rsidRPr="0049130D">
              <w:t xml:space="preserve">pastāvīgi jāatjaunina. Lai par datu atrašanās vietas prasībām pienācīgi informētu fiziskās un juridiskās personas visā Savienībā, dalībvalstīm būtu jāpaziņo Komisijai šādu tiešsaistes vietu adreses. Komisijai šāda informācija </w:t>
            </w:r>
            <w:r w:rsidRPr="0049130D">
              <w:rPr>
                <w:b/>
                <w:i/>
              </w:rPr>
              <w:t xml:space="preserve">līdz ar dalībvalstīs spēkā esošo datu atrašanās vietas prasību konsolidētu </w:t>
            </w:r>
            <w:r w:rsidRPr="0049130D">
              <w:rPr>
                <w:b/>
                <w:i/>
              </w:rPr>
              <w:lastRenderedPageBreak/>
              <w:t xml:space="preserve">sarakstu </w:t>
            </w:r>
            <w:r w:rsidRPr="0049130D">
              <w:t xml:space="preserve">būtu jāpublicē savā tīmekļvietnē. </w:t>
            </w:r>
            <w:r w:rsidRPr="0049130D">
              <w:rPr>
                <w:b/>
                <w:i/>
              </w:rPr>
              <w:t>Turklāt Komisijai būtu jāpublicē informācija par šīm prasībām savās oficiālajās darba valodās.</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13</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16. apsvērums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(16)</w:t>
            </w:r>
            <w:r w:rsidRPr="0049130D">
              <w:tab/>
              <w:t xml:space="preserve">Datu atrašanās vietas prasības bieži saistītas ar to, ka trūkst uzticēšanās datu </w:t>
            </w:r>
            <w:r w:rsidRPr="0049130D">
              <w:rPr>
                <w:b/>
                <w:i/>
              </w:rPr>
              <w:t xml:space="preserve">glabāšanai vai citādai </w:t>
            </w:r>
            <w:r w:rsidRPr="0049130D">
              <w:t>apstrādei pāri robežām, jo dati šķietami nav pieejami dalībvalstu kompetentajām iestādēm, piemēram, regulatīvos vai uzraudzības nolūkos veicamai pārbaudei un revīzijai. Tāpēc šajā regulā būtu skaidri jānorāda, ka tā neietekmē kompetento iestāžu pilnvaras pieprasīt un saņemt piekļuvi datiem saskaņā ar Savienības vai valstu tiesību aktiem un ka kompetento iestāžu piekļuvi datiem nedrīkst atteikt, aizbildinoties ar to, ka dati tiek glabāti vai citādi apstrādāti kādā citā dalībvalstī.</w:t>
            </w:r>
          </w:p>
        </w:tc>
        <w:tc>
          <w:tcPr>
            <w:tcW w:w="4876" w:type="dxa"/>
          </w:tcPr>
          <w:p w:rsidR="00FE0DFE" w:rsidRPr="0049130D" w:rsidRDefault="00FE0DFE" w:rsidP="00B8137D">
            <w:pPr>
              <w:pStyle w:val="Normal6"/>
              <w:rPr>
                <w:szCs w:val="24"/>
              </w:rPr>
            </w:pPr>
            <w:r w:rsidRPr="0049130D">
              <w:t>(16)</w:t>
            </w:r>
            <w:r w:rsidRPr="0049130D">
              <w:tab/>
              <w:t>Datu atrašanās vietas prasības bieži saistītas ar to, ka trūkst uzticēšanās datu apstrādei pāri robežām, jo dati šķietami nav pieejami dalībvalstu kompetentajām iestādēm, piemēram, regulatīvos vai uzraudzības nolūkos veicamai pārbaudei un revīzijai. Tāpēc</w:t>
            </w:r>
            <w:r w:rsidRPr="0049130D">
              <w:rPr>
                <w:b/>
                <w:i/>
              </w:rPr>
              <w:t xml:space="preserve"> visās dalībvalstīs</w:t>
            </w:r>
            <w:r w:rsidRPr="0049130D">
              <w:t xml:space="preserve"> </w:t>
            </w:r>
            <w:r w:rsidRPr="0049130D">
              <w:rPr>
                <w:b/>
                <w:i/>
              </w:rPr>
              <w:t>būtu jānostiprina datu mitināšanas sistēmu drošība un</w:t>
            </w:r>
            <w:r w:rsidRPr="0049130D">
              <w:t xml:space="preserve"> šajā regulā būtu skaidri jānorāda, ka tā neietekmē kompetento iestāžu pilnvaras pieprasīt un saņemt piekļuvi datiem saskaņā ar Savienības vai valstu tiesību aktiem un ka kompetento iestāžu piekļuvi datiem nedrīkst atteikt, aizbildinoties ar to, ka dati tiek glabāti vai citādi apstrādāti kādā citā dalībvalstī.</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14</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18. apsvērums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(18)</w:t>
            </w:r>
            <w:r w:rsidRPr="0049130D">
              <w:tab/>
              <w:t>Ja fiziska vai juridiska persona, kurai ir pienākums sniegt datus, to neizpilda</w:t>
            </w:r>
            <w:r w:rsidRPr="0049130D">
              <w:rPr>
                <w:b/>
                <w:i/>
              </w:rPr>
              <w:t xml:space="preserve"> un kompetentā iestāde ir izmantojusi visus attiecīgos līdzekļus, lai iegūtu piekļuvi datiem</w:t>
            </w:r>
            <w:r w:rsidRPr="0049130D">
              <w:t xml:space="preserve">, būtu jāparedz iespēja, ka kompetentā iestāde var lūgt palīdzību citu dalībvalstu kompetentajām iestādēm. Šādos gadījumos atkarā no konkrētā gadījuma, piemēram, policijas sadarbības, krimināltiesību, civiltiesību vai administratīvo jautājumu jomā, attiecīgi </w:t>
            </w:r>
            <w:r w:rsidRPr="0049130D">
              <w:lastRenderedPageBreak/>
              <w:t>Pamatdirektīvā 2006/960</w:t>
            </w:r>
            <w:r w:rsidRPr="0049130D">
              <w:rPr>
                <w:vertAlign w:val="superscript"/>
              </w:rPr>
              <w:t>34</w:t>
            </w:r>
            <w:r w:rsidRPr="0049130D">
              <w:t>, Eiropas Parlamenta un Padomes Direktīvā 2014/41/ES</w:t>
            </w:r>
            <w:r w:rsidRPr="0049130D">
              <w:rPr>
                <w:vertAlign w:val="superscript"/>
              </w:rPr>
              <w:t>35</w:t>
            </w:r>
            <w:r w:rsidRPr="0049130D">
              <w:t>, Eiropas Padomes Konvencijā par kibernoziegumiem</w:t>
            </w:r>
            <w:r w:rsidRPr="0049130D">
              <w:rPr>
                <w:vertAlign w:val="superscript"/>
              </w:rPr>
              <w:t>36</w:t>
            </w:r>
            <w:r w:rsidRPr="0049130D">
              <w:t>, Padomes Regulā (EK) Nr. 1206/2001</w:t>
            </w:r>
            <w:r w:rsidRPr="0049130D">
              <w:rPr>
                <w:vertAlign w:val="superscript"/>
              </w:rPr>
              <w:t>37</w:t>
            </w:r>
            <w:r w:rsidRPr="0049130D">
              <w:t>, Padomes Direktīvā 2006/112/EK</w:t>
            </w:r>
            <w:r w:rsidRPr="0049130D">
              <w:rPr>
                <w:vertAlign w:val="superscript"/>
              </w:rPr>
              <w:t>38</w:t>
            </w:r>
            <w:r w:rsidRPr="0049130D">
              <w:t xml:space="preserve"> un Padomes Regulā (ES) Nr. 904/2010</w:t>
            </w:r>
            <w:r w:rsidRPr="0049130D">
              <w:rPr>
                <w:vertAlign w:val="superscript"/>
              </w:rPr>
              <w:t>39</w:t>
            </w:r>
            <w:r w:rsidRPr="0049130D">
              <w:t>, aplūkotā tiesību priekšmeta kompetentajām iestādēm būtu jāizmanto īpaši Savienības tiesību aktos vai starptautiskajos nolīgumos paredzētie sadarbības instrumenti. Ja šādu konkrētu sadarbības mehānismu nav, kompetentajām iestādēm ar izraudzīto vienoto kontaktpunktu starpniecību būtu savā starpā jāsadarbojas, lai nodrošinātu piekļuvi meklētajiem datiem</w:t>
            </w:r>
            <w:r w:rsidRPr="0049130D">
              <w:rPr>
                <w:b/>
                <w:i/>
              </w:rPr>
              <w:t>, ja vien tas nav pretrunā lūgumu saņēmušās dalībvalsts sabiedriskajai kārtībai</w:t>
            </w:r>
            <w:r w:rsidRPr="0049130D">
              <w:t>.</w:t>
            </w:r>
          </w:p>
        </w:tc>
        <w:tc>
          <w:tcPr>
            <w:tcW w:w="4876" w:type="dxa"/>
          </w:tcPr>
          <w:p w:rsidR="00FE0DFE" w:rsidRPr="0049130D" w:rsidRDefault="00FE0DFE" w:rsidP="00B8137D">
            <w:pPr>
              <w:pStyle w:val="Normal6"/>
              <w:rPr>
                <w:szCs w:val="24"/>
              </w:rPr>
            </w:pPr>
            <w:r w:rsidRPr="0049130D">
              <w:lastRenderedPageBreak/>
              <w:t>(18)</w:t>
            </w:r>
            <w:r w:rsidRPr="0049130D">
              <w:tab/>
              <w:t>Ja fiziska vai juridiska persona, kurai ir pienākums sniegt datus, to neizpilda, būtu jāparedz iespēja, ka kompetentā iestāde var lūgt palīdzību citu dalībvalstu kompetentajām iestādēm. Šādos gadījumos atkarībā no konkrētā gadījuma, piemēram, policijas sadarbības, krimināltiesību, civiltiesību vai administratīvo jautājumu jomā, attiecīgi Pamatdirektīvā 2006/960</w:t>
            </w:r>
            <w:r w:rsidRPr="0049130D">
              <w:rPr>
                <w:vertAlign w:val="superscript"/>
              </w:rPr>
              <w:t>34</w:t>
            </w:r>
            <w:r w:rsidRPr="0049130D">
              <w:t>, Eiropas Parlamenta un Padomes Direktīvā 2014/41/ES</w:t>
            </w:r>
            <w:r w:rsidRPr="0049130D">
              <w:rPr>
                <w:vertAlign w:val="superscript"/>
              </w:rPr>
              <w:t>35</w:t>
            </w:r>
            <w:r w:rsidRPr="0049130D">
              <w:t xml:space="preserve">, Eiropas Padomes </w:t>
            </w:r>
            <w:r w:rsidRPr="0049130D">
              <w:lastRenderedPageBreak/>
              <w:t>Konvencijā par kibernoziegumiem</w:t>
            </w:r>
            <w:r w:rsidRPr="0049130D">
              <w:rPr>
                <w:vertAlign w:val="superscript"/>
              </w:rPr>
              <w:t>36</w:t>
            </w:r>
            <w:r w:rsidRPr="0049130D">
              <w:t>, Padomes Regulā (EK) Nr. 1206/2001</w:t>
            </w:r>
            <w:r w:rsidRPr="0049130D">
              <w:rPr>
                <w:vertAlign w:val="superscript"/>
              </w:rPr>
              <w:t>37</w:t>
            </w:r>
            <w:r w:rsidRPr="0049130D">
              <w:t>, Padomes Direktīvā 2006/112/EK</w:t>
            </w:r>
            <w:r w:rsidRPr="0049130D">
              <w:rPr>
                <w:vertAlign w:val="superscript"/>
              </w:rPr>
              <w:t>38</w:t>
            </w:r>
            <w:r w:rsidRPr="0049130D">
              <w:t xml:space="preserve"> un Padomes Regulā (ES) Nr. 904/2010</w:t>
            </w:r>
            <w:r w:rsidRPr="0049130D">
              <w:rPr>
                <w:vertAlign w:val="superscript"/>
              </w:rPr>
              <w:t>39</w:t>
            </w:r>
            <w:r w:rsidRPr="0049130D">
              <w:t>, aplūkotā tiesību priekšmeta kompetentajām iestādēm būtu jāizmanto īpaši Savienības tiesību aktos vai starptautiskajos nolīgumos paredzētie sadarbības instrumenti. Ja šādu konkrētu sadarbības mehānismu nav, kompetentajām iestādēm ar izraudzīto vienoto kontaktpunktu starpniecību būtu savā starpā jāsadarbojas, lai nodrošinātu piekļuvi meklētajiem datiem.</w:t>
            </w:r>
          </w:p>
        </w:tc>
      </w:tr>
      <w:tr w:rsidR="00FE0DFE" w:rsidRPr="0049130D" w:rsidTr="00B8137D">
        <w:trPr>
          <w:jc w:val="center"/>
        </w:trPr>
        <w:tc>
          <w:tcPr>
            <w:tcW w:w="4876" w:type="dxa"/>
          </w:tcPr>
          <w:p w:rsidR="00FE0DFE" w:rsidRPr="0049130D" w:rsidRDefault="00FE0DFE" w:rsidP="00B8137D">
            <w:pPr>
              <w:pStyle w:val="Normal6"/>
            </w:pPr>
            <w:r w:rsidRPr="0049130D">
              <w:lastRenderedPageBreak/>
              <w:t>__________________</w:t>
            </w:r>
          </w:p>
        </w:tc>
        <w:tc>
          <w:tcPr>
            <w:tcW w:w="4876" w:type="dxa"/>
          </w:tcPr>
          <w:p w:rsidR="00FE0DFE" w:rsidRPr="0049130D" w:rsidRDefault="00FE0DFE" w:rsidP="00B8137D">
            <w:pPr>
              <w:pStyle w:val="Normal6"/>
              <w:rPr>
                <w:szCs w:val="24"/>
              </w:rPr>
            </w:pPr>
            <w:r w:rsidRPr="0049130D">
              <w:t>__________________</w:t>
            </w:r>
          </w:p>
        </w:tc>
      </w:tr>
      <w:tr w:rsidR="00FE0DFE" w:rsidRPr="0049130D" w:rsidTr="00B8137D">
        <w:trPr>
          <w:jc w:val="center"/>
        </w:trPr>
        <w:tc>
          <w:tcPr>
            <w:tcW w:w="4876" w:type="dxa"/>
          </w:tcPr>
          <w:p w:rsidR="00FE0DFE" w:rsidRPr="0049130D" w:rsidRDefault="00FE0DFE" w:rsidP="00B8137D">
            <w:pPr>
              <w:pStyle w:val="Normal6"/>
            </w:pPr>
            <w:r w:rsidRPr="0049130D">
              <w:rPr>
                <w:vertAlign w:val="superscript"/>
              </w:rPr>
              <w:t>34</w:t>
            </w:r>
            <w:r w:rsidRPr="0049130D">
              <w:t xml:space="preserve"> Padomes 2006. gada 18. decembra Pamatlēmums 2006/960/TI par Eiropas Savienības dalībvalstu tiesībaizsardzības iestāžu informācijas un izlūkdatu apmaiņas vienkāršošanu (OV L 386, 29.12.2006., 89. lpp.).</w:t>
            </w:r>
          </w:p>
        </w:tc>
        <w:tc>
          <w:tcPr>
            <w:tcW w:w="4876" w:type="dxa"/>
          </w:tcPr>
          <w:p w:rsidR="00FE0DFE" w:rsidRPr="0049130D" w:rsidRDefault="00FE0DFE" w:rsidP="00B8137D">
            <w:pPr>
              <w:pStyle w:val="Normal6"/>
              <w:rPr>
                <w:szCs w:val="24"/>
              </w:rPr>
            </w:pPr>
            <w:r w:rsidRPr="0049130D">
              <w:rPr>
                <w:vertAlign w:val="superscript"/>
              </w:rPr>
              <w:t>34</w:t>
            </w:r>
            <w:r w:rsidRPr="0049130D">
              <w:t xml:space="preserve"> Padomes 2006. gada 18. decembra Pamatlēmums 2006/960/TI par Eiropas Savienības dalībvalstu tiesībaizsardzības iestāžu informācijas un izlūkdatu apmaiņas vienkāršošanu (OV L 386, 29.12.2006., 89. lpp.).</w:t>
            </w:r>
          </w:p>
        </w:tc>
      </w:tr>
      <w:tr w:rsidR="00FE0DFE" w:rsidRPr="0049130D" w:rsidTr="00B8137D">
        <w:trPr>
          <w:jc w:val="center"/>
        </w:trPr>
        <w:tc>
          <w:tcPr>
            <w:tcW w:w="4876" w:type="dxa"/>
          </w:tcPr>
          <w:p w:rsidR="00FE0DFE" w:rsidRPr="0049130D" w:rsidRDefault="00FE0DFE" w:rsidP="00B8137D">
            <w:pPr>
              <w:pStyle w:val="Normal6"/>
            </w:pPr>
            <w:r w:rsidRPr="0049130D">
              <w:rPr>
                <w:vertAlign w:val="superscript"/>
              </w:rPr>
              <w:t>35</w:t>
            </w:r>
            <w:r w:rsidRPr="0049130D">
              <w:t xml:space="preserve"> Eiropas Parlamenta un Padomes 2014. gada 3. aprīļa Direktīva 2014/41/ES par Eiropas izmeklēšanas rīkojumu krimināllietās (OV L 130, 1.5.2014., 1. lpp.).</w:t>
            </w:r>
          </w:p>
        </w:tc>
        <w:tc>
          <w:tcPr>
            <w:tcW w:w="4876" w:type="dxa"/>
          </w:tcPr>
          <w:p w:rsidR="00FE0DFE" w:rsidRPr="0049130D" w:rsidRDefault="00FE0DFE" w:rsidP="00B8137D">
            <w:pPr>
              <w:pStyle w:val="Normal6"/>
              <w:rPr>
                <w:szCs w:val="24"/>
              </w:rPr>
            </w:pPr>
            <w:r w:rsidRPr="0049130D">
              <w:rPr>
                <w:vertAlign w:val="superscript"/>
              </w:rPr>
              <w:t>35</w:t>
            </w:r>
            <w:r w:rsidRPr="0049130D">
              <w:t xml:space="preserve"> Eiropas Parlamenta un Padomes 2014. gada 3. aprīļa Direktīva 2014/41/ES par Eiropas izmeklēšanas rīkojumu krimināllietās (OV L 130, 1.5.2014., 1. lpp.).</w:t>
            </w:r>
          </w:p>
        </w:tc>
      </w:tr>
      <w:tr w:rsidR="00FE0DFE" w:rsidRPr="0049130D" w:rsidTr="00B8137D">
        <w:trPr>
          <w:jc w:val="center"/>
        </w:trPr>
        <w:tc>
          <w:tcPr>
            <w:tcW w:w="4876" w:type="dxa"/>
          </w:tcPr>
          <w:p w:rsidR="00FE0DFE" w:rsidRPr="0049130D" w:rsidRDefault="00FE0DFE" w:rsidP="00B8137D">
            <w:pPr>
              <w:pStyle w:val="Normal6"/>
            </w:pPr>
            <w:r w:rsidRPr="0049130D">
              <w:rPr>
                <w:vertAlign w:val="superscript"/>
              </w:rPr>
              <w:t>36</w:t>
            </w:r>
            <w:r w:rsidRPr="0049130D">
              <w:t xml:space="preserve"> Eiropas Padomes Konvencija par kibernoziegumiem, CETS Nr. 185.</w:t>
            </w:r>
          </w:p>
        </w:tc>
        <w:tc>
          <w:tcPr>
            <w:tcW w:w="4876" w:type="dxa"/>
          </w:tcPr>
          <w:p w:rsidR="00FE0DFE" w:rsidRPr="0049130D" w:rsidRDefault="00FE0DFE" w:rsidP="00B8137D">
            <w:pPr>
              <w:pStyle w:val="Normal6"/>
              <w:rPr>
                <w:szCs w:val="24"/>
              </w:rPr>
            </w:pPr>
            <w:r w:rsidRPr="0049130D">
              <w:rPr>
                <w:vertAlign w:val="superscript"/>
              </w:rPr>
              <w:t>36</w:t>
            </w:r>
            <w:r w:rsidRPr="0049130D">
              <w:t xml:space="preserve"> Eiropas Padomes Konvencija par kibernoziegumiem, CETS Nr. 185.</w:t>
            </w:r>
          </w:p>
        </w:tc>
      </w:tr>
      <w:tr w:rsidR="00FE0DFE" w:rsidRPr="0049130D" w:rsidTr="00B8137D">
        <w:trPr>
          <w:jc w:val="center"/>
        </w:trPr>
        <w:tc>
          <w:tcPr>
            <w:tcW w:w="4876" w:type="dxa"/>
          </w:tcPr>
          <w:p w:rsidR="00FE0DFE" w:rsidRPr="0049130D" w:rsidRDefault="00FE0DFE" w:rsidP="00B8137D">
            <w:pPr>
              <w:pStyle w:val="Normal6"/>
            </w:pPr>
            <w:r w:rsidRPr="0049130D">
              <w:rPr>
                <w:vertAlign w:val="superscript"/>
              </w:rPr>
              <w:t>37</w:t>
            </w:r>
            <w:r w:rsidRPr="0049130D">
              <w:t xml:space="preserve"> Padomes 2001. gada 28. maija Regula (EK) Nr. 1206/2001 par sadarbību starp dalībvalstu tiesām pierādījumu iegūšanā civillietās un krimināllietās (OV L 174, 27.6.2001., 1. lpp.).</w:t>
            </w:r>
          </w:p>
        </w:tc>
        <w:tc>
          <w:tcPr>
            <w:tcW w:w="4876" w:type="dxa"/>
          </w:tcPr>
          <w:p w:rsidR="00FE0DFE" w:rsidRPr="0049130D" w:rsidRDefault="00FE0DFE" w:rsidP="00B8137D">
            <w:pPr>
              <w:pStyle w:val="Normal6"/>
              <w:rPr>
                <w:szCs w:val="24"/>
              </w:rPr>
            </w:pPr>
            <w:r w:rsidRPr="0049130D">
              <w:rPr>
                <w:vertAlign w:val="superscript"/>
              </w:rPr>
              <w:t>37</w:t>
            </w:r>
            <w:r w:rsidRPr="0049130D">
              <w:t xml:space="preserve"> Padomes 2001. gada 28. maija Regula (EK) Nr. 1206/2001 par sadarbību starp dalībvalstu tiesām pierādījumu iegūšanā civillietās un krimināllietās (OV L 174, 27.6.2001., 1. lpp.).</w:t>
            </w:r>
          </w:p>
        </w:tc>
      </w:tr>
      <w:tr w:rsidR="00FE0DFE" w:rsidRPr="0049130D" w:rsidTr="00B8137D">
        <w:trPr>
          <w:jc w:val="center"/>
        </w:trPr>
        <w:tc>
          <w:tcPr>
            <w:tcW w:w="4876" w:type="dxa"/>
          </w:tcPr>
          <w:p w:rsidR="00FE0DFE" w:rsidRPr="0049130D" w:rsidRDefault="00FE0DFE" w:rsidP="00B8137D">
            <w:pPr>
              <w:pStyle w:val="Normal6"/>
            </w:pPr>
            <w:r w:rsidRPr="0049130D">
              <w:rPr>
                <w:vertAlign w:val="superscript"/>
              </w:rPr>
              <w:t>38</w:t>
            </w:r>
            <w:r w:rsidRPr="0049130D">
              <w:t xml:space="preserve"> Padomes 2006. gada 28. novembra Direktīva 2006/112/EK par kopējo pievienotās vērtības nodokļa sistēmu (OV L 347, 11.12.2006., 1. lpp.).</w:t>
            </w:r>
          </w:p>
        </w:tc>
        <w:tc>
          <w:tcPr>
            <w:tcW w:w="4876" w:type="dxa"/>
          </w:tcPr>
          <w:p w:rsidR="00FE0DFE" w:rsidRPr="0049130D" w:rsidRDefault="00FE0DFE" w:rsidP="00B8137D">
            <w:pPr>
              <w:pStyle w:val="Normal6"/>
              <w:rPr>
                <w:szCs w:val="24"/>
              </w:rPr>
            </w:pPr>
            <w:r w:rsidRPr="0049130D">
              <w:rPr>
                <w:vertAlign w:val="superscript"/>
              </w:rPr>
              <w:t>38</w:t>
            </w:r>
            <w:r w:rsidRPr="0049130D">
              <w:t xml:space="preserve"> Padomes 2006. gada 28. novembra Direktīva 2006/112/EK par kopējo pievienotās vērtības nodokļa sistēmu (OV L 347, 11.12.2006., 1. lpp.).</w:t>
            </w:r>
          </w:p>
        </w:tc>
      </w:tr>
      <w:tr w:rsidR="00FE0DFE" w:rsidRPr="0049130D" w:rsidTr="00B8137D">
        <w:trPr>
          <w:jc w:val="center"/>
        </w:trPr>
        <w:tc>
          <w:tcPr>
            <w:tcW w:w="4876" w:type="dxa"/>
          </w:tcPr>
          <w:p w:rsidR="00FE0DFE" w:rsidRPr="0049130D" w:rsidRDefault="00FE0DFE" w:rsidP="00B8137D">
            <w:pPr>
              <w:pStyle w:val="Normal6"/>
            </w:pPr>
            <w:r w:rsidRPr="0049130D">
              <w:rPr>
                <w:vertAlign w:val="superscript"/>
              </w:rPr>
              <w:t>39</w:t>
            </w:r>
            <w:r w:rsidRPr="0049130D">
              <w:t xml:space="preserve"> Padomes 2010. gada 7. oktobra Regula (ES) Nr. 904/2010 par administratīvu sadarbību un krāpšanas apkarošanu pievienotās vērtības nodokļa jomā (OV L 268, 12.10.2010, 1. lpp.).</w:t>
            </w:r>
          </w:p>
        </w:tc>
        <w:tc>
          <w:tcPr>
            <w:tcW w:w="4876" w:type="dxa"/>
          </w:tcPr>
          <w:p w:rsidR="00FE0DFE" w:rsidRPr="0049130D" w:rsidRDefault="00FE0DFE" w:rsidP="00B8137D">
            <w:pPr>
              <w:pStyle w:val="Normal6"/>
              <w:rPr>
                <w:szCs w:val="24"/>
              </w:rPr>
            </w:pPr>
            <w:r w:rsidRPr="0049130D">
              <w:rPr>
                <w:vertAlign w:val="superscript"/>
              </w:rPr>
              <w:t>39</w:t>
            </w:r>
            <w:r w:rsidRPr="0049130D">
              <w:t xml:space="preserve"> Padomes 2010. gada 7. oktobra Regula (ES) Nr. 904/2010 par administratīvu sadarbību un krāpšanas apkarošanu pievienotās vērtības nodokļa jomā (OV L 268, 12.10.2010, 1. lpp.).</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15</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21. apsvērums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(21)</w:t>
            </w:r>
            <w:r w:rsidRPr="0049130D">
              <w:tab/>
              <w:t xml:space="preserve">Lai pilnībā izmantotu konkurences vides piedāvātās priekšrocības, profesionālajiem lietotājiem vajadzētu spēt izdarīt uz informāciju balstītu izvēli un viegli salīdzināt dažādu iekšējā tirgū piedāvāto datu </w:t>
            </w:r>
            <w:r w:rsidRPr="0049130D">
              <w:rPr>
                <w:b/>
                <w:i/>
              </w:rPr>
              <w:t xml:space="preserve">glabāšanas vai citādas </w:t>
            </w:r>
            <w:r w:rsidRPr="0049130D">
              <w:t xml:space="preserve">apstrādes pakalpojumu atsevišķos elementus, tostarp līguma nosacījumus par datu pārvietošanu līguma izbeigšanās gadījumā. Lai izvērstu inovatīvo tirgus potenciālu un ņemtu vērā datu glabāšanas vai citādas apstrādes pakalpojumu sniedzēju un profesionālo lietotāju zināšanas un pieredzi, tirgus subjektiem būtu sīki jādefinē datu pārvietošanas informācija un operatīvās prasības, izmantojot pašregulāciju, ko atvieglo </w:t>
            </w:r>
            <w:r w:rsidRPr="0049130D">
              <w:rPr>
                <w:b/>
                <w:i/>
              </w:rPr>
              <w:t>un</w:t>
            </w:r>
            <w:r w:rsidRPr="0049130D">
              <w:t xml:space="preserve"> sekmē Komisija, tādu Savienības rīcības kodeksu veidā, kuros būtu izklāstīti līguma paraugnoteikumi. </w:t>
            </w:r>
            <w:r w:rsidRPr="0049130D">
              <w:rPr>
                <w:b/>
                <w:i/>
              </w:rPr>
              <w:t>Tomēr tad</w:t>
            </w:r>
            <w:r w:rsidRPr="0049130D">
              <w:t xml:space="preserve">, </w:t>
            </w:r>
            <w:r w:rsidRPr="0049130D">
              <w:rPr>
                <w:b/>
                <w:i/>
              </w:rPr>
              <w:t>ja saprātīgā laikposmā minētie rīcības kodeksi netiek ieviesti</w:t>
            </w:r>
            <w:r w:rsidRPr="0049130D">
              <w:t xml:space="preserve"> un </w:t>
            </w:r>
            <w:r w:rsidRPr="0049130D">
              <w:rPr>
                <w:b/>
                <w:i/>
              </w:rPr>
              <w:t>faktiski īstenoti</w:t>
            </w:r>
            <w:r w:rsidRPr="0049130D">
              <w:t xml:space="preserve">, Komisijai </w:t>
            </w:r>
            <w:r w:rsidRPr="0049130D">
              <w:rPr>
                <w:b/>
                <w:i/>
              </w:rPr>
              <w:t>šāda situācija</w:t>
            </w:r>
            <w:r w:rsidRPr="0049130D">
              <w:t xml:space="preserve"> būtu </w:t>
            </w:r>
            <w:r w:rsidRPr="0049130D">
              <w:rPr>
                <w:b/>
                <w:i/>
              </w:rPr>
              <w:t>jāpārskata</w:t>
            </w:r>
            <w:r w:rsidRPr="0049130D">
              <w:t>.</w:t>
            </w:r>
          </w:p>
        </w:tc>
        <w:tc>
          <w:tcPr>
            <w:tcW w:w="4876" w:type="dxa"/>
          </w:tcPr>
          <w:p w:rsidR="00FE0DFE" w:rsidRPr="0049130D" w:rsidRDefault="00FE0DFE" w:rsidP="00B8137D">
            <w:pPr>
              <w:pStyle w:val="Normal6"/>
              <w:rPr>
                <w:szCs w:val="24"/>
              </w:rPr>
            </w:pPr>
            <w:r w:rsidRPr="0049130D">
              <w:t>(21)</w:t>
            </w:r>
            <w:r w:rsidRPr="0049130D">
              <w:tab/>
              <w:t>Lai pilnībā izmantotu konkurences vides piedāvātās priekšrocības, profesionālajiem lietotājiem vajadzētu spēt izdarīt uz informāciju balstītu izvēli un viegli salīdzināt dažādu iekšējā tirgū piedāvāto datu apstrādes pakalpojumu atsevišķos elementus, tostarp līguma nosacījumus par datu pārvietošanu līguma izbeigšanās gadījumā. Lai izvērstu inovatīvo tirgus potenciālu un ņemtu vērā datu glabāšanas vai citādas apstrādes pakalpojumu sniedzēju un profesionālo lietotāju zināšanas un pieredzi, tirgus subjektiem būtu sīki jādefinē datu pārvietošanas informācija un operatīvās prasības, izmantojot pašregulāciju, ko atvieglo</w:t>
            </w:r>
            <w:r w:rsidRPr="0049130D">
              <w:rPr>
                <w:b/>
                <w:i/>
              </w:rPr>
              <w:t xml:space="preserve">, </w:t>
            </w:r>
            <w:r w:rsidRPr="0049130D">
              <w:t xml:space="preserve">sekmē </w:t>
            </w:r>
            <w:r w:rsidRPr="0049130D">
              <w:rPr>
                <w:b/>
                <w:i/>
              </w:rPr>
              <w:t>un</w:t>
            </w:r>
            <w:r w:rsidRPr="0049130D">
              <w:rPr>
                <w:b/>
              </w:rPr>
              <w:t xml:space="preserve"> </w:t>
            </w:r>
            <w:r w:rsidRPr="0049130D">
              <w:rPr>
                <w:b/>
                <w:i/>
              </w:rPr>
              <w:t>uzrauga</w:t>
            </w:r>
            <w:r w:rsidRPr="0049130D">
              <w:t xml:space="preserve"> Komisija, tādu Savienības rīcības kodeksu veidā, kuros būtu izklāstīti līguma paraugnoteikumi. </w:t>
            </w:r>
            <w:r w:rsidRPr="0049130D">
              <w:rPr>
                <w:b/>
                <w:i/>
              </w:rPr>
              <w:t>Rīcības kodeksiem būtu jābūt visaptverošiem</w:t>
            </w:r>
            <w:r w:rsidRPr="0049130D">
              <w:t xml:space="preserve">, tajos </w:t>
            </w:r>
            <w:r w:rsidRPr="0049130D">
              <w:rPr>
                <w:b/>
                <w:i/>
              </w:rPr>
              <w:t>būtu skaidri jānorāda, ka piesaiste pārdevējam ir nepieņemama uzņēmējdarbības prakse, un būtu jāparedz uzticību palielinošas tehnoloģijas,</w:t>
            </w:r>
            <w:r w:rsidRPr="0049130D">
              <w:t xml:space="preserve"> un </w:t>
            </w:r>
            <w:r w:rsidRPr="0049130D">
              <w:rPr>
                <w:b/>
                <w:i/>
              </w:rPr>
              <w:t>tie būtu regulāri jāatjaunina</w:t>
            </w:r>
            <w:r w:rsidRPr="0049130D">
              <w:t xml:space="preserve">, </w:t>
            </w:r>
            <w:r w:rsidRPr="0049130D">
              <w:rPr>
                <w:b/>
                <w:i/>
              </w:rPr>
              <w:t>lai ietu kopsolī ar tehnoloģiju attīstību.</w:t>
            </w:r>
            <w:r w:rsidRPr="0049130D">
              <w:t xml:space="preserve"> Komisijai </w:t>
            </w:r>
            <w:r w:rsidRPr="0049130D">
              <w:rPr>
                <w:b/>
                <w:i/>
              </w:rPr>
              <w:t>būtu jānodrošina, ka procesa gaitā notiek apspriešanās ar visām attiecīgajām ieinteresētajām personām, tostarp maziem un vidējiem uzņēmumiem un jaunuzņēmumiem.</w:t>
            </w:r>
            <w:r w:rsidRPr="0049130D">
              <w:t xml:space="preserve"> </w:t>
            </w:r>
            <w:r w:rsidRPr="0049130D">
              <w:rPr>
                <w:b/>
                <w:i/>
              </w:rPr>
              <w:t>Komisijai būtu jāizvērtē šādu rīcības kodeksu izstrāde un to īstenošanas efektivitāte.</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16</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28. apsvērums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(28)</w:t>
            </w:r>
            <w:r w:rsidRPr="0049130D">
              <w:tab/>
              <w:t xml:space="preserve">Komisijai </w:t>
            </w:r>
            <w:r w:rsidRPr="0049130D">
              <w:rPr>
                <w:b/>
                <w:i/>
              </w:rPr>
              <w:t>šī regula būtu periodiski jāpārskata</w:t>
            </w:r>
            <w:r w:rsidRPr="0049130D">
              <w:t>, jo īpaši ar mērķi noteikt, vai vajadzīgas izmaiņas tehnoloģisko vai tirgus norišu dēļ.</w:t>
            </w:r>
          </w:p>
        </w:tc>
        <w:tc>
          <w:tcPr>
            <w:tcW w:w="4876" w:type="dxa"/>
          </w:tcPr>
          <w:p w:rsidR="00FE0DFE" w:rsidRPr="0049130D" w:rsidRDefault="00FE0DFE" w:rsidP="00B8137D">
            <w:pPr>
              <w:pStyle w:val="Normal6"/>
              <w:rPr>
                <w:szCs w:val="24"/>
              </w:rPr>
            </w:pPr>
            <w:r w:rsidRPr="0049130D">
              <w:t>(28)</w:t>
            </w:r>
            <w:r w:rsidRPr="0049130D">
              <w:tab/>
              <w:t xml:space="preserve">Komisijai </w:t>
            </w:r>
            <w:r w:rsidRPr="0049130D">
              <w:rPr>
                <w:b/>
                <w:i/>
              </w:rPr>
              <w:t>būtu jāiesniedz ziņojums par šīs regulas īstenošanu</w:t>
            </w:r>
            <w:r w:rsidRPr="0049130D">
              <w:t>, jo īpaši ar mērķi noteikt, vai vajadzīgas izmaiņas tehnoloģisko vai tirgus norišu dēļ</w:t>
            </w:r>
            <w:r w:rsidRPr="0049130D">
              <w:rPr>
                <w:b/>
                <w:i/>
              </w:rPr>
              <w:t>, piemēram, saistībā ar mākslīgā intelekta, mašīnmācīšanās, lietu interneta un lielo datu analīzes attīstību.</w:t>
            </w:r>
            <w:r w:rsidRPr="0049130D">
              <w:t xml:space="preserve"> </w:t>
            </w:r>
            <w:r w:rsidRPr="0049130D">
              <w:rPr>
                <w:b/>
                <w:i/>
              </w:rPr>
              <w:t>Šādā ziņojumā jo īpaši būtu jānovērtē pieredze, kas gūta šīs regulas piemērošanā jauktu datu kopām, lai nodrošinātu inovāciju attīstību, un būtu jānovērtē sabiedriskās drošības izņēmuma izmantošana. Komisijai pirms citu šīs regulas noteikumu piemērošanas būtu arī jāpublicē vadlīnijas par to, kā to piemēro jauktu datu kopām, lai uzņēmumi, tostarp MVU, varētu labāk izprast šīs regulas mijiedarbību ar Regulu (ES) 2016/679.</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17</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2. pants – 1. punkts – ievaddaļa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1.</w:t>
            </w:r>
            <w:r w:rsidRPr="0049130D">
              <w:tab/>
              <w:t xml:space="preserve">Šī regula attiecas uz </w:t>
            </w:r>
            <w:r w:rsidRPr="0049130D">
              <w:rPr>
                <w:b/>
                <w:i/>
              </w:rPr>
              <w:t>nepersonizētu</w:t>
            </w:r>
            <w:r w:rsidRPr="0049130D">
              <w:t xml:space="preserve"> elektronisko datu</w:t>
            </w:r>
            <w:r w:rsidRPr="0049130D">
              <w:rPr>
                <w:b/>
                <w:i/>
              </w:rPr>
              <w:t xml:space="preserve"> glabāšanu vai citādu</w:t>
            </w:r>
            <w:r w:rsidRPr="0049130D">
              <w:t xml:space="preserve"> apstrādi Savienībā,</w:t>
            </w:r>
          </w:p>
        </w:tc>
        <w:tc>
          <w:tcPr>
            <w:tcW w:w="4876" w:type="dxa"/>
          </w:tcPr>
          <w:p w:rsidR="00FE0DFE" w:rsidRPr="0049130D" w:rsidRDefault="00FE0DFE" w:rsidP="00B8137D">
            <w:pPr>
              <w:pStyle w:val="Normal6"/>
              <w:rPr>
                <w:szCs w:val="24"/>
              </w:rPr>
            </w:pPr>
            <w:r w:rsidRPr="0049130D">
              <w:t>1.</w:t>
            </w:r>
            <w:r w:rsidRPr="0049130D">
              <w:tab/>
              <w:t xml:space="preserve">Šī regula attiecas uz </w:t>
            </w:r>
            <w:r w:rsidRPr="0049130D">
              <w:rPr>
                <w:b/>
                <w:i/>
              </w:rPr>
              <w:t>nepersonisku</w:t>
            </w:r>
            <w:r w:rsidRPr="0049130D">
              <w:t xml:space="preserve"> elektronisko datu apstrādi Savienībā,</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18</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2. pants – 1. punkts – 1.a daļa (jauna)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p>
        </w:tc>
        <w:tc>
          <w:tcPr>
            <w:tcW w:w="4876" w:type="dxa"/>
          </w:tcPr>
          <w:p w:rsidR="00FE0DFE" w:rsidRPr="0049130D" w:rsidRDefault="00FE0DFE" w:rsidP="00B8137D">
            <w:pPr>
              <w:pStyle w:val="Normal6"/>
              <w:rPr>
                <w:szCs w:val="24"/>
              </w:rPr>
            </w:pPr>
            <w:r w:rsidRPr="0049130D">
              <w:rPr>
                <w:b/>
                <w:i/>
              </w:rPr>
              <w:t>Jauktu datu kopu gadījumā šo regulu piemēro datu kopas nepersonisko datu daļai. Ja personas dati un nepersoniskie dati jauktu datu kopā ir nedalāmi saistīti, šo regulu piemēro, neskarot Regulu (ES) 2016/679.</w:t>
            </w:r>
          </w:p>
        </w:tc>
      </w:tr>
    </w:tbl>
    <w:p w:rsidR="00FE0DFE" w:rsidRPr="0049130D" w:rsidRDefault="00FE0DFE" w:rsidP="00FE0DFE"/>
    <w:p w:rsidR="00FE0DFE" w:rsidRPr="0049130D" w:rsidRDefault="00FE0DFE" w:rsidP="00FE0DFE">
      <w:pPr>
        <w:pStyle w:val="AMNumberTabs"/>
        <w:keepNext/>
      </w:pPr>
      <w:r w:rsidRPr="0049130D">
        <w:lastRenderedPageBreak/>
        <w:t>Grozījums Nr.</w:t>
      </w:r>
      <w:r w:rsidRPr="0049130D">
        <w:tab/>
      </w:r>
      <w:r w:rsidRPr="0049130D">
        <w:tab/>
        <w:t>19</w:t>
      </w:r>
    </w:p>
    <w:p w:rsidR="00FE0DFE" w:rsidRPr="0049130D" w:rsidRDefault="00FE0DFE" w:rsidP="00FE0DFE">
      <w:pPr>
        <w:pStyle w:val="NormalBold12b"/>
        <w:keepNext/>
      </w:pPr>
      <w:r w:rsidRPr="0049130D">
        <w:t>Regulas priekšlikums</w:t>
      </w:r>
    </w:p>
    <w:p w:rsidR="00FE0DFE" w:rsidRPr="0049130D" w:rsidRDefault="00FE0DFE" w:rsidP="00FE0DFE">
      <w:pPr>
        <w:pStyle w:val="NormalBold"/>
      </w:pPr>
      <w:r w:rsidRPr="0049130D">
        <w:t>3. pants – 1. daļa – 1.a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hideMark/>
          </w:tcPr>
          <w:p w:rsidR="00FE0DFE" w:rsidRPr="0049130D" w:rsidRDefault="00FE0DFE" w:rsidP="00B8137D">
            <w:pPr>
              <w:pStyle w:val="ColumnHeading"/>
              <w:keepNext/>
            </w:pPr>
            <w:r w:rsidRPr="0049130D">
              <w:t>Komisijas ierosinātais teksts</w:t>
            </w:r>
          </w:p>
        </w:tc>
        <w:tc>
          <w:tcPr>
            <w:tcW w:w="4876" w:type="dxa"/>
            <w:hideMark/>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p>
        </w:tc>
        <w:tc>
          <w:tcPr>
            <w:tcW w:w="4876" w:type="dxa"/>
            <w:hideMark/>
          </w:tcPr>
          <w:p w:rsidR="00FE0DFE" w:rsidRPr="0049130D" w:rsidRDefault="00FE0DFE" w:rsidP="00B8137D">
            <w:pPr>
              <w:pStyle w:val="Normal6"/>
              <w:rPr>
                <w:szCs w:val="24"/>
              </w:rPr>
            </w:pPr>
            <w:r w:rsidRPr="0049130D">
              <w:rPr>
                <w:b/>
                <w:i/>
              </w:rPr>
              <w:t>1.a</w:t>
            </w:r>
            <w:r w:rsidRPr="0049130D">
              <w:rPr>
                <w:b/>
                <w:i/>
              </w:rPr>
              <w:tab/>
              <w:t>“jauktu datu kopa” ir datu kopa, kas sastāv gan no personas datiem, gan no nepersoniskiem datiem;</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20</w:t>
      </w:r>
    </w:p>
    <w:p w:rsidR="00FE0DFE" w:rsidRPr="0049130D" w:rsidRDefault="00FE0DFE" w:rsidP="00FE0DFE">
      <w:pPr>
        <w:pStyle w:val="NormalBold12b"/>
        <w:keepNext/>
      </w:pPr>
      <w:r w:rsidRPr="0049130D">
        <w:t>Regulas priekšlikums</w:t>
      </w:r>
    </w:p>
    <w:p w:rsidR="00FE0DFE" w:rsidRPr="0049130D" w:rsidRDefault="00FE0DFE" w:rsidP="00FE0DFE">
      <w:pPr>
        <w:pStyle w:val="NormalBold"/>
      </w:pPr>
      <w:r w:rsidRPr="0049130D">
        <w:t>3. pants – 1. daļa – 2. punkts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hideMark/>
          </w:tcPr>
          <w:p w:rsidR="00FE0DFE" w:rsidRPr="0049130D" w:rsidRDefault="00FE0DFE" w:rsidP="00B8137D">
            <w:pPr>
              <w:pStyle w:val="ColumnHeading"/>
              <w:keepNext/>
            </w:pPr>
            <w:r w:rsidRPr="0049130D">
              <w:t>Komisijas ierosinātais teksts</w:t>
            </w:r>
          </w:p>
        </w:tc>
        <w:tc>
          <w:tcPr>
            <w:tcW w:w="4876" w:type="dxa"/>
            <w:hideMark/>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hideMark/>
          </w:tcPr>
          <w:p w:rsidR="00FE0DFE" w:rsidRPr="0049130D" w:rsidRDefault="00FE0DFE" w:rsidP="00B8137D">
            <w:pPr>
              <w:pStyle w:val="Normal6"/>
            </w:pPr>
            <w:r w:rsidRPr="0049130D">
              <w:rPr>
                <w:b/>
                <w:i/>
              </w:rPr>
              <w:t>2.</w:t>
            </w:r>
            <w:r w:rsidRPr="0049130D">
              <w:rPr>
                <w:b/>
                <w:i/>
              </w:rPr>
              <w:tab/>
              <w:t>“datu glabāšana” ir katra elektroniska datu glabāšanas forma;</w:t>
            </w:r>
          </w:p>
        </w:tc>
        <w:tc>
          <w:tcPr>
            <w:tcW w:w="4876" w:type="dxa"/>
            <w:hideMark/>
          </w:tcPr>
          <w:p w:rsidR="00FE0DFE" w:rsidRPr="0049130D" w:rsidRDefault="00FE0DFE" w:rsidP="00B8137D">
            <w:pPr>
              <w:pStyle w:val="Normal6"/>
              <w:rPr>
                <w:szCs w:val="24"/>
              </w:rPr>
            </w:pPr>
            <w:r w:rsidRPr="0049130D">
              <w:rPr>
                <w:b/>
                <w:i/>
              </w:rPr>
              <w:t>svītrots</w:t>
            </w:r>
          </w:p>
        </w:tc>
      </w:tr>
    </w:tbl>
    <w:p w:rsidR="00FE0DFE" w:rsidRPr="0049130D" w:rsidRDefault="00FE0DFE" w:rsidP="00FE0DFE">
      <w:pPr>
        <w:pStyle w:val="Normal12Italic"/>
      </w:pPr>
    </w:p>
    <w:p w:rsidR="00FE0DFE" w:rsidRPr="0049130D" w:rsidRDefault="00FE0DFE" w:rsidP="00FE0DFE">
      <w:pPr>
        <w:pStyle w:val="Normal12Italic"/>
      </w:pPr>
    </w:p>
    <w:p w:rsidR="00FE0DFE" w:rsidRPr="0049130D" w:rsidRDefault="00FE0DFE" w:rsidP="00FE0DFE">
      <w:pPr>
        <w:pStyle w:val="AMNumberTabs"/>
        <w:keepNext/>
      </w:pPr>
      <w:r w:rsidRPr="0049130D">
        <w:t>Grozījums Nr.</w:t>
      </w:r>
      <w:r w:rsidRPr="0049130D">
        <w:tab/>
      </w:r>
      <w:r w:rsidRPr="0049130D">
        <w:tab/>
        <w:t>21</w:t>
      </w:r>
    </w:p>
    <w:p w:rsidR="00FE0DFE" w:rsidRPr="0049130D" w:rsidRDefault="00FE0DFE" w:rsidP="00FE0DFE">
      <w:pPr>
        <w:pStyle w:val="NormalBold12b"/>
        <w:keepNext/>
      </w:pPr>
      <w:r w:rsidRPr="0049130D">
        <w:t>Regulas priekšlikums</w:t>
      </w:r>
    </w:p>
    <w:p w:rsidR="00FE0DFE" w:rsidRPr="0049130D" w:rsidRDefault="00FE0DFE" w:rsidP="00FE0DFE">
      <w:pPr>
        <w:pStyle w:val="NormalBold"/>
      </w:pPr>
      <w:r w:rsidRPr="0049130D">
        <w:t>3. pants – 1. daļa – 2.a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hideMark/>
          </w:tcPr>
          <w:p w:rsidR="00FE0DFE" w:rsidRPr="0049130D" w:rsidRDefault="00FE0DFE" w:rsidP="00B8137D">
            <w:pPr>
              <w:pStyle w:val="ColumnHeading"/>
              <w:keepNext/>
            </w:pPr>
            <w:r w:rsidRPr="0049130D">
              <w:t>Komisijas ierosinātais teksts</w:t>
            </w:r>
          </w:p>
        </w:tc>
        <w:tc>
          <w:tcPr>
            <w:tcW w:w="4876" w:type="dxa"/>
            <w:hideMark/>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p>
        </w:tc>
        <w:tc>
          <w:tcPr>
            <w:tcW w:w="4876" w:type="dxa"/>
            <w:hideMark/>
          </w:tcPr>
          <w:p w:rsidR="00FE0DFE" w:rsidRPr="0049130D" w:rsidRDefault="00FE0DFE" w:rsidP="00B8137D">
            <w:pPr>
              <w:pStyle w:val="Normal6"/>
              <w:rPr>
                <w:szCs w:val="24"/>
              </w:rPr>
            </w:pPr>
            <w:r w:rsidRPr="0049130D">
              <w:rPr>
                <w:b/>
                <w:i/>
              </w:rPr>
              <w:t>2.a</w:t>
            </w:r>
            <w:r w:rsidRPr="0049130D">
              <w:rPr>
                <w:b/>
                <w:i/>
              </w:rPr>
              <w:tab/>
              <w:t>“apstrāde” ir jebkura ar elektroniskiem datiem vai datu kopām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22</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3. pants – 1. daļa – 4. punkts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4.</w:t>
            </w:r>
            <w:r w:rsidRPr="0049130D">
              <w:tab/>
              <w:t xml:space="preserve">“pakalpojumu sniedzējs” ir fiziska vai juridiska persona, kas sniedz datu </w:t>
            </w:r>
            <w:r w:rsidRPr="0049130D">
              <w:rPr>
                <w:b/>
                <w:i/>
              </w:rPr>
              <w:t xml:space="preserve">glabāšanas vai citādas </w:t>
            </w:r>
            <w:r w:rsidRPr="0049130D">
              <w:t>apstrādes pakalpojumus;</w:t>
            </w:r>
          </w:p>
        </w:tc>
        <w:tc>
          <w:tcPr>
            <w:tcW w:w="4876" w:type="dxa"/>
          </w:tcPr>
          <w:p w:rsidR="00FE0DFE" w:rsidRPr="0049130D" w:rsidRDefault="00FE0DFE" w:rsidP="00B8137D">
            <w:pPr>
              <w:pStyle w:val="Normal6"/>
              <w:rPr>
                <w:szCs w:val="24"/>
              </w:rPr>
            </w:pPr>
            <w:r w:rsidRPr="0049130D">
              <w:t>4.</w:t>
            </w:r>
            <w:r w:rsidRPr="0049130D">
              <w:tab/>
              <w:t>“pakalpojumu sniedzējs” ir fiziska vai juridiska persona, kas sniedz datu apstrādes pakalpojumus;</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23</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3. pants – 1. daļa – 5. punkts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5.</w:t>
            </w:r>
            <w:r w:rsidRPr="0049130D">
              <w:tab/>
              <w:t xml:space="preserve">“datu atrašanās vietas prasība” ir </w:t>
            </w:r>
            <w:r w:rsidRPr="0049130D">
              <w:rPr>
                <w:b/>
                <w:i/>
              </w:rPr>
              <w:t>katrs</w:t>
            </w:r>
            <w:r w:rsidRPr="0049130D">
              <w:t xml:space="preserve"> dalībvalstu normatīvajos vai administratīvajos aktos noteikts pienākums, aizliegums, nosacījums, ierobežojums vai cita prasība, </w:t>
            </w:r>
            <w:r w:rsidRPr="0049130D">
              <w:rPr>
                <w:b/>
                <w:i/>
              </w:rPr>
              <w:t>kas liek datus glabāt vai citādi</w:t>
            </w:r>
            <w:r w:rsidRPr="0049130D">
              <w:t xml:space="preserve"> apstrādāt konkrētas dalībvalsts teritorijā vai traucē datus</w:t>
            </w:r>
            <w:r w:rsidRPr="0049130D">
              <w:rPr>
                <w:b/>
                <w:i/>
              </w:rPr>
              <w:t xml:space="preserve"> glabāt vai citādi</w:t>
            </w:r>
            <w:r w:rsidRPr="0049130D">
              <w:t xml:space="preserve"> apstrādāt citā dalībvalstī;</w:t>
            </w:r>
          </w:p>
        </w:tc>
        <w:tc>
          <w:tcPr>
            <w:tcW w:w="4876" w:type="dxa"/>
          </w:tcPr>
          <w:p w:rsidR="00FE0DFE" w:rsidRPr="0049130D" w:rsidRDefault="00FE0DFE" w:rsidP="00B8137D">
            <w:pPr>
              <w:pStyle w:val="Normal6"/>
              <w:rPr>
                <w:szCs w:val="24"/>
              </w:rPr>
            </w:pPr>
            <w:r w:rsidRPr="0049130D">
              <w:t>5.</w:t>
            </w:r>
            <w:r w:rsidRPr="0049130D">
              <w:tab/>
              <w:t xml:space="preserve">“datu atrašanās vietas prasība” ir </w:t>
            </w:r>
            <w:r w:rsidRPr="0049130D">
              <w:rPr>
                <w:b/>
                <w:i/>
              </w:rPr>
              <w:t>jebkāds</w:t>
            </w:r>
            <w:r w:rsidRPr="0049130D">
              <w:t xml:space="preserve"> dalībvalstu </w:t>
            </w:r>
            <w:r w:rsidRPr="0049130D">
              <w:rPr>
                <w:b/>
                <w:i/>
              </w:rPr>
              <w:t xml:space="preserve">vai to emanāciju </w:t>
            </w:r>
            <w:r w:rsidRPr="0049130D">
              <w:t xml:space="preserve">normatīvajos vai administratīvajos aktos noteikts </w:t>
            </w:r>
            <w:r w:rsidRPr="0049130D">
              <w:rPr>
                <w:b/>
                <w:i/>
              </w:rPr>
              <w:t xml:space="preserve">vai no to administratīvās prakses izrietošs </w:t>
            </w:r>
            <w:r w:rsidRPr="0049130D">
              <w:t xml:space="preserve">pienākums, aizliegums, nosacījums, ierobežojums vai cita prasība, </w:t>
            </w:r>
            <w:r w:rsidRPr="0049130D">
              <w:rPr>
                <w:b/>
                <w:i/>
              </w:rPr>
              <w:t>tostarp publiskā iepirkuma jomā, kas liek datus</w:t>
            </w:r>
            <w:r w:rsidRPr="0049130D">
              <w:t xml:space="preserve"> apstrādāt konkrētas dalībvalsts teritorijā vai traucē datus apstrādāt citā dalībvalstī;</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24</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3. pants – 1. daļa – 6. punkts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6.</w:t>
            </w:r>
            <w:r w:rsidRPr="0049130D">
              <w:tab/>
              <w:t xml:space="preserve">“kompetenta iestāde” ir dalībvalsts iestāde, kurai, pildot oficiālos pienākumus tā, kā noteikts valsts vai Savienības tiesību aktos, ir pilnvaras piekļūt fiziskas vai juridiskas personas </w:t>
            </w:r>
            <w:r w:rsidRPr="0049130D">
              <w:rPr>
                <w:b/>
                <w:i/>
              </w:rPr>
              <w:t xml:space="preserve">glabātiem vai </w:t>
            </w:r>
            <w:r w:rsidRPr="0049130D">
              <w:t>apstrādātiem datiem;</w:t>
            </w:r>
          </w:p>
        </w:tc>
        <w:tc>
          <w:tcPr>
            <w:tcW w:w="4876" w:type="dxa"/>
          </w:tcPr>
          <w:p w:rsidR="00FE0DFE" w:rsidRPr="0049130D" w:rsidRDefault="00FE0DFE" w:rsidP="00B8137D">
            <w:pPr>
              <w:pStyle w:val="Normal6"/>
              <w:rPr>
                <w:szCs w:val="24"/>
              </w:rPr>
            </w:pPr>
            <w:r w:rsidRPr="0049130D">
              <w:t>6.</w:t>
            </w:r>
            <w:r w:rsidRPr="0049130D">
              <w:tab/>
              <w:t>“kompetenta iestāde” ir dalībvalsts iestāde, kurai, pildot oficiālos pienākumus tā, kā noteikts valsts vai Savienības tiesību aktos, ir pilnvaras piekļūt fiziskas vai juridiskas personas apstrādātiem datiem;</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25</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3. pants – 1. daļa – 7. punkts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7.</w:t>
            </w:r>
            <w:r w:rsidRPr="0049130D">
              <w:tab/>
              <w:t>“lietotājs” ir fiziska vai juridiska persona, kas izmanto vai pieprasa datu glabāšanas vai citādas apstrādes pakalpojumu;</w:t>
            </w:r>
          </w:p>
        </w:tc>
        <w:tc>
          <w:tcPr>
            <w:tcW w:w="4876" w:type="dxa"/>
          </w:tcPr>
          <w:p w:rsidR="00FE0DFE" w:rsidRPr="0049130D" w:rsidRDefault="00FE0DFE" w:rsidP="00B8137D">
            <w:pPr>
              <w:pStyle w:val="Normal6"/>
              <w:rPr>
                <w:szCs w:val="24"/>
              </w:rPr>
            </w:pPr>
            <w:r w:rsidRPr="0049130D">
              <w:t>7.</w:t>
            </w:r>
            <w:r w:rsidRPr="0049130D">
              <w:tab/>
              <w:t xml:space="preserve">“lietotājs” ir fiziska vai juridiska persona, </w:t>
            </w:r>
            <w:r w:rsidRPr="0049130D">
              <w:rPr>
                <w:b/>
                <w:i/>
              </w:rPr>
              <w:t xml:space="preserve">tostarp publiskā sektora struktūra, </w:t>
            </w:r>
            <w:r w:rsidRPr="0049130D">
              <w:t>kas izmanto vai pieprasa datu glabāšanas vai citādas apstrādes pakalpojumu;</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26</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3. pants – 1. daļa – 8. punkts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8.</w:t>
            </w:r>
            <w:r w:rsidRPr="0049130D">
              <w:tab/>
              <w:t xml:space="preserve">“profesionāls lietotājs” ir fiziska vai juridiska persona, arī publiskā sektora struktūra, kas izmanto vai pieprasa datu </w:t>
            </w:r>
            <w:r w:rsidRPr="0049130D">
              <w:rPr>
                <w:b/>
                <w:i/>
              </w:rPr>
              <w:t xml:space="preserve">glabāšanas vai citādas </w:t>
            </w:r>
            <w:r w:rsidRPr="0049130D">
              <w:t>apstrādes pakalpojumu savām tirdzniecības, saimnieciskās darbības, aroda, profesijas vai uzdevuma izpildes vajadzībām.</w:t>
            </w:r>
          </w:p>
        </w:tc>
        <w:tc>
          <w:tcPr>
            <w:tcW w:w="4876" w:type="dxa"/>
          </w:tcPr>
          <w:p w:rsidR="00FE0DFE" w:rsidRPr="0049130D" w:rsidRDefault="00FE0DFE" w:rsidP="00B8137D">
            <w:pPr>
              <w:pStyle w:val="Normal6"/>
              <w:rPr>
                <w:szCs w:val="24"/>
              </w:rPr>
            </w:pPr>
            <w:r w:rsidRPr="0049130D">
              <w:t>8.</w:t>
            </w:r>
            <w:r w:rsidRPr="0049130D">
              <w:tab/>
              <w:t>“profesionāls lietotājs” ir fiziska vai juridiska persona, arī publiskā sektora struktūra, kas izmanto vai pieprasa datu apstrādes pakalpojumu savām tirdzniecības, saimnieciskās darbības, aroda, profesijas vai uzdevuma izpildes vajadzībām.</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27</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4. pants – 1. punkts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1.</w:t>
            </w:r>
            <w:r w:rsidRPr="0049130D">
              <w:tab/>
              <w:t xml:space="preserve">Datu </w:t>
            </w:r>
            <w:r w:rsidRPr="0049130D">
              <w:rPr>
                <w:b/>
                <w:i/>
              </w:rPr>
              <w:t>glabāšanas vai citādas apstrādes vietu Savienībā neierobežo konkrētas dalībvalsts teritorija,</w:t>
            </w:r>
            <w:r w:rsidRPr="0049130D">
              <w:t xml:space="preserve"> un </w:t>
            </w:r>
            <w:r w:rsidRPr="0049130D">
              <w:rPr>
                <w:b/>
                <w:i/>
              </w:rPr>
              <w:t>datu glabāšana vai citāda apstrāde citā dalībvalstī</w:t>
            </w:r>
            <w:r w:rsidRPr="0049130D">
              <w:t xml:space="preserve"> nav </w:t>
            </w:r>
            <w:r w:rsidRPr="0049130D">
              <w:rPr>
                <w:b/>
                <w:i/>
              </w:rPr>
              <w:t>aizliegta un ierobežota, ja vien tam par pamatu nav sabiedriskā drošība</w:t>
            </w:r>
            <w:r w:rsidRPr="0049130D">
              <w:t>.</w:t>
            </w:r>
          </w:p>
        </w:tc>
        <w:tc>
          <w:tcPr>
            <w:tcW w:w="4876" w:type="dxa"/>
          </w:tcPr>
          <w:p w:rsidR="00FE0DFE" w:rsidRPr="0049130D" w:rsidRDefault="00FE0DFE" w:rsidP="00B8137D">
            <w:pPr>
              <w:pStyle w:val="Normal6"/>
              <w:rPr>
                <w:szCs w:val="24"/>
              </w:rPr>
            </w:pPr>
            <w:r w:rsidRPr="0049130D">
              <w:t>1.</w:t>
            </w:r>
            <w:r w:rsidRPr="0049130D">
              <w:tab/>
              <w:t xml:space="preserve">Datu </w:t>
            </w:r>
            <w:r w:rsidRPr="0049130D">
              <w:rPr>
                <w:b/>
                <w:i/>
              </w:rPr>
              <w:t>atrašanās vietas prasības ir aizliegtas, ja vien izņēmuma kārtā</w:t>
            </w:r>
            <w:r w:rsidRPr="0049130D">
              <w:t xml:space="preserve"> un </w:t>
            </w:r>
            <w:r w:rsidRPr="0049130D">
              <w:rPr>
                <w:b/>
                <w:i/>
              </w:rPr>
              <w:t>saskaņā ar proporcionalitātes principu tās</w:t>
            </w:r>
            <w:r w:rsidRPr="0049130D">
              <w:t xml:space="preserve"> nav </w:t>
            </w:r>
            <w:r w:rsidRPr="0049130D">
              <w:rPr>
                <w:b/>
                <w:i/>
              </w:rPr>
              <w:t>pamatotas ar nopietniem sabiedriskās drošības apsvērumiem</w:t>
            </w:r>
            <w:r w:rsidRPr="0049130D">
              <w:t>.</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28</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4. pants – 2. punkts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2.</w:t>
            </w:r>
            <w:r w:rsidRPr="0049130D">
              <w:tab/>
              <w:t xml:space="preserve">Dalībvalstis paziņo Komisijai par katru akta projektu, kas saskaņā ar procedūrām, kuras noteiktas </w:t>
            </w:r>
            <w:r w:rsidRPr="0049130D">
              <w:rPr>
                <w:b/>
                <w:i/>
              </w:rPr>
              <w:t>valsts tiesību aktos, ar kuriem īsteno Direktīvu</w:t>
            </w:r>
            <w:r w:rsidRPr="0049130D">
              <w:t xml:space="preserve"> (ES) 2015/1535, ievieš jaunu datu atrašanās vietas prasību vai izdara izmaiņas spēkā esošā datu atrašanās vietas prasībā.</w:t>
            </w:r>
          </w:p>
        </w:tc>
        <w:tc>
          <w:tcPr>
            <w:tcW w:w="4876" w:type="dxa"/>
          </w:tcPr>
          <w:p w:rsidR="00FE0DFE" w:rsidRPr="0049130D" w:rsidRDefault="00FE0DFE" w:rsidP="00B8137D">
            <w:pPr>
              <w:pStyle w:val="Normal6"/>
              <w:rPr>
                <w:szCs w:val="24"/>
              </w:rPr>
            </w:pPr>
            <w:r w:rsidRPr="0049130D">
              <w:t>2.</w:t>
            </w:r>
            <w:r w:rsidRPr="0049130D">
              <w:tab/>
              <w:t xml:space="preserve">Dalībvalstis </w:t>
            </w:r>
            <w:r w:rsidRPr="0049130D">
              <w:rPr>
                <w:b/>
                <w:i/>
              </w:rPr>
              <w:t xml:space="preserve">nekavējoties </w:t>
            </w:r>
            <w:r w:rsidRPr="0049130D">
              <w:t xml:space="preserve">paziņo Komisijai par katru akta projektu, kas saskaņā ar procedūrām, kuras noteiktas </w:t>
            </w:r>
            <w:r w:rsidRPr="0049130D">
              <w:rPr>
                <w:b/>
                <w:i/>
              </w:rPr>
              <w:t>Direktīvas</w:t>
            </w:r>
            <w:r w:rsidRPr="0049130D">
              <w:t xml:space="preserve"> (ES) 2015/1535</w:t>
            </w:r>
            <w:r w:rsidRPr="0049130D">
              <w:rPr>
                <w:b/>
                <w:i/>
              </w:rPr>
              <w:t xml:space="preserve"> 5., 6. un 7. pantā</w:t>
            </w:r>
            <w:r w:rsidRPr="0049130D">
              <w:t>, ievieš jaunu datu atrašanās vietas prasību vai izdara izmaiņas spēkā esošā datu atrašanās vietas prasībā.</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29</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4. pants – 3. punkts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3.</w:t>
            </w:r>
            <w:r w:rsidRPr="0049130D">
              <w:tab/>
            </w:r>
            <w:r w:rsidRPr="0049130D">
              <w:rPr>
                <w:b/>
                <w:i/>
              </w:rPr>
              <w:t>12 mēnešu laikā</w:t>
            </w:r>
            <w:r w:rsidRPr="0049130D">
              <w:t xml:space="preserve"> pēc šīs regulas </w:t>
            </w:r>
            <w:r w:rsidRPr="0049130D">
              <w:rPr>
                <w:b/>
                <w:i/>
              </w:rPr>
              <w:t>piemērošanas sākuma</w:t>
            </w:r>
            <w:r w:rsidRPr="0049130D">
              <w:t xml:space="preserve"> dalībvalstis nodrošina, ka </w:t>
            </w:r>
            <w:r w:rsidRPr="0049130D">
              <w:rPr>
                <w:b/>
                <w:i/>
              </w:rPr>
              <w:t>tiek atcelta katra</w:t>
            </w:r>
            <w:r w:rsidRPr="0049130D">
              <w:t xml:space="preserve"> datu atrašanās vietas </w:t>
            </w:r>
            <w:r w:rsidRPr="0049130D">
              <w:rPr>
                <w:b/>
                <w:i/>
              </w:rPr>
              <w:t>prasība</w:t>
            </w:r>
            <w:r w:rsidRPr="0049130D">
              <w:t xml:space="preserve">, kas neatbilst 1. punktam. Ja dalībvalsts uzskata, ka datu atrašanās vietas prasība atbilst 1. punktam un tādēļ var palikt spēkā, tā par šo </w:t>
            </w:r>
            <w:r w:rsidRPr="0049130D">
              <w:rPr>
                <w:b/>
                <w:i/>
              </w:rPr>
              <w:t>prasību</w:t>
            </w:r>
            <w:r w:rsidRPr="0049130D">
              <w:t xml:space="preserve"> paziņo Komisijai, pamatojot paturēšanu spēkā.</w:t>
            </w:r>
          </w:p>
        </w:tc>
        <w:tc>
          <w:tcPr>
            <w:tcW w:w="4876" w:type="dxa"/>
          </w:tcPr>
          <w:p w:rsidR="00FE0DFE" w:rsidRPr="0049130D" w:rsidRDefault="00FE0DFE" w:rsidP="00B8137D">
            <w:pPr>
              <w:pStyle w:val="Normal6"/>
              <w:rPr>
                <w:szCs w:val="24"/>
              </w:rPr>
            </w:pPr>
            <w:r w:rsidRPr="0049130D">
              <w:t>3.</w:t>
            </w:r>
            <w:r w:rsidRPr="0049130D">
              <w:tab/>
            </w:r>
            <w:r w:rsidRPr="0049130D">
              <w:rPr>
                <w:b/>
                <w:i/>
              </w:rPr>
              <w:t>Līdz ... [12 mēneši</w:t>
            </w:r>
            <w:r w:rsidRPr="0049130D">
              <w:t xml:space="preserve"> pēc šīs regulas </w:t>
            </w:r>
            <w:r w:rsidRPr="0049130D">
              <w:rPr>
                <w:b/>
                <w:i/>
              </w:rPr>
              <w:t>spēkā stāšanās dienas]</w:t>
            </w:r>
            <w:r w:rsidRPr="0049130D">
              <w:t xml:space="preserve"> dalībvalstis nodrošina, ka </w:t>
            </w:r>
            <w:r w:rsidRPr="0049130D">
              <w:rPr>
                <w:b/>
                <w:i/>
              </w:rPr>
              <w:t>ir atceltas jebkādas</w:t>
            </w:r>
            <w:r w:rsidRPr="0049130D">
              <w:t xml:space="preserve"> datu atrašanās vietas </w:t>
            </w:r>
            <w:r w:rsidRPr="0049130D">
              <w:rPr>
                <w:b/>
                <w:i/>
              </w:rPr>
              <w:t>prasības</w:t>
            </w:r>
            <w:r w:rsidRPr="0049130D">
              <w:t xml:space="preserve">, kas neatbilst 1. punktam. Ja dalībvalsts uzskata, ka datu atrašanās vietas prasība atbilst 1. punktam un tādēļ var palikt spēkā, tā </w:t>
            </w:r>
            <w:r w:rsidRPr="0049130D">
              <w:rPr>
                <w:b/>
                <w:i/>
              </w:rPr>
              <w:t xml:space="preserve">līdz ... [12 mēneši pēc šīs regulas spēkā stāšanās dienas] </w:t>
            </w:r>
            <w:r w:rsidRPr="0049130D">
              <w:t xml:space="preserve">par šo </w:t>
            </w:r>
            <w:r w:rsidRPr="0049130D">
              <w:rPr>
                <w:b/>
                <w:i/>
              </w:rPr>
              <w:t>pasākumu</w:t>
            </w:r>
            <w:r w:rsidRPr="0049130D">
              <w:t xml:space="preserve"> paziņo Komisijai, pamatojot</w:t>
            </w:r>
            <w:r w:rsidRPr="0049130D">
              <w:rPr>
                <w:b/>
                <w:i/>
              </w:rPr>
              <w:t xml:space="preserve"> šādu</w:t>
            </w:r>
            <w:r w:rsidRPr="0049130D">
              <w:t xml:space="preserve"> paturēšanu spēkā.</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30</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4. pants – 3. punkts – 1.a daļa (jauna)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p>
        </w:tc>
        <w:tc>
          <w:tcPr>
            <w:tcW w:w="4876" w:type="dxa"/>
          </w:tcPr>
          <w:p w:rsidR="00FE0DFE" w:rsidRPr="0049130D" w:rsidRDefault="00FE0DFE" w:rsidP="00B8137D">
            <w:pPr>
              <w:pStyle w:val="Normal6"/>
              <w:rPr>
                <w:szCs w:val="24"/>
              </w:rPr>
            </w:pPr>
            <w:r w:rsidRPr="0049130D">
              <w:rPr>
                <w:b/>
                <w:i/>
              </w:rPr>
              <w:t>Neskarot LESD 258. pantu, Komisija trīs mēnešu laikā no šāda paziņojuma saņemšanas dienas pārbauda šā pasākuma atbilstību 1. punktam un vajadzības gadījumā pieņem lēmumu, pieprasot attiecīgajai dalībvalstij grozīt vai atcelt attiecīgo pasākumu.</w:t>
            </w:r>
          </w:p>
        </w:tc>
      </w:tr>
    </w:tbl>
    <w:p w:rsidR="00FE0DFE" w:rsidRPr="0049130D" w:rsidRDefault="00FE0DFE" w:rsidP="00FE0DFE"/>
    <w:p w:rsidR="00FE0DFE" w:rsidRPr="0049130D" w:rsidRDefault="00FE0DFE" w:rsidP="00FE0DFE">
      <w:pPr>
        <w:pStyle w:val="AMNumberTabs"/>
        <w:keepNext/>
      </w:pPr>
      <w:r w:rsidRPr="0049130D">
        <w:lastRenderedPageBreak/>
        <w:t>Grozījums Nr.</w:t>
      </w:r>
      <w:r w:rsidRPr="0049130D">
        <w:tab/>
      </w:r>
      <w:r w:rsidRPr="0049130D">
        <w:tab/>
        <w:t>31</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4. pants – 4. punkts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4.</w:t>
            </w:r>
            <w:r w:rsidRPr="0049130D">
              <w:tab/>
              <w:t>Sīkākas ziņas par visām to teritorijā piemērojamām datu atrašanās vietas prasībām dalībvalstis publisko tiešsaistē no vienota informācijas punkta, ko tās pastāvīgi atjaunina.</w:t>
            </w:r>
          </w:p>
        </w:tc>
        <w:tc>
          <w:tcPr>
            <w:tcW w:w="4876" w:type="dxa"/>
          </w:tcPr>
          <w:p w:rsidR="00FE0DFE" w:rsidRPr="0049130D" w:rsidRDefault="00FE0DFE" w:rsidP="00B8137D">
            <w:pPr>
              <w:pStyle w:val="Normal6"/>
              <w:rPr>
                <w:szCs w:val="24"/>
              </w:rPr>
            </w:pPr>
            <w:r w:rsidRPr="0049130D">
              <w:t>4.</w:t>
            </w:r>
            <w:r w:rsidRPr="0049130D">
              <w:tab/>
              <w:t>Sīkākas ziņas par visām to teritorijā piemērojamām datu atrašanās vietas prasībām dalībvalstis publisko tiešsaistē no vienota informācijas punkta, ko tās pastāvīgi atjaunina</w:t>
            </w:r>
            <w:r w:rsidRPr="0049130D">
              <w:rPr>
                <w:b/>
                <w:i/>
              </w:rPr>
              <w:t>, vai, ja tas ir pieejams, no Savienības līmeņa informācijas punkta, kas izveidots saskaņā ar citu Savienības tiesību aktu</w:t>
            </w:r>
            <w:r w:rsidRPr="0049130D">
              <w:t>.</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32</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4. pants – 5. punkts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5.</w:t>
            </w:r>
            <w:r w:rsidRPr="0049130D">
              <w:tab/>
              <w:t>4. punktā minētā vienotā informācijas punkta adresi dalībvalstis dara zināmu Komisijai. Komisija savā vietnē publicē saites ar tādiem punktiem.</w:t>
            </w:r>
          </w:p>
        </w:tc>
        <w:tc>
          <w:tcPr>
            <w:tcW w:w="4876" w:type="dxa"/>
          </w:tcPr>
          <w:p w:rsidR="00FE0DFE" w:rsidRPr="0049130D" w:rsidRDefault="00FE0DFE" w:rsidP="00B8137D">
            <w:pPr>
              <w:pStyle w:val="Normal6"/>
              <w:rPr>
                <w:szCs w:val="24"/>
              </w:rPr>
            </w:pPr>
            <w:r w:rsidRPr="0049130D">
              <w:t>5.</w:t>
            </w:r>
            <w:r w:rsidRPr="0049130D">
              <w:tab/>
              <w:t>4. punktā minētā vienotā informācijas punkta adresi dalībvalstis dara zināmu Komisijai. Komisija savā vietnē publicē saites uz tādiem punktiem</w:t>
            </w:r>
            <w:r w:rsidRPr="0049130D">
              <w:rPr>
                <w:b/>
                <w:i/>
              </w:rPr>
              <w:t>, kā arī regulāri atjauninātu konsolidētu sarakstu ar visām 4. punktā minētajām datu atrašanās vietas prasībām, tostarp informāciju par šīm prasībām, savās oficiālajās darba valodās</w:t>
            </w:r>
            <w:r w:rsidRPr="0049130D">
              <w:t>.</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33</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5. pants – 2. punkts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2.</w:t>
            </w:r>
            <w:r w:rsidRPr="0049130D">
              <w:tab/>
              <w:t xml:space="preserve">Ja kompetentā iestāde </w:t>
            </w:r>
            <w:r w:rsidRPr="0049130D">
              <w:rPr>
                <w:b/>
                <w:i/>
              </w:rPr>
              <w:t>piekļūšanai</w:t>
            </w:r>
            <w:r w:rsidRPr="0049130D">
              <w:t xml:space="preserve"> datiem </w:t>
            </w:r>
            <w:r w:rsidRPr="0049130D">
              <w:rPr>
                <w:b/>
                <w:i/>
              </w:rPr>
              <w:t>ir izsmēlusi visus pieejamos līdzekļus, tā var 7. pantā noteiktajā kārtībā lūgt citas dalībvalsts kompetentās iestādes palīdzību, un lūgumu saņēmusī</w:t>
            </w:r>
            <w:r w:rsidRPr="0049130D">
              <w:t xml:space="preserve"> iestāde 7. pantā noteiktajā kārtībā </w:t>
            </w:r>
            <w:r w:rsidRPr="0049130D">
              <w:rPr>
                <w:b/>
                <w:i/>
              </w:rPr>
              <w:t>sniedz</w:t>
            </w:r>
            <w:r w:rsidRPr="0049130D">
              <w:t xml:space="preserve"> palīdzību</w:t>
            </w:r>
            <w:r w:rsidRPr="0049130D">
              <w:rPr>
                <w:b/>
                <w:i/>
              </w:rPr>
              <w:t xml:space="preserve">, ja vien palīdzības sniegšana </w:t>
            </w:r>
            <w:r w:rsidRPr="0049130D">
              <w:rPr>
                <w:b/>
                <w:i/>
              </w:rPr>
              <w:lastRenderedPageBreak/>
              <w:t>nebūtu pretrunā tās dalībvalsts sabiedriskajai kārtībai</w:t>
            </w:r>
            <w:r w:rsidRPr="0049130D">
              <w:t>.</w:t>
            </w:r>
          </w:p>
        </w:tc>
        <w:tc>
          <w:tcPr>
            <w:tcW w:w="4876" w:type="dxa"/>
          </w:tcPr>
          <w:p w:rsidR="00FE0DFE" w:rsidRPr="0049130D" w:rsidRDefault="00FE0DFE" w:rsidP="00B8137D">
            <w:pPr>
              <w:pStyle w:val="Normal6"/>
              <w:rPr>
                <w:szCs w:val="24"/>
              </w:rPr>
            </w:pPr>
            <w:r w:rsidRPr="0049130D">
              <w:lastRenderedPageBreak/>
              <w:t>2.</w:t>
            </w:r>
            <w:r w:rsidRPr="0049130D">
              <w:tab/>
              <w:t xml:space="preserve">Ja kompetentā iestāde </w:t>
            </w:r>
            <w:r w:rsidRPr="0049130D">
              <w:rPr>
                <w:b/>
                <w:i/>
              </w:rPr>
              <w:t>nesaņem piekļuvi</w:t>
            </w:r>
            <w:r w:rsidRPr="0049130D">
              <w:t xml:space="preserve"> datiem </w:t>
            </w:r>
            <w:r w:rsidRPr="0049130D">
              <w:rPr>
                <w:b/>
                <w:i/>
              </w:rPr>
              <w:t xml:space="preserve">pēc sazināšanās ar datu apstrādes pakalpojumu lietotāju un ja saskaņā ar Savienības tiesību aktiem vai starptautiskiem nolīgumiem nav paredzēts īpašs sadarbības mehānisms attiecībā uz datu apmaiņu starp dažādu dalībvalstu </w:t>
            </w:r>
            <w:r w:rsidRPr="0049130D">
              <w:rPr>
                <w:b/>
                <w:i/>
              </w:rPr>
              <w:lastRenderedPageBreak/>
              <w:t>kompetentajām iestādēm, šī kompetentā</w:t>
            </w:r>
            <w:r w:rsidRPr="0049130D">
              <w:t xml:space="preserve"> iestāde</w:t>
            </w:r>
            <w:r w:rsidRPr="0049130D">
              <w:rPr>
                <w:b/>
                <w:i/>
              </w:rPr>
              <w:t xml:space="preserve"> var</w:t>
            </w:r>
            <w:r w:rsidRPr="0049130D">
              <w:t xml:space="preserve"> 7.</w:t>
            </w:r>
            <w:r w:rsidRPr="0049130D">
              <w:rPr>
                <w:b/>
                <w:i/>
              </w:rPr>
              <w:t> </w:t>
            </w:r>
            <w:r w:rsidRPr="0049130D">
              <w:t xml:space="preserve">pantā noteiktajā kārtībā </w:t>
            </w:r>
            <w:r w:rsidRPr="0049130D">
              <w:rPr>
                <w:b/>
                <w:i/>
              </w:rPr>
              <w:t>lūgt citas dalībvalsts kompetentās iestādes</w:t>
            </w:r>
            <w:r w:rsidRPr="0049130D">
              <w:t xml:space="preserve"> palīdzību</w:t>
            </w:r>
            <w:r w:rsidRPr="0049130D">
              <w:rPr>
                <w:b/>
                <w:i/>
              </w:rPr>
              <w:t>.</w:t>
            </w:r>
            <w:r w:rsidRPr="0049130D">
              <w:t xml:space="preserve"> </w:t>
            </w:r>
            <w:r w:rsidRPr="0049130D">
              <w:rPr>
                <w:b/>
                <w:i/>
              </w:rPr>
              <w:t>Lūgumu saņēmusī kompetentā iestāde sniedz palīdzību saskaņā ar minēto procedūru</w:t>
            </w:r>
            <w:r w:rsidRPr="0049130D">
              <w:t>.</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34</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5. pants – 3. punkts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3.</w:t>
            </w:r>
            <w:r w:rsidRPr="0049130D">
              <w:tab/>
              <w:t xml:space="preserve">Ja palīdzības lūguma izpildei ir vajadzīga lūgumu saņēmušās iestādes piekļūšana fiziskas vai juridiskas personas telpām, ieskaitot datu </w:t>
            </w:r>
            <w:r w:rsidRPr="0049130D">
              <w:rPr>
                <w:b/>
                <w:i/>
              </w:rPr>
              <w:t xml:space="preserve">glabāšanas vai </w:t>
            </w:r>
            <w:r w:rsidRPr="0049130D">
              <w:t>apstrādes iekārtas un līdzekļus, tāda piekļūšana notiek saskaņā ar Savienības vai dalībvalsts procesuālajām normām.</w:t>
            </w:r>
          </w:p>
        </w:tc>
        <w:tc>
          <w:tcPr>
            <w:tcW w:w="4876" w:type="dxa"/>
          </w:tcPr>
          <w:p w:rsidR="00FE0DFE" w:rsidRPr="0049130D" w:rsidRDefault="00FE0DFE" w:rsidP="00B8137D">
            <w:pPr>
              <w:pStyle w:val="Normal6"/>
              <w:rPr>
                <w:szCs w:val="24"/>
              </w:rPr>
            </w:pPr>
            <w:r w:rsidRPr="0049130D">
              <w:t>3.</w:t>
            </w:r>
            <w:r w:rsidRPr="0049130D">
              <w:tab/>
              <w:t xml:space="preserve">Ja palīdzības lūguma izpildei ir vajadzīga lūgumu saņēmušās iestādes piekļūšana fiziskas vai juridiskas personas telpām, ieskaitot datu apstrādes iekārtas un līdzekļus, tāda piekļūšana notiek saskaņā ar Savienības </w:t>
            </w:r>
            <w:r w:rsidRPr="0049130D">
              <w:rPr>
                <w:b/>
                <w:i/>
              </w:rPr>
              <w:t xml:space="preserve">tiesību aktiem </w:t>
            </w:r>
            <w:r w:rsidRPr="0049130D">
              <w:t>vai dalībvalsts</w:t>
            </w:r>
            <w:r w:rsidRPr="0049130D">
              <w:rPr>
                <w:b/>
                <w:i/>
              </w:rPr>
              <w:t>, kurā atrodas šīs telpas vai iekārtas,</w:t>
            </w:r>
            <w:r w:rsidRPr="0049130D">
              <w:t xml:space="preserve"> procesuālajām normām.</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35</w:t>
      </w:r>
    </w:p>
    <w:p w:rsidR="00FE0DFE" w:rsidRPr="0049130D" w:rsidRDefault="00FE0DFE" w:rsidP="00FE0DFE">
      <w:pPr>
        <w:pStyle w:val="NormalBold12b"/>
        <w:keepNext/>
      </w:pPr>
      <w:r w:rsidRPr="0049130D">
        <w:t>Regulas priekšlikums</w:t>
      </w:r>
    </w:p>
    <w:p w:rsidR="00FE0DFE" w:rsidRPr="0049130D" w:rsidRDefault="00FE0DFE" w:rsidP="00FE0DFE">
      <w:pPr>
        <w:pStyle w:val="NormalBold"/>
      </w:pPr>
      <w:r w:rsidRPr="0049130D">
        <w:t>5. pants – 4.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hideMark/>
          </w:tcPr>
          <w:p w:rsidR="00FE0DFE" w:rsidRPr="0049130D" w:rsidRDefault="00FE0DFE" w:rsidP="00B8137D">
            <w:pPr>
              <w:pStyle w:val="ColumnHeading"/>
              <w:keepNext/>
            </w:pPr>
            <w:r w:rsidRPr="0049130D">
              <w:t>Komisijas ierosinātais teksts</w:t>
            </w:r>
          </w:p>
        </w:tc>
        <w:tc>
          <w:tcPr>
            <w:tcW w:w="4876" w:type="dxa"/>
            <w:hideMark/>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hideMark/>
          </w:tcPr>
          <w:p w:rsidR="00FE0DFE" w:rsidRPr="0049130D" w:rsidRDefault="00FE0DFE" w:rsidP="00B8137D">
            <w:pPr>
              <w:pStyle w:val="Normal6"/>
            </w:pPr>
            <w:r w:rsidRPr="0049130D">
              <w:rPr>
                <w:b/>
                <w:i/>
              </w:rPr>
              <w:t>4.</w:t>
            </w:r>
            <w:r w:rsidRPr="0049130D">
              <w:rPr>
                <w:b/>
                <w:i/>
              </w:rPr>
              <w:tab/>
              <w:t>2. punktu piemēro tikai tad, ja Savienības tiesību aktos vai starptautiskos nolīgumos nav īpašu sadarbības mehānismu, kas paredzēti datu apmaiņai starp dažādu dalībvalstu kompetentajām iestādēm.</w:t>
            </w:r>
          </w:p>
        </w:tc>
        <w:tc>
          <w:tcPr>
            <w:tcW w:w="4876" w:type="dxa"/>
            <w:hideMark/>
          </w:tcPr>
          <w:p w:rsidR="00FE0DFE" w:rsidRPr="0049130D" w:rsidRDefault="00FE0DFE" w:rsidP="00B8137D">
            <w:pPr>
              <w:pStyle w:val="Normal6"/>
              <w:rPr>
                <w:szCs w:val="24"/>
              </w:rPr>
            </w:pPr>
            <w:r w:rsidRPr="0049130D">
              <w:rPr>
                <w:b/>
                <w:i/>
              </w:rPr>
              <w:t>svītrots</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36</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6. pants – 1. punkts – ievaddaļa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1.</w:t>
            </w:r>
            <w:r w:rsidRPr="0049130D">
              <w:tab/>
              <w:t xml:space="preserve">Komisija rosina un sekmē pašregulējošu rīcības kodeksu izstrādi </w:t>
            </w:r>
            <w:r w:rsidRPr="0049130D">
              <w:lastRenderedPageBreak/>
              <w:t xml:space="preserve">Savienības līmenī, </w:t>
            </w:r>
            <w:r w:rsidRPr="0049130D">
              <w:rPr>
                <w:b/>
                <w:i/>
              </w:rPr>
              <w:t>lai noteiktu vadlīnijas vislabākajai pakalpojumu sniedzēju maiņas atvieglināšanas praksei un nodrošinātu, ka pirms datu glabāšanas</w:t>
            </w:r>
            <w:r w:rsidRPr="0049130D">
              <w:t xml:space="preserve"> un </w:t>
            </w:r>
            <w:r w:rsidRPr="0049130D">
              <w:rPr>
                <w:b/>
                <w:i/>
              </w:rPr>
              <w:t>citādas apstrādes līguma noslēgšanas tie sniedz profesionālajiem lietotājiem pietiekami sīku</w:t>
            </w:r>
            <w:r w:rsidRPr="0049130D">
              <w:t xml:space="preserve">, </w:t>
            </w:r>
            <w:r w:rsidRPr="0049130D">
              <w:rPr>
                <w:b/>
                <w:i/>
              </w:rPr>
              <w:t>skaidru un pārredzamu informāciju šādos jautājumos</w:t>
            </w:r>
            <w:r w:rsidRPr="0049130D">
              <w:t>:</w:t>
            </w:r>
          </w:p>
        </w:tc>
        <w:tc>
          <w:tcPr>
            <w:tcW w:w="4876" w:type="dxa"/>
          </w:tcPr>
          <w:p w:rsidR="00FE0DFE" w:rsidRPr="0049130D" w:rsidRDefault="00FE0DFE" w:rsidP="00B8137D">
            <w:pPr>
              <w:pStyle w:val="Normal6"/>
              <w:rPr>
                <w:szCs w:val="24"/>
              </w:rPr>
            </w:pPr>
            <w:r w:rsidRPr="0049130D">
              <w:lastRenderedPageBreak/>
              <w:t>1.</w:t>
            </w:r>
            <w:r w:rsidRPr="0049130D">
              <w:tab/>
            </w:r>
            <w:r w:rsidRPr="0049130D">
              <w:rPr>
                <w:b/>
                <w:i/>
              </w:rPr>
              <w:t xml:space="preserve">Lai veicinātu konkurētspējīgu datu ekonomiku, </w:t>
            </w:r>
            <w:r w:rsidRPr="0049130D">
              <w:t>Komisija rosina un sekmē</w:t>
            </w:r>
            <w:r w:rsidRPr="0049130D">
              <w:rPr>
                <w:b/>
                <w:i/>
              </w:rPr>
              <w:t xml:space="preserve"> </w:t>
            </w:r>
            <w:r w:rsidRPr="0049130D">
              <w:rPr>
                <w:b/>
                <w:i/>
              </w:rPr>
              <w:lastRenderedPageBreak/>
              <w:t>tādu</w:t>
            </w:r>
            <w:r w:rsidRPr="0049130D">
              <w:t xml:space="preserve"> pašregulējošu rīcības kodeksu izstrādi Savienības līmenī, </w:t>
            </w:r>
            <w:r w:rsidRPr="0049130D">
              <w:rPr>
                <w:b/>
                <w:i/>
              </w:rPr>
              <w:t>kuri balstās uz pārredzamības principu</w:t>
            </w:r>
            <w:r w:rsidRPr="0049130D">
              <w:t xml:space="preserve"> un </w:t>
            </w:r>
            <w:r w:rsidRPr="0049130D">
              <w:rPr>
                <w:b/>
                <w:i/>
              </w:rPr>
              <w:t>ar kuriem nosaka vadlīnijas</w:t>
            </w:r>
            <w:r w:rsidRPr="0049130D">
              <w:t xml:space="preserve">, </w:t>
            </w:r>
            <w:r w:rsidRPr="0049130D">
              <w:rPr>
                <w:b/>
                <w:i/>
              </w:rPr>
              <w:t>kas cita starpā aptver šādus jautājumus</w:t>
            </w:r>
            <w:r w:rsidRPr="0049130D">
              <w:t>:</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37</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6. pants – 1. punkts – –a apakšpunkts (jauns)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p>
        </w:tc>
        <w:tc>
          <w:tcPr>
            <w:tcW w:w="4876" w:type="dxa"/>
          </w:tcPr>
          <w:p w:rsidR="00FE0DFE" w:rsidRPr="0049130D" w:rsidRDefault="00FE0DFE" w:rsidP="00B8137D">
            <w:pPr>
              <w:pStyle w:val="Normal6"/>
              <w:rPr>
                <w:szCs w:val="24"/>
              </w:rPr>
            </w:pPr>
            <w:r w:rsidRPr="0049130D">
              <w:rPr>
                <w:b/>
                <w:i/>
              </w:rPr>
              <w:t>(-a)</w:t>
            </w:r>
            <w:r w:rsidRPr="0049130D">
              <w:rPr>
                <w:b/>
                <w:i/>
              </w:rPr>
              <w:tab/>
              <w:t>labākā prakse nolūkā sekmēt pakalpojuma sniedzēja maiņu un datu pārnešanu strukturētā, plaši izmantotā, sadarbspējīgā un mašīnlasāmā formātā, tostarp atvērto standartu formātos, ja to lūdz vai pieprasa pakalpojumu sniedzējs, kas saņem datus;</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38</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6. pants – 1. punkts – a apakšpunkts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(a)</w:t>
            </w:r>
            <w:r w:rsidRPr="0049130D">
              <w:tab/>
            </w:r>
            <w:r w:rsidRPr="0049130D">
              <w:rPr>
                <w:b/>
                <w:i/>
              </w:rPr>
              <w:t>procesi, tehniskās</w:t>
            </w:r>
            <w:r w:rsidRPr="0049130D">
              <w:t xml:space="preserve"> prasības, </w:t>
            </w:r>
            <w:r w:rsidRPr="0049130D">
              <w:rPr>
                <w:b/>
                <w:i/>
              </w:rPr>
              <w:t>termiņi un maksa</w:t>
            </w:r>
            <w:r w:rsidRPr="0049130D">
              <w:t xml:space="preserve">, </w:t>
            </w:r>
            <w:r w:rsidRPr="0049130D">
              <w:rPr>
                <w:b/>
                <w:i/>
              </w:rPr>
              <w:t>ko piemēro, kad profesionāls lietotājs vēlas mainīt pakalpojumu sniedzēju vai pārvietot datus atpakaļ savās IT sistēmās</w:t>
            </w:r>
            <w:r w:rsidRPr="0049130D">
              <w:t xml:space="preserve">, </w:t>
            </w:r>
            <w:r w:rsidRPr="0049130D">
              <w:rPr>
                <w:b/>
                <w:i/>
              </w:rPr>
              <w:t>ieskaitot datu dublēšanas procesus un vietu</w:t>
            </w:r>
            <w:r w:rsidRPr="0049130D">
              <w:t xml:space="preserve">, </w:t>
            </w:r>
            <w:r w:rsidRPr="0049130D">
              <w:rPr>
                <w:b/>
                <w:i/>
              </w:rPr>
              <w:t>pieejamos datu formātus</w:t>
            </w:r>
            <w:r w:rsidRPr="0049130D">
              <w:t xml:space="preserve"> un </w:t>
            </w:r>
            <w:r w:rsidRPr="0049130D">
              <w:rPr>
                <w:b/>
                <w:i/>
              </w:rPr>
              <w:t>nesējus</w:t>
            </w:r>
            <w:r w:rsidRPr="0049130D">
              <w:t xml:space="preserve">, </w:t>
            </w:r>
            <w:r w:rsidRPr="0049130D">
              <w:rPr>
                <w:b/>
                <w:i/>
              </w:rPr>
              <w:t>vajadzīgo IT konfigurāciju un minimālo tīkla joslas platumu; cik laika vajadzīgs pirms pārvietošanas procesa sākuma, un cik ilgi dati būs pieejami pārvietošanai;</w:t>
            </w:r>
            <w:r w:rsidRPr="0049130D">
              <w:t xml:space="preserve"> datu pieejamības garantijas pakalpojumu sniedzēja bankrota </w:t>
            </w:r>
            <w:r w:rsidRPr="0049130D">
              <w:rPr>
                <w:b/>
                <w:i/>
              </w:rPr>
              <w:t>gadījumam</w:t>
            </w:r>
            <w:r w:rsidRPr="0049130D">
              <w:t>;</w:t>
            </w:r>
            <w:r w:rsidRPr="0049130D">
              <w:rPr>
                <w:b/>
                <w:i/>
              </w:rPr>
              <w:t xml:space="preserve"> un</w:t>
            </w:r>
          </w:p>
        </w:tc>
        <w:tc>
          <w:tcPr>
            <w:tcW w:w="4876" w:type="dxa"/>
          </w:tcPr>
          <w:p w:rsidR="00FE0DFE" w:rsidRPr="0049130D" w:rsidRDefault="00FE0DFE" w:rsidP="00B8137D">
            <w:pPr>
              <w:pStyle w:val="Normal6"/>
              <w:rPr>
                <w:szCs w:val="24"/>
              </w:rPr>
            </w:pPr>
            <w:r w:rsidRPr="0049130D">
              <w:t>(a)</w:t>
            </w:r>
            <w:r w:rsidRPr="0049130D">
              <w:tab/>
            </w:r>
            <w:r w:rsidRPr="0049130D">
              <w:rPr>
                <w:b/>
                <w:i/>
              </w:rPr>
              <w:t>minimālās informācijas</w:t>
            </w:r>
            <w:r w:rsidRPr="0049130D">
              <w:t xml:space="preserve"> prasības, lai nodrošinātu, </w:t>
            </w:r>
            <w:r w:rsidRPr="0049130D">
              <w:rPr>
                <w:b/>
                <w:i/>
              </w:rPr>
              <w:t>ka profesionāliem lietotājiem pirms datu uzglabāšanas un apstrādes līguma noslēgšanas sniedz pietiekami detalizētu</w:t>
            </w:r>
            <w:r w:rsidRPr="0049130D">
              <w:t xml:space="preserve">, </w:t>
            </w:r>
            <w:r w:rsidRPr="0049130D">
              <w:rPr>
                <w:b/>
                <w:i/>
              </w:rPr>
              <w:t>skaidru un pārredzamu informāciju par procesiem</w:t>
            </w:r>
            <w:r w:rsidRPr="0049130D">
              <w:t xml:space="preserve">, </w:t>
            </w:r>
            <w:r w:rsidRPr="0049130D">
              <w:rPr>
                <w:b/>
                <w:i/>
              </w:rPr>
              <w:t>tehniskajām prasībām, termiņiem</w:t>
            </w:r>
            <w:r w:rsidRPr="0049130D">
              <w:t xml:space="preserve"> un </w:t>
            </w:r>
            <w:r w:rsidRPr="0049130D">
              <w:rPr>
                <w:b/>
                <w:i/>
              </w:rPr>
              <w:t>maksu</w:t>
            </w:r>
            <w:r w:rsidRPr="0049130D">
              <w:t xml:space="preserve">, </w:t>
            </w:r>
            <w:r w:rsidRPr="0049130D">
              <w:rPr>
                <w:b/>
                <w:i/>
              </w:rPr>
              <w:t>ko piemēro gadījumos, kad profesionāls lietotājs vēlas mainīt pakalpojumu sniedzēju vai pārnest datus atpakaļ uz savām IT sistēmām</w:t>
            </w:r>
            <w:r w:rsidRPr="0049130D">
              <w:t>, un datu pieejamības garantijas pakalpojumu sniedzēja bankrota gadījumā;</w:t>
            </w:r>
          </w:p>
        </w:tc>
      </w:tr>
    </w:tbl>
    <w:p w:rsidR="00FE0DFE" w:rsidRPr="0049130D" w:rsidRDefault="00FE0DFE" w:rsidP="00FE0DFE"/>
    <w:p w:rsidR="00FE0DFE" w:rsidRPr="0049130D" w:rsidRDefault="00FE0DFE" w:rsidP="00FE0DFE">
      <w:pPr>
        <w:pStyle w:val="AMNumberTabs"/>
        <w:keepNext/>
      </w:pPr>
      <w:r w:rsidRPr="0049130D">
        <w:lastRenderedPageBreak/>
        <w:t>Grozījums Nr.</w:t>
      </w:r>
      <w:r w:rsidRPr="0049130D">
        <w:tab/>
      </w:r>
      <w:r w:rsidRPr="0049130D">
        <w:tab/>
        <w:t>39</w:t>
      </w:r>
    </w:p>
    <w:p w:rsidR="00FE0DFE" w:rsidRPr="0049130D" w:rsidRDefault="00FE0DFE" w:rsidP="00FE0DFE">
      <w:pPr>
        <w:pStyle w:val="NormalBold12b"/>
        <w:keepNext/>
      </w:pPr>
      <w:r w:rsidRPr="0049130D">
        <w:t>Regulas priekšlikums</w:t>
      </w:r>
    </w:p>
    <w:p w:rsidR="00FE0DFE" w:rsidRPr="0049130D" w:rsidRDefault="00FE0DFE" w:rsidP="00FE0DFE">
      <w:pPr>
        <w:pStyle w:val="NormalBold"/>
      </w:pPr>
      <w:r w:rsidRPr="0049130D">
        <w:t>6. pants – 1. punkts – b apakšpunkts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hideMark/>
          </w:tcPr>
          <w:p w:rsidR="00FE0DFE" w:rsidRPr="0049130D" w:rsidRDefault="00FE0DFE" w:rsidP="00B8137D">
            <w:pPr>
              <w:pStyle w:val="ColumnHeading"/>
              <w:keepNext/>
            </w:pPr>
            <w:r w:rsidRPr="0049130D">
              <w:t>Komisijas ierosinātais teksts</w:t>
            </w:r>
          </w:p>
        </w:tc>
        <w:tc>
          <w:tcPr>
            <w:tcW w:w="4876" w:type="dxa"/>
            <w:hideMark/>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hideMark/>
          </w:tcPr>
          <w:p w:rsidR="00FE0DFE" w:rsidRPr="0049130D" w:rsidRDefault="00FE0DFE" w:rsidP="00B8137D">
            <w:pPr>
              <w:pStyle w:val="Normal6"/>
            </w:pPr>
            <w:r w:rsidRPr="0049130D">
              <w:rPr>
                <w:b/>
                <w:i/>
              </w:rPr>
              <w:t>(b)</w:t>
            </w:r>
            <w:r w:rsidRPr="0049130D">
              <w:rPr>
                <w:b/>
                <w:i/>
              </w:rPr>
              <w:tab/>
              <w:t>darbības prasības pakalpojuma sniedzēja maiņai vai datu pārvietošanai strukturētā, plaši izmantotā un mašīnlasāmā formā, kas dod lietotājam pietiekamu laiku pakalpojuma sniedzēja maiņai vai datu pārvietošanai.</w:t>
            </w:r>
          </w:p>
        </w:tc>
        <w:tc>
          <w:tcPr>
            <w:tcW w:w="4876" w:type="dxa"/>
            <w:hideMark/>
          </w:tcPr>
          <w:p w:rsidR="00FE0DFE" w:rsidRPr="0049130D" w:rsidRDefault="00FE0DFE" w:rsidP="00B8137D">
            <w:pPr>
              <w:pStyle w:val="Normal6"/>
              <w:rPr>
                <w:szCs w:val="24"/>
              </w:rPr>
            </w:pPr>
            <w:r w:rsidRPr="0049130D">
              <w:rPr>
                <w:b/>
                <w:i/>
              </w:rPr>
              <w:t>svītrots</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40</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6. pants – 1.a punkts (jauns)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p>
        </w:tc>
        <w:tc>
          <w:tcPr>
            <w:tcW w:w="4876" w:type="dxa"/>
          </w:tcPr>
          <w:p w:rsidR="00FE0DFE" w:rsidRPr="0049130D" w:rsidRDefault="00FE0DFE" w:rsidP="00B8137D">
            <w:pPr>
              <w:pStyle w:val="Normal6"/>
              <w:rPr>
                <w:szCs w:val="24"/>
              </w:rPr>
            </w:pPr>
            <w:r w:rsidRPr="0049130D">
              <w:rPr>
                <w:b/>
                <w:i/>
              </w:rPr>
              <w:t>1.a</w:t>
            </w:r>
            <w:r w:rsidRPr="0049130D">
              <w:rPr>
                <w:b/>
                <w:i/>
              </w:rPr>
              <w:tab/>
              <w:t>Komisija nodrošina, ka 1. punktā minētie rīcības kodeksi tiek izstrādāti, cieši sadarbojoties ar visām attiecīgajām ieinteresētajām personām, tostarp ar mazo un vidējo uzņēmumu un jaunuzņēmumu apvienībām, lietotājiem un mākoņdatošanas pakalpojumu sniedzējiem.</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41</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6. pants – 2. punkts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2.</w:t>
            </w:r>
            <w:r w:rsidRPr="0049130D">
              <w:tab/>
              <w:t xml:space="preserve">Komisija mudina pakalpojumu sniedzējus 1. punktā </w:t>
            </w:r>
            <w:r w:rsidRPr="0049130D">
              <w:rPr>
                <w:b/>
                <w:i/>
              </w:rPr>
              <w:t>minētos</w:t>
            </w:r>
            <w:r w:rsidRPr="0049130D">
              <w:t xml:space="preserve"> rīcības </w:t>
            </w:r>
            <w:r w:rsidRPr="0049130D">
              <w:rPr>
                <w:b/>
                <w:i/>
              </w:rPr>
              <w:t>kodeksus</w:t>
            </w:r>
            <w:r w:rsidRPr="0049130D">
              <w:t xml:space="preserve"> faktiski ieviest </w:t>
            </w:r>
            <w:r w:rsidRPr="0049130D">
              <w:rPr>
                <w:b/>
                <w:i/>
              </w:rPr>
              <w:t>gada laikā</w:t>
            </w:r>
            <w:r w:rsidRPr="0049130D">
              <w:t xml:space="preserve"> pēc šīs regulas </w:t>
            </w:r>
            <w:r w:rsidRPr="0049130D">
              <w:rPr>
                <w:b/>
                <w:i/>
              </w:rPr>
              <w:t>piemērošanas sākuma</w:t>
            </w:r>
            <w:r w:rsidRPr="0049130D">
              <w:t>.</w:t>
            </w:r>
          </w:p>
        </w:tc>
        <w:tc>
          <w:tcPr>
            <w:tcW w:w="4876" w:type="dxa"/>
          </w:tcPr>
          <w:p w:rsidR="00FE0DFE" w:rsidRPr="0049130D" w:rsidRDefault="00FE0DFE" w:rsidP="00B8137D">
            <w:pPr>
              <w:pStyle w:val="Normal6"/>
              <w:rPr>
                <w:szCs w:val="24"/>
              </w:rPr>
            </w:pPr>
            <w:r w:rsidRPr="0049130D">
              <w:t>2.</w:t>
            </w:r>
            <w:r w:rsidRPr="0049130D">
              <w:tab/>
              <w:t xml:space="preserve">Komisija mudina pakalpojumu sniedzējus 1. punktā </w:t>
            </w:r>
            <w:r w:rsidRPr="0049130D">
              <w:rPr>
                <w:b/>
                <w:i/>
              </w:rPr>
              <w:t>minēto</w:t>
            </w:r>
            <w:r w:rsidRPr="0049130D">
              <w:t xml:space="preserve"> rīcības </w:t>
            </w:r>
            <w:r w:rsidRPr="0049130D">
              <w:rPr>
                <w:b/>
                <w:i/>
              </w:rPr>
              <w:t>kodeksu izstrādi pabeigt līdz ... [12 mēneši pēc šīs regulas publicēšanas dienas] un</w:t>
            </w:r>
            <w:r w:rsidRPr="0049130D">
              <w:t xml:space="preserve"> faktiski ieviest </w:t>
            </w:r>
            <w:r w:rsidRPr="0049130D">
              <w:rPr>
                <w:b/>
                <w:i/>
              </w:rPr>
              <w:t>tos līdz [24 mēneši</w:t>
            </w:r>
            <w:r w:rsidRPr="0049130D">
              <w:t xml:space="preserve"> pēc šīs regulas </w:t>
            </w:r>
            <w:r w:rsidRPr="0049130D">
              <w:rPr>
                <w:b/>
                <w:i/>
              </w:rPr>
              <w:t>publicēšanas dienas]</w:t>
            </w:r>
            <w:r w:rsidRPr="0049130D">
              <w:t>.</w:t>
            </w:r>
          </w:p>
        </w:tc>
      </w:tr>
    </w:tbl>
    <w:p w:rsidR="00FE0DFE" w:rsidRPr="0049130D" w:rsidRDefault="00FE0DFE" w:rsidP="00FE0DFE"/>
    <w:p w:rsidR="00FE0DFE" w:rsidRPr="0049130D" w:rsidRDefault="00FE0DFE" w:rsidP="00FE0DFE">
      <w:pPr>
        <w:pStyle w:val="AMNumberTabs"/>
        <w:keepNext/>
      </w:pPr>
      <w:r w:rsidRPr="0049130D">
        <w:lastRenderedPageBreak/>
        <w:t>Grozījums Nr.</w:t>
      </w:r>
      <w:r w:rsidRPr="0049130D">
        <w:tab/>
      </w:r>
      <w:r w:rsidRPr="0049130D">
        <w:tab/>
        <w:t>42</w:t>
      </w:r>
    </w:p>
    <w:p w:rsidR="00FE0DFE" w:rsidRPr="0049130D" w:rsidRDefault="00FE0DFE" w:rsidP="00FE0DFE">
      <w:pPr>
        <w:pStyle w:val="NormalBold12b"/>
        <w:keepNext/>
      </w:pPr>
      <w:r w:rsidRPr="0049130D">
        <w:t>Regulas priekšlikums</w:t>
      </w:r>
    </w:p>
    <w:p w:rsidR="00FE0DFE" w:rsidRPr="0049130D" w:rsidRDefault="00FE0DFE" w:rsidP="00FE0DFE">
      <w:pPr>
        <w:pStyle w:val="NormalBold"/>
      </w:pPr>
      <w:r w:rsidRPr="0049130D">
        <w:t>6. pants – 3.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hideMark/>
          </w:tcPr>
          <w:p w:rsidR="00FE0DFE" w:rsidRPr="0049130D" w:rsidRDefault="00FE0DFE" w:rsidP="00B8137D">
            <w:pPr>
              <w:pStyle w:val="ColumnHeading"/>
              <w:keepNext/>
            </w:pPr>
            <w:r w:rsidRPr="0049130D">
              <w:t>Komisijas ierosinātais teksts</w:t>
            </w:r>
          </w:p>
        </w:tc>
        <w:tc>
          <w:tcPr>
            <w:tcW w:w="4876" w:type="dxa"/>
            <w:hideMark/>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hideMark/>
          </w:tcPr>
          <w:p w:rsidR="00FE0DFE" w:rsidRPr="0049130D" w:rsidRDefault="00FE0DFE" w:rsidP="00B8137D">
            <w:pPr>
              <w:pStyle w:val="Normal6"/>
            </w:pPr>
            <w:r w:rsidRPr="0049130D">
              <w:rPr>
                <w:b/>
                <w:i/>
              </w:rPr>
              <w:t>3.</w:t>
            </w:r>
            <w:r w:rsidRPr="0049130D">
              <w:rPr>
                <w:b/>
                <w:i/>
              </w:rPr>
              <w:tab/>
              <w:t>Ne vēlāk kā divus gadus pēc šīs regulas piemērošanas sākuma Komisija pārskata rīcības kodeksu izstrādi un faktisko ieviešanu un pakalpojumu sniedzēju informācijas faktisko sniegšanu.</w:t>
            </w:r>
          </w:p>
        </w:tc>
        <w:tc>
          <w:tcPr>
            <w:tcW w:w="4876" w:type="dxa"/>
            <w:hideMark/>
          </w:tcPr>
          <w:p w:rsidR="00FE0DFE" w:rsidRPr="0049130D" w:rsidRDefault="00FE0DFE" w:rsidP="00B8137D">
            <w:pPr>
              <w:pStyle w:val="Normal6"/>
              <w:rPr>
                <w:szCs w:val="24"/>
              </w:rPr>
            </w:pPr>
            <w:r w:rsidRPr="0049130D">
              <w:rPr>
                <w:b/>
                <w:i/>
              </w:rPr>
              <w:t>svītrots</w:t>
            </w:r>
          </w:p>
        </w:tc>
      </w:tr>
    </w:tbl>
    <w:p w:rsidR="00FE0DFE" w:rsidRPr="0049130D" w:rsidRDefault="00FE0DFE" w:rsidP="00FE0DFE"/>
    <w:p w:rsidR="00FE0DFE" w:rsidRPr="0049130D" w:rsidRDefault="00FE0DFE" w:rsidP="00FE0DFE">
      <w:pPr>
        <w:pStyle w:val="AMNumberTabs"/>
      </w:pPr>
      <w:r w:rsidRPr="0049130D">
        <w:t>Grozījums Nr.</w:t>
      </w:r>
      <w:r w:rsidRPr="0049130D">
        <w:tab/>
      </w:r>
      <w:r w:rsidRPr="0049130D">
        <w:tab/>
        <w:t>43</w:t>
      </w:r>
    </w:p>
    <w:p w:rsidR="00FE0DFE" w:rsidRPr="0049130D" w:rsidRDefault="00FE0DFE" w:rsidP="00FE0DFE">
      <w:pPr>
        <w:pStyle w:val="NormalBold12b"/>
      </w:pPr>
      <w:r w:rsidRPr="0049130D">
        <w:t>Regulas priekšlikums</w:t>
      </w:r>
    </w:p>
    <w:p w:rsidR="00FE0DFE" w:rsidRPr="0049130D" w:rsidRDefault="00FE0DFE" w:rsidP="00FE0DFE">
      <w:pPr>
        <w:pStyle w:val="NormalBold"/>
      </w:pPr>
      <w:r w:rsidRPr="0049130D">
        <w:t>7. pants – 6.a punkts (jauns)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0DFE" w:rsidRPr="0049130D" w:rsidTr="00B8137D">
        <w:trPr>
          <w:trHeight w:hRule="exact" w:val="240"/>
          <w:jc w:val="center"/>
        </w:trPr>
        <w:tc>
          <w:tcPr>
            <w:tcW w:w="9752" w:type="dxa"/>
            <w:gridSpan w:val="2"/>
          </w:tcPr>
          <w:p w:rsidR="00FE0DFE" w:rsidRPr="0049130D" w:rsidRDefault="00FE0DFE" w:rsidP="00B8137D"/>
        </w:tc>
      </w:tr>
      <w:tr w:rsidR="00FE0DFE" w:rsidRPr="0049130D" w:rsidTr="00B8137D">
        <w:trPr>
          <w:trHeight w:val="240"/>
          <w:jc w:val="center"/>
        </w:trPr>
        <w:tc>
          <w:tcPr>
            <w:tcW w:w="4876" w:type="dxa"/>
          </w:tcPr>
          <w:p w:rsidR="00FE0DFE" w:rsidRPr="0049130D" w:rsidRDefault="00FE0DFE" w:rsidP="00B8137D">
            <w:pPr>
              <w:pStyle w:val="ColumnHeading"/>
            </w:pPr>
            <w:r w:rsidRPr="0049130D">
              <w:t>Komisijas ierosinātais teksts</w:t>
            </w:r>
          </w:p>
        </w:tc>
        <w:tc>
          <w:tcPr>
            <w:tcW w:w="4876" w:type="dxa"/>
          </w:tcPr>
          <w:p w:rsidR="00FE0DFE" w:rsidRPr="0049130D" w:rsidRDefault="00FE0DFE" w:rsidP="00B8137D">
            <w:pPr>
              <w:pStyle w:val="ColumnHeading"/>
            </w:pPr>
            <w:r w:rsidRPr="0049130D">
              <w:t>Grozījums</w:t>
            </w:r>
          </w:p>
        </w:tc>
      </w:tr>
      <w:tr w:rsidR="00FE0DFE" w:rsidRPr="0049130D" w:rsidTr="00B8137D">
        <w:trPr>
          <w:jc w:val="center"/>
        </w:trPr>
        <w:tc>
          <w:tcPr>
            <w:tcW w:w="4876" w:type="dxa"/>
          </w:tcPr>
          <w:p w:rsidR="00FE0DFE" w:rsidRPr="0049130D" w:rsidRDefault="00FE0DFE" w:rsidP="00B8137D">
            <w:pPr>
              <w:pStyle w:val="Normal6"/>
            </w:pPr>
          </w:p>
        </w:tc>
        <w:tc>
          <w:tcPr>
            <w:tcW w:w="4876" w:type="dxa"/>
          </w:tcPr>
          <w:p w:rsidR="00FE0DFE" w:rsidRPr="0049130D" w:rsidRDefault="00FE0DFE" w:rsidP="00B8137D">
            <w:pPr>
              <w:pStyle w:val="Normal6"/>
            </w:pPr>
            <w:r w:rsidRPr="0049130D">
              <w:rPr>
                <w:b/>
                <w:i/>
              </w:rPr>
              <w:t>6.a</w:t>
            </w:r>
            <w:r w:rsidRPr="0049130D">
              <w:tab/>
            </w:r>
            <w:r w:rsidRPr="0049130D">
              <w:rPr>
                <w:b/>
                <w:i/>
              </w:rPr>
              <w:t>Vienotie kontaktpunkti sniedz lietotājiem vispārēju informāciju par šo regulu un jo īpaši par 6. pantā minēto rīcības kodeksu izstrādi.</w:t>
            </w:r>
          </w:p>
        </w:tc>
      </w:tr>
    </w:tbl>
    <w:p w:rsidR="00FE0DFE" w:rsidRPr="0049130D" w:rsidRDefault="00FE0DFE" w:rsidP="00FE0DFE">
      <w:pPr>
        <w:pStyle w:val="JustificationTitle"/>
      </w:pPr>
      <w:r w:rsidRPr="0049130D">
        <w:t>Pamatojums</w:t>
      </w:r>
    </w:p>
    <w:p w:rsidR="00FE0DFE" w:rsidRPr="0049130D" w:rsidRDefault="00FE0DFE" w:rsidP="00FE0DFE">
      <w:pPr>
        <w:pStyle w:val="Normal12Italic"/>
      </w:pPr>
      <w:r w:rsidRPr="0049130D">
        <w:t>Vienoto kontaktpunktu zinātību var izmantot ne tikai kā saikni starp dalībvalstīm un Komisiju, bet arī kā saikni starp iestādēm un lietotājiem.</w:t>
      </w:r>
    </w:p>
    <w:p w:rsidR="00FE0DFE" w:rsidRPr="0049130D" w:rsidRDefault="00FE0DFE" w:rsidP="00FE0DFE">
      <w:pPr>
        <w:pStyle w:val="AMNumberTabs"/>
        <w:keepNext/>
      </w:pPr>
      <w:r w:rsidRPr="0049130D">
        <w:t>Grozījums Nr.</w:t>
      </w:r>
      <w:r w:rsidRPr="0049130D">
        <w:tab/>
      </w:r>
      <w:r w:rsidRPr="0049130D">
        <w:tab/>
        <w:t>44</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9. pants – 1. punkts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r w:rsidRPr="0049130D">
              <w:t>1.</w:t>
            </w:r>
            <w:r w:rsidRPr="0049130D">
              <w:tab/>
              <w:t>Ne vēlāk kā [</w:t>
            </w:r>
            <w:r w:rsidRPr="0049130D">
              <w:rPr>
                <w:b/>
                <w:i/>
              </w:rPr>
              <w:t>5</w:t>
            </w:r>
            <w:r w:rsidRPr="0049130D">
              <w:t xml:space="preserve"> gadi </w:t>
            </w:r>
            <w:r w:rsidRPr="0049130D">
              <w:rPr>
                <w:b/>
                <w:i/>
              </w:rPr>
              <w:t>pēc 10. panta 2. punktā minētā datuma</w:t>
            </w:r>
            <w:r w:rsidRPr="0049130D">
              <w:t>] Komisija</w:t>
            </w:r>
            <w:r w:rsidRPr="0049130D">
              <w:rPr>
                <w:b/>
                <w:i/>
              </w:rPr>
              <w:t xml:space="preserve"> šo regulu pārskata un</w:t>
            </w:r>
            <w:r w:rsidRPr="0049130D">
              <w:t xml:space="preserve"> iesniedz Eiropas Parlamentam, Padomei un Eiropas Ekonomikas un sociālo lietu komitejai ziņojumu</w:t>
            </w:r>
            <w:r w:rsidRPr="0049130D">
              <w:rPr>
                <w:b/>
                <w:i/>
              </w:rPr>
              <w:t xml:space="preserve"> par galvenajiem konstatējumiem.</w:t>
            </w:r>
          </w:p>
        </w:tc>
        <w:tc>
          <w:tcPr>
            <w:tcW w:w="4876" w:type="dxa"/>
          </w:tcPr>
          <w:p w:rsidR="00FE0DFE" w:rsidRPr="0049130D" w:rsidRDefault="00FE0DFE" w:rsidP="00B8137D">
            <w:pPr>
              <w:pStyle w:val="Normal6"/>
              <w:rPr>
                <w:szCs w:val="24"/>
              </w:rPr>
            </w:pPr>
            <w:r w:rsidRPr="0049130D">
              <w:t>1.</w:t>
            </w:r>
            <w:r w:rsidRPr="0049130D">
              <w:tab/>
              <w:t>Ne vēlāk kā [</w:t>
            </w:r>
            <w:r w:rsidRPr="0049130D">
              <w:rPr>
                <w:b/>
                <w:i/>
              </w:rPr>
              <w:t>3</w:t>
            </w:r>
            <w:r w:rsidRPr="0049130D">
              <w:t xml:space="preserve"> gadi </w:t>
            </w:r>
            <w:r w:rsidRPr="0049130D">
              <w:rPr>
                <w:b/>
                <w:i/>
              </w:rPr>
              <w:t>un 6 mēneši pēc šīs regulas publicēšanas dienas</w:t>
            </w:r>
            <w:r w:rsidRPr="0049130D">
              <w:t>] Komisija iesniedz Eiropas Parlamentam, Padomei un Eiropas Ekonomikas un sociālo lietu komitejai ziņojumu</w:t>
            </w:r>
            <w:r w:rsidRPr="0049130D">
              <w:rPr>
                <w:b/>
                <w:i/>
              </w:rPr>
              <w:t>, kurā novērtē šīs regulas piemērošanu, jo īpaši attiecībā uz:</w:t>
            </w:r>
          </w:p>
        </w:tc>
      </w:tr>
      <w:tr w:rsidR="00FE0DFE" w:rsidRPr="0049130D" w:rsidTr="00B8137D">
        <w:trPr>
          <w:jc w:val="center"/>
        </w:trPr>
        <w:tc>
          <w:tcPr>
            <w:tcW w:w="4876" w:type="dxa"/>
          </w:tcPr>
          <w:p w:rsidR="00FE0DFE" w:rsidRPr="0049130D" w:rsidRDefault="00FE0DFE" w:rsidP="00B8137D">
            <w:pPr>
              <w:pStyle w:val="Normal6"/>
            </w:pPr>
          </w:p>
        </w:tc>
        <w:tc>
          <w:tcPr>
            <w:tcW w:w="4876" w:type="dxa"/>
          </w:tcPr>
          <w:p w:rsidR="00FE0DFE" w:rsidRPr="0049130D" w:rsidRDefault="00FE0DFE" w:rsidP="00B8137D">
            <w:pPr>
              <w:pStyle w:val="Normal6"/>
            </w:pPr>
            <w:r w:rsidRPr="0049130D">
              <w:rPr>
                <w:b/>
                <w:i/>
              </w:rPr>
              <w:t>(a)</w:t>
            </w:r>
            <w:r w:rsidRPr="0049130D">
              <w:rPr>
                <w:b/>
                <w:i/>
              </w:rPr>
              <w:tab/>
              <w:t xml:space="preserve">šīs regulas piemērošanu jauktu datu kopām, jo īpaši ņemot vērā tirgus attīstību un tehnoloģiju attīstību, kas varētu </w:t>
            </w:r>
            <w:r w:rsidRPr="0049130D">
              <w:rPr>
                <w:b/>
                <w:i/>
              </w:rPr>
              <w:lastRenderedPageBreak/>
              <w:t>paplašināt datu deanonimizācijas iespējas,</w:t>
            </w:r>
          </w:p>
        </w:tc>
      </w:tr>
      <w:tr w:rsidR="00FE0DFE" w:rsidRPr="0049130D" w:rsidTr="00B8137D">
        <w:trPr>
          <w:jc w:val="center"/>
        </w:trPr>
        <w:tc>
          <w:tcPr>
            <w:tcW w:w="4876" w:type="dxa"/>
          </w:tcPr>
          <w:p w:rsidR="00FE0DFE" w:rsidRPr="0049130D" w:rsidRDefault="00FE0DFE" w:rsidP="00B8137D">
            <w:pPr>
              <w:pStyle w:val="Normal6"/>
            </w:pPr>
          </w:p>
        </w:tc>
        <w:tc>
          <w:tcPr>
            <w:tcW w:w="4876" w:type="dxa"/>
          </w:tcPr>
          <w:p w:rsidR="00FE0DFE" w:rsidRPr="0049130D" w:rsidRDefault="00FE0DFE" w:rsidP="00B8137D">
            <w:pPr>
              <w:pStyle w:val="Normal6"/>
            </w:pPr>
            <w:r w:rsidRPr="0049130D">
              <w:rPr>
                <w:b/>
                <w:i/>
              </w:rPr>
              <w:t>(b)</w:t>
            </w:r>
            <w:r w:rsidRPr="0049130D">
              <w:rPr>
                <w:b/>
                <w:i/>
              </w:rPr>
              <w:tab/>
              <w:t>to, kā dalībvalstis īsteno 4. panta 1. punktu, jo īpaši sabiedriskās drošības izņēmumu, un</w:t>
            </w:r>
          </w:p>
        </w:tc>
      </w:tr>
      <w:tr w:rsidR="00FE0DFE" w:rsidRPr="0049130D" w:rsidTr="00B8137D">
        <w:trPr>
          <w:jc w:val="center"/>
        </w:trPr>
        <w:tc>
          <w:tcPr>
            <w:tcW w:w="4876" w:type="dxa"/>
          </w:tcPr>
          <w:p w:rsidR="00FE0DFE" w:rsidRPr="0049130D" w:rsidRDefault="00FE0DFE" w:rsidP="00B8137D">
            <w:pPr>
              <w:pStyle w:val="Normal6"/>
            </w:pPr>
          </w:p>
        </w:tc>
        <w:tc>
          <w:tcPr>
            <w:tcW w:w="4876" w:type="dxa"/>
          </w:tcPr>
          <w:p w:rsidR="00FE0DFE" w:rsidRPr="0049130D" w:rsidRDefault="00FE0DFE" w:rsidP="00B8137D">
            <w:pPr>
              <w:pStyle w:val="Normal6"/>
            </w:pPr>
            <w:r w:rsidRPr="0049130D">
              <w:rPr>
                <w:b/>
                <w:i/>
              </w:rPr>
              <w:t>(c)</w:t>
            </w:r>
            <w:r w:rsidRPr="0049130D">
              <w:rPr>
                <w:b/>
                <w:i/>
              </w:rPr>
              <w:tab/>
              <w:t>šās regulas 6. pantā minēto rīcības kodeksu izstrādi un efektīvu īstenošanu un pakalpojumu sniedzēju veiktu efektīvu informācijas sniegšanu.</w:t>
            </w:r>
          </w:p>
        </w:tc>
      </w:tr>
    </w:tbl>
    <w:p w:rsidR="00FE0DFE" w:rsidRPr="0049130D" w:rsidRDefault="00FE0DFE" w:rsidP="00FE0DFE"/>
    <w:p w:rsidR="00FE0DFE" w:rsidRPr="0049130D" w:rsidRDefault="00FE0DFE" w:rsidP="00FE0DFE">
      <w:pPr>
        <w:pStyle w:val="AMNumberTabs"/>
        <w:keepNext/>
      </w:pPr>
      <w:r w:rsidRPr="0049130D">
        <w:t>Grozījums Nr.</w:t>
      </w:r>
      <w:r w:rsidRPr="0049130D">
        <w:tab/>
      </w:r>
      <w:r w:rsidRPr="0049130D">
        <w:tab/>
        <w:t>45</w:t>
      </w:r>
    </w:p>
    <w:p w:rsidR="00FE0DFE" w:rsidRPr="0049130D" w:rsidRDefault="00FE0DFE" w:rsidP="00FE0DFE"/>
    <w:p w:rsidR="00FE0DFE" w:rsidRPr="0049130D" w:rsidRDefault="00FE0DFE" w:rsidP="00FE0DFE">
      <w:pPr>
        <w:pStyle w:val="NormalBold"/>
        <w:keepNext/>
      </w:pPr>
      <w:r w:rsidRPr="0049130D">
        <w:t>Regulas priekšlikums</w:t>
      </w:r>
    </w:p>
    <w:p w:rsidR="00FE0DFE" w:rsidRPr="0049130D" w:rsidRDefault="00FE0DFE" w:rsidP="00FE0DFE">
      <w:pPr>
        <w:pStyle w:val="NormalBold"/>
      </w:pPr>
      <w:r w:rsidRPr="0049130D">
        <w:t>9. pants – 2.a punkts (jauns)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tcPr>
          <w:p w:rsidR="00FE0DFE" w:rsidRPr="0049130D" w:rsidRDefault="00FE0DFE" w:rsidP="00B8137D">
            <w:pPr>
              <w:pStyle w:val="ColumnHeading"/>
              <w:keepNext/>
            </w:pPr>
            <w:r w:rsidRPr="0049130D">
              <w:t>Komisijas ierosinātais teksts</w:t>
            </w:r>
          </w:p>
        </w:tc>
        <w:tc>
          <w:tcPr>
            <w:tcW w:w="4876" w:type="dxa"/>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tcPr>
          <w:p w:rsidR="00FE0DFE" w:rsidRPr="0049130D" w:rsidRDefault="00FE0DFE" w:rsidP="00B8137D">
            <w:pPr>
              <w:pStyle w:val="Normal6"/>
            </w:pPr>
          </w:p>
        </w:tc>
        <w:tc>
          <w:tcPr>
            <w:tcW w:w="4876" w:type="dxa"/>
          </w:tcPr>
          <w:p w:rsidR="00FE0DFE" w:rsidRPr="0049130D" w:rsidRDefault="00FE0DFE" w:rsidP="00B8137D">
            <w:pPr>
              <w:pStyle w:val="Normal6"/>
              <w:rPr>
                <w:szCs w:val="24"/>
              </w:rPr>
            </w:pPr>
            <w:r w:rsidRPr="0049130D">
              <w:rPr>
                <w:b/>
                <w:i/>
              </w:rPr>
              <w:t>2.a</w:t>
            </w:r>
            <w:r w:rsidRPr="0049130D">
              <w:rPr>
                <w:b/>
                <w:i/>
              </w:rPr>
              <w:tab/>
              <w:t>Līdz [6 mēneši pēc šīs regulas publicēšanas dienas] Komisija publicē vadlīnijas par šīs regulas un Regulas (ES) 2016/679 mijiedarbību attiecībā uz jauktu datu kopām.</w:t>
            </w:r>
          </w:p>
        </w:tc>
      </w:tr>
    </w:tbl>
    <w:p w:rsidR="00FE0DFE" w:rsidRPr="0049130D" w:rsidRDefault="00FE0DFE" w:rsidP="00FE0DFE">
      <w:pPr>
        <w:pStyle w:val="AMNumberTabs"/>
        <w:keepNext/>
      </w:pPr>
      <w:r w:rsidRPr="0049130D">
        <w:t>Grozījums Nr.</w:t>
      </w:r>
      <w:r w:rsidRPr="0049130D">
        <w:tab/>
      </w:r>
      <w:r w:rsidRPr="0049130D">
        <w:tab/>
        <w:t>46</w:t>
      </w:r>
    </w:p>
    <w:p w:rsidR="00FE0DFE" w:rsidRPr="0049130D" w:rsidRDefault="00FE0DFE" w:rsidP="00FE0DFE">
      <w:pPr>
        <w:pStyle w:val="NormalBold12b"/>
        <w:keepNext/>
      </w:pPr>
      <w:r w:rsidRPr="0049130D">
        <w:t>Regulas priekšlikums</w:t>
      </w:r>
    </w:p>
    <w:p w:rsidR="00FE0DFE" w:rsidRPr="0049130D" w:rsidRDefault="00FE0DFE" w:rsidP="00FE0DFE">
      <w:pPr>
        <w:pStyle w:val="NormalBold"/>
      </w:pPr>
      <w:r w:rsidRPr="0049130D">
        <w:t>10. pants – 2. punkts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0DFE" w:rsidRPr="0049130D" w:rsidTr="00B8137D">
        <w:trPr>
          <w:jc w:val="center"/>
        </w:trPr>
        <w:tc>
          <w:tcPr>
            <w:tcW w:w="9752" w:type="dxa"/>
            <w:gridSpan w:val="2"/>
          </w:tcPr>
          <w:p w:rsidR="00FE0DFE" w:rsidRPr="0049130D" w:rsidRDefault="00FE0DFE" w:rsidP="00B8137D">
            <w:pPr>
              <w:keepNext/>
            </w:pPr>
          </w:p>
        </w:tc>
      </w:tr>
      <w:tr w:rsidR="00FE0DFE" w:rsidRPr="0049130D" w:rsidTr="00B8137D">
        <w:trPr>
          <w:jc w:val="center"/>
        </w:trPr>
        <w:tc>
          <w:tcPr>
            <w:tcW w:w="4876" w:type="dxa"/>
            <w:hideMark/>
          </w:tcPr>
          <w:p w:rsidR="00FE0DFE" w:rsidRPr="0049130D" w:rsidRDefault="00FE0DFE" w:rsidP="00B8137D">
            <w:pPr>
              <w:pStyle w:val="ColumnHeading"/>
              <w:keepNext/>
            </w:pPr>
            <w:r w:rsidRPr="0049130D">
              <w:t>Komisijas ierosinātais teksts</w:t>
            </w:r>
          </w:p>
        </w:tc>
        <w:tc>
          <w:tcPr>
            <w:tcW w:w="4876" w:type="dxa"/>
            <w:hideMark/>
          </w:tcPr>
          <w:p w:rsidR="00FE0DFE" w:rsidRPr="0049130D" w:rsidRDefault="00FE0DFE" w:rsidP="00B8137D">
            <w:pPr>
              <w:pStyle w:val="ColumnHeading"/>
              <w:keepNext/>
            </w:pPr>
            <w:r w:rsidRPr="0049130D">
              <w:t>Grozījums</w:t>
            </w:r>
          </w:p>
        </w:tc>
      </w:tr>
      <w:tr w:rsidR="00FE0DFE" w:rsidRPr="0049130D" w:rsidTr="00B8137D">
        <w:trPr>
          <w:jc w:val="center"/>
        </w:trPr>
        <w:tc>
          <w:tcPr>
            <w:tcW w:w="4876" w:type="dxa"/>
            <w:hideMark/>
          </w:tcPr>
          <w:p w:rsidR="00FE0DFE" w:rsidRPr="0049130D" w:rsidRDefault="00FE0DFE" w:rsidP="00B8137D">
            <w:pPr>
              <w:pStyle w:val="Normal6"/>
            </w:pPr>
            <w:r w:rsidRPr="0049130D">
              <w:t>2.</w:t>
            </w:r>
            <w:r w:rsidRPr="0049130D">
              <w:tab/>
              <w:t>Šo regulu sāk piemērot sešus mēnešus pēc tās publicēšanas.</w:t>
            </w:r>
          </w:p>
        </w:tc>
        <w:tc>
          <w:tcPr>
            <w:tcW w:w="4876" w:type="dxa"/>
            <w:hideMark/>
          </w:tcPr>
          <w:p w:rsidR="00FE0DFE" w:rsidRPr="0049130D" w:rsidRDefault="00FE0DFE" w:rsidP="00B8137D">
            <w:pPr>
              <w:pStyle w:val="Normal6"/>
            </w:pPr>
            <w:r w:rsidRPr="0049130D">
              <w:t>2.</w:t>
            </w:r>
            <w:r w:rsidRPr="0049130D">
              <w:tab/>
              <w:t>Šo regulu sāk piemērot sešus mēnešus pēc tās publicēšanas.</w:t>
            </w:r>
          </w:p>
          <w:p w:rsidR="00FE0DFE" w:rsidRPr="0049130D" w:rsidRDefault="00FE0DFE" w:rsidP="00B8137D">
            <w:pPr>
              <w:pStyle w:val="Normal6"/>
            </w:pPr>
            <w:r w:rsidRPr="0049130D">
              <w:rPr>
                <w:b/>
                <w:i/>
              </w:rPr>
              <w:t>Tomēr 9. panta 2.a punktu piemēro no … [1 diena pēc šīs regulas spēkā stāšanās dienas].</w:t>
            </w:r>
          </w:p>
        </w:tc>
      </w:tr>
    </w:tbl>
    <w:p w:rsidR="00FE0DFE" w:rsidRPr="0049130D" w:rsidRDefault="00FE0DFE" w:rsidP="00FE0DFE"/>
    <w:p w:rsidR="00FE0DFE" w:rsidRPr="0049130D" w:rsidRDefault="00FE0DFE" w:rsidP="00FE0DFE"/>
    <w:p w:rsidR="00E365E1" w:rsidRPr="0049130D" w:rsidRDefault="00E365E1" w:rsidP="00FE0DFE">
      <w:bookmarkStart w:id="1" w:name="TextBodyEnd"/>
      <w:bookmarkEnd w:id="1"/>
    </w:p>
    <w:sectPr w:rsidR="00E365E1" w:rsidRPr="0049130D" w:rsidSect="00081C9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67E" w:rsidRPr="00081C9D" w:rsidRDefault="001B267E">
      <w:r w:rsidRPr="00081C9D">
        <w:separator/>
      </w:r>
    </w:p>
  </w:endnote>
  <w:endnote w:type="continuationSeparator" w:id="0">
    <w:p w:rsidR="001B267E" w:rsidRPr="00081C9D" w:rsidRDefault="001B267E">
      <w:r w:rsidRPr="00081C9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0D" w:rsidRDefault="00491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9D" w:rsidRDefault="00081C9D" w:rsidP="0049130D">
    <w:pPr>
      <w:pStyle w:val="Footer"/>
      <w:tabs>
        <w:tab w:val="clear" w:pos="9639"/>
        <w:tab w:val="right" w:pos="9184"/>
      </w:tabs>
    </w:pPr>
  </w:p>
  <w:p w:rsidR="0049130D" w:rsidRDefault="0049130D" w:rsidP="0049130D">
    <w:pPr>
      <w:pStyle w:val="Footer"/>
      <w:pBdr>
        <w:top w:val="single" w:sz="2" w:space="1" w:color="000000"/>
      </w:pBdr>
      <w:tabs>
        <w:tab w:val="clear" w:pos="9639"/>
        <w:tab w:val="right" w:pos="9184"/>
      </w:tabs>
    </w:pPr>
    <w:r>
      <w:tab/>
    </w:r>
    <w:r w:rsidRPr="0049130D">
      <w:rPr>
        <w:rStyle w:val="HideTWBExt"/>
      </w:rPr>
      <w:t>&lt;NuPE&gt;</w:t>
    </w:r>
    <w:r>
      <w:t>PE624.109</w:t>
    </w:r>
    <w:r w:rsidRPr="0049130D">
      <w:rPr>
        <w:rStyle w:val="HideTWBExt"/>
      </w:rPr>
      <w:t>&lt;/NuPE&gt;</w:t>
    </w:r>
    <w:r>
      <w:t xml:space="preserve">/ </w:t>
    </w:r>
    <w:r>
      <w:fldChar w:fldCharType="begin"/>
    </w:r>
    <w:r>
      <w:instrText xml:space="preserve"> PAGE  \* MERGEFORMAT </w:instrText>
    </w:r>
    <w:r>
      <w:fldChar w:fldCharType="separate"/>
    </w:r>
    <w:r w:rsidR="002F3D50">
      <w:rPr>
        <w:noProof/>
      </w:rPr>
      <w:t>2</w:t>
    </w:r>
    <w:r>
      <w:fldChar w:fldCharType="end"/>
    </w:r>
  </w:p>
  <w:p w:rsidR="0049130D" w:rsidRPr="0049130D" w:rsidRDefault="0049130D" w:rsidP="0049130D">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0D" w:rsidRDefault="0049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67E" w:rsidRPr="00081C9D" w:rsidRDefault="001B267E">
      <w:r w:rsidRPr="00081C9D">
        <w:separator/>
      </w:r>
    </w:p>
  </w:footnote>
  <w:footnote w:type="continuationSeparator" w:id="0">
    <w:p w:rsidR="001B267E" w:rsidRPr="00081C9D" w:rsidRDefault="001B267E">
      <w:r w:rsidRPr="00081C9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0D" w:rsidRDefault="00491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0D" w:rsidRDefault="00491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0D" w:rsidRDefault="00491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7BE95D7F"/>
    <w:multiLevelType w:val="multilevel"/>
    <w:tmpl w:val="6D0AA288"/>
    <w:lvl w:ilvl="0">
      <w:start w:val="1"/>
      <w:numFmt w:val="decimal"/>
      <w:lvlText w:val="(%1)"/>
      <w:lvlJc w:val="left"/>
      <w:pPr>
        <w:tabs>
          <w:tab w:val="num" w:pos="850"/>
        </w:tabs>
        <w:ind w:left="850" w:hanging="850"/>
      </w:pPr>
      <w:rPr>
        <w:rFonts w:cs="Times New Roman" w:hint="default"/>
      </w:rPr>
    </w:lvl>
    <w:lvl w:ilvl="1">
      <w:start w:val="1"/>
      <w:numFmt w:val="lowerLetter"/>
      <w:lvlText w:val="(%2)"/>
      <w:lvlJc w:val="left"/>
      <w:pPr>
        <w:tabs>
          <w:tab w:val="num" w:pos="850"/>
        </w:tabs>
        <w:ind w:left="850" w:hanging="850"/>
      </w:pPr>
      <w:rPr>
        <w:rFonts w:cs="Times New Roman" w:hint="default"/>
      </w:rPr>
    </w:lvl>
    <w:lvl w:ilvl="2">
      <w:start w:val="1"/>
      <w:numFmt w:val="decimal"/>
      <w:lvlText w:val="(%3)"/>
      <w:lvlJc w:val="left"/>
      <w:pPr>
        <w:tabs>
          <w:tab w:val="num" w:pos="1417"/>
        </w:tabs>
        <w:ind w:left="1417" w:hanging="567"/>
      </w:pPr>
      <w:rPr>
        <w:rFonts w:cs="Times New Roman" w:hint="default"/>
      </w:rPr>
    </w:lvl>
    <w:lvl w:ilvl="3">
      <w:start w:val="1"/>
      <w:numFmt w:val="lowerLetter"/>
      <w:lvlText w:val="(%4)"/>
      <w:lvlJc w:val="left"/>
      <w:pPr>
        <w:tabs>
          <w:tab w:val="num" w:pos="1417"/>
        </w:tabs>
        <w:ind w:left="1417" w:hanging="567"/>
      </w:pPr>
      <w:rPr>
        <w:rFonts w:cs="Times New Roman" w:hint="default"/>
      </w:rPr>
    </w:lvl>
    <w:lvl w:ilvl="4">
      <w:start w:val="1"/>
      <w:numFmt w:val="decimal"/>
      <w:lvlText w:val="(%5)"/>
      <w:lvlJc w:val="left"/>
      <w:pPr>
        <w:tabs>
          <w:tab w:val="num" w:pos="1984"/>
        </w:tabs>
        <w:ind w:left="1984" w:hanging="567"/>
      </w:pPr>
      <w:rPr>
        <w:rFonts w:cs="Times New Roman"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01/2018"/>
    <w:docVar w:name="dvlangue" w:val="LV"/>
    <w:docVar w:name="dvnumam" w:val="81"/>
    <w:docVar w:name="dvpe" w:val="619.038"/>
    <w:docVar w:name="dvrapporteur" w:val="Referente: "/>
    <w:docVar w:name="dvtitre" w:val="Eiropas Parlamenta 2018. gada XX. XXX normatīvā rezolūcija par priekšlikumu Eiropas Parlamenta un Padomes regulai par satvaru nepersonisku datu brīvai apritei Eiropas Savienībā(COM(2017)0495 – C8-0312/2017 – 2017/0228(COD))"/>
    <w:docVar w:name="TA_Comm_A5Nr" w:val="A8-0201/2018"/>
    <w:docVar w:name="TA_Comm_Langue" w:val="LV"/>
    <w:docVar w:name="TA_Comm_NrAM" w:val="001-046"/>
    <w:docVar w:name="TA_Type" w:val="TA_COMM"/>
  </w:docVars>
  <w:rsids>
    <w:rsidRoot w:val="001B267E"/>
    <w:rsid w:val="00002272"/>
    <w:rsid w:val="000677B9"/>
    <w:rsid w:val="00081C9D"/>
    <w:rsid w:val="000E7DD9"/>
    <w:rsid w:val="0010095E"/>
    <w:rsid w:val="00125B37"/>
    <w:rsid w:val="001B267E"/>
    <w:rsid w:val="002767FF"/>
    <w:rsid w:val="00276C20"/>
    <w:rsid w:val="002B5493"/>
    <w:rsid w:val="002F3D50"/>
    <w:rsid w:val="00361C00"/>
    <w:rsid w:val="00395FA1"/>
    <w:rsid w:val="003E15D4"/>
    <w:rsid w:val="00411CCE"/>
    <w:rsid w:val="0041666E"/>
    <w:rsid w:val="00421060"/>
    <w:rsid w:val="0049130D"/>
    <w:rsid w:val="00494A28"/>
    <w:rsid w:val="0050519A"/>
    <w:rsid w:val="005072A1"/>
    <w:rsid w:val="00514517"/>
    <w:rsid w:val="0056578C"/>
    <w:rsid w:val="005A39F6"/>
    <w:rsid w:val="006037C0"/>
    <w:rsid w:val="00680577"/>
    <w:rsid w:val="006F74FA"/>
    <w:rsid w:val="00731ADD"/>
    <w:rsid w:val="00734777"/>
    <w:rsid w:val="00751A4A"/>
    <w:rsid w:val="00756632"/>
    <w:rsid w:val="007D1690"/>
    <w:rsid w:val="00865F67"/>
    <w:rsid w:val="00881A7B"/>
    <w:rsid w:val="008840E5"/>
    <w:rsid w:val="008C2AC6"/>
    <w:rsid w:val="009509D8"/>
    <w:rsid w:val="00981893"/>
    <w:rsid w:val="00A4678D"/>
    <w:rsid w:val="00AF3B82"/>
    <w:rsid w:val="00B16A5F"/>
    <w:rsid w:val="00B558F0"/>
    <w:rsid w:val="00BD7BD8"/>
    <w:rsid w:val="00C05BFE"/>
    <w:rsid w:val="00C23CD4"/>
    <w:rsid w:val="00C941CB"/>
    <w:rsid w:val="00CC2357"/>
    <w:rsid w:val="00D058B8"/>
    <w:rsid w:val="00D834A0"/>
    <w:rsid w:val="00D91E21"/>
    <w:rsid w:val="00E365E1"/>
    <w:rsid w:val="00ED4235"/>
    <w:rsid w:val="00F04346"/>
    <w:rsid w:val="00F075DC"/>
    <w:rsid w:val="00F5134D"/>
    <w:rsid w:val="00FD0C70"/>
    <w:rsid w:val="00FE0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73171"/>
  <w15:chartTrackingRefBased/>
  <w15:docId w15:val="{34705817-FAD0-4286-A183-821C4876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v-LV"/>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Char">
    <w:name w:val="Normal12 Char"/>
    <w:link w:val="Normal12"/>
    <w:locked/>
    <w:rsid w:val="00FE0DFE"/>
    <w:rPr>
      <w:sz w:val="24"/>
      <w:lang w:val="lv-LV"/>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6Char">
    <w:name w:val="Normal6 Char"/>
    <w:link w:val="Normal6"/>
    <w:rsid w:val="00FE0DFE"/>
    <w:rPr>
      <w:sz w:val="24"/>
      <w:lang w:val="lv-LV"/>
    </w:rPr>
  </w:style>
  <w:style w:type="character" w:customStyle="1" w:styleId="NormalBoldChar">
    <w:name w:val="NormalBold Char"/>
    <w:link w:val="NormalBold"/>
    <w:rsid w:val="00FE0DFE"/>
    <w:rPr>
      <w:b/>
      <w:sz w:val="24"/>
      <w:lang w:val="lv-LV"/>
    </w:rPr>
  </w:style>
  <w:style w:type="paragraph" w:customStyle="1" w:styleId="Normal12Italic">
    <w:name w:val="Normal12Italic"/>
    <w:basedOn w:val="Normal"/>
    <w:rsid w:val="00FE0DFE"/>
    <w:pPr>
      <w:spacing w:before="240"/>
    </w:pPr>
    <w:rPr>
      <w:i/>
    </w:rPr>
  </w:style>
  <w:style w:type="paragraph" w:customStyle="1" w:styleId="JustificationTitle">
    <w:name w:val="JustificationTitle"/>
    <w:basedOn w:val="Normal"/>
    <w:next w:val="Normal12"/>
    <w:rsid w:val="00FE0DFE"/>
    <w:pPr>
      <w:keepNext/>
      <w:spacing w:before="240"/>
      <w:jc w:val="center"/>
    </w:pPr>
    <w:rPr>
      <w:i/>
    </w:rPr>
  </w:style>
  <w:style w:type="paragraph" w:customStyle="1" w:styleId="ColumnHeading">
    <w:name w:val="ColumnHeading"/>
    <w:basedOn w:val="Normal"/>
    <w:rsid w:val="00FE0DFE"/>
    <w:pPr>
      <w:spacing w:after="240"/>
      <w:jc w:val="center"/>
    </w:pPr>
    <w:rPr>
      <w:i/>
    </w:rPr>
  </w:style>
  <w:style w:type="paragraph" w:customStyle="1" w:styleId="AMNumberTabs">
    <w:name w:val="AMNumberTabs"/>
    <w:basedOn w:val="Normal"/>
    <w:rsid w:val="00FE0DF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FE0DFE"/>
    <w:pPr>
      <w:spacing w:before="240"/>
    </w:pPr>
    <w:rPr>
      <w:b/>
    </w:rPr>
  </w:style>
  <w:style w:type="character" w:customStyle="1" w:styleId="Normal12HangingChar">
    <w:name w:val="Normal12Hanging Char"/>
    <w:link w:val="Normal12Hanging"/>
    <w:rsid w:val="0056578C"/>
    <w:rPr>
      <w:sz w:val="24"/>
      <w:lang w:val="lv-LV"/>
    </w:rPr>
  </w:style>
  <w:style w:type="paragraph" w:styleId="BalloonText">
    <w:name w:val="Balloon Text"/>
    <w:basedOn w:val="Normal"/>
    <w:link w:val="BalloonTextChar"/>
    <w:rsid w:val="0056578C"/>
    <w:rPr>
      <w:rFonts w:ascii="Segoe UI" w:hAnsi="Segoe UI" w:cs="Segoe UI"/>
      <w:sz w:val="18"/>
      <w:szCs w:val="18"/>
    </w:rPr>
  </w:style>
  <w:style w:type="character" w:customStyle="1" w:styleId="BalloonTextChar">
    <w:name w:val="Balloon Text Char"/>
    <w:basedOn w:val="DefaultParagraphFont"/>
    <w:link w:val="BalloonText"/>
    <w:rsid w:val="0056578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5287</Words>
  <Characters>35786</Characters>
  <Application>Microsoft Office Word</Application>
  <DocSecurity>0</DocSecurity>
  <Lines>1431</Lines>
  <Paragraphs>410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MERSCH Larisa</dc:creator>
  <cp:keywords/>
  <cp:lastModifiedBy>MERSCH Larisa</cp:lastModifiedBy>
  <cp:revision>2</cp:revision>
  <cp:lastPrinted>2004-11-19T15:42:00Z</cp:lastPrinted>
  <dcterms:created xsi:type="dcterms:W3CDTF">2018-09-28T09:22:00Z</dcterms:created>
  <dcterms:modified xsi:type="dcterms:W3CDTF">2018-09-28T09:22:00Z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A8-0201/2018</vt:lpwstr>
  </property>
  <property fmtid="{D5CDD505-2E9C-101B-9397-08002B2CF9AE}" pid="4" name="&lt;Type&gt;">
    <vt:lpwstr>RR</vt:lpwstr>
  </property>
</Properties>
</file>