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pPr>
      <w:r w:rsidRPr="00046771">
        <w:rPr>
          <w:rStyle w:val="HideTWBExt"/>
        </w:rPr>
        <w:t>&lt;Date&gt;</w:t>
      </w:r>
      <w:r>
        <w:t>28.9.2018</w:t>
      </w:r>
      <w:r w:rsidRPr="00046771">
        <w:rPr>
          <w:rStyle w:val="HideTWBExt"/>
        </w:rPr>
        <w:t>&lt;/Date&gt;</w:t>
      </w:r>
      <w:r>
        <w:tab/>
        <w:t xml:space="preserve">A8-0201/ </w:t>
      </w:r>
      <w:r w:rsidRPr="00046771">
        <w:rPr>
          <w:rStyle w:val="HideTWBExt"/>
        </w:rPr>
        <w:t>&lt;NumOfAM&gt;</w:t>
      </w:r>
      <w:r>
        <w:t>001-046</w:t>
      </w:r>
      <w:bookmarkStart w:id="0" w:name="_GoBack"/>
      <w:bookmarkEnd w:id="0"/>
      <w:r w:rsidRPr="00046771">
        <w:rPr>
          <w:rStyle w:val="HideTWBExt"/>
        </w:rPr>
        <w:t>&lt;/NumOfAM&gt;</w:t>
      </w:r>
    </w:p>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pPr>
      <w:r>
        <w:rPr>
          <w:b/>
        </w:rPr>
        <w:t xml:space="preserve">ÄNDRINGSFÖRSLAG 001-046 </w:t>
      </w:r>
    </w:p>
    <w:p w:rsidR="00046771" w:rsidRDefault="00046771" w:rsidP="00046771">
      <w:pPr>
        <w:tabs>
          <w:tab w:val="right" w:pos="9184"/>
        </w:tabs>
      </w:pPr>
      <w:r>
        <w:t xml:space="preserve">från </w:t>
      </w:r>
      <w:r w:rsidRPr="00046771">
        <w:rPr>
          <w:rStyle w:val="HideTWBExt"/>
        </w:rPr>
        <w:t>&lt;Committee&gt;</w:t>
      </w:r>
      <w:r>
        <w:t>utskottet för den inre marknaden och konsumentskydd</w:t>
      </w:r>
      <w:r w:rsidRPr="00046771">
        <w:rPr>
          <w:rStyle w:val="HideTWBExt"/>
        </w:rPr>
        <w:t>&lt;/Committee&gt;</w:t>
      </w:r>
    </w:p>
    <w:p w:rsidR="00046771" w:rsidRDefault="00046771" w:rsidP="00046771">
      <w:pPr>
        <w:tabs>
          <w:tab w:val="right" w:pos="9184"/>
        </w:tabs>
      </w:pPr>
    </w:p>
    <w:p w:rsidR="00046771" w:rsidRDefault="00046771" w:rsidP="00046771">
      <w:pPr>
        <w:tabs>
          <w:tab w:val="right" w:pos="9184"/>
        </w:tabs>
        <w:rPr>
          <w:b/>
        </w:rPr>
      </w:pPr>
      <w:r>
        <w:rPr>
          <w:b/>
        </w:rPr>
        <w:t>Betänkande</w:t>
      </w:r>
    </w:p>
    <w:p w:rsidR="00046771" w:rsidRDefault="00046771" w:rsidP="00046771">
      <w:pPr>
        <w:tabs>
          <w:tab w:val="right" w:pos="9184"/>
        </w:tabs>
        <w:rPr>
          <w:b/>
        </w:rPr>
      </w:pPr>
      <w:r w:rsidRPr="00046771">
        <w:rPr>
          <w:rStyle w:val="HideTWBExt"/>
        </w:rPr>
        <w:t>&lt;Chairman&gt;</w:t>
      </w:r>
      <w:r>
        <w:rPr>
          <w:b/>
        </w:rPr>
        <w:t>Anna Maria Corazza Bildt</w:t>
      </w:r>
      <w:r w:rsidRPr="00046771">
        <w:rPr>
          <w:rStyle w:val="HideTWBExt"/>
        </w:rPr>
        <w:t>&lt;/Chairman&gt;</w:t>
      </w:r>
      <w:r>
        <w:rPr>
          <w:b/>
        </w:rPr>
        <w:tab/>
      </w:r>
      <w:r w:rsidRPr="00046771">
        <w:rPr>
          <w:rStyle w:val="HideTWBExt"/>
        </w:rPr>
        <w:t>&lt;A5Nr&gt;</w:t>
      </w:r>
      <w:r>
        <w:rPr>
          <w:b/>
        </w:rPr>
        <w:t>A8-0201/2018</w:t>
      </w:r>
      <w:r w:rsidRPr="00046771">
        <w:rPr>
          <w:rStyle w:val="HideTWBExt"/>
        </w:rPr>
        <w:t>&lt;/A5Nr&gt;</w:t>
      </w:r>
    </w:p>
    <w:p w:rsidR="00046771" w:rsidRDefault="00046771" w:rsidP="00046771">
      <w:pPr>
        <w:tabs>
          <w:tab w:val="right" w:pos="9184"/>
        </w:tabs>
      </w:pPr>
      <w:r w:rsidRPr="00046771">
        <w:rPr>
          <w:rStyle w:val="HideTWBExt"/>
        </w:rPr>
        <w:t>&lt;ShortTitel&gt;</w:t>
      </w:r>
      <w:r>
        <w:t>Fritt flöde av andra data än personuppgifter i Europeiska unionen</w:t>
      </w:r>
      <w:r w:rsidRPr="00046771">
        <w:rPr>
          <w:rStyle w:val="HideTWBExt"/>
        </w:rPr>
        <w:t>&lt;/ShortTitel&gt;</w:t>
      </w:r>
    </w:p>
    <w:p w:rsidR="00046771" w:rsidRDefault="00046771" w:rsidP="00046771">
      <w:pPr>
        <w:tabs>
          <w:tab w:val="right" w:pos="9184"/>
        </w:tabs>
      </w:pPr>
    </w:p>
    <w:p w:rsidR="00046771" w:rsidRDefault="00046771" w:rsidP="00046771">
      <w:pPr>
        <w:tabs>
          <w:tab w:val="right" w:pos="9184"/>
        </w:tabs>
      </w:pPr>
      <w:r w:rsidRPr="00046771">
        <w:rPr>
          <w:rStyle w:val="HideTWBExt"/>
        </w:rPr>
        <w:t>&lt;Procedure&gt;</w:t>
      </w:r>
      <w:r>
        <w:t>Förslag till förordning</w:t>
      </w:r>
      <w:r w:rsidRPr="00046771">
        <w:rPr>
          <w:rStyle w:val="HideTWBExt"/>
        </w:rPr>
        <w:t>&lt;/Procedure&gt;</w:t>
      </w:r>
      <w:r>
        <w:t xml:space="preserve"> </w:t>
      </w:r>
      <w:r w:rsidRPr="00046771">
        <w:rPr>
          <w:rStyle w:val="HideTWBExt"/>
        </w:rPr>
        <w:t>&lt;ReferenceNo&gt;</w:t>
      </w:r>
      <w:r>
        <w:t>(COM(2017)0495 – C8-0312/2017 – 2017/0228(COD))</w:t>
      </w:r>
      <w:r w:rsidRPr="00046771">
        <w:rPr>
          <w:rStyle w:val="HideTWBExt"/>
        </w:rPr>
        <w:t>&lt;/ReferenceNo&gt;</w:t>
      </w:r>
    </w:p>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pPr>
    </w:p>
    <w:p w:rsidR="00046771" w:rsidRDefault="00046771" w:rsidP="00046771">
      <w:pPr>
        <w:tabs>
          <w:tab w:val="right" w:pos="9184"/>
        </w:tabs>
        <w:jc w:val="center"/>
      </w:pPr>
      <w:r>
        <w:t>_____________________________________________________________</w:t>
      </w:r>
    </w:p>
    <w:p w:rsidR="00046771" w:rsidRDefault="00046771" w:rsidP="00046771">
      <w:pPr>
        <w:tabs>
          <w:tab w:val="right" w:pos="9184"/>
        </w:tabs>
        <w:jc w:val="center"/>
      </w:pPr>
    </w:p>
    <w:p w:rsidR="00230DF9" w:rsidRPr="00046771" w:rsidRDefault="00230DF9" w:rsidP="00046771">
      <w:pPr>
        <w:pStyle w:val="AMNumberTabs"/>
      </w:pPr>
      <w:r w:rsidRPr="00046771">
        <w:t>Ändringsförslag</w:t>
      </w:r>
      <w:r w:rsidRPr="00046771">
        <w:tab/>
      </w:r>
      <w:r w:rsidRPr="00046771">
        <w:tab/>
        <w:t>1</w:t>
      </w:r>
    </w:p>
    <w:p w:rsidR="00230DF9" w:rsidRPr="00046771" w:rsidRDefault="00230DF9" w:rsidP="00230DF9">
      <w:pPr>
        <w:pStyle w:val="NormalBold12b"/>
      </w:pPr>
      <w:r w:rsidRPr="00046771">
        <w:t>Förslag till förordning</w:t>
      </w:r>
    </w:p>
    <w:p w:rsidR="00230DF9" w:rsidRPr="00046771" w:rsidRDefault="00230DF9" w:rsidP="00230DF9">
      <w:pPr>
        <w:pStyle w:val="NormalBold"/>
      </w:pPr>
      <w:r w:rsidRPr="00046771">
        <w:t>Skäl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trHeight w:hRule="exact" w:val="240"/>
          <w:jc w:val="center"/>
        </w:trPr>
        <w:tc>
          <w:tcPr>
            <w:tcW w:w="9752" w:type="dxa"/>
            <w:gridSpan w:val="2"/>
          </w:tcPr>
          <w:p w:rsidR="00230DF9" w:rsidRPr="00046771" w:rsidRDefault="00230DF9" w:rsidP="00A53B22"/>
        </w:tc>
      </w:tr>
      <w:tr w:rsidR="00230DF9" w:rsidRPr="00046771" w:rsidTr="00A53B22">
        <w:trPr>
          <w:trHeight w:val="240"/>
          <w:jc w:val="center"/>
        </w:trPr>
        <w:tc>
          <w:tcPr>
            <w:tcW w:w="4876" w:type="dxa"/>
          </w:tcPr>
          <w:p w:rsidR="00230DF9" w:rsidRPr="00046771" w:rsidRDefault="00230DF9" w:rsidP="00A53B22">
            <w:pPr>
              <w:pStyle w:val="ColumnHeading"/>
            </w:pPr>
            <w:r w:rsidRPr="00046771">
              <w:t>Kommissionens förslag</w:t>
            </w:r>
          </w:p>
        </w:tc>
        <w:tc>
          <w:tcPr>
            <w:tcW w:w="4876" w:type="dxa"/>
          </w:tcPr>
          <w:p w:rsidR="00230DF9" w:rsidRPr="00046771" w:rsidRDefault="00230DF9" w:rsidP="00A53B22">
            <w:pPr>
              <w:pStyle w:val="ColumnHeading"/>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w:t>
            </w:r>
            <w:r w:rsidRPr="00046771">
              <w:tab/>
              <w:t>Digitaliseringen av ekonomin ökar. Informations- och kommunikationstekniken (IKT) är inte längre en specifik sektor, utan grunden för alla moderna innovativa ekonomiska system och samhällen. Elektroniska uppgifter står i centrum för dessa system och kan skapa stort värde när de analyseras eller kombineras med tjänster och produkter.</w:t>
            </w:r>
          </w:p>
        </w:tc>
        <w:tc>
          <w:tcPr>
            <w:tcW w:w="4876" w:type="dxa"/>
          </w:tcPr>
          <w:p w:rsidR="00230DF9" w:rsidRPr="00046771" w:rsidRDefault="00230DF9" w:rsidP="00A53B22">
            <w:pPr>
              <w:pStyle w:val="Normal6"/>
            </w:pPr>
            <w:r w:rsidRPr="00046771">
              <w:t>(1)</w:t>
            </w:r>
            <w:r w:rsidRPr="00046771">
              <w:tab/>
              <w:t>Digitaliseringen av ekonomin ökar. Informations- och kommunikationstekniken (IKT) är inte längre en specifik sektor, utan grunden för alla moderna innovativa ekonomiska system och samhällen. Elektroniska uppgifter står i centrum för dessa system och kan skapa stort värde när de analyseras eller kombineras</w:t>
            </w:r>
            <w:r w:rsidRPr="00046771">
              <w:rPr>
                <w:b/>
                <w:i/>
              </w:rPr>
              <w:t>, under säkra förhållanden,</w:t>
            </w:r>
            <w:r w:rsidRPr="00046771">
              <w:t xml:space="preserve"> med tjänster och produkter.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(3)</w:t>
            </w:r>
            <w:r w:rsidRPr="00046771">
              <w:tab/>
              <w:t xml:space="preserve">Etableringsfriheten och friheten att tillhandahålla tjänster enligt fördraget om Europeiska unionens funktionssätt gäller </w:t>
            </w:r>
            <w:r w:rsidRPr="00046771">
              <w:lastRenderedPageBreak/>
              <w:t xml:space="preserve">för </w:t>
            </w:r>
            <w:r w:rsidRPr="00046771">
              <w:rPr>
                <w:b/>
                <w:i/>
              </w:rPr>
              <w:t>datalagringstjänster och andra</w:t>
            </w:r>
            <w:r w:rsidRPr="00046771">
              <w:t xml:space="preserve"> databehandlingstjänster. Tillhandahållandet av dessa tjänster försvåras eller hindras i vissa fall av vissa nationella krav på att lokalisera data på ett visst territorium.</w:t>
            </w:r>
          </w:p>
        </w:tc>
        <w:tc>
          <w:tcPr>
            <w:tcW w:w="4876" w:type="dxa"/>
          </w:tcPr>
          <w:p w:rsidR="00230DF9" w:rsidRPr="00046771" w:rsidRDefault="00230DF9" w:rsidP="00A53B22">
            <w:pPr>
              <w:pStyle w:val="Normal6"/>
              <w:rPr>
                <w:szCs w:val="24"/>
              </w:rPr>
            </w:pPr>
            <w:r w:rsidRPr="00046771">
              <w:lastRenderedPageBreak/>
              <w:t>(3)</w:t>
            </w:r>
            <w:r w:rsidRPr="00046771">
              <w:tab/>
              <w:t xml:space="preserve">Etableringsfriheten och friheten att tillhandahålla tjänster enligt fördraget om Europeiska unionens funktionssätt gäller </w:t>
            </w:r>
            <w:r w:rsidRPr="00046771">
              <w:lastRenderedPageBreak/>
              <w:t>för databehandlingstjänster</w:t>
            </w:r>
            <w:r w:rsidRPr="00046771">
              <w:rPr>
                <w:b/>
                <w:i/>
              </w:rPr>
              <w:t>, inbegripet dataportering</w:t>
            </w:r>
            <w:r w:rsidRPr="00046771">
              <w:t xml:space="preserve">. Tillhandahållandet av dessa tjänster försvåras </w:t>
            </w:r>
            <w:r w:rsidRPr="00046771">
              <w:rPr>
                <w:b/>
                <w:i/>
              </w:rPr>
              <w:t>emellertid</w:t>
            </w:r>
            <w:r w:rsidRPr="00046771">
              <w:rPr>
                <w:b/>
              </w:rPr>
              <w:t xml:space="preserve"> </w:t>
            </w:r>
            <w:r w:rsidRPr="00046771">
              <w:t>eller hindras i vissa fall av vissa nationella</w:t>
            </w:r>
            <w:r w:rsidRPr="00046771">
              <w:rPr>
                <w:b/>
                <w:i/>
              </w:rPr>
              <w:t>, regionala eller lokala</w:t>
            </w:r>
            <w:r w:rsidRPr="00046771">
              <w:t xml:space="preserve"> krav på att lokalisera data på ett visst territorium.</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(4)</w:t>
            </w:r>
            <w:r w:rsidRPr="00046771">
              <w:tab/>
              <w:t xml:space="preserve">Sådana hinder för den fria rörligheten för </w:t>
            </w:r>
            <w:r w:rsidRPr="00046771">
              <w:rPr>
                <w:b/>
                <w:i/>
              </w:rPr>
              <w:t>datalagringstjänster eller andra</w:t>
            </w:r>
            <w:r w:rsidRPr="00046771">
              <w:t xml:space="preserve"> databehandlingstjänster, och etableringsrätt för leverantörer av </w:t>
            </w:r>
            <w:r w:rsidRPr="00046771">
              <w:rPr>
                <w:b/>
                <w:i/>
              </w:rPr>
              <w:t>datalagringstjänster eller andra</w:t>
            </w:r>
            <w:r w:rsidRPr="00046771">
              <w:rPr>
                <w:b/>
              </w:rPr>
              <w:t xml:space="preserve"> </w:t>
            </w:r>
            <w:r w:rsidRPr="00046771">
              <w:t xml:space="preserve">databehandlingstjänster härrör från krav i medlemsstaternas lagstiftning att lokalisera data i ett visst geografiskt område eller territorium för </w:t>
            </w:r>
            <w:r w:rsidRPr="00046771">
              <w:rPr>
                <w:b/>
                <w:i/>
              </w:rPr>
              <w:t>lagring eller annan</w:t>
            </w:r>
            <w:r w:rsidRPr="00046771">
              <w:t xml:space="preserve"> behandling. Andra bestämmelser eller administrativ praxis har liknande verkan genom att de inför särskilda krav som gör det svårare att </w:t>
            </w:r>
            <w:r w:rsidRPr="00046771">
              <w:rPr>
                <w:b/>
                <w:i/>
              </w:rPr>
              <w:t>lagra eller på annat sätt</w:t>
            </w:r>
            <w:r w:rsidRPr="00046771">
              <w:t xml:space="preserve"> behandla data utanför ett visst geografiskt område eller territorium inom unionen, till exempel krav på användning av tekniska anläggningar som är certifierade eller godkända i en specifik medlemsstat. </w:t>
            </w:r>
            <w:r w:rsidRPr="00046771">
              <w:rPr>
                <w:b/>
                <w:i/>
              </w:rPr>
              <w:t>Rättslig osäkerhet</w:t>
            </w:r>
            <w:r w:rsidRPr="00046771">
              <w:t xml:space="preserve"> när det gäller lagliga och olagliga krav på datalokalisering begränsar marknadsaktörernas och den offentliga sektorns valmöjligheter ytterligare när det gäller lokalisering av </w:t>
            </w:r>
            <w:r w:rsidRPr="00046771">
              <w:rPr>
                <w:b/>
                <w:i/>
              </w:rPr>
              <w:t>datalagring eller annan</w:t>
            </w:r>
            <w:r w:rsidRPr="00046771">
              <w:t xml:space="preserve"> databehandling.</w:t>
            </w:r>
          </w:p>
        </w:tc>
        <w:tc>
          <w:tcPr>
            <w:tcW w:w="4876" w:type="dxa"/>
          </w:tcPr>
          <w:p w:rsidR="00230DF9" w:rsidRPr="00046771" w:rsidRDefault="00230DF9" w:rsidP="00A53B22">
            <w:pPr>
              <w:pStyle w:val="Normal6"/>
              <w:rPr>
                <w:szCs w:val="24"/>
              </w:rPr>
            </w:pPr>
            <w:r w:rsidRPr="00046771">
              <w:t>(4)</w:t>
            </w:r>
            <w:r w:rsidRPr="00046771">
              <w:tab/>
              <w:t xml:space="preserve">Sådana hinder för den fria rörligheten för databehandlingstjänster, och etableringsrätt för leverantörer av databehandlingstjänster härrör från krav i medlemsstaternas lagstiftning att lokalisera data i ett visst geografiskt område eller territorium för behandling. Andra bestämmelser eller administrativ praxis har liknande verkan genom att de inför särskilda krav som gör det svårare att behandla data utanför ett visst geografiskt område eller territorium inom unionen, till exempel krav på användning av tekniska anläggningar som är certifierade eller godkända i en specifik medlemsstat. </w:t>
            </w:r>
            <w:r w:rsidRPr="00046771">
              <w:rPr>
                <w:b/>
                <w:i/>
              </w:rPr>
              <w:t>Rättsosäkerhet</w:t>
            </w:r>
            <w:r w:rsidRPr="00046771">
              <w:rPr>
                <w:b/>
              </w:rPr>
              <w:t xml:space="preserve"> </w:t>
            </w:r>
            <w:r w:rsidRPr="00046771">
              <w:t xml:space="preserve">när det gäller lagliga och olagliga krav på datalokalisering begränsar marknadsaktörernas och den offentliga sektorns valmöjligheter ytterligare när det gäller lokalisering av databehandling. </w:t>
            </w:r>
            <w:r w:rsidRPr="00046771">
              <w:rPr>
                <w:b/>
                <w:i/>
              </w:rPr>
              <w:t>Denna förordning begränsar inte på något sätt företags frihet att ingå avtal som anger var data ska lokaliseras. Denna förordning är enbart avsedd att öka denna valfrihet genom att säkerställa att en avtalad plats kan finnas var som helst inom unionen.</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4</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Skäl 5a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hideMark/>
          </w:tcPr>
          <w:p w:rsidR="00230DF9" w:rsidRPr="00046771" w:rsidRDefault="00230DF9" w:rsidP="00A53B22">
            <w:pPr>
              <w:pStyle w:val="Normal6"/>
              <w:rPr>
                <w:szCs w:val="24"/>
              </w:rPr>
            </w:pPr>
            <w:r w:rsidRPr="00046771">
              <w:rPr>
                <w:b/>
                <w:i/>
              </w:rPr>
              <w:t>(5a)</w:t>
            </w:r>
            <w:r w:rsidRPr="00046771">
              <w:rPr>
                <w:b/>
                <w:i/>
              </w:rPr>
              <w:tab/>
              <w:t>Kombinationen av dessa hinder har lett till bristande konkurrens mellan leverantörer av molntjänster i Europa, olika problem med låsning till en leverantör och en allvarlig brist på datarörlighet. På samma sätt har policyn för datalokalisering undergrävt möjligheten för företag inom forskning och utveckling att underlätta samarbetet mellan företag, universitet och andra forskningsorganisationer i syfte att driva sin egen innovation.</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5</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7a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(7a)</w:t>
            </w:r>
            <w:r w:rsidRPr="00046771">
              <w:rPr>
                <w:b/>
                <w:i/>
              </w:rPr>
              <w:tab/>
              <w:t>Det fria flödet av uppgifter inom unionen kommer att spela en viktig roll när det gäller att uppnå datadriven tillväxt och innovation. Medlemsstaternas offentliga myndigheter och organ skulle, liksom företag och konsumenter, gynnas av ökad valfrihet när det gäller datadrivna tjänsteleverantörer, konkurrenskraftigare priser och ett effektivare tillhandahållande av tjänster till medborgarna. I och med de stora mängder data som offentliga myndigheter och organ hanterar är det av största betydelse att de föregår med gott exempel genom att utnyttja databehandlingstjänster, och avstår från att införa begränsningar för datalokalisering när de använder sig av databehandlingstjänster. Därför bör även offentliga myndigheter och organ omfattas av denna förordning, inbegripet på området för offentlig upphandling, utan att det påverkar tillämpningen av Europaparlamentets och rådets direktiv 2014/24/EU</w:t>
            </w:r>
            <w:r w:rsidRPr="00046771">
              <w:rPr>
                <w:b/>
                <w:i/>
                <w:vertAlign w:val="superscript"/>
              </w:rPr>
              <w:t>1a</w:t>
            </w:r>
            <w:r w:rsidRPr="00046771">
              <w:rPr>
                <w:b/>
                <w:i/>
              </w:rPr>
              <w:t xml:space="preserve">. Samtidigt medför denna förordning inte någon skyldighet för </w:t>
            </w:r>
            <w:r w:rsidRPr="00046771">
              <w:rPr>
                <w:b/>
                <w:i/>
              </w:rPr>
              <w:lastRenderedPageBreak/>
              <w:t>offentliga organ att utkontraktera databehandling.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b/>
                <w:i/>
              </w:rPr>
            </w:pPr>
            <w:r w:rsidRPr="00046771">
              <w:rPr>
                <w:b/>
                <w:i/>
              </w:rPr>
              <w:t>_____________</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b/>
                <w:i/>
              </w:rPr>
            </w:pPr>
            <w:r w:rsidRPr="00046771">
              <w:rPr>
                <w:b/>
                <w:i/>
                <w:vertAlign w:val="superscript"/>
              </w:rPr>
              <w:t>1a</w:t>
            </w:r>
            <w:r w:rsidRPr="00046771">
              <w:rPr>
                <w:b/>
                <w:i/>
              </w:rPr>
              <w:t xml:space="preserve"> Europaparlamentets och rådets direktiv 2014/24/EU av den 26 februari 2014 om offentlig upphandling och om upphävande av direktiv 2004/18/EG (Text av betydelse för EES) (EUT L 94, 28.3.2014, s. 65).</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6</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(9)</w:t>
            </w:r>
            <w:r w:rsidRPr="00046771">
              <w:tab/>
              <w:t>Den rättsliga ramen om skydd för fysiska personer med avseende på behandling av personuppgifter, särskilt förordning (EU) 2016/679</w:t>
            </w:r>
            <w:r w:rsidRPr="00046771">
              <w:rPr>
                <w:vertAlign w:val="superscript"/>
              </w:rPr>
              <w:t>30</w:t>
            </w:r>
            <w:r w:rsidRPr="00046771">
              <w:t>, direktiv (EU) 2016/680</w:t>
            </w:r>
            <w:r w:rsidRPr="00046771">
              <w:rPr>
                <w:vertAlign w:val="superscript"/>
              </w:rPr>
              <w:t>31</w:t>
            </w:r>
            <w:r w:rsidRPr="00046771">
              <w:t xml:space="preserve"> och direktiv 2002/58/EG</w:t>
            </w:r>
            <w:r w:rsidRPr="00046771">
              <w:rPr>
                <w:vertAlign w:val="superscript"/>
              </w:rPr>
              <w:t>32</w:t>
            </w:r>
            <w:r w:rsidRPr="00046771">
              <w:t xml:space="preserve">, </w:t>
            </w:r>
            <w:r w:rsidRPr="00046771">
              <w:rPr>
                <w:b/>
                <w:i/>
              </w:rPr>
              <w:t>bör inte</w:t>
            </w:r>
            <w:r w:rsidRPr="00046771">
              <w:t xml:space="preserve"> påverkas av denna förordning.</w:t>
            </w:r>
          </w:p>
        </w:tc>
        <w:tc>
          <w:tcPr>
            <w:tcW w:w="4876" w:type="dxa"/>
          </w:tcPr>
          <w:p w:rsidR="00230DF9" w:rsidRPr="00046771" w:rsidRDefault="00230DF9" w:rsidP="00A53B22">
            <w:pPr>
              <w:pStyle w:val="Normal6"/>
              <w:rPr>
                <w:szCs w:val="24"/>
              </w:rPr>
            </w:pPr>
            <w:r w:rsidRPr="00046771">
              <w:t>(9)</w:t>
            </w:r>
            <w:r w:rsidRPr="00046771">
              <w:tab/>
              <w:t xml:space="preserve">Den rättsliga ramen om skydd för fysiska personer med avseende på behandling av personuppgifter, </w:t>
            </w:r>
            <w:r w:rsidRPr="00046771">
              <w:rPr>
                <w:b/>
                <w:i/>
              </w:rPr>
              <w:t>samt respekt för privatlivet och skydd av personuppgifter i samband med elektronisk kommunikation,</w:t>
            </w:r>
            <w:r w:rsidRPr="00046771">
              <w:t xml:space="preserve"> särskilt förordning (EU) 2016/679</w:t>
            </w:r>
            <w:r w:rsidRPr="00046771">
              <w:rPr>
                <w:vertAlign w:val="superscript"/>
              </w:rPr>
              <w:t>30</w:t>
            </w:r>
            <w:r w:rsidRPr="00046771">
              <w:t>, direktiv (EU) 2016/680</w:t>
            </w:r>
            <w:r w:rsidRPr="00046771">
              <w:rPr>
                <w:vertAlign w:val="superscript"/>
              </w:rPr>
              <w:t>31</w:t>
            </w:r>
            <w:r w:rsidRPr="00046771">
              <w:t xml:space="preserve"> och direktiv 2002/58/EG</w:t>
            </w:r>
            <w:r w:rsidRPr="00046771">
              <w:rPr>
                <w:vertAlign w:val="superscript"/>
              </w:rPr>
              <w:t>32</w:t>
            </w:r>
            <w:r w:rsidRPr="00046771">
              <w:t xml:space="preserve">, påverkas </w:t>
            </w:r>
            <w:r w:rsidRPr="00046771">
              <w:rPr>
                <w:b/>
                <w:i/>
              </w:rPr>
              <w:t>inte</w:t>
            </w:r>
            <w:r w:rsidRPr="00046771">
              <w:rPr>
                <w:b/>
              </w:rPr>
              <w:t xml:space="preserve"> </w:t>
            </w:r>
            <w:r w:rsidRPr="00046771">
              <w:t>av denna förordning.</w:t>
            </w:r>
          </w:p>
        </w:tc>
      </w:tr>
      <w:tr w:rsidR="00230DF9" w:rsidRPr="00046771" w:rsidTr="00A53B22">
        <w:trPr>
          <w:jc w:val="center"/>
        </w:trPr>
        <w:tc>
          <w:tcPr>
            <w:tcW w:w="4876" w:type="dxa"/>
          </w:tcPr>
          <w:p w:rsidR="00230DF9" w:rsidRPr="00046771" w:rsidRDefault="00230DF9" w:rsidP="00A53B22">
            <w:pPr>
              <w:pStyle w:val="Normal6"/>
            </w:pPr>
            <w:r w:rsidRPr="00046771">
              <w:t>__________________</w:t>
            </w:r>
          </w:p>
        </w:tc>
        <w:tc>
          <w:tcPr>
            <w:tcW w:w="4876" w:type="dxa"/>
          </w:tcPr>
          <w:p w:rsidR="00230DF9" w:rsidRPr="00046771" w:rsidRDefault="00230DF9" w:rsidP="00A53B22">
            <w:pPr>
              <w:pStyle w:val="Normal6"/>
              <w:rPr>
                <w:szCs w:val="24"/>
              </w:rPr>
            </w:pPr>
            <w:r w:rsidRPr="00046771">
              <w:t>__________________</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30</w:t>
            </w:r>
            <w:r w:rsidRPr="00046771">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tc>
        <w:tc>
          <w:tcPr>
            <w:tcW w:w="4876" w:type="dxa"/>
          </w:tcPr>
          <w:p w:rsidR="00230DF9" w:rsidRPr="00046771" w:rsidRDefault="00230DF9" w:rsidP="00A53B22">
            <w:pPr>
              <w:pStyle w:val="Normal6"/>
              <w:rPr>
                <w:szCs w:val="24"/>
              </w:rPr>
            </w:pPr>
            <w:r w:rsidRPr="00046771">
              <w:rPr>
                <w:vertAlign w:val="superscript"/>
              </w:rPr>
              <w:t>30</w:t>
            </w:r>
            <w:r w:rsidRPr="00046771">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31</w:t>
            </w:r>
            <w:r w:rsidRPr="00046771">
              <w:t xml:space="preserve"> 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(EUT L 119, 4.5.2016, s. 89).</w:t>
            </w:r>
          </w:p>
        </w:tc>
        <w:tc>
          <w:tcPr>
            <w:tcW w:w="4876" w:type="dxa"/>
          </w:tcPr>
          <w:p w:rsidR="00230DF9" w:rsidRPr="00046771" w:rsidRDefault="00230DF9" w:rsidP="00A53B22">
            <w:pPr>
              <w:pStyle w:val="Normal6"/>
              <w:rPr>
                <w:szCs w:val="24"/>
              </w:rPr>
            </w:pPr>
            <w:r w:rsidRPr="00046771">
              <w:rPr>
                <w:vertAlign w:val="superscript"/>
              </w:rPr>
              <w:t>31</w:t>
            </w:r>
            <w:r w:rsidRPr="00046771">
              <w:t xml:space="preserve"> 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(EUT L 119, 4.5.2016, s. 89).</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32</w:t>
            </w:r>
            <w:r w:rsidRPr="00046771">
              <w:t xml:space="preserve"> Europaparlamentets och rådets </w:t>
            </w:r>
            <w:r w:rsidRPr="00046771">
              <w:lastRenderedPageBreak/>
              <w:t>direktiv 2002/58/EG av den 12 juli 2002 om behandling av personuppgifter och integritetsskydd inom sektorn för elektronisk kommunikation (EGT L 201, 31.7.2002, s. 37).</w:t>
            </w:r>
          </w:p>
        </w:tc>
        <w:tc>
          <w:tcPr>
            <w:tcW w:w="4876" w:type="dxa"/>
          </w:tcPr>
          <w:p w:rsidR="00230DF9" w:rsidRPr="00046771" w:rsidRDefault="00230DF9" w:rsidP="00A53B22">
            <w:pPr>
              <w:pStyle w:val="Normal6"/>
              <w:rPr>
                <w:szCs w:val="24"/>
              </w:rPr>
            </w:pPr>
            <w:r w:rsidRPr="00046771">
              <w:rPr>
                <w:vertAlign w:val="superscript"/>
              </w:rPr>
              <w:lastRenderedPageBreak/>
              <w:t>32</w:t>
            </w:r>
            <w:r w:rsidRPr="00046771">
              <w:t xml:space="preserve"> Europaparlamentets och rådets </w:t>
            </w:r>
            <w:r w:rsidRPr="00046771">
              <w:lastRenderedPageBreak/>
              <w:t>direktiv 2002/58/EG av den 12 juli 2002 om behandling av personuppgifter och integritetsskydd inom sektorn för elektronisk kommunikation (EGT L 201, 31.7.2002, s. 37).</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7</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(10)</w:t>
            </w:r>
            <w:r w:rsidRPr="00046771">
              <w:tab/>
              <w:t xml:space="preserve">Enligt förordning (EU) 2016/679 får medlemsstaterna varken begränsa eller förbjuda det fria flödet av personuppgifter inom unionen av skäl som har anknytning till skydd för fysiska personer med avseende på behandling av personuppgifter. I den förordningen fastställs samma princip om fri rörlighet inom unionen för andra uppgifter än personuppgifter, utom om en begränsning eller ett förbud skulle vara motiverat av </w:t>
            </w:r>
            <w:r w:rsidRPr="00046771">
              <w:rPr>
                <w:b/>
                <w:i/>
              </w:rPr>
              <w:t>säkerhetsskäl</w:t>
            </w:r>
            <w:r w:rsidRPr="00046771">
              <w:t>.</w:t>
            </w:r>
          </w:p>
        </w:tc>
        <w:tc>
          <w:tcPr>
            <w:tcW w:w="4876" w:type="dxa"/>
          </w:tcPr>
          <w:p w:rsidR="00230DF9" w:rsidRPr="00046771" w:rsidRDefault="00230DF9" w:rsidP="00A53B22">
            <w:pPr>
              <w:pStyle w:val="Normal6"/>
              <w:rPr>
                <w:szCs w:val="24"/>
              </w:rPr>
            </w:pPr>
            <w:r w:rsidRPr="00046771">
              <w:t>(10)</w:t>
            </w:r>
            <w:r w:rsidRPr="00046771">
              <w:tab/>
              <w:t xml:space="preserve">Enligt förordning (EU) 2016/679 får medlemsstaterna varken begränsa eller förbjuda det fria flödet av personuppgifter inom unionen av skäl som har anknytning till skydd för fysiska personer med avseende på behandling av personuppgifter. I den förordningen fastställs samma princip om fri rörlighet inom unionen för andra uppgifter än personuppgifter, utom om en begränsning eller ett förbud skulle vara motiverat av </w:t>
            </w:r>
            <w:r w:rsidRPr="00046771">
              <w:rPr>
                <w:b/>
                <w:i/>
              </w:rPr>
              <w:t>hänsyn till den allmänna säkerheten</w:t>
            </w:r>
            <w:r w:rsidRPr="00046771">
              <w:t xml:space="preserve">. </w:t>
            </w:r>
            <w:r w:rsidRPr="00046771">
              <w:rPr>
                <w:b/>
                <w:i/>
              </w:rPr>
              <w:t>Förordning (EU) 2016/679 och den här förordningen tillhandahåller ett sammanhängande regelverk som möjliggör fri rörlighet för olika typer av uppgifter. Om datamängder innehåller både personuppgifter och icke</w:t>
            </w:r>
            <w:r w:rsidRPr="00046771">
              <w:rPr>
                <w:b/>
                <w:i/>
              </w:rPr>
              <w:noBreakHyphen/>
              <w:t xml:space="preserve">personuppgifter bör förordning (EU) 2016/679 tillämpas på den del av datamängden som utgörs av personuppgifter, och den här förordningen bör tillämpas på den del av datamängden som utgörs av icke-personuppgifter. I fall där icke-personuppgifter och personuppgifter i en blandad datamängd oupplösligen hör ihop bör den här förordningen gälla utan att det påverkar tillämpningen av förordning (EU) 2016/679. Om tekniska framsteg, t.ex. artificiell intelligens, maskininlärning, sakernas internet och stordataanalys, möjliggör en omvandling av anonymiserade uppgifter till personuppgifter, behandlas dessa uppgifter som personuppgifter, som </w:t>
            </w:r>
            <w:r w:rsidRPr="00046771">
              <w:rPr>
                <w:b/>
                <w:i/>
              </w:rPr>
              <w:lastRenderedPageBreak/>
              <w:t>följaktligen omfattas av förordning (EU) 2016/679. Vidare föreskriver den här förordningen varken en skyldighet att lagra de olika typerna av uppgifter separat eller en skyldighet att separera blandade datamängder.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8</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(12)</w:t>
            </w:r>
            <w:r w:rsidRPr="00046771">
              <w:tab/>
              <w:t xml:space="preserve">Krav på datalokalisering utgör ett tydligt hinder för det fria tillhandahållandet av </w:t>
            </w:r>
            <w:r w:rsidRPr="00046771">
              <w:rPr>
                <w:b/>
                <w:i/>
              </w:rPr>
              <w:t>datalagringstjänster eller andra</w:t>
            </w:r>
            <w:r w:rsidRPr="00046771">
              <w:t xml:space="preserve"> databehandlingstjänster i unionen och för den inre marknaden. Sådana krav borde därför förbjudas såvida de inte är motiverade på grund av den allmänna säkerheten, enligt definitionen i unionslagstiftningen, särskilt artikel 52 i fördraget om Europeiska unionens funktionssätt, och är förenliga med proportionalitetsprincipen som fastställs i artikel 5 i fördraget om Europeiska unionen. I syfte att tillämpa principen om fritt flöde av icke-personuppgifter över gränserna, för att säkerställa ett snabbt undanröjande av existerande krav på datalokalisering och för att av operativa skäl möjliggöra </w:t>
            </w:r>
            <w:r w:rsidRPr="00046771">
              <w:rPr>
                <w:b/>
                <w:i/>
              </w:rPr>
              <w:t>datalagring eller annan</w:t>
            </w:r>
            <w:r w:rsidRPr="00046771">
              <w:t xml:space="preserve"> databehandling på flera platser i hela EU, och eftersom det i denna förordning föreskrivs åtgärder för att säkerställa tillgången till data för kontrolländamål, bör medlemsstaterna inte kunna åberopa andra grunder än hänsyn till allmän säkerhet.</w:t>
            </w:r>
          </w:p>
        </w:tc>
        <w:tc>
          <w:tcPr>
            <w:tcW w:w="4876" w:type="dxa"/>
          </w:tcPr>
          <w:p w:rsidR="00230DF9" w:rsidRPr="00046771" w:rsidRDefault="00230DF9" w:rsidP="00A53B22">
            <w:pPr>
              <w:pStyle w:val="Normal6"/>
              <w:rPr>
                <w:szCs w:val="24"/>
              </w:rPr>
            </w:pPr>
            <w:r w:rsidRPr="00046771">
              <w:t>(12)</w:t>
            </w:r>
            <w:r w:rsidRPr="00046771">
              <w:tab/>
              <w:t xml:space="preserve">Krav på datalokalisering utgör ett tydligt hinder för det fria tillhandahållandet av databehandlingstjänster i unionen och för den inre marknaden. Sådana krav borde därför förbjudas såvida de inte är motiverade på grund av </w:t>
            </w:r>
            <w:r w:rsidRPr="00046771">
              <w:rPr>
                <w:b/>
                <w:i/>
              </w:rPr>
              <w:t>tvingande hänsyn till</w:t>
            </w:r>
            <w:r w:rsidRPr="00046771">
              <w:t xml:space="preserve"> den allmänna säkerheten, enligt definitionen i unionslagstiftningen, särskilt artikel 52 i fördraget om Europeiska unionens funktionssätt, och är förenliga med proportionalitetsprincipen</w:t>
            </w:r>
            <w:r w:rsidRPr="00046771">
              <w:rPr>
                <w:b/>
                <w:i/>
              </w:rPr>
              <w:t>,</w:t>
            </w:r>
            <w:r w:rsidRPr="00046771">
              <w:t xml:space="preserve"> som fastställs i artikel 5 i fördraget om Europeiska unionen. I syfte att tillämpa principen om fritt flöde av icke-personuppgifter över gränserna, för att säkerställa ett snabbt undanröjande av existerande krav på datalokalisering och för att av operativa skäl möjliggöra databehandling på flera platser i hela EU, och eftersom det i denna förordning föreskrivs åtgärder för att säkerställa tillgången till data för kontrolländamål, bör medlemsstaterna inte kunna åberopa andra grunder än hänsyn till allmän säkerhet.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9</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12a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(12a)</w:t>
            </w:r>
            <w:r w:rsidRPr="00046771">
              <w:rPr>
                <w:b/>
                <w:i/>
              </w:rPr>
              <w:tab/>
              <w:t xml:space="preserve">Begreppet ”allmän säkerhet”, i den </w:t>
            </w:r>
            <w:r w:rsidRPr="00046771">
              <w:rPr>
                <w:b/>
                <w:i/>
              </w:rPr>
              <w:lastRenderedPageBreak/>
              <w:t>mening som avses i artikel 52 i EUF</w:t>
            </w:r>
            <w:r w:rsidRPr="00046771">
              <w:rPr>
                <w:b/>
                <w:i/>
              </w:rPr>
              <w:noBreakHyphen/>
              <w:t>fördraget och i enlighet med domstolens tolkning, omfattar både inre och yttre säkerhet i en medlemsstat. Det förutsätter att det föreligger ett verkligt och tillräckligt allvarligt hot som påverkar ett av samhällets grundläggande intressen, såsom ett hot mot välfungerande institutioner och väsentliga offentliga tjänster och befolkningens överlevnad, liksom risken för en allvarlig störning i de yttre förbindelserna eller av den fredliga samexistensen mellan folken, eller en risk för militära intressen. Begreppet ”tvingande hänsyn till den allmänna säkerheten” förutsätter ett hot mot den allmänna säkerheten med en särskilt hög grad av allvar. I överensstämmelse med proportionalitetsprincipen bör datalokaliseringskrav som är motiverade i undantagsfall av tvingande hänsyn till den allmänna säkerheten vara lämpliga för att uppnå det mål som eftersträvas och bör inte gå utöver vad som är nödvändigt för att uppnå detta mål.</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10</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(13)</w:t>
            </w:r>
            <w:r w:rsidRPr="00046771">
              <w:tab/>
              <w:t xml:space="preserve">För att säkerställa en effektiv tillämpning av principen om fritt flöde av personuppgifter över gränserna och förhindra att det uppstår nya hinder för en väl fungerande inre marknad, bör medlemsstaterna till kommissionen </w:t>
            </w:r>
            <w:r w:rsidRPr="00046771">
              <w:rPr>
                <w:b/>
                <w:i/>
              </w:rPr>
              <w:t>anmäla</w:t>
            </w:r>
            <w:r w:rsidRPr="00046771">
              <w:t xml:space="preserve"> förslag till rättsakter som innehåller ett nytt krav på datalokalisering eller ändrar ett befintligt krav på datalokalisering. Dessa </w:t>
            </w:r>
            <w:r w:rsidRPr="00046771">
              <w:rPr>
                <w:b/>
                <w:i/>
              </w:rPr>
              <w:t>anmälningar</w:t>
            </w:r>
            <w:r w:rsidRPr="00046771">
              <w:t xml:space="preserve"> bör lämnas in och bedömas i enlighet med </w:t>
            </w:r>
            <w:r w:rsidRPr="00046771">
              <w:rPr>
                <w:b/>
                <w:i/>
              </w:rPr>
              <w:t>det förfarande som anges i</w:t>
            </w:r>
            <w:r w:rsidRPr="00046771">
              <w:t xml:space="preserve"> direktiv (EU) 2015/1535</w:t>
            </w:r>
            <w:r w:rsidRPr="00046771">
              <w:rPr>
                <w:vertAlign w:val="superscript"/>
              </w:rPr>
              <w:t>33</w:t>
            </w:r>
            <w:r w:rsidRPr="00046771">
              <w:t>.</w:t>
            </w:r>
          </w:p>
        </w:tc>
        <w:tc>
          <w:tcPr>
            <w:tcW w:w="4876" w:type="dxa"/>
          </w:tcPr>
          <w:p w:rsidR="00230DF9" w:rsidRPr="00046771" w:rsidRDefault="00230DF9" w:rsidP="00A53B22">
            <w:pPr>
              <w:pStyle w:val="Normal6"/>
              <w:rPr>
                <w:szCs w:val="24"/>
              </w:rPr>
            </w:pPr>
            <w:r w:rsidRPr="00046771">
              <w:t>(13)</w:t>
            </w:r>
            <w:r w:rsidRPr="00046771">
              <w:tab/>
              <w:t xml:space="preserve">För att säkerställa en effektiv tillämpning av principen om fritt flöde av personuppgifter över gränserna och förhindra att det uppstår nya hinder för en väl fungerande inre marknad, bör medlemsstaterna </w:t>
            </w:r>
            <w:r w:rsidRPr="00046771">
              <w:rPr>
                <w:b/>
                <w:i/>
              </w:rPr>
              <w:t>omedelbart</w:t>
            </w:r>
            <w:r w:rsidRPr="00046771">
              <w:t xml:space="preserve"> till kommissionen </w:t>
            </w:r>
            <w:r w:rsidRPr="00046771">
              <w:rPr>
                <w:b/>
                <w:i/>
              </w:rPr>
              <w:t>meddela</w:t>
            </w:r>
            <w:r w:rsidRPr="00046771">
              <w:t xml:space="preserve"> förslag till rättsakter som innehåller ett nytt krav på datalokalisering eller ändrar ett befintligt krav på datalokalisering. Dessa </w:t>
            </w:r>
            <w:r w:rsidRPr="00046771">
              <w:rPr>
                <w:b/>
                <w:i/>
              </w:rPr>
              <w:t>förslag till rättsakter</w:t>
            </w:r>
            <w:r w:rsidRPr="00046771">
              <w:t xml:space="preserve"> bör lämnas in och bedömas i enlighet med direktiv (EU) 2015/1535</w:t>
            </w:r>
            <w:r w:rsidRPr="00046771">
              <w:rPr>
                <w:vertAlign w:val="superscript"/>
              </w:rPr>
              <w:t>33</w:t>
            </w:r>
            <w:r w:rsidRPr="00046771">
              <w:t>.</w:t>
            </w:r>
          </w:p>
        </w:tc>
      </w:tr>
      <w:tr w:rsidR="00230DF9" w:rsidRPr="00046771" w:rsidTr="00A53B22">
        <w:trPr>
          <w:jc w:val="center"/>
        </w:trPr>
        <w:tc>
          <w:tcPr>
            <w:tcW w:w="4876" w:type="dxa"/>
          </w:tcPr>
          <w:p w:rsidR="00230DF9" w:rsidRPr="00046771" w:rsidRDefault="00230DF9" w:rsidP="00A53B22">
            <w:pPr>
              <w:pStyle w:val="Normal6"/>
            </w:pPr>
            <w:r w:rsidRPr="00046771">
              <w:t>__________________</w:t>
            </w:r>
          </w:p>
        </w:tc>
        <w:tc>
          <w:tcPr>
            <w:tcW w:w="4876" w:type="dxa"/>
          </w:tcPr>
          <w:p w:rsidR="00230DF9" w:rsidRPr="00046771" w:rsidRDefault="00230DF9" w:rsidP="00A53B22">
            <w:pPr>
              <w:pStyle w:val="Normal6"/>
              <w:rPr>
                <w:szCs w:val="24"/>
              </w:rPr>
            </w:pPr>
            <w:r w:rsidRPr="00046771">
              <w:t>__________________</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33</w:t>
            </w:r>
            <w:r w:rsidRPr="00046771">
              <w:t xml:space="preserve"> Europaparlamentets och rådets direktiv (EU) 2015/1535 av den 9 september 2015 om ett informationsförfarande beträffande tekniska föreskrifter och beträffande föreskrifter för informationssamhällets tjänster (EUT L 241, 17.9.2015, s. 1).</w:t>
            </w:r>
          </w:p>
        </w:tc>
        <w:tc>
          <w:tcPr>
            <w:tcW w:w="4876" w:type="dxa"/>
          </w:tcPr>
          <w:p w:rsidR="00230DF9" w:rsidRPr="00046771" w:rsidRDefault="00230DF9" w:rsidP="00A53B22">
            <w:pPr>
              <w:pStyle w:val="Normal6"/>
              <w:rPr>
                <w:szCs w:val="24"/>
              </w:rPr>
            </w:pPr>
            <w:r w:rsidRPr="00046771">
              <w:rPr>
                <w:vertAlign w:val="superscript"/>
              </w:rPr>
              <w:t>33</w:t>
            </w:r>
            <w:r w:rsidRPr="00046771">
              <w:t xml:space="preserve"> Europaparlamentets och rådets direktiv (EU) 2015/1535 av den 9 september 2015 om ett informationsförfarande beträffande tekniska föreskrifter och beträffande föreskrifter för informationssamhällets tjänster (EUT L 241, 17.9.2015, s. 1).</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11</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(14)</w:t>
            </w:r>
            <w:r w:rsidRPr="00046771">
              <w:tab/>
              <w:t xml:space="preserve">För att undanröja eventuella befintliga hinder, under en övergångsperiod på 12 månader, bör medlemsstaterna dessutom genomföra en översyn av befintliga nationella krav på datalokalisering och till kommissionen </w:t>
            </w:r>
            <w:r w:rsidRPr="00046771">
              <w:rPr>
                <w:b/>
                <w:i/>
              </w:rPr>
              <w:t>anmäla</w:t>
            </w:r>
            <w:r w:rsidRPr="00046771">
              <w:t xml:space="preserve">, tillsammans med en motivering, eventuella krav på datalokalisering som de anser överensstämmer med denna förordning. Dessa </w:t>
            </w:r>
            <w:r w:rsidRPr="00046771">
              <w:rPr>
                <w:b/>
                <w:i/>
              </w:rPr>
              <w:t>anmälningar</w:t>
            </w:r>
            <w:r w:rsidRPr="00046771">
              <w:t xml:space="preserve"> bör göra det möjligt för kommissionen att bedöma efterlevnaden av eventuella kvarvarande krav på datalokalisering.</w:t>
            </w:r>
          </w:p>
        </w:tc>
        <w:tc>
          <w:tcPr>
            <w:tcW w:w="4876" w:type="dxa"/>
          </w:tcPr>
          <w:p w:rsidR="00230DF9" w:rsidRPr="00046771" w:rsidRDefault="00230DF9" w:rsidP="00A53B22">
            <w:pPr>
              <w:pStyle w:val="Normal6"/>
              <w:rPr>
                <w:szCs w:val="24"/>
              </w:rPr>
            </w:pPr>
            <w:r w:rsidRPr="00046771">
              <w:t>(14)</w:t>
            </w:r>
            <w:r w:rsidRPr="00046771">
              <w:tab/>
              <w:t xml:space="preserve">För att undanröja eventuella befintliga hinder, under en övergångsperiod på 12 månader, bör medlemsstaterna dessutom genomföra en översyn av befintliga nationella krav på datalokalisering och till kommissionen </w:t>
            </w:r>
            <w:r w:rsidRPr="00046771">
              <w:rPr>
                <w:b/>
                <w:i/>
              </w:rPr>
              <w:t>meddela</w:t>
            </w:r>
            <w:r w:rsidRPr="00046771">
              <w:t xml:space="preserve">, tillsammans med en motivering, eventuella krav på datalokalisering som de anser överensstämmer med denna förordning. Dessa </w:t>
            </w:r>
            <w:r w:rsidRPr="00046771">
              <w:rPr>
                <w:b/>
                <w:i/>
              </w:rPr>
              <w:t>meddelanden</w:t>
            </w:r>
            <w:r w:rsidRPr="00046771">
              <w:t xml:space="preserve"> bör göra det möjligt för kommissionen att bedöma efterlevnaden av eventuella kvarvarande krav på datalokalisering </w:t>
            </w:r>
            <w:r w:rsidRPr="00046771">
              <w:rPr>
                <w:b/>
                <w:i/>
              </w:rPr>
              <w:t>och att vid behov anta beslut genom vilka den uppmanar medlemsstaterna att ändra eller upphäva sådana krav på datalokalisering</w:t>
            </w:r>
            <w:r w:rsidRPr="00046771">
              <w: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12</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(15)</w:t>
            </w:r>
            <w:r w:rsidRPr="00046771">
              <w:tab/>
              <w:t xml:space="preserve">För att säkerställa transparensen när det gäller krav på datalokalisering i medlemsstaterna för fysiska och juridiska personer, såsom tjänsteleverantörer och användare av datalagringstjänster eller andra databehandlingstjänster, bör medlemsstaterna offentliggöra </w:t>
            </w:r>
            <w:r w:rsidRPr="00046771">
              <w:rPr>
                <w:b/>
                <w:i/>
              </w:rPr>
              <w:t>information</w:t>
            </w:r>
            <w:r w:rsidRPr="00046771">
              <w:t xml:space="preserve"> på nätet via en gemensam informationspunkt </w:t>
            </w:r>
            <w:r w:rsidRPr="00046771">
              <w:rPr>
                <w:b/>
                <w:i/>
              </w:rPr>
              <w:t>och</w:t>
            </w:r>
            <w:r w:rsidRPr="00046771">
              <w:t xml:space="preserve"> regelbundet uppdatera </w:t>
            </w:r>
            <w:r w:rsidRPr="00046771">
              <w:rPr>
                <w:b/>
                <w:i/>
              </w:rPr>
              <w:t>informationen om sådana åtgärder</w:t>
            </w:r>
            <w:r w:rsidRPr="00046771">
              <w:t>. För att på lämpligt sätt informera juridiska och fysiska personer om krav på datalokalisering i hela unionen, bör medlemsstaterna meddela kommissionen adresserna till sådana kontaktpunkter. Kommissionen bör offentliggöra dessa uppgifter på sin webbplats.</w:t>
            </w:r>
          </w:p>
        </w:tc>
        <w:tc>
          <w:tcPr>
            <w:tcW w:w="4876" w:type="dxa"/>
          </w:tcPr>
          <w:p w:rsidR="00230DF9" w:rsidRPr="00046771" w:rsidRDefault="00230DF9" w:rsidP="00A53B22">
            <w:pPr>
              <w:pStyle w:val="Normal6"/>
              <w:rPr>
                <w:szCs w:val="24"/>
              </w:rPr>
            </w:pPr>
            <w:r w:rsidRPr="00046771">
              <w:t>(15)</w:t>
            </w:r>
            <w:r w:rsidRPr="00046771">
              <w:tab/>
              <w:t xml:space="preserve">För att säkerställa transparensen när det gäller krav på datalokalisering i medlemsstaterna för fysiska och juridiska personer, såsom tjänsteleverantörer och användare av datalagringstjänster eller andra databehandlingstjänster, bör medlemsstaterna offentliggöra </w:t>
            </w:r>
            <w:r w:rsidRPr="00046771">
              <w:rPr>
                <w:b/>
                <w:i/>
              </w:rPr>
              <w:t>närmare uppgifter om sådana krav</w:t>
            </w:r>
            <w:r w:rsidRPr="00046771">
              <w:t xml:space="preserve"> på nätet via en gemensam informationspunkt </w:t>
            </w:r>
            <w:r w:rsidRPr="00046771">
              <w:rPr>
                <w:b/>
                <w:i/>
              </w:rPr>
              <w:t>eller tillhandahålla sådana närmare uppgifter till en informationspunkt på unionsnivå som inrättats enligt en annan unionsakt, exempelvis Europaparlamentets och kommissionens förordning (EU) nr ... [om den gemensamma digitala ingången].</w:t>
            </w:r>
            <w:r w:rsidRPr="00046771">
              <w:t xml:space="preserve"> </w:t>
            </w:r>
            <w:r w:rsidRPr="00046771">
              <w:rPr>
                <w:b/>
                <w:i/>
              </w:rPr>
              <w:t>Medlemsstaterna</w:t>
            </w:r>
            <w:r w:rsidRPr="00046771">
              <w:t xml:space="preserve"> </w:t>
            </w:r>
            <w:r w:rsidRPr="00046771">
              <w:rPr>
                <w:b/>
                <w:i/>
              </w:rPr>
              <w:t>bör</w:t>
            </w:r>
            <w:r w:rsidRPr="00046771">
              <w:t xml:space="preserve"> regelbundet uppdatera </w:t>
            </w:r>
            <w:r w:rsidRPr="00046771">
              <w:rPr>
                <w:b/>
                <w:i/>
              </w:rPr>
              <w:t>denna information</w:t>
            </w:r>
            <w:r w:rsidRPr="00046771">
              <w:t>. För att på lämpligt sätt informera juridiska och fysiska personer om krav på datalokalisering i hela unionen, bör medlemsstaterna meddela kommissionen adresserna till sådana kontaktpunkter. Kommissionen bör offentliggöra dessa uppgifter på sin webbplats</w:t>
            </w:r>
            <w:r w:rsidRPr="00046771">
              <w:rPr>
                <w:b/>
                <w:i/>
              </w:rPr>
              <w:t>, tillsammans med en konsoliderad förteckning över krav på datalokalisering som är i kraft i medlemsstaterna</w:t>
            </w:r>
            <w:r w:rsidRPr="00046771">
              <w:t xml:space="preserve">. </w:t>
            </w:r>
            <w:r w:rsidRPr="00046771">
              <w:rPr>
                <w:b/>
                <w:i/>
              </w:rPr>
              <w:t>Uppgifterna om dessa krav bör kommissionen dessutom offentliggöra på sina officiella arbetsspråk.</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13</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(16)</w:t>
            </w:r>
            <w:r w:rsidRPr="00046771">
              <w:tab/>
              <w:t xml:space="preserve">Krav på datalokalisering motiveras ofta av ett bristande förtroende för gränsöverskridande </w:t>
            </w:r>
            <w:r w:rsidRPr="00046771">
              <w:rPr>
                <w:b/>
                <w:i/>
              </w:rPr>
              <w:t>datalagring eller annan</w:t>
            </w:r>
            <w:r w:rsidRPr="00046771">
              <w:t xml:space="preserve"> databehandling, som beror på att behöriga myndigheter i medlemsstater antar att data inte är tillgängliga, t.ex. för kontroll och revisioner i samband med tillsyn eller övervakning. </w:t>
            </w:r>
            <w:r w:rsidRPr="00046771">
              <w:rPr>
                <w:b/>
                <w:i/>
              </w:rPr>
              <w:t>Denna förordning bör</w:t>
            </w:r>
            <w:r w:rsidRPr="00046771">
              <w:t xml:space="preserve"> därför klart och tydligt fastställa att den inte påverkar de behöriga myndigheternas befogenhet att begära och få tillgång till data i enlighet med unionslagstiftningen eller nationell lagstiftning, och att behöriga myndigheter inte får vägras tillgång till data på grundval av att datalaring eller databehandling sker i en annan medlemsstat.</w:t>
            </w:r>
          </w:p>
        </w:tc>
        <w:tc>
          <w:tcPr>
            <w:tcW w:w="4876" w:type="dxa"/>
          </w:tcPr>
          <w:p w:rsidR="00230DF9" w:rsidRPr="00046771" w:rsidRDefault="00230DF9" w:rsidP="00A53B22">
            <w:pPr>
              <w:pStyle w:val="Normal6"/>
              <w:rPr>
                <w:szCs w:val="24"/>
              </w:rPr>
            </w:pPr>
            <w:r w:rsidRPr="00046771">
              <w:t>(16)</w:t>
            </w:r>
            <w:r w:rsidRPr="00046771">
              <w:tab/>
              <w:t xml:space="preserve">Krav på datalokalisering motiveras ofta av ett bristande förtroende för gränsöverskridande databehandling, som beror på att behöriga myndigheter i medlemsstater antar att data inte är tillgängliga, t.ex. för kontroll och revisioner i samband med tillsyn eller övervakning. Därför </w:t>
            </w:r>
            <w:r w:rsidRPr="00046771">
              <w:rPr>
                <w:b/>
                <w:i/>
              </w:rPr>
              <w:t>bör man förstärka värdskapssäkerheten i alla medlemsstater samt i denna förordning</w:t>
            </w:r>
            <w:r w:rsidRPr="00046771">
              <w:t xml:space="preserve"> klart och tydligt fastställa att den inte påverkar de behöriga myndigheternas befogenhet att begära och få tillgång till data i enlighet med unionslagstiftningen eller nationell lagstiftning, och att behöriga myndigheter inte får vägras tillgång till data på grundval av att datalagring eller databehandling sker i en annan medlemsstat.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14</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18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(18)</w:t>
            </w:r>
            <w:r w:rsidRPr="00046771">
              <w:tab/>
              <w:t xml:space="preserve">Om en fysisk eller juridisk person som omfattas av skyldigheter att lämna uppgifter inte uppfyller dem </w:t>
            </w:r>
            <w:r w:rsidRPr="00046771">
              <w:rPr>
                <w:b/>
                <w:i/>
              </w:rPr>
              <w:t>och under förutsättning att en behörig myndighet har uttömt alla möjligheter att få tillgång till data</w:t>
            </w:r>
            <w:r w:rsidRPr="00046771">
              <w:t>, bör den behöriga myndigheten ha möjlighet att begära hjälp från behöriga myndigheter i andra medlemsstater. I sådana fall bör behöriga myndigheter använda särskilda samarbetsinstrument i unionslagstiftningen eller internationella avtal, exempelvis, när det rör sig om polissamarbete, om straffrättsliga eller civilrättsliga fall eller om administrativa ärenden, rambeslut 2006/960</w:t>
            </w:r>
            <w:r w:rsidRPr="00046771">
              <w:rPr>
                <w:vertAlign w:val="superscript"/>
              </w:rPr>
              <w:t>34</w:t>
            </w:r>
            <w:r w:rsidRPr="00046771">
              <w:t>, Europaparlamentets och rådets direktiv 2014/41/EU</w:t>
            </w:r>
            <w:r w:rsidRPr="00046771">
              <w:rPr>
                <w:vertAlign w:val="superscript"/>
              </w:rPr>
              <w:t>35</w:t>
            </w:r>
            <w:r w:rsidRPr="00046771">
              <w:t>, Europarådets konvention om it-brottslighet</w:t>
            </w:r>
            <w:r w:rsidRPr="00046771">
              <w:rPr>
                <w:vertAlign w:val="superscript"/>
              </w:rPr>
              <w:t>36</w:t>
            </w:r>
            <w:r w:rsidRPr="00046771">
              <w:t>, rådets förordning (EG) nr 1206/2001</w:t>
            </w:r>
            <w:r w:rsidRPr="00046771">
              <w:rPr>
                <w:vertAlign w:val="superscript"/>
              </w:rPr>
              <w:t>37</w:t>
            </w:r>
            <w:r w:rsidRPr="00046771">
              <w:t>, rådets direktiv 2006/112/EG</w:t>
            </w:r>
            <w:r w:rsidRPr="00046771">
              <w:rPr>
                <w:vertAlign w:val="superscript"/>
              </w:rPr>
              <w:t>38</w:t>
            </w:r>
            <w:r w:rsidRPr="00046771">
              <w:t xml:space="preserve"> och rådets förordning (EU) nr 904/2010</w:t>
            </w:r>
            <w:r w:rsidRPr="00046771">
              <w:rPr>
                <w:vertAlign w:val="superscript"/>
              </w:rPr>
              <w:t>39</w:t>
            </w:r>
            <w:r w:rsidRPr="00046771">
              <w:t>. Om det inte finns några sådana specifika samarbetsmekanismer bör de behöriga myndigheterna samarbeta med varandra för att ge tillgång till efterfrågade data, genom utsedda kontaktpunkter</w:t>
            </w:r>
            <w:r w:rsidRPr="00046771">
              <w:rPr>
                <w:b/>
                <w:i/>
              </w:rPr>
              <w:t>, såvida detta inte strider mot allmän ordning i den anmodade medlemsstaten</w:t>
            </w:r>
            <w:r w:rsidRPr="00046771">
              <w:t>.</w:t>
            </w:r>
          </w:p>
        </w:tc>
        <w:tc>
          <w:tcPr>
            <w:tcW w:w="4876" w:type="dxa"/>
          </w:tcPr>
          <w:p w:rsidR="00230DF9" w:rsidRPr="00046771" w:rsidRDefault="00230DF9" w:rsidP="00A53B22">
            <w:pPr>
              <w:pStyle w:val="Normal6"/>
              <w:rPr>
                <w:szCs w:val="24"/>
              </w:rPr>
            </w:pPr>
            <w:r w:rsidRPr="00046771">
              <w:t>(18)</w:t>
            </w:r>
            <w:r w:rsidRPr="00046771">
              <w:tab/>
              <w:t>Om en fysisk eller juridisk person som omfattas av skyldigheter att lämna uppgifter inte uppfyller dem, bör den behöriga myndigheten ha möjlighet att begära hjälp från behöriga myndigheter i andra medlemsstater. I sådana fall bör behöriga myndigheter använda särskilda samarbetsinstrument i unionslagstiftningen eller internationella avtal, exempelvis, när det rör sig om polissamarbete, om straffrättsliga eller civilrättsliga fall eller om administrativa ärenden, rambeslut 2006/960</w:t>
            </w:r>
            <w:r w:rsidRPr="00046771">
              <w:rPr>
                <w:vertAlign w:val="superscript"/>
              </w:rPr>
              <w:t>34</w:t>
            </w:r>
            <w:r w:rsidRPr="00046771">
              <w:t>, Europaparlamentets och rådets direktiv 2014/41/EU</w:t>
            </w:r>
            <w:r w:rsidRPr="00046771">
              <w:rPr>
                <w:vertAlign w:val="superscript"/>
              </w:rPr>
              <w:t>35</w:t>
            </w:r>
            <w:r w:rsidRPr="00046771">
              <w:t>, Europarådets konvention om it-brottslighet</w:t>
            </w:r>
            <w:r w:rsidRPr="00046771">
              <w:rPr>
                <w:vertAlign w:val="superscript"/>
              </w:rPr>
              <w:t>36</w:t>
            </w:r>
            <w:r w:rsidRPr="00046771">
              <w:t>, rådets förordning (EG) nr 1206/2001</w:t>
            </w:r>
            <w:r w:rsidRPr="00046771">
              <w:rPr>
                <w:vertAlign w:val="superscript"/>
              </w:rPr>
              <w:t>37</w:t>
            </w:r>
            <w:r w:rsidRPr="00046771">
              <w:t>, rådets direktiv 2006/112/EG</w:t>
            </w:r>
            <w:r w:rsidRPr="00046771">
              <w:rPr>
                <w:vertAlign w:val="superscript"/>
              </w:rPr>
              <w:t>38</w:t>
            </w:r>
            <w:r w:rsidRPr="00046771">
              <w:t xml:space="preserve"> och rådets förordning (EU) nr 904/2010</w:t>
            </w:r>
            <w:r w:rsidRPr="00046771">
              <w:rPr>
                <w:vertAlign w:val="superscript"/>
              </w:rPr>
              <w:t>39</w:t>
            </w:r>
            <w:r w:rsidRPr="00046771">
              <w:t>. Om det inte finns några sådana specifika samarbetsmekanismer bör de behöriga myndigheterna samarbeta med varandra för att ge tillgång till efterfrågade data, genom utsedda kontaktpunkter.</w:t>
            </w:r>
          </w:p>
        </w:tc>
      </w:tr>
      <w:tr w:rsidR="00230DF9" w:rsidRPr="00046771" w:rsidTr="00A53B22">
        <w:trPr>
          <w:jc w:val="center"/>
        </w:trPr>
        <w:tc>
          <w:tcPr>
            <w:tcW w:w="4876" w:type="dxa"/>
          </w:tcPr>
          <w:p w:rsidR="00230DF9" w:rsidRPr="00046771" w:rsidRDefault="00230DF9" w:rsidP="00A53B22">
            <w:pPr>
              <w:pStyle w:val="Normal6"/>
            </w:pPr>
            <w:r w:rsidRPr="00046771">
              <w:t>__________________</w:t>
            </w:r>
          </w:p>
        </w:tc>
        <w:tc>
          <w:tcPr>
            <w:tcW w:w="4876" w:type="dxa"/>
          </w:tcPr>
          <w:p w:rsidR="00230DF9" w:rsidRPr="00046771" w:rsidRDefault="00230DF9" w:rsidP="00A53B22">
            <w:pPr>
              <w:pStyle w:val="Normal6"/>
              <w:rPr>
                <w:szCs w:val="24"/>
              </w:rPr>
            </w:pPr>
            <w:r w:rsidRPr="00046771">
              <w:t>__________________</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34</w:t>
            </w:r>
            <w:r w:rsidRPr="00046771">
              <w:t xml:space="preserve"> Rådets rambeslut 2006/960/RIF av den 18 december 2006 om förenklat informations- och underrättelseutbyte mellan de brottsbekämpande myndigheterna i Europeiska unionens medlemsstater (EUT L 386, 29.12.2006, s. 89).</w:t>
            </w:r>
          </w:p>
        </w:tc>
        <w:tc>
          <w:tcPr>
            <w:tcW w:w="4876" w:type="dxa"/>
          </w:tcPr>
          <w:p w:rsidR="00230DF9" w:rsidRPr="00046771" w:rsidRDefault="00230DF9" w:rsidP="00A53B22">
            <w:pPr>
              <w:pStyle w:val="Normal6"/>
              <w:rPr>
                <w:szCs w:val="24"/>
              </w:rPr>
            </w:pPr>
            <w:r w:rsidRPr="00046771">
              <w:rPr>
                <w:vertAlign w:val="superscript"/>
              </w:rPr>
              <w:t>34</w:t>
            </w:r>
            <w:r w:rsidRPr="00046771">
              <w:t xml:space="preserve"> Rådets rambeslut 2006/960/RIF av den 18 december 2006 om förenklat informations- och underrättelseutbyte mellan de brottsbekämpande myndigheterna i Europeiska unionens medlemsstater (EUT L 386, 29.12.2006, s. 89).</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35</w:t>
            </w:r>
            <w:r w:rsidRPr="00046771">
              <w:t xml:space="preserve"> Europaparlamentets och rådets direktiv 2014/41/EU av den 3 april 2014 om en europeisk utredningsorder på det straffrättsliga området (EUT L 130, 1.5.2014, s. 1).</w:t>
            </w:r>
          </w:p>
        </w:tc>
        <w:tc>
          <w:tcPr>
            <w:tcW w:w="4876" w:type="dxa"/>
          </w:tcPr>
          <w:p w:rsidR="00230DF9" w:rsidRPr="00046771" w:rsidRDefault="00230DF9" w:rsidP="00A53B22">
            <w:pPr>
              <w:pStyle w:val="Normal6"/>
              <w:rPr>
                <w:szCs w:val="24"/>
              </w:rPr>
            </w:pPr>
            <w:r w:rsidRPr="00046771">
              <w:rPr>
                <w:vertAlign w:val="superscript"/>
              </w:rPr>
              <w:t>35</w:t>
            </w:r>
            <w:r w:rsidRPr="00046771">
              <w:t xml:space="preserve"> Europaparlamentets och rådets direktiv 2014/41/EU av den 3 april 2014 om en europeisk utredningsorder på det straffrättsliga området (EUT L 130, 1.5.2014, s. 1).</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36</w:t>
            </w:r>
            <w:r w:rsidRPr="00046771">
              <w:t xml:space="preserve"> Europarådets konvention om it</w:t>
            </w:r>
            <w:r w:rsidRPr="00046771">
              <w:noBreakHyphen/>
              <w:t>brottslighet , CETS nr 185.</w:t>
            </w:r>
          </w:p>
        </w:tc>
        <w:tc>
          <w:tcPr>
            <w:tcW w:w="4876" w:type="dxa"/>
          </w:tcPr>
          <w:p w:rsidR="00230DF9" w:rsidRPr="00046771" w:rsidRDefault="00230DF9" w:rsidP="00A53B22">
            <w:pPr>
              <w:pStyle w:val="Normal6"/>
              <w:rPr>
                <w:szCs w:val="24"/>
              </w:rPr>
            </w:pPr>
            <w:r w:rsidRPr="00046771">
              <w:rPr>
                <w:vertAlign w:val="superscript"/>
              </w:rPr>
              <w:t>36</w:t>
            </w:r>
            <w:r w:rsidRPr="00046771">
              <w:t xml:space="preserve"> Europarådets konvention om it</w:t>
            </w:r>
            <w:r w:rsidRPr="00046771">
              <w:noBreakHyphen/>
              <w:t>brottslighet , CETS nr 185.</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37</w:t>
            </w:r>
            <w:r w:rsidRPr="00046771">
              <w:t xml:space="preserve"> Rådets förordning (EG) nr 1206/2001 av den 28 maj 2001 om samarbete mellan medlemsstaternas domstolar i fråga om bevisupptagning i mål och ärenden av civil eller kommersiell natur (EGT L 174, 27.6.2001, s. 1).</w:t>
            </w:r>
          </w:p>
        </w:tc>
        <w:tc>
          <w:tcPr>
            <w:tcW w:w="4876" w:type="dxa"/>
          </w:tcPr>
          <w:p w:rsidR="00230DF9" w:rsidRPr="00046771" w:rsidRDefault="00230DF9" w:rsidP="00A53B22">
            <w:pPr>
              <w:pStyle w:val="Normal6"/>
              <w:rPr>
                <w:szCs w:val="24"/>
              </w:rPr>
            </w:pPr>
            <w:r w:rsidRPr="00046771">
              <w:rPr>
                <w:vertAlign w:val="superscript"/>
              </w:rPr>
              <w:t>37</w:t>
            </w:r>
            <w:r w:rsidRPr="00046771">
              <w:t xml:space="preserve"> Rådets förordning (EG) nr 1206/2001 av den 28 maj 2001 om samarbete mellan medlemsstaternas domstolar i fråga om bevisupptagning i mål och ärenden av civil eller kommersiell natur (EGT L 174, 27.6.2001, s. 1).</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38</w:t>
            </w:r>
            <w:r w:rsidRPr="00046771">
              <w:t xml:space="preserve"> Rådets direktiv 2006/112/EG av den 28 november 2006 om ett gemensamt system för mervärdesskatt (EUT L 347, 11.12.2006, s. 1).</w:t>
            </w:r>
          </w:p>
        </w:tc>
        <w:tc>
          <w:tcPr>
            <w:tcW w:w="4876" w:type="dxa"/>
          </w:tcPr>
          <w:p w:rsidR="00230DF9" w:rsidRPr="00046771" w:rsidRDefault="00230DF9" w:rsidP="00A53B22">
            <w:pPr>
              <w:pStyle w:val="Normal6"/>
              <w:rPr>
                <w:szCs w:val="24"/>
              </w:rPr>
            </w:pPr>
            <w:r w:rsidRPr="00046771">
              <w:rPr>
                <w:vertAlign w:val="superscript"/>
              </w:rPr>
              <w:t>38</w:t>
            </w:r>
            <w:r w:rsidRPr="00046771">
              <w:t xml:space="preserve"> Rådets direktiv 2006/112/EG av den 28 november 2006 om ett gemensamt system för mervärdesskatt (EUT L 347, 11.12.2006, s. 1).</w:t>
            </w:r>
          </w:p>
        </w:tc>
      </w:tr>
      <w:tr w:rsidR="00230DF9" w:rsidRPr="00046771" w:rsidTr="00A53B22">
        <w:trPr>
          <w:jc w:val="center"/>
        </w:trPr>
        <w:tc>
          <w:tcPr>
            <w:tcW w:w="4876" w:type="dxa"/>
          </w:tcPr>
          <w:p w:rsidR="00230DF9" w:rsidRPr="00046771" w:rsidRDefault="00230DF9" w:rsidP="00A53B22">
            <w:pPr>
              <w:pStyle w:val="Normal6"/>
            </w:pPr>
            <w:r w:rsidRPr="00046771">
              <w:rPr>
                <w:vertAlign w:val="superscript"/>
              </w:rPr>
              <w:t>39</w:t>
            </w:r>
            <w:r w:rsidRPr="00046771">
              <w:t xml:space="preserve"> Rådets förordning (EU) nr 904/2010 av den 7 oktober 2010 om administrativt samarbete och kampen mot mervärdesskattebedrägeri (EUT L 268, 12.10.2010, s. 1).</w:t>
            </w:r>
          </w:p>
        </w:tc>
        <w:tc>
          <w:tcPr>
            <w:tcW w:w="4876" w:type="dxa"/>
          </w:tcPr>
          <w:p w:rsidR="00230DF9" w:rsidRPr="00046771" w:rsidRDefault="00230DF9" w:rsidP="00A53B22">
            <w:pPr>
              <w:pStyle w:val="Normal6"/>
              <w:rPr>
                <w:szCs w:val="24"/>
              </w:rPr>
            </w:pPr>
            <w:r w:rsidRPr="00046771">
              <w:rPr>
                <w:vertAlign w:val="superscript"/>
              </w:rPr>
              <w:t>39</w:t>
            </w:r>
            <w:r w:rsidRPr="00046771">
              <w:t xml:space="preserve"> Rådets förordning (EU) nr 904/2010 av den 7 oktober 2010 om administrativt samarbete och kampen mot mervärdesskattebedrägeri (EUT L 268, 12.10.2010, s. 1).</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15</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(21)</w:t>
            </w:r>
            <w:r w:rsidRPr="00046771">
              <w:tab/>
              <w:t xml:space="preserve">För att utnyttja den konkurrensutsatta miljön fullt ut bör professionella användare kunna göra välinformerade val och på enkelt sätt jämföra enskilda delar av olika </w:t>
            </w:r>
            <w:r w:rsidRPr="00046771">
              <w:rPr>
                <w:b/>
                <w:i/>
              </w:rPr>
              <w:t>datalagringstjänster eller andra</w:t>
            </w:r>
            <w:r w:rsidRPr="00046771">
              <w:t xml:space="preserve"> databehandlingstjänster på den inre marknaden, bland annat när det gäller avtalsvillkoren för dataportering i samband med uppsägning av avtal. I syfte att anpassa sig till marknadens innovationspotential och beakta den erfarenhet och sakkunskap som finns hos leverantörer och professionella användare av datalagringstjänster eller andra databehandlingstjänster, bör den detaljerade informationen och driftskraven för dataportering fastställas av marknadsaktörer genom självreglering, vilket </w:t>
            </w:r>
            <w:r w:rsidRPr="00046771">
              <w:rPr>
                <w:b/>
                <w:i/>
              </w:rPr>
              <w:t>ska</w:t>
            </w:r>
            <w:r w:rsidRPr="00046771">
              <w:t xml:space="preserve"> uppmuntras </w:t>
            </w:r>
            <w:r w:rsidRPr="00046771">
              <w:rPr>
                <w:b/>
                <w:i/>
              </w:rPr>
              <w:t>och</w:t>
            </w:r>
            <w:r w:rsidRPr="00046771">
              <w:t xml:space="preserve"> underlättas av kommissionen, i form av unionsuppförandekoder som kan leda till standardavtalsvillkor. Om sådana uppförandekoder inte införs och tillämpas effektivt inom rimlig tid, bör kommissionen se över situationen.</w:t>
            </w:r>
          </w:p>
        </w:tc>
        <w:tc>
          <w:tcPr>
            <w:tcW w:w="4876" w:type="dxa"/>
          </w:tcPr>
          <w:p w:rsidR="00230DF9" w:rsidRPr="00046771" w:rsidRDefault="00230DF9" w:rsidP="00A53B22">
            <w:pPr>
              <w:pStyle w:val="Normal6"/>
              <w:rPr>
                <w:szCs w:val="24"/>
              </w:rPr>
            </w:pPr>
            <w:r w:rsidRPr="00046771">
              <w:t>(21)</w:t>
            </w:r>
            <w:r w:rsidRPr="00046771">
              <w:tab/>
              <w:t xml:space="preserve">För att utnyttja den konkurrensutsatta miljön fullt ut bör professionella användare kunna göra välinformerade val och på enkelt sätt jämföra enskilda delar av olika databehandlingstjänster på den inre marknaden, bland annat när det gäller avtalsvillkoren för dataportering i samband med uppsägning av avtal. I syfte att anpassa sig till marknadens innovationspotential och beakta den erfarenhet och sakkunskap som finns hos leverantörer och professionella användare av datalagringstjänster eller andra databehandlingstjänster, bör den detaljerade informationen och driftskraven för dataportering fastställas av marknadsaktörer genom självreglering, vilket </w:t>
            </w:r>
            <w:r w:rsidRPr="00046771">
              <w:rPr>
                <w:b/>
                <w:i/>
              </w:rPr>
              <w:t>bör</w:t>
            </w:r>
            <w:r w:rsidRPr="00046771">
              <w:t xml:space="preserve"> uppmuntras</w:t>
            </w:r>
            <w:r w:rsidRPr="00046771">
              <w:rPr>
                <w:b/>
                <w:i/>
              </w:rPr>
              <w:t>,</w:t>
            </w:r>
            <w:r w:rsidRPr="00046771">
              <w:t xml:space="preserve"> underlättas </w:t>
            </w:r>
            <w:r w:rsidRPr="00046771">
              <w:rPr>
                <w:b/>
                <w:i/>
              </w:rPr>
              <w:t>och övervakas</w:t>
            </w:r>
            <w:r w:rsidRPr="00046771">
              <w:t xml:space="preserve"> av kommissionen, i form av unionsuppförandekoder som kan leda till standardavtalsvillkor. </w:t>
            </w:r>
            <w:r w:rsidRPr="00046771">
              <w:rPr>
                <w:b/>
                <w:i/>
              </w:rPr>
              <w:t>Uppförandekoderna bör vara omfattande, bör klargöra att låsning till en leverantör inte är en godtagbar affärspraxis, bör föreskriva tillitsfrämjande teknik och bör uppdateras regelbundet för att hålla jämna steg med den tekniska utvecklingen.</w:t>
            </w:r>
            <w:r w:rsidRPr="00046771">
              <w:t xml:space="preserve"> Kommissionen </w:t>
            </w:r>
            <w:r w:rsidRPr="00046771">
              <w:rPr>
                <w:b/>
                <w:i/>
              </w:rPr>
              <w:t>bör under hela förfarandet säkerställa samråd med alla berörda parter, inbegripet små och medelstora företag och uppstartsföretag</w:t>
            </w:r>
            <w:r w:rsidRPr="00046771">
              <w:t xml:space="preserve">. </w:t>
            </w:r>
            <w:r w:rsidRPr="00046771">
              <w:rPr>
                <w:b/>
                <w:i/>
              </w:rPr>
              <w:t>Kommissionen bör utvärdera utarbetandet av, och effektiviteten i genomförandet av, sådana uppförandekoder.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16</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Skäl 28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(28)</w:t>
            </w:r>
            <w:r w:rsidRPr="00046771">
              <w:tab/>
              <w:t xml:space="preserve">Kommissionen bör </w:t>
            </w:r>
            <w:r w:rsidRPr="00046771">
              <w:rPr>
                <w:b/>
                <w:i/>
              </w:rPr>
              <w:t>se över</w:t>
            </w:r>
            <w:r w:rsidRPr="00046771">
              <w:t xml:space="preserve"> denna förordning </w:t>
            </w:r>
            <w:r w:rsidRPr="00046771">
              <w:rPr>
                <w:b/>
                <w:i/>
              </w:rPr>
              <w:t>med jämna mellanrum</w:t>
            </w:r>
            <w:r w:rsidRPr="00046771">
              <w:t>, främst i syfte att avgöra behovet av modifieringar med hänsyn till den tekniska utvecklingen eller ändrad marknadsutveckling.</w:t>
            </w:r>
          </w:p>
        </w:tc>
        <w:tc>
          <w:tcPr>
            <w:tcW w:w="4876" w:type="dxa"/>
          </w:tcPr>
          <w:p w:rsidR="00230DF9" w:rsidRPr="00046771" w:rsidRDefault="00230DF9" w:rsidP="00A53B22">
            <w:pPr>
              <w:pStyle w:val="Normal6"/>
              <w:rPr>
                <w:szCs w:val="24"/>
              </w:rPr>
            </w:pPr>
            <w:r w:rsidRPr="00046771">
              <w:t>(28)</w:t>
            </w:r>
            <w:r w:rsidRPr="00046771">
              <w:tab/>
              <w:t xml:space="preserve">Kommissionen bör </w:t>
            </w:r>
            <w:r w:rsidRPr="00046771">
              <w:rPr>
                <w:b/>
                <w:i/>
              </w:rPr>
              <w:t>lägga fram en rapport om genomförandet av</w:t>
            </w:r>
            <w:r w:rsidRPr="00046771">
              <w:t xml:space="preserve"> denna förordning, främst i syfte att avgöra behovet av modifieringar med hänsyn till den tekniska utvecklingen eller ändrad marknadsutveckling</w:t>
            </w:r>
            <w:r w:rsidRPr="00046771">
              <w:rPr>
                <w:b/>
                <w:i/>
              </w:rPr>
              <w:t>, i form av t.ex. artificiell intelligens, maskininlärning, sakernas internet och stordataanalys</w:t>
            </w:r>
            <w:r w:rsidRPr="00046771">
              <w:t xml:space="preserve">. </w:t>
            </w:r>
            <w:r w:rsidRPr="00046771">
              <w:rPr>
                <w:b/>
                <w:i/>
              </w:rPr>
              <w:t>Denna rapport bör särskilt utvärdera erfarenheterna från tillämpningen av denna förordning på blandade datamängder, så att innovationen utvecklas, och bör utvärdera genomförandet av undantaget avseende allmän säkerhet. Innan övriga bestämmelser i denna förordning börjar tillämpas bör kommissionen även offentliggöra riktlinjer om hur den ska tillämpas på blandade datamängder, för att företag, inbegripet små och medelstora sådana, bättre ska förstå samspelet mellan denna förordning och förordning (EU) 2016/679.</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17</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2 – punkt 1 – inledningen</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w:t>
            </w:r>
            <w:r w:rsidRPr="00046771">
              <w:tab/>
              <w:t xml:space="preserve">Denna förordning ska tillämpas på </w:t>
            </w:r>
            <w:r w:rsidRPr="00046771">
              <w:rPr>
                <w:b/>
                <w:i/>
              </w:rPr>
              <w:t>lagring eller annan</w:t>
            </w:r>
            <w:r w:rsidRPr="00046771">
              <w:t xml:space="preserve"> behandling av andra elektroniska data än personuppgifter i unionen, vilken</w:t>
            </w:r>
          </w:p>
        </w:tc>
        <w:tc>
          <w:tcPr>
            <w:tcW w:w="4876" w:type="dxa"/>
          </w:tcPr>
          <w:p w:rsidR="00230DF9" w:rsidRPr="00046771" w:rsidRDefault="00230DF9" w:rsidP="00A53B22">
            <w:pPr>
              <w:pStyle w:val="Normal6"/>
              <w:rPr>
                <w:szCs w:val="24"/>
              </w:rPr>
            </w:pPr>
            <w:r w:rsidRPr="00046771">
              <w:t>1.</w:t>
            </w:r>
            <w:r w:rsidRPr="00046771">
              <w:tab/>
              <w:t>Denna förordning ska tillämpas på behandling av andra elektroniska data än personuppgifter i unionen, vilken</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18</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2 – punkt 1 – stycke 1a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I fall med blandade datamängder ska denna förordning tillämpas på den del av datamängden som utgörs av icke-personuppgifter. I fall där personuppgifter och icke-personuppgifter i en blandad datamängd oupplösligen hör ihop ska den här förordningen gälla utan att det påverkar tillämpningen av förordning (EU) 2016/679.</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19</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3 – led 1a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hideMark/>
          </w:tcPr>
          <w:p w:rsidR="00230DF9" w:rsidRPr="00046771" w:rsidRDefault="00230DF9" w:rsidP="00A53B22">
            <w:pPr>
              <w:pStyle w:val="Normal6"/>
              <w:rPr>
                <w:szCs w:val="24"/>
              </w:rPr>
            </w:pPr>
            <w:r w:rsidRPr="00046771">
              <w:rPr>
                <w:b/>
                <w:i/>
              </w:rPr>
              <w:t>1a.</w:t>
            </w:r>
            <w:r w:rsidRPr="00046771">
              <w:rPr>
                <w:b/>
                <w:i/>
              </w:rPr>
              <w:tab/>
              <w:t>blandad datamängd: datamängd som består av både personuppgifter och icke-personuppgifter.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20</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3 – led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hideMark/>
          </w:tcPr>
          <w:p w:rsidR="00230DF9" w:rsidRPr="00046771" w:rsidRDefault="00230DF9" w:rsidP="00A53B22">
            <w:pPr>
              <w:pStyle w:val="Normal6"/>
            </w:pPr>
            <w:r w:rsidRPr="00046771">
              <w:rPr>
                <w:b/>
                <w:i/>
              </w:rPr>
              <w:t>2.</w:t>
            </w:r>
            <w:r w:rsidRPr="00046771">
              <w:rPr>
                <w:b/>
                <w:i/>
              </w:rPr>
              <w:tab/>
              <w:t>datalagring: lagring av uppgifter i elektroniskt format.</w:t>
            </w:r>
          </w:p>
        </w:tc>
        <w:tc>
          <w:tcPr>
            <w:tcW w:w="4876" w:type="dxa"/>
            <w:hideMark/>
          </w:tcPr>
          <w:p w:rsidR="00230DF9" w:rsidRPr="00046771" w:rsidRDefault="00230DF9" w:rsidP="00A53B22">
            <w:pPr>
              <w:pStyle w:val="Normal6"/>
              <w:rPr>
                <w:szCs w:val="24"/>
              </w:rPr>
            </w:pPr>
            <w:r w:rsidRPr="00046771">
              <w:rPr>
                <w:b/>
                <w:i/>
              </w:rPr>
              <w:t>utgår</w:t>
            </w:r>
          </w:p>
        </w:tc>
      </w:tr>
    </w:tbl>
    <w:p w:rsidR="00230DF9" w:rsidRPr="00046771" w:rsidRDefault="00230DF9" w:rsidP="00230DF9">
      <w:pPr>
        <w:pStyle w:val="Normal12Italic"/>
      </w:pPr>
    </w:p>
    <w:p w:rsidR="00230DF9" w:rsidRPr="00046771" w:rsidRDefault="00230DF9" w:rsidP="00230DF9">
      <w:pPr>
        <w:pStyle w:val="Normal12Italic"/>
      </w:pPr>
    </w:p>
    <w:p w:rsidR="00230DF9" w:rsidRPr="00046771" w:rsidRDefault="00230DF9" w:rsidP="00230DF9">
      <w:pPr>
        <w:pStyle w:val="AMNumberTabs"/>
        <w:keepNext/>
      </w:pPr>
      <w:r w:rsidRPr="00046771">
        <w:t>Ändringsförslag</w:t>
      </w:r>
      <w:r w:rsidRPr="00046771">
        <w:tab/>
      </w:r>
      <w:r w:rsidRPr="00046771">
        <w:tab/>
        <w:t>21</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3 – led 2a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hideMark/>
          </w:tcPr>
          <w:p w:rsidR="00230DF9" w:rsidRPr="00046771" w:rsidRDefault="00230DF9" w:rsidP="00A53B22">
            <w:pPr>
              <w:pStyle w:val="Normal6"/>
              <w:rPr>
                <w:szCs w:val="24"/>
              </w:rPr>
            </w:pPr>
            <w:r w:rsidRPr="00046771">
              <w:rPr>
                <w:b/>
                <w:i/>
              </w:rPr>
              <w:t>2a.</w:t>
            </w:r>
            <w:r w:rsidRPr="00046771">
              <w:rPr>
                <w:b/>
                <w:i/>
              </w:rPr>
              <w:tab/>
              <w:t>behandling: en operation eller en uppsättning operationer som utförs på data eller datamängder i elektroniskt format, oberoende av om detta görs på ett automatiserat sätt eller inte, såsom insamling, registrering, organisering, strukturering, lagring, bearbetning eller ändring, hämtning, läsning, användning, utlämnande genom överföring, spridning eller tillhandahållande på annat sätt, gruppering eller samkörning, begränsning, radering eller förstöring.</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22</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3 – led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4.</w:t>
            </w:r>
            <w:r w:rsidRPr="00046771">
              <w:tab/>
              <w:t xml:space="preserve">leverantör: en fysisk eller juridisk person som tillhandahåller </w:t>
            </w:r>
            <w:r w:rsidRPr="00046771">
              <w:rPr>
                <w:b/>
                <w:i/>
              </w:rPr>
              <w:t>datalagring eller andra</w:t>
            </w:r>
            <w:r w:rsidRPr="00046771">
              <w:t xml:space="preserve"> databehandlingstjänster.</w:t>
            </w:r>
          </w:p>
        </w:tc>
        <w:tc>
          <w:tcPr>
            <w:tcW w:w="4876" w:type="dxa"/>
          </w:tcPr>
          <w:p w:rsidR="00230DF9" w:rsidRPr="00046771" w:rsidRDefault="00230DF9" w:rsidP="00A53B22">
            <w:pPr>
              <w:pStyle w:val="Normal6"/>
              <w:rPr>
                <w:szCs w:val="24"/>
              </w:rPr>
            </w:pPr>
            <w:r w:rsidRPr="00046771">
              <w:t>4.</w:t>
            </w:r>
            <w:r w:rsidRPr="00046771">
              <w:tab/>
              <w:t>leverantör: en fysisk eller juridisk person som tillhandahåller databehandlingstjänster.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23</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3 – led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5.</w:t>
            </w:r>
            <w:r w:rsidRPr="00046771">
              <w:tab/>
              <w:t xml:space="preserve">datalokaliseringskrav: varje skyldighet, förbud, villkor, begränsning eller annat krav som föreskrivs i medlemsstaternas lagar eller andra författningar och som föreskriver att </w:t>
            </w:r>
            <w:r w:rsidRPr="00046771">
              <w:rPr>
                <w:b/>
                <w:i/>
              </w:rPr>
              <w:t>datalagring eller annan</w:t>
            </w:r>
            <w:r w:rsidRPr="00046771">
              <w:t xml:space="preserve"> databehandling ska äga rum på en viss medlemsstats territorium eller hindrar </w:t>
            </w:r>
            <w:r w:rsidRPr="00046771">
              <w:rPr>
                <w:b/>
                <w:i/>
              </w:rPr>
              <w:t>lagring eller annan</w:t>
            </w:r>
            <w:r w:rsidRPr="00046771">
              <w:t xml:space="preserve"> behandling av data i någon annan medlemsstat.</w:t>
            </w:r>
          </w:p>
        </w:tc>
        <w:tc>
          <w:tcPr>
            <w:tcW w:w="4876" w:type="dxa"/>
          </w:tcPr>
          <w:p w:rsidR="00230DF9" w:rsidRPr="00046771" w:rsidRDefault="00230DF9" w:rsidP="00A53B22">
            <w:pPr>
              <w:pStyle w:val="Normal6"/>
              <w:rPr>
                <w:szCs w:val="24"/>
              </w:rPr>
            </w:pPr>
            <w:r w:rsidRPr="00046771">
              <w:t>5.</w:t>
            </w:r>
            <w:r w:rsidRPr="00046771">
              <w:tab/>
              <w:t xml:space="preserve">datalokaliseringskrav: varje skyldighet, förbud, villkor, begränsning eller annat krav som föreskrivs i medlemsstaternas lagar eller andra författningar </w:t>
            </w:r>
            <w:r w:rsidRPr="00046771">
              <w:rPr>
                <w:b/>
                <w:i/>
              </w:rPr>
              <w:t>eller som är ett resultat av medlemsstaternas administrativa praxis och dess förlängningar, inbegripet på området för offentlig upphandling,</w:t>
            </w:r>
            <w:r w:rsidRPr="00046771">
              <w:t xml:space="preserve"> och som föreskriver att databehandling ska äga rum på en viss medlemsstats territorium eller hindrar behandling av data i någon annan medlemsstat.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24</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3 – led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6.</w:t>
            </w:r>
            <w:r w:rsidRPr="00046771">
              <w:tab/>
              <w:t xml:space="preserve">behörig myndighet: en medlemsstats myndighet som har befogenhet att få tillgång till uppgifter som </w:t>
            </w:r>
            <w:r w:rsidRPr="00046771">
              <w:rPr>
                <w:b/>
                <w:i/>
              </w:rPr>
              <w:t>lagras eller</w:t>
            </w:r>
            <w:r w:rsidRPr="00046771">
              <w:t xml:space="preserve"> behandlas av en fysisk eller juridisk person för den personens tjänsteutövning, i enlighet med nationell lagstiftning eller unionslagstiftning.</w:t>
            </w:r>
          </w:p>
        </w:tc>
        <w:tc>
          <w:tcPr>
            <w:tcW w:w="4876" w:type="dxa"/>
          </w:tcPr>
          <w:p w:rsidR="00230DF9" w:rsidRPr="00046771" w:rsidRDefault="00230DF9" w:rsidP="00A53B22">
            <w:pPr>
              <w:pStyle w:val="Normal6"/>
              <w:rPr>
                <w:szCs w:val="24"/>
              </w:rPr>
            </w:pPr>
            <w:r w:rsidRPr="00046771">
              <w:t>6.</w:t>
            </w:r>
            <w:r w:rsidRPr="00046771">
              <w:tab/>
              <w:t>behörig myndighet: en medlemsstats myndighet som har befogenhet att få tillgång till uppgifter som behandlas av en fysisk eller juridisk person för den personens tjänsteutövning, i enlighet med nationell lagstiftning eller unionslagstiftning.</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25</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3 – led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7.</w:t>
            </w:r>
            <w:r w:rsidRPr="00046771">
              <w:tab/>
              <w:t xml:space="preserve">användare: en fysisk eller juridisk person som använder eller </w:t>
            </w:r>
            <w:r w:rsidRPr="00046771">
              <w:rPr>
                <w:b/>
                <w:i/>
              </w:rPr>
              <w:t>vill använda</w:t>
            </w:r>
            <w:r w:rsidRPr="00046771">
              <w:t xml:space="preserve"> en </w:t>
            </w:r>
            <w:r w:rsidRPr="00046771">
              <w:rPr>
                <w:b/>
                <w:i/>
              </w:rPr>
              <w:t>datalagringstjänst eller en annan</w:t>
            </w:r>
            <w:r w:rsidRPr="00046771">
              <w:t xml:space="preserve"> databehandlingstjänst.</w:t>
            </w:r>
          </w:p>
        </w:tc>
        <w:tc>
          <w:tcPr>
            <w:tcW w:w="4876" w:type="dxa"/>
          </w:tcPr>
          <w:p w:rsidR="00230DF9" w:rsidRPr="00046771" w:rsidRDefault="00230DF9" w:rsidP="00A53B22">
            <w:pPr>
              <w:pStyle w:val="Normal6"/>
              <w:rPr>
                <w:szCs w:val="24"/>
              </w:rPr>
            </w:pPr>
            <w:r w:rsidRPr="00046771">
              <w:t>7.</w:t>
            </w:r>
            <w:r w:rsidRPr="00046771">
              <w:tab/>
              <w:t>användare: en fysisk eller juridisk person</w:t>
            </w:r>
            <w:r w:rsidRPr="00046771">
              <w:rPr>
                <w:b/>
                <w:i/>
              </w:rPr>
              <w:t>, inbegripet ett offentligt organ,</w:t>
            </w:r>
            <w:r w:rsidRPr="00046771">
              <w:t xml:space="preserve"> som använder eller </w:t>
            </w:r>
            <w:r w:rsidRPr="00046771">
              <w:rPr>
                <w:b/>
                <w:i/>
              </w:rPr>
              <w:t>begär</w:t>
            </w:r>
            <w:r w:rsidRPr="00046771">
              <w:t xml:space="preserve"> en databehandlingstjänst.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26</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3 – led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8.</w:t>
            </w:r>
            <w:r w:rsidRPr="00046771">
              <w:tab/>
              <w:t xml:space="preserve">professionell användare: en fysisk eller juridisk person, inbegripet ett offentligt organ, som använder eller begär en </w:t>
            </w:r>
            <w:r w:rsidRPr="00046771">
              <w:rPr>
                <w:b/>
                <w:i/>
              </w:rPr>
              <w:t>datalagringstjänst eller en annan</w:t>
            </w:r>
            <w:r w:rsidRPr="00046771">
              <w:t xml:space="preserve"> databehandlingstjänst för ändamål som är relaterade till personens närings- eller yrkesverksamhet.</w:t>
            </w:r>
          </w:p>
        </w:tc>
        <w:tc>
          <w:tcPr>
            <w:tcW w:w="4876" w:type="dxa"/>
          </w:tcPr>
          <w:p w:rsidR="00230DF9" w:rsidRPr="00046771" w:rsidRDefault="00230DF9" w:rsidP="00A53B22">
            <w:pPr>
              <w:pStyle w:val="Normal6"/>
              <w:rPr>
                <w:szCs w:val="24"/>
              </w:rPr>
            </w:pPr>
            <w:r w:rsidRPr="00046771">
              <w:t>8.</w:t>
            </w:r>
            <w:r w:rsidRPr="00046771">
              <w:tab/>
              <w:t>professionell användare: en fysisk eller juridisk person, inbegripet ett offentligt organ, som använder eller begär en databehandlingstjänst för ändamål som är relaterade till personens närings- eller yrkesverksamhet.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27</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w:t>
            </w:r>
            <w:r w:rsidRPr="00046771">
              <w:tab/>
            </w:r>
            <w:r w:rsidRPr="00046771">
              <w:rPr>
                <w:b/>
                <w:i/>
              </w:rPr>
              <w:t>Lokalisering av data för lagring eller annan behandling inom unionen får inte begränsas till en viss medlemsstats territorium, och lagring eller annan databehandling i någon annan medlemsstat får inte</w:t>
            </w:r>
            <w:r w:rsidRPr="00046771">
              <w:t xml:space="preserve"> förbjudas </w:t>
            </w:r>
            <w:r w:rsidRPr="00046771">
              <w:rPr>
                <w:b/>
                <w:i/>
              </w:rPr>
              <w:t>eller begränsas,</w:t>
            </w:r>
            <w:r w:rsidRPr="00046771">
              <w:t xml:space="preserve"> om det inte är motiverat av hänsyn till allmän säkerhet.</w:t>
            </w:r>
          </w:p>
        </w:tc>
        <w:tc>
          <w:tcPr>
            <w:tcW w:w="4876" w:type="dxa"/>
          </w:tcPr>
          <w:p w:rsidR="00230DF9" w:rsidRPr="00046771" w:rsidRDefault="00230DF9" w:rsidP="00A53B22">
            <w:pPr>
              <w:pStyle w:val="Normal6"/>
              <w:rPr>
                <w:szCs w:val="24"/>
              </w:rPr>
            </w:pPr>
            <w:r w:rsidRPr="00046771">
              <w:t>1.</w:t>
            </w:r>
            <w:r w:rsidRPr="00046771">
              <w:tab/>
            </w:r>
            <w:r w:rsidRPr="00046771">
              <w:rPr>
                <w:b/>
                <w:i/>
              </w:rPr>
              <w:t>Krav på datalokalisering ska</w:t>
            </w:r>
            <w:r w:rsidRPr="00046771">
              <w:t xml:space="preserve"> förbjudas om det inte</w:t>
            </w:r>
            <w:r w:rsidRPr="00046771">
              <w:rPr>
                <w:b/>
                <w:i/>
              </w:rPr>
              <w:t>, i undantagsfall och i överensstämmelse med proportionalitetsprincipen,</w:t>
            </w:r>
            <w:r w:rsidRPr="00046771">
              <w:t xml:space="preserve"> är motiverat av </w:t>
            </w:r>
            <w:r w:rsidRPr="00046771">
              <w:rPr>
                <w:b/>
                <w:i/>
              </w:rPr>
              <w:t>tvingande</w:t>
            </w:r>
            <w:r w:rsidRPr="00046771">
              <w:t xml:space="preserve"> hänsyn till allmän säkerhet.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28</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2.</w:t>
            </w:r>
            <w:r w:rsidRPr="00046771">
              <w:tab/>
              <w:t xml:space="preserve">Medlemsstaterna ska till kommissionen </w:t>
            </w:r>
            <w:r w:rsidRPr="00046771">
              <w:rPr>
                <w:b/>
                <w:i/>
              </w:rPr>
              <w:t>anmäla</w:t>
            </w:r>
            <w:r w:rsidRPr="00046771">
              <w:t xml:space="preserve"> alla utkast till akter som inför ett nytt datalokaliseringskrav eller gör ändringar i ett existerande datalokaliseringskrav i enlighet med de förfaranden som fastställs i </w:t>
            </w:r>
            <w:r w:rsidRPr="00046771">
              <w:rPr>
                <w:b/>
                <w:i/>
              </w:rPr>
              <w:t>den nationella lag genom vilken</w:t>
            </w:r>
            <w:r w:rsidRPr="00046771">
              <w:t xml:space="preserve"> direktiv (EU) 2015/1535 </w:t>
            </w:r>
            <w:r w:rsidRPr="00046771">
              <w:rPr>
                <w:b/>
                <w:i/>
              </w:rPr>
              <w:t>genomförs</w:t>
            </w:r>
            <w:r w:rsidRPr="00046771">
              <w:t>.</w:t>
            </w:r>
          </w:p>
        </w:tc>
        <w:tc>
          <w:tcPr>
            <w:tcW w:w="4876" w:type="dxa"/>
          </w:tcPr>
          <w:p w:rsidR="00230DF9" w:rsidRPr="00046771" w:rsidRDefault="00230DF9" w:rsidP="00A53B22">
            <w:pPr>
              <w:pStyle w:val="Normal6"/>
              <w:rPr>
                <w:szCs w:val="24"/>
              </w:rPr>
            </w:pPr>
            <w:r w:rsidRPr="00046771">
              <w:t>2.</w:t>
            </w:r>
            <w:r w:rsidRPr="00046771">
              <w:tab/>
              <w:t xml:space="preserve">Medlemsstaterna ska </w:t>
            </w:r>
            <w:r w:rsidRPr="00046771">
              <w:rPr>
                <w:b/>
                <w:i/>
              </w:rPr>
              <w:t>omedelbart meddela</w:t>
            </w:r>
            <w:r w:rsidRPr="00046771">
              <w:t xml:space="preserve"> kommissionen alla utkast till akter som inför ett nytt datalokaliseringskrav eller gör ändringar i ett existerande datalokaliseringskrav i enlighet med de förfaranden som fastställs i </w:t>
            </w:r>
            <w:r w:rsidRPr="00046771">
              <w:rPr>
                <w:b/>
                <w:i/>
              </w:rPr>
              <w:t>artiklarna 5, 6 och 7 i</w:t>
            </w:r>
            <w:r w:rsidRPr="00046771">
              <w:t xml:space="preserve"> direktiv (EU) 2015/1535.</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29</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3.</w:t>
            </w:r>
            <w:r w:rsidRPr="00046771">
              <w:tab/>
            </w:r>
            <w:r w:rsidRPr="00046771">
              <w:rPr>
                <w:b/>
                <w:i/>
              </w:rPr>
              <w:t>Inom</w:t>
            </w:r>
            <w:r w:rsidRPr="00046771">
              <w:t xml:space="preserve"> 12 månader </w:t>
            </w:r>
            <w:r w:rsidRPr="00046771">
              <w:rPr>
                <w:b/>
                <w:i/>
              </w:rPr>
              <w:t>efter det att</w:t>
            </w:r>
            <w:r w:rsidRPr="00046771">
              <w:t xml:space="preserve"> denna </w:t>
            </w:r>
            <w:r w:rsidRPr="00046771">
              <w:rPr>
                <w:b/>
                <w:i/>
              </w:rPr>
              <w:t>förordning har börjat tillämpas</w:t>
            </w:r>
            <w:r w:rsidRPr="00046771">
              <w:t xml:space="preserve"> ska medlemsstaterna säkerställa att alla datalokaliseringskrav som inte är förenliga med punkt 1 </w:t>
            </w:r>
            <w:r w:rsidRPr="00046771">
              <w:rPr>
                <w:b/>
                <w:i/>
              </w:rPr>
              <w:t>upphör</w:t>
            </w:r>
            <w:r w:rsidRPr="00046771">
              <w:t xml:space="preserve"> att gälla. </w:t>
            </w:r>
            <w:r w:rsidRPr="00046771">
              <w:rPr>
                <w:b/>
                <w:i/>
              </w:rPr>
              <w:t>Om en</w:t>
            </w:r>
            <w:r w:rsidRPr="00046771">
              <w:t xml:space="preserve"> medlemsstat anser att ett datalokaliseringskrav är förenligt med punkt 1 och därför kan fortsätta att gälla </w:t>
            </w:r>
            <w:r w:rsidRPr="00046771">
              <w:rPr>
                <w:b/>
                <w:i/>
              </w:rPr>
              <w:t>ska den anmäla</w:t>
            </w:r>
            <w:r w:rsidRPr="00046771">
              <w:t xml:space="preserve"> kravet till kommissionen, tillsammans med en motivering till varför kravet ska behållas.</w:t>
            </w:r>
          </w:p>
        </w:tc>
        <w:tc>
          <w:tcPr>
            <w:tcW w:w="4876" w:type="dxa"/>
          </w:tcPr>
          <w:p w:rsidR="00230DF9" w:rsidRPr="00046771" w:rsidRDefault="00230DF9" w:rsidP="00A53B22">
            <w:pPr>
              <w:pStyle w:val="Normal6"/>
              <w:rPr>
                <w:szCs w:val="24"/>
              </w:rPr>
            </w:pPr>
            <w:r w:rsidRPr="00046771">
              <w:t>3.</w:t>
            </w:r>
            <w:r w:rsidRPr="00046771">
              <w:tab/>
            </w:r>
            <w:r w:rsidRPr="00046771">
              <w:rPr>
                <w:b/>
                <w:i/>
              </w:rPr>
              <w:t>Senast den ... [</w:t>
            </w:r>
            <w:r w:rsidRPr="00046771">
              <w:t xml:space="preserve">12 månader </w:t>
            </w:r>
            <w:r w:rsidRPr="00046771">
              <w:rPr>
                <w:b/>
                <w:i/>
              </w:rPr>
              <w:t>från dagen för</w:t>
            </w:r>
            <w:r w:rsidRPr="00046771">
              <w:t xml:space="preserve"> denna </w:t>
            </w:r>
            <w:r w:rsidRPr="00046771">
              <w:rPr>
                <w:b/>
                <w:i/>
              </w:rPr>
              <w:t>förordnings ikraftträdande]</w:t>
            </w:r>
            <w:r w:rsidRPr="00046771">
              <w:t xml:space="preserve"> ska medlemsstaterna säkerställa att alla datalokaliseringskrav som inte är förenliga med punkt 1 </w:t>
            </w:r>
            <w:r w:rsidRPr="00046771">
              <w:rPr>
                <w:b/>
                <w:i/>
              </w:rPr>
              <w:t>har upphört</w:t>
            </w:r>
            <w:r w:rsidRPr="00046771">
              <w:t xml:space="preserve"> att gälla. </w:t>
            </w:r>
            <w:r w:rsidRPr="00046771">
              <w:rPr>
                <w:b/>
                <w:i/>
              </w:rPr>
              <w:t>Senast ... [12 månader från dagen för denna förordnings ikraftträdande] ska en</w:t>
            </w:r>
            <w:r w:rsidRPr="00046771">
              <w:t xml:space="preserve"> medlemsstat </w:t>
            </w:r>
            <w:r w:rsidRPr="00046771">
              <w:rPr>
                <w:b/>
                <w:i/>
              </w:rPr>
              <w:t>som</w:t>
            </w:r>
            <w:r w:rsidRPr="00046771">
              <w:t xml:space="preserve"> anser att ett datalokaliseringskrav är förenligt med punkt 1 och därför kan fortsätta att gälla </w:t>
            </w:r>
            <w:r w:rsidRPr="00046771">
              <w:rPr>
                <w:b/>
                <w:i/>
              </w:rPr>
              <w:t>meddela</w:t>
            </w:r>
            <w:r w:rsidRPr="00046771">
              <w:t xml:space="preserve"> kravet till kommissionen, tillsammans med en motivering till varför kravet ska behållas.</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30</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3 – stycke 1a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Utan att det påverkar tillämpningen av artikel 258 i EUF-fördraget ska kommissionen, inom tre månader från dagen för mottagandet av ett sådant meddelande, undersöka förenligheten av denna åtgärd med punkt 1, och vid behov anta ett beslut genom vilket kommissionen begär att medlemsstaten i fråga ändrar eller upphäver åtgärden.</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31</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4.</w:t>
            </w:r>
            <w:r w:rsidRPr="00046771">
              <w:tab/>
              <w:t>Medlemsstaterna ska göra närmare uppgifter om eventuella datalokaliseringskrav som gäller på deras territorier tillgängliga för allmänheten online via en central informationspunkt som de ska hålla uppdaterad.</w:t>
            </w:r>
          </w:p>
        </w:tc>
        <w:tc>
          <w:tcPr>
            <w:tcW w:w="4876" w:type="dxa"/>
          </w:tcPr>
          <w:p w:rsidR="00230DF9" w:rsidRPr="00046771" w:rsidRDefault="00230DF9" w:rsidP="00A53B22">
            <w:pPr>
              <w:pStyle w:val="Normal6"/>
              <w:rPr>
                <w:szCs w:val="24"/>
              </w:rPr>
            </w:pPr>
            <w:r w:rsidRPr="00046771">
              <w:t>4.</w:t>
            </w:r>
            <w:r w:rsidRPr="00046771">
              <w:tab/>
              <w:t>Medlemsstaterna ska göra närmare uppgifter om eventuella datalokaliseringskrav som gäller på deras territorier tillgängliga för allmänheten online via en central informationspunkt som de ska hålla uppdaterad</w:t>
            </w:r>
            <w:r w:rsidRPr="00046771">
              <w:rPr>
                <w:b/>
                <w:i/>
              </w:rPr>
              <w:t>, eller via en informationspunkt på unionsnivå som inrättats enligt en annan unionsakt, om en sådan finns tillgänglig</w:t>
            </w:r>
            <w:r w:rsidRPr="00046771">
              <w: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32</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4 – punkt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5.</w:t>
            </w:r>
            <w:r w:rsidRPr="00046771">
              <w:tab/>
              <w:t xml:space="preserve">Medlemsstaterna ska meddela kommissionen adressen till sin centrala informationspunkt som nämns i punkt 4. Kommissionen ska offentliggöra länkarna till sådana punkter på sin </w:t>
            </w:r>
            <w:r w:rsidRPr="00046771">
              <w:rPr>
                <w:b/>
                <w:i/>
              </w:rPr>
              <w:t>webbsida</w:t>
            </w:r>
            <w:r w:rsidRPr="00046771">
              <w:t>.</w:t>
            </w:r>
          </w:p>
        </w:tc>
        <w:tc>
          <w:tcPr>
            <w:tcW w:w="4876" w:type="dxa"/>
          </w:tcPr>
          <w:p w:rsidR="00230DF9" w:rsidRPr="00046771" w:rsidRDefault="00230DF9" w:rsidP="00A53B22">
            <w:pPr>
              <w:pStyle w:val="Normal6"/>
              <w:rPr>
                <w:szCs w:val="24"/>
              </w:rPr>
            </w:pPr>
            <w:r w:rsidRPr="00046771">
              <w:t>5.</w:t>
            </w:r>
            <w:r w:rsidRPr="00046771">
              <w:tab/>
              <w:t xml:space="preserve">Medlemsstaterna ska meddela kommissionen adressen till sin centrala informationspunkt som nämns i punkt 4. Kommissionen ska offentliggöra länkarna till sådana punkter på sin </w:t>
            </w:r>
            <w:r w:rsidRPr="00046771">
              <w:rPr>
                <w:b/>
                <w:i/>
              </w:rPr>
              <w:t>webbplats, tillsammans med en regelbundet uppdaterad konsoliderad förteckning över alla datalokaliseringskrav som avses i punkt 4, inbegripet uppgifter om dessa krav på kommissionens officiella arbetsspråk</w:t>
            </w:r>
            <w:r w:rsidRPr="00046771">
              <w: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33</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5 – punkt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2.</w:t>
            </w:r>
            <w:r w:rsidRPr="00046771">
              <w:tab/>
              <w:t xml:space="preserve">Om en behörig myndighet </w:t>
            </w:r>
            <w:r w:rsidRPr="00046771">
              <w:rPr>
                <w:b/>
                <w:i/>
              </w:rPr>
              <w:t>har uttömt alla användbara möjligheter att få</w:t>
            </w:r>
            <w:r w:rsidRPr="00046771">
              <w:t xml:space="preserve"> tillgång till uppgifterna får </w:t>
            </w:r>
            <w:r w:rsidRPr="00046771">
              <w:rPr>
                <w:b/>
                <w:i/>
              </w:rPr>
              <w:t>den</w:t>
            </w:r>
            <w:r w:rsidRPr="00046771">
              <w:t xml:space="preserve"> begära hjälp av en behörig myndighet i en annan medlemsstat i enlighet med det förfarande som fastställs i artikel 7</w:t>
            </w:r>
            <w:r w:rsidRPr="00046771">
              <w:rPr>
                <w:b/>
                <w:i/>
              </w:rPr>
              <w:t>, och</w:t>
            </w:r>
            <w:r w:rsidRPr="00046771">
              <w:t xml:space="preserve"> den tillfrågade behöriga myndigheten ska tillhandahålla hjälp i enlighet med förfarandet </w:t>
            </w:r>
            <w:r w:rsidRPr="00046771">
              <w:rPr>
                <w:b/>
                <w:i/>
              </w:rPr>
              <w:t>i artikel 7, såvida det inte strider mot den allmänna ordningen i den tillfrågade medlemsstaten</w:t>
            </w:r>
            <w:r w:rsidRPr="00046771">
              <w:t>.</w:t>
            </w:r>
          </w:p>
        </w:tc>
        <w:tc>
          <w:tcPr>
            <w:tcW w:w="4876" w:type="dxa"/>
          </w:tcPr>
          <w:p w:rsidR="00230DF9" w:rsidRPr="00046771" w:rsidRDefault="00230DF9" w:rsidP="00A53B22">
            <w:pPr>
              <w:pStyle w:val="Normal6"/>
              <w:rPr>
                <w:szCs w:val="24"/>
              </w:rPr>
            </w:pPr>
            <w:r w:rsidRPr="00046771">
              <w:t>2.</w:t>
            </w:r>
            <w:r w:rsidRPr="00046771">
              <w:tab/>
              <w:t xml:space="preserve">Om en behörig myndighet </w:t>
            </w:r>
            <w:r w:rsidRPr="00046771">
              <w:rPr>
                <w:b/>
                <w:i/>
              </w:rPr>
              <w:t>inte får</w:t>
            </w:r>
            <w:r w:rsidRPr="00046771">
              <w:t xml:space="preserve"> tillgång till uppgifterna </w:t>
            </w:r>
            <w:r w:rsidRPr="00046771">
              <w:rPr>
                <w:b/>
                <w:i/>
              </w:rPr>
              <w:t>efter att ha kontaktat användaren av databehandlingstjänsten, och om det inte finns någon särskild samarbetsmekanism enligt unionslagstiftningen eller internationella avtal för utbyte av uppgifter mellan behöriga myndigheter i olika medlemsstater,</w:t>
            </w:r>
            <w:r w:rsidRPr="00046771">
              <w:t xml:space="preserve"> får </w:t>
            </w:r>
            <w:r w:rsidRPr="00046771">
              <w:rPr>
                <w:b/>
                <w:i/>
              </w:rPr>
              <w:t>denna behöriga myndighet</w:t>
            </w:r>
            <w:r w:rsidRPr="00046771">
              <w:t xml:space="preserve"> begära hjälp av en behörig myndighet i en annan medlemsstat i enlighet med det förfarande som fastställs i artikel 7</w:t>
            </w:r>
            <w:r w:rsidRPr="00046771">
              <w:rPr>
                <w:b/>
                <w:i/>
              </w:rPr>
              <w:t>.</w:t>
            </w:r>
            <w:r w:rsidRPr="00046771">
              <w:t xml:space="preserve"> Den tillfrågade behöriga myndigheten ska tillhandahålla hjälp i enlighet med </w:t>
            </w:r>
            <w:r w:rsidRPr="00046771">
              <w:rPr>
                <w:b/>
                <w:i/>
              </w:rPr>
              <w:t>det</w:t>
            </w:r>
            <w:r w:rsidRPr="00046771">
              <w:rPr>
                <w:b/>
              </w:rPr>
              <w:t xml:space="preserve"> </w:t>
            </w:r>
            <w:r w:rsidRPr="00046771">
              <w:t>förfarandet.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34</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5 – punkt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3.</w:t>
            </w:r>
            <w:r w:rsidRPr="00046771">
              <w:tab/>
              <w:t xml:space="preserve">Om en begäran om hjälp innebär att den tillfrågade myndigheten ska få tillträde till en fysisk eller juridisk persons lokaler, inbegripet till utrustning och medel för </w:t>
            </w:r>
            <w:r w:rsidRPr="00046771">
              <w:rPr>
                <w:b/>
                <w:i/>
              </w:rPr>
              <w:t>datalagring eller annan</w:t>
            </w:r>
            <w:r w:rsidRPr="00046771">
              <w:t xml:space="preserve"> databehandling, måste sådant tillträde ske i överensstämmelse med </w:t>
            </w:r>
            <w:r w:rsidRPr="00046771">
              <w:rPr>
                <w:b/>
                <w:i/>
              </w:rPr>
              <w:t>unionens</w:t>
            </w:r>
            <w:r w:rsidRPr="00046771">
              <w:t xml:space="preserve"> eller </w:t>
            </w:r>
            <w:r w:rsidRPr="00046771">
              <w:rPr>
                <w:b/>
                <w:i/>
              </w:rPr>
              <w:t>medlemsstaternas processrättslagstiftning</w:t>
            </w:r>
            <w:r w:rsidRPr="00046771">
              <w:t>.</w:t>
            </w:r>
          </w:p>
        </w:tc>
        <w:tc>
          <w:tcPr>
            <w:tcW w:w="4876" w:type="dxa"/>
          </w:tcPr>
          <w:p w:rsidR="00230DF9" w:rsidRPr="00046771" w:rsidRDefault="00230DF9" w:rsidP="00A53B22">
            <w:pPr>
              <w:pStyle w:val="Normal6"/>
              <w:rPr>
                <w:szCs w:val="24"/>
              </w:rPr>
            </w:pPr>
            <w:r w:rsidRPr="00046771">
              <w:t>3.</w:t>
            </w:r>
            <w:r w:rsidRPr="00046771">
              <w:tab/>
              <w:t xml:space="preserve">Om en begäran om hjälp innebär att den tillfrågade myndigheten ska få tillträde till en fysisk eller juridisk persons lokaler, inbegripet till utrustning och medel för databehandling, måste sådant tillträde ske i överensstämmelse med </w:t>
            </w:r>
            <w:r w:rsidRPr="00046771">
              <w:rPr>
                <w:b/>
                <w:i/>
              </w:rPr>
              <w:t>unionsrätten</w:t>
            </w:r>
            <w:r w:rsidRPr="00046771">
              <w:t xml:space="preserve"> eller </w:t>
            </w:r>
            <w:r w:rsidRPr="00046771">
              <w:rPr>
                <w:b/>
                <w:i/>
              </w:rPr>
              <w:t>processrättslagstiftningen i den medlemsstat där lokalerna eller utrustningen finns</w:t>
            </w:r>
            <w:r w:rsidRPr="00046771">
              <w: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35</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5 – punkt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hideMark/>
          </w:tcPr>
          <w:p w:rsidR="00230DF9" w:rsidRPr="00046771" w:rsidRDefault="00230DF9" w:rsidP="00A53B22">
            <w:pPr>
              <w:pStyle w:val="Normal6"/>
            </w:pPr>
            <w:r w:rsidRPr="00046771">
              <w:rPr>
                <w:b/>
                <w:i/>
              </w:rPr>
              <w:t>4.</w:t>
            </w:r>
            <w:r w:rsidRPr="00046771">
              <w:rPr>
                <w:b/>
                <w:i/>
              </w:rPr>
              <w:tab/>
              <w:t>Punkt 2 ska tillämpas endast om det inte finns någon särskild samarbetsmekanism enligt unionslagstiftning eller internationella avtal för utbyte av uppgifter mellan behöriga myndigheter i olika medlemsstater.</w:t>
            </w:r>
          </w:p>
        </w:tc>
        <w:tc>
          <w:tcPr>
            <w:tcW w:w="4876" w:type="dxa"/>
            <w:hideMark/>
          </w:tcPr>
          <w:p w:rsidR="00230DF9" w:rsidRPr="00046771" w:rsidRDefault="00230DF9" w:rsidP="00A53B22">
            <w:pPr>
              <w:pStyle w:val="Normal6"/>
              <w:rPr>
                <w:szCs w:val="24"/>
              </w:rPr>
            </w:pPr>
            <w:r w:rsidRPr="00046771">
              <w:rPr>
                <w:b/>
                <w:i/>
              </w:rPr>
              <w:t>utgår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36</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6 – punkt 1 – inledningen</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w:t>
            </w:r>
            <w:r w:rsidRPr="00046771">
              <w:tab/>
              <w:t>Kommissionen ska uppmuntra och underlätta utarbetandet av självreglerande uppförandekoder på unionsnivå</w:t>
            </w:r>
            <w:r w:rsidRPr="00046771">
              <w:rPr>
                <w:b/>
                <w:i/>
              </w:rPr>
              <w:t>, för att fastställa</w:t>
            </w:r>
            <w:r w:rsidRPr="00046771">
              <w:t xml:space="preserve"> riktlinjer för </w:t>
            </w:r>
            <w:r w:rsidRPr="00046771">
              <w:rPr>
                <w:b/>
                <w:i/>
              </w:rPr>
              <w:t>bästa praxis när det gäller att underlätta byte av leverantörer och för att säkerställa att leverantörerna förser professionella användare med tillräckligt detaljerad, tydlig och öppen information innan ett avtal om datalagring och databehandling ingås, vad gäller</w:t>
            </w:r>
            <w:r w:rsidRPr="00046771">
              <w:t xml:space="preserve"> följande frågor:</w:t>
            </w:r>
          </w:p>
        </w:tc>
        <w:tc>
          <w:tcPr>
            <w:tcW w:w="4876" w:type="dxa"/>
          </w:tcPr>
          <w:p w:rsidR="00230DF9" w:rsidRPr="00046771" w:rsidRDefault="00230DF9" w:rsidP="00A53B22">
            <w:pPr>
              <w:pStyle w:val="Normal6"/>
              <w:rPr>
                <w:szCs w:val="24"/>
              </w:rPr>
            </w:pPr>
            <w:r w:rsidRPr="00046771">
              <w:t>1.</w:t>
            </w:r>
            <w:r w:rsidRPr="00046771">
              <w:tab/>
              <w:t>Kommissionen ska</w:t>
            </w:r>
            <w:r w:rsidRPr="00046771">
              <w:rPr>
                <w:b/>
                <w:i/>
              </w:rPr>
              <w:t>, för att bidra till en konkurrenskraftig dataekonomi,</w:t>
            </w:r>
            <w:r w:rsidRPr="00046771">
              <w:t xml:space="preserve"> uppmuntra och underlätta utarbetandet av självreglerande uppförandekoder på unionsnivå </w:t>
            </w:r>
            <w:r w:rsidRPr="00046771">
              <w:rPr>
                <w:b/>
                <w:i/>
              </w:rPr>
              <w:t>som bygger på principen om öppenhet och genom vilka</w:t>
            </w:r>
            <w:r w:rsidRPr="00046771">
              <w:t xml:space="preserve"> riktlinjer </w:t>
            </w:r>
            <w:r w:rsidRPr="00046771">
              <w:rPr>
                <w:b/>
                <w:i/>
              </w:rPr>
              <w:t>fastställs</w:t>
            </w:r>
            <w:r w:rsidRPr="00046771">
              <w:t xml:space="preserve"> för </w:t>
            </w:r>
            <w:r w:rsidRPr="00046771">
              <w:rPr>
                <w:b/>
                <w:i/>
              </w:rPr>
              <w:t>bland annat</w:t>
            </w:r>
            <w:r w:rsidRPr="00046771">
              <w:t xml:space="preserve"> följande frågor: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37</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6 – punkt 1 – led -a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(-a)</w:t>
            </w:r>
            <w:r w:rsidRPr="00046771">
              <w:rPr>
                <w:b/>
                <w:i/>
              </w:rPr>
              <w:tab/>
              <w:t>bästa praxis för att underlätta byte av leverantörer och dataportering genom ett strukturerat, allmänt använt, interoperabelt och maskinläsbart format, inbegripet format med öppna standarder där så krävs eller begärs av den tjänsteleverantör som tar emot uppgifterna;</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38</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6 – punkt 1 – led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(a)</w:t>
            </w:r>
            <w:r w:rsidRPr="00046771">
              <w:tab/>
              <w:t xml:space="preserve">de processer, tekniska krav, tidsramar och avgifter som gäller om en professionell användare vill byta till en annan leverantör eller portera data tillbaka till sina egna it-system, </w:t>
            </w:r>
            <w:r w:rsidRPr="00046771">
              <w:rPr>
                <w:b/>
                <w:i/>
              </w:rPr>
              <w:t>inbegripet processerna och platsen för eventuell backup av data, tillgängliga dataformat och datastöd, erforderlig it-konfiguration och minsta nätbandbredd; den tid som krävs innan porteringsprocessen inleds och den tid under vilken uppgifterna kommer att förbli tillgängliga för portering</w:t>
            </w:r>
            <w:r w:rsidRPr="00046771">
              <w:t>; garantierna för tillgång till uppgifter om leverantören gör konkurs;</w:t>
            </w:r>
          </w:p>
        </w:tc>
        <w:tc>
          <w:tcPr>
            <w:tcW w:w="4876" w:type="dxa"/>
          </w:tcPr>
          <w:p w:rsidR="00230DF9" w:rsidRPr="00046771" w:rsidRDefault="00230DF9" w:rsidP="00A53B22">
            <w:pPr>
              <w:pStyle w:val="Normal6"/>
              <w:rPr>
                <w:szCs w:val="24"/>
              </w:rPr>
            </w:pPr>
            <w:r w:rsidRPr="00046771">
              <w:t>(a)</w:t>
            </w:r>
            <w:r w:rsidRPr="00046771">
              <w:tab/>
            </w:r>
            <w:r w:rsidRPr="00046771">
              <w:rPr>
                <w:b/>
                <w:i/>
              </w:rPr>
              <w:t>minimikrav i fråga om information för att säkerställa att professionella användare ges tillräckligt detaljerad, tydlig och överskådlig information, innan ett avtal om lagring och behandling av data ingås, när det gäller</w:t>
            </w:r>
            <w:r w:rsidRPr="00046771">
              <w:t xml:space="preserve"> de processer, tekniska krav, tidsramar och avgifter som gäller om en professionell användare vill byta till en annan leverantör eller portera data tillbaka till sina egna it-system; garantierna för tillgång till uppgifter om leverantören gör konkurs;</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39</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6 – punkt 1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hideMark/>
          </w:tcPr>
          <w:p w:rsidR="00230DF9" w:rsidRPr="00046771" w:rsidRDefault="00230DF9" w:rsidP="00A53B22">
            <w:pPr>
              <w:pStyle w:val="Normal6"/>
            </w:pPr>
            <w:r w:rsidRPr="00046771">
              <w:rPr>
                <w:b/>
                <w:i/>
              </w:rPr>
              <w:t>(b)</w:t>
            </w:r>
            <w:r w:rsidRPr="00046771">
              <w:rPr>
                <w:b/>
                <w:i/>
              </w:rPr>
              <w:tab/>
              <w:t>de operativa kraven för leverantörsbyte eller dataportering i ett strukturerat, allmänt använt och maskinläsbart format som medger tillräckligt med tid för användaren att byta leverantör eller portera data.</w:t>
            </w:r>
          </w:p>
        </w:tc>
        <w:tc>
          <w:tcPr>
            <w:tcW w:w="4876" w:type="dxa"/>
            <w:hideMark/>
          </w:tcPr>
          <w:p w:rsidR="00230DF9" w:rsidRPr="00046771" w:rsidRDefault="00230DF9" w:rsidP="00A53B22">
            <w:pPr>
              <w:pStyle w:val="Normal6"/>
              <w:rPr>
                <w:szCs w:val="24"/>
              </w:rPr>
            </w:pPr>
            <w:r w:rsidRPr="00046771">
              <w:rPr>
                <w:b/>
                <w:i/>
              </w:rPr>
              <w:t>utgår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40</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6 – punkt 1a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1a.</w:t>
            </w:r>
            <w:r w:rsidRPr="00046771">
              <w:rPr>
                <w:b/>
                <w:i/>
              </w:rPr>
              <w:tab/>
              <w:t>Kommissionen ska säkerställa att de uppförandekoder som avses i punkt 1 utarbetas i nära samarbete med alla berörda parter, däribland sammanslutningar av små och medelstora företag och uppstartsföretag, användare och leverantörer av molntjänster.</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41</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6 – punkt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2.</w:t>
            </w:r>
            <w:r w:rsidRPr="00046771">
              <w:tab/>
              <w:t xml:space="preserve">Kommissionen ska uppmuntra leverantörer att på ett effektivt sätt </w:t>
            </w:r>
            <w:r w:rsidRPr="00046771">
              <w:rPr>
                <w:b/>
                <w:i/>
              </w:rPr>
              <w:t>tillämpa de uppföranderegler som avses i punkt 1 inom ett år</w:t>
            </w:r>
            <w:r w:rsidRPr="00046771">
              <w:t xml:space="preserve"> efter det att denna förordning </w:t>
            </w:r>
            <w:r w:rsidRPr="00046771">
              <w:rPr>
                <w:b/>
                <w:i/>
              </w:rPr>
              <w:t>börjar tillämpas</w:t>
            </w:r>
            <w:r w:rsidRPr="00046771">
              <w:t>.</w:t>
            </w:r>
          </w:p>
        </w:tc>
        <w:tc>
          <w:tcPr>
            <w:tcW w:w="4876" w:type="dxa"/>
          </w:tcPr>
          <w:p w:rsidR="00230DF9" w:rsidRPr="00046771" w:rsidRDefault="00230DF9" w:rsidP="00A53B22">
            <w:pPr>
              <w:pStyle w:val="Normal6"/>
              <w:rPr>
                <w:szCs w:val="24"/>
              </w:rPr>
            </w:pPr>
            <w:r w:rsidRPr="00046771">
              <w:t>2.</w:t>
            </w:r>
            <w:r w:rsidRPr="00046771">
              <w:tab/>
              <w:t xml:space="preserve">Kommissionen ska uppmuntra leverantörer att </w:t>
            </w:r>
            <w:r w:rsidRPr="00046771">
              <w:rPr>
                <w:b/>
                <w:i/>
              </w:rPr>
              <w:t>slutföra utarbetandet av de uppförandekoder som avses i punkt 1 senaste den … [12 månader efter det att denna förordning har offentliggjorts] och</w:t>
            </w:r>
            <w:r w:rsidRPr="00046771">
              <w:t xml:space="preserve"> på ett effektivt sätt </w:t>
            </w:r>
            <w:r w:rsidRPr="00046771">
              <w:rPr>
                <w:b/>
                <w:i/>
              </w:rPr>
              <w:t>genomföra dem senast den ... [24 månader</w:t>
            </w:r>
            <w:r w:rsidRPr="00046771">
              <w:t xml:space="preserve"> efter det att</w:t>
            </w:r>
            <w:r w:rsidRPr="00046771">
              <w:rPr>
                <w:b/>
              </w:rPr>
              <w:t xml:space="preserve"> </w:t>
            </w:r>
            <w:r w:rsidRPr="00046771">
              <w:t>denna förordning</w:t>
            </w:r>
            <w:r w:rsidRPr="00046771">
              <w:rPr>
                <w:b/>
                <w:i/>
              </w:rPr>
              <w:t xml:space="preserve"> har offentliggjorts</w:t>
            </w:r>
            <w:r w:rsidRPr="00046771">
              <w:t>].</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42</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6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hideMark/>
          </w:tcPr>
          <w:p w:rsidR="00230DF9" w:rsidRPr="00046771" w:rsidRDefault="00230DF9" w:rsidP="00A53B22">
            <w:pPr>
              <w:pStyle w:val="Normal6"/>
            </w:pPr>
            <w:r w:rsidRPr="00046771">
              <w:rPr>
                <w:b/>
                <w:i/>
              </w:rPr>
              <w:t>3.</w:t>
            </w:r>
            <w:r w:rsidRPr="00046771">
              <w:rPr>
                <w:b/>
                <w:i/>
              </w:rPr>
              <w:tab/>
              <w:t>Kommissionen ska se över utarbetandet och det faktiska genomförandet av sådana uppförandekoder och det faktiska tillhandahållandet av information från leverantörer senast två år efter det att denna förordning börjar tillämpas.</w:t>
            </w:r>
          </w:p>
        </w:tc>
        <w:tc>
          <w:tcPr>
            <w:tcW w:w="4876" w:type="dxa"/>
            <w:hideMark/>
          </w:tcPr>
          <w:p w:rsidR="00230DF9" w:rsidRPr="00046771" w:rsidRDefault="00230DF9" w:rsidP="00A53B22">
            <w:pPr>
              <w:pStyle w:val="Normal6"/>
              <w:rPr>
                <w:szCs w:val="24"/>
              </w:rPr>
            </w:pPr>
            <w:r w:rsidRPr="00046771">
              <w:rPr>
                <w:b/>
                <w:i/>
              </w:rPr>
              <w:t>utgår</w:t>
            </w:r>
          </w:p>
        </w:tc>
      </w:tr>
    </w:tbl>
    <w:p w:rsidR="00230DF9" w:rsidRPr="00046771" w:rsidRDefault="00230DF9" w:rsidP="00230DF9"/>
    <w:p w:rsidR="00230DF9" w:rsidRPr="00046771" w:rsidRDefault="00230DF9" w:rsidP="00230DF9">
      <w:pPr>
        <w:pStyle w:val="AMNumberTabs"/>
      </w:pPr>
      <w:r w:rsidRPr="00046771">
        <w:t>Ändringsförslag</w:t>
      </w:r>
      <w:r w:rsidRPr="00046771">
        <w:tab/>
      </w:r>
      <w:r w:rsidRPr="00046771">
        <w:tab/>
        <w:t>43</w:t>
      </w:r>
    </w:p>
    <w:p w:rsidR="00230DF9" w:rsidRPr="00046771" w:rsidRDefault="00230DF9" w:rsidP="00230DF9">
      <w:pPr>
        <w:pStyle w:val="NormalBold12b"/>
      </w:pPr>
      <w:r w:rsidRPr="00046771">
        <w:t>Förslag till förordning</w:t>
      </w:r>
    </w:p>
    <w:p w:rsidR="00230DF9" w:rsidRPr="00046771" w:rsidRDefault="00230DF9" w:rsidP="00230DF9">
      <w:pPr>
        <w:pStyle w:val="NormalBold"/>
      </w:pPr>
      <w:r w:rsidRPr="00046771">
        <w:t>Artikel 7 – punkt 6a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trHeight w:hRule="exact" w:val="240"/>
          <w:jc w:val="center"/>
        </w:trPr>
        <w:tc>
          <w:tcPr>
            <w:tcW w:w="9752" w:type="dxa"/>
            <w:gridSpan w:val="2"/>
          </w:tcPr>
          <w:p w:rsidR="00230DF9" w:rsidRPr="00046771" w:rsidRDefault="00230DF9" w:rsidP="00A53B22"/>
        </w:tc>
      </w:tr>
      <w:tr w:rsidR="00230DF9" w:rsidRPr="00046771" w:rsidTr="00A53B22">
        <w:trPr>
          <w:trHeight w:val="240"/>
          <w:jc w:val="center"/>
        </w:trPr>
        <w:tc>
          <w:tcPr>
            <w:tcW w:w="4876" w:type="dxa"/>
          </w:tcPr>
          <w:p w:rsidR="00230DF9" w:rsidRPr="00046771" w:rsidRDefault="00230DF9" w:rsidP="00A53B22">
            <w:pPr>
              <w:pStyle w:val="ColumnHeading"/>
            </w:pPr>
            <w:r w:rsidRPr="00046771">
              <w:t>Kommissionens förslag</w:t>
            </w:r>
          </w:p>
        </w:tc>
        <w:tc>
          <w:tcPr>
            <w:tcW w:w="4876" w:type="dxa"/>
          </w:tcPr>
          <w:p w:rsidR="00230DF9" w:rsidRPr="00046771" w:rsidRDefault="00230DF9" w:rsidP="00A53B22">
            <w:pPr>
              <w:pStyle w:val="ColumnHeading"/>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pPr>
            <w:r w:rsidRPr="00046771">
              <w:rPr>
                <w:b/>
                <w:i/>
              </w:rPr>
              <w:t>6a.</w:t>
            </w:r>
            <w:r w:rsidRPr="00046771">
              <w:tab/>
            </w:r>
            <w:r w:rsidRPr="00046771">
              <w:rPr>
                <w:b/>
                <w:i/>
              </w:rPr>
              <w:t>De gemensamma kontaktpunkterna ska ge användarna allmän information om denna förordning, särskilt beträffande utarbetandet av de uppförandekoder som avses i artikel 6.</w:t>
            </w:r>
          </w:p>
        </w:tc>
      </w:tr>
    </w:tbl>
    <w:p w:rsidR="00230DF9" w:rsidRPr="00046771" w:rsidRDefault="00230DF9" w:rsidP="00230DF9">
      <w:pPr>
        <w:pStyle w:val="JustificationTitle"/>
      </w:pPr>
      <w:r w:rsidRPr="00046771">
        <w:t>Motivering</w:t>
      </w:r>
    </w:p>
    <w:p w:rsidR="00230DF9" w:rsidRPr="00046771" w:rsidRDefault="00230DF9" w:rsidP="00230DF9">
      <w:pPr>
        <w:pStyle w:val="Normal12Italic"/>
      </w:pPr>
      <w:r w:rsidRPr="00046771">
        <w:t>De gemensamma kontaktpunkternas know-how kan utnyttjas inte bara som en förbindelselänk mellan medlemsstaterna och kommissionen utan också för att koppla samman institutionerna med användarna.</w:t>
      </w:r>
    </w:p>
    <w:p w:rsidR="00230DF9" w:rsidRPr="00046771" w:rsidRDefault="00230DF9" w:rsidP="00230DF9">
      <w:pPr>
        <w:pStyle w:val="AMNumberTabs"/>
        <w:keepNext/>
      </w:pPr>
      <w:r w:rsidRPr="00046771">
        <w:t>Ändringsförslag</w:t>
      </w:r>
      <w:r w:rsidRPr="00046771">
        <w:tab/>
      </w:r>
      <w:r w:rsidRPr="00046771">
        <w:tab/>
        <w:t>44</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9 – punkt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r w:rsidRPr="00046771">
              <w:t>1.</w:t>
            </w:r>
            <w:r w:rsidRPr="00046771">
              <w:tab/>
              <w:t>Senast den [</w:t>
            </w:r>
            <w:r w:rsidRPr="00046771">
              <w:rPr>
                <w:b/>
                <w:i/>
              </w:rPr>
              <w:t>5</w:t>
            </w:r>
            <w:r w:rsidRPr="00046771">
              <w:t xml:space="preserve"> år efter det </w:t>
            </w:r>
            <w:r w:rsidRPr="00046771">
              <w:rPr>
                <w:b/>
                <w:i/>
              </w:rPr>
              <w:t>datum som nämns i artikel 10.2</w:t>
            </w:r>
            <w:r w:rsidRPr="00046771">
              <w:t xml:space="preserve">] ska kommissionen </w:t>
            </w:r>
            <w:r w:rsidRPr="00046771">
              <w:rPr>
                <w:b/>
                <w:i/>
              </w:rPr>
              <w:t>genomföra en översyn av denna förordning och</w:t>
            </w:r>
            <w:r w:rsidRPr="00046771">
              <w:t xml:space="preserve"> lägga fram en rapport </w:t>
            </w:r>
            <w:r w:rsidRPr="00046771">
              <w:rPr>
                <w:b/>
                <w:i/>
              </w:rPr>
              <w:t>om de viktigaste slutsatserna</w:t>
            </w:r>
            <w:r w:rsidRPr="00046771">
              <w:t xml:space="preserve"> för Europaparlamentet, rådet och Europeiska ekonomiska och sociala kommittén.</w:t>
            </w:r>
          </w:p>
        </w:tc>
        <w:tc>
          <w:tcPr>
            <w:tcW w:w="4876" w:type="dxa"/>
          </w:tcPr>
          <w:p w:rsidR="00230DF9" w:rsidRPr="00046771" w:rsidRDefault="00230DF9" w:rsidP="00A53B22">
            <w:pPr>
              <w:pStyle w:val="Normal6"/>
              <w:rPr>
                <w:szCs w:val="24"/>
              </w:rPr>
            </w:pPr>
            <w:r w:rsidRPr="00046771">
              <w:t>1.</w:t>
            </w:r>
            <w:r w:rsidRPr="00046771">
              <w:tab/>
              <w:t>Senast den [</w:t>
            </w:r>
            <w:r w:rsidRPr="00046771">
              <w:rPr>
                <w:b/>
                <w:i/>
              </w:rPr>
              <w:t>3</w:t>
            </w:r>
            <w:r w:rsidRPr="00046771">
              <w:t xml:space="preserve"> år </w:t>
            </w:r>
            <w:r w:rsidRPr="00046771">
              <w:rPr>
                <w:b/>
                <w:i/>
              </w:rPr>
              <w:t>och 6 månader</w:t>
            </w:r>
            <w:r w:rsidRPr="00046771">
              <w:t xml:space="preserve"> efter det </w:t>
            </w:r>
            <w:r w:rsidRPr="00046771">
              <w:rPr>
                <w:b/>
                <w:i/>
              </w:rPr>
              <w:t>att denna förordning har offentliggjorts</w:t>
            </w:r>
            <w:r w:rsidRPr="00046771">
              <w:t xml:space="preserve">] ska kommissionen lägga fram en rapport för Europaparlamentet, rådet och Europeiska ekonomiska och sociala kommittén </w:t>
            </w:r>
            <w:r w:rsidRPr="00046771">
              <w:rPr>
                <w:b/>
                <w:i/>
              </w:rPr>
              <w:t>som utvärderar genomförandet av denna förordning, särskilt när det gäller följande:</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pPr>
            <w:r w:rsidRPr="00046771">
              <w:rPr>
                <w:b/>
                <w:i/>
              </w:rPr>
              <w:t>(a)</w:t>
            </w:r>
            <w:r w:rsidRPr="00046771">
              <w:rPr>
                <w:b/>
                <w:i/>
              </w:rPr>
              <w:tab/>
              <w:t>Tillämpningen av denna förordning på blandade datamängder, särskilt mot bakgrund av marknadsutvecklingen och den tekniska utvecklingen, som kan komma att öka möjligheterna att avanonymisera data.</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pPr>
            <w:r w:rsidRPr="00046771">
              <w:rPr>
                <w:b/>
                <w:i/>
              </w:rPr>
              <w:t>(b)</w:t>
            </w:r>
            <w:r w:rsidRPr="00046771">
              <w:rPr>
                <w:b/>
                <w:i/>
              </w:rPr>
              <w:tab/>
              <w:t>Medlemsstaternas genomförande av artikel 4.1, särskilt undantaget avseende allmän säkerhet.</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pPr>
            <w:r w:rsidRPr="00046771">
              <w:rPr>
                <w:b/>
                <w:i/>
              </w:rPr>
              <w:t>(c)</w:t>
            </w:r>
            <w:r w:rsidRPr="00046771">
              <w:rPr>
                <w:b/>
                <w:i/>
              </w:rPr>
              <w:tab/>
              <w:t>Utarbetandet och ett effektivt genomförande av de uppförandekoder som avses i artikel 6 och leverantörers effektiva tillhandahållande av information.</w:t>
            </w:r>
          </w:p>
        </w:tc>
      </w:tr>
    </w:tbl>
    <w:p w:rsidR="00230DF9" w:rsidRPr="00046771" w:rsidRDefault="00230DF9" w:rsidP="00230DF9"/>
    <w:p w:rsidR="00230DF9" w:rsidRPr="00046771" w:rsidRDefault="00230DF9" w:rsidP="00230DF9">
      <w:pPr>
        <w:pStyle w:val="AMNumberTabs"/>
        <w:keepNext/>
      </w:pPr>
      <w:r w:rsidRPr="00046771">
        <w:t>Ändringsförslag</w:t>
      </w:r>
      <w:r w:rsidRPr="00046771">
        <w:tab/>
      </w:r>
      <w:r w:rsidRPr="00046771">
        <w:tab/>
        <w:t>45</w:t>
      </w:r>
    </w:p>
    <w:p w:rsidR="00230DF9" w:rsidRPr="00046771" w:rsidRDefault="00230DF9" w:rsidP="00230DF9"/>
    <w:p w:rsidR="00230DF9" w:rsidRPr="00046771" w:rsidRDefault="00230DF9" w:rsidP="00230DF9">
      <w:pPr>
        <w:pStyle w:val="NormalBold"/>
        <w:keepNext/>
      </w:pPr>
      <w:r w:rsidRPr="00046771">
        <w:t>Förslag till förordning</w:t>
      </w:r>
    </w:p>
    <w:p w:rsidR="00230DF9" w:rsidRPr="00046771" w:rsidRDefault="00230DF9" w:rsidP="00230DF9">
      <w:pPr>
        <w:pStyle w:val="NormalBold"/>
      </w:pPr>
      <w:r w:rsidRPr="00046771">
        <w:t>Artikel 9 – punkt 2a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tcPr>
          <w:p w:rsidR="00230DF9" w:rsidRPr="00046771" w:rsidRDefault="00230DF9" w:rsidP="00A53B22">
            <w:pPr>
              <w:pStyle w:val="ColumnHeading"/>
              <w:keepNext/>
            </w:pPr>
            <w:r w:rsidRPr="00046771">
              <w:t>Kommissionens förslag</w:t>
            </w:r>
          </w:p>
        </w:tc>
        <w:tc>
          <w:tcPr>
            <w:tcW w:w="4876" w:type="dxa"/>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tcPr>
          <w:p w:rsidR="00230DF9" w:rsidRPr="00046771" w:rsidRDefault="00230DF9" w:rsidP="00A53B22">
            <w:pPr>
              <w:pStyle w:val="Normal6"/>
            </w:pPr>
          </w:p>
        </w:tc>
        <w:tc>
          <w:tcPr>
            <w:tcW w:w="4876" w:type="dxa"/>
          </w:tcPr>
          <w:p w:rsidR="00230DF9" w:rsidRPr="00046771" w:rsidRDefault="00230DF9" w:rsidP="00A53B22">
            <w:pPr>
              <w:pStyle w:val="Normal6"/>
              <w:rPr>
                <w:szCs w:val="24"/>
              </w:rPr>
            </w:pPr>
            <w:r w:rsidRPr="00046771">
              <w:rPr>
                <w:b/>
                <w:i/>
              </w:rPr>
              <w:t>2a.</w:t>
            </w:r>
            <w:r w:rsidRPr="00046771">
              <w:rPr>
                <w:b/>
                <w:i/>
              </w:rPr>
              <w:tab/>
              <w:t>Senast den … [6 månader efter det att denna förordning har offentliggjorts] ska kommissionen offentliggöra riktlinjer för samspelet mellan denna förordning och förordning (EU) 2016/679 med avseende på blandade datamängder.</w:t>
            </w:r>
          </w:p>
        </w:tc>
      </w:tr>
    </w:tbl>
    <w:p w:rsidR="00230DF9" w:rsidRPr="00046771" w:rsidRDefault="00230DF9" w:rsidP="00230DF9">
      <w:pPr>
        <w:pStyle w:val="AMNumberTabs"/>
        <w:keepNext/>
      </w:pPr>
      <w:r w:rsidRPr="00046771">
        <w:t>Ändringsförslag</w:t>
      </w:r>
      <w:r w:rsidRPr="00046771">
        <w:tab/>
      </w:r>
      <w:r w:rsidRPr="00046771">
        <w:tab/>
        <w:t>46</w:t>
      </w:r>
    </w:p>
    <w:p w:rsidR="00230DF9" w:rsidRPr="00046771" w:rsidRDefault="00230DF9" w:rsidP="00230DF9">
      <w:pPr>
        <w:pStyle w:val="NormalBold12b"/>
        <w:keepNext/>
      </w:pPr>
      <w:r w:rsidRPr="00046771">
        <w:t>Förslag till förordning</w:t>
      </w:r>
    </w:p>
    <w:p w:rsidR="00230DF9" w:rsidRPr="00046771" w:rsidRDefault="00230DF9" w:rsidP="00230DF9">
      <w:pPr>
        <w:pStyle w:val="NormalBold"/>
      </w:pPr>
      <w:r w:rsidRPr="00046771">
        <w:t>Artikel 10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0DF9" w:rsidRPr="00046771" w:rsidTr="00A53B22">
        <w:trPr>
          <w:jc w:val="center"/>
        </w:trPr>
        <w:tc>
          <w:tcPr>
            <w:tcW w:w="9752" w:type="dxa"/>
            <w:gridSpan w:val="2"/>
          </w:tcPr>
          <w:p w:rsidR="00230DF9" w:rsidRPr="00046771" w:rsidRDefault="00230DF9" w:rsidP="00A53B22">
            <w:pPr>
              <w:keepNext/>
            </w:pPr>
          </w:p>
        </w:tc>
      </w:tr>
      <w:tr w:rsidR="00230DF9" w:rsidRPr="00046771" w:rsidTr="00A53B22">
        <w:trPr>
          <w:jc w:val="center"/>
        </w:trPr>
        <w:tc>
          <w:tcPr>
            <w:tcW w:w="4876" w:type="dxa"/>
            <w:hideMark/>
          </w:tcPr>
          <w:p w:rsidR="00230DF9" w:rsidRPr="00046771" w:rsidRDefault="00230DF9" w:rsidP="00A53B22">
            <w:pPr>
              <w:pStyle w:val="ColumnHeading"/>
              <w:keepNext/>
            </w:pPr>
            <w:r w:rsidRPr="00046771">
              <w:t>Kommissionens förslag</w:t>
            </w:r>
          </w:p>
        </w:tc>
        <w:tc>
          <w:tcPr>
            <w:tcW w:w="4876" w:type="dxa"/>
            <w:hideMark/>
          </w:tcPr>
          <w:p w:rsidR="00230DF9" w:rsidRPr="00046771" w:rsidRDefault="00230DF9" w:rsidP="00A53B22">
            <w:pPr>
              <w:pStyle w:val="ColumnHeading"/>
              <w:keepNext/>
            </w:pPr>
            <w:r w:rsidRPr="00046771">
              <w:t>Ändringsförslag</w:t>
            </w:r>
          </w:p>
        </w:tc>
      </w:tr>
      <w:tr w:rsidR="00230DF9" w:rsidRPr="00046771" w:rsidTr="00A53B22">
        <w:trPr>
          <w:jc w:val="center"/>
        </w:trPr>
        <w:tc>
          <w:tcPr>
            <w:tcW w:w="4876" w:type="dxa"/>
            <w:hideMark/>
          </w:tcPr>
          <w:p w:rsidR="00230DF9" w:rsidRPr="00046771" w:rsidRDefault="00230DF9" w:rsidP="00A53B22">
            <w:pPr>
              <w:pStyle w:val="Normal6"/>
            </w:pPr>
            <w:r w:rsidRPr="00046771">
              <w:t>2.</w:t>
            </w:r>
            <w:r w:rsidRPr="00046771">
              <w:tab/>
              <w:t>Denna förordning ska tillämpas från och med sex månader efter offentliggörandet.</w:t>
            </w:r>
          </w:p>
        </w:tc>
        <w:tc>
          <w:tcPr>
            <w:tcW w:w="4876" w:type="dxa"/>
            <w:hideMark/>
          </w:tcPr>
          <w:p w:rsidR="00230DF9" w:rsidRPr="00046771" w:rsidRDefault="00230DF9" w:rsidP="00A53B22">
            <w:pPr>
              <w:pStyle w:val="Normal6"/>
            </w:pPr>
            <w:r w:rsidRPr="00046771">
              <w:t>2.</w:t>
            </w:r>
            <w:r w:rsidRPr="00046771">
              <w:tab/>
              <w:t>Denna förordning ska tillämpas från och med sex månader efter offentliggörandet.</w:t>
            </w:r>
          </w:p>
          <w:p w:rsidR="00230DF9" w:rsidRPr="00046771" w:rsidRDefault="00230DF9" w:rsidP="00A53B22">
            <w:pPr>
              <w:pStyle w:val="Normal6"/>
            </w:pPr>
            <w:r w:rsidRPr="00046771">
              <w:rPr>
                <w:b/>
                <w:i/>
              </w:rPr>
              <w:t>Artikel 9.2a ska dock tillämpas från och med den … [en dag efter ikraftträdandet av denna förordning].</w:t>
            </w:r>
          </w:p>
        </w:tc>
      </w:tr>
    </w:tbl>
    <w:p w:rsidR="00230DF9" w:rsidRPr="00046771" w:rsidRDefault="00230DF9" w:rsidP="00230DF9"/>
    <w:p w:rsidR="00230DF9" w:rsidRPr="00046771" w:rsidRDefault="00230DF9" w:rsidP="00230DF9"/>
    <w:sectPr w:rsidR="00230DF9" w:rsidRPr="00046771" w:rsidSect="00093376">
      <w:footerReference w:type="default" r:id="rId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97" w:rsidRPr="00093376" w:rsidRDefault="00527997">
      <w:r w:rsidRPr="00093376">
        <w:separator/>
      </w:r>
    </w:p>
  </w:endnote>
  <w:endnote w:type="continuationSeparator" w:id="0">
    <w:p w:rsidR="00527997" w:rsidRPr="00093376" w:rsidRDefault="00527997">
      <w:r w:rsidRPr="000933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76" w:rsidRDefault="00093376" w:rsidP="00046771">
    <w:pPr>
      <w:pStyle w:val="Footer"/>
      <w:tabs>
        <w:tab w:val="clear" w:pos="9639"/>
        <w:tab w:val="right" w:pos="9184"/>
      </w:tabs>
    </w:pPr>
  </w:p>
  <w:p w:rsidR="00046771" w:rsidRDefault="00046771" w:rsidP="00046771">
    <w:pPr>
      <w:pStyle w:val="Footer"/>
      <w:pBdr>
        <w:top w:val="single" w:sz="2" w:space="1" w:color="000000"/>
      </w:pBdr>
      <w:tabs>
        <w:tab w:val="clear" w:pos="9639"/>
        <w:tab w:val="right" w:pos="9184"/>
      </w:tabs>
    </w:pPr>
    <w:r>
      <w:tab/>
    </w:r>
    <w:r w:rsidRPr="00046771">
      <w:rPr>
        <w:rStyle w:val="HideTWBExt"/>
      </w:rPr>
      <w:t>&lt;NuPE&gt;</w:t>
    </w:r>
    <w:r>
      <w:t>PE</w:t>
    </w:r>
    <w:r w:rsidR="003D4E1F">
      <w:t>624.109</w:t>
    </w:r>
    <w:r w:rsidRPr="00046771">
      <w:rPr>
        <w:rStyle w:val="HideTWBExt"/>
      </w:rPr>
      <w:t>&lt;/NuPE&gt;</w:t>
    </w:r>
    <w:r>
      <w:t xml:space="preserve">/ </w:t>
    </w:r>
    <w:r>
      <w:fldChar w:fldCharType="begin"/>
    </w:r>
    <w:r>
      <w:instrText xml:space="preserve"> PAGE  \* MERGEFORMAT </w:instrText>
    </w:r>
    <w:r>
      <w:fldChar w:fldCharType="separate"/>
    </w:r>
    <w:r w:rsidR="003D4E1F">
      <w:rPr>
        <w:noProof/>
      </w:rPr>
      <w:t>1</w:t>
    </w:r>
    <w:r>
      <w:fldChar w:fldCharType="end"/>
    </w:r>
  </w:p>
  <w:p w:rsidR="00046771" w:rsidRPr="00046771" w:rsidRDefault="00046771" w:rsidP="00046771">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97" w:rsidRPr="00093376" w:rsidRDefault="00527997">
      <w:r w:rsidRPr="00093376">
        <w:separator/>
      </w:r>
    </w:p>
  </w:footnote>
  <w:footnote w:type="continuationSeparator" w:id="0">
    <w:p w:rsidR="00527997" w:rsidRPr="00093376" w:rsidRDefault="00527997">
      <w:r w:rsidRPr="0009337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01/2018"/>
    <w:docVar w:name="dvlangue" w:val="SV"/>
    <w:docVar w:name="dvnumam" w:val="81"/>
    <w:docVar w:name="dvpe" w:val="619.038"/>
    <w:docVar w:name="dvrapporteur" w:val="Föredragande: "/>
    <w:docVar w:name="dvtitre" w:val="Europaparlamentets lagstiftningsresolution av den xx xx 2018 om förslaget till Europaparlamentets och rådets förordning om en ram för det fria flödet av icke-personuppgifter i Europeiska unionen(COM(2017)0495 – C8-0312/2017 – 2017/0228(COD))"/>
    <w:docVar w:name="TA_Comm_A5Nr" w:val="A8-0201/2018"/>
    <w:docVar w:name="TA_Comm_Langue" w:val="SV"/>
    <w:docVar w:name="TA_Comm_NrAM" w:val="001-046"/>
    <w:docVar w:name="TA_Type" w:val="TA_COMM"/>
  </w:docVars>
  <w:rsids>
    <w:rsidRoot w:val="00527997"/>
    <w:rsid w:val="00002272"/>
    <w:rsid w:val="00046771"/>
    <w:rsid w:val="000677B9"/>
    <w:rsid w:val="00093376"/>
    <w:rsid w:val="000E7DD9"/>
    <w:rsid w:val="0010095E"/>
    <w:rsid w:val="00125B37"/>
    <w:rsid w:val="001A6A57"/>
    <w:rsid w:val="00230DF9"/>
    <w:rsid w:val="002767FF"/>
    <w:rsid w:val="002854FD"/>
    <w:rsid w:val="002B5493"/>
    <w:rsid w:val="00361C00"/>
    <w:rsid w:val="00395FA1"/>
    <w:rsid w:val="003D4E1F"/>
    <w:rsid w:val="003E15D4"/>
    <w:rsid w:val="00411CCE"/>
    <w:rsid w:val="0041666E"/>
    <w:rsid w:val="00421060"/>
    <w:rsid w:val="00494A28"/>
    <w:rsid w:val="0050519A"/>
    <w:rsid w:val="005072A1"/>
    <w:rsid w:val="00514517"/>
    <w:rsid w:val="00527997"/>
    <w:rsid w:val="0058270D"/>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24120"/>
    <w:rsid w:val="00B558F0"/>
    <w:rsid w:val="00BD7BD8"/>
    <w:rsid w:val="00C05BFE"/>
    <w:rsid w:val="00C23CD4"/>
    <w:rsid w:val="00C941CB"/>
    <w:rsid w:val="00CC2357"/>
    <w:rsid w:val="00D058B8"/>
    <w:rsid w:val="00D834A0"/>
    <w:rsid w:val="00D91E21"/>
    <w:rsid w:val="00E365E1"/>
    <w:rsid w:val="00E559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6145"/>
  <w15:chartTrackingRefBased/>
  <w15:docId w15:val="{C19199DA-A448-4468-A585-2658C78A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230DF9"/>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230DF9"/>
    <w:rPr>
      <w:b/>
      <w:sz w:val="24"/>
      <w:lang w:val="sv-SE"/>
    </w:rPr>
  </w:style>
  <w:style w:type="paragraph" w:customStyle="1" w:styleId="Normal12Italic">
    <w:name w:val="Normal12Italic"/>
    <w:basedOn w:val="Normal"/>
    <w:rsid w:val="00230DF9"/>
    <w:pPr>
      <w:spacing w:before="240"/>
    </w:pPr>
    <w:rPr>
      <w:i/>
    </w:rPr>
  </w:style>
  <w:style w:type="paragraph" w:customStyle="1" w:styleId="JustificationTitle">
    <w:name w:val="JustificationTitle"/>
    <w:basedOn w:val="Normal"/>
    <w:next w:val="Normal12"/>
    <w:rsid w:val="00230DF9"/>
    <w:pPr>
      <w:keepNext/>
      <w:spacing w:before="240"/>
      <w:jc w:val="center"/>
    </w:pPr>
    <w:rPr>
      <w:i/>
    </w:rPr>
  </w:style>
  <w:style w:type="paragraph" w:customStyle="1" w:styleId="ColumnHeading">
    <w:name w:val="ColumnHeading"/>
    <w:basedOn w:val="Normal"/>
    <w:rsid w:val="00230DF9"/>
    <w:pPr>
      <w:spacing w:after="240"/>
      <w:jc w:val="center"/>
    </w:pPr>
    <w:rPr>
      <w:i/>
    </w:rPr>
  </w:style>
  <w:style w:type="paragraph" w:customStyle="1" w:styleId="AMNumberTabs">
    <w:name w:val="AMNumberTabs"/>
    <w:basedOn w:val="Normal"/>
    <w:rsid w:val="00230DF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230DF9"/>
    <w:pPr>
      <w:spacing w:before="240"/>
    </w:pPr>
    <w:rPr>
      <w:b/>
    </w:rPr>
  </w:style>
  <w:style w:type="character" w:customStyle="1" w:styleId="Normal12Char">
    <w:name w:val="Normal12 Char"/>
    <w:link w:val="Normal12"/>
    <w:locked/>
    <w:rsid w:val="00230DF9"/>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5838</Words>
  <Characters>38457</Characters>
  <Application>Microsoft Office Word</Application>
  <DocSecurity>0</DocSecurity>
  <Lines>1479</Lines>
  <Paragraphs>410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2018-09-28T09:03:00Z</dcterms:created>
  <dcterms:modified xsi:type="dcterms:W3CDTF">2018-09-28T09:03:00Z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A8-0201_001-046</vt:lpwstr>
  </property>
  <property fmtid="{D5CDD505-2E9C-101B-9397-08002B2CF9AE}" pid="4" name="&lt;Type&gt;">
    <vt:lpwstr>AM</vt:lpwstr>
  </property>
</Properties>
</file>