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  <w:r w:rsidRPr="00737B9C">
        <w:rPr>
          <w:rStyle w:val="HideTWBExt"/>
        </w:rPr>
        <w:t>&lt;Date&gt;</w:t>
      </w:r>
      <w:r>
        <w:t>2.7.2018</w:t>
      </w:r>
      <w:r w:rsidRPr="00737B9C">
        <w:rPr>
          <w:rStyle w:val="HideTWBExt"/>
        </w:rPr>
        <w:t>&lt;/Date&gt;</w:t>
      </w:r>
      <w:r>
        <w:tab/>
        <w:t xml:space="preserve">A8-0219/ </w:t>
      </w:r>
      <w:r w:rsidRPr="00737B9C">
        <w:rPr>
          <w:rStyle w:val="HideTWBExt"/>
        </w:rPr>
        <w:t>&lt;NumOfAM&gt;</w:t>
      </w:r>
      <w:r>
        <w:t>001-011</w:t>
      </w:r>
      <w:bookmarkStart w:id="0" w:name="_GoBack"/>
      <w:bookmarkEnd w:id="0"/>
      <w:r w:rsidRPr="00737B9C">
        <w:rPr>
          <w:rStyle w:val="HideTWBExt"/>
        </w:rPr>
        <w:t>&lt;/NumOfAM&gt;</w:t>
      </w: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  <w:r>
        <w:rPr>
          <w:b/>
        </w:rPr>
        <w:t xml:space="preserve">POPRAWKI 001-011 </w:t>
      </w:r>
    </w:p>
    <w:p w:rsidR="00737B9C" w:rsidRDefault="00DE123E" w:rsidP="00737B9C">
      <w:pPr>
        <w:tabs>
          <w:tab w:val="right" w:pos="9184"/>
        </w:tabs>
      </w:pPr>
      <w:r>
        <w:t>Poprawki złożyła</w:t>
      </w:r>
      <w:r w:rsidR="00737B9C">
        <w:t xml:space="preserve"> </w:t>
      </w:r>
      <w:r w:rsidR="00737B9C" w:rsidRPr="00737B9C">
        <w:rPr>
          <w:rStyle w:val="HideTWBExt"/>
        </w:rPr>
        <w:t>&lt;Committee&gt;</w:t>
      </w:r>
      <w:r w:rsidR="00737B9C">
        <w:t>Komisja Gospodarcza i Monetarna</w:t>
      </w:r>
      <w:r w:rsidR="00737B9C" w:rsidRPr="00737B9C">
        <w:rPr>
          <w:rStyle w:val="HideTWBExt"/>
        </w:rPr>
        <w:t>&lt;/Committee&gt;</w:t>
      </w: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  <w:rPr>
          <w:b/>
        </w:rPr>
      </w:pPr>
      <w:r>
        <w:rPr>
          <w:b/>
        </w:rPr>
        <w:t>Sprawozdanie</w:t>
      </w:r>
    </w:p>
    <w:p w:rsidR="00737B9C" w:rsidRDefault="00737B9C" w:rsidP="00737B9C">
      <w:pPr>
        <w:tabs>
          <w:tab w:val="right" w:pos="9184"/>
        </w:tabs>
        <w:rPr>
          <w:b/>
        </w:rPr>
      </w:pPr>
      <w:r w:rsidRPr="00737B9C">
        <w:rPr>
          <w:rStyle w:val="HideTWBExt"/>
        </w:rPr>
        <w:t>&lt;Chairman&gt;</w:t>
      </w:r>
      <w:r>
        <w:rPr>
          <w:b/>
        </w:rPr>
        <w:t xml:space="preserve">Gabriel Mato, Danuta Maria Hübner </w:t>
      </w:r>
      <w:r w:rsidRPr="00737B9C">
        <w:rPr>
          <w:rStyle w:val="HideTWBExt"/>
        </w:rPr>
        <w:t>&lt;/Chairman&gt;</w:t>
      </w:r>
      <w:r>
        <w:rPr>
          <w:b/>
        </w:rPr>
        <w:tab/>
      </w:r>
      <w:r w:rsidRPr="00737B9C">
        <w:rPr>
          <w:rStyle w:val="HideTWBExt"/>
        </w:rPr>
        <w:t>&lt;A5Nr&gt;</w:t>
      </w:r>
      <w:r>
        <w:rPr>
          <w:b/>
        </w:rPr>
        <w:t>A8-0219/2018</w:t>
      </w:r>
      <w:r w:rsidRPr="00737B9C">
        <w:rPr>
          <w:rStyle w:val="HideTWBExt"/>
        </w:rPr>
        <w:t>&lt;/A5Nr&gt;</w:t>
      </w:r>
    </w:p>
    <w:p w:rsidR="00737B9C" w:rsidRDefault="00737B9C" w:rsidP="00737B9C">
      <w:pPr>
        <w:tabs>
          <w:tab w:val="right" w:pos="9184"/>
        </w:tabs>
      </w:pPr>
      <w:r w:rsidRPr="00737B9C">
        <w:rPr>
          <w:rStyle w:val="HideTWBExt"/>
        </w:rPr>
        <w:t>&lt;ShortTitel&gt;</w:t>
      </w:r>
      <w:r>
        <w:t>Statut Europejskiego Systemu Banków Centralnych i Europejskiego Banku Centralnego</w:t>
      </w:r>
      <w:r w:rsidRPr="00737B9C">
        <w:rPr>
          <w:rStyle w:val="HideTWBExt"/>
        </w:rPr>
        <w:t>&lt;/ShortTitel&gt;</w:t>
      </w: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  <w:r w:rsidRPr="00737B9C">
        <w:rPr>
          <w:rStyle w:val="HideTWBExt"/>
        </w:rPr>
        <w:t>&lt;Procedure&gt;</w:t>
      </w:r>
      <w:r>
        <w:t>Wniosek dotyczący decyzji</w:t>
      </w:r>
      <w:r w:rsidRPr="00737B9C">
        <w:rPr>
          <w:rStyle w:val="HideTWBExt"/>
        </w:rPr>
        <w:t>&lt;/Procedure&gt;</w:t>
      </w:r>
      <w:r>
        <w:t xml:space="preserve"> </w:t>
      </w:r>
      <w:r w:rsidRPr="00737B9C">
        <w:rPr>
          <w:rStyle w:val="HideTWBExt"/>
        </w:rPr>
        <w:t>&lt;ReferenceNo&gt;</w:t>
      </w:r>
      <w:r>
        <w:t>(10850/2017 – ECB/2017/18 - C8-0228/2017 – 2017/0810(COD))</w:t>
      </w:r>
      <w:r w:rsidRPr="00737B9C">
        <w:rPr>
          <w:rStyle w:val="HideTWBExt"/>
        </w:rPr>
        <w:t>&lt;/ReferenceNo&gt;</w:t>
      </w: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</w:pPr>
    </w:p>
    <w:p w:rsidR="00737B9C" w:rsidRDefault="00737B9C" w:rsidP="00737B9C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737B9C" w:rsidRDefault="00737B9C" w:rsidP="00737B9C">
      <w:pPr>
        <w:tabs>
          <w:tab w:val="right" w:pos="9184"/>
        </w:tabs>
        <w:jc w:val="center"/>
      </w:pPr>
    </w:p>
    <w:p w:rsidR="008872EE" w:rsidRPr="00737B9C" w:rsidRDefault="008872EE" w:rsidP="00737B9C">
      <w:pPr>
        <w:pStyle w:val="AMNumberTabs"/>
      </w:pPr>
      <w:r w:rsidRPr="00737B9C">
        <w:t>Poprawka</w:t>
      </w:r>
      <w:r w:rsidRPr="00737B9C">
        <w:tab/>
      </w:r>
      <w:r w:rsidRPr="00737B9C">
        <w:tab/>
        <w:t>1</w:t>
      </w:r>
    </w:p>
    <w:p w:rsidR="008872EE" w:rsidRPr="00737B9C" w:rsidRDefault="008872EE" w:rsidP="008872EE">
      <w:pPr>
        <w:pStyle w:val="NormalBold12b"/>
      </w:pPr>
      <w:r w:rsidRPr="00737B9C">
        <w:t>Wniosek dotyczący decyzji</w:t>
      </w:r>
    </w:p>
    <w:p w:rsidR="008872EE" w:rsidRPr="00737B9C" w:rsidRDefault="008872EE" w:rsidP="008872EE">
      <w:pPr>
        <w:pStyle w:val="NormalBold"/>
      </w:pPr>
      <w:r w:rsidRPr="00737B9C">
        <w:t>Motyw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872EE" w:rsidRPr="00737B9C" w:rsidTr="00B43C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/>
        </w:tc>
      </w:tr>
      <w:tr w:rsidR="008872EE" w:rsidRPr="00737B9C" w:rsidTr="00B43C44">
        <w:trPr>
          <w:trHeight w:val="240"/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</w:pPr>
            <w:r w:rsidRPr="00737B9C">
              <w:t>Projekt</w:t>
            </w:r>
            <w:r w:rsidR="008872EE" w:rsidRPr="00737B9C">
              <w:t xml:space="preserve"> Europejski</w:t>
            </w:r>
            <w:r w:rsidRPr="00737B9C">
              <w:t>ego</w:t>
            </w:r>
            <w:r w:rsidR="008872EE" w:rsidRPr="00737B9C">
              <w:t xml:space="preserve"> Bank</w:t>
            </w:r>
            <w:r w:rsidRPr="00737B9C">
              <w:t>u</w:t>
            </w:r>
            <w:r w:rsidR="008872EE" w:rsidRPr="00737B9C">
              <w:t xml:space="preserve"> Centraln</w:t>
            </w:r>
            <w:r w:rsidRPr="00737B9C">
              <w:t>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(1)</w:t>
            </w:r>
            <w:r w:rsidRPr="00737B9C">
              <w:tab/>
              <w:t>Podstawowe zadania wykonywane poprzez Europejski System Banków Centralnych (ESBC) obejmują definiowanie i realizację polityki pieniężnej Unii oraz wspieranie sprawnego funkcjonowania systemów płatniczych. Bezpieczne i efektywne infrastruktury rynku finansowego, w szczególności systemy rozliczeń, są konieczne do wypełniania tych podstawowych zadań.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(1)</w:t>
            </w:r>
            <w:r w:rsidRPr="00737B9C">
              <w:tab/>
              <w:t>Podstawowe zadania wykonywane poprzez Europejski System Banków Centralnych (ESBC) obejmują definiowanie i realizację polityki pieniężnej Unii oraz wspieranie sprawnego funkcjonowania systemów płatniczych</w:t>
            </w:r>
            <w:r w:rsidRPr="00737B9C">
              <w:rPr>
                <w:b/>
                <w:i/>
              </w:rPr>
              <w:t>, co ma zasadnicze znaczenie dla utrzymania stabilności finansowej</w:t>
            </w:r>
            <w:r w:rsidRPr="00737B9C">
              <w:t>. Bezpieczne i efektywne infrastruktury rynku finansowego, w szczególności systemy rozliczeń, są konieczne do wypełniania tych podstawowych zadań.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</w:pPr>
      <w:r w:rsidRPr="00737B9C">
        <w:t>Poprawka</w:t>
      </w:r>
      <w:r w:rsidRPr="00737B9C">
        <w:tab/>
      </w:r>
      <w:r w:rsidRPr="00737B9C">
        <w:tab/>
        <w:t>2</w:t>
      </w:r>
    </w:p>
    <w:p w:rsidR="008872EE" w:rsidRPr="00737B9C" w:rsidRDefault="008872EE" w:rsidP="008872EE">
      <w:pPr>
        <w:pStyle w:val="NormalBold12b"/>
      </w:pPr>
      <w:r w:rsidRPr="00737B9C">
        <w:t>Wniosek dotyczący decyzji</w:t>
      </w:r>
    </w:p>
    <w:p w:rsidR="008872EE" w:rsidRPr="00737B9C" w:rsidRDefault="008872EE" w:rsidP="008872EE">
      <w:pPr>
        <w:pStyle w:val="NormalBold"/>
      </w:pPr>
      <w:r w:rsidRPr="00737B9C">
        <w:t>Motyw 3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872EE" w:rsidRPr="00737B9C" w:rsidTr="00B43C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/>
        </w:tc>
      </w:tr>
      <w:tr w:rsidR="008872EE" w:rsidRPr="00737B9C" w:rsidTr="00B43C44">
        <w:trPr>
          <w:trHeight w:val="240"/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</w:pPr>
            <w:r w:rsidRPr="00737B9C">
              <w:lastRenderedPageBreak/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i/>
              </w:rPr>
            </w:pPr>
            <w:r w:rsidRPr="00737B9C">
              <w:t>(3)</w:t>
            </w:r>
            <w:r w:rsidRPr="00737B9C">
              <w:rPr>
                <w:b/>
                <w:i/>
              </w:rPr>
              <w:tab/>
            </w:r>
            <w:r w:rsidRPr="00737B9C">
              <w:t>W dniu</w:t>
            </w:r>
            <w:r w:rsidRPr="00737B9C">
              <w:rPr>
                <w:b/>
                <w:i/>
              </w:rPr>
              <w:t xml:space="preserve"> 4 marca</w:t>
            </w:r>
            <w:r w:rsidRPr="00737B9C">
              <w:t xml:space="preserve"> 2015 r. Sąd wydał wyrok w sprawie Zjednoczone Królestwo przeciwko EBC, T-496/117, w którym uznał, że EBC nie ma kompetencji niezbędnej do regulowania działalności systemów</w:t>
            </w:r>
            <w:r w:rsidRPr="00737B9C">
              <w:rPr>
                <w:b/>
                <w:i/>
              </w:rPr>
              <w:t xml:space="preserve"> rozliczeń</w:t>
            </w:r>
            <w:r w:rsidRPr="00737B9C">
              <w:t>. Sąd stwierdził, że art. 129 ust. 3 Traktatu umożliwia Parlamentowi Europejskiemu i Radzie stanowiącym zgodnie ze zwykłą procedurą ustawodawczą, na zalecenie EBC lub na wniosek Komisji, zmianę art. 22 Statutu Europejskiego Systemu Banków Centralnych i Europejskiego Banku Centralnego</w:t>
            </w:r>
            <w:r w:rsidRPr="00737B9C">
              <w:rPr>
                <w:b/>
                <w:i/>
              </w:rPr>
              <w:t xml:space="preserve"> </w:t>
            </w:r>
            <w:r w:rsidRPr="00737B9C">
              <w:t>(zwanego dalej</w:t>
            </w:r>
            <w:r w:rsidRPr="00737B9C">
              <w:rPr>
                <w:b/>
                <w:i/>
              </w:rPr>
              <w:t xml:space="preserve"> </w:t>
            </w:r>
            <w:r w:rsidRPr="00737B9C">
              <w:t>„Statutem ESBC”).</w:t>
            </w:r>
            <w:r w:rsidRPr="00737B9C">
              <w:rPr>
                <w:b/>
                <w:i/>
              </w:rPr>
              <w:t xml:space="preserve"> Sąd</w:t>
            </w:r>
            <w:r w:rsidRPr="00737B9C">
              <w:t xml:space="preserve"> stwierdził, że</w:t>
            </w:r>
            <w:r w:rsidRPr="00737B9C">
              <w:rPr>
                <w:b/>
                <w:i/>
              </w:rPr>
              <w:t xml:space="preserve"> »do EBC</w:t>
            </w:r>
            <w:r w:rsidRPr="00737B9C">
              <w:t xml:space="preserve"> należy, w przypadku gdy uzna on, że przyznanie mu uprawnienia do regulacji infrastruktur dokonujących rozliczeń transakcji przeprowadzanych na papierach wartościowych jest niezbędne do zapewnienia należytego wykonywania zadania, o którym mowa w art. 127 ust. 2 tiret czwarte TFUE, zwrócenie się do prawodawcy Unii z wnioskiem o zmianę art. 22 Statutu poprzez dodanie wyraźnego odesłania do systemów rozliczania papierów wartościowych.</w:t>
            </w:r>
            <w:r w:rsidRPr="00737B9C">
              <w:rPr>
                <w:b/>
                <w:i/>
              </w:rPr>
              <w:t>«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i/>
              </w:rPr>
            </w:pPr>
            <w:r w:rsidRPr="00737B9C">
              <w:t>(3)</w:t>
            </w:r>
            <w:r w:rsidRPr="00737B9C">
              <w:rPr>
                <w:b/>
                <w:i/>
              </w:rPr>
              <w:tab/>
            </w:r>
            <w:r w:rsidRPr="00737B9C">
              <w:t>W dniu</w:t>
            </w:r>
            <w:r w:rsidRPr="00737B9C">
              <w:rPr>
                <w:b/>
                <w:i/>
              </w:rPr>
              <w:t xml:space="preserve"> 4 marca</w:t>
            </w:r>
            <w:r w:rsidRPr="00737B9C">
              <w:t xml:space="preserve"> 2015 r. Sąd wydał wyrok w sprawie Zjednoczone Królestwo przeciwko EBC, T-496/117, w którym uznał, że</w:t>
            </w:r>
            <w:r w:rsidRPr="00737B9C">
              <w:rPr>
                <w:b/>
                <w:i/>
              </w:rPr>
              <w:t xml:space="preserve"> „</w:t>
            </w:r>
            <w:r w:rsidRPr="00737B9C">
              <w:t>EBC nie ma kompetencji niezbędnej do regulowania działalności systemów</w:t>
            </w:r>
            <w:r w:rsidRPr="00737B9C">
              <w:rPr>
                <w:b/>
                <w:i/>
              </w:rPr>
              <w:t xml:space="preserve"> rozliczania papierów wartościowych, a tym samym należy stwierdzić nieważność ram polityki nadzorczej z powodu braku właściwości w zakresie, w jakim nakładają one na kontrahentów centralnych biorących udział w rozliczaniu finansowych papierów wartościowych wymóg lokalizacji w strefie euro”</w:t>
            </w:r>
            <w:r w:rsidRPr="00737B9C">
              <w:t>. Sąd stwierdził, że art. 129 ust. 3 Traktatu umożliwia Parlamentowi Europejskiemu i Radzie stanowiącym zgodnie ze zwykłą procedurą ustawodawczą, na zalecenie EBC lub na wniosek Komisji, zmianę art. 22 Statutu Europejskiego Systemu Banków Centralnych i Europejskiego Banku Centralnego</w:t>
            </w:r>
            <w:r w:rsidRPr="00737B9C">
              <w:rPr>
                <w:b/>
                <w:i/>
              </w:rPr>
              <w:t xml:space="preserve"> </w:t>
            </w:r>
            <w:r w:rsidRPr="00737B9C">
              <w:t>(zwanego dalej</w:t>
            </w:r>
            <w:r w:rsidRPr="00737B9C">
              <w:rPr>
                <w:b/>
                <w:i/>
              </w:rPr>
              <w:t xml:space="preserve"> </w:t>
            </w:r>
            <w:r w:rsidRPr="00737B9C">
              <w:t>„Statutem ESBC”). Stwierdził</w:t>
            </w:r>
            <w:r w:rsidRPr="00737B9C">
              <w:rPr>
                <w:b/>
                <w:i/>
              </w:rPr>
              <w:t xml:space="preserve"> zatem</w:t>
            </w:r>
            <w:r w:rsidRPr="00737B9C">
              <w:t>, że</w:t>
            </w:r>
            <w:r w:rsidRPr="00737B9C">
              <w:rPr>
                <w:b/>
                <w:i/>
              </w:rPr>
              <w:t xml:space="preserve"> „do EBC</w:t>
            </w:r>
            <w:r w:rsidRPr="00737B9C">
              <w:t xml:space="preserve"> należy, w przypadku gdy uzna on, że przyznanie mu uprawnienia do regulacji infrastruktur dokonujących rozliczeń transakcji przeprowadzanych na papierach wartościowych jest niezbędne do zapewnienia należytego wykonywania zadania, o którym mowa w art. 127 ust. 2 tiret czwarte TFUE, zwrócenie się do prawodawcy Unii z wnioskiem o zmianę art. 22 Statutu poprzez dodanie wyraźnego odesłania do systemów rozliczania papierów wartościowych.</w:t>
            </w:r>
            <w:r w:rsidRPr="00737B9C">
              <w:rPr>
                <w:b/>
                <w:i/>
              </w:rPr>
              <w:t>”.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_________________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_________________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rPr>
                <w:rStyle w:val="SupBoldItalic"/>
                <w:color w:val="auto"/>
              </w:rPr>
              <w:t>7</w:t>
            </w:r>
            <w:r w:rsidRPr="00737B9C">
              <w:t xml:space="preserve"> 1 ECLI: UE:T:2015:133.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rPr>
                <w:rStyle w:val="SupBoldItalic"/>
                <w:color w:val="auto"/>
              </w:rPr>
              <w:t>7</w:t>
            </w:r>
            <w:r w:rsidRPr="00737B9C">
              <w:t xml:space="preserve"> 1 ECLI: UE:T:2015:133.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</w:pPr>
      <w:r w:rsidRPr="00737B9C">
        <w:t>Poprawka</w:t>
      </w:r>
      <w:r w:rsidRPr="00737B9C">
        <w:tab/>
      </w:r>
      <w:r w:rsidRPr="00737B9C">
        <w:tab/>
        <w:t>3</w:t>
      </w:r>
    </w:p>
    <w:p w:rsidR="008872EE" w:rsidRPr="00737B9C" w:rsidRDefault="008872EE" w:rsidP="008872EE">
      <w:pPr>
        <w:pStyle w:val="NormalBold12b"/>
      </w:pPr>
      <w:r w:rsidRPr="00737B9C">
        <w:t>Wniosek dotyczący decyzji</w:t>
      </w:r>
    </w:p>
    <w:p w:rsidR="008872EE" w:rsidRPr="00737B9C" w:rsidRDefault="008872EE" w:rsidP="008872EE">
      <w:pPr>
        <w:pStyle w:val="NormalBold"/>
      </w:pPr>
      <w:r w:rsidRPr="00737B9C">
        <w:t>Motyw 3 a (nowy)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872EE" w:rsidRPr="00737B9C" w:rsidTr="00B43C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/>
        </w:tc>
      </w:tr>
      <w:tr w:rsidR="008872EE" w:rsidRPr="00737B9C" w:rsidTr="00B43C44">
        <w:trPr>
          <w:trHeight w:val="240"/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rPr>
                <w:b/>
                <w:i/>
              </w:rPr>
              <w:t>(3a)</w:t>
            </w:r>
            <w:r w:rsidRPr="00737B9C">
              <w:rPr>
                <w:b/>
                <w:i/>
              </w:rPr>
              <w:tab/>
              <w:t>Chociaż systemy rozliczeń papierów wartościowych są jednym z rodzajów systemów płatności, w świetle wyroku Sądu z dnia 4 marca 2015 r. w sprawie T-496/11 konieczne jest doprecyzowanie tej kwestii, a zatem wyraźne określenie zakresu kompetencji, do którego należą systemy rozliczeń papierów wartościowych, w drodze zmiany art. 22 Statutu Europejskiego Systemu Banków Centralnych i Europejskiego Banku Centralnego.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</w:pPr>
      <w:r w:rsidRPr="00737B9C">
        <w:t>Poprawka</w:t>
      </w:r>
      <w:r w:rsidRPr="00737B9C">
        <w:tab/>
      </w:r>
      <w:r w:rsidRPr="00737B9C">
        <w:tab/>
        <w:t>4</w:t>
      </w:r>
    </w:p>
    <w:p w:rsidR="008872EE" w:rsidRPr="00737B9C" w:rsidRDefault="008872EE" w:rsidP="008872EE">
      <w:pPr>
        <w:pStyle w:val="NormalBold12b"/>
      </w:pPr>
      <w:r w:rsidRPr="00737B9C">
        <w:t>Wniosek dotyczący decyzji</w:t>
      </w:r>
    </w:p>
    <w:p w:rsidR="008872EE" w:rsidRPr="00737B9C" w:rsidRDefault="008872EE" w:rsidP="008872EE">
      <w:pPr>
        <w:pStyle w:val="NormalBold"/>
      </w:pPr>
      <w:r w:rsidRPr="00737B9C">
        <w:t>Motyw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872EE" w:rsidRPr="00737B9C" w:rsidTr="00B43C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/>
        </w:tc>
      </w:tr>
      <w:tr w:rsidR="008872EE" w:rsidRPr="00737B9C" w:rsidTr="00B43C44">
        <w:trPr>
          <w:trHeight w:val="240"/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(4)</w:t>
            </w:r>
            <w:r w:rsidRPr="00737B9C">
              <w:tab/>
              <w:t xml:space="preserve">Oczekuje się, że znaczące zmiany, zarówno na poziomie europejskim, jak i globalnym, zwiększą ryzyko, że zakłócenia dotykające </w:t>
            </w:r>
            <w:r w:rsidRPr="00737B9C">
              <w:rPr>
                <w:b/>
                <w:i/>
              </w:rPr>
              <w:t>systemy</w:t>
            </w:r>
            <w:r w:rsidRPr="00737B9C">
              <w:t xml:space="preserve"> rozliczeń, a w szczególności kontrahentów centralnych, zagrożą sprawnemu funkcjonowaniu systemów płatniczych oraz implementacji wspólnej polityki pieniężnej, wpływając przez to na możliwość osiągnięcia podstawowego celu Eurosystemu, jakim jest utrzymanie stabilności cen.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(4)</w:t>
            </w:r>
            <w:r w:rsidRPr="00737B9C">
              <w:tab/>
              <w:t xml:space="preserve">Oczekuje się, że znaczące zmiany, zarówno na poziomie europejskim, jak i globalnym, zwiększą ryzyko, że zakłócenia dotykające </w:t>
            </w:r>
            <w:r w:rsidRPr="00737B9C">
              <w:rPr>
                <w:b/>
                <w:i/>
              </w:rPr>
              <w:t>systemu</w:t>
            </w:r>
            <w:r w:rsidRPr="00737B9C">
              <w:t xml:space="preserve"> rozliczeń, a w szczególności kontrahentów centralnych, zagrożą sprawnemu funkcjonowaniu systemów płatniczych oraz implementacji wspólnej polityki pieniężnej, wpływając przez to</w:t>
            </w:r>
            <w:r w:rsidRPr="00737B9C">
              <w:rPr>
                <w:b/>
                <w:i/>
              </w:rPr>
              <w:t xml:space="preserve"> na stabilność finansową, w tym</w:t>
            </w:r>
            <w:r w:rsidRPr="00737B9C">
              <w:t xml:space="preserve"> na możliwość osiągnięcia podstawowego celu Eurosystemu, jakim jest utrzymanie stabilności cen.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  <w:keepNext/>
      </w:pPr>
      <w:r w:rsidRPr="00737B9C">
        <w:t>Poprawka</w:t>
      </w:r>
      <w:r w:rsidRPr="00737B9C">
        <w:tab/>
      </w:r>
      <w:r w:rsidRPr="00737B9C">
        <w:tab/>
        <w:t>5</w:t>
      </w:r>
    </w:p>
    <w:p w:rsidR="008872EE" w:rsidRPr="00737B9C" w:rsidRDefault="008872EE" w:rsidP="008872EE">
      <w:pPr>
        <w:pStyle w:val="NormalBold12b"/>
        <w:keepNext/>
      </w:pPr>
      <w:r w:rsidRPr="00737B9C">
        <w:t>Projekt decyzji</w:t>
      </w:r>
    </w:p>
    <w:p w:rsidR="008872EE" w:rsidRPr="00737B9C" w:rsidRDefault="008872EE" w:rsidP="008872EE">
      <w:pPr>
        <w:pStyle w:val="NormalBold"/>
        <w:keepNext/>
      </w:pPr>
      <w:r w:rsidRPr="00737B9C">
        <w:t>Motyw 5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72EE" w:rsidRPr="00737B9C" w:rsidTr="00B43C44">
        <w:trPr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>
            <w:pPr>
              <w:keepNext/>
            </w:pP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  <w:keepNext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bCs/>
                <w:i/>
                <w:iCs/>
              </w:rPr>
            </w:pPr>
            <w:r w:rsidRPr="00737B9C">
              <w:rPr>
                <w:b/>
                <w:bCs/>
                <w:i/>
                <w:iCs/>
              </w:rPr>
              <w:t xml:space="preserve">(5) W dniu 29 marca 2017 r. Zjednoczone Królestwo Wielkiej Brytanii i Irlandii Północnej poinformowało Radę Europejską o zamiarze wystąpienia z Unii Europejskiej. Wystąpienie Zjednoczonego Królestwa spowoduje fundamentalną zmianę w sposobie, w jaki regulowane i </w:t>
            </w:r>
            <w:r w:rsidRPr="00737B9C">
              <w:rPr>
                <w:b/>
                <w:bCs/>
                <w:i/>
                <w:iCs/>
              </w:rPr>
              <w:lastRenderedPageBreak/>
              <w:t xml:space="preserve">nadzorowane są niektóre denominowane w euro rozliczenia o znaczeniu systemowym oraz w jaki prowadzony jest nadzór ostrożnościowy nad tymi rozliczeniami, a tym samym negatywnie wpłynie na zdolność Eurosystemu do monitorowania ryzyk zagrażających należytemu funkcjonowaniu systemów płatniczych oraz do zarządzenia tymi ryzykami, jak również do implementacji polityki pieniężnej Eurosystemu. 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bCs/>
                <w:i/>
                <w:iCs/>
              </w:rPr>
            </w:pPr>
            <w:r w:rsidRPr="00737B9C">
              <w:rPr>
                <w:b/>
                <w:bCs/>
                <w:i/>
                <w:iCs/>
              </w:rPr>
              <w:lastRenderedPageBreak/>
              <w:t>skreśla się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</w:pPr>
      <w:r w:rsidRPr="00737B9C">
        <w:t>Poprawka</w:t>
      </w:r>
      <w:r w:rsidRPr="00737B9C">
        <w:tab/>
      </w:r>
      <w:r w:rsidRPr="00737B9C">
        <w:tab/>
        <w:t>6</w:t>
      </w:r>
    </w:p>
    <w:p w:rsidR="008872EE" w:rsidRPr="00737B9C" w:rsidRDefault="008872EE" w:rsidP="008872EE">
      <w:pPr>
        <w:pStyle w:val="NormalBold12b"/>
      </w:pPr>
      <w:r w:rsidRPr="00737B9C">
        <w:t>Wniosek dotyczący decyzji</w:t>
      </w:r>
    </w:p>
    <w:p w:rsidR="008872EE" w:rsidRPr="00737B9C" w:rsidRDefault="008872EE" w:rsidP="008872EE">
      <w:pPr>
        <w:pStyle w:val="NormalBold"/>
      </w:pPr>
      <w:r w:rsidRPr="00737B9C">
        <w:t>Motyw 6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872EE" w:rsidRPr="00737B9C" w:rsidTr="00B43C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/>
        </w:tc>
      </w:tr>
      <w:tr w:rsidR="008872EE" w:rsidRPr="00737B9C" w:rsidTr="00B43C44">
        <w:trPr>
          <w:trHeight w:val="240"/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(6)</w:t>
            </w:r>
            <w:r w:rsidRPr="00737B9C">
              <w:tab/>
              <w:t>Rozliczenia przez kontrahentów centralnych stały się coraz bardziej transgraniczne z natury oraz ważne systemowo. Z uwagi na ich zdywersyfikowane członkostwo oraz ogólnoeuropejski charakter świadczonych przez nich usług finansowych kontrahenci centralni mają kluczowe znaczenia dla Unii jako całości, a w szczególności dla strefy euro. Znajduje to odzwierciedlenie w rozporządzeniu Parlamentu Europejskiego i Rady (UE) nr 648/</w:t>
            </w:r>
            <w:r w:rsidRPr="00737B9C">
              <w:rPr>
                <w:b/>
                <w:i/>
              </w:rPr>
              <w:t>2012</w:t>
            </w:r>
            <w:r w:rsidRPr="00737B9C">
              <w:rPr>
                <w:rStyle w:val="SupBoldItalic"/>
                <w:color w:val="auto"/>
              </w:rPr>
              <w:t>8</w:t>
            </w:r>
            <w:r w:rsidRPr="00737B9C">
              <w:t>, które ustanawia zbiorcze rozwiązania nadzorcze w formie kolegiów, złożone z właściwych organów unijnych i krajowych, uwzględniając rolę Eurosystemu jako banku centralnego emisji euro.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(6)</w:t>
            </w:r>
            <w:r w:rsidRPr="00737B9C">
              <w:tab/>
              <w:t>Rozliczenia przez kontrahentów centralnych stały się coraz bardziej transgraniczne z natury oraz ważne systemowo. Z uwagi na ich zdywersyfikowane członkostwo oraz ogólnoeuropejski charakter świadczonych przez nich usług finansowych kontrahenci centralni mają kluczowe znaczenia dla Unii jako całości, a w szczególności dla strefy euro. Znajduje to odzwierciedlenie w rozporządzeniu Parlamentu Europejskiego i Rady (UE) nr 648/</w:t>
            </w:r>
            <w:r w:rsidRPr="00737B9C">
              <w:rPr>
                <w:b/>
                <w:i/>
              </w:rPr>
              <w:t>2012</w:t>
            </w:r>
            <w:r w:rsidRPr="00737B9C">
              <w:t>, które ustanawia zbiorcze rozwiązania nadzorcze w formie kolegiów, złożone z właściwych organów unijnych i krajowych, uwzględniając rolę Eurosystemu jako banku centralnego emisji euro</w:t>
            </w:r>
            <w:r w:rsidRPr="00737B9C">
              <w:rPr>
                <w:b/>
                <w:i/>
              </w:rPr>
              <w:t xml:space="preserve"> – waluty Unii</w:t>
            </w:r>
            <w:r w:rsidRPr="00737B9C">
              <w:t>.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_________________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i/>
              </w:rPr>
            </w:pPr>
            <w:r w:rsidRPr="00737B9C">
              <w:rPr>
                <w:rStyle w:val="SupBoldItalic"/>
                <w:color w:val="auto"/>
              </w:rPr>
              <w:t xml:space="preserve">8 </w:t>
            </w:r>
            <w:r w:rsidRPr="00737B9C">
              <w:rPr>
                <w:b/>
                <w:i/>
              </w:rPr>
              <w:t>Rozporządzenie Parlamentu Europejskiego i Rady (UE) nr 648/2012 z dnia 4 lipca 2012 r. w sprawie instrumentów pochodnych będących przedmiotem obrotu poza rynkiem regulowanym, kontrahentów centralnych i repozytoriów transakcji (Dz.U. L 201 z 27.7.2012, s. 1).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</w:pPr>
      <w:r w:rsidRPr="00737B9C">
        <w:lastRenderedPageBreak/>
        <w:t>Poprawka</w:t>
      </w:r>
      <w:r w:rsidRPr="00737B9C">
        <w:tab/>
      </w:r>
      <w:r w:rsidRPr="00737B9C">
        <w:tab/>
        <w:t>7</w:t>
      </w:r>
    </w:p>
    <w:p w:rsidR="008872EE" w:rsidRPr="00737B9C" w:rsidRDefault="008872EE" w:rsidP="008872EE">
      <w:pPr>
        <w:pStyle w:val="NormalBold12b"/>
      </w:pPr>
      <w:r w:rsidRPr="00737B9C">
        <w:t>Wniosek dotyczący decyzji</w:t>
      </w:r>
    </w:p>
    <w:p w:rsidR="008872EE" w:rsidRPr="00737B9C" w:rsidRDefault="008872EE" w:rsidP="008872EE">
      <w:pPr>
        <w:pStyle w:val="NormalBold"/>
      </w:pPr>
      <w:r w:rsidRPr="00737B9C">
        <w:t>Motyw 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872EE" w:rsidRPr="00737B9C" w:rsidTr="00B43C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/>
        </w:tc>
      </w:tr>
      <w:tr w:rsidR="008872EE" w:rsidRPr="00737B9C" w:rsidTr="00B43C44">
        <w:trPr>
          <w:trHeight w:val="240"/>
          <w:jc w:val="center"/>
        </w:trPr>
        <w:tc>
          <w:tcPr>
            <w:tcW w:w="4876" w:type="dxa"/>
          </w:tcPr>
          <w:p w:rsidR="008872EE" w:rsidRPr="00737B9C" w:rsidRDefault="00EA7F54" w:rsidP="00B43C44">
            <w:pPr>
              <w:pStyle w:val="ColumnHeading"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(7)</w:t>
            </w:r>
            <w:r w:rsidRPr="00737B9C">
              <w:tab/>
              <w:t>Aby rozwiązać te kwestie, 13 czerwca 2017 r. Komisja Europejska przedstawiła projekt ustawodawczy mający na celu zapewnienie stabilności finansowej i bezpieczeństwa oraz solidności kontrahentów centralnych o znaczeniu systemowym dla rynków finansowych w Unii. W celu zapewnienia, aby Eurosystemu jako bank centralny emisji euro mógł pełnić przewidzianą przez projekt ustawodawczy rolę ważne jest, aby posiadał on właściwe uprawnienia wynikające z Traktatu oraz Statutu ESBC. W szczególności, Eurosystem powinien posiadać uprawnienia regulacyjne do przyjmowania wiążących ocen oraz wymagania podjęcia działań zaradczych w bliskiej współpracy z innymi organami Unii. Dodatkowo, w razie potrzeby ochrony stabilności euro, EBC powinien posiadać uprawnienia regulacyjne do nakładania na kontrahentów centralnych zaangażowanych w rozliczenia znaczących kwot transakcji denominowanych w euro dodatkowych wymogów.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(7)</w:t>
            </w:r>
            <w:r w:rsidRPr="00737B9C">
              <w:tab/>
              <w:t xml:space="preserve">Aby rozwiązać te kwestie, 13 czerwca 2017 r. Komisja Europejska przedstawiła projekt ustawodawczy mający na celu zapewnienie stabilności finansowej i bezpieczeństwa oraz solidności kontrahentów centralnych o znaczeniu systemowym dla rynków finansowych w Unii. W celu zapewnienia, aby Eurosystemu jako bank centralny emisji euro mógł pełnić przewidzianą przez projekt ustawodawczy rolę ważne jest, aby posiadał on właściwe uprawnienia wynikające z Traktatu oraz Statutu ESBC. W szczególności, Eurosystem powinien posiadać uprawnienia regulacyjne do przyjmowania wiążących ocen oraz wymagania podjęcia działań zaradczych w bliskiej współpracy z innymi organami Unii. Dodatkowo, w razie potrzeby ochrony stabilności euro, EBC powinien posiadać uprawnienia regulacyjne do nakładania na kontrahentów centralnych zaangażowanych w rozliczenia znaczących kwot transakcji denominowanych w euro dodatkowych wymogów. </w:t>
            </w:r>
            <w:r w:rsidRPr="00737B9C">
              <w:rPr>
                <w:b/>
                <w:i/>
              </w:rPr>
              <w:t>Wymogi te powinny mieć na celu ochronę integralności jednolitego rynku i zapewniać pierwszeństwo prawa Unii i orzecznictwa Trybunału Sprawiedliwości Unii Europejskiej w nadzorze nad kontrahentami centralnymi z państw trzecich.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  <w:keepNext/>
      </w:pPr>
      <w:r w:rsidRPr="00737B9C">
        <w:t>Poprawka</w:t>
      </w:r>
      <w:r w:rsidRPr="00737B9C">
        <w:tab/>
      </w:r>
      <w:r w:rsidRPr="00737B9C">
        <w:tab/>
        <w:t>8</w:t>
      </w:r>
    </w:p>
    <w:p w:rsidR="008872EE" w:rsidRPr="00737B9C" w:rsidRDefault="008872EE" w:rsidP="008872EE">
      <w:pPr>
        <w:pStyle w:val="NormalBold12b"/>
        <w:keepNext/>
      </w:pPr>
      <w:r w:rsidRPr="00737B9C">
        <w:t>Projekt decyzji</w:t>
      </w:r>
    </w:p>
    <w:p w:rsidR="008872EE" w:rsidRPr="00737B9C" w:rsidRDefault="008872EE" w:rsidP="008872EE">
      <w:pPr>
        <w:pStyle w:val="NormalBold"/>
        <w:keepNext/>
      </w:pPr>
      <w:r w:rsidRPr="00737B9C">
        <w:t>Motyw 8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72EE" w:rsidRPr="00737B9C" w:rsidTr="00B43C44">
        <w:trPr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>
            <w:pPr>
              <w:keepNext/>
            </w:pP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rPr>
                <w:szCs w:val="24"/>
              </w:rPr>
              <w:t xml:space="preserve">(8) Art. 22 Statutu ESBC jest częścią Rozdziału IV, pt. „Funkcje monetarne i </w:t>
            </w:r>
            <w:r w:rsidRPr="00737B9C">
              <w:rPr>
                <w:szCs w:val="24"/>
              </w:rPr>
              <w:lastRenderedPageBreak/>
              <w:t>operacje wykonywane przez ESBC”. Zadania w nim powierzone powinny zatem być wykorzystywane wyłącznie na potrzeby polityki pieniężnej.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lastRenderedPageBreak/>
              <w:t xml:space="preserve">(8) Art. 22 Statutu ESBC jest częścią Rozdziału IV, pt. „Funkcje monetarne i </w:t>
            </w:r>
            <w:r w:rsidRPr="00737B9C">
              <w:lastRenderedPageBreak/>
              <w:t xml:space="preserve">operacje wykonywane przez ESBC”. Zadania w nim powierzone powinny zatem być wykorzystywane wyłącznie na potrzeby polityki pieniężnej. </w:t>
            </w:r>
            <w:r w:rsidRPr="00737B9C">
              <w:rPr>
                <w:b/>
                <w:bCs/>
                <w:i/>
                <w:iCs/>
              </w:rPr>
              <w:t xml:space="preserve"> </w:t>
            </w:r>
            <w:r w:rsidRPr="00737B9C">
              <w:rPr>
                <w:b/>
                <w:bCs/>
                <w:i/>
                <w:iCs/>
                <w:szCs w:val="24"/>
              </w:rPr>
              <w:t xml:space="preserve">Jeżeli chodzi o systemy rozliczeń instrumentów finansowych, wymogi, jakie mogą zostać nałożone na mocy tego artykułu, powinny obejmować wymogi w zakresie sprawozdawczości i wymogi nałożone na system rozliczeń dotyczące współpracy z EBC i krajowymi bankami centralnymi w zakresie oceny odporności systemu na niekorzystne zmiany warunków rynkowych. Wymogi takie powinny również obejmować otwarcie przez system rachunku depozytowego overnight w ESBC zgodnie z odnośnymi kryteriami dostępu oraz wymogami ESBC. Powinny one ponadto obejmować wymogi niezbędne do reagowania sytuacjach, w których system rozliczeń instrumentów finansowych stanowi bezpośrednie zagrożenie wystąpienia poważnych szkód dla unijnych instytucji lub rynków finansowych bądź systemu finansowego Unii lub jednego z jej państw członkowskich, takie jak wymogi odnoszące się do kontroli ryzyka utraty płynności, rozwiązań dotyczących rozliczeń, marż, zabezpieczeń oraz ustaleń odnoszących się do interoperacyjności. Jeżeli chodzi o systemy rozliczeń instrumentów finansowych o znaczeniu systemowym rozporządzenie (UE) nr .../... [Rozporządzenie Parlamentu Europejskiego i Rady zmieniające rozporządzenie (UE) nr 1095/2010 w sprawie ustanowienia Europejskiego Urzędu Nadzoru (Europejskiego Urzędu Nadzoru Giełd i Papierów Wartościowych) oraz zmieniające rozporządzenie (UE) nr 648/2012 w odniesieniu do procedur i organów związanych z udzielaniem zezwolenia kontrahentom centralnym oraz wymogów dotyczących uznawania kontrahentów centralnych z państw trzecich] stanowi dla EBC możliwość zaproponowania dodatkowych wymogów odnośnie do </w:t>
            </w:r>
            <w:r w:rsidRPr="00737B9C">
              <w:rPr>
                <w:b/>
                <w:bCs/>
                <w:i/>
                <w:iCs/>
                <w:szCs w:val="24"/>
              </w:rPr>
              <w:lastRenderedPageBreak/>
              <w:t>takich systemów.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  <w:keepNext/>
      </w:pPr>
      <w:r w:rsidRPr="00737B9C">
        <w:t>Poprawka</w:t>
      </w:r>
      <w:r w:rsidRPr="00737B9C">
        <w:tab/>
      </w:r>
      <w:r w:rsidRPr="00737B9C">
        <w:tab/>
        <w:t>9</w:t>
      </w:r>
    </w:p>
    <w:p w:rsidR="008872EE" w:rsidRPr="00737B9C" w:rsidRDefault="008872EE" w:rsidP="008872EE">
      <w:pPr>
        <w:pStyle w:val="NormalBold12b"/>
        <w:keepNext/>
      </w:pPr>
      <w:r w:rsidRPr="00737B9C">
        <w:t>Projekt decyzji</w:t>
      </w:r>
    </w:p>
    <w:p w:rsidR="008872EE" w:rsidRPr="00737B9C" w:rsidRDefault="008872EE" w:rsidP="008872EE">
      <w:pPr>
        <w:pStyle w:val="NormalBold"/>
        <w:keepNext/>
      </w:pPr>
      <w:r w:rsidRPr="00737B9C">
        <w:t>Motyw 8 a (nowy)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72EE" w:rsidRPr="00737B9C" w:rsidTr="00B43C44">
        <w:trPr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>
            <w:pPr>
              <w:keepNext/>
            </w:pP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rPr>
                <w:b/>
                <w:bCs/>
                <w:i/>
                <w:iCs/>
              </w:rPr>
              <w:t>(8a) Nowe uprawnienia EBC dotyczące systemów rozliczeń instrumentów finansowych wynikające z art. 22 Statutu ESBC i EBC będą wykonywane równolegle z uprawnieniami innych instytucji, agencji i organów unijnych wynikającymi z przepisów dotyczących ustanowienia lub funkcjonowania rynku wewnętrznego przewidzianych w części III TFUE, łącznie z uprawnieniami wynikającymi z aktów przyjętych przez Komisję lub przez Radę zgodnie z powierzonymi im uprawnieniami. W związku z tym, aby zapewnić poszanowanie odnośnych uprawnień poszczególnych podmiotów oraz uniknąć sprzecznych przepisów i niespójności decyzji podejmowanych przez różne instytucje, agencje i organy unijne, uprawnienia przyznane na mocy zmienionego art. 22 Statutu ESBC i EBC powinno się wykonywać z uwzględnieniem ogólnych ram prawnych rynku wewnętrznego ustanowionych przez współprawodawców i w sposób w pełni spójny z aktami prawnymi Parlamentu Europejskiego i Rady oraz innymi środkami przyjętymi na mocy tych aktów.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  <w:keepNext/>
      </w:pPr>
      <w:r w:rsidRPr="00737B9C">
        <w:t>Poprawka</w:t>
      </w:r>
      <w:r w:rsidRPr="00737B9C">
        <w:tab/>
      </w:r>
      <w:r w:rsidRPr="00737B9C">
        <w:tab/>
        <w:t>10</w:t>
      </w:r>
    </w:p>
    <w:p w:rsidR="008872EE" w:rsidRPr="00737B9C" w:rsidRDefault="008872EE" w:rsidP="008872EE">
      <w:pPr>
        <w:pStyle w:val="NormalBold12b"/>
        <w:keepNext/>
      </w:pPr>
      <w:r w:rsidRPr="00737B9C">
        <w:t>Projekt decyzji</w:t>
      </w:r>
    </w:p>
    <w:p w:rsidR="008872EE" w:rsidRPr="00737B9C" w:rsidRDefault="008872EE" w:rsidP="008872EE">
      <w:pPr>
        <w:pStyle w:val="NormalBold"/>
        <w:keepNext/>
      </w:pPr>
      <w:r w:rsidRPr="00737B9C">
        <w:t>Motyw 8 b (nowy)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72EE" w:rsidRPr="00737B9C" w:rsidTr="00B43C44">
        <w:trPr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>
            <w:pPr>
              <w:keepNext/>
            </w:pP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rPr>
                <w:b/>
                <w:bCs/>
                <w:i/>
                <w:iCs/>
              </w:rPr>
              <w:t xml:space="preserve">(8b) </w:t>
            </w:r>
            <w:r w:rsidRPr="00737B9C">
              <w:rPr>
                <w:b/>
                <w:i/>
                <w:szCs w:val="24"/>
              </w:rPr>
              <w:t xml:space="preserve">EBC powinien zapewnić pełną przejrzystość i odpowiedzialność wobec </w:t>
            </w:r>
            <w:r w:rsidRPr="00737B9C">
              <w:rPr>
                <w:b/>
                <w:i/>
                <w:szCs w:val="24"/>
              </w:rPr>
              <w:lastRenderedPageBreak/>
              <w:t>Parlamentu Europejskiego i Rady, jeżeli chodzi o wykonywanie swych uprawnień i zadań wynikających z art. 22 Statutu. W szczególności powinien regularnie informować Parlament Europejski i Radę o wszystkich podjętych decyzjach oraz wszystkich przepisach przyjętych na mocy tego artykułu. W tym celu powinien poświęcić specjalny rozdział swego sprawozdania rocznego wykonywaniu swych uprawnień na mocy art. 22 Statutu, a także publikować na swej stronie internetowej wszystkie decyzje, zalecenia i opinie odnoszące się do przepisów przyjętych na mocy tego artykułu.</w:t>
            </w:r>
          </w:p>
        </w:tc>
      </w:tr>
    </w:tbl>
    <w:p w:rsidR="008872EE" w:rsidRPr="00737B9C" w:rsidRDefault="008872EE" w:rsidP="008872EE"/>
    <w:p w:rsidR="008872EE" w:rsidRPr="00737B9C" w:rsidRDefault="008872EE" w:rsidP="008872EE">
      <w:pPr>
        <w:pStyle w:val="AMNumberTabs"/>
        <w:keepNext/>
      </w:pPr>
      <w:r w:rsidRPr="00737B9C">
        <w:t>Poprawka</w:t>
      </w:r>
      <w:r w:rsidRPr="00737B9C">
        <w:tab/>
      </w:r>
      <w:r w:rsidRPr="00737B9C">
        <w:tab/>
        <w:t>11</w:t>
      </w:r>
    </w:p>
    <w:p w:rsidR="008872EE" w:rsidRPr="00737B9C" w:rsidRDefault="008872EE" w:rsidP="008872EE">
      <w:pPr>
        <w:pStyle w:val="NormalBold12b"/>
        <w:keepNext/>
      </w:pPr>
      <w:r w:rsidRPr="00737B9C">
        <w:t>Projekt decyzji</w:t>
      </w:r>
    </w:p>
    <w:p w:rsidR="008872EE" w:rsidRPr="00737B9C" w:rsidRDefault="008872EE" w:rsidP="008872EE">
      <w:pPr>
        <w:pStyle w:val="NormalBold"/>
        <w:keepNext/>
      </w:pPr>
      <w:r w:rsidRPr="00737B9C">
        <w:t>Artykuł 1</w:t>
      </w:r>
    </w:p>
    <w:p w:rsidR="008872EE" w:rsidRPr="00737B9C" w:rsidRDefault="00EA7F54" w:rsidP="008872EE">
      <w:pPr>
        <w:keepNext/>
      </w:pPr>
      <w:r w:rsidRPr="00737B9C">
        <w:rPr>
          <w:szCs w:val="24"/>
        </w:rPr>
        <w:t>Statut Europejskiego Systemu Banków Centralnych i Europejskiego Banku Centralnego</w:t>
      </w:r>
    </w:p>
    <w:p w:rsidR="008872EE" w:rsidRPr="00737B9C" w:rsidRDefault="008872EE" w:rsidP="008872EE">
      <w:r w:rsidRPr="00737B9C">
        <w:t>Artykuł 22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872EE" w:rsidRPr="00737B9C" w:rsidTr="00B43C44">
        <w:trPr>
          <w:jc w:val="center"/>
        </w:trPr>
        <w:tc>
          <w:tcPr>
            <w:tcW w:w="9752" w:type="dxa"/>
            <w:gridSpan w:val="2"/>
          </w:tcPr>
          <w:p w:rsidR="008872EE" w:rsidRPr="00737B9C" w:rsidRDefault="008872EE" w:rsidP="00B43C44">
            <w:pPr>
              <w:keepNext/>
            </w:pP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Projekt Europejskiego Banku Centralnego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ColumnHeading"/>
              <w:keepNext/>
            </w:pPr>
            <w:r w:rsidRPr="00737B9C">
              <w:t>Poprawka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Artykuł 22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Artykuł 22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Systemy rozliczeń i systemy płatności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  <w:r w:rsidRPr="00737B9C">
              <w:t>Systemy rozliczeń i systemy płatności</w:t>
            </w:r>
          </w:p>
        </w:tc>
      </w:tr>
      <w:tr w:rsidR="008872EE" w:rsidRPr="00737B9C" w:rsidTr="00B43C44">
        <w:trPr>
          <w:trHeight w:val="80"/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bCs/>
                <w:szCs w:val="24"/>
              </w:rPr>
            </w:pPr>
            <w:r w:rsidRPr="00737B9C">
              <w:rPr>
                <w:szCs w:val="24"/>
              </w:rPr>
              <w:t>EBC i krajowe banki centralne mogą zapewniać instrumenty, a EBC może uchwalać rozporządzenia, w celu zapewnienia skuteczności i rzetelności systemów rozliczeń i płatności oraz systemów rozliczeń instrumentów finansowych w ramach Unii i z innymi krajami.</w:t>
            </w: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bCs/>
                <w:szCs w:val="24"/>
              </w:rPr>
            </w:pPr>
            <w:r w:rsidRPr="00737B9C">
              <w:rPr>
                <w:szCs w:val="24"/>
              </w:rPr>
              <w:t xml:space="preserve">EBC i krajowe banki centralne mogą zapewniać instrumenty, a EBC może uchwalać rozporządzenia, w celu zapewnienia skuteczności i rzetelności systemów rozliczeń i płatności w ramach Unii i z krajami trzecimi. </w:t>
            </w:r>
          </w:p>
        </w:tc>
      </w:tr>
      <w:tr w:rsidR="008872EE" w:rsidRPr="00737B9C" w:rsidTr="00B43C44">
        <w:trPr>
          <w:jc w:val="center"/>
        </w:trPr>
        <w:tc>
          <w:tcPr>
            <w:tcW w:w="4876" w:type="dxa"/>
          </w:tcPr>
          <w:p w:rsidR="008872EE" w:rsidRPr="00737B9C" w:rsidRDefault="008872EE" w:rsidP="00B43C44">
            <w:pPr>
              <w:pStyle w:val="Normal6"/>
            </w:pPr>
          </w:p>
        </w:tc>
        <w:tc>
          <w:tcPr>
            <w:tcW w:w="4876" w:type="dxa"/>
          </w:tcPr>
          <w:p w:rsidR="008872EE" w:rsidRPr="00737B9C" w:rsidRDefault="008872EE" w:rsidP="00B43C44">
            <w:pPr>
              <w:pStyle w:val="Normal6"/>
              <w:rPr>
                <w:b/>
                <w:bCs/>
                <w:i/>
                <w:iCs/>
              </w:rPr>
            </w:pPr>
            <w:r w:rsidRPr="00737B9C">
              <w:rPr>
                <w:b/>
                <w:bCs/>
                <w:i/>
                <w:iCs/>
              </w:rPr>
              <w:t>Aby osiągnąć cele ESBC i wykonywać swoje zadania, EBC może przyjmować przepisy dotyczące systemów rozliczeń instrumentów finansowych w obrębie Unii i z państwami trzecimi przy uwzględnieniu aktów prawnych Parlamentu Europejskiego i Rady oraz środków przyjętych na mocy tych aktów, a także w sposób w pełni spójny z tymi aktami i środkami.</w:t>
            </w:r>
          </w:p>
        </w:tc>
      </w:tr>
    </w:tbl>
    <w:p w:rsidR="008872EE" w:rsidRPr="00737B9C" w:rsidRDefault="008872EE" w:rsidP="008872EE"/>
    <w:p w:rsidR="008872EE" w:rsidRPr="00737B9C" w:rsidRDefault="008872EE" w:rsidP="008872EE"/>
    <w:p w:rsidR="008872EE" w:rsidRPr="00737B9C" w:rsidRDefault="008872EE" w:rsidP="008872EE"/>
    <w:p w:rsidR="00E365E1" w:rsidRPr="00737B9C" w:rsidRDefault="00E365E1" w:rsidP="008872EE">
      <w:bookmarkStart w:id="1" w:name="TextBodyEnd"/>
      <w:bookmarkEnd w:id="1"/>
    </w:p>
    <w:sectPr w:rsidR="00E365E1" w:rsidRPr="00737B9C" w:rsidSect="00AC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13" w:rsidRPr="00AC7D64" w:rsidRDefault="00F12613">
      <w:r w:rsidRPr="00AC7D64">
        <w:separator/>
      </w:r>
    </w:p>
  </w:endnote>
  <w:endnote w:type="continuationSeparator" w:id="0">
    <w:p w:rsidR="00F12613" w:rsidRPr="00AC7D64" w:rsidRDefault="00F12613">
      <w:r w:rsidRPr="00AC7D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9C" w:rsidRDefault="00737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4" w:rsidRDefault="00AC7D64" w:rsidP="00737B9C">
    <w:pPr>
      <w:pStyle w:val="Footer"/>
      <w:tabs>
        <w:tab w:val="clear" w:pos="9639"/>
        <w:tab w:val="right" w:pos="9184"/>
      </w:tabs>
    </w:pPr>
  </w:p>
  <w:p w:rsidR="00737B9C" w:rsidRDefault="00737B9C" w:rsidP="00737B9C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737B9C">
      <w:rPr>
        <w:rStyle w:val="HideTWBExt"/>
      </w:rPr>
      <w:t>&lt;NuPE&gt;</w:t>
    </w:r>
    <w:r>
      <w:t>PE621.729</w:t>
    </w:r>
    <w:r w:rsidRPr="00737B9C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DE123E">
      <w:rPr>
        <w:noProof/>
      </w:rPr>
      <w:t>2</w:t>
    </w:r>
    <w:r>
      <w:fldChar w:fldCharType="end"/>
    </w:r>
  </w:p>
  <w:p w:rsidR="00737B9C" w:rsidRPr="00737B9C" w:rsidRDefault="00737B9C" w:rsidP="00737B9C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9C" w:rsidRDefault="00737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13" w:rsidRPr="00AC7D64" w:rsidRDefault="00F12613">
      <w:r w:rsidRPr="00AC7D64">
        <w:separator/>
      </w:r>
    </w:p>
  </w:footnote>
  <w:footnote w:type="continuationSeparator" w:id="0">
    <w:p w:rsidR="00F12613" w:rsidRPr="00AC7D64" w:rsidRDefault="00F12613">
      <w:r w:rsidRPr="00AC7D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9C" w:rsidRDefault="00737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9C" w:rsidRDefault="00737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9C" w:rsidRDefault="00737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19/2018"/>
    <w:docVar w:name="dvlangue" w:val="PL"/>
    <w:docVar w:name="dvnumam" w:val="0"/>
    <w:docVar w:name="dvpe" w:val="619.417"/>
    <w:docVar w:name="dvrapporteur" w:val="Sprawozdawca: "/>
    <w:docVar w:name="dvtitre" w:val="Rezolucja ustawodawcza Parlamentu Europejskiego z dnia  2018 r. w sprawie projektu decyzji Parlamentu Europejskiego i Rady w sprawie zmiany art. 22 Statutu Europejskiego Systemu Banków Centralnych i Europejskiego Banku Centralnego(10850/2017 – ECB/2017/18 - C8-0228/2017 – 2017/0810(COD))"/>
    <w:docVar w:name="TA_Comm_A5Nr" w:val="A8-0219/2018"/>
    <w:docVar w:name="TA_Comm_Langue" w:val="PL"/>
    <w:docVar w:name="TA_Comm_NrAM" w:val="001-011"/>
    <w:docVar w:name="TA_Type" w:val="TA_COMM"/>
  </w:docVars>
  <w:rsids>
    <w:rsidRoot w:val="00F12613"/>
    <w:rsid w:val="00002272"/>
    <w:rsid w:val="00046B2E"/>
    <w:rsid w:val="000677B9"/>
    <w:rsid w:val="000D72AC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1099A"/>
    <w:rsid w:val="00680577"/>
    <w:rsid w:val="006D6A0C"/>
    <w:rsid w:val="006F74FA"/>
    <w:rsid w:val="00731ADD"/>
    <w:rsid w:val="00734777"/>
    <w:rsid w:val="00737B9C"/>
    <w:rsid w:val="00751A4A"/>
    <w:rsid w:val="00756632"/>
    <w:rsid w:val="007D1690"/>
    <w:rsid w:val="00865F67"/>
    <w:rsid w:val="00881A7B"/>
    <w:rsid w:val="008840E5"/>
    <w:rsid w:val="008872EE"/>
    <w:rsid w:val="008C2AC6"/>
    <w:rsid w:val="009509D8"/>
    <w:rsid w:val="00981893"/>
    <w:rsid w:val="00A4678D"/>
    <w:rsid w:val="00AC7D64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E123E"/>
    <w:rsid w:val="00E365E1"/>
    <w:rsid w:val="00EA7F54"/>
    <w:rsid w:val="00ED4235"/>
    <w:rsid w:val="00F04346"/>
    <w:rsid w:val="00F075DC"/>
    <w:rsid w:val="00F12613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DCD8-E3A8-4CA4-AA06-6428B4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8872EE"/>
    <w:rPr>
      <w:sz w:val="24"/>
      <w:lang w:val="pl-PL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8872EE"/>
    <w:rPr>
      <w:b/>
      <w:sz w:val="24"/>
      <w:lang w:val="pl-PL"/>
    </w:rPr>
  </w:style>
  <w:style w:type="paragraph" w:customStyle="1" w:styleId="ColumnHeading">
    <w:name w:val="ColumnHeading"/>
    <w:basedOn w:val="Normal"/>
    <w:rsid w:val="008872EE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8872EE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8872EE"/>
    <w:pPr>
      <w:spacing w:before="240"/>
    </w:pPr>
    <w:rPr>
      <w:b/>
    </w:rPr>
  </w:style>
  <w:style w:type="character" w:customStyle="1" w:styleId="SupBoldItalic">
    <w:name w:val="SupBoldItalic"/>
    <w:rsid w:val="008872EE"/>
    <w:rPr>
      <w:b/>
      <w:i/>
      <w:color w:val="0000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D7154F08.dotm</Template>
  <TotalTime>0</TotalTime>
  <Pages>8</Pages>
  <Words>1896</Words>
  <Characters>13024</Characters>
  <Application>Microsoft Office Word</Application>
  <DocSecurity>0</DocSecurity>
  <Lines>500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ZALESKI Tomasz</cp:lastModifiedBy>
  <cp:revision>2</cp:revision>
  <cp:lastPrinted>2004-11-19T14:42:00Z</cp:lastPrinted>
  <dcterms:created xsi:type="dcterms:W3CDTF">2018-07-02T07:33:00Z</dcterms:created>
  <dcterms:modified xsi:type="dcterms:W3CDTF">2018-07-02T07:33:00Z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A8-0219/2018</vt:lpwstr>
  </property>
  <property fmtid="{D5CDD505-2E9C-101B-9397-08002B2CF9AE}" pid="4" name="&lt;Type&gt;">
    <vt:lpwstr>RR</vt:lpwstr>
  </property>
</Properties>
</file>