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C4A0B" w:rsidRPr="00633159" w:rsidTr="00487BC1">
        <w:trPr>
          <w:trHeight w:hRule="exact" w:val="1418"/>
        </w:trPr>
        <w:tc>
          <w:tcPr>
            <w:tcW w:w="6804" w:type="dxa"/>
            <w:shd w:val="clear" w:color="auto" w:fill="auto"/>
            <w:vAlign w:val="center"/>
          </w:tcPr>
          <w:p w:rsidR="004C4A0B" w:rsidRPr="00633159" w:rsidRDefault="009E1C43" w:rsidP="00487BC1">
            <w:pPr>
              <w:pStyle w:val="EPName"/>
            </w:pPr>
            <w:bookmarkStart w:id="0" w:name="_GoBack"/>
            <w:bookmarkEnd w:id="0"/>
            <w:r w:rsidRPr="00633159">
              <w:t>Parlamento Europeu</w:t>
            </w:r>
          </w:p>
          <w:p w:rsidR="004C4A0B" w:rsidRPr="00633159" w:rsidRDefault="00985AC3" w:rsidP="00985AC3">
            <w:pPr>
              <w:pStyle w:val="EPTerm"/>
              <w:rPr>
                <w:rStyle w:val="HideTWBExt"/>
                <w:noProof w:val="0"/>
                <w:vanish w:val="0"/>
                <w:color w:val="auto"/>
              </w:rPr>
            </w:pPr>
            <w:r w:rsidRPr="00633159">
              <w:t>2014-2019</w:t>
            </w:r>
          </w:p>
        </w:tc>
        <w:tc>
          <w:tcPr>
            <w:tcW w:w="2268" w:type="dxa"/>
            <w:shd w:val="clear" w:color="auto" w:fill="auto"/>
          </w:tcPr>
          <w:p w:rsidR="004C4A0B" w:rsidRPr="00633159" w:rsidRDefault="00633159" w:rsidP="00487BC1">
            <w:pPr>
              <w:pStyle w:val="EPLogo"/>
            </w:pPr>
            <w:r w:rsidRPr="006331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8" o:title="EP logo RGB_Mute"/>
                </v:shape>
              </w:pict>
            </w:r>
          </w:p>
        </w:tc>
      </w:tr>
    </w:tbl>
    <w:p w:rsidR="00C71A3C" w:rsidRPr="00633159" w:rsidRDefault="00C71A3C" w:rsidP="00C71A3C">
      <w:pPr>
        <w:pStyle w:val="LineTop"/>
      </w:pPr>
    </w:p>
    <w:p w:rsidR="00C71A3C" w:rsidRPr="00633159" w:rsidRDefault="00420F63" w:rsidP="00C71A3C">
      <w:pPr>
        <w:pStyle w:val="ZCommittee"/>
      </w:pPr>
      <w:r w:rsidRPr="00633159">
        <w:t>Documento de sessão</w:t>
      </w:r>
    </w:p>
    <w:p w:rsidR="00C71A3C" w:rsidRPr="00633159" w:rsidRDefault="00C71A3C" w:rsidP="00C71A3C">
      <w:pPr>
        <w:pStyle w:val="LineBottom"/>
      </w:pPr>
    </w:p>
    <w:p w:rsidR="00ED0821" w:rsidRPr="00633159" w:rsidRDefault="00420F63">
      <w:pPr>
        <w:pStyle w:val="RefProc"/>
      </w:pPr>
      <w:r w:rsidRPr="00633159">
        <w:rPr>
          <w:rStyle w:val="HideTWBExt"/>
          <w:noProof w:val="0"/>
        </w:rPr>
        <w:t>&lt;NoDocSe&gt;</w:t>
      </w:r>
      <w:r w:rsidRPr="00633159">
        <w:t>A8-0275/2018</w:t>
      </w:r>
      <w:r w:rsidRPr="00633159">
        <w:rPr>
          <w:rStyle w:val="HideTWBExt"/>
          <w:noProof w:val="0"/>
        </w:rPr>
        <w:t>&lt;/NoDocSe&gt;</w:t>
      </w:r>
    </w:p>
    <w:p w:rsidR="00ED0821" w:rsidRPr="00633159" w:rsidRDefault="00ED0821">
      <w:pPr>
        <w:pStyle w:val="ZDate"/>
      </w:pPr>
      <w:r w:rsidRPr="00633159">
        <w:rPr>
          <w:rStyle w:val="HideTWBExt"/>
          <w:noProof w:val="0"/>
        </w:rPr>
        <w:t>&lt;Date&gt;</w:t>
      </w:r>
      <w:r w:rsidRPr="00633159">
        <w:rPr>
          <w:rStyle w:val="HideTWBInt"/>
        </w:rPr>
        <w:t>{06/09/2018}</w:t>
      </w:r>
      <w:r w:rsidRPr="00633159">
        <w:t>5.9.2018</w:t>
      </w:r>
      <w:r w:rsidRPr="00633159">
        <w:rPr>
          <w:rStyle w:val="HideTWBExt"/>
          <w:noProof w:val="0"/>
        </w:rPr>
        <w:t>&lt;/Date&gt;</w:t>
      </w:r>
    </w:p>
    <w:p w:rsidR="00ED0821" w:rsidRPr="00633159" w:rsidRDefault="00ED0821">
      <w:pPr>
        <w:pStyle w:val="StarsAndIs"/>
      </w:pPr>
      <w:r w:rsidRPr="00633159">
        <w:rPr>
          <w:rStyle w:val="HideTWBExt"/>
          <w:b w:val="0"/>
          <w:noProof w:val="0"/>
        </w:rPr>
        <w:t>&lt;RefProcLect&gt;</w:t>
      </w:r>
      <w:r w:rsidRPr="00633159">
        <w:t>*</w:t>
      </w:r>
      <w:r w:rsidRPr="00633159">
        <w:rPr>
          <w:rStyle w:val="HideTWBExt"/>
          <w:b w:val="0"/>
          <w:noProof w:val="0"/>
        </w:rPr>
        <w:t>&lt;/RefProcLect&gt;</w:t>
      </w:r>
    </w:p>
    <w:p w:rsidR="00ED0821" w:rsidRPr="00633159" w:rsidRDefault="00ED0821">
      <w:pPr>
        <w:pStyle w:val="TypeDoc"/>
      </w:pPr>
      <w:r w:rsidRPr="00633159">
        <w:rPr>
          <w:rStyle w:val="HideTWBExt"/>
          <w:b w:val="0"/>
          <w:noProof w:val="0"/>
        </w:rPr>
        <w:t>&lt;TitreType&gt;</w:t>
      </w:r>
      <w:r w:rsidRPr="00633159">
        <w:t>RELATÓRIO</w:t>
      </w:r>
      <w:r w:rsidRPr="00633159">
        <w:rPr>
          <w:rStyle w:val="HideTWBExt"/>
          <w:b w:val="0"/>
          <w:noProof w:val="0"/>
        </w:rPr>
        <w:t>&lt;/TitreType&gt;</w:t>
      </w:r>
    </w:p>
    <w:p w:rsidR="00ED0821" w:rsidRPr="00633159" w:rsidRDefault="00ED0821">
      <w:pPr>
        <w:pStyle w:val="CoverNormal"/>
      </w:pPr>
      <w:r w:rsidRPr="00633159">
        <w:rPr>
          <w:rStyle w:val="HideTWBExt"/>
          <w:noProof w:val="0"/>
        </w:rPr>
        <w:t>&lt;Titre&gt;</w:t>
      </w:r>
      <w:r w:rsidRPr="00633159">
        <w:t xml:space="preserve">sobre o projeto de decisão de execução do Conselho que aprova a celebração, pela Eurojust, do Acordo de Cooperação entre a Eurojust e a Albânia </w:t>
      </w:r>
      <w:r w:rsidRPr="00633159">
        <w:rPr>
          <w:rStyle w:val="HideTWBExt"/>
          <w:noProof w:val="0"/>
        </w:rPr>
        <w:t>&lt;/Titre&gt;</w:t>
      </w:r>
    </w:p>
    <w:p w:rsidR="00ED0821" w:rsidRPr="00633159" w:rsidRDefault="00ED0821">
      <w:pPr>
        <w:pStyle w:val="Cover24"/>
      </w:pPr>
      <w:r w:rsidRPr="00633159">
        <w:rPr>
          <w:rStyle w:val="HideTWBExt"/>
          <w:noProof w:val="0"/>
        </w:rPr>
        <w:t>&lt;DocRef&gt;</w:t>
      </w:r>
      <w:r w:rsidRPr="00633159">
        <w:t>(08688/2018 – C8-0251/018 – 2018/0807(CNS))</w:t>
      </w:r>
      <w:r w:rsidRPr="00633159">
        <w:rPr>
          <w:rStyle w:val="HideTWBExt"/>
          <w:noProof w:val="0"/>
        </w:rPr>
        <w:t>&lt;/DocRef&gt;</w:t>
      </w:r>
    </w:p>
    <w:p w:rsidR="00ED0821" w:rsidRPr="00633159" w:rsidRDefault="00ED0821">
      <w:pPr>
        <w:pStyle w:val="Cover24"/>
      </w:pPr>
      <w:r w:rsidRPr="00633159">
        <w:rPr>
          <w:rStyle w:val="HideTWBExt"/>
          <w:noProof w:val="0"/>
        </w:rPr>
        <w:t>&lt;Commission&gt;</w:t>
      </w:r>
      <w:r w:rsidRPr="00633159">
        <w:rPr>
          <w:rStyle w:val="HideTWBInt"/>
        </w:rPr>
        <w:t>{LIBE}</w:t>
      </w:r>
      <w:r w:rsidRPr="00633159">
        <w:t>Comissão das Liberdades Cívicas, da Justiça e dos Assuntos Internos</w:t>
      </w:r>
      <w:r w:rsidRPr="00633159">
        <w:rPr>
          <w:rStyle w:val="HideTWBExt"/>
          <w:noProof w:val="0"/>
        </w:rPr>
        <w:t>&lt;/Commission&gt;</w:t>
      </w:r>
    </w:p>
    <w:p w:rsidR="00ED0821" w:rsidRPr="00633159" w:rsidRDefault="00985AC3">
      <w:pPr>
        <w:pStyle w:val="Cover24"/>
      </w:pPr>
      <w:r w:rsidRPr="00633159">
        <w:t xml:space="preserve">Relatora: </w:t>
      </w:r>
      <w:r w:rsidRPr="00633159">
        <w:rPr>
          <w:rStyle w:val="HideTWBExt"/>
          <w:noProof w:val="0"/>
        </w:rPr>
        <w:t>&lt;Depute&gt;</w:t>
      </w:r>
      <w:r w:rsidRPr="00633159">
        <w:t>Laura Ferrara</w:t>
      </w:r>
      <w:bookmarkStart w:id="1" w:name="DocEPLastPosition"/>
      <w:bookmarkEnd w:id="1"/>
      <w:r w:rsidRPr="00633159">
        <w:rPr>
          <w:rStyle w:val="HideTWBExt"/>
          <w:noProof w:val="0"/>
        </w:rPr>
        <w:t>&lt;/Depute&gt;</w:t>
      </w:r>
    </w:p>
    <w:p w:rsidR="00BE4EC7" w:rsidRPr="00633159" w:rsidRDefault="00BE4EC7" w:rsidP="00BE4EC7">
      <w:pPr>
        <w:pStyle w:val="CoverNormal"/>
      </w:pPr>
    </w:p>
    <w:p w:rsidR="00ED0821" w:rsidRPr="00633159" w:rsidRDefault="00ED0821" w:rsidP="004C4A0B">
      <w:pPr>
        <w:widowControl/>
        <w:tabs>
          <w:tab w:val="center" w:pos="4677"/>
        </w:tabs>
      </w:pPr>
      <w:r w:rsidRPr="00633159">
        <w:br w:type="page"/>
      </w:r>
    </w:p>
    <w:p w:rsidR="00985AC3" w:rsidRPr="00633159" w:rsidRDefault="000D5500" w:rsidP="00741F76">
      <w:fldSimple w:instr=" TITLE  \* MERGEFORMAT ">
        <w:r w:rsidR="008D6093">
          <w:t>PR_CNS_LegAct_app</w:t>
        </w:r>
      </w:fldSimple>
    </w:p>
    <w:p w:rsidR="00985AC3" w:rsidRPr="00633159" w:rsidRDefault="00985AC3" w:rsidP="00741F76"/>
    <w:p w:rsidR="00985AC3" w:rsidRPr="00633159" w:rsidRDefault="00985AC3" w:rsidP="00741F76"/>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985AC3" w:rsidRPr="00633159" w:rsidTr="002251D0">
        <w:tc>
          <w:tcPr>
            <w:tcW w:w="5811" w:type="dxa"/>
          </w:tcPr>
          <w:p w:rsidR="00985AC3" w:rsidRPr="00633159" w:rsidRDefault="00985AC3" w:rsidP="00741F76">
            <w:pPr>
              <w:pStyle w:val="Lgendetitre"/>
              <w:jc w:val="center"/>
            </w:pPr>
            <w:r w:rsidRPr="00633159">
              <w:t>Legenda dos símbolos utilizados</w:t>
            </w:r>
          </w:p>
        </w:tc>
      </w:tr>
      <w:tr w:rsidR="00985AC3" w:rsidRPr="00633159" w:rsidTr="002251D0">
        <w:trPr>
          <w:cantSplit/>
          <w:trHeight w:val="1944"/>
        </w:trPr>
        <w:tc>
          <w:tcPr>
            <w:tcW w:w="5811" w:type="dxa"/>
            <w:tcBorders>
              <w:bottom w:val="single" w:sz="4" w:space="0" w:color="auto"/>
            </w:tcBorders>
          </w:tcPr>
          <w:p w:rsidR="00985AC3" w:rsidRPr="00633159" w:rsidRDefault="00985AC3" w:rsidP="00741F76">
            <w:pPr>
              <w:pStyle w:val="Lgendesigne"/>
            </w:pPr>
            <w:r w:rsidRPr="00633159">
              <w:tab/>
              <w:t>*</w:t>
            </w:r>
            <w:r w:rsidRPr="00633159">
              <w:tab/>
              <w:t>Processo de consulta</w:t>
            </w:r>
          </w:p>
          <w:p w:rsidR="00985AC3" w:rsidRPr="00633159" w:rsidRDefault="00985AC3" w:rsidP="00741F76">
            <w:pPr>
              <w:pStyle w:val="Lgendesigne"/>
              <w:rPr>
                <w:color w:val="000000"/>
              </w:rPr>
            </w:pPr>
            <w:r w:rsidRPr="00633159">
              <w:tab/>
              <w:t>***</w:t>
            </w:r>
            <w:r w:rsidRPr="00633159">
              <w:tab/>
            </w:r>
            <w:r w:rsidRPr="00633159">
              <w:rPr>
                <w:color w:val="000000"/>
              </w:rPr>
              <w:t>Processo de aprovação</w:t>
            </w:r>
          </w:p>
          <w:p w:rsidR="00985AC3" w:rsidRPr="00633159" w:rsidRDefault="00985AC3" w:rsidP="00741F76">
            <w:pPr>
              <w:pStyle w:val="Lgendesigne"/>
            </w:pPr>
            <w:r w:rsidRPr="00633159">
              <w:tab/>
              <w:t>***I</w:t>
            </w:r>
            <w:r w:rsidRPr="00633159">
              <w:tab/>
              <w:t>Processo legislativo ordinário (primeira leitura)</w:t>
            </w:r>
          </w:p>
          <w:p w:rsidR="00985AC3" w:rsidRPr="00633159" w:rsidRDefault="00985AC3" w:rsidP="00741F76">
            <w:pPr>
              <w:pStyle w:val="Lgendesigne"/>
            </w:pPr>
            <w:r w:rsidRPr="00633159">
              <w:tab/>
              <w:t>***II</w:t>
            </w:r>
            <w:r w:rsidRPr="00633159">
              <w:tab/>
              <w:t>Processo legislativo ordinário (segunda leitura)</w:t>
            </w:r>
          </w:p>
          <w:p w:rsidR="00985AC3" w:rsidRPr="00633159" w:rsidRDefault="00985AC3" w:rsidP="00741F76">
            <w:pPr>
              <w:pStyle w:val="Lgendesigne"/>
            </w:pPr>
            <w:r w:rsidRPr="00633159">
              <w:tab/>
              <w:t>***III</w:t>
            </w:r>
            <w:r w:rsidRPr="00633159">
              <w:tab/>
              <w:t>Processo legislativo ordinário (terceira leitura)</w:t>
            </w:r>
          </w:p>
          <w:p w:rsidR="00985AC3" w:rsidRPr="00633159" w:rsidRDefault="00985AC3" w:rsidP="00741F76">
            <w:pPr>
              <w:pStyle w:val="Lgendesigne"/>
              <w:ind w:left="0" w:firstLine="0"/>
            </w:pPr>
          </w:p>
          <w:p w:rsidR="00985AC3" w:rsidRPr="00633159" w:rsidRDefault="00985AC3" w:rsidP="002251D0">
            <w:pPr>
              <w:pStyle w:val="Lgendestandard"/>
            </w:pPr>
            <w:r w:rsidRPr="00633159">
              <w:t>(O processo indicado tem por fundamento a base jurídica proposta no projeto de ato.)</w:t>
            </w:r>
          </w:p>
          <w:p w:rsidR="00985AC3" w:rsidRPr="00633159" w:rsidRDefault="00985AC3" w:rsidP="002251D0">
            <w:pPr>
              <w:pStyle w:val="Lgendesigne"/>
              <w:ind w:left="0" w:firstLine="0"/>
            </w:pPr>
          </w:p>
        </w:tc>
      </w:tr>
    </w:tbl>
    <w:p w:rsidR="00985AC3" w:rsidRPr="00633159" w:rsidRDefault="00985AC3" w:rsidP="00741F76"/>
    <w:p w:rsidR="00985AC3" w:rsidRPr="00633159" w:rsidRDefault="00985AC3" w:rsidP="00741F76"/>
    <w:p w:rsidR="00985AC3" w:rsidRPr="00633159" w:rsidRDefault="00985AC3" w:rsidP="00741F76"/>
    <w:p w:rsidR="00985AC3" w:rsidRPr="00633159" w:rsidRDefault="00985AC3" w:rsidP="00741F76"/>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985AC3" w:rsidRPr="00633159" w:rsidTr="002251D0">
        <w:tc>
          <w:tcPr>
            <w:tcW w:w="5811" w:type="dxa"/>
          </w:tcPr>
          <w:p w:rsidR="00985AC3" w:rsidRPr="00633159" w:rsidRDefault="00985AC3" w:rsidP="00741F76">
            <w:pPr>
              <w:pStyle w:val="Lgendetitre"/>
              <w:jc w:val="center"/>
            </w:pPr>
            <w:r w:rsidRPr="00633159">
              <w:t>Alterações a um projeto de ato</w:t>
            </w:r>
          </w:p>
        </w:tc>
      </w:tr>
      <w:tr w:rsidR="00985AC3" w:rsidRPr="00633159" w:rsidTr="002251D0">
        <w:tc>
          <w:tcPr>
            <w:tcW w:w="5811" w:type="dxa"/>
          </w:tcPr>
          <w:p w:rsidR="00985AC3" w:rsidRPr="00633159" w:rsidRDefault="00985AC3" w:rsidP="009A1BB3">
            <w:pPr>
              <w:pStyle w:val="Lgendestandard"/>
              <w:rPr>
                <w:szCs w:val="18"/>
              </w:rPr>
            </w:pPr>
            <w:r w:rsidRPr="00633159">
              <w:rPr>
                <w:b/>
              </w:rPr>
              <w:t>Alterações do Parlamento apresentadas em duas colunas</w:t>
            </w:r>
          </w:p>
          <w:p w:rsidR="00985AC3" w:rsidRPr="00633159" w:rsidRDefault="00985AC3" w:rsidP="009A1BB3">
            <w:pPr>
              <w:pStyle w:val="Lgendestandard"/>
              <w:rPr>
                <w:szCs w:val="18"/>
              </w:rPr>
            </w:pPr>
          </w:p>
          <w:p w:rsidR="00985AC3" w:rsidRPr="00633159" w:rsidRDefault="00985AC3" w:rsidP="009A1BB3">
            <w:pPr>
              <w:pStyle w:val="Lgendestandard"/>
              <w:jc w:val="both"/>
            </w:pPr>
            <w:r w:rsidRPr="00633159">
              <w:t>As supressões são assinaladas em</w:t>
            </w:r>
            <w:r w:rsidRPr="00633159">
              <w:rPr>
                <w:b/>
                <w:i/>
              </w:rPr>
              <w:t xml:space="preserve"> itálico </w:t>
            </w:r>
            <w:r w:rsidRPr="00633159">
              <w:t xml:space="preserve">e a </w:t>
            </w:r>
            <w:r w:rsidRPr="00633159">
              <w:rPr>
                <w:b/>
                <w:i/>
              </w:rPr>
              <w:t xml:space="preserve">negrito </w:t>
            </w:r>
            <w:r w:rsidRPr="00633159">
              <w:t>na coluna da esquerda. As substituições são assinaladas em</w:t>
            </w:r>
            <w:r w:rsidRPr="00633159">
              <w:rPr>
                <w:b/>
                <w:i/>
              </w:rPr>
              <w:t xml:space="preserve"> itálico </w:t>
            </w:r>
            <w:r w:rsidRPr="00633159">
              <w:t xml:space="preserve">e a </w:t>
            </w:r>
            <w:r w:rsidRPr="00633159">
              <w:rPr>
                <w:b/>
                <w:i/>
              </w:rPr>
              <w:t xml:space="preserve">negrito </w:t>
            </w:r>
            <w:r w:rsidRPr="00633159">
              <w:t>na coluna da esquerda e na coluna da direita. O texto novo é assinalado em</w:t>
            </w:r>
            <w:r w:rsidRPr="00633159">
              <w:rPr>
                <w:b/>
                <w:i/>
              </w:rPr>
              <w:t xml:space="preserve"> itálico </w:t>
            </w:r>
            <w:r w:rsidRPr="00633159">
              <w:t xml:space="preserve">e a </w:t>
            </w:r>
            <w:r w:rsidRPr="00633159">
              <w:rPr>
                <w:b/>
                <w:i/>
              </w:rPr>
              <w:t xml:space="preserve">negrito </w:t>
            </w:r>
            <w:r w:rsidRPr="00633159">
              <w:t>na coluna da direita.</w:t>
            </w:r>
          </w:p>
          <w:p w:rsidR="00985AC3" w:rsidRPr="00633159" w:rsidRDefault="00985AC3" w:rsidP="009A1BB3">
            <w:pPr>
              <w:pStyle w:val="Lgendestandard"/>
              <w:jc w:val="both"/>
              <w:rPr>
                <w:highlight w:val="yellow"/>
              </w:rPr>
            </w:pPr>
          </w:p>
          <w:p w:rsidR="00985AC3" w:rsidRPr="00633159" w:rsidRDefault="00985AC3" w:rsidP="009A1BB3">
            <w:pPr>
              <w:pStyle w:val="Lgendestandard"/>
              <w:jc w:val="both"/>
            </w:pPr>
            <w:r w:rsidRPr="00633159">
              <w:t>A primeira e a segunda linhas do cabeçalho de cada alteração identificam o passo relevante do projeto de ato em apreço. Se uma alteração disser respeito a um ato já existente, que o projeto de ato pretenda modificar, o cabeçalho comporta ainda uma terceira e uma quarta linhas, que identificam, respetivamente, o ato existente e a disposição visada do ato em causa.</w:t>
            </w:r>
          </w:p>
          <w:p w:rsidR="00985AC3" w:rsidRPr="00633159" w:rsidRDefault="00985AC3" w:rsidP="009A1BB3">
            <w:pPr>
              <w:pStyle w:val="Lgendestandard"/>
            </w:pPr>
          </w:p>
          <w:p w:rsidR="00985AC3" w:rsidRPr="00633159" w:rsidRDefault="00985AC3" w:rsidP="009A1BB3">
            <w:pPr>
              <w:pStyle w:val="Lgendestandard"/>
              <w:rPr>
                <w:b/>
                <w:szCs w:val="18"/>
              </w:rPr>
            </w:pPr>
            <w:r w:rsidRPr="00633159">
              <w:rPr>
                <w:b/>
              </w:rPr>
              <w:t xml:space="preserve">Alterações do Parlamento apresentadas sob a </w:t>
            </w:r>
            <w:r w:rsidRPr="00633159">
              <w:rPr>
                <w:b/>
                <w:szCs w:val="18"/>
              </w:rPr>
              <w:t>forma de texto consolidado</w:t>
            </w:r>
          </w:p>
          <w:p w:rsidR="00985AC3" w:rsidRPr="00633159" w:rsidRDefault="00985AC3" w:rsidP="009A1BB3">
            <w:pPr>
              <w:pStyle w:val="Lgendestandard"/>
              <w:rPr>
                <w:szCs w:val="18"/>
              </w:rPr>
            </w:pPr>
          </w:p>
          <w:p w:rsidR="00985AC3" w:rsidRPr="00633159" w:rsidRDefault="00985AC3" w:rsidP="009A1BB3">
            <w:pPr>
              <w:pStyle w:val="Lgendestandard"/>
              <w:jc w:val="both"/>
            </w:pPr>
            <w:r w:rsidRPr="00633159">
              <w:t xml:space="preserve">Os trechos novos são assinalados em </w:t>
            </w:r>
            <w:r w:rsidRPr="00633159">
              <w:rPr>
                <w:b/>
                <w:i/>
              </w:rPr>
              <w:t>itálico</w:t>
            </w:r>
            <w:r w:rsidRPr="00633159">
              <w:t xml:space="preserve"> e a </w:t>
            </w:r>
            <w:r w:rsidRPr="00633159">
              <w:rPr>
                <w:b/>
                <w:i/>
              </w:rPr>
              <w:t>negrito</w:t>
            </w:r>
            <w:r w:rsidRPr="00633159">
              <w:t xml:space="preserve">. Os trechos suprimidos são assinalados pelo símbolo ▌ou rasurados. As substituições são assinaladas formatando o texto novo em </w:t>
            </w:r>
            <w:r w:rsidRPr="00633159">
              <w:rPr>
                <w:b/>
                <w:i/>
              </w:rPr>
              <w:t>itálico</w:t>
            </w:r>
            <w:r w:rsidRPr="00633159">
              <w:t xml:space="preserve"> e a </w:t>
            </w:r>
            <w:r w:rsidRPr="00633159">
              <w:rPr>
                <w:b/>
                <w:i/>
              </w:rPr>
              <w:t>negrito</w:t>
            </w:r>
            <w:r w:rsidRPr="00633159">
              <w:t xml:space="preserve"> e suprimindo, ou rasurando, o texto substituído.</w:t>
            </w:r>
          </w:p>
          <w:p w:rsidR="00985AC3" w:rsidRPr="00633159" w:rsidRDefault="00985AC3" w:rsidP="009A1BB3">
            <w:pPr>
              <w:pStyle w:val="Lgendestandard"/>
            </w:pPr>
            <w:r w:rsidRPr="00633159">
              <w:t>Exceção: as modificações de natureza estritamente técnica introduzidas pelos serviços com vista à elaboração do texto final não são assinaladas.</w:t>
            </w:r>
          </w:p>
          <w:p w:rsidR="00985AC3" w:rsidRPr="00633159" w:rsidRDefault="00985AC3" w:rsidP="002251D0">
            <w:pPr>
              <w:pStyle w:val="Lgendestandard"/>
            </w:pPr>
          </w:p>
        </w:tc>
      </w:tr>
    </w:tbl>
    <w:p w:rsidR="00985AC3" w:rsidRPr="00633159" w:rsidRDefault="00985AC3" w:rsidP="00741F76"/>
    <w:p w:rsidR="00985AC3" w:rsidRPr="00633159" w:rsidRDefault="00985AC3"/>
    <w:p w:rsidR="00ED0821" w:rsidRPr="00633159" w:rsidRDefault="00ED0821" w:rsidP="004C4A0B">
      <w:pPr>
        <w:widowControl/>
        <w:tabs>
          <w:tab w:val="center" w:pos="4677"/>
        </w:tabs>
      </w:pPr>
    </w:p>
    <w:p w:rsidR="00ED0821" w:rsidRPr="00633159" w:rsidRDefault="00ED0821">
      <w:pPr>
        <w:pStyle w:val="TOCHeading"/>
      </w:pPr>
      <w:r w:rsidRPr="00633159">
        <w:br w:type="page"/>
      </w:r>
      <w:r w:rsidRPr="00633159">
        <w:lastRenderedPageBreak/>
        <w:t>ÍNDICE</w:t>
      </w:r>
    </w:p>
    <w:p w:rsidR="00ED0821" w:rsidRPr="00633159" w:rsidRDefault="009E1C43">
      <w:pPr>
        <w:pStyle w:val="TOCPage"/>
      </w:pPr>
      <w:r w:rsidRPr="00633159">
        <w:t>Página</w:t>
      </w:r>
    </w:p>
    <w:p w:rsidR="008D6093" w:rsidRDefault="004C4A0B">
      <w:pPr>
        <w:pStyle w:val="TOC1"/>
        <w:tabs>
          <w:tab w:val="right" w:leader="dot" w:pos="9060"/>
        </w:tabs>
        <w:rPr>
          <w:rFonts w:asciiTheme="minorHAnsi" w:eastAsiaTheme="minorEastAsia" w:hAnsiTheme="minorHAnsi" w:cstheme="minorBidi"/>
          <w:noProof/>
          <w:sz w:val="22"/>
          <w:szCs w:val="22"/>
          <w:lang w:val="en-GB"/>
        </w:rPr>
      </w:pPr>
      <w:r w:rsidRPr="00633159">
        <w:rPr>
          <w:b/>
        </w:rPr>
        <w:fldChar w:fldCharType="begin"/>
      </w:r>
      <w:r w:rsidRPr="00633159">
        <w:rPr>
          <w:b/>
        </w:rPr>
        <w:instrText xml:space="preserve"> TOC \t "PageHeading</w:instrText>
      </w:r>
      <w:r w:rsidR="00420F63" w:rsidRPr="00633159">
        <w:rPr>
          <w:b/>
        </w:rPr>
        <w:instrText>;</w:instrText>
      </w:r>
      <w:r w:rsidRPr="00633159">
        <w:rPr>
          <w:b/>
        </w:rPr>
        <w:instrText xml:space="preserve">1" </w:instrText>
      </w:r>
      <w:r w:rsidRPr="00633159">
        <w:rPr>
          <w:b/>
        </w:rPr>
        <w:fldChar w:fldCharType="separate"/>
      </w:r>
      <w:r w:rsidR="008D6093">
        <w:rPr>
          <w:noProof/>
        </w:rPr>
        <w:t>PROJETO DE RESOLUÇÃO LEGISLATIVA DO PARLAMENTO EUROPEU</w:t>
      </w:r>
      <w:r w:rsidR="008D6093">
        <w:rPr>
          <w:noProof/>
        </w:rPr>
        <w:tab/>
      </w:r>
      <w:r w:rsidR="008D6093">
        <w:rPr>
          <w:noProof/>
        </w:rPr>
        <w:fldChar w:fldCharType="begin"/>
      </w:r>
      <w:r w:rsidR="008D6093">
        <w:rPr>
          <w:noProof/>
        </w:rPr>
        <w:instrText xml:space="preserve"> PAGEREF _Toc524017396 \h </w:instrText>
      </w:r>
      <w:r w:rsidR="008D6093">
        <w:rPr>
          <w:noProof/>
        </w:rPr>
      </w:r>
      <w:r w:rsidR="008D6093">
        <w:rPr>
          <w:noProof/>
        </w:rPr>
        <w:fldChar w:fldCharType="separate"/>
      </w:r>
      <w:r w:rsidR="008D6093">
        <w:rPr>
          <w:noProof/>
        </w:rPr>
        <w:t>5</w:t>
      </w:r>
      <w:r w:rsidR="008D6093">
        <w:rPr>
          <w:noProof/>
        </w:rPr>
        <w:fldChar w:fldCharType="end"/>
      </w:r>
    </w:p>
    <w:p w:rsidR="008D6093" w:rsidRDefault="008D6093">
      <w:pPr>
        <w:pStyle w:val="TOC1"/>
        <w:tabs>
          <w:tab w:val="right" w:leader="dot" w:pos="9060"/>
        </w:tabs>
        <w:rPr>
          <w:rFonts w:asciiTheme="minorHAnsi" w:eastAsiaTheme="minorEastAsia" w:hAnsiTheme="minorHAnsi" w:cstheme="minorBidi"/>
          <w:noProof/>
          <w:sz w:val="22"/>
          <w:szCs w:val="22"/>
          <w:lang w:val="en-GB"/>
        </w:rPr>
      </w:pPr>
      <w:r>
        <w:rPr>
          <w:noProof/>
        </w:rPr>
        <w:t>EXPOSIÇÃO DE MOTIVOS</w:t>
      </w:r>
      <w:r>
        <w:rPr>
          <w:noProof/>
        </w:rPr>
        <w:tab/>
      </w:r>
      <w:r>
        <w:rPr>
          <w:noProof/>
        </w:rPr>
        <w:fldChar w:fldCharType="begin"/>
      </w:r>
      <w:r>
        <w:rPr>
          <w:noProof/>
        </w:rPr>
        <w:instrText xml:space="preserve"> PAGEREF _Toc524017397 \h </w:instrText>
      </w:r>
      <w:r>
        <w:rPr>
          <w:noProof/>
        </w:rPr>
      </w:r>
      <w:r>
        <w:rPr>
          <w:noProof/>
        </w:rPr>
        <w:fldChar w:fldCharType="separate"/>
      </w:r>
      <w:r>
        <w:rPr>
          <w:noProof/>
        </w:rPr>
        <w:t>6</w:t>
      </w:r>
      <w:r>
        <w:rPr>
          <w:noProof/>
        </w:rPr>
        <w:fldChar w:fldCharType="end"/>
      </w:r>
    </w:p>
    <w:p w:rsidR="008D6093" w:rsidRDefault="008D6093">
      <w:pPr>
        <w:pStyle w:val="TOC1"/>
        <w:tabs>
          <w:tab w:val="right" w:leader="dot" w:pos="9060"/>
        </w:tabs>
        <w:rPr>
          <w:rFonts w:asciiTheme="minorHAnsi" w:eastAsiaTheme="minorEastAsia" w:hAnsiTheme="minorHAnsi" w:cstheme="minorBidi"/>
          <w:noProof/>
          <w:sz w:val="22"/>
          <w:szCs w:val="22"/>
          <w:lang w:val="en-GB"/>
        </w:rPr>
      </w:pPr>
      <w:r>
        <w:rPr>
          <w:noProof/>
        </w:rPr>
        <w:t>PROCESSO DA COMISSÃO COMPETENTE QUANTO À MATÉRIA DE FUNDO</w:t>
      </w:r>
      <w:r>
        <w:rPr>
          <w:noProof/>
        </w:rPr>
        <w:tab/>
      </w:r>
      <w:r>
        <w:rPr>
          <w:noProof/>
        </w:rPr>
        <w:fldChar w:fldCharType="begin"/>
      </w:r>
      <w:r>
        <w:rPr>
          <w:noProof/>
        </w:rPr>
        <w:instrText xml:space="preserve"> PAGEREF _Toc524017398 \h </w:instrText>
      </w:r>
      <w:r>
        <w:rPr>
          <w:noProof/>
        </w:rPr>
      </w:r>
      <w:r>
        <w:rPr>
          <w:noProof/>
        </w:rPr>
        <w:fldChar w:fldCharType="separate"/>
      </w:r>
      <w:r>
        <w:rPr>
          <w:noProof/>
        </w:rPr>
        <w:t>8</w:t>
      </w:r>
      <w:r>
        <w:rPr>
          <w:noProof/>
        </w:rPr>
        <w:fldChar w:fldCharType="end"/>
      </w:r>
    </w:p>
    <w:p w:rsidR="008D6093" w:rsidRDefault="008D6093">
      <w:pPr>
        <w:pStyle w:val="TOC1"/>
        <w:tabs>
          <w:tab w:val="right" w:leader="dot" w:pos="9060"/>
        </w:tabs>
        <w:rPr>
          <w:rFonts w:asciiTheme="minorHAnsi" w:eastAsiaTheme="minorEastAsia" w:hAnsiTheme="minorHAnsi" w:cstheme="minorBidi"/>
          <w:noProof/>
          <w:sz w:val="22"/>
          <w:szCs w:val="22"/>
          <w:lang w:val="en-GB"/>
        </w:rPr>
      </w:pPr>
      <w:r>
        <w:rPr>
          <w:noProof/>
        </w:rPr>
        <w:t>VOTAÇÃO NOMINAL FINAL NA COMISSÃO COMPETENTE QUANTO À MATÉRIA DE FUNDO</w:t>
      </w:r>
      <w:r>
        <w:rPr>
          <w:noProof/>
        </w:rPr>
        <w:tab/>
      </w:r>
      <w:r>
        <w:rPr>
          <w:noProof/>
        </w:rPr>
        <w:fldChar w:fldCharType="begin"/>
      </w:r>
      <w:r>
        <w:rPr>
          <w:noProof/>
        </w:rPr>
        <w:instrText xml:space="preserve"> PAGEREF _Toc524017399 \h </w:instrText>
      </w:r>
      <w:r>
        <w:rPr>
          <w:noProof/>
        </w:rPr>
      </w:r>
      <w:r>
        <w:rPr>
          <w:noProof/>
        </w:rPr>
        <w:fldChar w:fldCharType="separate"/>
      </w:r>
      <w:r>
        <w:rPr>
          <w:noProof/>
        </w:rPr>
        <w:t>9</w:t>
      </w:r>
      <w:r>
        <w:rPr>
          <w:noProof/>
        </w:rPr>
        <w:fldChar w:fldCharType="end"/>
      </w:r>
    </w:p>
    <w:p w:rsidR="00ED0821" w:rsidRPr="00633159" w:rsidRDefault="004C4A0B" w:rsidP="001A06D8">
      <w:r w:rsidRPr="00633159">
        <w:rPr>
          <w:b/>
        </w:rPr>
        <w:fldChar w:fldCharType="end"/>
      </w:r>
    </w:p>
    <w:p w:rsidR="001A06D8" w:rsidRPr="00633159" w:rsidRDefault="001A06D8" w:rsidP="001A06D8"/>
    <w:p w:rsidR="001A06D8" w:rsidRPr="00633159" w:rsidRDefault="001A06D8">
      <w:pPr>
        <w:pStyle w:val="PageHeading"/>
      </w:pPr>
    </w:p>
    <w:p w:rsidR="00ED0821" w:rsidRPr="00633159" w:rsidRDefault="00ED0821">
      <w:pPr>
        <w:pStyle w:val="PageHeading"/>
      </w:pPr>
      <w:r w:rsidRPr="00633159">
        <w:br w:type="page"/>
      </w:r>
      <w:r w:rsidRPr="00633159">
        <w:br w:type="page"/>
      </w:r>
      <w:bookmarkStart w:id="2" w:name="_Toc524017396"/>
      <w:r w:rsidRPr="00633159">
        <w:t>PROJETO DE RESOLUÇÃO LEGISLATIVA DO PARLAMENTO EUROPEU</w:t>
      </w:r>
      <w:bookmarkEnd w:id="2"/>
    </w:p>
    <w:p w:rsidR="00ED0821" w:rsidRPr="00633159" w:rsidRDefault="00FC0DC1" w:rsidP="00FC0DC1">
      <w:pPr>
        <w:pStyle w:val="NormalBold"/>
      </w:pPr>
      <w:r w:rsidRPr="00633159">
        <w:t>sobre o projeto de decisão de execução do Conselho que aprova a celebração, pela Eurojust, do Acordo de Cooperação entre a Eurojust e a Albânia</w:t>
      </w:r>
    </w:p>
    <w:p w:rsidR="00ED0821" w:rsidRPr="00633159" w:rsidRDefault="009E1C43">
      <w:pPr>
        <w:pStyle w:val="Normal12Bold"/>
      </w:pPr>
      <w:r w:rsidRPr="00633159">
        <w:t>(08688/2018 – C8-0251/2018 – 2018/0807(CNS))</w:t>
      </w:r>
    </w:p>
    <w:p w:rsidR="00ED0821" w:rsidRPr="00633159" w:rsidRDefault="009E1C43">
      <w:pPr>
        <w:pStyle w:val="Normal12Bold"/>
      </w:pPr>
      <w:r w:rsidRPr="00633159">
        <w:t>(Processo legislativo especial – consulta)</w:t>
      </w:r>
    </w:p>
    <w:p w:rsidR="00ED0821" w:rsidRPr="00633159" w:rsidRDefault="009E1C43">
      <w:pPr>
        <w:pStyle w:val="Normal12"/>
      </w:pPr>
      <w:r w:rsidRPr="00633159">
        <w:rPr>
          <w:i/>
        </w:rPr>
        <w:t>O Parlamento Europeu</w:t>
      </w:r>
      <w:r w:rsidRPr="00633159">
        <w:t>,</w:t>
      </w:r>
    </w:p>
    <w:p w:rsidR="008C0D91" w:rsidRPr="00633159" w:rsidRDefault="00985AC3" w:rsidP="008C0D91">
      <w:pPr>
        <w:pStyle w:val="Normal12Hanging"/>
      </w:pPr>
      <w:r w:rsidRPr="00633159">
        <w:t>–</w:t>
      </w:r>
      <w:r w:rsidRPr="00633159">
        <w:tab/>
        <w:t>Tendo em conta o projeto do Conselho (08688/2018),</w:t>
      </w:r>
    </w:p>
    <w:p w:rsidR="008C0D91" w:rsidRPr="00633159" w:rsidRDefault="008C0D91" w:rsidP="008C0D91">
      <w:pPr>
        <w:pStyle w:val="Normal12Hanging"/>
      </w:pPr>
      <w:r w:rsidRPr="00633159">
        <w:t>–</w:t>
      </w:r>
      <w:r w:rsidRPr="00633159">
        <w:tab/>
        <w:t>Tendo em conta o artigo 39.º, n.º 1, do Tratado da União Europeia, com a redação que lhe foi dada pelo Tratado de Amsterdão, e o artigo 9.º do Protocolo n.º 36 relativo às disposições transitórias, nos termos do qual foi consultado pelo Conselho (C8-0251/2018),</w:t>
      </w:r>
    </w:p>
    <w:p w:rsidR="00985AC3" w:rsidRPr="00633159" w:rsidRDefault="00985AC3" w:rsidP="008C0D91">
      <w:pPr>
        <w:pStyle w:val="Normal12Hanging"/>
      </w:pPr>
      <w:r w:rsidRPr="00633159">
        <w:t>–</w:t>
      </w:r>
      <w:r w:rsidRPr="00633159">
        <w:tab/>
        <w:t>Tendo em conta o artigo 78.º-C do seu Regimento,</w:t>
      </w:r>
    </w:p>
    <w:p w:rsidR="00985AC3" w:rsidRPr="00633159" w:rsidRDefault="00985AC3" w:rsidP="00985AC3">
      <w:pPr>
        <w:pStyle w:val="Normal12Hanging"/>
      </w:pPr>
      <w:r w:rsidRPr="00633159">
        <w:t>–</w:t>
      </w:r>
      <w:r w:rsidRPr="00633159">
        <w:tab/>
        <w:t>Tendo em conta o relatório da Comissão das Liberdades Cívicas, da Justiça e dos Assuntos Internos (A8-0275/2018),</w:t>
      </w:r>
    </w:p>
    <w:p w:rsidR="00985AC3" w:rsidRPr="00633159" w:rsidRDefault="00985AC3" w:rsidP="00985AC3">
      <w:pPr>
        <w:pStyle w:val="Normal12Hanging"/>
      </w:pPr>
      <w:r w:rsidRPr="00633159">
        <w:t>1.</w:t>
      </w:r>
      <w:r w:rsidRPr="00633159">
        <w:tab/>
        <w:t>Aprova o projeto do Conselho;</w:t>
      </w:r>
    </w:p>
    <w:p w:rsidR="00985AC3" w:rsidRPr="00633159" w:rsidRDefault="00985AC3" w:rsidP="00985AC3">
      <w:pPr>
        <w:pStyle w:val="Normal12Hanging"/>
      </w:pPr>
      <w:r w:rsidRPr="00633159">
        <w:t>2.</w:t>
      </w:r>
      <w:r w:rsidRPr="00633159">
        <w:tab/>
        <w:t>Solicita ao Conselho que o informe, se pretender afastar-se do texto aprovado pelo Parlamento;</w:t>
      </w:r>
    </w:p>
    <w:p w:rsidR="00985AC3" w:rsidRPr="00633159" w:rsidRDefault="00985AC3" w:rsidP="00985AC3">
      <w:pPr>
        <w:pStyle w:val="Normal12Hanging"/>
      </w:pPr>
      <w:r w:rsidRPr="00633159">
        <w:t>3.</w:t>
      </w:r>
      <w:r w:rsidRPr="00633159">
        <w:tab/>
        <w:t>Solicita nova consulta, caso o Conselho tencione alterar substancialmente o texto aprovado pelo Parlamento;</w:t>
      </w:r>
    </w:p>
    <w:p w:rsidR="00985AC3" w:rsidRPr="00633159" w:rsidRDefault="00985AC3" w:rsidP="00985AC3">
      <w:pPr>
        <w:pStyle w:val="Normal12Hanging"/>
      </w:pPr>
      <w:r w:rsidRPr="00633159">
        <w:t>4.</w:t>
      </w:r>
      <w:r w:rsidRPr="00633159">
        <w:tab/>
        <w:t>Encarrega o seu Presidente de transmitir a posição do Parlamento ao Conselho, à Comissão e aos parlamentos nacionais.</w:t>
      </w:r>
    </w:p>
    <w:p w:rsidR="00985AC3" w:rsidRPr="00633159" w:rsidRDefault="00985AC3" w:rsidP="00985AC3">
      <w:pPr>
        <w:pStyle w:val="PageHeading"/>
      </w:pPr>
      <w:r w:rsidRPr="00633159">
        <w:br w:type="page"/>
      </w:r>
      <w:bookmarkStart w:id="3" w:name="_Toc521932725"/>
      <w:bookmarkStart w:id="4" w:name="_Toc524017397"/>
      <w:r w:rsidRPr="00633159">
        <w:t>EXPOSIÇÃO DE MOTIVOS</w:t>
      </w:r>
      <w:bookmarkEnd w:id="3"/>
      <w:bookmarkEnd w:id="4"/>
    </w:p>
    <w:p w:rsidR="00985AC3" w:rsidRPr="00633159" w:rsidRDefault="00985AC3" w:rsidP="00985AC3"/>
    <w:p w:rsidR="00985AC3" w:rsidRPr="00633159" w:rsidRDefault="00985AC3" w:rsidP="00985AC3">
      <w:pPr>
        <w:jc w:val="both"/>
      </w:pPr>
      <w:r w:rsidRPr="00633159">
        <w:t>O Acordo de Cooperação entre a Eurojust e a Albânia segue o modelo dos acordos semelhantes celebrados pela Eurojust no passado (por exemplo, Eurojust-antiga República jugoslava da Macedónia, Eurojust-EUA, Eurojust-Noruega, Eurojust-Suíça, etc.). Esses acordos têm por objetivo fomentar a cooperação em matéria de luta contra as formas graves de criminalidade, em especial a criminalidade organizada e o terrorismo. Preveem, nomeadamente, agentes de ligação, pontos de contacto e o intercâmbio de informações. Os acordos de cooperação baseiam-se no artigo 26.º-A, n.º 2, da Decisão 2002/187/JAI do Conselho, de 28 de fevereiro de 2002, relativa à criação da Eurojust a fim de reforçar a luta contra as formas graves de criminalidade. De acordo com a ONU e a Europol, os grupos criminosos da Albânia estão entre os líderes a nível internacional no tráfico de heroína, cocaína e canábis (relatório de 2017 do Gabinete das Nações Unidas para a Droga e a Criminalidade; ver também a avaliação da ameaça da criminalidade organizada grave na UE de 2017). E segundo, por exemplo, o Departamento de Estado dos Estados Unidos da América, a criminalidade organizada continua a ser uma preocupação para a maioria dos albaneses devido à existência de uma rede de organizações criminosas envolvidas em tráfico de droga, extorsão, subornos, branqueamento de capitais, prostituição e tráfico de seres humanos. Por conseguinte, um acordo deste tipo pode promover a luta contra este tipo de criminalidade e é do interesse da Albânia e dos Estados-Membros, uma vez que a criminalidade organizada é um problema transnacional.</w:t>
      </w:r>
    </w:p>
    <w:p w:rsidR="00985AC3" w:rsidRPr="00633159" w:rsidRDefault="00985AC3" w:rsidP="00985AC3">
      <w:pPr>
        <w:jc w:val="both"/>
      </w:pPr>
    </w:p>
    <w:p w:rsidR="00985AC3" w:rsidRPr="00633159" w:rsidRDefault="00985AC3" w:rsidP="00985AC3">
      <w:pPr>
        <w:jc w:val="both"/>
      </w:pPr>
      <w:r w:rsidRPr="00633159">
        <w:t xml:space="preserve">Além disso, a Albânia é, desde 2014, um país candidato à UE. De acordo com o relatório da Comissão de 2018 (SWD(2018) 151 final), sobre o tema da luta contra a criminalidade organizada, tendo em conta as recomendações anteriores, foram realizados alguns progressos no alinhamento da legislação pertinente com as normas e boas práticas europeias. A Albânia adotou alterações à lei antimáfia e ao código de processo penal, a fim de tornar as investigações criminais mais eficazes. Registaram-se igualmente alguns progressos em matéria de confiscação de bens de origem criminosa, principalmente relacionados com apreensões preventivas. A cooperação policial internacional, especialmente com os Estados-Membros, foi intensificada. É necessário melhorar a cooperação entre as forças policiais, o Ministério Público e as demais agências e organismos competentes. São necessários mais esforços para combater o branqueamento de capitais, os bens de origem criminosa e a riqueza injustificada. Tendo em conta o mencionado, o Acordo de Cooperação com a Eurojust constitui um elemento adicional para melhorar a situação da Albânia neste domínio. Deve igualmente ser referido que foi assinado um acordo semelhante relativo à cooperação policial entre a Albânia e a Europol, em 9 de dezembro de 2013, relativo à cooperação operacional e estratégica. </w:t>
      </w:r>
    </w:p>
    <w:p w:rsidR="00985AC3" w:rsidRPr="00633159" w:rsidRDefault="00985AC3" w:rsidP="00985AC3">
      <w:pPr>
        <w:jc w:val="both"/>
      </w:pPr>
    </w:p>
    <w:p w:rsidR="00985AC3" w:rsidRPr="00633159" w:rsidRDefault="00985AC3" w:rsidP="00985AC3">
      <w:pPr>
        <w:jc w:val="both"/>
      </w:pPr>
      <w:r w:rsidRPr="00633159">
        <w:t>Em conformidade com a atual Decisão Eurojust, os acordos de cooperação desta natureza entre a Eurojust e países terceiros, que contenham disposições sobre o intercâmbio de dados pessoais, só podem ser celebrados se a entidade em questão estiver sujeita à Convenção do Conselho da Europa de 28 de janeiro de 1981 ou após uma avaliação que confirme a existência de um nível adequado de proteção de dados assegurado por essa entidade. A este respeito, importa salientar que a Albânia ratificou a referida Convenção em 2005, bem como o seu Protocolo Adicional de 2001. Além disso, a Instância Comum de Controlo da Eurojust, de 17 de julho de 2017 emitiu um parecer positivo a este respeito. O futuro novo Regulamento da Eurojust (2013/0256(COD)), que se encontra no processo de adoção final após o Parlamento Europeu e o Conselho terem chegado a acordo em junho de 2018, prevê a possibilidade de tais acordos, que, como possível fundamento para a transferência de dados pessoais, devem respeitar os princípios gerais aplicáveis às transferências de dados pessoais operacionais para países terceiros (ver, a este respeito, os artigos 38.º e 43.º da versão consolidada provisória do referido regulamento). Isto significa que, assim que o novo regulamento entrar em vigor e passar a ser aplicado, os acordos de cooperação mencionados, no que diz respeito às transferências de dados pessoais, devem estar em consonância com o mesmo, incluindo o acordo atual.</w:t>
      </w:r>
    </w:p>
    <w:p w:rsidR="00985AC3" w:rsidRPr="00633159" w:rsidRDefault="00985AC3" w:rsidP="00985AC3">
      <w:pPr>
        <w:jc w:val="both"/>
      </w:pPr>
    </w:p>
    <w:p w:rsidR="00985AC3" w:rsidRPr="00633159" w:rsidRDefault="00985AC3" w:rsidP="00985AC3">
      <w:pPr>
        <w:jc w:val="both"/>
      </w:pPr>
      <w:r w:rsidRPr="00633159">
        <w:t>Por conseguinte, e tendo em conta todos os elementos supracitados, a relatora subscreve o projeto de decisão de execução do Conselho respeitante ao projeto de Acordo de Cooperação entre a Eurojust e a República da Albânia.</w:t>
      </w:r>
    </w:p>
    <w:p w:rsidR="00985AC3" w:rsidRPr="00633159" w:rsidRDefault="00985AC3" w:rsidP="00420F63">
      <w:pPr>
        <w:pStyle w:val="Normal12Hanging"/>
      </w:pPr>
    </w:p>
    <w:p w:rsidR="00420F63" w:rsidRPr="00633159" w:rsidRDefault="00420F63" w:rsidP="00420F63">
      <w:pPr>
        <w:pStyle w:val="PageHeading"/>
      </w:pPr>
      <w:r w:rsidRPr="00633159">
        <w:br w:type="page"/>
      </w:r>
      <w:bookmarkStart w:id="5" w:name="ProcPageRR"/>
      <w:bookmarkStart w:id="6" w:name="_Toc524017398"/>
      <w:r w:rsidRPr="00633159">
        <w:t>PROCESSO DA COMISSÃO COMPETENTE QUANTO À MATÉRIA DE FUNDO</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Decisão que aprova a celebração, pela Eurojust, do Acordo de Cooperação entre a Eurojust e a Albânia</w:t>
            </w: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Referências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08688/2018 – C8-0251/2018 – 2018/0807(CNS)</w:t>
            </w: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Data de consulta do PE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Comissão competente quanto ao fundo</w:t>
            </w:r>
          </w:p>
          <w:p w:rsidR="00420F63" w:rsidRPr="00633159" w:rsidRDefault="00420F63">
            <w:pPr>
              <w:autoSpaceDE w:val="0"/>
              <w:autoSpaceDN w:val="0"/>
              <w:adjustRightInd w:val="0"/>
              <w:rPr>
                <w:color w:val="000000"/>
                <w:sz w:val="20"/>
              </w:rPr>
            </w:pPr>
            <w:r w:rsidRPr="00633159">
              <w:rPr>
                <w:color w:val="000000"/>
                <w:sz w:val="20"/>
              </w:rPr>
              <w:t>       Data de comunicação em sessão</w:t>
            </w:r>
          </w:p>
        </w:tc>
        <w:tc>
          <w:tcPr>
            <w:tcW w:w="1530"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LIBE</w:t>
            </w:r>
          </w:p>
          <w:p w:rsidR="00420F63" w:rsidRPr="00633159" w:rsidRDefault="00420F63">
            <w:pPr>
              <w:autoSpaceDE w:val="0"/>
              <w:autoSpaceDN w:val="0"/>
              <w:adjustRightInd w:val="0"/>
              <w:rPr>
                <w:color w:val="000000"/>
                <w:sz w:val="20"/>
              </w:rPr>
            </w:pPr>
            <w:r w:rsidRPr="00633159">
              <w:rPr>
                <w:color w:val="000000"/>
                <w:sz w:val="20"/>
              </w:rPr>
              <w:t>11.6.2018</w:t>
            </w: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Comissões encarregadas de emitir parecer</w:t>
            </w:r>
          </w:p>
          <w:p w:rsidR="00420F63" w:rsidRPr="00633159" w:rsidRDefault="00420F63">
            <w:pPr>
              <w:autoSpaceDE w:val="0"/>
              <w:autoSpaceDN w:val="0"/>
              <w:adjustRightInd w:val="0"/>
              <w:rPr>
                <w:color w:val="000000"/>
                <w:sz w:val="20"/>
              </w:rPr>
            </w:pPr>
            <w:r w:rsidRPr="00633159">
              <w:rPr>
                <w:color w:val="000000"/>
                <w:sz w:val="20"/>
              </w:rPr>
              <w:t>       Data de comunicação em sessão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JURI</w:t>
            </w:r>
          </w:p>
          <w:p w:rsidR="00420F63" w:rsidRPr="00633159" w:rsidRDefault="00420F63">
            <w:pPr>
              <w:autoSpaceDE w:val="0"/>
              <w:autoSpaceDN w:val="0"/>
              <w:adjustRightInd w:val="0"/>
              <w:rPr>
                <w:color w:val="000000"/>
                <w:sz w:val="20"/>
              </w:rPr>
            </w:pPr>
            <w:r w:rsidRPr="00633159">
              <w:rPr>
                <w:color w:val="000000"/>
                <w:sz w:val="20"/>
              </w:rPr>
              <w:t>11.6.2018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Comissões que não emitiram parecer</w:t>
            </w:r>
          </w:p>
          <w:p w:rsidR="00420F63" w:rsidRPr="00633159" w:rsidRDefault="00420F63">
            <w:pPr>
              <w:autoSpaceDE w:val="0"/>
              <w:autoSpaceDN w:val="0"/>
              <w:adjustRightInd w:val="0"/>
              <w:rPr>
                <w:color w:val="000000"/>
                <w:sz w:val="20"/>
              </w:rPr>
            </w:pPr>
            <w:r w:rsidRPr="00633159">
              <w:rPr>
                <w:color w:val="000000"/>
                <w:sz w:val="20"/>
              </w:rPr>
              <w:t>       Data da decisão</w:t>
            </w:r>
          </w:p>
        </w:tc>
        <w:tc>
          <w:tcPr>
            <w:tcW w:w="1530"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JURI</w:t>
            </w:r>
          </w:p>
          <w:p w:rsidR="00420F63" w:rsidRPr="00633159" w:rsidRDefault="00420F63">
            <w:pPr>
              <w:autoSpaceDE w:val="0"/>
              <w:autoSpaceDN w:val="0"/>
              <w:adjustRightInd w:val="0"/>
              <w:rPr>
                <w:color w:val="000000"/>
                <w:sz w:val="20"/>
              </w:rPr>
            </w:pPr>
            <w:r w:rsidRPr="00633159">
              <w:rPr>
                <w:color w:val="000000"/>
                <w:sz w:val="20"/>
              </w:rPr>
              <w:t>9.7.2018</w:t>
            </w: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Relatores</w:t>
            </w:r>
          </w:p>
          <w:p w:rsidR="00420F63" w:rsidRPr="00633159" w:rsidRDefault="00420F63">
            <w:pPr>
              <w:autoSpaceDE w:val="0"/>
              <w:autoSpaceDN w:val="0"/>
              <w:adjustRightInd w:val="0"/>
              <w:rPr>
                <w:color w:val="000000"/>
                <w:sz w:val="20"/>
              </w:rPr>
            </w:pPr>
            <w:r w:rsidRPr="00633159">
              <w:rPr>
                <w:color w:val="000000"/>
                <w:sz w:val="20"/>
              </w:rPr>
              <w:t>       Data de designação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Laura Ferrara</w:t>
            </w:r>
          </w:p>
          <w:p w:rsidR="00420F63" w:rsidRPr="00633159" w:rsidRDefault="00420F63">
            <w:pPr>
              <w:autoSpaceDE w:val="0"/>
              <w:autoSpaceDN w:val="0"/>
              <w:adjustRightInd w:val="0"/>
              <w:rPr>
                <w:color w:val="000000"/>
                <w:sz w:val="20"/>
              </w:rPr>
            </w:pPr>
            <w:r w:rsidRPr="00633159">
              <w:rPr>
                <w:color w:val="000000"/>
                <w:sz w:val="20"/>
              </w:rPr>
              <w:t>9.7.2018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Exame em comissão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30.8.2018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3.9.2018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Data de aprovação</w:t>
            </w:r>
          </w:p>
        </w:tc>
        <w:tc>
          <w:tcPr>
            <w:tcW w:w="1530"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3.9.2018</w:t>
            </w: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rFonts w:ascii="sans-serif" w:hAnsi="sans-serif" w:cs="sans-serif"/>
                <w:color w:val="000000"/>
                <w:szCs w:val="24"/>
              </w:rPr>
            </w:pP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Resultado da votação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w:t>
            </w:r>
          </w:p>
          <w:p w:rsidR="00420F63" w:rsidRPr="00633159" w:rsidRDefault="00420F63">
            <w:pPr>
              <w:autoSpaceDE w:val="0"/>
              <w:autoSpaceDN w:val="0"/>
              <w:adjustRightInd w:val="0"/>
              <w:rPr>
                <w:color w:val="000000"/>
                <w:sz w:val="20"/>
              </w:rPr>
            </w:pPr>
            <w:r w:rsidRPr="00633159">
              <w:rPr>
                <w:color w:val="000000"/>
                <w:sz w:val="20"/>
              </w:rPr>
              <w:t>–:</w:t>
            </w:r>
          </w:p>
          <w:p w:rsidR="00420F63" w:rsidRPr="00633159" w:rsidRDefault="00420F63">
            <w:pPr>
              <w:autoSpaceDE w:val="0"/>
              <w:autoSpaceDN w:val="0"/>
              <w:adjustRightInd w:val="0"/>
              <w:rPr>
                <w:color w:val="000000"/>
                <w:sz w:val="20"/>
              </w:rPr>
            </w:pPr>
            <w:r w:rsidRPr="00633159">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34</w:t>
            </w:r>
          </w:p>
          <w:p w:rsidR="00420F63" w:rsidRPr="00633159" w:rsidRDefault="00420F63">
            <w:pPr>
              <w:autoSpaceDE w:val="0"/>
              <w:autoSpaceDN w:val="0"/>
              <w:adjustRightInd w:val="0"/>
              <w:rPr>
                <w:color w:val="000000"/>
                <w:sz w:val="20"/>
              </w:rPr>
            </w:pPr>
            <w:r w:rsidRPr="00633159">
              <w:rPr>
                <w:color w:val="000000"/>
                <w:sz w:val="20"/>
              </w:rPr>
              <w:t>1</w:t>
            </w:r>
          </w:p>
          <w:p w:rsidR="00420F63" w:rsidRPr="00633159" w:rsidRDefault="00420F63">
            <w:pPr>
              <w:autoSpaceDE w:val="0"/>
              <w:autoSpaceDN w:val="0"/>
              <w:adjustRightInd w:val="0"/>
              <w:rPr>
                <w:color w:val="000000"/>
                <w:sz w:val="20"/>
              </w:rPr>
            </w:pPr>
            <w:r w:rsidRPr="00633159">
              <w:rPr>
                <w:color w:val="000000"/>
                <w:sz w:val="20"/>
              </w:rPr>
              <w:t>3</w:t>
            </w:r>
          </w:p>
        </w:tc>
      </w:tr>
      <w:tr w:rsidR="00420F63" w:rsidRPr="00633159">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Deputados presentes no momento da votação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Asim Ademov, Monika Beňová, Caterina Chinnici, Cornelia Ernst, Laura Ferrara, Romeo Franz, Ana Gomes, Dietmar Köster, Barbara Kudrycka, Cécile Kashetu Kyenge, Juan Fernando López Aguilar, Roberta Metsola, Claude Moraes, Péter Niedermüller, Judith Sargentini, Giancarlo Scottà, Birgit Sippel, Csaba Sógor, Sergei Stanishev, Helga Stevens, Bodil Valero, Josef Weidenholzer, Cecilia Wikström, Kristina Winberg, Auke Zijlstra</w:t>
            </w: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Suplentes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Dennis de Jong, Gérard Deprez, Sylvia-Yvonne Kaufmann, Jean Lambert, Jeroen Lenaers, Nuno Melo, Emil Radev, Barbara Spinelli, Jaromír Štětina</w:t>
            </w: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Suplentes (art. 200.º, n.º 2) presentes no momento da votação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Françoise Grossetête, Nadja Hirsch, Peter Kouroumbashev, Vladimir Urutchev</w:t>
            </w:r>
          </w:p>
        </w:tc>
      </w:tr>
      <w:tr w:rsidR="00420F63" w:rsidRPr="00633159">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b/>
                <w:bCs/>
                <w:color w:val="000000"/>
                <w:sz w:val="20"/>
              </w:rPr>
            </w:pPr>
            <w:r w:rsidRPr="00633159">
              <w:rPr>
                <w:b/>
                <w:bCs/>
                <w:color w:val="000000"/>
                <w:sz w:val="20"/>
              </w:rPr>
              <w:t>Data de entrega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20F63" w:rsidRPr="00633159" w:rsidRDefault="00420F63">
            <w:pPr>
              <w:autoSpaceDE w:val="0"/>
              <w:autoSpaceDN w:val="0"/>
              <w:adjustRightInd w:val="0"/>
              <w:rPr>
                <w:color w:val="000000"/>
                <w:sz w:val="20"/>
              </w:rPr>
            </w:pPr>
            <w:r w:rsidRPr="00633159">
              <w:rPr>
                <w:color w:val="000000"/>
                <w:sz w:val="20"/>
              </w:rPr>
              <w:t>6.9.2018</w:t>
            </w:r>
          </w:p>
        </w:tc>
      </w:tr>
    </w:tbl>
    <w:p w:rsidR="00420F63" w:rsidRPr="00633159" w:rsidRDefault="00420F63">
      <w:pPr>
        <w:autoSpaceDE w:val="0"/>
        <w:autoSpaceDN w:val="0"/>
        <w:adjustRightInd w:val="0"/>
        <w:rPr>
          <w:rFonts w:ascii="Arial" w:hAnsi="Arial" w:cs="Arial"/>
          <w:szCs w:val="24"/>
        </w:rPr>
      </w:pPr>
    </w:p>
    <w:bookmarkEnd w:id="5"/>
    <w:p w:rsidR="00590F7A" w:rsidRPr="00633159" w:rsidRDefault="00590F7A" w:rsidP="00590F7A">
      <w:pPr>
        <w:pStyle w:val="PageHeading"/>
      </w:pPr>
      <w:r w:rsidRPr="00633159">
        <w:br w:type="page"/>
      </w:r>
      <w:bookmarkStart w:id="7" w:name="_Toc523993441"/>
      <w:bookmarkStart w:id="8" w:name="RollCallPageRR"/>
      <w:bookmarkStart w:id="9" w:name="_Toc524017399"/>
      <w:r w:rsidRPr="00633159">
        <w:t>VOTAÇÃO NOMINAL FINAL NA COMISSÃO COMPETENTE QUANTO À MATÉRIA DE FUNDO</w:t>
      </w:r>
      <w:bookmarkEnd w:id="7"/>
      <w:bookmarkEnd w:id="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0F7A" w:rsidRPr="00633159" w:rsidTr="00B67953">
        <w:trPr>
          <w:cantSplit/>
        </w:trPr>
        <w:tc>
          <w:tcPr>
            <w:tcW w:w="1701" w:type="dxa"/>
            <w:shd w:val="pct10" w:color="000000" w:fill="FFFFFF"/>
            <w:vAlign w:val="center"/>
          </w:tcPr>
          <w:p w:rsidR="00590F7A" w:rsidRPr="00633159" w:rsidRDefault="00590F7A" w:rsidP="00B67953">
            <w:pPr>
              <w:spacing w:before="120" w:after="120"/>
              <w:jc w:val="center"/>
              <w:rPr>
                <w:b/>
                <w:sz w:val="20"/>
              </w:rPr>
            </w:pPr>
            <w:r w:rsidRPr="00633159">
              <w:rPr>
                <w:b/>
                <w:sz w:val="20"/>
              </w:rPr>
              <w:t>34</w:t>
            </w:r>
          </w:p>
        </w:tc>
        <w:tc>
          <w:tcPr>
            <w:tcW w:w="7371" w:type="dxa"/>
            <w:shd w:val="pct10" w:color="000000" w:fill="FFFFFF"/>
          </w:tcPr>
          <w:p w:rsidR="00590F7A" w:rsidRPr="00633159" w:rsidRDefault="00590F7A" w:rsidP="00B67953">
            <w:pPr>
              <w:spacing w:before="120" w:after="120"/>
              <w:jc w:val="center"/>
              <w:rPr>
                <w:rFonts w:ascii="Arial" w:hAnsi="Arial" w:cs="Arial"/>
                <w:b/>
                <w:sz w:val="28"/>
                <w:szCs w:val="28"/>
              </w:rPr>
            </w:pPr>
            <w:r w:rsidRPr="00633159">
              <w:rPr>
                <w:rFonts w:ascii="Arial" w:hAnsi="Arial"/>
                <w:b/>
                <w:sz w:val="28"/>
                <w:szCs w:val="28"/>
              </w:rPr>
              <w:t>+</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ALDE</w:t>
            </w:r>
          </w:p>
        </w:tc>
        <w:tc>
          <w:tcPr>
            <w:tcW w:w="7371" w:type="dxa"/>
            <w:shd w:val="clear" w:color="auto" w:fill="FFFFFF"/>
          </w:tcPr>
          <w:p w:rsidR="00590F7A" w:rsidRPr="00633159" w:rsidRDefault="00590F7A" w:rsidP="00B67953">
            <w:pPr>
              <w:spacing w:before="120" w:after="120"/>
              <w:rPr>
                <w:sz w:val="20"/>
              </w:rPr>
            </w:pPr>
            <w:r w:rsidRPr="00633159">
              <w:rPr>
                <w:sz w:val="20"/>
              </w:rPr>
              <w:t>Gérard Deprez, Nadja Hirsch, Cecilia Wikström</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ECR</w:t>
            </w:r>
          </w:p>
        </w:tc>
        <w:tc>
          <w:tcPr>
            <w:tcW w:w="7371" w:type="dxa"/>
            <w:shd w:val="clear" w:color="auto" w:fill="FFFFFF"/>
          </w:tcPr>
          <w:p w:rsidR="00590F7A" w:rsidRPr="00633159" w:rsidRDefault="00590F7A" w:rsidP="00B67953">
            <w:pPr>
              <w:spacing w:before="120" w:after="120"/>
              <w:rPr>
                <w:sz w:val="20"/>
              </w:rPr>
            </w:pPr>
            <w:r w:rsidRPr="00633159">
              <w:rPr>
                <w:sz w:val="20"/>
              </w:rPr>
              <w:t>Helga Stevens, Kristina Winberg</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EFDD</w:t>
            </w:r>
          </w:p>
        </w:tc>
        <w:tc>
          <w:tcPr>
            <w:tcW w:w="7371" w:type="dxa"/>
            <w:shd w:val="clear" w:color="auto" w:fill="FFFFFF"/>
          </w:tcPr>
          <w:p w:rsidR="00590F7A" w:rsidRPr="00633159" w:rsidRDefault="00590F7A" w:rsidP="00B67953">
            <w:pPr>
              <w:spacing w:before="120" w:after="120"/>
              <w:rPr>
                <w:sz w:val="20"/>
              </w:rPr>
            </w:pPr>
            <w:r w:rsidRPr="00633159">
              <w:rPr>
                <w:sz w:val="20"/>
              </w:rPr>
              <w:t>Laura Ferrara</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ENF</w:t>
            </w:r>
          </w:p>
        </w:tc>
        <w:tc>
          <w:tcPr>
            <w:tcW w:w="7371" w:type="dxa"/>
            <w:shd w:val="clear" w:color="auto" w:fill="FFFFFF"/>
          </w:tcPr>
          <w:p w:rsidR="00590F7A" w:rsidRPr="00633159" w:rsidRDefault="00590F7A" w:rsidP="00B67953">
            <w:pPr>
              <w:spacing w:before="120" w:after="120"/>
              <w:rPr>
                <w:sz w:val="20"/>
              </w:rPr>
            </w:pPr>
            <w:r w:rsidRPr="00633159">
              <w:rPr>
                <w:sz w:val="20"/>
              </w:rPr>
              <w:t>Giancarlo Scottà</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PPE</w:t>
            </w:r>
          </w:p>
        </w:tc>
        <w:tc>
          <w:tcPr>
            <w:tcW w:w="7371" w:type="dxa"/>
            <w:shd w:val="clear" w:color="auto" w:fill="FFFFFF"/>
          </w:tcPr>
          <w:p w:rsidR="00590F7A" w:rsidRPr="00633159" w:rsidRDefault="00590F7A" w:rsidP="00B67953">
            <w:pPr>
              <w:spacing w:before="120" w:after="120"/>
              <w:rPr>
                <w:sz w:val="20"/>
              </w:rPr>
            </w:pPr>
            <w:r w:rsidRPr="00633159">
              <w:rPr>
                <w:sz w:val="20"/>
              </w:rPr>
              <w:t>Asim Ademov, Françoise Grossetête, Barbara Kudrycka, Jeroen Lenaers, Nuno Melo, Roberta Metsola, Emil Radev, Csaba Sógor, Jaromír Štětina, Vladimir Urutchev</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S&amp;D</w:t>
            </w:r>
          </w:p>
        </w:tc>
        <w:tc>
          <w:tcPr>
            <w:tcW w:w="7371" w:type="dxa"/>
            <w:shd w:val="clear" w:color="auto" w:fill="FFFFFF"/>
          </w:tcPr>
          <w:p w:rsidR="00590F7A" w:rsidRPr="00633159" w:rsidRDefault="00590F7A" w:rsidP="00B67953">
            <w:pPr>
              <w:spacing w:before="120" w:after="120"/>
              <w:rPr>
                <w:sz w:val="20"/>
              </w:rPr>
            </w:pPr>
            <w:r w:rsidRPr="00633159">
              <w:rPr>
                <w:sz w:val="20"/>
              </w:rPr>
              <w:t>Monika Beňová, Caterina Chinnici, Ana Gomes, Sylvia-Yvonne Kaufmann, Dietmar Köster, Peter Kouroumbashev, Cécile Kashetu Kyenge, Juan Fernando López Aguilar, Claude Moraes, Péter Niedermüller, Birgit Sippel, Sergei Stanishev, Josef Weidenholzer</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VERTS/ALE</w:t>
            </w:r>
          </w:p>
        </w:tc>
        <w:tc>
          <w:tcPr>
            <w:tcW w:w="7371" w:type="dxa"/>
            <w:shd w:val="clear" w:color="auto" w:fill="FFFFFF"/>
          </w:tcPr>
          <w:p w:rsidR="00590F7A" w:rsidRPr="00633159" w:rsidRDefault="00590F7A" w:rsidP="00B67953">
            <w:pPr>
              <w:spacing w:before="120" w:after="120"/>
              <w:rPr>
                <w:sz w:val="20"/>
              </w:rPr>
            </w:pPr>
            <w:r w:rsidRPr="00633159">
              <w:rPr>
                <w:sz w:val="20"/>
              </w:rPr>
              <w:t>Romeo Franz, Jean Lambert, Judith Sargentini, Bodil Valero</w:t>
            </w:r>
          </w:p>
        </w:tc>
      </w:tr>
    </w:tbl>
    <w:p w:rsidR="00590F7A" w:rsidRPr="00633159" w:rsidRDefault="00590F7A" w:rsidP="00590F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0F7A" w:rsidRPr="00633159" w:rsidTr="00B67953">
        <w:trPr>
          <w:cantSplit/>
        </w:trPr>
        <w:tc>
          <w:tcPr>
            <w:tcW w:w="1701" w:type="dxa"/>
            <w:shd w:val="pct10" w:color="000000" w:fill="FFFFFF"/>
            <w:vAlign w:val="center"/>
          </w:tcPr>
          <w:p w:rsidR="00590F7A" w:rsidRPr="00633159" w:rsidRDefault="00590F7A" w:rsidP="00B67953">
            <w:pPr>
              <w:spacing w:before="120" w:after="120"/>
              <w:jc w:val="center"/>
              <w:rPr>
                <w:b/>
                <w:sz w:val="20"/>
              </w:rPr>
            </w:pPr>
            <w:r w:rsidRPr="00633159">
              <w:rPr>
                <w:b/>
                <w:sz w:val="20"/>
              </w:rPr>
              <w:t>1</w:t>
            </w:r>
          </w:p>
        </w:tc>
        <w:tc>
          <w:tcPr>
            <w:tcW w:w="7371" w:type="dxa"/>
            <w:shd w:val="pct10" w:color="000000" w:fill="FFFFFF"/>
          </w:tcPr>
          <w:p w:rsidR="00590F7A" w:rsidRPr="00633159" w:rsidRDefault="00590F7A" w:rsidP="00B67953">
            <w:pPr>
              <w:spacing w:before="120" w:after="120"/>
              <w:jc w:val="center"/>
              <w:rPr>
                <w:sz w:val="28"/>
                <w:szCs w:val="28"/>
              </w:rPr>
            </w:pPr>
            <w:r w:rsidRPr="00633159">
              <w:rPr>
                <w:rFonts w:ascii="Arial" w:hAnsi="Arial"/>
                <w:b/>
                <w:sz w:val="28"/>
                <w:szCs w:val="28"/>
              </w:rPr>
              <w:t>-</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ENF</w:t>
            </w:r>
          </w:p>
        </w:tc>
        <w:tc>
          <w:tcPr>
            <w:tcW w:w="7371" w:type="dxa"/>
            <w:shd w:val="clear" w:color="auto" w:fill="FFFFFF"/>
          </w:tcPr>
          <w:p w:rsidR="00590F7A" w:rsidRPr="00633159" w:rsidRDefault="00590F7A" w:rsidP="00B67953">
            <w:pPr>
              <w:spacing w:before="120" w:after="120"/>
              <w:rPr>
                <w:sz w:val="20"/>
              </w:rPr>
            </w:pPr>
            <w:r w:rsidRPr="00633159">
              <w:rPr>
                <w:sz w:val="20"/>
              </w:rPr>
              <w:t>Auke Zijlstra</w:t>
            </w:r>
          </w:p>
        </w:tc>
      </w:tr>
    </w:tbl>
    <w:p w:rsidR="00590F7A" w:rsidRPr="00633159" w:rsidRDefault="00590F7A" w:rsidP="00590F7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90F7A" w:rsidRPr="00633159" w:rsidTr="00B67953">
        <w:trPr>
          <w:cantSplit/>
        </w:trPr>
        <w:tc>
          <w:tcPr>
            <w:tcW w:w="1701" w:type="dxa"/>
            <w:shd w:val="pct10" w:color="000000" w:fill="FFFFFF"/>
            <w:vAlign w:val="center"/>
          </w:tcPr>
          <w:p w:rsidR="00590F7A" w:rsidRPr="00633159" w:rsidRDefault="00590F7A" w:rsidP="00B67953">
            <w:pPr>
              <w:spacing w:before="120" w:after="120"/>
              <w:jc w:val="center"/>
              <w:rPr>
                <w:b/>
                <w:sz w:val="20"/>
              </w:rPr>
            </w:pPr>
            <w:r w:rsidRPr="00633159">
              <w:rPr>
                <w:b/>
                <w:sz w:val="20"/>
              </w:rPr>
              <w:t>3</w:t>
            </w:r>
          </w:p>
        </w:tc>
        <w:tc>
          <w:tcPr>
            <w:tcW w:w="7371" w:type="dxa"/>
            <w:shd w:val="pct10" w:color="000000" w:fill="FFFFFF"/>
          </w:tcPr>
          <w:p w:rsidR="00590F7A" w:rsidRPr="00633159" w:rsidRDefault="00590F7A" w:rsidP="00B67953">
            <w:pPr>
              <w:spacing w:before="120" w:after="120"/>
              <w:jc w:val="center"/>
              <w:rPr>
                <w:sz w:val="28"/>
                <w:szCs w:val="28"/>
              </w:rPr>
            </w:pPr>
            <w:r w:rsidRPr="00633159">
              <w:rPr>
                <w:rFonts w:ascii="Arial" w:hAnsi="Arial"/>
                <w:b/>
                <w:sz w:val="28"/>
                <w:szCs w:val="28"/>
              </w:rPr>
              <w:t>0</w:t>
            </w:r>
          </w:p>
        </w:tc>
      </w:tr>
      <w:tr w:rsidR="00590F7A" w:rsidRPr="00633159" w:rsidTr="00B67953">
        <w:trPr>
          <w:cantSplit/>
        </w:trPr>
        <w:tc>
          <w:tcPr>
            <w:tcW w:w="1701" w:type="dxa"/>
            <w:shd w:val="clear" w:color="auto" w:fill="FFFFFF"/>
          </w:tcPr>
          <w:p w:rsidR="00590F7A" w:rsidRPr="00633159" w:rsidRDefault="00590F7A" w:rsidP="00B67953">
            <w:pPr>
              <w:spacing w:before="120" w:after="120"/>
              <w:rPr>
                <w:sz w:val="20"/>
              </w:rPr>
            </w:pPr>
            <w:r w:rsidRPr="00633159">
              <w:rPr>
                <w:sz w:val="20"/>
              </w:rPr>
              <w:t>GUE/NGL</w:t>
            </w:r>
          </w:p>
        </w:tc>
        <w:tc>
          <w:tcPr>
            <w:tcW w:w="7371" w:type="dxa"/>
            <w:shd w:val="clear" w:color="auto" w:fill="FFFFFF"/>
          </w:tcPr>
          <w:p w:rsidR="00590F7A" w:rsidRPr="00633159" w:rsidRDefault="00590F7A" w:rsidP="00B67953">
            <w:pPr>
              <w:spacing w:before="120" w:after="120"/>
              <w:rPr>
                <w:sz w:val="20"/>
              </w:rPr>
            </w:pPr>
            <w:r w:rsidRPr="00633159">
              <w:rPr>
                <w:sz w:val="20"/>
              </w:rPr>
              <w:t>Cornelia Ernst, Dennis de Jong, Barbara Spinelli</w:t>
            </w:r>
          </w:p>
        </w:tc>
      </w:tr>
    </w:tbl>
    <w:p w:rsidR="00590F7A" w:rsidRPr="00633159" w:rsidRDefault="00590F7A" w:rsidP="00590F7A">
      <w:pPr>
        <w:pStyle w:val="Normal12"/>
      </w:pPr>
    </w:p>
    <w:p w:rsidR="00590F7A" w:rsidRPr="00633159" w:rsidRDefault="00590F7A" w:rsidP="00590F7A">
      <w:r w:rsidRPr="00633159">
        <w:t>Legenda dos símbolos utilizados:</w:t>
      </w:r>
    </w:p>
    <w:p w:rsidR="00590F7A" w:rsidRPr="00633159" w:rsidRDefault="00590F7A" w:rsidP="00590F7A">
      <w:pPr>
        <w:pStyle w:val="NormalTabs"/>
      </w:pPr>
      <w:r w:rsidRPr="00633159">
        <w:t>+</w:t>
      </w:r>
      <w:r w:rsidRPr="00633159">
        <w:tab/>
        <w:t>:</w:t>
      </w:r>
      <w:r w:rsidRPr="00633159">
        <w:tab/>
        <w:t>votos a favor</w:t>
      </w:r>
    </w:p>
    <w:p w:rsidR="00590F7A" w:rsidRPr="00633159" w:rsidRDefault="00590F7A" w:rsidP="00590F7A">
      <w:pPr>
        <w:pStyle w:val="NormalTabs"/>
      </w:pPr>
      <w:r w:rsidRPr="00633159">
        <w:t>-</w:t>
      </w:r>
      <w:r w:rsidRPr="00633159">
        <w:tab/>
        <w:t>:</w:t>
      </w:r>
      <w:r w:rsidRPr="00633159">
        <w:tab/>
        <w:t>votos contra</w:t>
      </w:r>
    </w:p>
    <w:p w:rsidR="00590F7A" w:rsidRPr="00633159" w:rsidRDefault="00590F7A" w:rsidP="00590F7A">
      <w:pPr>
        <w:pStyle w:val="NormalTabs"/>
      </w:pPr>
      <w:r w:rsidRPr="00633159">
        <w:t>0</w:t>
      </w:r>
      <w:r w:rsidRPr="00633159">
        <w:tab/>
        <w:t>:</w:t>
      </w:r>
      <w:r w:rsidRPr="00633159">
        <w:tab/>
        <w:t>abstenções</w:t>
      </w:r>
    </w:p>
    <w:p w:rsidR="00590F7A" w:rsidRPr="00633159" w:rsidRDefault="00590F7A" w:rsidP="00590F7A"/>
    <w:bookmarkEnd w:id="8"/>
    <w:p w:rsidR="00590F7A" w:rsidRPr="00633159" w:rsidRDefault="00590F7A" w:rsidP="00590F7A"/>
    <w:p w:rsidR="00590F7A" w:rsidRPr="00633159" w:rsidRDefault="00590F7A" w:rsidP="00590F7A">
      <w:pPr>
        <w:pStyle w:val="PageHeading"/>
      </w:pPr>
    </w:p>
    <w:p w:rsidR="00ED0821" w:rsidRPr="00633159" w:rsidRDefault="00ED0821" w:rsidP="00420F63"/>
    <w:sectPr w:rsidR="00ED0821" w:rsidRPr="00633159" w:rsidSect="00633159">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3" w:rsidRPr="00633159" w:rsidRDefault="009E1C43">
      <w:r w:rsidRPr="00633159">
        <w:separator/>
      </w:r>
    </w:p>
  </w:endnote>
  <w:endnote w:type="continuationSeparator" w:id="0">
    <w:p w:rsidR="009E1C43" w:rsidRPr="00633159" w:rsidRDefault="009E1C43">
      <w:r w:rsidRPr="006331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9" w:rsidRPr="00633159" w:rsidRDefault="00633159" w:rsidP="00633159">
    <w:pPr>
      <w:pStyle w:val="Footer"/>
    </w:pPr>
    <w:r w:rsidRPr="00633159">
      <w:t>PE</w:t>
    </w:r>
    <w:r w:rsidRPr="00633159">
      <w:rPr>
        <w:rStyle w:val="HideTWBExt"/>
        <w:noProof w:val="0"/>
      </w:rPr>
      <w:t>&lt;NoPE&gt;</w:t>
    </w:r>
    <w:r w:rsidRPr="00633159">
      <w:t>626.841</w:t>
    </w:r>
    <w:r w:rsidRPr="00633159">
      <w:rPr>
        <w:rStyle w:val="HideTWBExt"/>
        <w:noProof w:val="0"/>
      </w:rPr>
      <w:t>&lt;/NoPE&gt;&lt;Version&gt;</w:t>
    </w:r>
    <w:r w:rsidRPr="00633159">
      <w:t>v02-00</w:t>
    </w:r>
    <w:r w:rsidRPr="00633159">
      <w:rPr>
        <w:rStyle w:val="HideTWBExt"/>
        <w:noProof w:val="0"/>
      </w:rPr>
      <w:t>&lt;/Version&gt;</w:t>
    </w:r>
    <w:r w:rsidRPr="00633159">
      <w:tab/>
    </w:r>
    <w:r w:rsidRPr="00633159">
      <w:fldChar w:fldCharType="begin"/>
    </w:r>
    <w:r w:rsidRPr="00633159">
      <w:instrText xml:space="preserve"> PAGE  \* MERGEFORMAT </w:instrText>
    </w:r>
    <w:r w:rsidRPr="00633159">
      <w:fldChar w:fldCharType="separate"/>
    </w:r>
    <w:r w:rsidR="008D6093">
      <w:rPr>
        <w:noProof/>
      </w:rPr>
      <w:t>2</w:t>
    </w:r>
    <w:r w:rsidRPr="00633159">
      <w:fldChar w:fldCharType="end"/>
    </w:r>
    <w:r w:rsidRPr="00633159">
      <w:t>/</w:t>
    </w:r>
    <w:fldSimple w:instr=" NUMPAGES  \* MERGEFORMAT ">
      <w:r w:rsidR="008D6093">
        <w:rPr>
          <w:noProof/>
        </w:rPr>
        <w:t>9</w:t>
      </w:r>
    </w:fldSimple>
    <w:r w:rsidRPr="00633159">
      <w:tab/>
    </w:r>
    <w:r w:rsidRPr="00633159">
      <w:rPr>
        <w:rStyle w:val="HideTWBExt"/>
        <w:noProof w:val="0"/>
      </w:rPr>
      <w:t>&lt;PathFdR&gt;</w:t>
    </w:r>
    <w:r w:rsidRPr="00633159">
      <w:t>RR\1162236PT.docx</w:t>
    </w:r>
    <w:r w:rsidRPr="00633159">
      <w:rPr>
        <w:rStyle w:val="HideTWBExt"/>
        <w:noProof w:val="0"/>
      </w:rPr>
      <w:t>&lt;/PathFdR&gt;</w:t>
    </w:r>
  </w:p>
  <w:p w:rsidR="002F7000" w:rsidRPr="00633159" w:rsidRDefault="00633159" w:rsidP="00633159">
    <w:pPr>
      <w:pStyle w:val="Footer2"/>
    </w:pPr>
    <w:r w:rsidRPr="00633159">
      <w:t>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9" w:rsidRPr="00633159" w:rsidRDefault="00633159" w:rsidP="00633159">
    <w:pPr>
      <w:pStyle w:val="Footer"/>
    </w:pPr>
    <w:r w:rsidRPr="00633159">
      <w:rPr>
        <w:rStyle w:val="HideTWBExt"/>
        <w:noProof w:val="0"/>
      </w:rPr>
      <w:t>&lt;PathFdR&gt;</w:t>
    </w:r>
    <w:r w:rsidRPr="00633159">
      <w:t>RR\1162236PT.docx</w:t>
    </w:r>
    <w:r w:rsidRPr="00633159">
      <w:rPr>
        <w:rStyle w:val="HideTWBExt"/>
        <w:noProof w:val="0"/>
      </w:rPr>
      <w:t>&lt;/PathFdR&gt;</w:t>
    </w:r>
    <w:r w:rsidRPr="00633159">
      <w:tab/>
    </w:r>
    <w:r w:rsidRPr="00633159">
      <w:fldChar w:fldCharType="begin"/>
    </w:r>
    <w:r w:rsidRPr="00633159">
      <w:instrText xml:space="preserve"> PAGE  \* MERGEFORMAT </w:instrText>
    </w:r>
    <w:r w:rsidRPr="00633159">
      <w:fldChar w:fldCharType="separate"/>
    </w:r>
    <w:r w:rsidR="008D6093">
      <w:rPr>
        <w:noProof/>
      </w:rPr>
      <w:t>9</w:t>
    </w:r>
    <w:r w:rsidRPr="00633159">
      <w:fldChar w:fldCharType="end"/>
    </w:r>
    <w:r w:rsidRPr="00633159">
      <w:t>/</w:t>
    </w:r>
    <w:fldSimple w:instr=" NUMPAGES  \* MERGEFORMAT ">
      <w:r w:rsidR="008D6093">
        <w:rPr>
          <w:noProof/>
        </w:rPr>
        <w:t>9</w:t>
      </w:r>
    </w:fldSimple>
    <w:r w:rsidRPr="00633159">
      <w:tab/>
      <w:t>PE</w:t>
    </w:r>
    <w:r w:rsidRPr="00633159">
      <w:rPr>
        <w:rStyle w:val="HideTWBExt"/>
        <w:noProof w:val="0"/>
      </w:rPr>
      <w:t>&lt;NoPE&gt;</w:t>
    </w:r>
    <w:r w:rsidRPr="00633159">
      <w:t>626.841</w:t>
    </w:r>
    <w:r w:rsidRPr="00633159">
      <w:rPr>
        <w:rStyle w:val="HideTWBExt"/>
        <w:noProof w:val="0"/>
      </w:rPr>
      <w:t>&lt;/NoPE&gt;&lt;Version&gt;</w:t>
    </w:r>
    <w:r w:rsidRPr="00633159">
      <w:t>v02-00</w:t>
    </w:r>
    <w:r w:rsidRPr="00633159">
      <w:rPr>
        <w:rStyle w:val="HideTWBExt"/>
        <w:noProof w:val="0"/>
      </w:rPr>
      <w:t>&lt;/Version&gt;</w:t>
    </w:r>
  </w:p>
  <w:p w:rsidR="002F7000" w:rsidRPr="00633159" w:rsidRDefault="00633159" w:rsidP="00633159">
    <w:pPr>
      <w:pStyle w:val="Footer2"/>
    </w:pPr>
    <w:r w:rsidRPr="00633159">
      <w:tab/>
      <w:t>PT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9" w:rsidRPr="00633159" w:rsidRDefault="00633159" w:rsidP="00633159">
    <w:pPr>
      <w:pStyle w:val="Footer"/>
    </w:pPr>
    <w:r w:rsidRPr="00633159">
      <w:rPr>
        <w:rStyle w:val="HideTWBExt"/>
        <w:noProof w:val="0"/>
      </w:rPr>
      <w:t>&lt;PathFdR&gt;</w:t>
    </w:r>
    <w:r w:rsidRPr="00633159">
      <w:t>RR\1162236PT.docx</w:t>
    </w:r>
    <w:r w:rsidRPr="00633159">
      <w:rPr>
        <w:rStyle w:val="HideTWBExt"/>
        <w:noProof w:val="0"/>
      </w:rPr>
      <w:t>&lt;/PathFdR&gt;</w:t>
    </w:r>
    <w:r w:rsidRPr="00633159">
      <w:tab/>
    </w:r>
    <w:r w:rsidRPr="00633159">
      <w:tab/>
      <w:t>PE</w:t>
    </w:r>
    <w:r w:rsidRPr="00633159">
      <w:rPr>
        <w:rStyle w:val="HideTWBExt"/>
        <w:noProof w:val="0"/>
      </w:rPr>
      <w:t>&lt;NoPE&gt;</w:t>
    </w:r>
    <w:r w:rsidRPr="00633159">
      <w:t>626.841</w:t>
    </w:r>
    <w:r w:rsidRPr="00633159">
      <w:rPr>
        <w:rStyle w:val="HideTWBExt"/>
        <w:noProof w:val="0"/>
      </w:rPr>
      <w:t>&lt;/NoPE&gt;&lt;Version&gt;</w:t>
    </w:r>
    <w:r w:rsidRPr="00633159">
      <w:t>v02-00</w:t>
    </w:r>
    <w:r w:rsidRPr="00633159">
      <w:rPr>
        <w:rStyle w:val="HideTWBExt"/>
        <w:noProof w:val="0"/>
      </w:rPr>
      <w:t>&lt;/Version&gt;</w:t>
    </w:r>
  </w:p>
  <w:p w:rsidR="002F7000" w:rsidRPr="00633159" w:rsidRDefault="00633159" w:rsidP="00633159">
    <w:pPr>
      <w:pStyle w:val="Footer2"/>
      <w:tabs>
        <w:tab w:val="center" w:pos="4535"/>
        <w:tab w:val="right" w:pos="9921"/>
      </w:tabs>
    </w:pPr>
    <w:r w:rsidRPr="00633159">
      <w:t>PT</w:t>
    </w:r>
    <w:r w:rsidRPr="00633159">
      <w:tab/>
    </w:r>
    <w:r w:rsidRPr="00633159">
      <w:rPr>
        <w:b w:val="0"/>
        <w:i/>
        <w:color w:val="C0C0C0"/>
        <w:sz w:val="22"/>
      </w:rPr>
      <w:t>Unida na diversidade</w:t>
    </w:r>
    <w:r w:rsidRPr="00633159">
      <w:tab/>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3" w:rsidRPr="00633159" w:rsidRDefault="009E1C43">
      <w:r w:rsidRPr="00633159">
        <w:separator/>
      </w:r>
    </w:p>
  </w:footnote>
  <w:footnote w:type="continuationSeparator" w:id="0">
    <w:p w:rsidR="009E1C43" w:rsidRPr="00633159" w:rsidRDefault="009E1C43">
      <w:r w:rsidRPr="0063315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93" w:rsidRDefault="008D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93" w:rsidRDefault="008D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93" w:rsidRDefault="008D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HORMNU" w:val=" 2"/>
    <w:docVar w:name="COMKEY" w:val="LIBE"/>
    <w:docVar w:name="DOCMNU" w:val=" 3"/>
    <w:docVar w:name="LastEditedSection" w:val=" 1"/>
    <w:docVar w:name="strDocTypeID" w:val="CONV"/>
    <w:docVar w:name="strSubDir" w:val="1162"/>
    <w:docVar w:name="TITLEMNU" w:val=" 2"/>
    <w:docVar w:name="TXTLANGUE" w:val="PT"/>
    <w:docVar w:name="TXTLANGUEMIN" w:val="pt"/>
    <w:docVar w:name="TXTNRC" w:val="…/2018"/>
    <w:docVar w:name="TXTNRCNS" w:val="2018/0807"/>
    <w:docVar w:name="TXTNRCOUNC" w:val="08688/2018"/>
    <w:docVar w:name="TXTNRPE" w:val="626.841"/>
    <w:docVar w:name="TXTPEorAP" w:val="PE"/>
    <w:docVar w:name="TXTROUTE" w:val="RR\1162236PT.docx"/>
    <w:docVar w:name="TXTTITLE" w:val=" on approving the conclusion by Eurojust of the Agreement on Cooperation between Eurojust and Albania "/>
    <w:docVar w:name="TXTVERSION" w:val="02-00"/>
  </w:docVars>
  <w:rsids>
    <w:rsidRoot w:val="009E1C43"/>
    <w:rsid w:val="00056EA7"/>
    <w:rsid w:val="00065F7B"/>
    <w:rsid w:val="00095869"/>
    <w:rsid w:val="000C7D46"/>
    <w:rsid w:val="000D3792"/>
    <w:rsid w:val="000D5500"/>
    <w:rsid w:val="00104AEE"/>
    <w:rsid w:val="001907B9"/>
    <w:rsid w:val="001A06D8"/>
    <w:rsid w:val="001E5A80"/>
    <w:rsid w:val="002817C0"/>
    <w:rsid w:val="002B272A"/>
    <w:rsid w:val="002D57FD"/>
    <w:rsid w:val="002E5810"/>
    <w:rsid w:val="002F2C7A"/>
    <w:rsid w:val="002F7000"/>
    <w:rsid w:val="00302A66"/>
    <w:rsid w:val="00385C3B"/>
    <w:rsid w:val="00420F63"/>
    <w:rsid w:val="00487BC1"/>
    <w:rsid w:val="004C4A0B"/>
    <w:rsid w:val="004D7B3B"/>
    <w:rsid w:val="0050486E"/>
    <w:rsid w:val="00543B7B"/>
    <w:rsid w:val="00566C5B"/>
    <w:rsid w:val="00590F7A"/>
    <w:rsid w:val="005E08C1"/>
    <w:rsid w:val="006154D2"/>
    <w:rsid w:val="00633159"/>
    <w:rsid w:val="00681C69"/>
    <w:rsid w:val="0069026F"/>
    <w:rsid w:val="00773CC8"/>
    <w:rsid w:val="00796EB5"/>
    <w:rsid w:val="007D611D"/>
    <w:rsid w:val="00812D91"/>
    <w:rsid w:val="00874129"/>
    <w:rsid w:val="008C0D91"/>
    <w:rsid w:val="008D3E8C"/>
    <w:rsid w:val="008D6093"/>
    <w:rsid w:val="008E1C2D"/>
    <w:rsid w:val="008E22DF"/>
    <w:rsid w:val="00956BF1"/>
    <w:rsid w:val="00972620"/>
    <w:rsid w:val="00985AC3"/>
    <w:rsid w:val="009D0C99"/>
    <w:rsid w:val="009E1C43"/>
    <w:rsid w:val="009E1E4E"/>
    <w:rsid w:val="00A23B9F"/>
    <w:rsid w:val="00A32023"/>
    <w:rsid w:val="00A43E6A"/>
    <w:rsid w:val="00AD26AD"/>
    <w:rsid w:val="00AF7573"/>
    <w:rsid w:val="00AF76C1"/>
    <w:rsid w:val="00B37926"/>
    <w:rsid w:val="00B548E0"/>
    <w:rsid w:val="00BD28D4"/>
    <w:rsid w:val="00BE4EC7"/>
    <w:rsid w:val="00C22C1C"/>
    <w:rsid w:val="00C54859"/>
    <w:rsid w:val="00C71A3C"/>
    <w:rsid w:val="00C82EBC"/>
    <w:rsid w:val="00CD6230"/>
    <w:rsid w:val="00D35EFB"/>
    <w:rsid w:val="00D41877"/>
    <w:rsid w:val="00DC3DED"/>
    <w:rsid w:val="00DC5070"/>
    <w:rsid w:val="00DD4E11"/>
    <w:rsid w:val="00E97119"/>
    <w:rsid w:val="00EA6348"/>
    <w:rsid w:val="00ED0609"/>
    <w:rsid w:val="00ED0821"/>
    <w:rsid w:val="00FC0DC1"/>
    <w:rsid w:val="00FC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E3D9F0-C533-446C-8CB7-307D3057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AF7573"/>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4C4A0B"/>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566C5B"/>
    <w:pPr>
      <w:tabs>
        <w:tab w:val="left" w:pos="567"/>
      </w:tabs>
    </w:pPr>
  </w:style>
  <w:style w:type="paragraph" w:customStyle="1" w:styleId="RefProc">
    <w:name w:val="RefProc"/>
    <w:basedOn w:val="Normal"/>
    <w:rsid w:val="001907B9"/>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C7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C71A3C"/>
    <w:pPr>
      <w:jc w:val="center"/>
    </w:pPr>
    <w:rPr>
      <w:rFonts w:ascii="Arial" w:hAnsi="Arial" w:cs="Arial"/>
      <w:i/>
      <w:sz w:val="22"/>
      <w:szCs w:val="22"/>
    </w:rPr>
  </w:style>
  <w:style w:type="paragraph" w:customStyle="1" w:styleId="LineTop">
    <w:name w:val="LineTop"/>
    <w:basedOn w:val="Normal"/>
    <w:next w:val="ZCommittee"/>
    <w:rsid w:val="00C71A3C"/>
    <w:pPr>
      <w:pBdr>
        <w:top w:val="single" w:sz="4" w:space="1" w:color="auto"/>
      </w:pBdr>
      <w:jc w:val="center"/>
    </w:pPr>
    <w:rPr>
      <w:rFonts w:ascii="Arial" w:hAnsi="Arial"/>
      <w:sz w:val="16"/>
      <w:szCs w:val="16"/>
    </w:rPr>
  </w:style>
  <w:style w:type="paragraph" w:customStyle="1" w:styleId="LineBottom">
    <w:name w:val="LineBottom"/>
    <w:basedOn w:val="Normal"/>
    <w:next w:val="Normal"/>
    <w:rsid w:val="00C71A3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4C4A0B"/>
    <w:pPr>
      <w:spacing w:after="80"/>
    </w:pPr>
    <w:rPr>
      <w:rFonts w:ascii="Arial" w:hAnsi="Arial" w:cs="Arial"/>
      <w:sz w:val="20"/>
      <w:szCs w:val="22"/>
    </w:rPr>
  </w:style>
  <w:style w:type="paragraph" w:customStyle="1" w:styleId="EPLogo">
    <w:name w:val="EPLogo"/>
    <w:basedOn w:val="Normal"/>
    <w:qFormat/>
    <w:rsid w:val="004C4A0B"/>
    <w:pPr>
      <w:jc w:val="right"/>
    </w:pPr>
  </w:style>
  <w:style w:type="paragraph" w:customStyle="1" w:styleId="Lgendesigne">
    <w:name w:val="Légende signe"/>
    <w:basedOn w:val="Normal"/>
    <w:rsid w:val="00985AC3"/>
    <w:pPr>
      <w:tabs>
        <w:tab w:val="right" w:pos="454"/>
        <w:tab w:val="left" w:pos="737"/>
      </w:tabs>
      <w:ind w:left="737" w:hanging="737"/>
    </w:pPr>
    <w:rPr>
      <w:snapToGrid w:val="0"/>
      <w:sz w:val="18"/>
      <w:lang w:eastAsia="en-US"/>
    </w:rPr>
  </w:style>
  <w:style w:type="paragraph" w:customStyle="1" w:styleId="Lgendetitre">
    <w:name w:val="Légende titre"/>
    <w:basedOn w:val="Normal"/>
    <w:rsid w:val="00985AC3"/>
    <w:pPr>
      <w:spacing w:before="240" w:after="240"/>
    </w:pPr>
    <w:rPr>
      <w:b/>
      <w:i/>
      <w:snapToGrid w:val="0"/>
      <w:lang w:eastAsia="en-US"/>
    </w:rPr>
  </w:style>
  <w:style w:type="paragraph" w:customStyle="1" w:styleId="Lgendestandard">
    <w:name w:val="Légende standard"/>
    <w:basedOn w:val="Lgendesigne"/>
    <w:rsid w:val="00985AC3"/>
    <w:pPr>
      <w:ind w:left="0" w:firstLine="0"/>
    </w:pPr>
  </w:style>
  <w:style w:type="paragraph" w:customStyle="1" w:styleId="NormalTabs">
    <w:name w:val="NormalTabs"/>
    <w:basedOn w:val="Normal"/>
    <w:qFormat/>
    <w:rsid w:val="00590F7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tins\AppData\Local\Temp\PR_CNS_LegAct_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6744-E61D-4B40-A555-A445DEBB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PR_CNS_LegAct_app</Template>
  <TotalTime>0</TotalTime>
  <Pages>9</Pages>
  <Words>1621</Words>
  <Characters>9080</Characters>
  <Application>Microsoft Office Word</Application>
  <DocSecurity>0</DocSecurity>
  <Lines>292</Lines>
  <Paragraphs>150</Paragraphs>
  <ScaleCrop>false</ScaleCrop>
  <HeadingPairs>
    <vt:vector size="2" baseType="variant">
      <vt:variant>
        <vt:lpstr>Title</vt:lpstr>
      </vt:variant>
      <vt:variant>
        <vt:i4>1</vt:i4>
      </vt:variant>
    </vt:vector>
  </HeadingPairs>
  <TitlesOfParts>
    <vt:vector size="1" baseType="lpstr">
      <vt:lpstr>PR_CNS_LegAct_app</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PR_CNS_LegAct_app</dc:title>
  <dc:subject/>
  <dc:creator>MARTINS Maria Joao</dc:creator>
  <cp:keywords/>
  <dc:description/>
  <cp:lastModifiedBy>MARTINS Maria Joao</cp:lastModifiedBy>
  <cp:revision>2</cp:revision>
  <cp:lastPrinted>2004-11-04T10:10:00Z</cp:lastPrinted>
  <dcterms:created xsi:type="dcterms:W3CDTF">2018-09-06T15:14:00Z</dcterms:created>
  <dcterms:modified xsi:type="dcterms:W3CDTF">2018-09-06T15:14:00Z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1162236</vt:lpwstr>
  </property>
  <property fmtid="{D5CDD505-2E9C-101B-9397-08002B2CF9AE}" pid="5" name="&lt;Type&gt;">
    <vt:lpwstr>RR</vt:lpwstr>
  </property>
  <property fmtid="{D5CDD505-2E9C-101B-9397-08002B2CF9AE}" pid="6" name="&lt;ModelCod&gt;">
    <vt:lpwstr>\\eiciLUXpr1\pdocep$\DocEP\DOCS\General\PR\PR_Leg\CNS\CNS_LegAct\PR_CNS_LegAct_app.dot(30/06/2017 07:37:08)</vt:lpwstr>
  </property>
  <property fmtid="{D5CDD505-2E9C-101B-9397-08002B2CF9AE}" pid="7" name="&lt;ModelTra&gt;">
    <vt:lpwstr>\\eiciLUXpr1\pdocep$\DocEP\TRANSFIL\PT\PR_CNS_LegAct_app.PT(30/06/2017 07:45:02)</vt:lpwstr>
  </property>
  <property fmtid="{D5CDD505-2E9C-101B-9397-08002B2CF9AE}" pid="8" name="&lt;Model&gt;">
    <vt:lpwstr>PR_CNS_LegAct_app</vt:lpwstr>
  </property>
  <property fmtid="{D5CDD505-2E9C-101B-9397-08002B2CF9AE}" pid="9" name="FooterPath">
    <vt:lpwstr>RR\1162236PT.docx</vt:lpwstr>
  </property>
  <property fmtid="{D5CDD505-2E9C-101B-9397-08002B2CF9AE}" pid="10" name="PE number">
    <vt:lpwstr>626.841</vt:lpwstr>
  </property>
  <property fmtid="{D5CDD505-2E9C-101B-9397-08002B2CF9AE}" pid="11" name="SubscribeElise">
    <vt:lpwstr/>
  </property>
  <property fmtid="{D5CDD505-2E9C-101B-9397-08002B2CF9AE}" pid="12" name="Bookout">
    <vt:lpwstr>OK - 2018/09/06 17:14</vt:lpwstr>
  </property>
  <property fmtid="{D5CDD505-2E9C-101B-9397-08002B2CF9AE}" pid="13" name="SDLStudio">
    <vt:lpwstr/>
  </property>
  <property fmtid="{D5CDD505-2E9C-101B-9397-08002B2CF9AE}" pid="14" name="&lt;Extension&gt;">
    <vt:lpwstr>PT</vt:lpwstr>
  </property>
</Properties>
</file>