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C4A0B" w:rsidRPr="00CA7429" w:rsidTr="00487BC1">
        <w:trPr>
          <w:trHeight w:hRule="exact" w:val="1418"/>
        </w:trPr>
        <w:tc>
          <w:tcPr>
            <w:tcW w:w="6804" w:type="dxa"/>
            <w:shd w:val="clear" w:color="auto" w:fill="auto"/>
            <w:vAlign w:val="center"/>
          </w:tcPr>
          <w:p w:rsidR="004C4A0B" w:rsidRPr="00CA7429" w:rsidRDefault="00184AB3" w:rsidP="00487BC1">
            <w:pPr>
              <w:pStyle w:val="EPName"/>
            </w:pPr>
            <w:bookmarkStart w:id="0" w:name="_GoBack"/>
            <w:bookmarkEnd w:id="0"/>
            <w:r w:rsidRPr="00CA7429">
              <w:t>Parlament Europejski</w:t>
            </w:r>
          </w:p>
          <w:p w:rsidR="004C4A0B" w:rsidRPr="00CA7429" w:rsidRDefault="00996F12" w:rsidP="00996F12">
            <w:pPr>
              <w:pStyle w:val="EPTerm"/>
              <w:rPr>
                <w:rStyle w:val="HideTWBExt"/>
                <w:noProof w:val="0"/>
                <w:vanish w:val="0"/>
                <w:color w:val="auto"/>
              </w:rPr>
            </w:pPr>
            <w:r w:rsidRPr="00CA7429">
              <w:t>2014-2019</w:t>
            </w:r>
          </w:p>
        </w:tc>
        <w:tc>
          <w:tcPr>
            <w:tcW w:w="2268" w:type="dxa"/>
            <w:shd w:val="clear" w:color="auto" w:fill="auto"/>
          </w:tcPr>
          <w:p w:rsidR="004C4A0B" w:rsidRPr="00CA7429" w:rsidRDefault="003456BB" w:rsidP="00487BC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C71A3C" w:rsidRPr="00CA7429" w:rsidRDefault="00C71A3C" w:rsidP="00C71A3C">
      <w:pPr>
        <w:pStyle w:val="LineTop"/>
      </w:pPr>
    </w:p>
    <w:p w:rsidR="00C71A3C" w:rsidRPr="00CA7429" w:rsidRDefault="006B2AE1" w:rsidP="00C71A3C">
      <w:pPr>
        <w:pStyle w:val="ZCommittee"/>
      </w:pPr>
      <w:r>
        <w:t>Dokument z posiedzenia</w:t>
      </w:r>
    </w:p>
    <w:p w:rsidR="00C71A3C" w:rsidRPr="00CA7429" w:rsidRDefault="00C71A3C" w:rsidP="00C71A3C">
      <w:pPr>
        <w:pStyle w:val="LineBottom"/>
      </w:pPr>
    </w:p>
    <w:p w:rsidR="00ED0821" w:rsidRPr="00CA7429" w:rsidRDefault="006B2AE1">
      <w:pPr>
        <w:pStyle w:val="RefProc"/>
      </w:pPr>
      <w:r w:rsidRPr="006B2AE1">
        <w:rPr>
          <w:rStyle w:val="HideTWBExt"/>
          <w:noProof w:val="0"/>
        </w:rPr>
        <w:t>&lt;NoDocSe&gt;</w:t>
      </w:r>
      <w:r w:rsidRPr="006B2AE1">
        <w:t>A8-0283/2018</w:t>
      </w:r>
      <w:r w:rsidRPr="006B2AE1">
        <w:rPr>
          <w:rStyle w:val="HideTWBExt"/>
          <w:noProof w:val="0"/>
        </w:rPr>
        <w:t>&lt;/NoDocSe&gt;</w:t>
      </w:r>
    </w:p>
    <w:p w:rsidR="00ED0821" w:rsidRPr="00CA7429" w:rsidRDefault="00ED0821">
      <w:pPr>
        <w:pStyle w:val="ZDate"/>
      </w:pPr>
      <w:r w:rsidRPr="00CA7429">
        <w:rPr>
          <w:rStyle w:val="HideTWBExt"/>
          <w:noProof w:val="0"/>
        </w:rPr>
        <w:t>&lt;Date&gt;</w:t>
      </w:r>
      <w:r w:rsidR="008360FA">
        <w:rPr>
          <w:rStyle w:val="HideTWBInt"/>
        </w:rPr>
        <w:t>{10</w:t>
      </w:r>
      <w:r w:rsidR="006B2AE1" w:rsidRPr="006B2AE1">
        <w:rPr>
          <w:rStyle w:val="HideTWBInt"/>
        </w:rPr>
        <w:t>/09/2018}</w:t>
      </w:r>
      <w:r w:rsidR="008360FA">
        <w:t>10</w:t>
      </w:r>
      <w:r w:rsidR="006B2AE1" w:rsidRPr="006B2AE1">
        <w:t>.9.2018</w:t>
      </w:r>
      <w:r w:rsidRPr="00CA7429">
        <w:rPr>
          <w:rStyle w:val="HideTWBExt"/>
          <w:noProof w:val="0"/>
        </w:rPr>
        <w:t>&lt;/Date&gt;</w:t>
      </w:r>
    </w:p>
    <w:p w:rsidR="00ED0821" w:rsidRPr="00CA7429" w:rsidRDefault="00ED0821">
      <w:pPr>
        <w:pStyle w:val="StarsAndIs"/>
      </w:pPr>
      <w:r w:rsidRPr="00CA7429">
        <w:rPr>
          <w:rStyle w:val="HideTWBExt"/>
          <w:b w:val="0"/>
          <w:noProof w:val="0"/>
        </w:rPr>
        <w:t>&lt;RefProcLect&gt;</w:t>
      </w:r>
      <w:r w:rsidRPr="00CA7429">
        <w:t>*</w:t>
      </w:r>
      <w:r w:rsidRPr="00CA7429">
        <w:rPr>
          <w:rStyle w:val="HideTWBExt"/>
          <w:b w:val="0"/>
          <w:noProof w:val="0"/>
        </w:rPr>
        <w:t>&lt;/RefProcLect&gt;</w:t>
      </w:r>
    </w:p>
    <w:p w:rsidR="00ED0821" w:rsidRPr="00CA7429" w:rsidRDefault="00ED0821">
      <w:pPr>
        <w:pStyle w:val="TypeDoc"/>
      </w:pPr>
      <w:r w:rsidRPr="00CA7429">
        <w:rPr>
          <w:rStyle w:val="HideTWBExt"/>
          <w:b w:val="0"/>
          <w:noProof w:val="0"/>
        </w:rPr>
        <w:t>&lt;TitreType&gt;</w:t>
      </w:r>
      <w:r w:rsidR="006B2AE1" w:rsidRPr="006B2AE1">
        <w:t>SPRAWOZDANIE</w:t>
      </w:r>
      <w:r w:rsidRPr="00CA7429">
        <w:rPr>
          <w:rStyle w:val="HideTWBExt"/>
          <w:b w:val="0"/>
          <w:noProof w:val="0"/>
        </w:rPr>
        <w:t>&lt;/TitreType&gt;</w:t>
      </w:r>
    </w:p>
    <w:p w:rsidR="00ED0821" w:rsidRPr="00CA7429" w:rsidRDefault="00ED0821">
      <w:pPr>
        <w:pStyle w:val="CoverNormal"/>
      </w:pPr>
      <w:r w:rsidRPr="00CA7429">
        <w:rPr>
          <w:rStyle w:val="HideTWBExt"/>
          <w:noProof w:val="0"/>
        </w:rPr>
        <w:t>&lt;Titre&gt;</w:t>
      </w:r>
      <w:r w:rsidRPr="00CA7429">
        <w:t>w sprawie wniosku dotyczącego dyrektywy Rady zmieniającej dyrektywę 2006/112/WE w sprawie wspólnego systemu podatku od wartości dodanej w odniesieniu do okresu stosowania fakultatywnego mechanizmu odwrotnego obciążenia w związku z dostawami niektórych towarów i usług podatnych na oszustwa oraz mechanizmu szybkiego reagowania na oszustwa związane z podatkiem VAT</w:t>
      </w:r>
      <w:r w:rsidRPr="00CA7429">
        <w:rPr>
          <w:rStyle w:val="HideTWBExt"/>
          <w:noProof w:val="0"/>
        </w:rPr>
        <w:t>&lt;/Titre&gt;</w:t>
      </w:r>
    </w:p>
    <w:p w:rsidR="00ED0821" w:rsidRPr="008360FA" w:rsidRDefault="00ED0821">
      <w:pPr>
        <w:pStyle w:val="Cover24"/>
        <w:rPr>
          <w:lang w:val="pt-PT"/>
        </w:rPr>
      </w:pPr>
      <w:r w:rsidRPr="008360FA">
        <w:rPr>
          <w:rStyle w:val="HideTWBExt"/>
          <w:noProof w:val="0"/>
          <w:lang w:val="pt-PT"/>
        </w:rPr>
        <w:t>&lt;DocRef&gt;</w:t>
      </w:r>
      <w:r w:rsidRPr="008360FA">
        <w:rPr>
          <w:lang w:val="pt-PT"/>
        </w:rPr>
        <w:t>(COM(2018)0298 – C8</w:t>
      </w:r>
      <w:r w:rsidRPr="008360FA">
        <w:rPr>
          <w:lang w:val="pt-PT"/>
        </w:rPr>
        <w:noBreakHyphen/>
        <w:t>0265/2018 – 2018/0150(CNS))</w:t>
      </w:r>
      <w:r w:rsidRPr="008360FA">
        <w:rPr>
          <w:rStyle w:val="HideTWBExt"/>
          <w:noProof w:val="0"/>
          <w:lang w:val="pt-PT"/>
        </w:rPr>
        <w:t>&lt;/DocRef&gt;</w:t>
      </w:r>
    </w:p>
    <w:p w:rsidR="00ED0821" w:rsidRPr="008360FA" w:rsidRDefault="00ED0821">
      <w:pPr>
        <w:pStyle w:val="Cover24"/>
        <w:rPr>
          <w:lang w:val="it-IT"/>
        </w:rPr>
      </w:pPr>
      <w:r w:rsidRPr="008360FA">
        <w:rPr>
          <w:rStyle w:val="HideTWBExt"/>
          <w:noProof w:val="0"/>
          <w:lang w:val="it-IT"/>
        </w:rPr>
        <w:t>&lt;Commission&gt;</w:t>
      </w:r>
      <w:r w:rsidRPr="008360FA">
        <w:rPr>
          <w:rStyle w:val="HideTWBInt"/>
          <w:lang w:val="it-IT"/>
        </w:rPr>
        <w:t>{ECON}</w:t>
      </w:r>
      <w:r w:rsidRPr="008360FA">
        <w:rPr>
          <w:lang w:val="it-IT"/>
        </w:rPr>
        <w:t>Komisja Gospodarcza i Monetarna</w:t>
      </w:r>
      <w:r w:rsidRPr="008360FA">
        <w:rPr>
          <w:rStyle w:val="HideTWBExt"/>
          <w:noProof w:val="0"/>
          <w:lang w:val="it-IT"/>
        </w:rPr>
        <w:t>&lt;/Commission&gt;</w:t>
      </w:r>
    </w:p>
    <w:p w:rsidR="00ED0821" w:rsidRPr="008360FA" w:rsidRDefault="00184AB3">
      <w:pPr>
        <w:pStyle w:val="Cover24"/>
        <w:rPr>
          <w:lang w:val="it-IT"/>
        </w:rPr>
      </w:pPr>
      <w:r w:rsidRPr="008360FA">
        <w:rPr>
          <w:lang w:val="it-IT"/>
        </w:rPr>
        <w:t xml:space="preserve">Sprawozdawczyni: </w:t>
      </w:r>
      <w:r w:rsidRPr="008360FA">
        <w:rPr>
          <w:rStyle w:val="HideTWBExt"/>
          <w:noProof w:val="0"/>
          <w:lang w:val="it-IT"/>
        </w:rPr>
        <w:t>&lt;Depute&gt;</w:t>
      </w:r>
      <w:r w:rsidRPr="008360FA">
        <w:rPr>
          <w:lang w:val="it-IT"/>
        </w:rPr>
        <w:t>Sirpa Pietikäinen</w:t>
      </w:r>
      <w:r w:rsidRPr="008360FA">
        <w:rPr>
          <w:rStyle w:val="HideTWBExt"/>
          <w:noProof w:val="0"/>
          <w:lang w:val="it-IT"/>
        </w:rPr>
        <w:t>&lt;/Depute&gt;</w:t>
      </w:r>
    </w:p>
    <w:p w:rsidR="00BE4EC7" w:rsidRPr="008360FA" w:rsidRDefault="00BE4EC7" w:rsidP="00BE4EC7">
      <w:pPr>
        <w:pStyle w:val="CoverNormal"/>
        <w:rPr>
          <w:lang w:val="it-IT"/>
        </w:rPr>
      </w:pPr>
    </w:p>
    <w:p w:rsidR="00FF6BB6" w:rsidRPr="008360FA" w:rsidRDefault="00FF6BB6" w:rsidP="00BE4EC7">
      <w:pPr>
        <w:pStyle w:val="CoverNormal"/>
        <w:rPr>
          <w:lang w:val="it-IT"/>
        </w:rPr>
      </w:pPr>
    </w:p>
    <w:p w:rsidR="00FF6BB6" w:rsidRPr="00CA7429" w:rsidRDefault="00FF6BB6" w:rsidP="00BE4EC7">
      <w:pPr>
        <w:pStyle w:val="CoverNormal"/>
      </w:pPr>
      <w:r w:rsidRPr="00CA7429">
        <w:t>(Procedura uproszczona – art. 50 ust. 1 Regulaminu)</w:t>
      </w:r>
    </w:p>
    <w:p w:rsidR="00ED0821" w:rsidRPr="00CA7429" w:rsidRDefault="00ED0821" w:rsidP="004C4A0B">
      <w:pPr>
        <w:widowControl/>
        <w:tabs>
          <w:tab w:val="center" w:pos="4677"/>
        </w:tabs>
      </w:pPr>
      <w:r w:rsidRPr="00CA7429">
        <w:br w:type="page"/>
      </w:r>
    </w:p>
    <w:p w:rsidR="00996F12" w:rsidRPr="00CA7429" w:rsidRDefault="00C01B9E">
      <w:fldSimple w:instr=" TITLE  \* MERGEFORMAT ">
        <w:r w:rsidR="003456BB">
          <w:t>PR_CNS_LegAct_app</w:t>
        </w:r>
      </w:fldSimple>
    </w:p>
    <w:p w:rsidR="00996F12" w:rsidRPr="00CA7429" w:rsidRDefault="00996F12"/>
    <w:p w:rsidR="00996F12" w:rsidRPr="00CA7429" w:rsidRDefault="00996F12"/>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96F12" w:rsidRPr="00CA7429">
        <w:tc>
          <w:tcPr>
            <w:tcW w:w="5811" w:type="dxa"/>
          </w:tcPr>
          <w:p w:rsidR="00996F12" w:rsidRPr="00CA7429" w:rsidRDefault="00996F12">
            <w:pPr>
              <w:pStyle w:val="Lgendetitre"/>
            </w:pPr>
            <w:r w:rsidRPr="00CA7429">
              <w:t>Objaśnienie używanych znaków</w:t>
            </w:r>
          </w:p>
        </w:tc>
      </w:tr>
      <w:tr w:rsidR="00996F12" w:rsidRPr="00CA7429" w:rsidTr="00C50C36">
        <w:trPr>
          <w:cantSplit/>
          <w:trHeight w:val="1944"/>
        </w:trPr>
        <w:tc>
          <w:tcPr>
            <w:tcW w:w="5811" w:type="dxa"/>
            <w:tcBorders>
              <w:bottom w:val="single" w:sz="4" w:space="0" w:color="auto"/>
            </w:tcBorders>
          </w:tcPr>
          <w:p w:rsidR="00996F12" w:rsidRPr="00CA7429" w:rsidRDefault="00996F12">
            <w:pPr>
              <w:pStyle w:val="Lgendesigne"/>
            </w:pPr>
            <w:r w:rsidRPr="00CA7429">
              <w:tab/>
              <w:t>*</w:t>
            </w:r>
            <w:r w:rsidRPr="00CA7429">
              <w:tab/>
              <w:t>Procedura konsultacji</w:t>
            </w:r>
          </w:p>
          <w:p w:rsidR="00996F12" w:rsidRPr="00CA7429" w:rsidRDefault="00996F12">
            <w:pPr>
              <w:pStyle w:val="Lgendesigne"/>
            </w:pPr>
            <w:r w:rsidRPr="00CA7429">
              <w:tab/>
              <w:t>***</w:t>
            </w:r>
            <w:r w:rsidRPr="00CA7429">
              <w:tab/>
              <w:t>Procedura zgody</w:t>
            </w:r>
          </w:p>
          <w:p w:rsidR="00996F12" w:rsidRPr="00CA7429" w:rsidRDefault="00996F12">
            <w:pPr>
              <w:pStyle w:val="Lgendesigne"/>
            </w:pPr>
            <w:r w:rsidRPr="00CA7429">
              <w:tab/>
              <w:t>***I</w:t>
            </w:r>
            <w:r w:rsidRPr="00CA7429">
              <w:tab/>
              <w:t>Zwykła procedura ustawodawcza (pierwsze czytanie)</w:t>
            </w:r>
          </w:p>
          <w:p w:rsidR="00996F12" w:rsidRPr="00CA7429" w:rsidRDefault="00996F12">
            <w:pPr>
              <w:pStyle w:val="Lgendesigne"/>
            </w:pPr>
            <w:r w:rsidRPr="00CA7429">
              <w:tab/>
              <w:t>***II</w:t>
            </w:r>
            <w:r w:rsidRPr="00CA7429">
              <w:tab/>
              <w:t>Zwykła procedura ustawodawcza (drugie czytanie)</w:t>
            </w:r>
          </w:p>
          <w:p w:rsidR="00996F12" w:rsidRPr="00CA7429" w:rsidRDefault="00996F12">
            <w:pPr>
              <w:pStyle w:val="Lgendesigne"/>
            </w:pPr>
            <w:r w:rsidRPr="00CA7429">
              <w:tab/>
              <w:t>***III</w:t>
            </w:r>
            <w:r w:rsidRPr="00CA7429">
              <w:tab/>
              <w:t>Zwykła procedura ustawodawcza (trzecie czytanie)</w:t>
            </w:r>
          </w:p>
          <w:p w:rsidR="00996F12" w:rsidRPr="00CA7429" w:rsidRDefault="00996F12">
            <w:pPr>
              <w:pStyle w:val="Lgendesigne"/>
              <w:ind w:left="0" w:firstLine="0"/>
            </w:pPr>
          </w:p>
          <w:p w:rsidR="00996F12" w:rsidRPr="00CA7429" w:rsidRDefault="00996F12">
            <w:pPr>
              <w:pStyle w:val="Lgendestandard"/>
            </w:pPr>
            <w:r w:rsidRPr="00CA7429">
              <w:t>(Wskazana procedura opiera się na podstawie prawnej zaproponowanej w projekcie aktu.)</w:t>
            </w:r>
          </w:p>
          <w:p w:rsidR="00996F12" w:rsidRPr="00CA7429" w:rsidRDefault="00996F12">
            <w:pPr>
              <w:pStyle w:val="Lgendesigne"/>
              <w:ind w:left="0" w:firstLine="0"/>
            </w:pPr>
          </w:p>
        </w:tc>
      </w:tr>
    </w:tbl>
    <w:p w:rsidR="00996F12" w:rsidRPr="00CA7429" w:rsidRDefault="00996F12"/>
    <w:p w:rsidR="00996F12" w:rsidRPr="00CA7429" w:rsidRDefault="00996F12"/>
    <w:p w:rsidR="00996F12" w:rsidRPr="00CA7429" w:rsidRDefault="00996F12"/>
    <w:p w:rsidR="00996F12" w:rsidRPr="00CA7429" w:rsidRDefault="00996F12"/>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96F12" w:rsidRPr="00CA7429">
        <w:tc>
          <w:tcPr>
            <w:tcW w:w="5811" w:type="dxa"/>
          </w:tcPr>
          <w:p w:rsidR="00996F12" w:rsidRPr="00CA7429" w:rsidRDefault="00996F12">
            <w:pPr>
              <w:pStyle w:val="Lgendetitre"/>
            </w:pPr>
            <w:r w:rsidRPr="00CA7429">
              <w:t>Poprawki do projektu aktu</w:t>
            </w:r>
          </w:p>
        </w:tc>
      </w:tr>
      <w:tr w:rsidR="00996F12" w:rsidRPr="00CA7429">
        <w:tc>
          <w:tcPr>
            <w:tcW w:w="5811" w:type="dxa"/>
          </w:tcPr>
          <w:p w:rsidR="00996F12" w:rsidRPr="00CA7429" w:rsidRDefault="00996F12" w:rsidP="00A55AC8">
            <w:pPr>
              <w:pStyle w:val="Lgendestandard"/>
              <w:rPr>
                <w:szCs w:val="24"/>
              </w:rPr>
            </w:pPr>
            <w:r w:rsidRPr="00CA7429">
              <w:rPr>
                <w:b/>
                <w:szCs w:val="24"/>
              </w:rPr>
              <w:t>Poprawki Parlamentu w postaci dwóch kolumn</w:t>
            </w:r>
          </w:p>
          <w:p w:rsidR="00996F12" w:rsidRPr="00CA7429" w:rsidRDefault="00996F12" w:rsidP="00A55AC8">
            <w:pPr>
              <w:pStyle w:val="Lgendestandard"/>
              <w:rPr>
                <w:szCs w:val="24"/>
              </w:rPr>
            </w:pPr>
          </w:p>
          <w:p w:rsidR="00996F12" w:rsidRPr="00CA7429" w:rsidRDefault="00996F12" w:rsidP="00A55AC8">
            <w:pPr>
              <w:pStyle w:val="Lgendestandard"/>
              <w:rPr>
                <w:szCs w:val="24"/>
              </w:rPr>
            </w:pPr>
            <w:r w:rsidRPr="00CA7429">
              <w:t xml:space="preserve">Skreślenia zaznacza się </w:t>
            </w:r>
            <w:r w:rsidRPr="00CA7429">
              <w:rPr>
                <w:b/>
                <w:i/>
                <w:szCs w:val="24"/>
              </w:rPr>
              <w:t>wytłuszczonym drukiem i kursywą</w:t>
            </w:r>
            <w:r w:rsidRPr="00CA7429">
              <w:t xml:space="preserve"> w lewej kolumnie. Zmianę brzmienia zaznacza się </w:t>
            </w:r>
            <w:r w:rsidRPr="00CA7429">
              <w:rPr>
                <w:b/>
                <w:i/>
                <w:szCs w:val="24"/>
              </w:rPr>
              <w:t>wytłuszczonym drukiem i kursywą</w:t>
            </w:r>
            <w:r w:rsidRPr="00CA7429">
              <w:t xml:space="preserve"> w obu kolumnach. Nowy tekst zaznacza się </w:t>
            </w:r>
            <w:r w:rsidRPr="00CA7429">
              <w:rPr>
                <w:b/>
                <w:i/>
                <w:szCs w:val="24"/>
              </w:rPr>
              <w:t>wytłuszczonym drukiem i kursywą</w:t>
            </w:r>
            <w:r w:rsidRPr="00CA7429">
              <w:t xml:space="preserve"> w prawej kolumnie.</w:t>
            </w:r>
          </w:p>
          <w:p w:rsidR="00996F12" w:rsidRPr="00CA7429" w:rsidRDefault="00996F12" w:rsidP="00A55AC8">
            <w:pPr>
              <w:pStyle w:val="Lgendestandard"/>
              <w:rPr>
                <w:szCs w:val="24"/>
              </w:rPr>
            </w:pPr>
          </w:p>
          <w:p w:rsidR="00996F12" w:rsidRPr="00CA7429" w:rsidRDefault="00996F12" w:rsidP="00A55AC8">
            <w:pPr>
              <w:pStyle w:val="Lgendestandard"/>
              <w:rPr>
                <w:szCs w:val="24"/>
              </w:rPr>
            </w:pPr>
            <w:r w:rsidRPr="00CA7429">
              <w:t>Pierwszy i drugi wiersz nagłówka każdej poprawki wskazuje element rozpatrywanego projektu aktu, którego dotyczy poprawka. Jeżeli poprawka odnosi się do obowiązującego aktu, do którego zmiany zmierza projekt aktu, nagłówek zawiera dodatkowo trzeci wiersz wskazujący obowiązujący akt i czwarty wiersz wskazujący przepis tego aktu, którego dotyczy poprawka.</w:t>
            </w:r>
          </w:p>
          <w:p w:rsidR="00996F12" w:rsidRPr="00CA7429" w:rsidRDefault="00996F12" w:rsidP="00A55AC8">
            <w:pPr>
              <w:pStyle w:val="Lgendestandard"/>
              <w:rPr>
                <w:szCs w:val="24"/>
              </w:rPr>
            </w:pPr>
          </w:p>
          <w:p w:rsidR="00996F12" w:rsidRPr="00CA7429" w:rsidRDefault="00996F12" w:rsidP="00A55AC8">
            <w:pPr>
              <w:pStyle w:val="Lgendestandard"/>
              <w:rPr>
                <w:b/>
                <w:szCs w:val="24"/>
              </w:rPr>
            </w:pPr>
            <w:r w:rsidRPr="00CA7429">
              <w:rPr>
                <w:b/>
                <w:szCs w:val="24"/>
              </w:rPr>
              <w:t>Poprawki Parlamentu w postaci tekstu skonsolidowanego</w:t>
            </w:r>
          </w:p>
          <w:p w:rsidR="00996F12" w:rsidRPr="00CA7429" w:rsidRDefault="00996F12" w:rsidP="00A55AC8">
            <w:pPr>
              <w:pStyle w:val="Lgendestandard"/>
              <w:rPr>
                <w:szCs w:val="24"/>
              </w:rPr>
            </w:pPr>
          </w:p>
          <w:p w:rsidR="00996F12" w:rsidRPr="00CA7429" w:rsidRDefault="00996F12" w:rsidP="00A55AC8">
            <w:pPr>
              <w:pStyle w:val="Lgendestandard"/>
              <w:rPr>
                <w:szCs w:val="24"/>
              </w:rPr>
            </w:pPr>
            <w:r w:rsidRPr="00CA7429">
              <w:t xml:space="preserve">Nowe fragmenty tekstu zaznacza się </w:t>
            </w:r>
            <w:r w:rsidRPr="00CA7429">
              <w:rPr>
                <w:b/>
                <w:i/>
                <w:szCs w:val="24"/>
              </w:rPr>
              <w:t>wytłuszczonym drukiem i kursywą</w:t>
            </w:r>
            <w:r w:rsidRPr="00CA7429">
              <w:t xml:space="preserve">. Fragmenty tekstu, które zostały skreślone, zaznacza się za pomocą symbolu ▌lub przekreśla. Zmianę brzmienia zaznacza się przez wyróżnienie nowego tekstu </w:t>
            </w:r>
            <w:r w:rsidRPr="00CA7429">
              <w:rPr>
                <w:b/>
                <w:i/>
                <w:szCs w:val="24"/>
              </w:rPr>
              <w:t>wytłuszczonym drukiem i kursywą</w:t>
            </w:r>
            <w:r w:rsidRPr="00CA7429">
              <w:t xml:space="preserve"> i usunięcie lub przekreślenie zastąpionego tekstu. </w:t>
            </w:r>
          </w:p>
          <w:p w:rsidR="00996F12" w:rsidRPr="00CA7429" w:rsidRDefault="00996F12" w:rsidP="00A55AC8">
            <w:pPr>
              <w:pStyle w:val="Lgendestandard"/>
              <w:rPr>
                <w:szCs w:val="24"/>
              </w:rPr>
            </w:pPr>
            <w:r w:rsidRPr="00CA7429">
              <w:t>Tytułem wyjątku nie zaznacza się zmian o charakterze ściśle technicznym wprowadzonych przez służby w celu opracowania końcowej wersji tekstu.</w:t>
            </w:r>
          </w:p>
          <w:p w:rsidR="00996F12" w:rsidRPr="00CA7429" w:rsidRDefault="00996F12">
            <w:pPr>
              <w:pStyle w:val="Lgendestandard"/>
            </w:pPr>
          </w:p>
        </w:tc>
      </w:tr>
    </w:tbl>
    <w:p w:rsidR="00996F12" w:rsidRPr="00CA7429" w:rsidRDefault="00996F12"/>
    <w:p w:rsidR="00ED0821" w:rsidRPr="00CA7429" w:rsidRDefault="00ED0821" w:rsidP="004C4A0B">
      <w:pPr>
        <w:widowControl/>
        <w:tabs>
          <w:tab w:val="center" w:pos="4677"/>
        </w:tabs>
      </w:pPr>
    </w:p>
    <w:p w:rsidR="00ED0821" w:rsidRPr="00CA7429" w:rsidRDefault="00ED0821">
      <w:pPr>
        <w:pStyle w:val="TOCHeading"/>
      </w:pPr>
      <w:r w:rsidRPr="00CA7429">
        <w:br w:type="page"/>
        <w:t>SPIS TREŚCI</w:t>
      </w:r>
    </w:p>
    <w:p w:rsidR="00ED0821" w:rsidRPr="00CA7429" w:rsidRDefault="00184AB3">
      <w:pPr>
        <w:pStyle w:val="TOCPage"/>
      </w:pPr>
      <w:r w:rsidRPr="00CA7429">
        <w:t>Strona</w:t>
      </w:r>
    </w:p>
    <w:p w:rsidR="003456BB" w:rsidRDefault="004C4A0B">
      <w:pPr>
        <w:pStyle w:val="TOC1"/>
        <w:tabs>
          <w:tab w:val="right" w:leader="dot" w:pos="9060"/>
        </w:tabs>
        <w:rPr>
          <w:rFonts w:asciiTheme="minorHAnsi" w:eastAsiaTheme="minorEastAsia" w:hAnsiTheme="minorHAnsi" w:cstheme="minorBidi"/>
          <w:noProof/>
          <w:sz w:val="22"/>
          <w:szCs w:val="22"/>
          <w:lang w:val="en-GB"/>
        </w:rPr>
      </w:pPr>
      <w:r w:rsidRPr="00CA7429">
        <w:rPr>
          <w:b/>
        </w:rPr>
        <w:fldChar w:fldCharType="begin"/>
      </w:r>
      <w:r w:rsidRPr="00CA7429">
        <w:rPr>
          <w:b/>
        </w:rPr>
        <w:instrText xml:space="preserve"> TOC \t "PageHeading</w:instrText>
      </w:r>
      <w:r w:rsidR="003456BB">
        <w:rPr>
          <w:b/>
        </w:rPr>
        <w:instrText>;</w:instrText>
      </w:r>
      <w:r w:rsidRPr="00CA7429">
        <w:rPr>
          <w:b/>
        </w:rPr>
        <w:instrText xml:space="preserve">1" </w:instrText>
      </w:r>
      <w:r w:rsidRPr="00CA7429">
        <w:rPr>
          <w:b/>
        </w:rPr>
        <w:fldChar w:fldCharType="separate"/>
      </w:r>
      <w:r w:rsidR="003456BB">
        <w:rPr>
          <w:noProof/>
        </w:rPr>
        <w:t>PROJEKT REZOLUCJI USTAWODAWCZEJ PARLAMENTU EUROPEJSKIEGO</w:t>
      </w:r>
      <w:r w:rsidR="003456BB">
        <w:rPr>
          <w:noProof/>
        </w:rPr>
        <w:tab/>
      </w:r>
      <w:r w:rsidR="003456BB">
        <w:rPr>
          <w:noProof/>
        </w:rPr>
        <w:fldChar w:fldCharType="begin"/>
      </w:r>
      <w:r w:rsidR="003456BB">
        <w:rPr>
          <w:noProof/>
        </w:rPr>
        <w:instrText xml:space="preserve"> PAGEREF _Toc525114631 \h </w:instrText>
      </w:r>
      <w:r w:rsidR="003456BB">
        <w:rPr>
          <w:noProof/>
        </w:rPr>
      </w:r>
      <w:r w:rsidR="003456BB">
        <w:rPr>
          <w:noProof/>
        </w:rPr>
        <w:fldChar w:fldCharType="separate"/>
      </w:r>
      <w:r w:rsidR="003456BB">
        <w:rPr>
          <w:noProof/>
        </w:rPr>
        <w:t>5</w:t>
      </w:r>
      <w:r w:rsidR="003456BB">
        <w:rPr>
          <w:noProof/>
        </w:rPr>
        <w:fldChar w:fldCharType="end"/>
      </w:r>
    </w:p>
    <w:p w:rsidR="003456BB" w:rsidRDefault="003456BB">
      <w:pPr>
        <w:pStyle w:val="TOC1"/>
        <w:tabs>
          <w:tab w:val="right" w:leader="dot" w:pos="9060"/>
        </w:tabs>
        <w:rPr>
          <w:rFonts w:asciiTheme="minorHAnsi" w:eastAsiaTheme="minorEastAsia" w:hAnsiTheme="minorHAnsi" w:cstheme="minorBidi"/>
          <w:noProof/>
          <w:sz w:val="22"/>
          <w:szCs w:val="22"/>
          <w:lang w:val="en-GB"/>
        </w:rPr>
      </w:pPr>
      <w:r>
        <w:rPr>
          <w:noProof/>
        </w:rPr>
        <w:t>UZASADNIENIE</w:t>
      </w:r>
      <w:r>
        <w:rPr>
          <w:noProof/>
        </w:rPr>
        <w:tab/>
      </w:r>
      <w:r>
        <w:rPr>
          <w:noProof/>
        </w:rPr>
        <w:fldChar w:fldCharType="begin"/>
      </w:r>
      <w:r>
        <w:rPr>
          <w:noProof/>
        </w:rPr>
        <w:instrText xml:space="preserve"> PAGEREF _Toc525114632 \h </w:instrText>
      </w:r>
      <w:r>
        <w:rPr>
          <w:noProof/>
        </w:rPr>
      </w:r>
      <w:r>
        <w:rPr>
          <w:noProof/>
        </w:rPr>
        <w:fldChar w:fldCharType="separate"/>
      </w:r>
      <w:r>
        <w:rPr>
          <w:noProof/>
        </w:rPr>
        <w:t>6</w:t>
      </w:r>
      <w:r>
        <w:rPr>
          <w:noProof/>
        </w:rPr>
        <w:fldChar w:fldCharType="end"/>
      </w:r>
    </w:p>
    <w:p w:rsidR="003456BB" w:rsidRDefault="003456BB">
      <w:pPr>
        <w:pStyle w:val="TOC1"/>
        <w:tabs>
          <w:tab w:val="right" w:leader="dot" w:pos="9060"/>
        </w:tabs>
        <w:rPr>
          <w:rFonts w:asciiTheme="minorHAnsi" w:eastAsiaTheme="minorEastAsia" w:hAnsiTheme="minorHAnsi" w:cstheme="minorBidi"/>
          <w:noProof/>
          <w:sz w:val="22"/>
          <w:szCs w:val="22"/>
          <w:lang w:val="en-GB"/>
        </w:rPr>
      </w:pPr>
      <w:r>
        <w:rPr>
          <w:noProof/>
        </w:rPr>
        <w:t>PROCEDURA W KOMISJI PRZEDMIOTOWO WŁAŚCIWEJ</w:t>
      </w:r>
      <w:r>
        <w:rPr>
          <w:noProof/>
        </w:rPr>
        <w:tab/>
      </w:r>
      <w:r>
        <w:rPr>
          <w:noProof/>
        </w:rPr>
        <w:fldChar w:fldCharType="begin"/>
      </w:r>
      <w:r>
        <w:rPr>
          <w:noProof/>
        </w:rPr>
        <w:instrText xml:space="preserve"> PAGEREF _Toc525114633 \h </w:instrText>
      </w:r>
      <w:r>
        <w:rPr>
          <w:noProof/>
        </w:rPr>
      </w:r>
      <w:r>
        <w:rPr>
          <w:noProof/>
        </w:rPr>
        <w:fldChar w:fldCharType="separate"/>
      </w:r>
      <w:r>
        <w:rPr>
          <w:noProof/>
        </w:rPr>
        <w:t>7</w:t>
      </w:r>
      <w:r>
        <w:rPr>
          <w:noProof/>
        </w:rPr>
        <w:fldChar w:fldCharType="end"/>
      </w:r>
    </w:p>
    <w:p w:rsidR="00ED0821" w:rsidRPr="00CA7429" w:rsidRDefault="004C4A0B" w:rsidP="001A06D8">
      <w:r w:rsidRPr="00CA7429">
        <w:rPr>
          <w:b/>
        </w:rPr>
        <w:fldChar w:fldCharType="end"/>
      </w:r>
    </w:p>
    <w:p w:rsidR="001A06D8" w:rsidRPr="00CA7429" w:rsidRDefault="001A06D8" w:rsidP="001A06D8"/>
    <w:p w:rsidR="001A06D8" w:rsidRPr="00CA7429" w:rsidRDefault="001A06D8">
      <w:pPr>
        <w:pStyle w:val="PageHeading"/>
      </w:pPr>
    </w:p>
    <w:p w:rsidR="00ED0821" w:rsidRPr="00CA7429" w:rsidRDefault="00ED0821">
      <w:pPr>
        <w:pStyle w:val="PageHeading"/>
      </w:pPr>
      <w:r w:rsidRPr="00CA7429">
        <w:br w:type="page"/>
      </w:r>
      <w:r w:rsidRPr="00CA7429">
        <w:br w:type="page"/>
      </w:r>
      <w:bookmarkStart w:id="1" w:name="_Toc525114631"/>
      <w:r w:rsidRPr="00CA7429">
        <w:t>PROJEKT REZOLUCJI USTAWODAWCZEJ PARLAMENTU EUROPEJSKIEGO</w:t>
      </w:r>
      <w:bookmarkEnd w:id="1"/>
    </w:p>
    <w:p w:rsidR="00ED0821" w:rsidRPr="00CA7429" w:rsidRDefault="00184AB3">
      <w:pPr>
        <w:pStyle w:val="NormalBold"/>
      </w:pPr>
      <w:r w:rsidRPr="00CA7429">
        <w:t>w sprawie wniosku dotyczącego dyrektywy Rady zmieniającej dyrektywę 2006/112/WE w sprawie wspólnego systemu podatku od wartości dodanej w odniesieniu do okresu stosowania fakultatywnego mechanizmu odwrotnego obciążenia w związku z dostawami niektórych towarów i usług podatnych na oszustwa oraz mechanizmu szybkiego reagowania na oszustwa związane z podatkiem VAT</w:t>
      </w:r>
    </w:p>
    <w:p w:rsidR="00ED0821" w:rsidRPr="00CA7429" w:rsidRDefault="00184AB3">
      <w:pPr>
        <w:pStyle w:val="Normal12Bold"/>
      </w:pPr>
      <w:r w:rsidRPr="00CA7429">
        <w:t>(COM(2018)0298 – C8</w:t>
      </w:r>
      <w:r w:rsidRPr="00CA7429">
        <w:noBreakHyphen/>
        <w:t>0265/2018 – 2018/0150(CNS))</w:t>
      </w:r>
    </w:p>
    <w:p w:rsidR="00ED0821" w:rsidRPr="00CA7429" w:rsidRDefault="00184AB3">
      <w:pPr>
        <w:pStyle w:val="Normal12Bold"/>
      </w:pPr>
      <w:r w:rsidRPr="00CA7429">
        <w:t>(Specjalna procedura ustawodawcza – konsultacja)</w:t>
      </w:r>
    </w:p>
    <w:p w:rsidR="00ED0821" w:rsidRPr="00CA7429" w:rsidRDefault="00184AB3">
      <w:pPr>
        <w:pStyle w:val="Normal12"/>
      </w:pPr>
      <w:r w:rsidRPr="00CA7429">
        <w:rPr>
          <w:i/>
        </w:rPr>
        <w:t>Parlament Europejski</w:t>
      </w:r>
      <w:r w:rsidRPr="00CA7429">
        <w:t>,</w:t>
      </w:r>
    </w:p>
    <w:p w:rsidR="00ED0821" w:rsidRPr="00CA7429" w:rsidRDefault="00ED0821">
      <w:pPr>
        <w:pStyle w:val="Normal12Hanging"/>
      </w:pPr>
      <w:r w:rsidRPr="00CA7429">
        <w:t>–</w:t>
      </w:r>
      <w:r w:rsidRPr="00CA7429">
        <w:tab/>
        <w:t>uwzględniając wniosek Komisji przedstawiony Radzie (COM(2018)0298),</w:t>
      </w:r>
    </w:p>
    <w:p w:rsidR="00ED0821" w:rsidRPr="00CA7429" w:rsidRDefault="00ED0821">
      <w:pPr>
        <w:pStyle w:val="Normal12Hanging"/>
      </w:pPr>
      <w:r w:rsidRPr="00CA7429">
        <w:t>–</w:t>
      </w:r>
      <w:r w:rsidRPr="00CA7429">
        <w:tab/>
        <w:t>uwzględniając art. 113 Traktatu o funkcjonowaniu Unii Europejskiej, na mocy którego Rada skonsultowała się z Parlamentem (C8</w:t>
      </w:r>
      <w:r w:rsidRPr="00CA7429">
        <w:noBreakHyphen/>
        <w:t>0265/2018),</w:t>
      </w:r>
    </w:p>
    <w:p w:rsidR="00ED0821" w:rsidRPr="00CA7429" w:rsidRDefault="00ED0821">
      <w:pPr>
        <w:pStyle w:val="Normal12Hanging"/>
      </w:pPr>
      <w:r w:rsidRPr="00CA7429">
        <w:t>–</w:t>
      </w:r>
      <w:r w:rsidRPr="00CA7429">
        <w:tab/>
        <w:t>uwzględniając art. 78c Regulaminu,</w:t>
      </w:r>
    </w:p>
    <w:p w:rsidR="00ED0821" w:rsidRPr="00CA7429" w:rsidRDefault="00ED0821">
      <w:pPr>
        <w:pStyle w:val="Normal12Hanging"/>
      </w:pPr>
      <w:r w:rsidRPr="00CA7429">
        <w:t>–</w:t>
      </w:r>
      <w:r w:rsidRPr="00CA7429">
        <w:tab/>
        <w:t>uwzględniając sprawozdanie Komis</w:t>
      </w:r>
      <w:r w:rsidR="008360FA">
        <w:t>ji Gospodarczej i Monetarnej (A8–0283</w:t>
      </w:r>
      <w:r w:rsidRPr="00CA7429">
        <w:t>/2018),</w:t>
      </w:r>
    </w:p>
    <w:p w:rsidR="00ED0821" w:rsidRPr="00CA7429" w:rsidRDefault="00ED0821">
      <w:pPr>
        <w:pStyle w:val="Normal12Hanging"/>
      </w:pPr>
      <w:r w:rsidRPr="00CA7429">
        <w:t>1.</w:t>
      </w:r>
      <w:r w:rsidRPr="00CA7429">
        <w:tab/>
        <w:t>zatwierdza wniosek Komisji;</w:t>
      </w:r>
    </w:p>
    <w:p w:rsidR="002F7000" w:rsidRPr="00CA7429" w:rsidRDefault="00ED0821">
      <w:pPr>
        <w:pStyle w:val="Normal12Hanging"/>
      </w:pPr>
      <w:r w:rsidRPr="00CA7429">
        <w:t>2.</w:t>
      </w:r>
      <w:r w:rsidRPr="00CA7429">
        <w:tab/>
        <w:t>zwraca się do Rady o poinformowanie go, jeśli uzna ona za stosowne odejście od tekstu przyjętego przez Parlament;</w:t>
      </w:r>
    </w:p>
    <w:p w:rsidR="00ED0821" w:rsidRPr="00CA7429" w:rsidRDefault="002F7000">
      <w:pPr>
        <w:pStyle w:val="Normal12Hanging"/>
      </w:pPr>
      <w:r w:rsidRPr="00CA7429">
        <w:t>3.</w:t>
      </w:r>
      <w:r w:rsidRPr="00CA7429">
        <w:tab/>
        <w:t>zwraca się do Rady o ponowne skonsultowanie się z Parlamentem, jeśli uzna ona za stosowne wprowadzenie znaczących zmian do tekstu przyjętego przez Parlament;</w:t>
      </w:r>
    </w:p>
    <w:p w:rsidR="001507D3" w:rsidRPr="00CA7429" w:rsidRDefault="002F7000">
      <w:pPr>
        <w:pStyle w:val="Normal12Hanging"/>
      </w:pPr>
      <w:r w:rsidRPr="00CA7429">
        <w:t>4.</w:t>
      </w:r>
      <w:r w:rsidRPr="00CA7429">
        <w:tab/>
        <w:t>zobowiązuje swojego przewodniczącego do przekazania stanowiska Parlamentu Radzie i Komisji oraz parlamentom narodowym.</w:t>
      </w:r>
    </w:p>
    <w:p w:rsidR="00ED0821" w:rsidRPr="00CA7429" w:rsidRDefault="001507D3" w:rsidP="001507D3">
      <w:pPr>
        <w:pStyle w:val="PageHeading"/>
      </w:pPr>
      <w:r w:rsidRPr="00CA7429">
        <w:br w:type="page"/>
      </w:r>
      <w:bookmarkStart w:id="2" w:name="_Toc525114632"/>
      <w:r w:rsidRPr="00CA7429">
        <w:t>UZASADNIENIE</w:t>
      </w:r>
      <w:bookmarkEnd w:id="2"/>
    </w:p>
    <w:p w:rsidR="003D1A74" w:rsidRPr="00CA7429" w:rsidRDefault="003D1A74" w:rsidP="003D1A74"/>
    <w:p w:rsidR="003D1A74" w:rsidRPr="00CA7429" w:rsidRDefault="003D1A74" w:rsidP="003D1A74">
      <w:pPr>
        <w:pStyle w:val="Default"/>
      </w:pPr>
      <w:r w:rsidRPr="00CA7429">
        <w:t xml:space="preserve">Celem wniosku jest przedłużenie: 1) możliwości stosowania przez państwa członkowskie mechanizmu odwrotnego obciążenia w celu zwalczania nadużyć finansowych istniejących w odniesieniu do dostaw towarów i świadczenia usług, o których mowa w art. 199a ust. 1 dyrektywy VAT, oraz 2) możliwości wykorzystania mechanizmu szybkiego reagowania (MSR) do zwalczania nadużyć finansowych. </w:t>
      </w:r>
    </w:p>
    <w:p w:rsidR="003D1A74" w:rsidRPr="00CA7429" w:rsidRDefault="003D1A74" w:rsidP="003D1A74">
      <w:pPr>
        <w:pStyle w:val="Default"/>
      </w:pPr>
    </w:p>
    <w:p w:rsidR="003D1A74" w:rsidRPr="00CA7429" w:rsidRDefault="003D1A74" w:rsidP="003D1A74">
      <w:pPr>
        <w:pStyle w:val="Default"/>
      </w:pPr>
      <w:r w:rsidRPr="00CA7429">
        <w:t xml:space="preserve">Art. 199a dyrektywy VAT zezwala państwom członkowskim na fakultatywne stosowanie mechanizmu odwrotnego obciążenia w odniesieniu do płatności podatku VAT w związku z dostawami określonych towarów i usług, które są podatne na oszustwa, w szczególności na wewnątrzwspólnotowe oszustwa typu „znikający podmiot gospodarczy”. </w:t>
      </w:r>
    </w:p>
    <w:p w:rsidR="003D1A74" w:rsidRPr="00CA7429" w:rsidRDefault="003D1A74" w:rsidP="003D1A74">
      <w:pPr>
        <w:pStyle w:val="Default"/>
      </w:pPr>
    </w:p>
    <w:p w:rsidR="003D1A74" w:rsidRPr="00CA7429" w:rsidRDefault="003D1A74" w:rsidP="003D1A74">
      <w:pPr>
        <w:pStyle w:val="Default"/>
      </w:pPr>
      <w:r w:rsidRPr="00CA7429">
        <w:t xml:space="preserve">Jeżeli państwo członkowskie chciałoby zastosować mechanizm odwrotnego obciążenia w odniesieniu do dostaw innych niż wymienione w art. 199a dyrektywy VAT, może mu zostać przyznane odstępstwo na podstawie art. 395 dyrektywy VAT w celu uproszczenia procedury poboru VAT lub zapobiegania niektórym formom uchylania się od opodatkowania i unikania opodatkowania. Przyjęcie odstępstwa na podstawie tego artykułu wymaga jednak wniosku Komisji oraz jednomyślnego przyjęcia tego wniosku przez Radę. Procedura ta trwa kilka miesięcy (maksymalnie do 8 miesięcy zgodnie z art. 395 dyrektywy VAT). W przypadkach, w których państwo członkowskie staje się nagle narażone na poważne oszustwa, czas trwania procedury uzyskania odstępstwa na podstawie art. 395 może prowadzić do znacznych strat dochodów z tytułu podatku VAT. W ramach mechanizmu szybkiego reagowania (MSR) określonego w art. 199b dyrektywy VAT przewidziano szybszą procedurę pozwalającą państwom członkowskim wprowadzić, pod pewnymi ścisłymi warunkami, mechanizm odwrotnego obciążenia, zapewniając tym samym państwom członkowskim bardziej odpowiednią i skuteczną możliwość reagowania na przypadki nagłych i znaczących oszustw. </w:t>
      </w:r>
    </w:p>
    <w:p w:rsidR="003D1A74" w:rsidRPr="00CA7429" w:rsidRDefault="003D1A74" w:rsidP="003D1A74">
      <w:pPr>
        <w:pStyle w:val="Default"/>
      </w:pPr>
    </w:p>
    <w:p w:rsidR="003D1A74" w:rsidRPr="00CA7429" w:rsidRDefault="003D1A74" w:rsidP="003D1A74">
      <w:pPr>
        <w:pStyle w:val="Default"/>
      </w:pPr>
      <w:r w:rsidRPr="00CA7429">
        <w:t xml:space="preserve">Środki przewidziane w art. 199a i 199b mają na celu umożliwienie państwom członkowskim szybkiego rozwiązania problemów związanych z wewnątrzwspólnotowymi oszustwami typu „znikający podmiot gospodarczy”: w art. 199a – poprzez możliwość zastosowania mechanizmu odwrotnego obciążenia w odniesieniu do wymienionych dostaw towarów i świadczenia usług, oraz w artykule 199b – poprzez zaproponowanie szybszej procedury wdrażania mechanizmu odwrotnego obciążenia w przypadku nagłych i znaczących oszustw. Oba te artykuły tracą moc z dniem 31 grudnia 2018 r. </w:t>
      </w:r>
    </w:p>
    <w:p w:rsidR="003D1A74" w:rsidRPr="00CA7429" w:rsidRDefault="003D1A74" w:rsidP="003D1A74"/>
    <w:p w:rsidR="003D1A74" w:rsidRPr="00CA7429" w:rsidRDefault="003D1A74" w:rsidP="003D1A74">
      <w:pPr>
        <w:pStyle w:val="Default"/>
      </w:pPr>
      <w:r w:rsidRPr="00CA7429">
        <w:t xml:space="preserve">Z powyższego wynika, że środki, o których mowa w art. 199a i 199b dyrektywy VAT, były użyteczne jako środki tymczasowe i ukierunkowane. Ich wygaśnięcie w dniu 31 grudnia 2018 r. pozbawiłoby państwa członkowskie skutecznego narzędzia do zwalczania oszustw. </w:t>
      </w:r>
    </w:p>
    <w:p w:rsidR="003D1A74" w:rsidRPr="00CA7429" w:rsidRDefault="003D1A74" w:rsidP="003D1A74">
      <w:pPr>
        <w:pStyle w:val="Default"/>
      </w:pPr>
    </w:p>
    <w:p w:rsidR="003D1A74" w:rsidRPr="00CA7429" w:rsidRDefault="003D1A74" w:rsidP="003D1A74">
      <w:pPr>
        <w:pStyle w:val="Default"/>
      </w:pPr>
      <w:r w:rsidRPr="00CA7429">
        <w:t xml:space="preserve">Należy zatem przedłużyć obowiązywanie środków zawartych w art. 199a i 199b do dnia 30 czerwca 2022 r., czyli do dnia, w którym powinien wejść w życie docelowy system dla wewnątrzunijnych dostaw towarów między przedsiębiorstwami. </w:t>
      </w:r>
    </w:p>
    <w:p w:rsidR="003D1A74" w:rsidRPr="00CA7429" w:rsidRDefault="003D1A74" w:rsidP="003D1A74">
      <w:pPr>
        <w:pStyle w:val="Default"/>
      </w:pPr>
    </w:p>
    <w:p w:rsidR="003D1A74" w:rsidRPr="006B2AE1" w:rsidRDefault="003D1A74" w:rsidP="006B2AE1">
      <w:r w:rsidRPr="00CA7429">
        <w:t>Wniosek nie ma negatywnego wpływu na budżet Unii.</w:t>
      </w:r>
    </w:p>
    <w:p w:rsidR="006B2AE1" w:rsidRDefault="006B2AE1" w:rsidP="006B2AE1">
      <w:pPr>
        <w:pStyle w:val="PageHeading"/>
      </w:pPr>
      <w:r w:rsidRPr="006B2AE1">
        <w:br w:type="page"/>
      </w:r>
      <w:bookmarkStart w:id="3" w:name="ProcPageRR"/>
      <w:bookmarkStart w:id="4" w:name="_Toc525114633"/>
      <w:r>
        <w:t>PROCEDURA W KOMISJI PRZEDMIOTOWO WŁAŚCIWEJ</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B2AE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b/>
                <w:bCs/>
                <w:color w:val="000000"/>
                <w:sz w:val="20"/>
              </w:rPr>
            </w:pPr>
            <w:r>
              <w:rPr>
                <w:b/>
                <w:bCs/>
                <w:color w:val="000000"/>
                <w:sz w:val="20"/>
              </w:rPr>
              <w:t>Tytuł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color w:val="000000"/>
                <w:sz w:val="20"/>
              </w:rPr>
            </w:pPr>
            <w:r>
              <w:rPr>
                <w:color w:val="000000"/>
                <w:sz w:val="20"/>
              </w:rPr>
              <w:t>Wspólny system podatku od wartości dodanej w odniesieniu do okresu stosowania fakultatywnego mechanizmu odwrotnego obciążenia w związku z dostawami niektórych towarów i usług podatnych na oszustwa oraz mechanizmu szybkiego reagowania na oszustwa związane z podatkiem VAT</w:t>
            </w:r>
          </w:p>
        </w:tc>
      </w:tr>
      <w:tr w:rsidR="006B2AE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b/>
                <w:bCs/>
                <w:color w:val="000000"/>
                <w:sz w:val="20"/>
              </w:rPr>
            </w:pPr>
            <w:r>
              <w:rPr>
                <w:b/>
                <w:bCs/>
                <w:color w:val="000000"/>
                <w:sz w:val="20"/>
              </w:rPr>
              <w:t>Odsyłacze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color w:val="000000"/>
                <w:sz w:val="20"/>
              </w:rPr>
            </w:pPr>
            <w:r>
              <w:rPr>
                <w:color w:val="000000"/>
                <w:sz w:val="20"/>
              </w:rPr>
              <w:t>COM(2018)0298 – C8-0265/2018 – 2018/0150(CNS)</w:t>
            </w:r>
          </w:p>
        </w:tc>
      </w:tr>
      <w:tr w:rsidR="006B2AE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b/>
                <w:bCs/>
                <w:color w:val="000000"/>
                <w:sz w:val="20"/>
              </w:rPr>
            </w:pPr>
            <w:r>
              <w:rPr>
                <w:b/>
                <w:bCs/>
                <w:color w:val="000000"/>
                <w:sz w:val="20"/>
              </w:rPr>
              <w:t>Data konsultacji z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B2AE1" w:rsidRDefault="006B2AE1">
            <w:pPr>
              <w:autoSpaceDE w:val="0"/>
              <w:autoSpaceDN w:val="0"/>
              <w:adjustRightInd w:val="0"/>
              <w:rPr>
                <w:color w:val="000000"/>
                <w:sz w:val="20"/>
              </w:rPr>
            </w:pPr>
            <w:r>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B2AE1" w:rsidRDefault="006B2AE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B2AE1" w:rsidRDefault="006B2AE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rFonts w:ascii="sans-serif" w:hAnsi="sans-serif" w:cs="sans-serif"/>
                <w:color w:val="000000"/>
                <w:szCs w:val="24"/>
              </w:rPr>
            </w:pPr>
          </w:p>
        </w:tc>
      </w:tr>
      <w:tr w:rsidR="006B2AE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b/>
                <w:bCs/>
                <w:color w:val="000000"/>
                <w:sz w:val="20"/>
              </w:rPr>
            </w:pPr>
            <w:r>
              <w:rPr>
                <w:b/>
                <w:bCs/>
                <w:color w:val="000000"/>
                <w:sz w:val="20"/>
              </w:rPr>
              <w:t>Komisja przedmiotowo właściwa</w:t>
            </w:r>
          </w:p>
          <w:p w:rsidR="006B2AE1" w:rsidRDefault="006B2AE1">
            <w:pPr>
              <w:autoSpaceDE w:val="0"/>
              <w:autoSpaceDN w:val="0"/>
              <w:adjustRightInd w:val="0"/>
              <w:rPr>
                <w:color w:val="000000"/>
                <w:sz w:val="20"/>
              </w:rPr>
            </w:pPr>
            <w:r>
              <w:rPr>
                <w:color w:val="000000"/>
                <w:sz w:val="20"/>
              </w:rPr>
              <w:t>       Data ogłoszenia na posiedzeniu</w:t>
            </w:r>
          </w:p>
        </w:tc>
        <w:tc>
          <w:tcPr>
            <w:tcW w:w="1530" w:type="dxa"/>
            <w:tcBorders>
              <w:top w:val="nil"/>
              <w:left w:val="nil"/>
              <w:bottom w:val="single" w:sz="8" w:space="0" w:color="000000"/>
              <w:right w:val="nil"/>
            </w:tcBorders>
            <w:tcMar>
              <w:top w:w="79" w:type="dxa"/>
              <w:left w:w="79" w:type="dxa"/>
              <w:bottom w:w="79" w:type="dxa"/>
              <w:right w:w="79" w:type="dxa"/>
            </w:tcMar>
          </w:tcPr>
          <w:p w:rsidR="006B2AE1" w:rsidRDefault="006B2AE1">
            <w:pPr>
              <w:autoSpaceDE w:val="0"/>
              <w:autoSpaceDN w:val="0"/>
              <w:adjustRightInd w:val="0"/>
              <w:rPr>
                <w:color w:val="000000"/>
                <w:sz w:val="20"/>
              </w:rPr>
            </w:pPr>
            <w:r>
              <w:rPr>
                <w:color w:val="000000"/>
                <w:sz w:val="20"/>
              </w:rPr>
              <w:t>ECON</w:t>
            </w:r>
          </w:p>
          <w:p w:rsidR="006B2AE1" w:rsidRDefault="006B2AE1">
            <w:pPr>
              <w:autoSpaceDE w:val="0"/>
              <w:autoSpaceDN w:val="0"/>
              <w:adjustRightInd w:val="0"/>
              <w:rPr>
                <w:color w:val="000000"/>
                <w:sz w:val="20"/>
              </w:rPr>
            </w:pPr>
            <w:r>
              <w:rPr>
                <w:color w:val="000000"/>
                <w:sz w:val="20"/>
              </w:rPr>
              <w:t>14.6.2018</w:t>
            </w:r>
          </w:p>
        </w:tc>
        <w:tc>
          <w:tcPr>
            <w:tcW w:w="1474" w:type="dxa"/>
            <w:tcBorders>
              <w:top w:val="nil"/>
              <w:left w:val="nil"/>
              <w:bottom w:val="single" w:sz="8" w:space="0" w:color="000000"/>
              <w:right w:val="nil"/>
            </w:tcBorders>
            <w:tcMar>
              <w:top w:w="79" w:type="dxa"/>
              <w:left w:w="79" w:type="dxa"/>
              <w:bottom w:w="79" w:type="dxa"/>
              <w:right w:w="79" w:type="dxa"/>
            </w:tcMar>
          </w:tcPr>
          <w:p w:rsidR="006B2AE1" w:rsidRDefault="006B2AE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B2AE1" w:rsidRDefault="006B2AE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rFonts w:ascii="sans-serif" w:hAnsi="sans-serif" w:cs="sans-serif"/>
                <w:color w:val="000000"/>
                <w:szCs w:val="24"/>
              </w:rPr>
            </w:pPr>
          </w:p>
        </w:tc>
      </w:tr>
      <w:tr w:rsidR="006B2AE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b/>
                <w:bCs/>
                <w:color w:val="000000"/>
                <w:sz w:val="20"/>
              </w:rPr>
            </w:pPr>
            <w:r>
              <w:rPr>
                <w:b/>
                <w:bCs/>
                <w:color w:val="000000"/>
                <w:sz w:val="20"/>
              </w:rPr>
              <w:t>Sprawozdawcy</w:t>
            </w:r>
          </w:p>
          <w:p w:rsidR="006B2AE1" w:rsidRDefault="006B2AE1">
            <w:pPr>
              <w:autoSpaceDE w:val="0"/>
              <w:autoSpaceDN w:val="0"/>
              <w:adjustRightInd w:val="0"/>
              <w:rPr>
                <w:color w:val="000000"/>
                <w:sz w:val="20"/>
              </w:rPr>
            </w:pPr>
            <w:r>
              <w:rPr>
                <w:color w:val="000000"/>
                <w:sz w:val="20"/>
              </w:rPr>
              <w:t>       Data powołania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B2AE1" w:rsidRDefault="006B2AE1">
            <w:pPr>
              <w:autoSpaceDE w:val="0"/>
              <w:autoSpaceDN w:val="0"/>
              <w:adjustRightInd w:val="0"/>
              <w:rPr>
                <w:color w:val="000000"/>
                <w:sz w:val="20"/>
              </w:rPr>
            </w:pPr>
            <w:r>
              <w:rPr>
                <w:color w:val="000000"/>
                <w:sz w:val="20"/>
              </w:rPr>
              <w:t>Sirpa Pietikäinen</w:t>
            </w:r>
          </w:p>
          <w:p w:rsidR="006B2AE1" w:rsidRDefault="006B2AE1">
            <w:pPr>
              <w:autoSpaceDE w:val="0"/>
              <w:autoSpaceDN w:val="0"/>
              <w:adjustRightInd w:val="0"/>
              <w:rPr>
                <w:color w:val="000000"/>
                <w:sz w:val="20"/>
              </w:rPr>
            </w:pPr>
            <w:r>
              <w:rPr>
                <w:color w:val="000000"/>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B2AE1" w:rsidRDefault="006B2AE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B2AE1" w:rsidRDefault="006B2AE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rFonts w:ascii="sans-serif" w:hAnsi="sans-serif" w:cs="sans-serif"/>
                <w:color w:val="000000"/>
                <w:szCs w:val="24"/>
              </w:rPr>
            </w:pPr>
          </w:p>
        </w:tc>
      </w:tr>
      <w:tr w:rsidR="006B2AE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b/>
                <w:bCs/>
                <w:color w:val="000000"/>
                <w:sz w:val="20"/>
              </w:rPr>
            </w:pPr>
            <w:r>
              <w:rPr>
                <w:b/>
                <w:bCs/>
                <w:color w:val="000000"/>
                <w:sz w:val="20"/>
              </w:rPr>
              <w:t>Procedura uproszczona - data decyzji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color w:val="000000"/>
                <w:sz w:val="20"/>
              </w:rPr>
            </w:pPr>
            <w:r>
              <w:rPr>
                <w:color w:val="000000"/>
                <w:sz w:val="20"/>
              </w:rPr>
              <w:t>3.9.2018</w:t>
            </w:r>
          </w:p>
        </w:tc>
      </w:tr>
      <w:tr w:rsidR="006B2AE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b/>
                <w:bCs/>
                <w:color w:val="000000"/>
                <w:sz w:val="20"/>
              </w:rPr>
            </w:pPr>
            <w:r>
              <w:rPr>
                <w:b/>
                <w:bCs/>
                <w:color w:val="000000"/>
                <w:sz w:val="20"/>
              </w:rPr>
              <w:t>Rozpatrzenie w komisji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B2AE1" w:rsidRDefault="006B2AE1">
            <w:pPr>
              <w:autoSpaceDE w:val="0"/>
              <w:autoSpaceDN w:val="0"/>
              <w:adjustRightInd w:val="0"/>
              <w:rPr>
                <w:color w:val="000000"/>
                <w:sz w:val="20"/>
              </w:rPr>
            </w:pPr>
            <w:r>
              <w:rPr>
                <w:color w:val="000000"/>
                <w:sz w:val="20"/>
              </w:rPr>
              <w:t>3.9.2018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B2AE1" w:rsidRDefault="006B2AE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B2AE1" w:rsidRDefault="006B2AE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rFonts w:ascii="sans-serif" w:hAnsi="sans-serif" w:cs="sans-serif"/>
                <w:color w:val="000000"/>
                <w:szCs w:val="24"/>
              </w:rPr>
            </w:pPr>
          </w:p>
        </w:tc>
      </w:tr>
      <w:tr w:rsidR="006B2AE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b/>
                <w:bCs/>
                <w:color w:val="000000"/>
                <w:sz w:val="20"/>
              </w:rPr>
            </w:pPr>
            <w:r>
              <w:rPr>
                <w:b/>
                <w:bCs/>
                <w:color w:val="000000"/>
                <w:sz w:val="20"/>
              </w:rPr>
              <w:t>Data przyjęcia</w:t>
            </w:r>
          </w:p>
        </w:tc>
        <w:tc>
          <w:tcPr>
            <w:tcW w:w="1530" w:type="dxa"/>
            <w:tcBorders>
              <w:top w:val="nil"/>
              <w:left w:val="nil"/>
              <w:bottom w:val="single" w:sz="8" w:space="0" w:color="000000"/>
              <w:right w:val="nil"/>
            </w:tcBorders>
            <w:tcMar>
              <w:top w:w="79" w:type="dxa"/>
              <w:left w:w="79" w:type="dxa"/>
              <w:bottom w:w="79" w:type="dxa"/>
              <w:right w:w="79" w:type="dxa"/>
            </w:tcMar>
          </w:tcPr>
          <w:p w:rsidR="006B2AE1" w:rsidRDefault="006B2AE1">
            <w:pPr>
              <w:autoSpaceDE w:val="0"/>
              <w:autoSpaceDN w:val="0"/>
              <w:adjustRightInd w:val="0"/>
              <w:rPr>
                <w:color w:val="000000"/>
                <w:sz w:val="20"/>
              </w:rPr>
            </w:pPr>
            <w:r>
              <w:rPr>
                <w:color w:val="000000"/>
                <w:sz w:val="20"/>
              </w:rPr>
              <w:t>7.9.2018</w:t>
            </w:r>
          </w:p>
        </w:tc>
        <w:tc>
          <w:tcPr>
            <w:tcW w:w="1474" w:type="dxa"/>
            <w:tcBorders>
              <w:top w:val="nil"/>
              <w:left w:val="nil"/>
              <w:bottom w:val="single" w:sz="8" w:space="0" w:color="000000"/>
              <w:right w:val="nil"/>
            </w:tcBorders>
            <w:tcMar>
              <w:top w:w="79" w:type="dxa"/>
              <w:left w:w="79" w:type="dxa"/>
              <w:bottom w:w="79" w:type="dxa"/>
              <w:right w:w="79" w:type="dxa"/>
            </w:tcMar>
          </w:tcPr>
          <w:p w:rsidR="006B2AE1" w:rsidRDefault="006B2AE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B2AE1" w:rsidRDefault="006B2AE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rFonts w:ascii="sans-serif" w:hAnsi="sans-serif" w:cs="sans-serif"/>
                <w:color w:val="000000"/>
                <w:szCs w:val="24"/>
              </w:rPr>
            </w:pPr>
          </w:p>
        </w:tc>
      </w:tr>
      <w:tr w:rsidR="006B2AE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b/>
                <w:bCs/>
                <w:color w:val="000000"/>
                <w:sz w:val="20"/>
              </w:rPr>
            </w:pPr>
            <w:r>
              <w:rPr>
                <w:b/>
                <w:bCs/>
                <w:color w:val="000000"/>
                <w:sz w:val="20"/>
              </w:rPr>
              <w:t>Data złożenia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2AE1" w:rsidRDefault="006B2AE1">
            <w:pPr>
              <w:autoSpaceDE w:val="0"/>
              <w:autoSpaceDN w:val="0"/>
              <w:adjustRightInd w:val="0"/>
              <w:rPr>
                <w:color w:val="000000"/>
                <w:sz w:val="20"/>
              </w:rPr>
            </w:pPr>
            <w:r>
              <w:rPr>
                <w:color w:val="000000"/>
                <w:sz w:val="20"/>
              </w:rPr>
              <w:t>10.9.2018</w:t>
            </w:r>
          </w:p>
        </w:tc>
      </w:tr>
    </w:tbl>
    <w:p w:rsidR="006B2AE1" w:rsidRDefault="006B2AE1">
      <w:pPr>
        <w:autoSpaceDE w:val="0"/>
        <w:autoSpaceDN w:val="0"/>
        <w:adjustRightInd w:val="0"/>
        <w:rPr>
          <w:rFonts w:ascii="Arial" w:hAnsi="Arial" w:cs="Arial"/>
          <w:szCs w:val="24"/>
        </w:rPr>
      </w:pPr>
    </w:p>
    <w:bookmarkEnd w:id="3"/>
    <w:p w:rsidR="001507D3" w:rsidRPr="006B2AE1" w:rsidRDefault="001507D3" w:rsidP="006B2AE1"/>
    <w:sectPr w:rsidR="001507D3" w:rsidRPr="006B2AE1" w:rsidSect="00CA742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B3" w:rsidRPr="00CA7429" w:rsidRDefault="00184AB3">
      <w:r w:rsidRPr="00CA7429">
        <w:separator/>
      </w:r>
    </w:p>
  </w:endnote>
  <w:endnote w:type="continuationSeparator" w:id="0">
    <w:p w:rsidR="00184AB3" w:rsidRPr="00CA7429" w:rsidRDefault="00184AB3">
      <w:r w:rsidRPr="00CA742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E1" w:rsidRDefault="006B2AE1" w:rsidP="006B2AE1">
    <w:pPr>
      <w:pStyle w:val="Footer"/>
    </w:pPr>
    <w:r>
      <w:t>PE</w:t>
    </w:r>
    <w:r w:rsidRPr="006B2AE1">
      <w:rPr>
        <w:rStyle w:val="HideTWBExt"/>
      </w:rPr>
      <w:t>&lt;NoPE&gt;</w:t>
    </w:r>
    <w:r>
      <w:t>625.397</w:t>
    </w:r>
    <w:r w:rsidRPr="006B2AE1">
      <w:rPr>
        <w:rStyle w:val="HideTWBExt"/>
      </w:rPr>
      <w:t>&lt;/NoPE&gt;&lt;Version&gt;</w:t>
    </w:r>
    <w:r>
      <w:t>v02-00</w:t>
    </w:r>
    <w:r w:rsidRPr="006B2AE1">
      <w:rPr>
        <w:rStyle w:val="HideTWBExt"/>
      </w:rPr>
      <w:t>&lt;/Version&gt;</w:t>
    </w:r>
    <w:r>
      <w:tab/>
    </w:r>
    <w:r>
      <w:fldChar w:fldCharType="begin"/>
    </w:r>
    <w:r>
      <w:instrText xml:space="preserve"> PAGE  \* MERGEFORMAT </w:instrText>
    </w:r>
    <w:r>
      <w:fldChar w:fldCharType="separate"/>
    </w:r>
    <w:r w:rsidR="003456BB">
      <w:rPr>
        <w:noProof/>
      </w:rPr>
      <w:t>7</w:t>
    </w:r>
    <w:r>
      <w:fldChar w:fldCharType="end"/>
    </w:r>
    <w:r>
      <w:t>/</w:t>
    </w:r>
    <w:r w:rsidR="003456BB">
      <w:rPr>
        <w:noProof/>
      </w:rPr>
      <w:fldChar w:fldCharType="begin"/>
    </w:r>
    <w:r w:rsidR="003456BB">
      <w:rPr>
        <w:noProof/>
      </w:rPr>
      <w:instrText xml:space="preserve"> NUMPAGES  \* MERGEFORMAT </w:instrText>
    </w:r>
    <w:r w:rsidR="003456BB">
      <w:rPr>
        <w:noProof/>
      </w:rPr>
      <w:fldChar w:fldCharType="separate"/>
    </w:r>
    <w:r w:rsidR="003456BB">
      <w:rPr>
        <w:noProof/>
      </w:rPr>
      <w:t>7</w:t>
    </w:r>
    <w:r w:rsidR="003456BB">
      <w:rPr>
        <w:noProof/>
      </w:rPr>
      <w:fldChar w:fldCharType="end"/>
    </w:r>
    <w:r>
      <w:tab/>
    </w:r>
    <w:r w:rsidRPr="006B2AE1">
      <w:rPr>
        <w:rStyle w:val="HideTWBExt"/>
      </w:rPr>
      <w:t>&lt;PathFdR&gt;</w:t>
    </w:r>
    <w:r>
      <w:t>RR\1162523PL.docx</w:t>
    </w:r>
    <w:r w:rsidRPr="006B2AE1">
      <w:rPr>
        <w:rStyle w:val="HideTWBExt"/>
      </w:rPr>
      <w:t>&lt;/PathFdR&gt;</w:t>
    </w:r>
  </w:p>
  <w:p w:rsidR="002F7000" w:rsidRPr="00CA7429" w:rsidRDefault="006B2AE1" w:rsidP="006B2AE1">
    <w:pPr>
      <w:pStyle w:val="Footer2"/>
    </w:pPr>
    <w: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E1" w:rsidRDefault="006B2AE1" w:rsidP="006B2AE1">
    <w:pPr>
      <w:pStyle w:val="Footer"/>
    </w:pPr>
    <w:r w:rsidRPr="006B2AE1">
      <w:rPr>
        <w:rStyle w:val="HideTWBExt"/>
      </w:rPr>
      <w:t>&lt;PathFdR&gt;</w:t>
    </w:r>
    <w:r>
      <w:t>RR\1162523PL.docx</w:t>
    </w:r>
    <w:r w:rsidRPr="006B2AE1">
      <w:rPr>
        <w:rStyle w:val="HideTWBExt"/>
      </w:rPr>
      <w:t>&lt;/PathFdR&gt;</w:t>
    </w:r>
    <w:r>
      <w:tab/>
    </w:r>
    <w:r>
      <w:fldChar w:fldCharType="begin"/>
    </w:r>
    <w:r>
      <w:instrText xml:space="preserve"> PAGE  \* MERGEFORMAT </w:instrText>
    </w:r>
    <w:r>
      <w:fldChar w:fldCharType="separate"/>
    </w:r>
    <w:r w:rsidR="003456BB">
      <w:rPr>
        <w:noProof/>
      </w:rPr>
      <w:t>7</w:t>
    </w:r>
    <w:r>
      <w:fldChar w:fldCharType="end"/>
    </w:r>
    <w:r>
      <w:t>/</w:t>
    </w:r>
    <w:r w:rsidR="003456BB">
      <w:rPr>
        <w:noProof/>
      </w:rPr>
      <w:fldChar w:fldCharType="begin"/>
    </w:r>
    <w:r w:rsidR="003456BB">
      <w:rPr>
        <w:noProof/>
      </w:rPr>
      <w:instrText xml:space="preserve"> NUMPAGES  \* MERGEFORMAT </w:instrText>
    </w:r>
    <w:r w:rsidR="003456BB">
      <w:rPr>
        <w:noProof/>
      </w:rPr>
      <w:fldChar w:fldCharType="separate"/>
    </w:r>
    <w:r w:rsidR="003456BB">
      <w:rPr>
        <w:noProof/>
      </w:rPr>
      <w:t>7</w:t>
    </w:r>
    <w:r w:rsidR="003456BB">
      <w:rPr>
        <w:noProof/>
      </w:rPr>
      <w:fldChar w:fldCharType="end"/>
    </w:r>
    <w:r>
      <w:tab/>
      <w:t>PE</w:t>
    </w:r>
    <w:r w:rsidRPr="006B2AE1">
      <w:rPr>
        <w:rStyle w:val="HideTWBExt"/>
      </w:rPr>
      <w:t>&lt;NoPE&gt;</w:t>
    </w:r>
    <w:r>
      <w:t>625.397</w:t>
    </w:r>
    <w:r w:rsidRPr="006B2AE1">
      <w:rPr>
        <w:rStyle w:val="HideTWBExt"/>
      </w:rPr>
      <w:t>&lt;/NoPE&gt;&lt;Version&gt;</w:t>
    </w:r>
    <w:r>
      <w:t>v02-00</w:t>
    </w:r>
    <w:r w:rsidRPr="006B2AE1">
      <w:rPr>
        <w:rStyle w:val="HideTWBExt"/>
      </w:rPr>
      <w:t>&lt;/Version&gt;</w:t>
    </w:r>
  </w:p>
  <w:p w:rsidR="002F7000" w:rsidRPr="00CA7429" w:rsidRDefault="006B2AE1" w:rsidP="006B2AE1">
    <w:pPr>
      <w:pStyle w:val="Footer2"/>
    </w:pPr>
    <w:r>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E1" w:rsidRDefault="006B2AE1" w:rsidP="006B2AE1">
    <w:pPr>
      <w:pStyle w:val="Footer"/>
    </w:pPr>
    <w:r w:rsidRPr="006B2AE1">
      <w:rPr>
        <w:rStyle w:val="HideTWBExt"/>
      </w:rPr>
      <w:t>&lt;PathFdR&gt;</w:t>
    </w:r>
    <w:r>
      <w:t>RR\1162523PL.docx</w:t>
    </w:r>
    <w:r w:rsidRPr="006B2AE1">
      <w:rPr>
        <w:rStyle w:val="HideTWBExt"/>
      </w:rPr>
      <w:t>&lt;/PathFdR&gt;</w:t>
    </w:r>
    <w:r>
      <w:tab/>
    </w:r>
    <w:r>
      <w:tab/>
      <w:t>PE</w:t>
    </w:r>
    <w:r w:rsidRPr="006B2AE1">
      <w:rPr>
        <w:rStyle w:val="HideTWBExt"/>
      </w:rPr>
      <w:t>&lt;NoPE&gt;</w:t>
    </w:r>
    <w:r>
      <w:t>625.397</w:t>
    </w:r>
    <w:r w:rsidRPr="006B2AE1">
      <w:rPr>
        <w:rStyle w:val="HideTWBExt"/>
      </w:rPr>
      <w:t>&lt;/NoPE&gt;&lt;Version&gt;</w:t>
    </w:r>
    <w:r>
      <w:t>v02-00</w:t>
    </w:r>
    <w:r w:rsidRPr="006B2AE1">
      <w:rPr>
        <w:rStyle w:val="HideTWBExt"/>
      </w:rPr>
      <w:t>&lt;/Version&gt;</w:t>
    </w:r>
  </w:p>
  <w:p w:rsidR="002F7000" w:rsidRPr="00CA7429" w:rsidRDefault="006B2AE1" w:rsidP="006B2AE1">
    <w:pPr>
      <w:pStyle w:val="Footer2"/>
      <w:tabs>
        <w:tab w:val="center" w:pos="4535"/>
      </w:tabs>
    </w:pPr>
    <w:r>
      <w:t>PL</w:t>
    </w:r>
    <w:r>
      <w:tab/>
    </w:r>
    <w:r w:rsidRPr="006B2AE1">
      <w:rPr>
        <w:b w:val="0"/>
        <w:i/>
        <w:color w:val="C0C0C0"/>
        <w:sz w:val="22"/>
      </w:rPr>
      <w:t>Zjednoczona w różnorodności</w:t>
    </w:r>
    <w:r>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B3" w:rsidRPr="00CA7429" w:rsidRDefault="00184AB3">
      <w:r w:rsidRPr="00CA7429">
        <w:separator/>
      </w:r>
    </w:p>
  </w:footnote>
  <w:footnote w:type="continuationSeparator" w:id="0">
    <w:p w:rsidR="00184AB3" w:rsidRPr="00CA7429" w:rsidRDefault="00184AB3">
      <w:r w:rsidRPr="00CA742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BB" w:rsidRDefault="00345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BB" w:rsidRDefault="00345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BB" w:rsidRDefault="00345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RTEURATOMMNU" w:val=" 3"/>
    <w:docVar w:name="ARTFEUMNU" w:val=" 1"/>
    <w:docVar w:name="COMKEY" w:val="ECON"/>
    <w:docVar w:name="CopyToNetwork" w:val="-1"/>
    <w:docVar w:name="DOCMNU" w:val=" 2"/>
    <w:docVar w:name="JURI1MNU" w:val=" 2"/>
    <w:docVar w:name="JURI2MNU" w:val=" 2"/>
    <w:docVar w:name="LastEditedSection" w:val=" 1"/>
    <w:docVar w:name="PARLIAMENTSMNU" w:val=" 2"/>
    <w:docVar w:name="strDocTypeID" w:val="PR_CNS_LegAct_app"/>
    <w:docVar w:name="strSubDir" w:val="1162"/>
    <w:docVar w:name="TITLEMNU" w:val=" 1"/>
    <w:docVar w:name="TXTLANGUE" w:val="PL"/>
    <w:docVar w:name="TXTLANGUEMIN" w:val="pl"/>
    <w:docVar w:name="TXTNRC" w:val="0265/2018"/>
    <w:docVar w:name="TXTNRCNS" w:val="2018/0150"/>
    <w:docVar w:name="TXTNRCOM" w:val="(2018)0298"/>
    <w:docVar w:name="TXTNRPE" w:val="625.397"/>
    <w:docVar w:name="TXTPEorAP" w:val="PE"/>
    <w:docVar w:name="TXTROUTE" w:val="RR\1162523PL.docx"/>
    <w:docVar w:name="TXTTITLE" w:val="amending Directive 2006/112/EC on the common system of value added tax as regards the period of application of the optional reverse charge mechanism in relation to supplies of certain goods and services susceptible to fraud and of the Quick Reaction Mechanism against VAT fraud"/>
    <w:docVar w:name="TXTVERSION" w:val="02-00"/>
  </w:docVars>
  <w:rsids>
    <w:rsidRoot w:val="00184AB3"/>
    <w:rsid w:val="00006999"/>
    <w:rsid w:val="00037764"/>
    <w:rsid w:val="00056EA7"/>
    <w:rsid w:val="00090FDD"/>
    <w:rsid w:val="000A5925"/>
    <w:rsid w:val="000C7D46"/>
    <w:rsid w:val="00104AEE"/>
    <w:rsid w:val="001507D3"/>
    <w:rsid w:val="00184AB3"/>
    <w:rsid w:val="001907B9"/>
    <w:rsid w:val="001A06D8"/>
    <w:rsid w:val="001E5A80"/>
    <w:rsid w:val="002562EA"/>
    <w:rsid w:val="002817C0"/>
    <w:rsid w:val="002A784D"/>
    <w:rsid w:val="002B272A"/>
    <w:rsid w:val="002E5810"/>
    <w:rsid w:val="002F7000"/>
    <w:rsid w:val="00302A66"/>
    <w:rsid w:val="003456BB"/>
    <w:rsid w:val="00385C3B"/>
    <w:rsid w:val="003D1A74"/>
    <w:rsid w:val="00480857"/>
    <w:rsid w:val="00487BC1"/>
    <w:rsid w:val="004C4A0B"/>
    <w:rsid w:val="004D7B3B"/>
    <w:rsid w:val="0050486E"/>
    <w:rsid w:val="00543B7B"/>
    <w:rsid w:val="00566C5B"/>
    <w:rsid w:val="005F38A0"/>
    <w:rsid w:val="00681C69"/>
    <w:rsid w:val="006B2AE1"/>
    <w:rsid w:val="00747695"/>
    <w:rsid w:val="00796EB5"/>
    <w:rsid w:val="007D611D"/>
    <w:rsid w:val="008360FA"/>
    <w:rsid w:val="00873687"/>
    <w:rsid w:val="00874129"/>
    <w:rsid w:val="008B21ED"/>
    <w:rsid w:val="008E1C2D"/>
    <w:rsid w:val="008E22DF"/>
    <w:rsid w:val="0090708C"/>
    <w:rsid w:val="00972620"/>
    <w:rsid w:val="00996F12"/>
    <w:rsid w:val="009C7F41"/>
    <w:rsid w:val="009D0C99"/>
    <w:rsid w:val="009E20F3"/>
    <w:rsid w:val="00A32023"/>
    <w:rsid w:val="00A43E6A"/>
    <w:rsid w:val="00AD26AD"/>
    <w:rsid w:val="00AF7573"/>
    <w:rsid w:val="00B37926"/>
    <w:rsid w:val="00BD28D4"/>
    <w:rsid w:val="00BE4EC7"/>
    <w:rsid w:val="00C01B9E"/>
    <w:rsid w:val="00C22C1C"/>
    <w:rsid w:val="00C22FE9"/>
    <w:rsid w:val="00C54859"/>
    <w:rsid w:val="00C60274"/>
    <w:rsid w:val="00C71A3C"/>
    <w:rsid w:val="00C82EBC"/>
    <w:rsid w:val="00CA7429"/>
    <w:rsid w:val="00CC3F03"/>
    <w:rsid w:val="00DC3DED"/>
    <w:rsid w:val="00E40290"/>
    <w:rsid w:val="00E40565"/>
    <w:rsid w:val="00E97119"/>
    <w:rsid w:val="00ED0609"/>
    <w:rsid w:val="00ED0821"/>
    <w:rsid w:val="00FC479A"/>
    <w:rsid w:val="00FF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B8F0314-E534-4E63-8427-A681D77C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AF7573"/>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4C4A0B"/>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566C5B"/>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4C4A0B"/>
    <w:pPr>
      <w:spacing w:after="80"/>
    </w:pPr>
    <w:rPr>
      <w:rFonts w:ascii="Arial" w:hAnsi="Arial" w:cs="Arial"/>
      <w:sz w:val="20"/>
      <w:szCs w:val="22"/>
    </w:rPr>
  </w:style>
  <w:style w:type="paragraph" w:customStyle="1" w:styleId="EPLogo">
    <w:name w:val="EPLogo"/>
    <w:basedOn w:val="Normal"/>
    <w:qFormat/>
    <w:rsid w:val="004C4A0B"/>
    <w:pPr>
      <w:jc w:val="right"/>
    </w:pPr>
  </w:style>
  <w:style w:type="paragraph" w:customStyle="1" w:styleId="Lgendesigne">
    <w:name w:val="Légende signe"/>
    <w:basedOn w:val="Normal"/>
    <w:rsid w:val="00996F12"/>
    <w:pPr>
      <w:tabs>
        <w:tab w:val="right" w:pos="454"/>
        <w:tab w:val="left" w:pos="737"/>
      </w:tabs>
      <w:ind w:left="737" w:hanging="737"/>
    </w:pPr>
    <w:rPr>
      <w:snapToGrid w:val="0"/>
      <w:sz w:val="18"/>
      <w:lang w:eastAsia="en-US"/>
    </w:rPr>
  </w:style>
  <w:style w:type="paragraph" w:customStyle="1" w:styleId="Lgendetitre">
    <w:name w:val="Légende titre"/>
    <w:basedOn w:val="Normal"/>
    <w:rsid w:val="00996F12"/>
    <w:pPr>
      <w:spacing w:before="240" w:after="240"/>
    </w:pPr>
    <w:rPr>
      <w:b/>
      <w:i/>
      <w:snapToGrid w:val="0"/>
      <w:lang w:eastAsia="en-US"/>
    </w:rPr>
  </w:style>
  <w:style w:type="paragraph" w:customStyle="1" w:styleId="Lgendestandard">
    <w:name w:val="Légende standard"/>
    <w:basedOn w:val="Lgendesigne"/>
    <w:rsid w:val="00996F12"/>
    <w:pPr>
      <w:ind w:left="0" w:firstLine="0"/>
    </w:pPr>
  </w:style>
  <w:style w:type="paragraph" w:styleId="BalloonText">
    <w:name w:val="Balloon Text"/>
    <w:basedOn w:val="Normal"/>
    <w:link w:val="BalloonTextChar"/>
    <w:rsid w:val="00CC3F03"/>
    <w:rPr>
      <w:rFonts w:ascii="Segoe UI" w:hAnsi="Segoe UI" w:cs="Segoe UI"/>
      <w:sz w:val="18"/>
      <w:szCs w:val="18"/>
    </w:rPr>
  </w:style>
  <w:style w:type="character" w:customStyle="1" w:styleId="BalloonTextChar">
    <w:name w:val="Balloon Text Char"/>
    <w:basedOn w:val="DefaultParagraphFont"/>
    <w:link w:val="BalloonText"/>
    <w:rsid w:val="00CC3F03"/>
    <w:rPr>
      <w:rFonts w:ascii="Segoe UI" w:hAnsi="Segoe UI" w:cs="Segoe UI"/>
      <w:sz w:val="18"/>
      <w:szCs w:val="18"/>
    </w:rPr>
  </w:style>
  <w:style w:type="paragraph" w:customStyle="1" w:styleId="Default">
    <w:name w:val="Default"/>
    <w:rsid w:val="003D1A74"/>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71D0A-96FF-40E9-855E-913AD31D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988</Words>
  <Characters>6612</Characters>
  <Application>Microsoft Office Word</Application>
  <DocSecurity>0</DocSecurity>
  <Lines>264</Lines>
  <Paragraphs>97</Paragraphs>
  <ScaleCrop>false</ScaleCrop>
  <HeadingPairs>
    <vt:vector size="2" baseType="variant">
      <vt:variant>
        <vt:lpstr>Title</vt:lpstr>
      </vt:variant>
      <vt:variant>
        <vt:i4>1</vt:i4>
      </vt:variant>
    </vt:vector>
  </HeadingPairs>
  <TitlesOfParts>
    <vt:vector size="1" baseType="lpstr">
      <vt:lpstr>PR_CNS_LegAct_app</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PR_CNS_LegAct_app</dc:title>
  <dc:subject/>
  <dc:creator>ESPOSITO Odila</dc:creator>
  <cp:keywords/>
  <dc:description/>
  <cp:lastModifiedBy>DREYFUS-PIETRANIK Joanna</cp:lastModifiedBy>
  <cp:revision>2</cp:revision>
  <cp:lastPrinted>2018-07-11T13:54:00Z</cp:lastPrinted>
  <dcterms:created xsi:type="dcterms:W3CDTF">2018-09-19T08:01:00Z</dcterms:created>
  <dcterms:modified xsi:type="dcterms:W3CDTF">2018-09-19T08:01:00Z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1162523</vt:lpwstr>
  </property>
  <property fmtid="{D5CDD505-2E9C-101B-9397-08002B2CF9AE}" pid="5" name="&lt;Type&gt;">
    <vt:lpwstr>RR</vt:lpwstr>
  </property>
  <property fmtid="{D5CDD505-2E9C-101B-9397-08002B2CF9AE}" pid="6" name="&lt;ModelCod&gt;">
    <vt:lpwstr>\\eiciBRUpr1\pdocep$\DocEP\DOCS\General\PR\PR_Leg\CNS\CNS_LegAct\PR_CNS_LegAct_app.dot(30/06/2017 07:37:08)</vt:lpwstr>
  </property>
  <property fmtid="{D5CDD505-2E9C-101B-9397-08002B2CF9AE}" pid="7" name="&lt;ModelTra&gt;">
    <vt:lpwstr>\\eiciBRUpr1\pdocep$\DocEP\TRANSFIL\EN\PR_CNS_LegAct_app.EN(30/06/2017 07:41:12)</vt:lpwstr>
  </property>
  <property fmtid="{D5CDD505-2E9C-101B-9397-08002B2CF9AE}" pid="8" name="&lt;Model&gt;">
    <vt:lpwstr>PR_CNS_LegAct_app</vt:lpwstr>
  </property>
  <property fmtid="{D5CDD505-2E9C-101B-9397-08002B2CF9AE}" pid="9" name="FooterPath">
    <vt:lpwstr>RR\1162523PL.docx</vt:lpwstr>
  </property>
  <property fmtid="{D5CDD505-2E9C-101B-9397-08002B2CF9AE}" pid="10" name="PE number">
    <vt:lpwstr>625.397</vt:lpwstr>
  </property>
  <property fmtid="{D5CDD505-2E9C-101B-9397-08002B2CF9AE}" pid="11" name="SubscribeElise">
    <vt:lpwstr/>
  </property>
  <property fmtid="{D5CDD505-2E9C-101B-9397-08002B2CF9AE}" pid="12" name="SendToEpades">
    <vt:lpwstr>OK - 2018/07/11 17:21</vt:lpwstr>
  </property>
  <property fmtid="{D5CDD505-2E9C-101B-9397-08002B2CF9AE}" pid="13" name="SDLStudio">
    <vt:lpwstr/>
  </property>
  <property fmtid="{D5CDD505-2E9C-101B-9397-08002B2CF9AE}" pid="14" name="&lt;Extension&gt;">
    <vt:lpwstr>PL</vt:lpwstr>
  </property>
  <property fmtid="{D5CDD505-2E9C-101B-9397-08002B2CF9AE}" pid="15" name="Bookout">
    <vt:lpwstr>OK - 2018/09/19 10:01</vt:lpwstr>
  </property>
</Properties>
</file>