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A3" w:rsidRPr="006C28E7" w:rsidRDefault="0004541F" w:rsidP="00AE46A3">
      <w:pPr>
        <w:pStyle w:val="ZDateAM"/>
      </w:pPr>
      <w:r w:rsidRPr="006C28E7">
        <w:rPr>
          <w:rStyle w:val="HideTWBExt"/>
          <w:noProof w:val="0"/>
        </w:rPr>
        <w:t>&lt;Amend&gt;</w:t>
      </w:r>
      <w:r w:rsidR="00AE46A3" w:rsidRPr="006C28E7">
        <w:rPr>
          <w:rStyle w:val="HideTWBExt"/>
          <w:noProof w:val="0"/>
        </w:rPr>
        <w:t>&lt;Date&gt;</w:t>
      </w:r>
      <w:r w:rsidR="00BE4672" w:rsidRPr="006C28E7">
        <w:rPr>
          <w:rStyle w:val="HideTWBInt"/>
        </w:rPr>
        <w:t>{06/03/2019}</w:t>
      </w:r>
      <w:r w:rsidR="00BE4672" w:rsidRPr="006C28E7">
        <w:t>6.3.2019</w:t>
      </w:r>
      <w:r w:rsidR="00AE46A3" w:rsidRPr="006C28E7">
        <w:rPr>
          <w:rStyle w:val="HideTWBExt"/>
          <w:noProof w:val="0"/>
        </w:rPr>
        <w:t>&lt;/Date&gt;</w:t>
      </w:r>
      <w:r w:rsidR="00AE46A3" w:rsidRPr="006C28E7">
        <w:tab/>
      </w:r>
      <w:r w:rsidR="00AE46A3" w:rsidRPr="006C28E7">
        <w:rPr>
          <w:rStyle w:val="HideTWBExt"/>
          <w:noProof w:val="0"/>
        </w:rPr>
        <w:t>&lt;ANo&gt;</w:t>
      </w:r>
      <w:r w:rsidR="00BE4672" w:rsidRPr="006C28E7">
        <w:t>A8-0326</w:t>
      </w:r>
      <w:r w:rsidR="00AE46A3" w:rsidRPr="006C28E7">
        <w:rPr>
          <w:rStyle w:val="HideTWBExt"/>
          <w:noProof w:val="0"/>
        </w:rPr>
        <w:t>&lt;/ANo&gt;</w:t>
      </w:r>
      <w:r w:rsidR="00AE46A3" w:rsidRPr="006C28E7">
        <w:t>/</w:t>
      </w:r>
      <w:r w:rsidR="00AE46A3" w:rsidRPr="006C28E7">
        <w:rPr>
          <w:rStyle w:val="HideTWBExt"/>
          <w:noProof w:val="0"/>
        </w:rPr>
        <w:t>&lt;NumAm&gt;</w:t>
      </w:r>
      <w:r w:rsidR="00BE4672" w:rsidRPr="006C28E7">
        <w:t>117</w:t>
      </w:r>
      <w:r w:rsidR="00AE46A3" w:rsidRPr="006C28E7">
        <w:rPr>
          <w:rStyle w:val="HideTWBExt"/>
          <w:noProof w:val="0"/>
        </w:rPr>
        <w:t>&lt;/NumAm&gt;</w:t>
      </w:r>
    </w:p>
    <w:p w:rsidR="00AE46A3" w:rsidRPr="006C28E7" w:rsidRDefault="00B3232D" w:rsidP="00AE46A3">
      <w:pPr>
        <w:pStyle w:val="AMNumberTabs"/>
      </w:pPr>
      <w:r w:rsidRPr="006C28E7">
        <w:t>Amendement</w:t>
      </w:r>
      <w:r w:rsidR="00AE46A3" w:rsidRPr="006C28E7">
        <w:tab/>
      </w:r>
      <w:r w:rsidR="00AE46A3" w:rsidRPr="006C28E7">
        <w:tab/>
      </w:r>
      <w:r w:rsidR="00AE46A3" w:rsidRPr="006C28E7">
        <w:rPr>
          <w:rStyle w:val="HideTWBExt"/>
          <w:b w:val="0"/>
          <w:noProof w:val="0"/>
        </w:rPr>
        <w:t>&lt;NumAm&gt;</w:t>
      </w:r>
      <w:r w:rsidR="00BE4672" w:rsidRPr="006C28E7">
        <w:t>117</w:t>
      </w:r>
      <w:r w:rsidR="00AE46A3" w:rsidRPr="006C28E7">
        <w:rPr>
          <w:rStyle w:val="HideTWBExt"/>
          <w:b w:val="0"/>
          <w:noProof w:val="0"/>
        </w:rPr>
        <w:t>&lt;/NumAm&gt;</w:t>
      </w:r>
    </w:p>
    <w:p w:rsidR="00AE46A3" w:rsidRPr="006C28E7" w:rsidRDefault="00AE46A3" w:rsidP="00AE46A3">
      <w:pPr>
        <w:pStyle w:val="NormalBold"/>
      </w:pPr>
      <w:r w:rsidRPr="006C28E7">
        <w:rPr>
          <w:rStyle w:val="HideTWBExt"/>
          <w:b w:val="0"/>
          <w:noProof w:val="0"/>
        </w:rPr>
        <w:t>&lt;RepeatBlock-By&gt;</w:t>
      </w:r>
      <w:bookmarkStart w:id="0" w:name="By"/>
      <w:r w:rsidRPr="006C28E7">
        <w:rPr>
          <w:rStyle w:val="HideTWBExt"/>
          <w:b w:val="0"/>
          <w:noProof w:val="0"/>
        </w:rPr>
        <w:t>&lt;</w:t>
      </w:r>
      <w:r w:rsidR="00814526" w:rsidRPr="006C28E7">
        <w:rPr>
          <w:rStyle w:val="HideTWBExt"/>
          <w:b w:val="0"/>
          <w:noProof w:val="0"/>
        </w:rPr>
        <w:t>By&gt;&lt;</w:t>
      </w:r>
      <w:r w:rsidRPr="006C28E7">
        <w:rPr>
          <w:rStyle w:val="HideTWBExt"/>
          <w:b w:val="0"/>
          <w:noProof w:val="0"/>
        </w:rPr>
        <w:t>Members&gt;</w:t>
      </w:r>
      <w:r w:rsidR="00BE4672" w:rsidRPr="006C28E7">
        <w:t>Karima Delli</w:t>
      </w:r>
      <w:r w:rsidRPr="006C28E7">
        <w:rPr>
          <w:rStyle w:val="HideTWBExt"/>
          <w:b w:val="0"/>
          <w:noProof w:val="0"/>
        </w:rPr>
        <w:t>&lt;/Members&gt;</w:t>
      </w:r>
    </w:p>
    <w:p w:rsidR="00AE46A3" w:rsidRPr="006C28E7" w:rsidRDefault="00AE46A3" w:rsidP="00AE46A3">
      <w:r w:rsidRPr="006C28E7">
        <w:rPr>
          <w:rStyle w:val="HideTWBExt"/>
          <w:noProof w:val="0"/>
        </w:rPr>
        <w:t>&lt;AuNomDe&gt;</w:t>
      </w:r>
      <w:r w:rsidR="00BE4672" w:rsidRPr="006C28E7">
        <w:rPr>
          <w:rStyle w:val="HideTWBInt"/>
        </w:rPr>
        <w:t>{TRAN}</w:t>
      </w:r>
      <w:r w:rsidR="00BE4672" w:rsidRPr="006C28E7">
        <w:t>au nom de la commission des transports et du tourisme</w:t>
      </w:r>
      <w:r w:rsidRPr="006C28E7">
        <w:rPr>
          <w:rStyle w:val="HideTWBExt"/>
          <w:noProof w:val="0"/>
        </w:rPr>
        <w:t>&lt;/AuNomDe&gt;</w:t>
      </w:r>
    </w:p>
    <w:p w:rsidR="00AE46A3" w:rsidRPr="006C28E7" w:rsidRDefault="00814526" w:rsidP="00AE46A3">
      <w:r w:rsidRPr="006C28E7">
        <w:rPr>
          <w:rStyle w:val="HideTWBExt"/>
          <w:noProof w:val="0"/>
        </w:rPr>
        <w:t>&lt;</w:t>
      </w:r>
      <w:r w:rsidR="00510280" w:rsidRPr="006C28E7">
        <w:rPr>
          <w:rStyle w:val="HideTWBExt"/>
          <w:noProof w:val="0"/>
        </w:rPr>
        <w:t>/</w:t>
      </w:r>
      <w:r w:rsidRPr="006C28E7">
        <w:rPr>
          <w:rStyle w:val="HideTWBExt"/>
          <w:noProof w:val="0"/>
        </w:rPr>
        <w:t>By&gt;</w:t>
      </w:r>
      <w:bookmarkEnd w:id="0"/>
      <w:r w:rsidR="00AE46A3" w:rsidRPr="006C28E7">
        <w:rPr>
          <w:rStyle w:val="HideTWBExt"/>
          <w:noProof w:val="0"/>
        </w:rPr>
        <w:t>&lt;/RepeatBlock-By&gt;</w:t>
      </w:r>
    </w:p>
    <w:p w:rsidR="00AE46A3" w:rsidRPr="006C28E7" w:rsidRDefault="00AE46A3" w:rsidP="00AE46A3">
      <w:pPr>
        <w:pStyle w:val="ProjRap"/>
      </w:pPr>
      <w:r w:rsidRPr="006C28E7">
        <w:rPr>
          <w:rStyle w:val="HideTWBExt"/>
          <w:b w:val="0"/>
          <w:noProof w:val="0"/>
        </w:rPr>
        <w:t>&lt;TitreType&gt;</w:t>
      </w:r>
      <w:r w:rsidR="00BE4672" w:rsidRPr="006C28E7">
        <w:t>Rapport</w:t>
      </w:r>
      <w:r w:rsidRPr="006C28E7">
        <w:rPr>
          <w:rStyle w:val="HideTWBExt"/>
          <w:b w:val="0"/>
          <w:noProof w:val="0"/>
        </w:rPr>
        <w:t>&lt;/TitreType&gt;</w:t>
      </w:r>
      <w:r w:rsidRPr="006C28E7">
        <w:tab/>
      </w:r>
      <w:r w:rsidR="00BE4672" w:rsidRPr="006C28E7">
        <w:t>A8-0326</w:t>
      </w:r>
      <w:r w:rsidRPr="006C28E7">
        <w:t>/</w:t>
      </w:r>
      <w:r w:rsidR="00BE4672" w:rsidRPr="006C28E7">
        <w:t>2018</w:t>
      </w:r>
    </w:p>
    <w:p w:rsidR="00AE46A3" w:rsidRPr="006C28E7" w:rsidRDefault="00AE46A3" w:rsidP="00AE46A3">
      <w:pPr>
        <w:pStyle w:val="NormalBold"/>
      </w:pPr>
      <w:r w:rsidRPr="006C28E7">
        <w:rPr>
          <w:rStyle w:val="HideTWBExt"/>
          <w:b w:val="0"/>
          <w:noProof w:val="0"/>
        </w:rPr>
        <w:t>&lt;Rapporteur&gt;</w:t>
      </w:r>
      <w:r w:rsidR="00BE4672" w:rsidRPr="006C28E7">
        <w:t>Gesine Meissner</w:t>
      </w:r>
      <w:r w:rsidRPr="006C28E7">
        <w:rPr>
          <w:rStyle w:val="HideTWBExt"/>
          <w:b w:val="0"/>
          <w:noProof w:val="0"/>
        </w:rPr>
        <w:t>&lt;/Rapporteur&gt;</w:t>
      </w:r>
    </w:p>
    <w:p w:rsidR="00AE46A3" w:rsidRPr="006C28E7" w:rsidRDefault="00AE46A3" w:rsidP="00AE46A3">
      <w:r w:rsidRPr="006C28E7">
        <w:rPr>
          <w:rStyle w:val="HideTWBExt"/>
          <w:noProof w:val="0"/>
        </w:rPr>
        <w:t>&lt;Titre&gt;</w:t>
      </w:r>
      <w:r w:rsidR="00BE4672" w:rsidRPr="006C28E7">
        <w:t>Installations de réception portuaires pour le dépôt des déchets des navires</w:t>
      </w:r>
      <w:r w:rsidRPr="006C28E7">
        <w:rPr>
          <w:rStyle w:val="HideTWBExt"/>
          <w:noProof w:val="0"/>
        </w:rPr>
        <w:t>&lt;/Titre&gt;</w:t>
      </w:r>
    </w:p>
    <w:p w:rsidR="00AE46A3" w:rsidRPr="006C28E7" w:rsidRDefault="00AE46A3" w:rsidP="00AE46A3">
      <w:pPr>
        <w:pStyle w:val="Normal12"/>
      </w:pPr>
      <w:r w:rsidRPr="006C28E7">
        <w:rPr>
          <w:rStyle w:val="HideTWBExt"/>
          <w:noProof w:val="0"/>
        </w:rPr>
        <w:t>&lt;DocRef&gt;</w:t>
      </w:r>
      <w:r w:rsidR="00B3232D" w:rsidRPr="006C28E7">
        <w:t>(</w:t>
      </w:r>
      <w:r w:rsidR="00BE4672" w:rsidRPr="006C28E7">
        <w:t>COM(2018)0033 – C8-0014/2018 – 2018/0012(COD)</w:t>
      </w:r>
      <w:r w:rsidR="00B3232D" w:rsidRPr="006C28E7">
        <w:t>)</w:t>
      </w:r>
      <w:r w:rsidRPr="006C28E7">
        <w:rPr>
          <w:rStyle w:val="HideTWBExt"/>
          <w:noProof w:val="0"/>
        </w:rPr>
        <w:t>&lt;/DocRef&gt;</w:t>
      </w:r>
    </w:p>
    <w:p w:rsidR="00AE46A3" w:rsidRPr="006C28E7" w:rsidRDefault="00AE46A3" w:rsidP="00AE46A3">
      <w:pPr>
        <w:pStyle w:val="NormalBold"/>
      </w:pPr>
      <w:r w:rsidRPr="006C28E7">
        <w:rPr>
          <w:rStyle w:val="HideTWBExt"/>
          <w:b w:val="0"/>
          <w:noProof w:val="0"/>
        </w:rPr>
        <w:t>&lt;DocAmend&gt;</w:t>
      </w:r>
      <w:r w:rsidR="00BE4672" w:rsidRPr="006C28E7">
        <w:t>Proposition de directive</w:t>
      </w:r>
      <w:r w:rsidRPr="006C28E7">
        <w:rPr>
          <w:rStyle w:val="HideTWBExt"/>
          <w:b w:val="0"/>
          <w:noProof w:val="0"/>
        </w:rPr>
        <w:t>&lt;/DocAmend&gt;</w:t>
      </w:r>
    </w:p>
    <w:p w:rsidR="00AE46A3" w:rsidRPr="006C28E7" w:rsidRDefault="00AE46A3" w:rsidP="00AE46A3">
      <w:pPr>
        <w:pStyle w:val="NormalBold"/>
      </w:pPr>
      <w:r w:rsidRPr="006C28E7">
        <w:rPr>
          <w:rStyle w:val="HideTWBExt"/>
          <w:b w:val="0"/>
          <w:noProof w:val="0"/>
        </w:rPr>
        <w:t>&lt;Article&gt;</w:t>
      </w:r>
      <w:r w:rsidR="00E5087F" w:rsidRPr="006C28E7">
        <w:t>–</w:t>
      </w:r>
      <w:r w:rsidRPr="006C28E7">
        <w:rPr>
          <w:rStyle w:val="HideTWBExt"/>
          <w:b w:val="0"/>
          <w:noProof w:val="0"/>
        </w:rPr>
        <w:t>&lt;/Article&gt;</w:t>
      </w:r>
    </w:p>
    <w:p w:rsidR="00FF2CB3" w:rsidRPr="006C28E7" w:rsidRDefault="00B3232D" w:rsidP="006339AB">
      <w:pPr>
        <w:pStyle w:val="ConsHeading"/>
        <w:rPr>
          <w:noProof w:val="0"/>
        </w:rPr>
      </w:pPr>
      <w:r w:rsidRPr="006C28E7">
        <w:rPr>
          <w:noProof w:val="0"/>
        </w:rPr>
        <w:t>AMENDEMENTS DU PARLEMENT EUROPÉEN</w:t>
      </w:r>
      <w:r w:rsidR="00FD68C2" w:rsidRPr="006C28E7">
        <w:rPr>
          <w:rStyle w:val="FootnoteReference"/>
          <w:noProof w:val="0"/>
        </w:rPr>
        <w:footnoteReference w:customMarkFollows="1" w:id="1"/>
        <w:t>*</w:t>
      </w:r>
    </w:p>
    <w:p w:rsidR="00892C85" w:rsidRPr="006C28E7" w:rsidRDefault="00BE4672" w:rsidP="006C0168">
      <w:pPr>
        <w:pStyle w:val="Normal12Centre"/>
        <w:rPr>
          <w:noProof w:val="0"/>
        </w:rPr>
      </w:pPr>
      <w:r w:rsidRPr="006C28E7">
        <w:rPr>
          <w:noProof w:val="0"/>
        </w:rPr>
        <w:t>à la proposition de la Commission</w:t>
      </w:r>
    </w:p>
    <w:p w:rsidR="00525DC0" w:rsidRPr="006C28E7" w:rsidRDefault="00525DC0" w:rsidP="006C0168">
      <w:pPr>
        <w:pStyle w:val="Normal12Centre"/>
        <w:rPr>
          <w:noProof w:val="0"/>
        </w:rPr>
      </w:pPr>
      <w:r w:rsidRPr="006C28E7">
        <w:rPr>
          <w:noProof w:val="0"/>
        </w:rPr>
        <w:t>---------------------------------------------------------</w:t>
      </w:r>
    </w:p>
    <w:p w:rsidR="006E1AA5" w:rsidRPr="006E1AA5" w:rsidRDefault="006E1AA5" w:rsidP="006E1AA5">
      <w:pPr>
        <w:widowControl/>
        <w:autoSpaceDE w:val="0"/>
        <w:autoSpaceDN w:val="0"/>
        <w:adjustRightInd w:val="0"/>
        <w:spacing w:before="720"/>
        <w:jc w:val="center"/>
        <w:rPr>
          <w:b/>
          <w:szCs w:val="22"/>
          <w:lang w:eastAsia="en-US"/>
        </w:rPr>
      </w:pPr>
      <w:bookmarkStart w:id="1" w:name="_DV_M4"/>
      <w:bookmarkEnd w:id="1"/>
      <w:r w:rsidRPr="006E1AA5">
        <w:rPr>
          <w:rFonts w:eastAsia="Calibri"/>
          <w:b/>
          <w:szCs w:val="22"/>
          <w:lang w:eastAsia="en-US"/>
        </w:rPr>
        <w:t>DIRECTIVE (UE) 2019/… DU PARLEMENT EUROPÉEN ET DU CONSEIL</w:t>
      </w:r>
    </w:p>
    <w:p w:rsidR="006E1AA5" w:rsidRPr="006E1AA5" w:rsidRDefault="006E1AA5" w:rsidP="006E1AA5">
      <w:pPr>
        <w:widowControl/>
        <w:autoSpaceDE w:val="0"/>
        <w:autoSpaceDN w:val="0"/>
        <w:adjustRightInd w:val="0"/>
        <w:spacing w:before="360"/>
        <w:jc w:val="center"/>
        <w:rPr>
          <w:b/>
          <w:szCs w:val="22"/>
          <w:lang w:eastAsia="en-US"/>
        </w:rPr>
      </w:pPr>
      <w:r w:rsidRPr="006E1AA5">
        <w:rPr>
          <w:rFonts w:eastAsia="Calibri"/>
          <w:b/>
          <w:szCs w:val="22"/>
          <w:lang w:eastAsia="en-US"/>
        </w:rPr>
        <w:t>du</w:t>
      </w:r>
      <w:bookmarkStart w:id="2" w:name="DQCErrorScopea1dacbee284d45d8acc447d4ac1"/>
      <w:r w:rsidRPr="006E1AA5">
        <w:rPr>
          <w:rFonts w:eastAsia="Calibri"/>
          <w:b/>
          <w:szCs w:val="22"/>
          <w:lang w:eastAsia="en-US"/>
        </w:rPr>
        <w:t xml:space="preserve"> …</w:t>
      </w:r>
    </w:p>
    <w:bookmarkEnd w:id="2"/>
    <w:p w:rsidR="006E1AA5" w:rsidRPr="006E1AA5" w:rsidRDefault="006E1AA5" w:rsidP="006E1AA5">
      <w:pPr>
        <w:widowControl/>
        <w:autoSpaceDE w:val="0"/>
        <w:autoSpaceDN w:val="0"/>
        <w:adjustRightInd w:val="0"/>
        <w:spacing w:before="480" w:after="120" w:line="360" w:lineRule="auto"/>
        <w:jc w:val="center"/>
        <w:rPr>
          <w:szCs w:val="22"/>
          <w:lang w:eastAsia="en-US"/>
        </w:rPr>
      </w:pPr>
      <w:r w:rsidRPr="006E1AA5">
        <w:rPr>
          <w:rFonts w:eastAsia="Calibri"/>
          <w:b/>
          <w:szCs w:val="22"/>
          <w:lang w:eastAsia="en-US"/>
        </w:rPr>
        <w:t xml:space="preserve">relative aux installations de réception portuaires pour le dépôt des déchets des navires, modifiant la directive </w:t>
      </w:r>
      <w:r w:rsidRPr="006E1AA5">
        <w:rPr>
          <w:rFonts w:eastAsia="Calibri"/>
          <w:b/>
          <w:color w:val="000000"/>
          <w:szCs w:val="22"/>
          <w:lang w:eastAsia="en-US"/>
        </w:rPr>
        <w:t>▌</w:t>
      </w:r>
      <w:r w:rsidRPr="006E1AA5">
        <w:rPr>
          <w:rFonts w:eastAsia="Calibri"/>
          <w:b/>
          <w:szCs w:val="22"/>
          <w:lang w:eastAsia="en-US"/>
        </w:rPr>
        <w:t>2010/65/UE et abrogeant la directive 2000/59/CE</w:t>
      </w:r>
    </w:p>
    <w:p w:rsidR="006E1AA5" w:rsidRPr="006E1AA5" w:rsidRDefault="006E1AA5" w:rsidP="006E1AA5">
      <w:pPr>
        <w:widowControl/>
        <w:autoSpaceDE w:val="0"/>
        <w:autoSpaceDN w:val="0"/>
        <w:adjustRightInd w:val="0"/>
        <w:spacing w:before="200" w:after="120" w:line="360" w:lineRule="auto"/>
        <w:jc w:val="center"/>
        <w:rPr>
          <w:szCs w:val="22"/>
          <w:lang w:eastAsia="en-US"/>
        </w:rPr>
      </w:pPr>
      <w:r w:rsidRPr="006E1AA5">
        <w:rPr>
          <w:rFonts w:eastAsia="Calibri"/>
          <w:szCs w:val="22"/>
          <w:lang w:eastAsia="en-US"/>
        </w:rPr>
        <w:t>(Texte présentant de l</w:t>
      </w:r>
      <w:r w:rsidR="00D43184">
        <w:rPr>
          <w:rFonts w:eastAsia="Calibri"/>
          <w:szCs w:val="22"/>
          <w:lang w:eastAsia="en-US"/>
        </w:rPr>
        <w:t>’</w:t>
      </w:r>
      <w:r w:rsidRPr="006E1AA5">
        <w:rPr>
          <w:rFonts w:eastAsia="Calibri"/>
          <w:szCs w:val="22"/>
          <w:lang w:eastAsia="en-US"/>
        </w:rPr>
        <w:t>intérêt pour l</w:t>
      </w:r>
      <w:r w:rsidR="00D43184">
        <w:rPr>
          <w:rFonts w:eastAsia="Calibri"/>
          <w:szCs w:val="22"/>
          <w:lang w:eastAsia="en-US"/>
        </w:rPr>
        <w:t>’</w:t>
      </w:r>
      <w:r w:rsidRPr="006E1AA5">
        <w:rPr>
          <w:rFonts w:eastAsia="Calibri"/>
          <w:szCs w:val="22"/>
          <w:lang w:eastAsia="en-US"/>
        </w:rPr>
        <w:t>EEE)</w:t>
      </w:r>
    </w:p>
    <w:p w:rsidR="009C7E1C" w:rsidRPr="006C28E7" w:rsidRDefault="009C7E1C" w:rsidP="009C7E1C">
      <w:pPr>
        <w:widowControl/>
        <w:spacing w:before="360" w:after="120" w:line="360" w:lineRule="auto"/>
        <w:rPr>
          <w:rFonts w:cs="Arial"/>
          <w:szCs w:val="22"/>
          <w:lang w:eastAsia="en-US"/>
        </w:rPr>
      </w:pPr>
      <w:r w:rsidRPr="006C28E7">
        <w:rPr>
          <w:rFonts w:eastAsia="Calibri"/>
          <w:szCs w:val="22"/>
          <w:lang w:eastAsia="en-US"/>
        </w:rPr>
        <w:t>LE PARLEMENT EUROPÉEN ET LE CONSEIL DE L</w:t>
      </w:r>
      <w:r w:rsidR="00D43184">
        <w:rPr>
          <w:rFonts w:eastAsia="Calibri"/>
          <w:szCs w:val="22"/>
          <w:lang w:eastAsia="en-US"/>
        </w:rPr>
        <w:t>’</w:t>
      </w:r>
      <w:r w:rsidRPr="006C28E7">
        <w:rPr>
          <w:rFonts w:eastAsia="Calibri"/>
          <w:szCs w:val="22"/>
          <w:lang w:eastAsia="en-US"/>
        </w:rPr>
        <w:t>UNION EUROPÉENNE,</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vu le traité sur le fonctionnement de l</w:t>
      </w:r>
      <w:r w:rsidR="00D43184">
        <w:rPr>
          <w:rFonts w:eastAsia="Calibri"/>
          <w:szCs w:val="22"/>
          <w:lang w:eastAsia="en-US"/>
        </w:rPr>
        <w:t>’</w:t>
      </w:r>
      <w:r w:rsidRPr="006C28E7">
        <w:rPr>
          <w:rFonts w:eastAsia="Calibri"/>
          <w:szCs w:val="22"/>
          <w:lang w:eastAsia="en-US"/>
        </w:rPr>
        <w:t>Union européenne, et notamment son article 100, paragraphe 2,</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vu la proposition de la Commission européenne,</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après transmission du projet d</w:t>
      </w:r>
      <w:r w:rsidR="00D43184">
        <w:rPr>
          <w:rFonts w:eastAsia="Calibri"/>
          <w:szCs w:val="22"/>
          <w:lang w:eastAsia="en-US"/>
        </w:rPr>
        <w:t>’</w:t>
      </w:r>
      <w:r w:rsidRPr="006C28E7">
        <w:rPr>
          <w:rFonts w:eastAsia="Calibri"/>
          <w:szCs w:val="22"/>
          <w:lang w:eastAsia="en-US"/>
        </w:rPr>
        <w:t>acte législatif aux parlements nationaux,</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lastRenderedPageBreak/>
        <w:t>vu l</w:t>
      </w:r>
      <w:r w:rsidR="00D43184">
        <w:rPr>
          <w:rFonts w:eastAsia="Calibri"/>
          <w:szCs w:val="22"/>
          <w:lang w:eastAsia="en-US"/>
        </w:rPr>
        <w:t>’</w:t>
      </w:r>
      <w:r w:rsidRPr="006C28E7">
        <w:rPr>
          <w:rFonts w:eastAsia="Calibri"/>
          <w:szCs w:val="22"/>
          <w:lang w:eastAsia="en-US"/>
        </w:rPr>
        <w:t>avis du Comité économique et social européen</w:t>
      </w:r>
      <w:r w:rsidRPr="006C28E7">
        <w:rPr>
          <w:rFonts w:cs="Arial"/>
          <w:b/>
          <w:szCs w:val="22"/>
          <w:vertAlign w:val="superscript"/>
          <w:lang w:eastAsia="en-US"/>
        </w:rPr>
        <w:footnoteReference w:id="2"/>
      </w:r>
      <w:r w:rsidRPr="006C28E7">
        <w:rPr>
          <w:rFonts w:eastAsia="Calibri"/>
          <w:szCs w:val="22"/>
          <w:lang w:eastAsia="en-US"/>
        </w:rPr>
        <w:t>,</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vu l</w:t>
      </w:r>
      <w:r w:rsidR="00D43184">
        <w:rPr>
          <w:rFonts w:eastAsia="Calibri"/>
          <w:szCs w:val="22"/>
          <w:lang w:eastAsia="en-US"/>
        </w:rPr>
        <w:t>’</w:t>
      </w:r>
      <w:r w:rsidRPr="006C28E7">
        <w:rPr>
          <w:rFonts w:eastAsia="Calibri"/>
          <w:szCs w:val="22"/>
          <w:lang w:eastAsia="en-US"/>
        </w:rPr>
        <w:t>avis du Comité des régions</w:t>
      </w:r>
      <w:r w:rsidRPr="006C28E7">
        <w:rPr>
          <w:rFonts w:cs="Arial"/>
          <w:b/>
          <w:szCs w:val="22"/>
          <w:vertAlign w:val="superscript"/>
          <w:lang w:eastAsia="en-US"/>
        </w:rPr>
        <w:footnoteReference w:id="3"/>
      </w:r>
      <w:r w:rsidRPr="006C28E7">
        <w:rPr>
          <w:rFonts w:eastAsia="Calibri"/>
          <w:szCs w:val="22"/>
          <w:lang w:eastAsia="en-US"/>
        </w:rPr>
        <w:t>,</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statuant conformément à la procédure législative ordinaire</w:t>
      </w:r>
      <w:r w:rsidRPr="006C28E7">
        <w:rPr>
          <w:rFonts w:eastAsia="Calibri"/>
          <w:b/>
          <w:szCs w:val="22"/>
          <w:vertAlign w:val="superscript"/>
          <w:lang w:eastAsia="en-US"/>
        </w:rPr>
        <w:footnoteReference w:id="4"/>
      </w:r>
      <w:r w:rsidRPr="006C28E7">
        <w:rPr>
          <w:rFonts w:eastAsia="Calibri"/>
          <w:szCs w:val="22"/>
          <w:lang w:eastAsia="en-US"/>
        </w:rPr>
        <w:t>,</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br w:type="page"/>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considérant ce qui suit:</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w:t>
      </w:r>
      <w:r w:rsidRPr="006C28E7">
        <w:rPr>
          <w:rFonts w:eastAsia="Calibri"/>
          <w:szCs w:val="22"/>
          <w:lang w:eastAsia="en-US"/>
        </w:rPr>
        <w:tab/>
        <w:t>La politique maritime de l</w:t>
      </w:r>
      <w:bookmarkStart w:id="3" w:name="_GoBack"/>
      <w:r w:rsidR="00D43184">
        <w:rPr>
          <w:rFonts w:eastAsia="Calibri"/>
          <w:szCs w:val="22"/>
          <w:lang w:eastAsia="en-US"/>
        </w:rPr>
        <w:t>’</w:t>
      </w:r>
      <w:bookmarkEnd w:id="3"/>
      <w:r w:rsidRPr="006C28E7">
        <w:rPr>
          <w:rFonts w:eastAsia="Calibri"/>
          <w:szCs w:val="22"/>
          <w:lang w:eastAsia="en-US"/>
        </w:rPr>
        <w:t>Union vise à assurer un niveau élevé de sécurité et de protection de l</w:t>
      </w:r>
      <w:r w:rsidR="00D43184">
        <w:rPr>
          <w:rFonts w:eastAsia="Calibri"/>
          <w:szCs w:val="22"/>
          <w:lang w:eastAsia="en-US"/>
        </w:rPr>
        <w:t>’</w:t>
      </w:r>
      <w:r w:rsidRPr="006C28E7">
        <w:rPr>
          <w:rFonts w:eastAsia="Calibri"/>
          <w:szCs w:val="22"/>
          <w:lang w:eastAsia="en-US"/>
        </w:rPr>
        <w:t>environnement. Cet objectif peut être atteint par le respect des conventions, codes et résolutions internationaux tout en maintenant la liberté de navigation prévue par la convention des Nations unies sur le droit de la mer (CNUDM).</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(2)</w:t>
      </w:r>
      <w:r w:rsidRPr="006C28E7">
        <w:rPr>
          <w:rFonts w:eastAsia="Calibri"/>
          <w:b/>
          <w:i/>
          <w:color w:val="000000"/>
          <w:szCs w:val="22"/>
          <w:lang w:eastAsia="en-US"/>
        </w:rPr>
        <w:tab/>
        <w:t>L</w:t>
      </w:r>
      <w:r w:rsidR="00D43184">
        <w:rPr>
          <w:rFonts w:eastAsia="Calibri"/>
          <w:b/>
          <w:i/>
          <w:color w:val="000000"/>
          <w:szCs w:val="22"/>
          <w:lang w:eastAsia="en-US"/>
        </w:rPr>
        <w:t>’</w:t>
      </w:r>
      <w:r w:rsidRPr="006C28E7">
        <w:rPr>
          <w:rFonts w:eastAsia="Calibri"/>
          <w:b/>
          <w:i/>
          <w:color w:val="000000"/>
          <w:szCs w:val="22"/>
          <w:lang w:eastAsia="en-US"/>
        </w:rPr>
        <w:t>objectif de développement durable nº 14 des Nations unies attire l</w:t>
      </w:r>
      <w:r w:rsidR="00D43184">
        <w:rPr>
          <w:rFonts w:eastAsia="Calibri"/>
          <w:b/>
          <w:i/>
          <w:color w:val="000000"/>
          <w:szCs w:val="22"/>
          <w:lang w:eastAsia="en-US"/>
        </w:rPr>
        <w:t>’</w:t>
      </w:r>
      <w:r w:rsidRPr="006C28E7">
        <w:rPr>
          <w:rFonts w:eastAsia="Calibri"/>
          <w:b/>
          <w:i/>
          <w:color w:val="000000"/>
          <w:szCs w:val="22"/>
          <w:lang w:eastAsia="en-US"/>
        </w:rPr>
        <w:t>attention sur les menaces que représentent la pollution marine et la pollution par les nutriments, l</w:t>
      </w:r>
      <w:r w:rsidR="00D43184">
        <w:rPr>
          <w:rFonts w:eastAsia="Calibri"/>
          <w:b/>
          <w:i/>
          <w:color w:val="000000"/>
          <w:szCs w:val="22"/>
          <w:lang w:eastAsia="en-US"/>
        </w:rPr>
        <w:t>’</w:t>
      </w:r>
      <w:r w:rsidRPr="006C28E7">
        <w:rPr>
          <w:rFonts w:eastAsia="Calibri"/>
          <w:b/>
          <w:i/>
          <w:color w:val="000000"/>
          <w:szCs w:val="22"/>
          <w:lang w:eastAsia="en-US"/>
        </w:rPr>
        <w:t>épuisement des ressources et le changement climatique, lesquels sont tous causés principalement par des actions humaines. Ces menaces exercent une pression supplémentaire sur les systèmes environnementaux, tels que la biodiversité et les infrastructures naturelles, tout en entraînant des problèmes socio-économiques mondiaux, notamment des risques pour la santé et la sécurité et des risques financiers. L</w:t>
      </w:r>
      <w:r w:rsidR="00D43184">
        <w:rPr>
          <w:rFonts w:eastAsia="Calibri"/>
          <w:b/>
          <w:i/>
          <w:color w:val="000000"/>
          <w:szCs w:val="22"/>
          <w:lang w:eastAsia="en-US"/>
        </w:rPr>
        <w:t>’</w:t>
      </w:r>
      <w:r w:rsidRPr="006C28E7">
        <w:rPr>
          <w:rFonts w:eastAsia="Calibri"/>
          <w:b/>
          <w:i/>
          <w:color w:val="000000"/>
          <w:szCs w:val="22"/>
          <w:lang w:eastAsia="en-US"/>
        </w:rPr>
        <w:t>Union doit œuvrer à la protection des espèces marines et soutenir les populations qui dépendent des océans, que ce soit pour l</w:t>
      </w:r>
      <w:r w:rsidR="00D43184">
        <w:rPr>
          <w:rFonts w:eastAsia="Calibri"/>
          <w:b/>
          <w:i/>
          <w:color w:val="000000"/>
          <w:szCs w:val="22"/>
          <w:lang w:eastAsia="en-US"/>
        </w:rPr>
        <w:t>’</w:t>
      </w:r>
      <w:r w:rsidRPr="006C28E7">
        <w:rPr>
          <w:rFonts w:eastAsia="Calibri"/>
          <w:b/>
          <w:i/>
          <w:color w:val="000000"/>
          <w:szCs w:val="22"/>
          <w:lang w:eastAsia="en-US"/>
        </w:rPr>
        <w:t>emploi, les ressources ou les loisirs.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w:t>
      </w:r>
      <w:r w:rsidRPr="006C28E7">
        <w:rPr>
          <w:rFonts w:eastAsia="Calibri"/>
          <w:szCs w:val="22"/>
          <w:lang w:eastAsia="en-US"/>
        </w:rPr>
        <w:tab/>
        <w:t>La convention internationale pour la prévention de la pollution par les navires (ci-après dénommée "convention MARPOL") prévoit des interdictions générales en matière de rejets en mer des déchets des navires, mais régit aussi les conditions dans lesquelles certains types de déchets peuvent être déversés dans le milieu marin. La convention MARPOL exige des parties contractantes qu</w:t>
      </w:r>
      <w:r w:rsidR="00D43184">
        <w:rPr>
          <w:rFonts w:eastAsia="Calibri"/>
          <w:szCs w:val="22"/>
          <w:lang w:eastAsia="en-US"/>
        </w:rPr>
        <w:t>’</w:t>
      </w:r>
      <w:r w:rsidRPr="006C28E7">
        <w:rPr>
          <w:rFonts w:eastAsia="Calibri"/>
          <w:szCs w:val="22"/>
          <w:lang w:eastAsia="en-US"/>
        </w:rPr>
        <w:t>elles garantissent la mise à disposition d</w:t>
      </w:r>
      <w:r w:rsidR="00D43184">
        <w:rPr>
          <w:rFonts w:eastAsia="Calibri"/>
          <w:szCs w:val="22"/>
          <w:lang w:eastAsia="en-US"/>
        </w:rPr>
        <w:t>’</w:t>
      </w:r>
      <w:r w:rsidRPr="006C28E7">
        <w:rPr>
          <w:rFonts w:eastAsia="Calibri"/>
          <w:szCs w:val="22"/>
          <w:lang w:eastAsia="en-US"/>
        </w:rPr>
        <w:t>installations de réception adéquates dans les ports.</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(4)</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 xml:space="preserve">Union a poursuivi la mise en œuvre </w:t>
      </w:r>
      <w:r w:rsidRPr="006C28E7">
        <w:rPr>
          <w:rFonts w:eastAsia="Calibri"/>
          <w:b/>
          <w:bCs/>
          <w:i/>
          <w:iCs/>
          <w:szCs w:val="22"/>
          <w:lang w:eastAsia="en-US"/>
        </w:rPr>
        <w:t>de parties</w:t>
      </w:r>
      <w:r w:rsidRPr="006C28E7">
        <w:rPr>
          <w:rFonts w:eastAsia="Calibri"/>
          <w:szCs w:val="22"/>
          <w:lang w:eastAsia="en-US"/>
        </w:rPr>
        <w:t xml:space="preserve"> de la convention MARPOL par le biais de la directive 2000/59/CE du Parlement européen et du Conseil</w:t>
      </w:r>
      <w:r w:rsidRPr="006C28E7">
        <w:rPr>
          <w:b/>
          <w:szCs w:val="22"/>
          <w:vertAlign w:val="superscript"/>
        </w:rPr>
        <w:footnoteReference w:id="5"/>
      </w:r>
      <w:r w:rsidRPr="006C28E7">
        <w:rPr>
          <w:rFonts w:eastAsia="Calibri"/>
          <w:szCs w:val="22"/>
          <w:lang w:eastAsia="en-US"/>
        </w:rPr>
        <w:t xml:space="preserve"> et en suivant une approche fondée sur les ports. La directive 2000/59/CE vise à concilier les intérêts d</w:t>
      </w:r>
      <w:r w:rsidR="00D43184">
        <w:rPr>
          <w:rFonts w:eastAsia="Calibri"/>
          <w:szCs w:val="22"/>
          <w:lang w:eastAsia="en-US"/>
        </w:rPr>
        <w:t>’</w:t>
      </w:r>
      <w:r w:rsidRPr="006C28E7">
        <w:rPr>
          <w:rFonts w:eastAsia="Calibri"/>
          <w:szCs w:val="22"/>
          <w:lang w:eastAsia="en-US"/>
        </w:rPr>
        <w:t>un bon fonctionnement des transports maritimes et la protection du milieu marin.</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(5)</w:t>
      </w:r>
      <w:r w:rsidRPr="006C28E7">
        <w:rPr>
          <w:rFonts w:eastAsia="Calibri"/>
          <w:szCs w:val="22"/>
          <w:lang w:eastAsia="en-US"/>
        </w:rPr>
        <w:tab/>
        <w:t>Au cours des deux dernières décennies, la convention MARPOL et ses annexes ont fait l</w:t>
      </w:r>
      <w:r w:rsidR="00D43184">
        <w:rPr>
          <w:rFonts w:eastAsia="Calibri"/>
          <w:szCs w:val="22"/>
          <w:lang w:eastAsia="en-US"/>
        </w:rPr>
        <w:t>’</w:t>
      </w:r>
      <w:r w:rsidRPr="006C28E7">
        <w:rPr>
          <w:rFonts w:eastAsia="Calibri"/>
          <w:szCs w:val="22"/>
          <w:lang w:eastAsia="en-US"/>
        </w:rPr>
        <w:t>objet d</w:t>
      </w:r>
      <w:r w:rsidR="00D43184">
        <w:rPr>
          <w:rFonts w:eastAsia="Calibri"/>
          <w:szCs w:val="22"/>
          <w:lang w:eastAsia="en-US"/>
        </w:rPr>
        <w:t>’</w:t>
      </w:r>
      <w:r w:rsidRPr="006C28E7">
        <w:rPr>
          <w:rFonts w:eastAsia="Calibri"/>
          <w:szCs w:val="22"/>
          <w:lang w:eastAsia="en-US"/>
        </w:rPr>
        <w:t>amendements importants, qui ont permis de fixer des normes plus strictes et de poser des interdictions de rejets en mer de déchets des navires.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(6)</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annexe VI de la convention MARPOL a introduit des normes en matière de rejet pour de nouvelles catégories de déchets, notamment ▌les résidus des systèmes d</w:t>
      </w:r>
      <w:r w:rsidR="00D43184">
        <w:rPr>
          <w:rFonts w:eastAsia="Calibri"/>
          <w:szCs w:val="22"/>
          <w:lang w:eastAsia="en-US"/>
        </w:rPr>
        <w:t>’</w:t>
      </w:r>
      <w:r w:rsidRPr="006C28E7">
        <w:rPr>
          <w:rFonts w:eastAsia="Calibri"/>
          <w:szCs w:val="22"/>
          <w:lang w:eastAsia="en-US"/>
        </w:rPr>
        <w:t>épuration des gaz d</w:t>
      </w:r>
      <w:r w:rsidR="00D43184">
        <w:rPr>
          <w:rFonts w:eastAsia="Calibri"/>
          <w:szCs w:val="22"/>
          <w:lang w:eastAsia="en-US"/>
        </w:rPr>
        <w:t>’</w:t>
      </w:r>
      <w:r w:rsidRPr="006C28E7">
        <w:rPr>
          <w:rFonts w:eastAsia="Calibri"/>
          <w:szCs w:val="22"/>
          <w:lang w:eastAsia="en-US"/>
        </w:rPr>
        <w:t>échappement, qui comprennent à la fois des boues et des eaux d</w:t>
      </w:r>
      <w:r w:rsidR="00D43184">
        <w:rPr>
          <w:rFonts w:eastAsia="Calibri"/>
          <w:szCs w:val="22"/>
          <w:lang w:eastAsia="en-US"/>
        </w:rPr>
        <w:t>’</w:t>
      </w:r>
      <w:r w:rsidRPr="006C28E7">
        <w:rPr>
          <w:rFonts w:eastAsia="Calibri"/>
          <w:szCs w:val="22"/>
          <w:lang w:eastAsia="en-US"/>
        </w:rPr>
        <w:t>écoulement. Ces catégories de déchets devraient être incluses dans le champ d</w:t>
      </w:r>
      <w:r w:rsidR="00D43184">
        <w:rPr>
          <w:rFonts w:eastAsia="Calibri"/>
          <w:szCs w:val="22"/>
          <w:lang w:eastAsia="en-US"/>
        </w:rPr>
        <w:t>’</w:t>
      </w:r>
      <w:r w:rsidRPr="006C28E7">
        <w:rPr>
          <w:rFonts w:eastAsia="Calibri"/>
          <w:szCs w:val="22"/>
          <w:lang w:eastAsia="en-US"/>
        </w:rPr>
        <w:t>application de la présente directive.</w:t>
      </w:r>
    </w:p>
    <w:p w:rsidR="009C7E1C" w:rsidRPr="006C28E7" w:rsidRDefault="009C7E1C" w:rsidP="009C7E1C">
      <w:pPr>
        <w:widowControl/>
        <w:autoSpaceDE w:val="0"/>
        <w:autoSpaceDN w:val="0"/>
        <w:adjustRightInd w:val="0"/>
        <w:spacing w:before="120" w:after="120" w:line="360" w:lineRule="auto"/>
        <w:ind w:left="851" w:hanging="851"/>
        <w:rPr>
          <w:color w:val="000000"/>
          <w:szCs w:val="22"/>
          <w:lang w:eastAsia="en-US"/>
        </w:rPr>
      </w:pPr>
      <w:r w:rsidRPr="006C28E7">
        <w:rPr>
          <w:rFonts w:eastAsia="Calibri"/>
          <w:b/>
          <w:i/>
          <w:color w:val="000000"/>
          <w:szCs w:val="22"/>
          <w:lang w:eastAsia="en-US"/>
        </w:rPr>
        <w:t>(7)</w:t>
      </w:r>
      <w:r w:rsidRPr="006C28E7">
        <w:rPr>
          <w:rFonts w:eastAsia="Calibri"/>
          <w:b/>
          <w:i/>
          <w:color w:val="000000"/>
          <w:szCs w:val="22"/>
          <w:lang w:eastAsia="en-US"/>
        </w:rPr>
        <w:tab/>
        <w:t>Il convient que les États membres continuent à travailler au niveau de l</w:t>
      </w:r>
      <w:r w:rsidR="00D43184">
        <w:rPr>
          <w:rFonts w:eastAsia="Calibri"/>
          <w:b/>
          <w:i/>
          <w:szCs w:val="22"/>
          <w:lang w:eastAsia="en-US"/>
        </w:rPr>
        <w:t>’</w:t>
      </w:r>
      <w:r w:rsidRPr="006C28E7">
        <w:rPr>
          <w:rFonts w:eastAsia="Calibri"/>
          <w:b/>
          <w:i/>
          <w:color w:val="000000"/>
          <w:szCs w:val="22"/>
          <w:lang w:eastAsia="en-US"/>
        </w:rPr>
        <w:t>Organisation maritime internationale (OMI) pour envisager de manière globale les incidences environnementales des rejets d</w:t>
      </w:r>
      <w:r w:rsidR="00D43184">
        <w:rPr>
          <w:rFonts w:eastAsia="Calibri"/>
          <w:b/>
          <w:i/>
          <w:color w:val="000000"/>
          <w:szCs w:val="22"/>
          <w:lang w:eastAsia="en-US"/>
        </w:rPr>
        <w:t>’</w:t>
      </w:r>
      <w:r w:rsidRPr="006C28E7">
        <w:rPr>
          <w:rFonts w:eastAsia="Calibri"/>
          <w:b/>
          <w:i/>
          <w:color w:val="000000"/>
          <w:szCs w:val="22"/>
          <w:lang w:eastAsia="en-US"/>
        </w:rPr>
        <w:t>eaux résiduaires provenant des scrubbers à circuit ouvert, y compris</w:t>
      </w:r>
      <w:r w:rsidRPr="006C28E7">
        <w:rPr>
          <w:rFonts w:eastAsia="Calibri"/>
          <w:b/>
          <w:i/>
          <w:szCs w:val="22"/>
          <w:lang w:eastAsia="en-US"/>
        </w:rPr>
        <w:t xml:space="preserve"> pour que des mesures soient prises en vue de lutter contre les incidences possibles.</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(8)</w:t>
      </w:r>
      <w:r w:rsidRPr="006C28E7">
        <w:rPr>
          <w:rFonts w:eastAsia="Calibri"/>
          <w:b/>
          <w:i/>
          <w:color w:val="000000"/>
          <w:szCs w:val="22"/>
          <w:lang w:eastAsia="en-US"/>
        </w:rPr>
        <w:tab/>
      </w:r>
      <w:r w:rsidRPr="006C28E7">
        <w:rPr>
          <w:rFonts w:eastAsia="Calibri"/>
          <w:b/>
          <w:i/>
          <w:szCs w:val="22"/>
          <w:lang w:eastAsia="en-US"/>
        </w:rPr>
        <w:t>Il y a lieu d</w:t>
      </w:r>
      <w:r w:rsidR="00D43184">
        <w:rPr>
          <w:rFonts w:eastAsia="Calibri"/>
          <w:b/>
          <w:i/>
          <w:szCs w:val="22"/>
          <w:lang w:eastAsia="en-US"/>
        </w:rPr>
        <w:t>’</w:t>
      </w:r>
      <w:r w:rsidRPr="006C28E7">
        <w:rPr>
          <w:rFonts w:eastAsia="Calibri"/>
          <w:b/>
          <w:i/>
          <w:szCs w:val="22"/>
          <w:lang w:eastAsia="en-US"/>
        </w:rPr>
        <w:t xml:space="preserve">encourager les États membres à prendre des </w:t>
      </w:r>
      <w:r w:rsidRPr="006C28E7">
        <w:rPr>
          <w:rFonts w:eastAsia="Calibri"/>
          <w:b/>
          <w:i/>
          <w:color w:val="000000"/>
          <w:szCs w:val="22"/>
          <w:lang w:eastAsia="en-US"/>
        </w:rPr>
        <w:t>mesures appropriées conformément à la directive 2000/60/CE du Parlement européen et du Conseil</w:t>
      </w:r>
      <w:r w:rsidRPr="006C28E7">
        <w:rPr>
          <w:i/>
          <w:color w:val="000000"/>
          <w:szCs w:val="22"/>
          <w:vertAlign w:val="superscript"/>
        </w:rPr>
        <w:footnoteReference w:id="6"/>
      </w:r>
      <w:r w:rsidRPr="006C28E7">
        <w:rPr>
          <w:rFonts w:eastAsia="Calibri"/>
          <w:b/>
          <w:i/>
          <w:color w:val="000000"/>
          <w:szCs w:val="22"/>
          <w:lang w:eastAsia="en-US"/>
        </w:rPr>
        <w:t>, y compris des interdictions de rejets d</w:t>
      </w:r>
      <w:r w:rsidR="00D43184">
        <w:rPr>
          <w:rFonts w:eastAsia="Calibri"/>
          <w:b/>
          <w:i/>
          <w:color w:val="000000"/>
          <w:szCs w:val="22"/>
          <w:lang w:eastAsia="en-US"/>
        </w:rPr>
        <w:t>’</w:t>
      </w:r>
      <w:r w:rsidRPr="006C28E7">
        <w:rPr>
          <w:rFonts w:eastAsia="Calibri"/>
          <w:b/>
          <w:i/>
          <w:color w:val="000000"/>
          <w:szCs w:val="22"/>
          <w:lang w:eastAsia="en-US"/>
        </w:rPr>
        <w:t>eaux résiduaires provenant de scrubbers à circuit ouvert et de certains résidus de cargaisons dans leurs eaux territoriales.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(9)</w:t>
      </w:r>
      <w:r w:rsidRPr="006C28E7">
        <w:rPr>
          <w:rFonts w:eastAsia="Calibri"/>
          <w:szCs w:val="22"/>
          <w:lang w:eastAsia="en-US"/>
        </w:rPr>
        <w:tab/>
        <w:t>Le 1</w:t>
      </w:r>
      <w:r w:rsidRPr="006C28E7">
        <w:rPr>
          <w:rFonts w:eastAsia="Calibri"/>
          <w:szCs w:val="22"/>
          <w:vertAlign w:val="superscript"/>
          <w:lang w:eastAsia="en-US"/>
        </w:rPr>
        <w:t>er</w:t>
      </w:r>
      <w:r w:rsidRPr="006C28E7">
        <w:rPr>
          <w:rFonts w:eastAsia="Calibri"/>
          <w:szCs w:val="22"/>
          <w:lang w:eastAsia="en-US"/>
        </w:rPr>
        <w:t xml:space="preserve"> mars 2018, l</w:t>
      </w:r>
      <w:r w:rsidR="00D43184">
        <w:rPr>
          <w:rFonts w:eastAsia="Calibri"/>
          <w:szCs w:val="22"/>
          <w:lang w:eastAsia="en-US"/>
        </w:rPr>
        <w:t>’</w:t>
      </w:r>
      <w:r w:rsidRPr="006C28E7">
        <w:rPr>
          <w:rFonts w:eastAsia="Calibri"/>
          <w:szCs w:val="22"/>
          <w:lang w:eastAsia="en-US"/>
        </w:rPr>
        <w:t>OMI a adopté le guide récapitulatif à l</w:t>
      </w:r>
      <w:r w:rsidR="00D43184">
        <w:rPr>
          <w:rFonts w:eastAsia="Calibri"/>
          <w:szCs w:val="22"/>
          <w:lang w:eastAsia="en-US"/>
        </w:rPr>
        <w:t>’</w:t>
      </w:r>
      <w:r w:rsidRPr="006C28E7">
        <w:rPr>
          <w:rFonts w:eastAsia="Calibri"/>
          <w:szCs w:val="22"/>
          <w:lang w:eastAsia="en-US"/>
        </w:rPr>
        <w:t>intention des fournisseurs et des utilisateurs d</w:t>
      </w:r>
      <w:r w:rsidR="00D43184">
        <w:rPr>
          <w:rFonts w:eastAsia="Calibri"/>
          <w:szCs w:val="22"/>
          <w:lang w:eastAsia="en-US"/>
        </w:rPr>
        <w:t>’</w:t>
      </w:r>
      <w:r w:rsidRPr="006C28E7">
        <w:rPr>
          <w:rFonts w:eastAsia="Calibri"/>
          <w:szCs w:val="22"/>
          <w:lang w:eastAsia="en-US"/>
        </w:rPr>
        <w:t>installations de réception portuaires révisé (MEPC.1/Circ. 834/</w:t>
      </w:r>
      <w:r w:rsidRPr="006C28E7">
        <w:rPr>
          <w:rFonts w:eastAsia="Calibri"/>
          <w:b/>
          <w:bCs/>
          <w:i/>
          <w:iCs/>
          <w:szCs w:val="22"/>
          <w:lang w:eastAsia="en-US"/>
        </w:rPr>
        <w:t>Rev.1</w:t>
      </w:r>
      <w:r w:rsidRPr="006C28E7">
        <w:rPr>
          <w:rFonts w:eastAsia="Calibri"/>
          <w:szCs w:val="22"/>
          <w:lang w:eastAsia="en-US"/>
        </w:rPr>
        <w:t>) (ci-après dénommé "guide récapitulatif de l</w:t>
      </w:r>
      <w:r w:rsidR="00D43184">
        <w:rPr>
          <w:rFonts w:eastAsia="Calibri"/>
          <w:szCs w:val="22"/>
          <w:lang w:eastAsia="en-US"/>
        </w:rPr>
        <w:t>’</w:t>
      </w:r>
      <w:r w:rsidRPr="006C28E7">
        <w:rPr>
          <w:rFonts w:eastAsia="Calibri"/>
          <w:szCs w:val="22"/>
          <w:lang w:eastAsia="en-US"/>
        </w:rPr>
        <w:t xml:space="preserve">OMI"), qui comprend des modèles types pour la notification des déchets, pour le reçu </w:t>
      </w:r>
      <w:r w:rsidRPr="006C28E7">
        <w:rPr>
          <w:rFonts w:eastAsia="Calibri"/>
          <w:b/>
          <w:bCs/>
          <w:i/>
          <w:iCs/>
          <w:szCs w:val="22"/>
          <w:lang w:eastAsia="en-US"/>
        </w:rPr>
        <w:t>du dépôt</w:t>
      </w:r>
      <w:r w:rsidRPr="006C28E7">
        <w:rPr>
          <w:rFonts w:eastAsia="Calibri"/>
          <w:szCs w:val="22"/>
          <w:lang w:eastAsia="en-US"/>
        </w:rPr>
        <w:t xml:space="preserve"> des déchets et pour la notification de l</w:t>
      </w:r>
      <w:r w:rsidR="00D43184">
        <w:rPr>
          <w:rFonts w:eastAsia="Calibri"/>
          <w:szCs w:val="22"/>
          <w:lang w:eastAsia="en-US"/>
        </w:rPr>
        <w:t>’</w:t>
      </w:r>
      <w:r w:rsidRPr="006C28E7">
        <w:rPr>
          <w:rFonts w:eastAsia="Calibri"/>
          <w:szCs w:val="22"/>
          <w:lang w:eastAsia="en-US"/>
        </w:rPr>
        <w:t>inadéquation présumée des installations de réception portuaires, ainsi que pour les prescriptions relatives à la soumission de rapports sur les installations portuaires de réception des déchets.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(10)</w:t>
      </w:r>
      <w:r w:rsidRPr="006C28E7">
        <w:rPr>
          <w:rFonts w:eastAsia="Calibri"/>
          <w:szCs w:val="22"/>
          <w:lang w:eastAsia="en-US"/>
        </w:rPr>
        <w:tab/>
        <w:t>Malgré ces évolutions réglementaires, les rejets de déchets en mer se poursuivent et</w:t>
      </w:r>
      <w:r w:rsidRPr="006C28E7">
        <w:rPr>
          <w:rFonts w:eastAsia="Calibri"/>
          <w:b/>
          <w:i/>
          <w:color w:val="000000"/>
          <w:szCs w:val="22"/>
          <w:lang w:eastAsia="en-US"/>
        </w:rPr>
        <w:t xml:space="preserve"> leurs coûts environnementaux et socio-économiques sont considérables</w:t>
      </w:r>
      <w:r w:rsidRPr="006C28E7">
        <w:rPr>
          <w:rFonts w:eastAsia="Calibri"/>
          <w:color w:val="000000"/>
          <w:szCs w:val="22"/>
          <w:lang w:eastAsia="en-US"/>
        </w:rPr>
        <w:t xml:space="preserve">. </w:t>
      </w:r>
      <w:r w:rsidRPr="006C28E7">
        <w:rPr>
          <w:rFonts w:eastAsia="Calibri"/>
          <w:szCs w:val="22"/>
          <w:lang w:eastAsia="en-US"/>
        </w:rPr>
        <w:t>Cela s</w:t>
      </w:r>
      <w:r w:rsidR="00D43184">
        <w:rPr>
          <w:rFonts w:eastAsia="Calibri"/>
          <w:szCs w:val="22"/>
          <w:lang w:eastAsia="en-US"/>
        </w:rPr>
        <w:t>’</w:t>
      </w:r>
      <w:r w:rsidRPr="006C28E7">
        <w:rPr>
          <w:rFonts w:eastAsia="Calibri"/>
          <w:szCs w:val="22"/>
          <w:lang w:eastAsia="en-US"/>
        </w:rPr>
        <w:t>explique par une combinaison de facteurs, à savoir des installations de réception portuaires adéquates qui ne sont pas toujours disponibles dans les ports, le contrôle de l</w:t>
      </w:r>
      <w:r w:rsidR="00D43184">
        <w:rPr>
          <w:rFonts w:eastAsia="Calibri"/>
          <w:szCs w:val="22"/>
          <w:lang w:eastAsia="en-US"/>
        </w:rPr>
        <w:t>’</w:t>
      </w:r>
      <w:r w:rsidRPr="006C28E7">
        <w:rPr>
          <w:rFonts w:eastAsia="Calibri"/>
          <w:szCs w:val="22"/>
          <w:lang w:eastAsia="en-US"/>
        </w:rPr>
        <w:t xml:space="preserve">application </w:t>
      </w:r>
      <w:r w:rsidRPr="006C28E7">
        <w:rPr>
          <w:rFonts w:eastAsia="Calibri"/>
          <w:color w:val="000000"/>
          <w:szCs w:val="22"/>
          <w:lang w:eastAsia="en-US"/>
        </w:rPr>
        <w:t xml:space="preserve">▌qui </w:t>
      </w:r>
      <w:r w:rsidRPr="006C28E7">
        <w:rPr>
          <w:rFonts w:eastAsia="Calibri"/>
          <w:szCs w:val="22"/>
          <w:lang w:eastAsia="en-US"/>
        </w:rPr>
        <w:t>est souvent insuffisant et le manque d</w:t>
      </w:r>
      <w:r w:rsidR="00D43184">
        <w:rPr>
          <w:rFonts w:eastAsia="Calibri"/>
          <w:szCs w:val="22"/>
          <w:lang w:eastAsia="en-US"/>
        </w:rPr>
        <w:t>’</w:t>
      </w:r>
      <w:r w:rsidRPr="006C28E7">
        <w:rPr>
          <w:rFonts w:eastAsia="Calibri"/>
          <w:szCs w:val="22"/>
          <w:lang w:eastAsia="en-US"/>
        </w:rPr>
        <w:t>incitations à déposer les déchets à terre.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(11)</w:t>
      </w:r>
      <w:r w:rsidRPr="006C28E7">
        <w:rPr>
          <w:rFonts w:eastAsia="Calibri"/>
          <w:szCs w:val="22"/>
          <w:lang w:eastAsia="en-US"/>
        </w:rPr>
        <w:tab/>
        <w:t>La directive 2000/59/CE a contribué à l</w:t>
      </w:r>
      <w:r w:rsidR="00D43184">
        <w:rPr>
          <w:rFonts w:eastAsia="Calibri"/>
          <w:szCs w:val="22"/>
          <w:lang w:eastAsia="en-US"/>
        </w:rPr>
        <w:t>’</w:t>
      </w:r>
      <w:r w:rsidRPr="006C28E7">
        <w:rPr>
          <w:rFonts w:eastAsia="Calibri"/>
          <w:szCs w:val="22"/>
          <w:lang w:eastAsia="en-US"/>
        </w:rPr>
        <w:t xml:space="preserve">augmentation des volumes de déchets déposés dans les installations de réception portuaires, </w:t>
      </w:r>
      <w:r w:rsidRPr="006C28E7">
        <w:rPr>
          <w:rFonts w:eastAsia="Calibri"/>
          <w:b/>
          <w:bCs/>
          <w:i/>
          <w:iCs/>
          <w:szCs w:val="22"/>
          <w:lang w:eastAsia="en-US"/>
        </w:rPr>
        <w:t xml:space="preserve">notamment en garantissant que les navires contribuent aux coûts de ces installations, indépendamment de leur utilisation effective de ces installations </w:t>
      </w:r>
      <w:r w:rsidRPr="006C28E7">
        <w:rPr>
          <w:rFonts w:eastAsia="Calibri"/>
          <w:szCs w:val="22"/>
          <w:lang w:eastAsia="en-US"/>
        </w:rPr>
        <w:t>et, partant, elle a joué un rôle crucial dans la réduction des rejets de déchets en mer, comme l</w:t>
      </w:r>
      <w:r w:rsidR="00D43184">
        <w:rPr>
          <w:rFonts w:eastAsia="Calibri"/>
          <w:szCs w:val="22"/>
          <w:lang w:eastAsia="en-US"/>
        </w:rPr>
        <w:t>’</w:t>
      </w:r>
      <w:r w:rsidRPr="006C28E7">
        <w:rPr>
          <w:rFonts w:eastAsia="Calibri"/>
          <w:szCs w:val="22"/>
          <w:lang w:eastAsia="en-US"/>
        </w:rPr>
        <w:t xml:space="preserve">atteste </w:t>
      </w:r>
      <w:r w:rsidRPr="006C28E7">
        <w:rPr>
          <w:rFonts w:eastAsia="Calibri"/>
          <w:b/>
          <w:bCs/>
          <w:i/>
          <w:iCs/>
          <w:szCs w:val="22"/>
          <w:lang w:eastAsia="en-US"/>
        </w:rPr>
        <w:t>l</w:t>
      </w:r>
      <w:r w:rsidR="00D43184">
        <w:rPr>
          <w:rFonts w:eastAsia="Calibri"/>
          <w:b/>
          <w:bCs/>
          <w:i/>
          <w:iCs/>
          <w:szCs w:val="22"/>
          <w:lang w:eastAsia="en-US"/>
        </w:rPr>
        <w:t>’</w:t>
      </w:r>
      <w:r w:rsidRPr="006C28E7">
        <w:rPr>
          <w:rFonts w:eastAsia="Calibri"/>
          <w:b/>
          <w:bCs/>
          <w:i/>
          <w:iCs/>
          <w:szCs w:val="22"/>
          <w:lang w:eastAsia="en-US"/>
        </w:rPr>
        <w:t>évaluation de ladite directive qui a été effectuée dans le cadre du programme pour une réglementation affûtée et performante</w:t>
      </w:r>
      <w:r w:rsidRPr="006C28E7">
        <w:rPr>
          <w:rFonts w:eastAsia="Calibri"/>
          <w:szCs w:val="22"/>
          <w:lang w:eastAsia="en-US"/>
        </w:rPr>
        <w:t xml:space="preserve"> (ci-après dénommée "évaluation REFIT" ▌).</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(12)</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évaluation REFIT a aussi démontré que la directive 2000/59/CE n</w:t>
      </w:r>
      <w:r w:rsidR="00D43184">
        <w:rPr>
          <w:rFonts w:eastAsia="Calibri"/>
          <w:szCs w:val="22"/>
          <w:lang w:eastAsia="en-US"/>
        </w:rPr>
        <w:t>’</w:t>
      </w:r>
      <w:r w:rsidRPr="006C28E7">
        <w:rPr>
          <w:rFonts w:eastAsia="Calibri"/>
          <w:szCs w:val="22"/>
          <w:lang w:eastAsia="en-US"/>
        </w:rPr>
        <w:t>a pas été pleinement efficace en raison d</w:t>
      </w:r>
      <w:r w:rsidR="00D43184">
        <w:rPr>
          <w:rFonts w:eastAsia="Calibri"/>
          <w:szCs w:val="22"/>
          <w:lang w:eastAsia="en-US"/>
        </w:rPr>
        <w:t>’</w:t>
      </w:r>
      <w:r w:rsidRPr="006C28E7">
        <w:rPr>
          <w:rFonts w:eastAsia="Calibri"/>
          <w:szCs w:val="22"/>
          <w:lang w:eastAsia="en-US"/>
        </w:rPr>
        <w:t xml:space="preserve">incohérences avec le cadre de la </w:t>
      </w:r>
      <w:r w:rsidRPr="006C28E7">
        <w:rPr>
          <w:rFonts w:eastAsia="Calibri"/>
          <w:b/>
          <w:bCs/>
          <w:i/>
          <w:iCs/>
          <w:szCs w:val="22"/>
          <w:lang w:eastAsia="en-US"/>
        </w:rPr>
        <w:t>convention</w:t>
      </w:r>
      <w:r w:rsidRPr="006C28E7">
        <w:rPr>
          <w:rFonts w:eastAsia="Calibri"/>
          <w:szCs w:val="22"/>
          <w:lang w:eastAsia="en-US"/>
        </w:rPr>
        <w:t xml:space="preserve"> MARPOL. En outre, les États membres ont développé des interprétations divergentes des concepts clés de ladite directive, tels que l</w:t>
      </w:r>
      <w:r w:rsidR="00D43184">
        <w:rPr>
          <w:rFonts w:eastAsia="Calibri"/>
          <w:szCs w:val="22"/>
          <w:lang w:eastAsia="en-US"/>
        </w:rPr>
        <w:t>’</w:t>
      </w:r>
      <w:r w:rsidRPr="006C28E7">
        <w:rPr>
          <w:rFonts w:eastAsia="Calibri"/>
          <w:szCs w:val="22"/>
          <w:lang w:eastAsia="en-US"/>
        </w:rPr>
        <w:t>adéquation des installations, la notification préalable des déchets, l</w:t>
      </w:r>
      <w:r w:rsidR="00D43184">
        <w:rPr>
          <w:rFonts w:eastAsia="Calibri"/>
          <w:szCs w:val="22"/>
          <w:lang w:eastAsia="en-US"/>
        </w:rPr>
        <w:t>’</w:t>
      </w:r>
      <w:r w:rsidRPr="006C28E7">
        <w:rPr>
          <w:rFonts w:eastAsia="Calibri"/>
          <w:szCs w:val="22"/>
          <w:lang w:eastAsia="en-US"/>
        </w:rPr>
        <w:t>obligation de dépôt dans les installations de réception portuaires et les exemptions pour les navires exploités sur des lignes régulières. L</w:t>
      </w:r>
      <w:r w:rsidR="00D43184">
        <w:rPr>
          <w:rFonts w:eastAsia="Calibri"/>
          <w:szCs w:val="22"/>
          <w:lang w:eastAsia="en-US"/>
        </w:rPr>
        <w:t>’</w:t>
      </w:r>
      <w:r w:rsidRPr="006C28E7">
        <w:rPr>
          <w:rFonts w:eastAsia="Calibri"/>
          <w:b/>
          <w:bCs/>
          <w:i/>
          <w:iCs/>
          <w:szCs w:val="22"/>
          <w:lang w:eastAsia="en-US"/>
        </w:rPr>
        <w:t>évaluation REFIT</w:t>
      </w:r>
      <w:r w:rsidRPr="006C28E7">
        <w:rPr>
          <w:rFonts w:eastAsia="Calibri"/>
          <w:szCs w:val="22"/>
          <w:lang w:eastAsia="en-US"/>
        </w:rPr>
        <w:t xml:space="preserve"> a mis en exergue la nécessité d</w:t>
      </w:r>
      <w:r w:rsidR="00D43184">
        <w:rPr>
          <w:rFonts w:eastAsia="Calibri"/>
          <w:szCs w:val="22"/>
          <w:lang w:eastAsia="en-US"/>
        </w:rPr>
        <w:t>’</w:t>
      </w:r>
      <w:r w:rsidRPr="006C28E7">
        <w:rPr>
          <w:rFonts w:eastAsia="Calibri"/>
          <w:szCs w:val="22"/>
          <w:lang w:eastAsia="en-US"/>
        </w:rPr>
        <w:t>harmoniser davantage ces concepts et de s</w:t>
      </w:r>
      <w:r w:rsidR="00D43184">
        <w:rPr>
          <w:rFonts w:eastAsia="Calibri"/>
          <w:szCs w:val="22"/>
          <w:lang w:eastAsia="en-US"/>
        </w:rPr>
        <w:t>’</w:t>
      </w:r>
      <w:r w:rsidRPr="006C28E7">
        <w:rPr>
          <w:rFonts w:eastAsia="Calibri"/>
          <w:szCs w:val="22"/>
          <w:lang w:eastAsia="en-US"/>
        </w:rPr>
        <w:t xml:space="preserve">aligner </w:t>
      </w:r>
      <w:r w:rsidRPr="006C28E7">
        <w:rPr>
          <w:rFonts w:eastAsia="Calibri"/>
          <w:b/>
          <w:bCs/>
          <w:i/>
          <w:iCs/>
          <w:szCs w:val="22"/>
          <w:lang w:eastAsia="en-US"/>
        </w:rPr>
        <w:t>pleinement</w:t>
      </w:r>
      <w:r w:rsidRPr="006C28E7">
        <w:rPr>
          <w:rFonts w:eastAsia="Calibri"/>
          <w:szCs w:val="22"/>
          <w:lang w:eastAsia="en-US"/>
        </w:rPr>
        <w:t xml:space="preserve"> sur la convention MARPOL afin d</w:t>
      </w:r>
      <w:r w:rsidR="00D43184">
        <w:rPr>
          <w:rFonts w:eastAsia="Calibri"/>
          <w:szCs w:val="22"/>
          <w:lang w:eastAsia="en-US"/>
        </w:rPr>
        <w:t>’</w:t>
      </w:r>
      <w:r w:rsidRPr="006C28E7">
        <w:rPr>
          <w:rFonts w:eastAsia="Calibri"/>
          <w:szCs w:val="22"/>
          <w:lang w:eastAsia="en-US"/>
        </w:rPr>
        <w:t>éviter une charge administrative inutile, tant pour les ports que pour les utilisateurs du port.</w:t>
      </w:r>
    </w:p>
    <w:p w:rsidR="009C7E1C" w:rsidRPr="006C28E7" w:rsidRDefault="009C7E1C" w:rsidP="009C7E1C">
      <w:pPr>
        <w:widowControl/>
        <w:autoSpaceDE w:val="0"/>
        <w:autoSpaceDN w:val="0"/>
        <w:adjustRightInd w:val="0"/>
        <w:spacing w:before="120" w:after="120" w:line="360" w:lineRule="auto"/>
        <w:ind w:left="851" w:hanging="851"/>
        <w:rPr>
          <w:rFonts w:eastAsia="Calibri"/>
          <w:szCs w:val="22"/>
          <w:lang w:eastAsia="en-US"/>
        </w:rPr>
      </w:pP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(13)</w:t>
      </w:r>
      <w:r w:rsidRPr="006C28E7">
        <w:rPr>
          <w:rFonts w:eastAsia="Calibri"/>
          <w:b/>
          <w:i/>
          <w:color w:val="000000"/>
          <w:szCs w:val="22"/>
          <w:lang w:eastAsia="en-US"/>
        </w:rPr>
        <w:tab/>
        <w:t>Afin d</w:t>
      </w:r>
      <w:r w:rsidR="00D43184">
        <w:rPr>
          <w:rFonts w:eastAsia="Calibri"/>
          <w:b/>
          <w:i/>
          <w:color w:val="000000"/>
          <w:szCs w:val="22"/>
          <w:lang w:eastAsia="en-US"/>
        </w:rPr>
        <w:t>’</w:t>
      </w:r>
      <w:r w:rsidRPr="006C28E7">
        <w:rPr>
          <w:rFonts w:eastAsia="Calibri"/>
          <w:b/>
          <w:i/>
          <w:color w:val="000000"/>
          <w:szCs w:val="22"/>
          <w:lang w:eastAsia="en-US"/>
        </w:rPr>
        <w:t>aligner la directive 2005/35/CE du Parlement européen et du Conseil</w:t>
      </w:r>
      <w:r w:rsidRPr="006C28E7">
        <w:rPr>
          <w:i/>
          <w:color w:val="000000"/>
          <w:szCs w:val="22"/>
          <w:vertAlign w:val="superscript"/>
        </w:rPr>
        <w:footnoteReference w:id="7"/>
      </w:r>
      <w:r w:rsidRPr="006C28E7">
        <w:rPr>
          <w:rFonts w:eastAsia="Calibri"/>
          <w:b/>
          <w:i/>
          <w:color w:val="000000"/>
          <w:szCs w:val="22"/>
          <w:lang w:eastAsia="en-US"/>
        </w:rPr>
        <w:t xml:space="preserve"> sur les dispositions pertinentes de la convention MARPOL en matière de normes de rejet, la Commission devrait évaluer l</w:t>
      </w:r>
      <w:r w:rsidR="00D43184">
        <w:rPr>
          <w:rFonts w:eastAsia="Calibri"/>
          <w:b/>
          <w:i/>
          <w:color w:val="000000"/>
          <w:szCs w:val="22"/>
          <w:lang w:eastAsia="en-US"/>
        </w:rPr>
        <w:t>’</w:t>
      </w:r>
      <w:r w:rsidRPr="006C28E7">
        <w:rPr>
          <w:rFonts w:eastAsia="Calibri"/>
          <w:b/>
          <w:i/>
          <w:color w:val="000000"/>
          <w:szCs w:val="22"/>
          <w:lang w:eastAsia="en-US"/>
        </w:rPr>
        <w:t>opportunité d</w:t>
      </w:r>
      <w:r w:rsidR="00D43184">
        <w:rPr>
          <w:rFonts w:eastAsia="Calibri"/>
          <w:b/>
          <w:i/>
          <w:color w:val="000000"/>
          <w:szCs w:val="22"/>
          <w:lang w:eastAsia="en-US"/>
        </w:rPr>
        <w:t>’</w:t>
      </w:r>
      <w:r w:rsidRPr="006C28E7">
        <w:rPr>
          <w:rFonts w:eastAsia="Calibri"/>
          <w:b/>
          <w:i/>
          <w:color w:val="000000"/>
          <w:szCs w:val="22"/>
          <w:lang w:eastAsia="en-US"/>
        </w:rPr>
        <w:t>un réexamen de cette directive, notamment par une extension de son champ d</w:t>
      </w:r>
      <w:r w:rsidR="00D43184">
        <w:rPr>
          <w:rFonts w:eastAsia="Calibri"/>
          <w:b/>
          <w:i/>
          <w:color w:val="000000"/>
          <w:szCs w:val="22"/>
          <w:lang w:eastAsia="en-US"/>
        </w:rPr>
        <w:t>’</w:t>
      </w:r>
      <w:r w:rsidRPr="006C28E7">
        <w:rPr>
          <w:rFonts w:eastAsia="Calibri"/>
          <w:b/>
          <w:i/>
          <w:color w:val="000000"/>
          <w:szCs w:val="22"/>
          <w:lang w:eastAsia="en-US"/>
        </w:rPr>
        <w:t>application.</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(14)</w:t>
      </w:r>
      <w:r w:rsidRPr="006C28E7">
        <w:rPr>
          <w:rFonts w:eastAsia="Calibri"/>
          <w:b/>
          <w:i/>
          <w:color w:val="000000"/>
          <w:szCs w:val="22"/>
          <w:lang w:eastAsia="en-US"/>
        </w:rPr>
        <w:tab/>
      </w:r>
      <w:r w:rsidRPr="006C28E7">
        <w:rPr>
          <w:rFonts w:eastAsia="Calibri"/>
          <w:b/>
          <w:i/>
          <w:szCs w:val="22"/>
          <w:lang w:eastAsia="en-US"/>
        </w:rPr>
        <w:t>La politique maritime de l</w:t>
      </w:r>
      <w:r w:rsidR="00D43184">
        <w:rPr>
          <w:rFonts w:eastAsia="Calibri"/>
          <w:b/>
          <w:i/>
          <w:szCs w:val="22"/>
          <w:lang w:eastAsia="en-US"/>
        </w:rPr>
        <w:t>’</w:t>
      </w:r>
      <w:r w:rsidRPr="006C28E7">
        <w:rPr>
          <w:rFonts w:eastAsia="Calibri"/>
          <w:b/>
          <w:i/>
          <w:color w:val="000000"/>
          <w:szCs w:val="22"/>
          <w:lang w:eastAsia="en-US"/>
        </w:rPr>
        <w:t>Union devrait avoir pour objectif un niveau élevé de protection de l</w:t>
      </w:r>
      <w:r w:rsidR="00D43184">
        <w:rPr>
          <w:rFonts w:eastAsia="Calibri"/>
          <w:b/>
          <w:i/>
          <w:color w:val="000000"/>
          <w:szCs w:val="22"/>
          <w:lang w:eastAsia="en-US"/>
        </w:rPr>
        <w:t>’</w:t>
      </w:r>
      <w:r w:rsidRPr="006C28E7">
        <w:rPr>
          <w:rFonts w:eastAsia="Calibri"/>
          <w:b/>
          <w:i/>
          <w:color w:val="000000"/>
          <w:szCs w:val="22"/>
          <w:lang w:eastAsia="en-US"/>
        </w:rPr>
        <w:t>environnement marin qui tienne compte de la diversité des zones maritimes de l</w:t>
      </w:r>
      <w:r w:rsidR="00D43184">
        <w:rPr>
          <w:rFonts w:eastAsia="Calibri"/>
          <w:b/>
          <w:i/>
          <w:color w:val="000000"/>
          <w:szCs w:val="22"/>
          <w:lang w:eastAsia="en-US"/>
        </w:rPr>
        <w:t>’</w:t>
      </w:r>
      <w:r w:rsidRPr="006C28E7">
        <w:rPr>
          <w:rFonts w:eastAsia="Calibri"/>
          <w:b/>
          <w:i/>
          <w:color w:val="000000"/>
          <w:szCs w:val="22"/>
          <w:lang w:eastAsia="en-US"/>
        </w:rPr>
        <w:t>Union. Il convient qu</w:t>
      </w:r>
      <w:r w:rsidR="00D43184">
        <w:rPr>
          <w:rFonts w:eastAsia="Calibri"/>
          <w:b/>
          <w:i/>
          <w:color w:val="000000"/>
          <w:szCs w:val="22"/>
          <w:lang w:eastAsia="en-US"/>
        </w:rPr>
        <w:t>’</w:t>
      </w:r>
      <w:r w:rsidRPr="006C28E7">
        <w:rPr>
          <w:rFonts w:eastAsia="Calibri"/>
          <w:b/>
          <w:i/>
          <w:color w:val="000000"/>
          <w:szCs w:val="22"/>
          <w:lang w:eastAsia="en-US"/>
        </w:rPr>
        <w:t>elle repose sur les principes d</w:t>
      </w:r>
      <w:r w:rsidR="00D43184">
        <w:rPr>
          <w:rFonts w:eastAsia="Calibri"/>
          <w:b/>
          <w:i/>
          <w:color w:val="000000"/>
          <w:szCs w:val="22"/>
          <w:lang w:eastAsia="en-US"/>
        </w:rPr>
        <w:t>’</w:t>
      </w:r>
      <w:r w:rsidRPr="006C28E7">
        <w:rPr>
          <w:rFonts w:eastAsia="Calibri"/>
          <w:b/>
          <w:i/>
          <w:color w:val="000000"/>
          <w:szCs w:val="22"/>
          <w:lang w:eastAsia="en-US"/>
        </w:rPr>
        <w:t>action préventive, de correction en priorité à la source des atteintes à l</w:t>
      </w:r>
      <w:r w:rsidR="00D43184">
        <w:rPr>
          <w:rFonts w:eastAsia="Calibri"/>
          <w:b/>
          <w:i/>
          <w:color w:val="000000"/>
          <w:szCs w:val="22"/>
          <w:lang w:eastAsia="en-US"/>
        </w:rPr>
        <w:t>’</w:t>
      </w:r>
      <w:r w:rsidRPr="006C28E7">
        <w:rPr>
          <w:rFonts w:eastAsia="Calibri"/>
          <w:b/>
          <w:i/>
          <w:color w:val="000000"/>
          <w:szCs w:val="22"/>
          <w:lang w:eastAsia="en-US"/>
        </w:rPr>
        <w:t>environnement, et du pollueur</w:t>
      </w:r>
      <w:r w:rsidRPr="006C28E7">
        <w:rPr>
          <w:rFonts w:eastAsia="Calibri"/>
          <w:b/>
          <w:i/>
          <w:color w:val="000000"/>
          <w:szCs w:val="22"/>
          <w:lang w:eastAsia="en-US"/>
        </w:rPr>
        <w:noBreakHyphen/>
        <w:t>payeur.</w:t>
      </w:r>
    </w:p>
    <w:p w:rsidR="009C7E1C" w:rsidRPr="006C28E7" w:rsidRDefault="009C7E1C" w:rsidP="009C7E1C">
      <w:pPr>
        <w:widowControl/>
        <w:autoSpaceDE w:val="0"/>
        <w:autoSpaceDN w:val="0"/>
        <w:adjustRightInd w:val="0"/>
        <w:spacing w:before="120" w:after="120" w:line="360" w:lineRule="auto"/>
        <w:ind w:left="851" w:hanging="851"/>
        <w:rPr>
          <w:rFonts w:eastAsia="Calibri"/>
          <w:szCs w:val="22"/>
          <w:lang w:eastAsia="en-US"/>
        </w:rPr>
      </w:pPr>
      <w:r w:rsidRPr="006C28E7">
        <w:rPr>
          <w:rFonts w:eastAsia="Calibri"/>
          <w:szCs w:val="22"/>
          <w:lang w:eastAsia="en-US"/>
        </w:rPr>
        <w:br w:type="page"/>
      </w:r>
      <w:r w:rsidRPr="006C28E7">
        <w:rPr>
          <w:rFonts w:eastAsia="Calibri"/>
          <w:szCs w:val="22"/>
          <w:lang w:eastAsia="en-US"/>
        </w:rPr>
        <w:lastRenderedPageBreak/>
        <w:t>(15)</w:t>
      </w:r>
      <w:r w:rsidRPr="006C28E7">
        <w:rPr>
          <w:rFonts w:eastAsia="Calibri"/>
          <w:szCs w:val="22"/>
          <w:lang w:eastAsia="en-US"/>
        </w:rPr>
        <w:tab/>
      </w:r>
      <w:r w:rsidRPr="006C28E7">
        <w:rPr>
          <w:rFonts w:eastAsia="Calibri"/>
          <w:b/>
          <w:bCs/>
          <w:i/>
          <w:iCs/>
          <w:szCs w:val="22"/>
          <w:lang w:eastAsia="en-US"/>
        </w:rPr>
        <w:t>La présente</w:t>
      </w:r>
      <w:r w:rsidRPr="006C28E7">
        <w:rPr>
          <w:rFonts w:eastAsia="Calibri"/>
          <w:szCs w:val="22"/>
          <w:lang w:eastAsia="en-US"/>
        </w:rPr>
        <w:t xml:space="preserve"> directive devrait également être essentielle pour l</w:t>
      </w:r>
      <w:r w:rsidR="00D43184">
        <w:rPr>
          <w:rFonts w:eastAsia="Calibri"/>
          <w:szCs w:val="22"/>
          <w:lang w:eastAsia="en-US"/>
        </w:rPr>
        <w:t>’</w:t>
      </w:r>
      <w:r w:rsidRPr="006C28E7">
        <w:rPr>
          <w:rFonts w:eastAsia="Calibri"/>
          <w:szCs w:val="22"/>
          <w:lang w:eastAsia="en-US"/>
        </w:rPr>
        <w:t>application des principaux textes législatifs et principes en matière d</w:t>
      </w:r>
      <w:r w:rsidR="00D43184">
        <w:rPr>
          <w:rFonts w:eastAsia="Calibri"/>
          <w:szCs w:val="22"/>
          <w:lang w:eastAsia="en-US"/>
        </w:rPr>
        <w:t>’</w:t>
      </w:r>
      <w:r w:rsidRPr="006C28E7">
        <w:rPr>
          <w:rFonts w:eastAsia="Calibri"/>
          <w:szCs w:val="22"/>
          <w:lang w:eastAsia="en-US"/>
        </w:rPr>
        <w:t>environnement dans les ports et dans le cadre de la gestion des déchets des navires. En particulier, ▌les directives 2008/56/CE</w:t>
      </w:r>
      <w:r w:rsidRPr="006C28E7">
        <w:rPr>
          <w:b/>
          <w:szCs w:val="22"/>
          <w:vertAlign w:val="superscript"/>
        </w:rPr>
        <w:footnoteReference w:id="8"/>
      </w:r>
      <w:r w:rsidRPr="006C28E7">
        <w:rPr>
          <w:rFonts w:eastAsia="Calibri"/>
          <w:szCs w:val="22"/>
          <w:lang w:eastAsia="en-US"/>
        </w:rPr>
        <w:t xml:space="preserve"> </w:t>
      </w:r>
      <w:r w:rsidRPr="006C28E7">
        <w:rPr>
          <w:rFonts w:eastAsia="Calibri"/>
          <w:b/>
          <w:bCs/>
          <w:i/>
          <w:iCs/>
          <w:szCs w:val="22"/>
          <w:lang w:eastAsia="en-US"/>
        </w:rPr>
        <w:t>et 2008/98/CE</w:t>
      </w:r>
      <w:r w:rsidRPr="006C28E7">
        <w:rPr>
          <w:i/>
          <w:color w:val="000000"/>
          <w:szCs w:val="22"/>
          <w:vertAlign w:val="superscript"/>
        </w:rPr>
        <w:footnoteReference w:id="9"/>
      </w:r>
      <w:r w:rsidRPr="006C28E7">
        <w:rPr>
          <w:rFonts w:eastAsia="Calibri"/>
          <w:szCs w:val="22"/>
          <w:lang w:eastAsia="en-US"/>
        </w:rPr>
        <w:t xml:space="preserve"> du Parlement européen et du Conseil sont des instruments pertinents à cet égard.</w:t>
      </w:r>
    </w:p>
    <w:p w:rsidR="009C7E1C" w:rsidRPr="006C28E7" w:rsidRDefault="009C7E1C" w:rsidP="009C7E1C">
      <w:pPr>
        <w:widowControl/>
        <w:spacing w:after="200" w:line="276" w:lineRule="auto"/>
        <w:rPr>
          <w:szCs w:val="22"/>
          <w:lang w:eastAsia="en-US"/>
        </w:rPr>
      </w:pP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(16)</w:t>
      </w:r>
      <w:r w:rsidRPr="006C28E7">
        <w:rPr>
          <w:rFonts w:eastAsia="Calibri"/>
          <w:szCs w:val="22"/>
          <w:lang w:eastAsia="en-US"/>
        </w:rPr>
        <w:tab/>
        <w:t>La directive 2008/98/CE énonce les grands principes en matière de gestion des déchets, notamment le principe du "pollueur-payeur" et la hiérarchie des déchets, lequel prône le réemploi et le recyclage des déchets plutôt que d</w:t>
      </w:r>
      <w:r w:rsidR="00D43184">
        <w:rPr>
          <w:rFonts w:eastAsia="Calibri"/>
          <w:szCs w:val="22"/>
          <w:lang w:eastAsia="en-US"/>
        </w:rPr>
        <w:t>’</w:t>
      </w:r>
      <w:r w:rsidRPr="006C28E7">
        <w:rPr>
          <w:rFonts w:eastAsia="Calibri"/>
          <w:szCs w:val="22"/>
          <w:lang w:eastAsia="en-US"/>
        </w:rPr>
        <w:t>autres formes de valorisation et d</w:t>
      </w:r>
      <w:r w:rsidR="00D43184">
        <w:rPr>
          <w:rFonts w:eastAsia="Calibri"/>
          <w:szCs w:val="22"/>
          <w:lang w:eastAsia="en-US"/>
        </w:rPr>
        <w:t>’</w:t>
      </w:r>
      <w:r w:rsidRPr="006C28E7">
        <w:rPr>
          <w:rFonts w:eastAsia="Calibri"/>
          <w:szCs w:val="22"/>
          <w:lang w:eastAsia="en-US"/>
        </w:rPr>
        <w:t>élimination des déchets et exige la mise en place de systèmes de collecte séparée des déchets.</w:t>
      </w:r>
      <w:r w:rsidRPr="006C28E7">
        <w:rPr>
          <w:rFonts w:eastAsia="Calibri"/>
          <w:b/>
          <w:szCs w:val="22"/>
          <w:lang w:eastAsia="en-US"/>
        </w:rPr>
        <w:t xml:space="preserve"> </w:t>
      </w:r>
      <w:r w:rsidRPr="006C28E7">
        <w:rPr>
          <w:rFonts w:eastAsia="Calibri"/>
          <w:b/>
          <w:i/>
          <w:color w:val="000000"/>
          <w:szCs w:val="22"/>
          <w:lang w:eastAsia="en-US"/>
        </w:rPr>
        <w:t>En outre, la notion de responsabilité élargie du producteur est un principe directeur du droit de l</w:t>
      </w:r>
      <w:r w:rsidR="00D43184">
        <w:rPr>
          <w:rFonts w:eastAsia="Calibri"/>
          <w:b/>
          <w:i/>
          <w:color w:val="000000"/>
          <w:szCs w:val="22"/>
          <w:lang w:eastAsia="en-US"/>
        </w:rPr>
        <w:t>’</w:t>
      </w:r>
      <w:r w:rsidRPr="006C28E7">
        <w:rPr>
          <w:rFonts w:eastAsia="Calibri"/>
          <w:b/>
          <w:i/>
          <w:color w:val="000000"/>
          <w:szCs w:val="22"/>
          <w:lang w:eastAsia="en-US"/>
        </w:rPr>
        <w:t>Union en matière de déchets, en vertu duquel les producteurs sont responsables des effets qu</w:t>
      </w:r>
      <w:r w:rsidR="00D43184">
        <w:rPr>
          <w:rFonts w:eastAsia="Calibri"/>
          <w:b/>
          <w:i/>
          <w:color w:val="000000"/>
          <w:szCs w:val="22"/>
          <w:lang w:eastAsia="en-US"/>
        </w:rPr>
        <w:t>’</w:t>
      </w:r>
      <w:r w:rsidRPr="006C28E7">
        <w:rPr>
          <w:rFonts w:eastAsia="Calibri"/>
          <w:b/>
          <w:i/>
          <w:color w:val="000000"/>
          <w:szCs w:val="22"/>
          <w:lang w:eastAsia="en-US"/>
        </w:rPr>
        <w:t>ont leurs produits sur l</w:t>
      </w:r>
      <w:r w:rsidR="00D43184">
        <w:rPr>
          <w:rFonts w:eastAsia="Calibri"/>
          <w:b/>
          <w:i/>
          <w:color w:val="000000"/>
          <w:szCs w:val="22"/>
          <w:lang w:eastAsia="en-US"/>
        </w:rPr>
        <w:t>’</w:t>
      </w:r>
      <w:r w:rsidRPr="006C28E7">
        <w:rPr>
          <w:rFonts w:eastAsia="Calibri"/>
          <w:b/>
          <w:i/>
          <w:color w:val="000000"/>
          <w:szCs w:val="22"/>
          <w:lang w:eastAsia="en-US"/>
        </w:rPr>
        <w:t xml:space="preserve">environnement tout au long de leur cycle de vie. </w:t>
      </w:r>
      <w:r w:rsidRPr="006C28E7">
        <w:rPr>
          <w:rFonts w:eastAsia="Calibri"/>
          <w:szCs w:val="22"/>
          <w:lang w:eastAsia="en-US"/>
        </w:rPr>
        <w:t>Ces obligations s</w:t>
      </w:r>
      <w:r w:rsidR="00D43184">
        <w:rPr>
          <w:rFonts w:eastAsia="Calibri"/>
          <w:szCs w:val="22"/>
          <w:lang w:eastAsia="en-US"/>
        </w:rPr>
        <w:t>’</w:t>
      </w:r>
      <w:r w:rsidRPr="006C28E7">
        <w:rPr>
          <w:rFonts w:eastAsia="Calibri"/>
          <w:szCs w:val="22"/>
          <w:lang w:eastAsia="en-US"/>
        </w:rPr>
        <w:t>appliquent aussi à la gestion des déchets des navires.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(17)</w:t>
      </w:r>
      <w:r w:rsidRPr="006C28E7">
        <w:rPr>
          <w:rFonts w:eastAsia="Calibri"/>
          <w:szCs w:val="22"/>
          <w:lang w:eastAsia="en-US"/>
        </w:rPr>
        <w:tab/>
        <w:t>La collecte séparée des déchets des navires, y compris des engins de pêche laissés à l</w:t>
      </w:r>
      <w:r w:rsidR="00D43184">
        <w:rPr>
          <w:rFonts w:eastAsia="Calibri"/>
          <w:szCs w:val="22"/>
          <w:lang w:eastAsia="en-US"/>
        </w:rPr>
        <w:t>’</w:t>
      </w:r>
      <w:r w:rsidRPr="006C28E7">
        <w:rPr>
          <w:rFonts w:eastAsia="Calibri"/>
          <w:szCs w:val="22"/>
          <w:lang w:eastAsia="en-US"/>
        </w:rPr>
        <w:t xml:space="preserve">abandon, est nécessaire afin de garantir la poursuite de leur valorisation </w:t>
      </w:r>
      <w:r w:rsidRPr="006C28E7">
        <w:rPr>
          <w:rFonts w:eastAsia="Calibri"/>
          <w:b/>
          <w:i/>
          <w:color w:val="000000"/>
          <w:szCs w:val="22"/>
          <w:lang w:eastAsia="en-US"/>
        </w:rPr>
        <w:t xml:space="preserve">pour permettre leur préparation en vue du réemploi ou du recyclage </w:t>
      </w:r>
      <w:r w:rsidRPr="006C28E7">
        <w:rPr>
          <w:rFonts w:eastAsia="Calibri"/>
          <w:szCs w:val="22"/>
          <w:lang w:eastAsia="en-US"/>
        </w:rPr>
        <w:t>dans le processus de gestion des déchets en aval</w:t>
      </w:r>
      <w:r w:rsidRPr="006C28E7">
        <w:rPr>
          <w:rFonts w:eastAsia="Calibri"/>
          <w:b/>
          <w:i/>
          <w:color w:val="000000"/>
          <w:szCs w:val="22"/>
          <w:lang w:eastAsia="en-US"/>
        </w:rPr>
        <w:t xml:space="preserve"> et d</w:t>
      </w:r>
      <w:r w:rsidR="00D43184">
        <w:rPr>
          <w:rFonts w:eastAsia="Calibri"/>
          <w:b/>
          <w:i/>
          <w:color w:val="000000"/>
          <w:szCs w:val="22"/>
          <w:lang w:eastAsia="en-US"/>
        </w:rPr>
        <w:t>’</w:t>
      </w:r>
      <w:r w:rsidRPr="006C28E7">
        <w:rPr>
          <w:rFonts w:eastAsia="Calibri"/>
          <w:b/>
          <w:i/>
          <w:color w:val="000000"/>
          <w:szCs w:val="22"/>
          <w:lang w:eastAsia="en-US"/>
        </w:rPr>
        <w:t>empêcher qu</w:t>
      </w:r>
      <w:r w:rsidR="00D43184">
        <w:rPr>
          <w:rFonts w:eastAsia="Calibri"/>
          <w:b/>
          <w:i/>
          <w:color w:val="000000"/>
          <w:szCs w:val="22"/>
          <w:lang w:eastAsia="en-US"/>
        </w:rPr>
        <w:t>’</w:t>
      </w:r>
      <w:r w:rsidRPr="006C28E7">
        <w:rPr>
          <w:rFonts w:eastAsia="Calibri"/>
          <w:b/>
          <w:i/>
          <w:color w:val="000000"/>
          <w:szCs w:val="22"/>
          <w:lang w:eastAsia="en-US"/>
        </w:rPr>
        <w:t>ils ne nuisent aux organismes et aux milieux marins</w:t>
      </w:r>
      <w:r w:rsidRPr="006C28E7">
        <w:rPr>
          <w:rFonts w:eastAsia="Calibri"/>
          <w:szCs w:val="22"/>
          <w:lang w:eastAsia="en-US"/>
        </w:rPr>
        <w:t>. Les déchets sont fréquemment triés à bord des navires conformément aux règles et normes internationales, et le droit de l</w:t>
      </w:r>
      <w:r w:rsidR="00D43184">
        <w:rPr>
          <w:rFonts w:eastAsia="Calibri"/>
          <w:szCs w:val="22"/>
          <w:lang w:eastAsia="en-US"/>
        </w:rPr>
        <w:t>’</w:t>
      </w:r>
      <w:r w:rsidRPr="006C28E7">
        <w:rPr>
          <w:rFonts w:eastAsia="Calibri"/>
          <w:szCs w:val="22"/>
          <w:lang w:eastAsia="en-US"/>
        </w:rPr>
        <w:t>Union devrait garantir que ces efforts de tri des déchets à bord ne sont pas compromis par un manque de dispositifs de collecte séparée à terre.</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rFonts w:eastAsia="Calibri"/>
          <w:szCs w:val="22"/>
          <w:lang w:eastAsia="en-US"/>
        </w:rPr>
      </w:pPr>
      <w:r w:rsidRPr="006C28E7">
        <w:rPr>
          <w:rFonts w:eastAsia="Calibri"/>
          <w:b/>
          <w:i/>
          <w:color w:val="000000"/>
          <w:szCs w:val="22"/>
          <w:lang w:eastAsia="en-US"/>
        </w:rPr>
        <w:t>(18)</w:t>
      </w:r>
      <w:r w:rsidRPr="006C28E7">
        <w:rPr>
          <w:rFonts w:eastAsia="Calibri"/>
          <w:szCs w:val="22"/>
          <w:lang w:eastAsia="en-US"/>
        </w:rPr>
        <w:tab/>
      </w:r>
      <w:r w:rsidRPr="006C28E7">
        <w:rPr>
          <w:rFonts w:eastAsia="Calibri"/>
          <w:b/>
          <w:i/>
          <w:color w:val="000000"/>
          <w:szCs w:val="22"/>
          <w:lang w:eastAsia="en-US"/>
        </w:rPr>
        <w:t>Chaque année, des quantités importantes de matières plastiques finissent dans les mers et les océans au sein de l</w:t>
      </w:r>
      <w:r w:rsidR="00D43184">
        <w:rPr>
          <w:rFonts w:eastAsia="Calibri"/>
          <w:b/>
          <w:i/>
          <w:color w:val="000000"/>
          <w:szCs w:val="22"/>
          <w:lang w:eastAsia="en-US"/>
        </w:rPr>
        <w:t>’</w:t>
      </w:r>
      <w:r w:rsidRPr="006C28E7">
        <w:rPr>
          <w:rFonts w:eastAsia="Calibri"/>
          <w:b/>
          <w:i/>
          <w:color w:val="000000"/>
          <w:szCs w:val="22"/>
          <w:lang w:eastAsia="en-US"/>
        </w:rPr>
        <w:t xml:space="preserve">Union. </w:t>
      </w:r>
      <w:r w:rsidRPr="006C28E7">
        <w:rPr>
          <w:rFonts w:eastAsia="Calibri"/>
          <w:szCs w:val="22"/>
          <w:lang w:eastAsia="en-US"/>
        </w:rPr>
        <w:t xml:space="preserve">Bien que, </w:t>
      </w:r>
      <w:r w:rsidRPr="006C28E7">
        <w:rPr>
          <w:rFonts w:eastAsia="Calibri"/>
          <w:b/>
          <w:bCs/>
          <w:i/>
          <w:iCs/>
          <w:szCs w:val="22"/>
          <w:lang w:eastAsia="en-US"/>
        </w:rPr>
        <w:t>dans la plupart des zones maritimes</w:t>
      </w:r>
      <w:r w:rsidRPr="006C28E7">
        <w:rPr>
          <w:rFonts w:eastAsia="Calibri"/>
          <w:szCs w:val="22"/>
          <w:lang w:eastAsia="en-US"/>
        </w:rPr>
        <w:t>, la majeure partie des déchets sauvages dans le milieu marin proviennent d</w:t>
      </w:r>
      <w:r w:rsidR="00D43184">
        <w:rPr>
          <w:rFonts w:eastAsia="Calibri"/>
          <w:szCs w:val="22"/>
          <w:lang w:eastAsia="en-US"/>
        </w:rPr>
        <w:t>’</w:t>
      </w:r>
      <w:r w:rsidRPr="006C28E7">
        <w:rPr>
          <w:rFonts w:eastAsia="Calibri"/>
          <w:szCs w:val="22"/>
          <w:lang w:eastAsia="en-US"/>
        </w:rPr>
        <w:t xml:space="preserve">activités terrestres, le secteur des transports maritimes, y compris celui de la pêche et de la navigation de plaisance, joue un rôle non négligeable du fait du rejet direct </w:t>
      </w:r>
      <w:r w:rsidRPr="006C28E7">
        <w:rPr>
          <w:rFonts w:eastAsia="Calibri"/>
          <w:b/>
          <w:bCs/>
          <w:i/>
          <w:iCs/>
          <w:szCs w:val="22"/>
          <w:lang w:eastAsia="en-US"/>
        </w:rPr>
        <w:t>de déchets</w:t>
      </w:r>
      <w:r w:rsidRPr="006C28E7">
        <w:rPr>
          <w:rFonts w:eastAsia="Calibri"/>
          <w:szCs w:val="22"/>
          <w:lang w:eastAsia="en-US"/>
        </w:rPr>
        <w:t xml:space="preserve"> dans la mer, y compris de matières plastiques et d</w:t>
      </w:r>
      <w:r w:rsidR="00D43184">
        <w:rPr>
          <w:rFonts w:eastAsia="Calibri"/>
          <w:szCs w:val="22"/>
          <w:lang w:eastAsia="en-US"/>
        </w:rPr>
        <w:t>’</w:t>
      </w:r>
      <w:r w:rsidRPr="006C28E7">
        <w:rPr>
          <w:rFonts w:eastAsia="Calibri"/>
          <w:szCs w:val="22"/>
          <w:lang w:eastAsia="en-US"/>
        </w:rPr>
        <w:t>engins de pêche abandonnés.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(19)</w:t>
      </w:r>
      <w:r w:rsidRPr="006C28E7">
        <w:rPr>
          <w:rFonts w:eastAsia="Calibri"/>
          <w:b/>
          <w:i/>
          <w:color w:val="000000"/>
          <w:szCs w:val="22"/>
          <w:lang w:eastAsia="en-US"/>
        </w:rPr>
        <w:tab/>
      </w:r>
      <w:r w:rsidRPr="006C28E7">
        <w:rPr>
          <w:rFonts w:eastAsia="Calibri"/>
          <w:b/>
          <w:bCs/>
          <w:i/>
          <w:iCs/>
          <w:color w:val="000000"/>
          <w:szCs w:val="22"/>
          <w:lang w:eastAsia="en-US"/>
        </w:rPr>
        <w:t xml:space="preserve">La directive </w:t>
      </w:r>
      <w:r w:rsidRPr="006C28E7">
        <w:rPr>
          <w:b/>
          <w:i/>
          <w:color w:val="000000"/>
          <w:szCs w:val="22"/>
          <w:lang w:eastAsia="en-US"/>
        </w:rPr>
        <w:t>2008/98/CE</w:t>
      </w:r>
      <w:r w:rsidRPr="006C28E7">
        <w:rPr>
          <w:rFonts w:eastAsia="Calibri"/>
          <w:b/>
          <w:bCs/>
          <w:i/>
          <w:iCs/>
          <w:color w:val="000000"/>
          <w:szCs w:val="22"/>
          <w:lang w:eastAsia="en-US"/>
        </w:rPr>
        <w:t xml:space="preserve"> invite les États membres à mettre fin à la production de déchets sauvages  dans le milieu marin afin de contribuer à l</w:t>
      </w:r>
      <w:r w:rsidR="00D43184">
        <w:rPr>
          <w:rFonts w:eastAsia="Calibri"/>
          <w:b/>
          <w:bCs/>
          <w:i/>
          <w:iCs/>
          <w:color w:val="000000"/>
          <w:szCs w:val="22"/>
          <w:lang w:eastAsia="en-US"/>
        </w:rPr>
        <w:t>’</w:t>
      </w:r>
      <w:r w:rsidRPr="006C28E7">
        <w:rPr>
          <w:rFonts w:eastAsia="Calibri"/>
          <w:b/>
          <w:bCs/>
          <w:i/>
          <w:iCs/>
          <w:color w:val="000000"/>
          <w:szCs w:val="22"/>
          <w:lang w:eastAsia="en-US"/>
        </w:rPr>
        <w:t>objectif de développement durable des Nations unies visant à prévenir et à réduire nettement la pollution marine de tous types.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(20)</w:t>
      </w:r>
      <w:r w:rsidRPr="006C28E7">
        <w:rPr>
          <w:rFonts w:eastAsia="Calibri"/>
          <w:szCs w:val="22"/>
          <w:lang w:eastAsia="en-US"/>
        </w:rPr>
        <w:tab/>
        <w:t xml:space="preserve">La </w:t>
      </w:r>
      <w:r w:rsidRPr="006C28E7">
        <w:rPr>
          <w:rFonts w:eastAsia="Calibri"/>
          <w:b/>
          <w:bCs/>
          <w:i/>
          <w:iCs/>
          <w:szCs w:val="22"/>
          <w:lang w:eastAsia="en-US"/>
        </w:rPr>
        <w:t>communication de la Commission du 2 décembre 2015 intitulée "Boucler la boucle - Un plan d</w:t>
      </w:r>
      <w:r w:rsidR="00D43184">
        <w:rPr>
          <w:rFonts w:eastAsia="Calibri"/>
          <w:b/>
          <w:bCs/>
          <w:i/>
          <w:iCs/>
          <w:szCs w:val="22"/>
          <w:lang w:eastAsia="en-US"/>
        </w:rPr>
        <w:t>’</w:t>
      </w:r>
      <w:r w:rsidRPr="006C28E7">
        <w:rPr>
          <w:rFonts w:eastAsia="Calibri"/>
          <w:b/>
          <w:bCs/>
          <w:i/>
          <w:iCs/>
          <w:szCs w:val="22"/>
          <w:lang w:eastAsia="en-US"/>
        </w:rPr>
        <w:t>action de l</w:t>
      </w:r>
      <w:r w:rsidR="00D43184">
        <w:rPr>
          <w:rFonts w:eastAsia="Calibri"/>
          <w:b/>
          <w:bCs/>
          <w:i/>
          <w:iCs/>
          <w:szCs w:val="22"/>
          <w:lang w:eastAsia="en-US"/>
        </w:rPr>
        <w:t>’</w:t>
      </w:r>
      <w:r w:rsidRPr="006C28E7">
        <w:rPr>
          <w:rFonts w:eastAsia="Calibri"/>
          <w:b/>
          <w:bCs/>
          <w:i/>
          <w:iCs/>
          <w:szCs w:val="22"/>
          <w:lang w:eastAsia="en-US"/>
        </w:rPr>
        <w:t>Union européenne en faveur de</w:t>
      </w:r>
      <w:r w:rsidRPr="006C28E7">
        <w:rPr>
          <w:rFonts w:eastAsia="Calibri"/>
          <w:szCs w:val="22"/>
          <w:lang w:eastAsia="en-US"/>
        </w:rPr>
        <w:t xml:space="preserve"> l</w:t>
      </w:r>
      <w:r w:rsidR="00D43184">
        <w:rPr>
          <w:rFonts w:eastAsia="Calibri"/>
          <w:szCs w:val="22"/>
          <w:lang w:eastAsia="en-US"/>
        </w:rPr>
        <w:t>’</w:t>
      </w:r>
      <w:r w:rsidRPr="006C28E7">
        <w:rPr>
          <w:rFonts w:eastAsia="Calibri"/>
          <w:szCs w:val="22"/>
          <w:lang w:eastAsia="en-US"/>
        </w:rPr>
        <w:t>économie circulaire" ▌a reconnu le rôle spécifique que ▌la directive 2000/59/CE a été amenée à jouer à cet égard, en garantissant la disponibilité d</w:t>
      </w:r>
      <w:r w:rsidR="00D43184">
        <w:rPr>
          <w:rFonts w:eastAsia="Calibri"/>
          <w:szCs w:val="22"/>
          <w:lang w:eastAsia="en-US"/>
        </w:rPr>
        <w:t>’</w:t>
      </w:r>
      <w:r w:rsidRPr="006C28E7">
        <w:rPr>
          <w:rFonts w:eastAsia="Calibri"/>
          <w:szCs w:val="22"/>
          <w:lang w:eastAsia="en-US"/>
        </w:rPr>
        <w:t>installations adéquates pour la réception des déchets et en prévoyant à la fois le niveau approprié d</w:t>
      </w:r>
      <w:r w:rsidR="00D43184">
        <w:rPr>
          <w:rFonts w:eastAsia="Calibri"/>
          <w:szCs w:val="22"/>
          <w:lang w:eastAsia="en-US"/>
        </w:rPr>
        <w:t>’</w:t>
      </w:r>
      <w:r w:rsidRPr="006C28E7">
        <w:rPr>
          <w:rFonts w:eastAsia="Calibri"/>
          <w:szCs w:val="22"/>
          <w:lang w:eastAsia="en-US"/>
        </w:rPr>
        <w:t>incitations et le contrôle de l</w:t>
      </w:r>
      <w:r w:rsidR="00D43184">
        <w:rPr>
          <w:rFonts w:eastAsia="Calibri"/>
          <w:szCs w:val="22"/>
          <w:lang w:eastAsia="en-US"/>
        </w:rPr>
        <w:t>’</w:t>
      </w:r>
      <w:r w:rsidRPr="006C28E7">
        <w:rPr>
          <w:rFonts w:eastAsia="Calibri"/>
          <w:szCs w:val="22"/>
          <w:lang w:eastAsia="en-US"/>
        </w:rPr>
        <w:t>application de l</w:t>
      </w:r>
      <w:r w:rsidR="00D43184">
        <w:rPr>
          <w:rFonts w:eastAsia="Calibri"/>
          <w:szCs w:val="22"/>
          <w:lang w:eastAsia="en-US"/>
        </w:rPr>
        <w:t>’</w:t>
      </w:r>
      <w:r w:rsidRPr="006C28E7">
        <w:rPr>
          <w:rFonts w:eastAsia="Calibri"/>
          <w:szCs w:val="22"/>
          <w:lang w:eastAsia="en-US"/>
        </w:rPr>
        <w:t xml:space="preserve">obligation de dépôt de déchets dans les installations à terre. </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(21)</w:t>
      </w:r>
      <w:r w:rsidRPr="006C28E7">
        <w:rPr>
          <w:rFonts w:eastAsia="Calibri"/>
          <w:b/>
          <w:i/>
          <w:color w:val="000000"/>
          <w:szCs w:val="22"/>
          <w:lang w:eastAsia="en-US"/>
        </w:rPr>
        <w:tab/>
        <w:t>Les installations offshore sont l</w:t>
      </w:r>
      <w:r w:rsidR="00D43184">
        <w:rPr>
          <w:rFonts w:eastAsia="Calibri"/>
          <w:b/>
          <w:i/>
          <w:color w:val="000000"/>
          <w:szCs w:val="22"/>
          <w:lang w:eastAsia="en-US"/>
        </w:rPr>
        <w:t>’</w:t>
      </w:r>
      <w:r w:rsidRPr="006C28E7">
        <w:rPr>
          <w:rFonts w:eastAsia="Calibri"/>
          <w:b/>
          <w:i/>
          <w:color w:val="000000"/>
          <w:szCs w:val="22"/>
          <w:lang w:eastAsia="en-US"/>
        </w:rPr>
        <w:t>une des sources de production en mer de déchets sauvages dans le milieu marin. C</w:t>
      </w:r>
      <w:r w:rsidR="00D43184">
        <w:rPr>
          <w:rFonts w:eastAsia="Calibri"/>
          <w:b/>
          <w:i/>
          <w:color w:val="000000"/>
          <w:szCs w:val="22"/>
          <w:lang w:eastAsia="en-US"/>
        </w:rPr>
        <w:t>’</w:t>
      </w:r>
      <w:r w:rsidRPr="006C28E7">
        <w:rPr>
          <w:rFonts w:eastAsia="Calibri"/>
          <w:b/>
          <w:i/>
          <w:color w:val="000000"/>
          <w:szCs w:val="22"/>
          <w:lang w:eastAsia="en-US"/>
        </w:rPr>
        <w:t>est la raison pour laquelle les États membres devraient adopter les mesures qui conviennent en matière de dépôt de déchets en provenance d</w:t>
      </w:r>
      <w:r w:rsidR="00D43184">
        <w:rPr>
          <w:rFonts w:eastAsia="Calibri"/>
          <w:b/>
          <w:i/>
          <w:color w:val="000000"/>
          <w:szCs w:val="22"/>
          <w:lang w:eastAsia="en-US"/>
        </w:rPr>
        <w:t>’</w:t>
      </w:r>
      <w:r w:rsidRPr="006C28E7">
        <w:rPr>
          <w:rFonts w:eastAsia="Calibri"/>
          <w:b/>
          <w:i/>
          <w:color w:val="000000"/>
          <w:szCs w:val="22"/>
          <w:lang w:eastAsia="en-US"/>
        </w:rPr>
        <w:t>installations offshore battant leur pavillon ou opérant dans leurs eaux, ou les deux, et garantir le respect des normes rigoureuses relatives au rejet de déchets applicables aux installations offshore qui figurent dans la convention MARPOL.</w:t>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(22)</w:t>
      </w:r>
      <w:r w:rsidRPr="006C28E7">
        <w:rPr>
          <w:rFonts w:eastAsia="Calibri"/>
          <w:b/>
          <w:i/>
          <w:color w:val="000000"/>
          <w:szCs w:val="22"/>
          <w:lang w:eastAsia="en-US"/>
        </w:rPr>
        <w:tab/>
        <w:t>Les déchets, et en particulier les matières plastiques, provenant de cours d</w:t>
      </w:r>
      <w:r w:rsidR="00D43184">
        <w:rPr>
          <w:rFonts w:eastAsia="Calibri"/>
          <w:b/>
          <w:i/>
          <w:color w:val="000000"/>
          <w:szCs w:val="22"/>
          <w:lang w:eastAsia="en-US"/>
        </w:rPr>
        <w:t>’</w:t>
      </w:r>
      <w:r w:rsidRPr="006C28E7">
        <w:rPr>
          <w:rFonts w:eastAsia="Calibri"/>
          <w:b/>
          <w:i/>
          <w:color w:val="000000"/>
          <w:szCs w:val="22"/>
          <w:lang w:eastAsia="en-US"/>
        </w:rPr>
        <w:t>eau figurent parmi les principales composantes des déchets sauvages dans le milieu marin, en ce compris les rejets des bateaux de navigation intérieure. Dès lors, il y a lieu de soumettre ces bateaux à des normes rigoureuses en matière de rejet et de dépôt de déchets. Aujourd</w:t>
      </w:r>
      <w:r w:rsidR="00D43184">
        <w:rPr>
          <w:rFonts w:eastAsia="Calibri"/>
          <w:b/>
          <w:i/>
          <w:color w:val="000000"/>
          <w:szCs w:val="22"/>
          <w:lang w:eastAsia="en-US"/>
        </w:rPr>
        <w:t>’</w:t>
      </w:r>
      <w:r w:rsidRPr="006C28E7">
        <w:rPr>
          <w:rFonts w:eastAsia="Calibri"/>
          <w:b/>
          <w:i/>
          <w:color w:val="000000"/>
          <w:szCs w:val="22"/>
          <w:lang w:eastAsia="en-US"/>
        </w:rPr>
        <w:t>hui, ces règles sont établies par la commission fluviale compétente. Toutefois, les ports intérieurs sont couverts par le droit de l</w:t>
      </w:r>
      <w:r w:rsidR="00D43184">
        <w:rPr>
          <w:rFonts w:eastAsia="Calibri"/>
          <w:b/>
          <w:i/>
          <w:color w:val="000000"/>
          <w:szCs w:val="22"/>
          <w:lang w:eastAsia="en-US"/>
        </w:rPr>
        <w:t>’</w:t>
      </w:r>
      <w:r w:rsidRPr="006C28E7">
        <w:rPr>
          <w:rFonts w:eastAsia="Calibri"/>
          <w:b/>
          <w:i/>
          <w:color w:val="000000"/>
          <w:szCs w:val="22"/>
          <w:lang w:eastAsia="en-US"/>
        </w:rPr>
        <w:t>Union en matière de déchets. Afin de poursuivre les efforts d</w:t>
      </w:r>
      <w:r w:rsidR="00D43184">
        <w:rPr>
          <w:rFonts w:eastAsia="Calibri"/>
          <w:b/>
          <w:i/>
          <w:color w:val="000000"/>
          <w:szCs w:val="22"/>
          <w:lang w:eastAsia="en-US"/>
        </w:rPr>
        <w:t>’</w:t>
      </w:r>
      <w:r w:rsidRPr="006C28E7">
        <w:rPr>
          <w:rFonts w:eastAsia="Calibri"/>
          <w:b/>
          <w:i/>
          <w:color w:val="000000"/>
          <w:szCs w:val="22"/>
          <w:lang w:eastAsia="en-US"/>
        </w:rPr>
        <w:t>harmonisation du cadre législatif pour les voies de navigation intérieure de l</w:t>
      </w:r>
      <w:r w:rsidR="00D43184">
        <w:rPr>
          <w:rFonts w:eastAsia="Calibri"/>
          <w:b/>
          <w:i/>
          <w:color w:val="000000"/>
          <w:szCs w:val="22"/>
          <w:lang w:eastAsia="en-US"/>
        </w:rPr>
        <w:t>’</w:t>
      </w:r>
      <w:r w:rsidRPr="006C28E7">
        <w:rPr>
          <w:rFonts w:eastAsia="Calibri"/>
          <w:b/>
          <w:i/>
          <w:color w:val="000000"/>
          <w:szCs w:val="22"/>
          <w:lang w:eastAsia="en-US"/>
        </w:rPr>
        <w:t>Union, la Commission est invitée à évaluer un régime de l</w:t>
      </w:r>
      <w:r w:rsidR="00D43184">
        <w:rPr>
          <w:rFonts w:eastAsia="Calibri"/>
          <w:b/>
          <w:i/>
          <w:color w:val="000000"/>
          <w:szCs w:val="22"/>
          <w:lang w:eastAsia="en-US"/>
        </w:rPr>
        <w:t>’</w:t>
      </w:r>
      <w:r w:rsidRPr="006C28E7">
        <w:rPr>
          <w:rFonts w:eastAsia="Calibri"/>
          <w:b/>
          <w:i/>
          <w:color w:val="000000"/>
          <w:szCs w:val="22"/>
          <w:lang w:eastAsia="en-US"/>
        </w:rPr>
        <w:t>Union de normes de rejet et de dépôt pour les bateaux de navigation intérieure, en tenant compte de la convention relative à la collecte, au dépôt et à la réception des déchets survenant en navigation rhénane et intérieure du 9 septembre 1996 (CDNI).</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(23)</w:t>
      </w:r>
      <w:r w:rsidRPr="006C28E7">
        <w:rPr>
          <w:rFonts w:eastAsia="Calibri"/>
          <w:b/>
          <w:i/>
          <w:color w:val="000000"/>
          <w:szCs w:val="22"/>
          <w:lang w:eastAsia="en-US"/>
        </w:rPr>
        <w:tab/>
        <w:t>Le règlement (CE) n° 1224/2009 du Conseil</w:t>
      </w:r>
      <w:r w:rsidRPr="006C28E7">
        <w:rPr>
          <w:rFonts w:eastAsia="Calibri"/>
          <w:b/>
          <w:i/>
          <w:color w:val="000000"/>
          <w:szCs w:val="22"/>
          <w:vertAlign w:val="superscript"/>
          <w:lang w:eastAsia="en-US"/>
        </w:rPr>
        <w:footnoteReference w:id="10"/>
      </w:r>
      <w:r w:rsidRPr="006C28E7">
        <w:rPr>
          <w:rFonts w:eastAsia="Calibri"/>
          <w:b/>
          <w:i/>
          <w:color w:val="000000"/>
          <w:szCs w:val="22"/>
          <w:lang w:eastAsia="en-US"/>
        </w:rPr>
        <w:t xml:space="preserve"> fait obligation aux navires de pêche de l</w:t>
      </w:r>
      <w:r w:rsidR="00D43184">
        <w:rPr>
          <w:rFonts w:eastAsia="Calibri"/>
          <w:b/>
          <w:i/>
          <w:color w:val="000000"/>
          <w:szCs w:val="22"/>
          <w:lang w:eastAsia="en-US"/>
        </w:rPr>
        <w:t>’</w:t>
      </w:r>
      <w:r w:rsidRPr="006C28E7">
        <w:rPr>
          <w:rFonts w:eastAsia="Calibri"/>
          <w:b/>
          <w:i/>
          <w:color w:val="000000"/>
          <w:szCs w:val="22"/>
          <w:lang w:eastAsia="en-US"/>
        </w:rPr>
        <w:t>Union de disposer à bord de l</w:t>
      </w:r>
      <w:r w:rsidR="00D43184">
        <w:rPr>
          <w:rFonts w:eastAsia="Calibri"/>
          <w:b/>
          <w:i/>
          <w:color w:val="000000"/>
          <w:szCs w:val="22"/>
          <w:lang w:eastAsia="en-US"/>
        </w:rPr>
        <w:t>’</w:t>
      </w:r>
      <w:r w:rsidRPr="006C28E7">
        <w:rPr>
          <w:rFonts w:eastAsia="Calibri"/>
          <w:b/>
          <w:i/>
          <w:color w:val="000000"/>
          <w:szCs w:val="22"/>
          <w:lang w:eastAsia="en-US"/>
        </w:rPr>
        <w:t>équipement nécessaire pour récupérer les engins perdus. En cas de perte d</w:t>
      </w:r>
      <w:r w:rsidR="00D43184">
        <w:rPr>
          <w:rFonts w:eastAsia="Calibri"/>
          <w:b/>
          <w:i/>
          <w:color w:val="000000"/>
          <w:szCs w:val="22"/>
          <w:lang w:eastAsia="en-US"/>
        </w:rPr>
        <w:t>’</w:t>
      </w:r>
      <w:r w:rsidRPr="006C28E7">
        <w:rPr>
          <w:rFonts w:eastAsia="Calibri"/>
          <w:b/>
          <w:i/>
          <w:color w:val="000000"/>
          <w:szCs w:val="22"/>
          <w:lang w:eastAsia="en-US"/>
        </w:rPr>
        <w:t>un engin, le capitaine du navire est tenu d</w:t>
      </w:r>
      <w:r w:rsidR="00D43184">
        <w:rPr>
          <w:rFonts w:eastAsia="Calibri"/>
          <w:b/>
          <w:i/>
          <w:color w:val="000000"/>
          <w:szCs w:val="22"/>
          <w:lang w:eastAsia="en-US"/>
        </w:rPr>
        <w:t>’</w:t>
      </w:r>
      <w:r w:rsidRPr="006C28E7">
        <w:rPr>
          <w:rFonts w:eastAsia="Calibri"/>
          <w:b/>
          <w:i/>
          <w:color w:val="000000"/>
          <w:szCs w:val="22"/>
          <w:lang w:eastAsia="en-US"/>
        </w:rPr>
        <w:t>essayer de le récupérer dès que possible. Si l</w:t>
      </w:r>
      <w:r w:rsidR="00D43184">
        <w:rPr>
          <w:rFonts w:eastAsia="Calibri"/>
          <w:b/>
          <w:i/>
          <w:color w:val="000000"/>
          <w:szCs w:val="22"/>
          <w:lang w:eastAsia="en-US"/>
        </w:rPr>
        <w:t>’</w:t>
      </w:r>
      <w:r w:rsidRPr="006C28E7">
        <w:rPr>
          <w:rFonts w:eastAsia="Calibri"/>
          <w:b/>
          <w:i/>
          <w:color w:val="000000"/>
          <w:szCs w:val="22"/>
          <w:lang w:eastAsia="en-US"/>
        </w:rPr>
        <w:t>engin perdu ne peut être retrouvé, le capitaine du navire de pêche doit en informer les autorités de l</w:t>
      </w:r>
      <w:r w:rsidR="00D43184">
        <w:rPr>
          <w:rFonts w:eastAsia="Calibri"/>
          <w:b/>
          <w:i/>
          <w:color w:val="000000"/>
          <w:szCs w:val="22"/>
          <w:lang w:eastAsia="en-US"/>
        </w:rPr>
        <w:t>’</w:t>
      </w:r>
      <w:r w:rsidRPr="006C28E7">
        <w:rPr>
          <w:rFonts w:eastAsia="Calibri"/>
          <w:b/>
          <w:i/>
          <w:color w:val="000000"/>
          <w:szCs w:val="22"/>
          <w:lang w:eastAsia="en-US"/>
        </w:rPr>
        <w:t>État membre de son pavillon dans les vingt-quatre heures. L</w:t>
      </w:r>
      <w:r w:rsidR="00D43184">
        <w:rPr>
          <w:rFonts w:eastAsia="Calibri"/>
          <w:b/>
          <w:i/>
          <w:color w:val="000000"/>
          <w:szCs w:val="22"/>
          <w:lang w:eastAsia="en-US"/>
        </w:rPr>
        <w:t>’</w:t>
      </w:r>
      <w:r w:rsidRPr="006C28E7">
        <w:rPr>
          <w:rFonts w:eastAsia="Calibri"/>
          <w:b/>
          <w:i/>
          <w:color w:val="000000"/>
          <w:szCs w:val="22"/>
          <w:lang w:eastAsia="en-US"/>
        </w:rPr>
        <w:t>État membre de son pavillon doit en informer à son tour l</w:t>
      </w:r>
      <w:r w:rsidR="00D43184">
        <w:rPr>
          <w:rFonts w:eastAsia="Calibri"/>
          <w:b/>
          <w:i/>
          <w:color w:val="000000"/>
          <w:szCs w:val="22"/>
          <w:lang w:eastAsia="en-US"/>
        </w:rPr>
        <w:t>’</w:t>
      </w:r>
      <w:r w:rsidRPr="006C28E7">
        <w:rPr>
          <w:rFonts w:eastAsia="Calibri"/>
          <w:b/>
          <w:i/>
          <w:color w:val="000000"/>
          <w:szCs w:val="22"/>
          <w:lang w:eastAsia="en-US"/>
        </w:rPr>
        <w:t>autorité compétente de l</w:t>
      </w:r>
      <w:r w:rsidR="00D43184">
        <w:rPr>
          <w:rFonts w:eastAsia="Calibri"/>
          <w:b/>
          <w:i/>
          <w:color w:val="000000"/>
          <w:szCs w:val="22"/>
          <w:lang w:eastAsia="en-US"/>
        </w:rPr>
        <w:t>’</w:t>
      </w:r>
      <w:r w:rsidRPr="006C28E7">
        <w:rPr>
          <w:rFonts w:eastAsia="Calibri"/>
          <w:b/>
          <w:i/>
          <w:color w:val="000000"/>
          <w:szCs w:val="22"/>
          <w:lang w:eastAsia="en-US"/>
        </w:rPr>
        <w:t>État membre côtier. Les informations comprennent le numéro d</w:t>
      </w:r>
      <w:r w:rsidR="00D43184">
        <w:rPr>
          <w:rFonts w:eastAsia="Calibri"/>
          <w:b/>
          <w:i/>
          <w:color w:val="000000"/>
          <w:szCs w:val="22"/>
          <w:lang w:eastAsia="en-US"/>
        </w:rPr>
        <w:t>’</w:t>
      </w:r>
      <w:r w:rsidRPr="006C28E7">
        <w:rPr>
          <w:rFonts w:eastAsia="Calibri"/>
          <w:b/>
          <w:i/>
          <w:color w:val="000000"/>
          <w:szCs w:val="22"/>
          <w:lang w:eastAsia="en-US"/>
        </w:rPr>
        <w:t>identification externe et le nom du navire de pêche, le type d</w:t>
      </w:r>
      <w:r w:rsidR="00D43184">
        <w:rPr>
          <w:rFonts w:eastAsia="Calibri"/>
          <w:b/>
          <w:i/>
          <w:color w:val="000000"/>
          <w:szCs w:val="22"/>
          <w:lang w:eastAsia="en-US"/>
        </w:rPr>
        <w:t>’</w:t>
      </w:r>
      <w:r w:rsidRPr="006C28E7">
        <w:rPr>
          <w:rFonts w:eastAsia="Calibri"/>
          <w:b/>
          <w:i/>
          <w:color w:val="000000"/>
          <w:szCs w:val="22"/>
          <w:lang w:eastAsia="en-US"/>
        </w:rPr>
        <w:t xml:space="preserve">engin perdu et la position de celui-ci, </w:t>
      </w:r>
      <w:r w:rsidRPr="006C28E7">
        <w:rPr>
          <w:rFonts w:eastAsia="Calibri"/>
          <w:b/>
          <w:i/>
          <w:szCs w:val="22"/>
          <w:lang w:eastAsia="en-US"/>
        </w:rPr>
        <w:t>ainsi que les mesures prises pour le récupérer</w:t>
      </w:r>
      <w:r w:rsidRPr="006C28E7">
        <w:rPr>
          <w:rFonts w:eastAsia="Calibri"/>
          <w:b/>
          <w:i/>
          <w:color w:val="000000"/>
          <w:szCs w:val="22"/>
          <w:lang w:eastAsia="en-US"/>
        </w:rPr>
        <w:t>. Les navires de pêche d</w:t>
      </w:r>
      <w:r w:rsidR="00D43184">
        <w:rPr>
          <w:rFonts w:eastAsia="Calibri"/>
          <w:b/>
          <w:i/>
          <w:color w:val="000000"/>
          <w:szCs w:val="22"/>
          <w:lang w:eastAsia="en-US"/>
        </w:rPr>
        <w:t>’</w:t>
      </w:r>
      <w:r w:rsidRPr="006C28E7">
        <w:rPr>
          <w:rFonts w:eastAsia="Calibri"/>
          <w:b/>
          <w:i/>
          <w:color w:val="000000"/>
          <w:szCs w:val="22"/>
          <w:lang w:eastAsia="en-US"/>
        </w:rPr>
        <w:t>une longueur inférieure à douze mètres peuvent être exemptés. Aux termes de la proposition de règlement du Parlement et du Conseil modifiant le règlement (CE) n° 1224/2009 du Conseil, la déclaration par le navire de pêche doit être faite dans un journal de pêche électronique, et les États membres sont tenus de recueillir et de consigner les informations concernant les engins perdus et de communiquer ces informations à la Commission, sur demande</w:t>
      </w:r>
      <w:r w:rsidRPr="006C28E7">
        <w:rPr>
          <w:rFonts w:eastAsia="Calibri"/>
          <w:i/>
          <w:szCs w:val="22"/>
          <w:lang w:eastAsia="en-US"/>
        </w:rPr>
        <w:t>.</w:t>
      </w:r>
      <w:r w:rsidRPr="006C28E7">
        <w:rPr>
          <w:rFonts w:eastAsia="Calibri"/>
          <w:b/>
          <w:i/>
          <w:color w:val="000000"/>
          <w:szCs w:val="22"/>
          <w:lang w:eastAsia="en-US"/>
        </w:rPr>
        <w:t xml:space="preserve"> Les informations recueillies et figurant sur les reçus de dépôt des déchets concernant les déchets pêchés passivement, conformément à la présente directive, pourraient également être déclarées de cette façon. </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(24)</w:t>
      </w:r>
      <w:r w:rsidRPr="006C28E7">
        <w:rPr>
          <w:rFonts w:eastAsia="Calibri"/>
          <w:b/>
          <w:i/>
          <w:color w:val="000000"/>
          <w:szCs w:val="22"/>
          <w:lang w:eastAsia="en-US"/>
        </w:rPr>
        <w:tab/>
      </w:r>
      <w:r w:rsidRPr="006C28E7">
        <w:rPr>
          <w:rFonts w:eastAsia="Calibri"/>
          <w:b/>
          <w:i/>
          <w:szCs w:val="22"/>
          <w:lang w:eastAsia="en-US"/>
        </w:rPr>
        <w:t>Conformément à la convention internationale pour le contrôle et la gestion des eaux de ballast et sédiments des navires, qui a été adoptée par l</w:t>
      </w:r>
      <w:r w:rsidR="00D43184">
        <w:rPr>
          <w:rFonts w:eastAsia="Calibri"/>
          <w:b/>
          <w:i/>
          <w:szCs w:val="22"/>
          <w:lang w:eastAsia="en-US"/>
        </w:rPr>
        <w:t>’</w:t>
      </w:r>
      <w:r w:rsidRPr="006C28E7">
        <w:rPr>
          <w:rFonts w:eastAsia="Calibri"/>
          <w:b/>
          <w:i/>
          <w:szCs w:val="22"/>
          <w:lang w:eastAsia="en-US"/>
        </w:rPr>
        <w:t>OMI le 13 février 2004 et qui est entrée en vigueur le</w:t>
      </w:r>
      <w:r w:rsidRPr="006C28E7">
        <w:rPr>
          <w:rFonts w:eastAsia="Calibri"/>
          <w:b/>
          <w:i/>
          <w:color w:val="000000"/>
          <w:szCs w:val="22"/>
          <w:lang w:eastAsia="en-US"/>
        </w:rPr>
        <w:t xml:space="preserve"> 8 septembre 2017, tous les navires sont tenus d</w:t>
      </w:r>
      <w:r w:rsidR="00D43184">
        <w:rPr>
          <w:rFonts w:eastAsia="Calibri"/>
          <w:b/>
          <w:i/>
          <w:color w:val="000000"/>
          <w:szCs w:val="22"/>
          <w:lang w:eastAsia="en-US"/>
        </w:rPr>
        <w:t>’</w:t>
      </w:r>
      <w:r w:rsidRPr="006C28E7">
        <w:rPr>
          <w:rFonts w:eastAsia="Calibri"/>
          <w:b/>
          <w:i/>
          <w:color w:val="000000"/>
          <w:szCs w:val="22"/>
          <w:lang w:eastAsia="en-US"/>
        </w:rPr>
        <w:t>appliquer des procédures de gestion des eaux de ballast conformément aux normes de l</w:t>
      </w:r>
      <w:r w:rsidR="00D43184">
        <w:rPr>
          <w:rFonts w:eastAsia="Calibri"/>
          <w:b/>
          <w:i/>
          <w:color w:val="000000"/>
          <w:szCs w:val="22"/>
          <w:lang w:eastAsia="en-US"/>
        </w:rPr>
        <w:t>’</w:t>
      </w:r>
      <w:r w:rsidRPr="006C28E7">
        <w:rPr>
          <w:rFonts w:eastAsia="Calibri"/>
          <w:b/>
          <w:i/>
          <w:color w:val="000000"/>
          <w:szCs w:val="22"/>
          <w:lang w:eastAsia="en-US"/>
        </w:rPr>
        <w:t>OMI, et les ports et les terminaux où ont lieu le nettoyage et les réparations des citernes à ballast sont tenus de fournir des installations adéquates pour la réception des sédiments.</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szCs w:val="22"/>
          <w:lang w:eastAsia="en-US"/>
        </w:rPr>
        <w:t>(25)</w:t>
      </w:r>
      <w:r w:rsidRPr="006C28E7">
        <w:rPr>
          <w:rFonts w:eastAsia="Calibri"/>
          <w:szCs w:val="22"/>
          <w:lang w:eastAsia="en-US"/>
        </w:rPr>
        <w:tab/>
        <w:t xml:space="preserve">Une installation de réception portuaire est considérée comme adéquate si elle est en mesure de répondre aux besoins des navires utilisant habituellement le port sans causer de retards anormaux, </w:t>
      </w:r>
      <w:r w:rsidRPr="006C28E7">
        <w:rPr>
          <w:rFonts w:eastAsia="Calibri"/>
          <w:b/>
          <w:bCs/>
          <w:i/>
          <w:iCs/>
          <w:szCs w:val="22"/>
          <w:lang w:eastAsia="en-US"/>
        </w:rPr>
        <w:t xml:space="preserve">comme cela est également indiqué dans le </w:t>
      </w:r>
      <w:r w:rsidRPr="006C28E7">
        <w:rPr>
          <w:rFonts w:eastAsia="Calibri"/>
          <w:szCs w:val="22"/>
          <w:lang w:eastAsia="en-US"/>
        </w:rPr>
        <w:t>guide récapitulatif de l</w:t>
      </w:r>
      <w:r w:rsidR="00D43184">
        <w:rPr>
          <w:rFonts w:eastAsia="Calibri"/>
          <w:szCs w:val="22"/>
          <w:lang w:eastAsia="en-US"/>
        </w:rPr>
        <w:t>’</w:t>
      </w:r>
      <w:r w:rsidRPr="006C28E7">
        <w:rPr>
          <w:rFonts w:eastAsia="Calibri"/>
          <w:szCs w:val="22"/>
          <w:lang w:eastAsia="en-US"/>
        </w:rPr>
        <w:t>OMI</w:t>
      </w:r>
      <w:r w:rsidRPr="006C28E7">
        <w:rPr>
          <w:rFonts w:eastAsia="Calibri"/>
          <w:b/>
          <w:bCs/>
          <w:i/>
          <w:iCs/>
          <w:szCs w:val="22"/>
          <w:lang w:eastAsia="en-US"/>
        </w:rPr>
        <w:t xml:space="preserve"> et dans les lignes directrices de l</w:t>
      </w:r>
      <w:r w:rsidR="00D43184">
        <w:rPr>
          <w:rFonts w:eastAsia="Calibri"/>
          <w:b/>
          <w:bCs/>
          <w:i/>
          <w:iCs/>
          <w:szCs w:val="22"/>
          <w:lang w:eastAsia="en-US"/>
        </w:rPr>
        <w:t>’</w:t>
      </w:r>
      <w:r w:rsidRPr="006C28E7">
        <w:rPr>
          <w:rFonts w:eastAsia="Calibri"/>
          <w:b/>
          <w:bCs/>
          <w:i/>
          <w:iCs/>
          <w:szCs w:val="22"/>
          <w:lang w:eastAsia="en-US"/>
        </w:rPr>
        <w:t>OMI visant à garantir l</w:t>
      </w:r>
      <w:r w:rsidR="00D43184">
        <w:rPr>
          <w:rFonts w:eastAsia="Calibri"/>
          <w:b/>
          <w:bCs/>
          <w:i/>
          <w:iCs/>
          <w:szCs w:val="22"/>
          <w:lang w:eastAsia="en-US"/>
        </w:rPr>
        <w:t>’</w:t>
      </w:r>
      <w:r w:rsidRPr="006C28E7">
        <w:rPr>
          <w:rFonts w:eastAsia="Calibri"/>
          <w:b/>
          <w:bCs/>
          <w:i/>
          <w:iCs/>
          <w:szCs w:val="22"/>
          <w:lang w:eastAsia="en-US"/>
        </w:rPr>
        <w:t>adéquation des installations portuaires de réception des déchets (résolution MEPC.83(44)).</w:t>
      </w:r>
      <w:r w:rsidRPr="006C28E7">
        <w:rPr>
          <w:rFonts w:eastAsia="Calibri"/>
          <w:szCs w:val="22"/>
          <w:lang w:eastAsia="en-US"/>
        </w:rPr>
        <w:t xml:space="preserve"> Le caractère adéquat a trait à la fois aux conditions d</w:t>
      </w:r>
      <w:r w:rsidR="00D43184">
        <w:rPr>
          <w:rFonts w:eastAsia="Calibri"/>
          <w:szCs w:val="22"/>
          <w:lang w:eastAsia="en-US"/>
        </w:rPr>
        <w:t>’</w:t>
      </w:r>
      <w:r w:rsidRPr="006C28E7">
        <w:rPr>
          <w:rFonts w:eastAsia="Calibri"/>
          <w:szCs w:val="22"/>
          <w:lang w:eastAsia="en-US"/>
        </w:rPr>
        <w:t>exploitation de l</w:t>
      </w:r>
      <w:r w:rsidR="00D43184">
        <w:rPr>
          <w:rFonts w:eastAsia="Calibri"/>
          <w:szCs w:val="22"/>
          <w:lang w:eastAsia="en-US"/>
        </w:rPr>
        <w:t>’</w:t>
      </w:r>
      <w:r w:rsidRPr="006C28E7">
        <w:rPr>
          <w:rFonts w:eastAsia="Calibri"/>
          <w:szCs w:val="22"/>
          <w:lang w:eastAsia="en-US"/>
        </w:rPr>
        <w:t>installation au regard des besoins des utilisateurs et à la gestion environnementale des installations conformément au droit de l</w:t>
      </w:r>
      <w:r w:rsidR="00D43184">
        <w:rPr>
          <w:rFonts w:eastAsia="Calibri"/>
          <w:szCs w:val="22"/>
          <w:lang w:eastAsia="en-US"/>
        </w:rPr>
        <w:t>’</w:t>
      </w:r>
      <w:r w:rsidRPr="006C28E7">
        <w:rPr>
          <w:rFonts w:eastAsia="Calibri"/>
          <w:szCs w:val="22"/>
          <w:lang w:eastAsia="en-US"/>
        </w:rPr>
        <w:t>Union en matière de déchets.</w:t>
      </w:r>
      <w:r w:rsidRPr="006C28E7">
        <w:rPr>
          <w:rFonts w:eastAsia="Calibri"/>
          <w:b/>
          <w:i/>
          <w:color w:val="000000"/>
          <w:szCs w:val="22"/>
          <w:lang w:eastAsia="en-US"/>
        </w:rPr>
        <w:t xml:space="preserve"> Il pourrait s</w:t>
      </w:r>
      <w:r w:rsidR="00D43184">
        <w:rPr>
          <w:rFonts w:eastAsia="Calibri"/>
          <w:b/>
          <w:i/>
          <w:color w:val="000000"/>
          <w:szCs w:val="22"/>
          <w:lang w:eastAsia="en-US"/>
        </w:rPr>
        <w:t>’</w:t>
      </w:r>
      <w:r w:rsidRPr="006C28E7">
        <w:rPr>
          <w:rFonts w:eastAsia="Calibri"/>
          <w:b/>
          <w:i/>
          <w:color w:val="000000"/>
          <w:szCs w:val="22"/>
          <w:lang w:eastAsia="en-US"/>
        </w:rPr>
        <w:t>avérer difficile, dans certains cas, d</w:t>
      </w:r>
      <w:r w:rsidR="00D43184">
        <w:rPr>
          <w:rFonts w:eastAsia="Calibri"/>
          <w:b/>
          <w:i/>
          <w:color w:val="000000"/>
          <w:szCs w:val="22"/>
          <w:lang w:eastAsia="en-US"/>
        </w:rPr>
        <w:t>’</w:t>
      </w:r>
      <w:r w:rsidRPr="006C28E7">
        <w:rPr>
          <w:rFonts w:eastAsia="Calibri"/>
          <w:b/>
          <w:i/>
          <w:color w:val="000000"/>
          <w:szCs w:val="22"/>
          <w:lang w:eastAsia="en-US"/>
        </w:rPr>
        <w:t>évaluer si une installation de réception portuaire située en dehors de l</w:t>
      </w:r>
      <w:r w:rsidR="00D43184">
        <w:rPr>
          <w:rFonts w:eastAsia="Calibri"/>
          <w:b/>
          <w:i/>
          <w:color w:val="000000"/>
          <w:szCs w:val="22"/>
          <w:lang w:eastAsia="en-US"/>
        </w:rPr>
        <w:t>’</w:t>
      </w:r>
      <w:r w:rsidRPr="006C28E7">
        <w:rPr>
          <w:rFonts w:eastAsia="Calibri"/>
          <w:b/>
          <w:i/>
          <w:color w:val="000000"/>
          <w:szCs w:val="22"/>
          <w:lang w:eastAsia="en-US"/>
        </w:rPr>
        <w:t>Union respecte une telle norme.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(26)</w:t>
      </w:r>
      <w:r w:rsidRPr="006C28E7">
        <w:rPr>
          <w:rFonts w:eastAsia="Calibri"/>
          <w:szCs w:val="22"/>
          <w:lang w:eastAsia="en-US"/>
        </w:rPr>
        <w:tab/>
        <w:t xml:space="preserve">Le règlement (CE) </w:t>
      </w:r>
      <w:r w:rsidRPr="006C28E7">
        <w:rPr>
          <w:rFonts w:eastAsia="Calibri"/>
          <w:b/>
          <w:bCs/>
          <w:i/>
          <w:iCs/>
          <w:szCs w:val="22"/>
          <w:lang w:eastAsia="en-US"/>
        </w:rPr>
        <w:t>n°</w:t>
      </w:r>
      <w:r w:rsidRPr="006C28E7">
        <w:rPr>
          <w:rFonts w:eastAsia="Calibri"/>
          <w:b/>
          <w:bCs/>
          <w:szCs w:val="22"/>
          <w:lang w:eastAsia="en-US"/>
        </w:rPr>
        <w:t xml:space="preserve"> </w:t>
      </w:r>
      <w:r w:rsidRPr="006C28E7">
        <w:rPr>
          <w:rFonts w:eastAsia="Calibri"/>
          <w:szCs w:val="22"/>
          <w:lang w:eastAsia="en-US"/>
        </w:rPr>
        <w:t>1069/2009 du Parlement européen et du Conseil</w:t>
      </w:r>
      <w:r w:rsidRPr="006C28E7">
        <w:rPr>
          <w:b/>
          <w:szCs w:val="22"/>
          <w:vertAlign w:val="superscript"/>
        </w:rPr>
        <w:footnoteReference w:id="11"/>
      </w:r>
      <w:r w:rsidRPr="006C28E7">
        <w:rPr>
          <w:rFonts w:eastAsia="Calibri"/>
          <w:szCs w:val="22"/>
          <w:lang w:eastAsia="en-US"/>
        </w:rPr>
        <w:t xml:space="preserve"> exige que les déchets de cuisine et de table issus de voyages internationaux soient incinérés ou éliminés par enfouissement dans une décharge autorisée, y compris les déchets des navires faisant escale dans des ports de l</w:t>
      </w:r>
      <w:r w:rsidR="00D43184">
        <w:rPr>
          <w:rFonts w:eastAsia="Calibri"/>
          <w:szCs w:val="22"/>
          <w:lang w:eastAsia="en-US"/>
        </w:rPr>
        <w:t>’</w:t>
      </w:r>
      <w:r w:rsidRPr="006C28E7">
        <w:rPr>
          <w:rFonts w:eastAsia="Calibri"/>
          <w:szCs w:val="22"/>
          <w:lang w:eastAsia="en-US"/>
        </w:rPr>
        <w:t>Union et qui sont susceptibles d</w:t>
      </w:r>
      <w:r w:rsidR="00D43184">
        <w:rPr>
          <w:rFonts w:eastAsia="Calibri"/>
          <w:szCs w:val="22"/>
          <w:lang w:eastAsia="en-US"/>
        </w:rPr>
        <w:t>’</w:t>
      </w:r>
      <w:r w:rsidRPr="006C28E7">
        <w:rPr>
          <w:rFonts w:eastAsia="Calibri"/>
          <w:szCs w:val="22"/>
          <w:lang w:eastAsia="en-US"/>
        </w:rPr>
        <w:t xml:space="preserve">avoir été en contact avec des sous-produits animaux à bord. Afin que cette exigence ne limite pas la </w:t>
      </w:r>
      <w:r w:rsidRPr="006C28E7">
        <w:rPr>
          <w:rFonts w:eastAsia="Calibri"/>
          <w:b/>
          <w:bCs/>
          <w:i/>
          <w:iCs/>
          <w:szCs w:val="22"/>
          <w:lang w:eastAsia="en-US"/>
        </w:rPr>
        <w:t>préparation en vue du</w:t>
      </w:r>
      <w:r w:rsidRPr="006C28E7">
        <w:rPr>
          <w:rFonts w:eastAsia="Calibri"/>
          <w:b/>
          <w:bCs/>
          <w:szCs w:val="22"/>
          <w:lang w:eastAsia="en-US"/>
        </w:rPr>
        <w:t xml:space="preserve"> </w:t>
      </w:r>
      <w:r w:rsidRPr="006C28E7">
        <w:rPr>
          <w:rFonts w:eastAsia="Calibri"/>
          <w:szCs w:val="22"/>
          <w:lang w:eastAsia="en-US"/>
        </w:rPr>
        <w:t>réemploi et du recyclage ultérieurs des déchets des navires, il convient de s</w:t>
      </w:r>
      <w:r w:rsidR="00D43184">
        <w:rPr>
          <w:rFonts w:eastAsia="Calibri"/>
          <w:szCs w:val="22"/>
          <w:lang w:eastAsia="en-US"/>
        </w:rPr>
        <w:t>’</w:t>
      </w:r>
      <w:r w:rsidRPr="006C28E7">
        <w:rPr>
          <w:rFonts w:eastAsia="Calibri"/>
          <w:szCs w:val="22"/>
          <w:lang w:eastAsia="en-US"/>
        </w:rPr>
        <w:t xml:space="preserve">efforcer, </w:t>
      </w:r>
      <w:r w:rsidRPr="006C28E7">
        <w:rPr>
          <w:rFonts w:eastAsia="Calibri"/>
          <w:b/>
          <w:bCs/>
          <w:i/>
          <w:iCs/>
          <w:szCs w:val="22"/>
          <w:lang w:eastAsia="en-US"/>
        </w:rPr>
        <w:t>conformément au guide récapitulatif de l</w:t>
      </w:r>
      <w:r w:rsidR="00D43184">
        <w:rPr>
          <w:rFonts w:eastAsia="Calibri"/>
          <w:b/>
          <w:bCs/>
          <w:i/>
          <w:iCs/>
          <w:szCs w:val="22"/>
          <w:lang w:eastAsia="en-US"/>
        </w:rPr>
        <w:t>’</w:t>
      </w:r>
      <w:r w:rsidRPr="006C28E7">
        <w:rPr>
          <w:rFonts w:eastAsia="Calibri"/>
          <w:b/>
          <w:bCs/>
          <w:i/>
          <w:iCs/>
          <w:szCs w:val="22"/>
          <w:lang w:eastAsia="en-US"/>
        </w:rPr>
        <w:t>OMI</w:t>
      </w:r>
      <w:r w:rsidRPr="006C28E7">
        <w:rPr>
          <w:rFonts w:eastAsia="Calibri"/>
          <w:szCs w:val="22"/>
          <w:lang w:eastAsia="en-US"/>
        </w:rPr>
        <w:t xml:space="preserve">, de mieux trier les déchets </w:t>
      </w:r>
      <w:r w:rsidRPr="006C28E7">
        <w:rPr>
          <w:rFonts w:eastAsia="Calibri"/>
          <w:color w:val="000000"/>
          <w:szCs w:val="22"/>
          <w:lang w:eastAsia="en-US"/>
        </w:rPr>
        <w:t>▌</w:t>
      </w:r>
      <w:r w:rsidRPr="006C28E7">
        <w:rPr>
          <w:rFonts w:eastAsia="Calibri"/>
          <w:szCs w:val="22"/>
          <w:lang w:eastAsia="en-US"/>
        </w:rPr>
        <w:t xml:space="preserve"> afin d</w:t>
      </w:r>
      <w:r w:rsidR="00D43184">
        <w:rPr>
          <w:rFonts w:eastAsia="Calibri"/>
          <w:szCs w:val="22"/>
          <w:lang w:eastAsia="en-US"/>
        </w:rPr>
        <w:t>’</w:t>
      </w:r>
      <w:r w:rsidRPr="006C28E7">
        <w:rPr>
          <w:rFonts w:eastAsia="Calibri"/>
          <w:szCs w:val="22"/>
          <w:lang w:eastAsia="en-US"/>
        </w:rPr>
        <w:t>éviter le risque de contamination des déchets, comme les déchets d</w:t>
      </w:r>
      <w:r w:rsidR="00D43184">
        <w:rPr>
          <w:rFonts w:eastAsia="Calibri"/>
          <w:szCs w:val="22"/>
          <w:lang w:eastAsia="en-US"/>
        </w:rPr>
        <w:t>’</w:t>
      </w:r>
      <w:r w:rsidRPr="006C28E7">
        <w:rPr>
          <w:rFonts w:eastAsia="Calibri"/>
          <w:szCs w:val="22"/>
          <w:lang w:eastAsia="en-US"/>
        </w:rPr>
        <w:t>emballage.</w:t>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(27)</w:t>
      </w:r>
      <w:r w:rsidRPr="006C28E7">
        <w:rPr>
          <w:rFonts w:eastAsia="Calibri"/>
          <w:b/>
          <w:i/>
          <w:color w:val="000000"/>
          <w:szCs w:val="22"/>
          <w:lang w:eastAsia="en-US"/>
        </w:rPr>
        <w:tab/>
        <w:t>Ainsi que le prévoit le règlement (CE) n° 1069/2009, en liaison avec le règlement (UE) n° 142/2011 de la Commission</w:t>
      </w:r>
      <w:r w:rsidRPr="006C28E7">
        <w:rPr>
          <w:rFonts w:eastAsia="Calibri"/>
          <w:b/>
          <w:i/>
          <w:color w:val="000000"/>
          <w:szCs w:val="22"/>
          <w:vertAlign w:val="superscript"/>
          <w:lang w:eastAsia="en-US"/>
        </w:rPr>
        <w:footnoteReference w:id="12"/>
      </w:r>
      <w:r w:rsidRPr="006C28E7">
        <w:rPr>
          <w:rFonts w:eastAsia="Calibri"/>
          <w:b/>
          <w:i/>
          <w:color w:val="000000"/>
          <w:szCs w:val="22"/>
          <w:lang w:eastAsia="en-US"/>
        </w:rPr>
        <w:t>, les voyages à l</w:t>
      </w:r>
      <w:r w:rsidR="00D43184">
        <w:rPr>
          <w:rFonts w:eastAsia="Calibri"/>
          <w:b/>
          <w:i/>
          <w:color w:val="000000"/>
          <w:szCs w:val="22"/>
          <w:lang w:eastAsia="en-US"/>
        </w:rPr>
        <w:t>’</w:t>
      </w:r>
      <w:r w:rsidRPr="006C28E7">
        <w:rPr>
          <w:rFonts w:eastAsia="Calibri"/>
          <w:b/>
          <w:i/>
          <w:color w:val="000000"/>
          <w:szCs w:val="22"/>
          <w:lang w:eastAsia="en-US"/>
        </w:rPr>
        <w:t>intérieur de l</w:t>
      </w:r>
      <w:r w:rsidR="00D43184">
        <w:rPr>
          <w:rFonts w:eastAsia="Calibri"/>
          <w:b/>
          <w:i/>
          <w:color w:val="000000"/>
          <w:szCs w:val="22"/>
          <w:lang w:eastAsia="en-US"/>
        </w:rPr>
        <w:t>’</w:t>
      </w:r>
      <w:r w:rsidRPr="006C28E7">
        <w:rPr>
          <w:rFonts w:eastAsia="Calibri"/>
          <w:b/>
          <w:i/>
          <w:color w:val="000000"/>
          <w:szCs w:val="22"/>
          <w:lang w:eastAsia="en-US"/>
        </w:rPr>
        <w:t>Union ne sont pas considérés comme du transport opérant au niveau international et les déchets de cuisine et de table provenant de ces voyages ne doivent pas obligatoirement être incinérés. Toutefois, ces voyages à l</w:t>
      </w:r>
      <w:r w:rsidR="00D43184">
        <w:rPr>
          <w:rFonts w:eastAsia="Calibri"/>
          <w:b/>
          <w:i/>
          <w:color w:val="000000"/>
          <w:szCs w:val="22"/>
          <w:lang w:eastAsia="en-US"/>
        </w:rPr>
        <w:t>’</w:t>
      </w:r>
      <w:r w:rsidRPr="006C28E7">
        <w:rPr>
          <w:rFonts w:eastAsia="Calibri"/>
          <w:b/>
          <w:i/>
          <w:color w:val="000000"/>
          <w:szCs w:val="22"/>
          <w:lang w:eastAsia="en-US"/>
        </w:rPr>
        <w:t>intérieur de l</w:t>
      </w:r>
      <w:r w:rsidR="00D43184">
        <w:rPr>
          <w:rFonts w:eastAsia="Calibri"/>
          <w:b/>
          <w:i/>
          <w:color w:val="000000"/>
          <w:szCs w:val="22"/>
          <w:lang w:eastAsia="en-US"/>
        </w:rPr>
        <w:t>’</w:t>
      </w:r>
      <w:r w:rsidRPr="006C28E7">
        <w:rPr>
          <w:rFonts w:eastAsia="Calibri"/>
          <w:b/>
          <w:i/>
          <w:color w:val="000000"/>
          <w:szCs w:val="22"/>
          <w:lang w:eastAsia="en-US"/>
        </w:rPr>
        <w:t>Union sont considérés comme des voyages internationaux au titre de la législation maritime internationale (la convention MARPOL et la convention internationale pour la sauvegarde de la vie humaine en mer (SOLAS)). Afin d</w:t>
      </w:r>
      <w:r w:rsidR="00D43184">
        <w:rPr>
          <w:rFonts w:eastAsia="Calibri"/>
          <w:b/>
          <w:i/>
          <w:color w:val="000000"/>
          <w:szCs w:val="22"/>
          <w:lang w:eastAsia="en-US"/>
        </w:rPr>
        <w:t>’</w:t>
      </w:r>
      <w:r w:rsidRPr="006C28E7">
        <w:rPr>
          <w:rFonts w:eastAsia="Calibri"/>
          <w:b/>
          <w:i/>
          <w:color w:val="000000"/>
          <w:szCs w:val="22"/>
          <w:lang w:eastAsia="en-US"/>
        </w:rPr>
        <w:t>assurer la cohérence du droit de l</w:t>
      </w:r>
      <w:r w:rsidR="00D43184">
        <w:rPr>
          <w:rFonts w:eastAsia="Calibri"/>
          <w:b/>
          <w:i/>
          <w:color w:val="000000"/>
          <w:szCs w:val="22"/>
          <w:lang w:eastAsia="en-US"/>
        </w:rPr>
        <w:t>’</w:t>
      </w:r>
      <w:r w:rsidRPr="006C28E7">
        <w:rPr>
          <w:rFonts w:eastAsia="Calibri"/>
          <w:b/>
          <w:i/>
          <w:color w:val="000000"/>
          <w:szCs w:val="22"/>
          <w:lang w:eastAsia="en-US"/>
        </w:rPr>
        <w:t>Union, il convient de respecter les définitions énoncées dans le règlement (CE) n° 1069/2009 au moment de définir le champ d</w:t>
      </w:r>
      <w:r w:rsidR="00D43184">
        <w:rPr>
          <w:rFonts w:eastAsia="Calibri"/>
          <w:b/>
          <w:i/>
          <w:color w:val="000000"/>
          <w:szCs w:val="22"/>
          <w:lang w:eastAsia="en-US"/>
        </w:rPr>
        <w:t>’</w:t>
      </w:r>
      <w:r w:rsidRPr="006C28E7">
        <w:rPr>
          <w:rFonts w:eastAsia="Calibri"/>
          <w:b/>
          <w:i/>
          <w:color w:val="000000"/>
          <w:szCs w:val="22"/>
          <w:lang w:eastAsia="en-US"/>
        </w:rPr>
        <w:t>application et le traitement des déchets de cuisine et de table internationaux dans le cadre de la présente directive, en liaison avec le règlement (UE) n° 142/2011.</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(28)</w:t>
      </w:r>
      <w:r w:rsidRPr="006C28E7">
        <w:rPr>
          <w:rFonts w:eastAsia="Calibri"/>
          <w:szCs w:val="22"/>
          <w:lang w:eastAsia="en-US"/>
        </w:rPr>
        <w:tab/>
        <w:t>Pour garantir l</w:t>
      </w:r>
      <w:r w:rsidR="00D43184">
        <w:rPr>
          <w:rFonts w:eastAsia="Calibri"/>
          <w:szCs w:val="22"/>
          <w:lang w:eastAsia="en-US"/>
        </w:rPr>
        <w:t>’</w:t>
      </w:r>
      <w:r w:rsidRPr="006C28E7">
        <w:rPr>
          <w:rFonts w:eastAsia="Calibri"/>
          <w:szCs w:val="22"/>
          <w:lang w:eastAsia="en-US"/>
        </w:rPr>
        <w:t>adéquation des installations de réception portuaires, il est indispensable d</w:t>
      </w:r>
      <w:r w:rsidR="00D43184">
        <w:rPr>
          <w:rFonts w:eastAsia="Calibri"/>
          <w:szCs w:val="22"/>
          <w:lang w:eastAsia="en-US"/>
        </w:rPr>
        <w:t>’</w:t>
      </w:r>
      <w:r w:rsidRPr="006C28E7">
        <w:rPr>
          <w:rFonts w:eastAsia="Calibri"/>
          <w:szCs w:val="22"/>
          <w:lang w:eastAsia="en-US"/>
        </w:rPr>
        <w:t xml:space="preserve">élaborer, </w:t>
      </w:r>
      <w:r w:rsidRPr="006C28E7">
        <w:rPr>
          <w:rFonts w:eastAsia="Calibri"/>
          <w:b/>
          <w:bCs/>
          <w:i/>
          <w:iCs/>
          <w:szCs w:val="22"/>
          <w:lang w:eastAsia="en-US"/>
        </w:rPr>
        <w:t>de mettre en œuvre</w:t>
      </w:r>
      <w:r w:rsidRPr="006C28E7">
        <w:rPr>
          <w:rFonts w:eastAsia="Calibri"/>
          <w:szCs w:val="22"/>
          <w:lang w:eastAsia="en-US"/>
        </w:rPr>
        <w:t xml:space="preserve"> et de réévaluer le plan de réception et de traitement des déchets sur la base de la consultation de toutes les </w:t>
      </w:r>
      <w:r w:rsidRPr="006C28E7">
        <w:rPr>
          <w:rFonts w:eastAsia="Calibri"/>
          <w:b/>
          <w:bCs/>
          <w:i/>
          <w:iCs/>
          <w:szCs w:val="22"/>
          <w:lang w:eastAsia="en-US"/>
        </w:rPr>
        <w:t>parties concernées</w:t>
      </w:r>
      <w:r w:rsidRPr="006C28E7">
        <w:rPr>
          <w:rFonts w:eastAsia="Calibri"/>
          <w:szCs w:val="22"/>
          <w:lang w:eastAsia="en-US"/>
        </w:rPr>
        <w:t>. Pour des raisons d</w:t>
      </w:r>
      <w:r w:rsidR="00D43184">
        <w:rPr>
          <w:rFonts w:eastAsia="Calibri"/>
          <w:szCs w:val="22"/>
          <w:lang w:eastAsia="en-US"/>
        </w:rPr>
        <w:t>’</w:t>
      </w:r>
      <w:r w:rsidRPr="006C28E7">
        <w:rPr>
          <w:rFonts w:eastAsia="Calibri"/>
          <w:szCs w:val="22"/>
          <w:lang w:eastAsia="en-US"/>
        </w:rPr>
        <w:t>ordre pratique et organisationnel, les ports voisins d</w:t>
      </w:r>
      <w:r w:rsidR="00D43184">
        <w:rPr>
          <w:rFonts w:eastAsia="Calibri"/>
          <w:szCs w:val="22"/>
          <w:lang w:eastAsia="en-US"/>
        </w:rPr>
        <w:t>’</w:t>
      </w:r>
      <w:r w:rsidRPr="006C28E7">
        <w:rPr>
          <w:rFonts w:eastAsia="Calibri"/>
          <w:szCs w:val="22"/>
          <w:lang w:eastAsia="en-US"/>
        </w:rPr>
        <w:t xml:space="preserve">une même région </w:t>
      </w:r>
      <w:r w:rsidRPr="006C28E7">
        <w:rPr>
          <w:rFonts w:eastAsia="Calibri"/>
          <w:b/>
          <w:bCs/>
          <w:i/>
          <w:iCs/>
          <w:szCs w:val="22"/>
          <w:lang w:eastAsia="en-US"/>
        </w:rPr>
        <w:t>géographique</w:t>
      </w:r>
      <w:r w:rsidRPr="006C28E7">
        <w:rPr>
          <w:rFonts w:eastAsia="Calibri"/>
          <w:szCs w:val="22"/>
          <w:lang w:eastAsia="en-US"/>
        </w:rPr>
        <w:t xml:space="preserve"> pourraient souhaiter établir un plan conjoint portant sur la disponibilité des installations de réception portuaires dans chacun des ports couverts par le plan tout en offrant un cadre administratif commun.</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(29)</w:t>
      </w:r>
      <w:r w:rsidRPr="006C28E7">
        <w:rPr>
          <w:rFonts w:eastAsia="Calibri"/>
          <w:b/>
          <w:i/>
          <w:color w:val="000000"/>
          <w:szCs w:val="22"/>
          <w:lang w:eastAsia="en-US"/>
        </w:rPr>
        <w:tab/>
        <w:t>Il peut s</w:t>
      </w:r>
      <w:r w:rsidR="00D43184">
        <w:rPr>
          <w:rFonts w:eastAsia="Calibri"/>
          <w:b/>
          <w:i/>
          <w:color w:val="000000"/>
          <w:szCs w:val="22"/>
          <w:lang w:eastAsia="en-US"/>
        </w:rPr>
        <w:t>’</w:t>
      </w:r>
      <w:r w:rsidRPr="006C28E7">
        <w:rPr>
          <w:rFonts w:eastAsia="Calibri"/>
          <w:b/>
          <w:i/>
          <w:color w:val="000000"/>
          <w:szCs w:val="22"/>
          <w:lang w:eastAsia="en-US"/>
        </w:rPr>
        <w:t>avérer difficile d</w:t>
      </w:r>
      <w:r w:rsidR="00D43184">
        <w:rPr>
          <w:rFonts w:eastAsia="Calibri"/>
          <w:b/>
          <w:i/>
          <w:color w:val="000000"/>
          <w:szCs w:val="22"/>
          <w:lang w:eastAsia="en-US"/>
        </w:rPr>
        <w:t>’</w:t>
      </w:r>
      <w:r w:rsidRPr="006C28E7">
        <w:rPr>
          <w:rFonts w:eastAsia="Calibri"/>
          <w:b/>
          <w:i/>
          <w:color w:val="000000"/>
          <w:szCs w:val="22"/>
          <w:lang w:eastAsia="en-US"/>
        </w:rPr>
        <w:t>adopter et de contrôler des plans de réception et de traitement des déchets pour les petits ports non-commerciaux, tels que les zones d</w:t>
      </w:r>
      <w:r w:rsidR="00D43184">
        <w:rPr>
          <w:rFonts w:eastAsia="Calibri"/>
          <w:b/>
          <w:i/>
          <w:color w:val="000000"/>
          <w:szCs w:val="22"/>
          <w:lang w:eastAsia="en-US"/>
        </w:rPr>
        <w:t>’</w:t>
      </w:r>
      <w:r w:rsidRPr="006C28E7">
        <w:rPr>
          <w:rFonts w:eastAsia="Calibri"/>
          <w:b/>
          <w:i/>
          <w:color w:val="000000"/>
          <w:szCs w:val="22"/>
          <w:lang w:eastAsia="en-US"/>
        </w:rPr>
        <w:t>amarrage et les marinas, dont le trafic - constitué uniquement de bateaux de plaisance - est faible, ou qui ne sont utilisés que pendant une partie de l</w:t>
      </w:r>
      <w:r w:rsidR="00D43184">
        <w:rPr>
          <w:rFonts w:eastAsia="Calibri"/>
          <w:b/>
          <w:i/>
          <w:color w:val="000000"/>
          <w:szCs w:val="22"/>
          <w:lang w:eastAsia="en-US"/>
        </w:rPr>
        <w:t>’</w:t>
      </w:r>
      <w:r w:rsidRPr="006C28E7">
        <w:rPr>
          <w:rFonts w:eastAsia="Calibri"/>
          <w:b/>
          <w:i/>
          <w:color w:val="000000"/>
          <w:szCs w:val="22"/>
          <w:lang w:eastAsia="en-US"/>
        </w:rPr>
        <w:t xml:space="preserve">année. En règle générale, les déchets provenant de ces petits ports sont traités par le système municipal de gestion des déchets conformément aux principes énoncés dans la directive </w:t>
      </w:r>
      <w:r w:rsidRPr="006C28E7">
        <w:rPr>
          <w:b/>
          <w:i/>
          <w:color w:val="000000"/>
          <w:szCs w:val="22"/>
          <w:lang w:eastAsia="en-US"/>
        </w:rPr>
        <w:t>2008/98/CE</w:t>
      </w:r>
      <w:r w:rsidRPr="006C28E7">
        <w:rPr>
          <w:rFonts w:eastAsia="Calibri"/>
          <w:b/>
          <w:i/>
          <w:color w:val="000000"/>
          <w:szCs w:val="22"/>
          <w:lang w:eastAsia="en-US"/>
        </w:rPr>
        <w:t>. Afin de ne pas surcharger les autorités locales et de faciliter la gestion des déchets dans ces petits ports, il devrait suffire que les déchets provenant de ces ports soient inclus dans le flux de déchets municipaux et gérés en conséquence, que le port communique aux utilisateurs du port les informations relatives à la réception des déchets, et que les ports exemptés soient signalés dans un système électronique afin de pouvoir réduire le contrôle au minimum.</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(30)</w:t>
      </w:r>
      <w:r w:rsidRPr="006C28E7">
        <w:rPr>
          <w:rFonts w:eastAsia="Calibri"/>
          <w:szCs w:val="22"/>
          <w:lang w:eastAsia="en-US"/>
        </w:rPr>
        <w:tab/>
        <w:t>Pour résoudre le problème des déchets sauvages dans le milieu marin de manière efficace, il est essentiel de prévoir un niveau adéquat de mesures d</w:t>
      </w:r>
      <w:r w:rsidR="00D43184">
        <w:rPr>
          <w:rFonts w:eastAsia="Calibri"/>
          <w:szCs w:val="22"/>
          <w:lang w:eastAsia="en-US"/>
        </w:rPr>
        <w:t>’</w:t>
      </w:r>
      <w:r w:rsidRPr="006C28E7">
        <w:rPr>
          <w:rFonts w:eastAsia="Calibri"/>
          <w:szCs w:val="22"/>
          <w:lang w:eastAsia="en-US"/>
        </w:rPr>
        <w:t xml:space="preserve">incitation au dépôt des déchets dans les installations de réception portuaires, en particulier des </w:t>
      </w:r>
      <w:r w:rsidRPr="006C28E7">
        <w:rPr>
          <w:rFonts w:eastAsia="Calibri"/>
          <w:b/>
          <w:bCs/>
          <w:i/>
          <w:iCs/>
          <w:szCs w:val="22"/>
          <w:lang w:eastAsia="en-US"/>
        </w:rPr>
        <w:t>déchets définis à l</w:t>
      </w:r>
      <w:r w:rsidR="00D43184">
        <w:rPr>
          <w:rFonts w:eastAsia="Calibri"/>
          <w:b/>
          <w:bCs/>
          <w:i/>
          <w:iCs/>
          <w:szCs w:val="22"/>
          <w:lang w:eastAsia="en-US"/>
        </w:rPr>
        <w:t>’</w:t>
      </w:r>
      <w:r w:rsidRPr="006C28E7">
        <w:rPr>
          <w:rFonts w:eastAsia="Calibri"/>
          <w:b/>
          <w:bCs/>
          <w:i/>
          <w:iCs/>
          <w:szCs w:val="22"/>
          <w:lang w:eastAsia="en-US"/>
        </w:rPr>
        <w:t>annexe V de la convention MARPOL (ci-après dénommés "déchets relevant de l</w:t>
      </w:r>
      <w:r w:rsidR="00D43184">
        <w:rPr>
          <w:rFonts w:eastAsia="Calibri"/>
          <w:b/>
          <w:bCs/>
          <w:i/>
          <w:iCs/>
          <w:szCs w:val="22"/>
          <w:lang w:eastAsia="en-US"/>
        </w:rPr>
        <w:t>’</w:t>
      </w:r>
      <w:r w:rsidRPr="006C28E7">
        <w:rPr>
          <w:rFonts w:eastAsia="Calibri"/>
          <w:b/>
          <w:bCs/>
          <w:i/>
          <w:iCs/>
          <w:szCs w:val="22"/>
          <w:lang w:eastAsia="en-US"/>
        </w:rPr>
        <w:t>annexe V de MARPOL")</w:t>
      </w:r>
      <w:r w:rsidRPr="006C28E7">
        <w:rPr>
          <w:rFonts w:eastAsia="Calibri"/>
          <w:szCs w:val="22"/>
          <w:lang w:eastAsia="en-US"/>
        </w:rPr>
        <w:t>. Il est possible d</w:t>
      </w:r>
      <w:r w:rsidR="00D43184">
        <w:rPr>
          <w:rFonts w:eastAsia="Calibri"/>
          <w:szCs w:val="22"/>
          <w:lang w:eastAsia="en-US"/>
        </w:rPr>
        <w:t>’</w:t>
      </w:r>
      <w:r w:rsidRPr="006C28E7">
        <w:rPr>
          <w:rFonts w:eastAsia="Calibri"/>
          <w:szCs w:val="22"/>
          <w:lang w:eastAsia="en-US"/>
        </w:rPr>
        <w:t>y parvenir grâce à un système de recouvrement des coûts qui impose l</w:t>
      </w:r>
      <w:r w:rsidR="00D43184">
        <w:rPr>
          <w:rFonts w:eastAsia="Calibri"/>
          <w:szCs w:val="22"/>
          <w:lang w:eastAsia="en-US"/>
        </w:rPr>
        <w:t>’</w:t>
      </w:r>
      <w:r w:rsidRPr="006C28E7">
        <w:rPr>
          <w:rFonts w:eastAsia="Calibri"/>
          <w:szCs w:val="22"/>
          <w:lang w:eastAsia="en-US"/>
        </w:rPr>
        <w:t>application d</w:t>
      </w:r>
      <w:r w:rsidR="00D43184">
        <w:rPr>
          <w:rFonts w:eastAsia="Calibri"/>
          <w:szCs w:val="22"/>
          <w:lang w:eastAsia="en-US"/>
        </w:rPr>
        <w:t>’</w:t>
      </w:r>
      <w:r w:rsidRPr="006C28E7">
        <w:rPr>
          <w:rFonts w:eastAsia="Calibri"/>
          <w:szCs w:val="22"/>
          <w:lang w:eastAsia="en-US"/>
        </w:rPr>
        <w:t>une redevance indirecte. Il convient que cette redevance indirecte soit due indépendamment du fait que des déchets soient déposés ou non, et devrait donner le droit de déposer des déchets sans paiement de frais directs supplémentaires. Les secteurs de la pêche et de la navigation de plaisance devraient également être soumis à la redevance indirecte en raison de leur part dans le déversement en mer de déchets sauvages dans le milieu marin.</w:t>
      </w:r>
      <w:r w:rsidRPr="006C28E7">
        <w:rPr>
          <w:rFonts w:eastAsia="Calibri"/>
          <w:b/>
          <w:i/>
          <w:color w:val="000000"/>
          <w:szCs w:val="22"/>
          <w:lang w:eastAsia="en-US"/>
        </w:rPr>
        <w:t xml:space="preserve"> Toutefois, lorsqu</w:t>
      </w:r>
      <w:r w:rsidR="00D43184">
        <w:rPr>
          <w:rFonts w:eastAsia="Calibri"/>
          <w:b/>
          <w:i/>
          <w:color w:val="000000"/>
          <w:szCs w:val="22"/>
          <w:lang w:eastAsia="en-US"/>
        </w:rPr>
        <w:t>’</w:t>
      </w:r>
      <w:r w:rsidRPr="006C28E7">
        <w:rPr>
          <w:rFonts w:eastAsia="Calibri"/>
          <w:b/>
          <w:i/>
          <w:color w:val="000000"/>
          <w:szCs w:val="22"/>
          <w:lang w:eastAsia="en-US"/>
        </w:rPr>
        <w:t>un navire dépose un volume exceptionnel de déchets relevant de l</w:t>
      </w:r>
      <w:r w:rsidR="00D43184">
        <w:rPr>
          <w:rFonts w:eastAsia="Calibri"/>
          <w:b/>
          <w:i/>
          <w:color w:val="000000"/>
          <w:szCs w:val="22"/>
          <w:lang w:eastAsia="en-US"/>
        </w:rPr>
        <w:t>’</w:t>
      </w:r>
      <w:r w:rsidRPr="006C28E7">
        <w:rPr>
          <w:rFonts w:eastAsia="Calibri"/>
          <w:b/>
          <w:i/>
          <w:color w:val="000000"/>
          <w:szCs w:val="22"/>
          <w:lang w:eastAsia="en-US"/>
        </w:rPr>
        <w:t>annexe V de MARPOL, en particulier des déchets d</w:t>
      </w:r>
      <w:r w:rsidR="00D43184">
        <w:rPr>
          <w:rFonts w:eastAsia="Calibri"/>
          <w:b/>
          <w:i/>
          <w:color w:val="000000"/>
          <w:szCs w:val="22"/>
          <w:lang w:eastAsia="en-US"/>
        </w:rPr>
        <w:t>’</w:t>
      </w:r>
      <w:r w:rsidRPr="006C28E7">
        <w:rPr>
          <w:rFonts w:eastAsia="Calibri"/>
          <w:b/>
          <w:i/>
          <w:color w:val="000000"/>
          <w:szCs w:val="22"/>
          <w:lang w:eastAsia="en-US"/>
        </w:rPr>
        <w:t>exploitation, qui excède la capacité de stockage dédiée maximale indiquée dans le formulaire de notification préalable de dépôt de déchets, il devrait être possible de percevoir une redevance directe supplémentaire pour faire en sorte que les coûts liés à la réception de ce volume exceptionnel de déchets ne fassent pas peser une charge disproportionnée sur le système de recouvrement des coûts d</w:t>
      </w:r>
      <w:r w:rsidR="00D43184">
        <w:rPr>
          <w:rFonts w:eastAsia="Calibri"/>
          <w:b/>
          <w:i/>
          <w:color w:val="000000"/>
          <w:szCs w:val="22"/>
          <w:lang w:eastAsia="en-US"/>
        </w:rPr>
        <w:t>’</w:t>
      </w:r>
      <w:r w:rsidRPr="006C28E7">
        <w:rPr>
          <w:rFonts w:eastAsia="Calibri"/>
          <w:b/>
          <w:i/>
          <w:color w:val="000000"/>
          <w:szCs w:val="22"/>
          <w:lang w:eastAsia="en-US"/>
        </w:rPr>
        <w:t>un port. Tel pourrait également être le cas lorsque la capacité de stockage dédiée déclarée est excessive ou déraisonnable.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(31)</w:t>
      </w:r>
      <w:r w:rsidRPr="006C28E7">
        <w:rPr>
          <w:rFonts w:eastAsia="Calibri"/>
          <w:b/>
          <w:i/>
          <w:color w:val="000000"/>
          <w:szCs w:val="22"/>
          <w:lang w:eastAsia="en-US"/>
        </w:rPr>
        <w:tab/>
        <w:t>Dans certains États membres, des dispositifs ont été mis en place pour offrir d</w:t>
      </w:r>
      <w:r w:rsidR="00D43184">
        <w:rPr>
          <w:rFonts w:eastAsia="Calibri"/>
          <w:b/>
          <w:i/>
          <w:color w:val="000000"/>
          <w:szCs w:val="22"/>
          <w:lang w:eastAsia="en-US"/>
        </w:rPr>
        <w:t>’</w:t>
      </w:r>
      <w:r w:rsidRPr="006C28E7">
        <w:rPr>
          <w:rFonts w:eastAsia="Calibri"/>
          <w:b/>
          <w:i/>
          <w:color w:val="000000"/>
          <w:szCs w:val="22"/>
          <w:lang w:eastAsia="en-US"/>
        </w:rPr>
        <w:t>autres modes de financement des coûts de collecte et de gestion à terre des déchets d</w:t>
      </w:r>
      <w:r w:rsidR="00D43184">
        <w:rPr>
          <w:rFonts w:eastAsia="Calibri"/>
          <w:b/>
          <w:i/>
          <w:color w:val="000000"/>
          <w:szCs w:val="22"/>
          <w:lang w:eastAsia="en-US"/>
        </w:rPr>
        <w:t>’</w:t>
      </w:r>
      <w:r w:rsidRPr="006C28E7">
        <w:rPr>
          <w:rFonts w:eastAsia="Calibri"/>
          <w:b/>
          <w:i/>
          <w:color w:val="000000"/>
          <w:szCs w:val="22"/>
          <w:lang w:eastAsia="en-US"/>
        </w:rPr>
        <w:t>engins de pêche ou des déchets pêchés passivement, y compris les "systèmes de pêche aux déchets sauvages". Il convient d</w:t>
      </w:r>
      <w:r w:rsidR="00D43184">
        <w:rPr>
          <w:rFonts w:eastAsia="Calibri"/>
          <w:b/>
          <w:i/>
          <w:color w:val="000000"/>
          <w:szCs w:val="22"/>
          <w:lang w:eastAsia="en-US"/>
        </w:rPr>
        <w:t>’</w:t>
      </w:r>
      <w:r w:rsidRPr="006C28E7">
        <w:rPr>
          <w:rFonts w:eastAsia="Calibri"/>
          <w:b/>
          <w:i/>
          <w:color w:val="000000"/>
          <w:szCs w:val="22"/>
          <w:lang w:eastAsia="en-US"/>
        </w:rPr>
        <w:t>accueillir positivement de telles initiatives et d</w:t>
      </w:r>
      <w:r w:rsidR="00D43184">
        <w:rPr>
          <w:rFonts w:eastAsia="Calibri"/>
          <w:b/>
          <w:i/>
          <w:color w:val="000000"/>
          <w:szCs w:val="22"/>
          <w:lang w:eastAsia="en-US"/>
        </w:rPr>
        <w:t>’</w:t>
      </w:r>
      <w:r w:rsidRPr="006C28E7">
        <w:rPr>
          <w:rFonts w:eastAsia="Calibri"/>
          <w:b/>
          <w:i/>
          <w:color w:val="000000"/>
          <w:szCs w:val="22"/>
          <w:lang w:eastAsia="en-US"/>
        </w:rPr>
        <w:t>encourager les États membres à compléter les systèmes de recouvrement des coûts mis en place conformément à la présente directive par des systèmes de pêche aux déchets sauvages afin de couvrir les coûts des déchets pêchés passivement. En tant que tels, ces systèmes de recouvrement des coûts, qui s</w:t>
      </w:r>
      <w:r w:rsidR="00D43184">
        <w:rPr>
          <w:rFonts w:eastAsia="Calibri"/>
          <w:b/>
          <w:i/>
          <w:color w:val="000000"/>
          <w:szCs w:val="22"/>
          <w:lang w:eastAsia="en-US"/>
        </w:rPr>
        <w:t>’</w:t>
      </w:r>
      <w:r w:rsidRPr="006C28E7">
        <w:rPr>
          <w:rFonts w:eastAsia="Calibri"/>
          <w:b/>
          <w:i/>
          <w:color w:val="000000"/>
          <w:szCs w:val="22"/>
          <w:lang w:eastAsia="en-US"/>
        </w:rPr>
        <w:t>appuient sur l</w:t>
      </w:r>
      <w:r w:rsidR="00D43184">
        <w:rPr>
          <w:rFonts w:eastAsia="Calibri"/>
          <w:b/>
          <w:i/>
          <w:color w:val="000000"/>
          <w:szCs w:val="22"/>
          <w:lang w:eastAsia="en-US"/>
        </w:rPr>
        <w:t>’</w:t>
      </w:r>
      <w:r w:rsidRPr="006C28E7">
        <w:rPr>
          <w:rFonts w:eastAsia="Calibri"/>
          <w:b/>
          <w:i/>
          <w:color w:val="000000"/>
          <w:szCs w:val="22"/>
          <w:lang w:eastAsia="en-US"/>
        </w:rPr>
        <w:t>application d</w:t>
      </w:r>
      <w:r w:rsidR="00D43184">
        <w:rPr>
          <w:rFonts w:eastAsia="Calibri"/>
          <w:b/>
          <w:i/>
          <w:color w:val="000000"/>
          <w:szCs w:val="22"/>
          <w:lang w:eastAsia="en-US"/>
        </w:rPr>
        <w:t>’</w:t>
      </w:r>
      <w:r w:rsidRPr="006C28E7">
        <w:rPr>
          <w:rFonts w:eastAsia="Calibri"/>
          <w:b/>
          <w:i/>
          <w:color w:val="000000"/>
          <w:szCs w:val="22"/>
          <w:lang w:eastAsia="en-US"/>
        </w:rPr>
        <w:t>une redevance indirecte de 100 % sur les déchets relevant de l</w:t>
      </w:r>
      <w:r w:rsidR="00D43184">
        <w:rPr>
          <w:rFonts w:eastAsia="Calibri"/>
          <w:b/>
          <w:i/>
          <w:color w:val="000000"/>
          <w:szCs w:val="22"/>
          <w:lang w:eastAsia="en-US"/>
        </w:rPr>
        <w:t>’</w:t>
      </w:r>
      <w:r w:rsidRPr="006C28E7">
        <w:rPr>
          <w:rFonts w:eastAsia="Calibri"/>
          <w:b/>
          <w:i/>
          <w:color w:val="000000"/>
          <w:szCs w:val="22"/>
          <w:lang w:eastAsia="en-US"/>
        </w:rPr>
        <w:t>annexe V de MARPOL, à l</w:t>
      </w:r>
      <w:r w:rsidR="00D43184">
        <w:rPr>
          <w:rFonts w:eastAsia="Calibri"/>
          <w:b/>
          <w:i/>
          <w:color w:val="000000"/>
          <w:szCs w:val="22"/>
          <w:lang w:eastAsia="en-US"/>
        </w:rPr>
        <w:t>’</w:t>
      </w:r>
      <w:r w:rsidRPr="006C28E7">
        <w:rPr>
          <w:rFonts w:eastAsia="Calibri"/>
          <w:b/>
          <w:i/>
          <w:color w:val="000000"/>
          <w:szCs w:val="22"/>
          <w:lang w:eastAsia="en-US"/>
        </w:rPr>
        <w:t>exclusion des résidus de cargaison, ne devraient pas dissuader les communautés portuaires de pêcheurs de participer aux systèmes existants de dépôt des déchets pêchés passivement.</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(32)</w:t>
      </w:r>
      <w:r w:rsidRPr="006C28E7">
        <w:rPr>
          <w:rFonts w:eastAsia="Calibri"/>
          <w:b/>
          <w:i/>
          <w:color w:val="000000"/>
          <w:szCs w:val="22"/>
          <w:lang w:eastAsia="en-US"/>
        </w:rPr>
        <w:tab/>
        <w:t>▌La redevance applicable à un navire devrait être réduite pour les navires qui sont conçus, équipés ou exploités de manière à réduire au minimum les déchets, dans le respect de certains critères dont l</w:t>
      </w:r>
      <w:r w:rsidR="00D43184">
        <w:rPr>
          <w:rFonts w:eastAsia="Calibri"/>
          <w:b/>
          <w:i/>
          <w:color w:val="000000"/>
          <w:szCs w:val="22"/>
          <w:lang w:eastAsia="en-US"/>
        </w:rPr>
        <w:t>’</w:t>
      </w:r>
      <w:r w:rsidRPr="006C28E7">
        <w:rPr>
          <w:rFonts w:eastAsia="Calibri"/>
          <w:b/>
          <w:i/>
          <w:color w:val="000000"/>
          <w:szCs w:val="22"/>
          <w:lang w:eastAsia="en-US"/>
        </w:rPr>
        <w:t>élaboration est du ressort des compétences d</w:t>
      </w:r>
      <w:r w:rsidR="00D43184">
        <w:rPr>
          <w:rFonts w:eastAsia="Calibri"/>
          <w:b/>
          <w:i/>
          <w:color w:val="000000"/>
          <w:szCs w:val="22"/>
          <w:lang w:eastAsia="en-US"/>
        </w:rPr>
        <w:t>’</w:t>
      </w:r>
      <w:r w:rsidRPr="006C28E7">
        <w:rPr>
          <w:rFonts w:eastAsia="Calibri"/>
          <w:b/>
          <w:i/>
          <w:color w:val="000000"/>
          <w:szCs w:val="22"/>
          <w:lang w:eastAsia="en-US"/>
        </w:rPr>
        <w:t>exécution conférées à la Commission, en conformité avec les lignes directrices de l</w:t>
      </w:r>
      <w:r w:rsidR="00D43184">
        <w:rPr>
          <w:rFonts w:eastAsia="Calibri"/>
          <w:b/>
          <w:i/>
          <w:color w:val="000000"/>
          <w:szCs w:val="22"/>
          <w:lang w:eastAsia="en-US"/>
        </w:rPr>
        <w:t>’</w:t>
      </w:r>
      <w:r w:rsidRPr="006C28E7">
        <w:rPr>
          <w:rFonts w:eastAsia="Calibri"/>
          <w:b/>
          <w:i/>
          <w:color w:val="000000"/>
          <w:szCs w:val="22"/>
          <w:lang w:eastAsia="en-US"/>
        </w:rPr>
        <w:t>OMI pour la mise en œuvre de l</w:t>
      </w:r>
      <w:r w:rsidR="00D43184">
        <w:rPr>
          <w:rFonts w:eastAsia="Calibri"/>
          <w:b/>
          <w:i/>
          <w:color w:val="000000"/>
          <w:szCs w:val="22"/>
          <w:lang w:eastAsia="en-US"/>
        </w:rPr>
        <w:t>’</w:t>
      </w:r>
      <w:r w:rsidRPr="006C28E7">
        <w:rPr>
          <w:rFonts w:eastAsia="Calibri"/>
          <w:b/>
          <w:i/>
          <w:color w:val="000000"/>
          <w:szCs w:val="22"/>
          <w:lang w:eastAsia="en-US"/>
        </w:rPr>
        <w:t>annexe V de MARPOL et avec les normes élaborées par l</w:t>
      </w:r>
      <w:r w:rsidR="00D43184">
        <w:rPr>
          <w:rFonts w:eastAsia="Calibri"/>
          <w:b/>
          <w:i/>
          <w:color w:val="000000"/>
          <w:szCs w:val="22"/>
          <w:lang w:eastAsia="en-US"/>
        </w:rPr>
        <w:t>’</w:t>
      </w:r>
      <w:r w:rsidRPr="006C28E7">
        <w:rPr>
          <w:rFonts w:eastAsia="Calibri"/>
          <w:b/>
          <w:i/>
          <w:color w:val="000000"/>
          <w:szCs w:val="22"/>
          <w:lang w:eastAsia="en-US"/>
        </w:rPr>
        <w:t>Organisation internationale de normalisation. La réduction et le recyclage efficace des déchets peuvent être obtenus avant tout par un véritable tri des déchets à bord selon ces lignes directrices et ces normes.</w:t>
      </w:r>
    </w:p>
    <w:p w:rsidR="009C7E1C" w:rsidRPr="006C28E7" w:rsidRDefault="009C7E1C" w:rsidP="009C7E1C">
      <w:pPr>
        <w:widowControl/>
        <w:autoSpaceDE w:val="0"/>
        <w:autoSpaceDN w:val="0"/>
        <w:adjustRightInd w:val="0"/>
        <w:spacing w:before="120" w:after="120" w:line="360" w:lineRule="auto"/>
        <w:ind w:left="851" w:hanging="851"/>
        <w:rPr>
          <w:szCs w:val="24"/>
          <w:lang w:eastAsia="en-US"/>
        </w:rPr>
      </w:pPr>
      <w:r w:rsidRPr="006C28E7">
        <w:rPr>
          <w:rFonts w:eastAsia="Calibri"/>
          <w:b/>
          <w:i/>
          <w:color w:val="000000"/>
          <w:szCs w:val="22"/>
          <w:lang w:eastAsia="en-US"/>
        </w:rPr>
        <w:t>(33)</w:t>
      </w:r>
      <w:r w:rsidRPr="006C28E7">
        <w:rPr>
          <w:rFonts w:eastAsia="Calibri"/>
          <w:b/>
          <w:i/>
          <w:color w:val="000000"/>
          <w:szCs w:val="22"/>
          <w:lang w:eastAsia="en-US"/>
        </w:rPr>
        <w:tab/>
      </w:r>
      <w:r w:rsidRPr="006C28E7">
        <w:rPr>
          <w:rFonts w:eastAsia="Calibri"/>
          <w:b/>
          <w:i/>
          <w:color w:val="000000"/>
          <w:szCs w:val="24"/>
          <w:lang w:eastAsia="en-US"/>
        </w:rPr>
        <w:t xml:space="preserve">En raison du type de commerce auquel il est lié, qui se caractérise par des escales portuaires fréquentes, le transport maritime à courte distance est confronté à des coûts considérables dans le cadre du régime actuel de dépôt des déchets dans les installations de réception portuaires, une redevance étant due à chaque escale dans un port. </w:t>
      </w:r>
      <w:r w:rsidRPr="006C28E7">
        <w:rPr>
          <w:rFonts w:eastAsia="Calibri"/>
          <w:b/>
          <w:i/>
          <w:szCs w:val="22"/>
          <w:lang w:eastAsia="en-US"/>
        </w:rPr>
        <w:t>Dans le même temps, le trafic n</w:t>
      </w:r>
      <w:r w:rsidR="00D43184">
        <w:rPr>
          <w:rFonts w:eastAsia="Calibri"/>
          <w:b/>
          <w:i/>
          <w:szCs w:val="22"/>
          <w:lang w:eastAsia="en-US"/>
        </w:rPr>
        <w:t>’</w:t>
      </w:r>
      <w:r w:rsidRPr="006C28E7">
        <w:rPr>
          <w:rFonts w:eastAsia="Calibri"/>
          <w:b/>
          <w:i/>
          <w:szCs w:val="22"/>
          <w:lang w:eastAsia="en-US"/>
        </w:rPr>
        <w:t>est pas organisé de manière suffisamment régulière pour donner lieu à une exemption de paiement ou de dépôt de déchets pour ces motifs.</w:t>
      </w:r>
      <w:r w:rsidRPr="006C28E7">
        <w:rPr>
          <w:rFonts w:eastAsia="Calibri"/>
          <w:b/>
          <w:i/>
          <w:color w:val="000000"/>
          <w:szCs w:val="24"/>
          <w:lang w:eastAsia="en-US"/>
        </w:rPr>
        <w:t xml:space="preserve"> Afin de limiter la charge financière pesant sur le secteur, il convient d</w:t>
      </w:r>
      <w:r w:rsidR="00D43184">
        <w:rPr>
          <w:rFonts w:eastAsia="Calibri"/>
          <w:b/>
          <w:i/>
          <w:color w:val="000000"/>
          <w:szCs w:val="24"/>
          <w:lang w:eastAsia="en-US"/>
        </w:rPr>
        <w:t>’</w:t>
      </w:r>
      <w:r w:rsidRPr="006C28E7">
        <w:rPr>
          <w:rFonts w:eastAsia="Calibri"/>
          <w:b/>
          <w:i/>
          <w:color w:val="000000"/>
          <w:szCs w:val="24"/>
          <w:lang w:eastAsia="en-US"/>
        </w:rPr>
        <w:t>appliquer une redevance réduite aux navires en fonction du type de trafic pour lequel ils sont utilisés.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(34)</w:t>
      </w:r>
      <w:r w:rsidRPr="006C28E7">
        <w:rPr>
          <w:rFonts w:eastAsia="Calibri"/>
          <w:szCs w:val="22"/>
          <w:lang w:eastAsia="en-US"/>
        </w:rPr>
        <w:tab/>
        <w:t xml:space="preserve">Les résidus de cargaison restent la propriété du propriétaire de la cargaison après son déchargement au terminal et </w:t>
      </w:r>
      <w:r w:rsidRPr="006C28E7">
        <w:rPr>
          <w:rFonts w:eastAsia="Calibri"/>
          <w:b/>
          <w:bCs/>
          <w:i/>
          <w:iCs/>
          <w:szCs w:val="22"/>
          <w:lang w:eastAsia="en-US"/>
        </w:rPr>
        <w:t>peuvent</w:t>
      </w:r>
      <w:r w:rsidRPr="006C28E7">
        <w:rPr>
          <w:rFonts w:eastAsia="Calibri"/>
          <w:szCs w:val="22"/>
          <w:lang w:eastAsia="en-US"/>
        </w:rPr>
        <w:t xml:space="preserve"> avoir une valeur économique. C</w:t>
      </w:r>
      <w:r w:rsidR="00D43184">
        <w:rPr>
          <w:rFonts w:eastAsia="Calibri"/>
          <w:szCs w:val="22"/>
          <w:lang w:eastAsia="en-US"/>
        </w:rPr>
        <w:t>’</w:t>
      </w:r>
      <w:r w:rsidRPr="006C28E7">
        <w:rPr>
          <w:rFonts w:eastAsia="Calibri"/>
          <w:szCs w:val="22"/>
          <w:lang w:eastAsia="en-US"/>
        </w:rPr>
        <w:t>est pourquoi les résidus de cargaison ne devraient pas être inclus dans les systèmes de recouvrement des coûts qui prévoient l</w:t>
      </w:r>
      <w:r w:rsidR="00D43184">
        <w:rPr>
          <w:rFonts w:eastAsia="Calibri"/>
          <w:szCs w:val="22"/>
          <w:lang w:eastAsia="en-US"/>
        </w:rPr>
        <w:t>’</w:t>
      </w:r>
      <w:r w:rsidRPr="006C28E7">
        <w:rPr>
          <w:rFonts w:eastAsia="Calibri"/>
          <w:szCs w:val="22"/>
          <w:lang w:eastAsia="en-US"/>
        </w:rPr>
        <w:t xml:space="preserve">application de la redevance indirecte. Les </w:t>
      </w:r>
      <w:r w:rsidRPr="006C28E7">
        <w:rPr>
          <w:rFonts w:eastAsia="Calibri"/>
          <w:b/>
          <w:bCs/>
          <w:i/>
          <w:iCs/>
          <w:szCs w:val="22"/>
          <w:lang w:eastAsia="en-US"/>
        </w:rPr>
        <w:t>frais</w:t>
      </w:r>
      <w:r w:rsidRPr="006C28E7">
        <w:rPr>
          <w:rFonts w:eastAsia="Calibri"/>
          <w:szCs w:val="22"/>
          <w:lang w:eastAsia="en-US"/>
        </w:rPr>
        <w:t xml:space="preserve"> de dépôt de résidus de cargaison devrai</w:t>
      </w:r>
      <w:r w:rsidRPr="006C28E7">
        <w:rPr>
          <w:rFonts w:eastAsia="Calibri"/>
          <w:b/>
          <w:bCs/>
          <w:i/>
          <w:iCs/>
          <w:szCs w:val="22"/>
          <w:lang w:eastAsia="en-US"/>
        </w:rPr>
        <w:t>en</w:t>
      </w:r>
      <w:r w:rsidRPr="006C28E7">
        <w:rPr>
          <w:rFonts w:eastAsia="Calibri"/>
          <w:szCs w:val="22"/>
          <w:lang w:eastAsia="en-US"/>
        </w:rPr>
        <w:t>t être acquitté</w:t>
      </w:r>
      <w:r w:rsidRPr="006C28E7">
        <w:rPr>
          <w:rFonts w:eastAsia="Calibri"/>
          <w:b/>
          <w:bCs/>
          <w:i/>
          <w:iCs/>
          <w:szCs w:val="22"/>
          <w:lang w:eastAsia="en-US"/>
        </w:rPr>
        <w:t>s</w:t>
      </w:r>
      <w:r w:rsidRPr="006C28E7">
        <w:rPr>
          <w:rFonts w:eastAsia="Calibri"/>
          <w:szCs w:val="22"/>
          <w:lang w:eastAsia="en-US"/>
        </w:rPr>
        <w:t xml:space="preserve"> par l</w:t>
      </w:r>
      <w:r w:rsidR="00D43184">
        <w:rPr>
          <w:rFonts w:eastAsia="Calibri"/>
          <w:szCs w:val="22"/>
          <w:lang w:eastAsia="en-US"/>
        </w:rPr>
        <w:t>’</w:t>
      </w:r>
      <w:r w:rsidRPr="006C28E7">
        <w:rPr>
          <w:rFonts w:eastAsia="Calibri"/>
          <w:szCs w:val="22"/>
          <w:lang w:eastAsia="en-US"/>
        </w:rPr>
        <w:t>utilisateur de l</w:t>
      </w:r>
      <w:r w:rsidR="00D43184">
        <w:rPr>
          <w:rFonts w:eastAsia="Calibri"/>
          <w:szCs w:val="22"/>
          <w:lang w:eastAsia="en-US"/>
        </w:rPr>
        <w:t>’</w:t>
      </w:r>
      <w:r w:rsidRPr="006C28E7">
        <w:rPr>
          <w:rFonts w:eastAsia="Calibri"/>
          <w:szCs w:val="22"/>
          <w:lang w:eastAsia="en-US"/>
        </w:rPr>
        <w:t>installation de réception portuaire, comme précisé dans les arrangements contractuels entre les parties concernées ou dans d</w:t>
      </w:r>
      <w:r w:rsidR="00D43184">
        <w:rPr>
          <w:rFonts w:eastAsia="Calibri"/>
          <w:szCs w:val="22"/>
          <w:lang w:eastAsia="en-US"/>
        </w:rPr>
        <w:t>’</w:t>
      </w:r>
      <w:r w:rsidRPr="006C28E7">
        <w:rPr>
          <w:rFonts w:eastAsia="Calibri"/>
          <w:szCs w:val="22"/>
          <w:lang w:eastAsia="en-US"/>
        </w:rPr>
        <w:t>autres arrangements locaux.</w:t>
      </w:r>
      <w:r w:rsidRPr="006C28E7">
        <w:rPr>
          <w:rFonts w:eastAsia="Calibri"/>
          <w:b/>
          <w:i/>
          <w:color w:val="000000"/>
          <w:szCs w:val="22"/>
          <w:lang w:eastAsia="en-US"/>
        </w:rPr>
        <w:t xml:space="preserve"> Parmi les résidus de cargaison figurent également les restes de cargaisons liquides huileuses ou nocives après les opérations de nettoyage, auxquels s</w:t>
      </w:r>
      <w:r w:rsidR="00D43184">
        <w:rPr>
          <w:rFonts w:eastAsia="Calibri"/>
          <w:b/>
          <w:i/>
          <w:color w:val="000000"/>
          <w:szCs w:val="22"/>
          <w:lang w:eastAsia="en-US"/>
        </w:rPr>
        <w:t>’</w:t>
      </w:r>
      <w:r w:rsidRPr="006C28E7">
        <w:rPr>
          <w:rFonts w:eastAsia="Calibri"/>
          <w:b/>
          <w:i/>
          <w:color w:val="000000"/>
          <w:szCs w:val="22"/>
          <w:lang w:eastAsia="en-US"/>
        </w:rPr>
        <w:t>appliquent les normes en matière de rejet figurant aux annexes I et II de la convention MARPOL et qui, sous certaines conditions énoncées auxdites annexes, ne doivent pas nécessairement être déposés au port afin d</w:t>
      </w:r>
      <w:r w:rsidR="00D43184">
        <w:rPr>
          <w:rFonts w:eastAsia="Calibri"/>
          <w:b/>
          <w:i/>
          <w:color w:val="000000"/>
          <w:szCs w:val="22"/>
          <w:lang w:eastAsia="en-US"/>
        </w:rPr>
        <w:t>’</w:t>
      </w:r>
      <w:r w:rsidRPr="006C28E7">
        <w:rPr>
          <w:rFonts w:eastAsia="Calibri"/>
          <w:b/>
          <w:i/>
          <w:color w:val="000000"/>
          <w:szCs w:val="22"/>
          <w:lang w:eastAsia="en-US"/>
        </w:rPr>
        <w:t>éviter des coûts d</w:t>
      </w:r>
      <w:r w:rsidR="00D43184">
        <w:rPr>
          <w:rFonts w:eastAsia="Calibri"/>
          <w:b/>
          <w:i/>
          <w:color w:val="000000"/>
          <w:szCs w:val="22"/>
          <w:lang w:eastAsia="en-US"/>
        </w:rPr>
        <w:t>’</w:t>
      </w:r>
      <w:r w:rsidRPr="006C28E7">
        <w:rPr>
          <w:rFonts w:eastAsia="Calibri"/>
          <w:b/>
          <w:i/>
          <w:color w:val="000000"/>
          <w:szCs w:val="22"/>
          <w:lang w:eastAsia="en-US"/>
        </w:rPr>
        <w:t>exploitation inutiles pour les navires et un engorgement des ports.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(35)</w:t>
      </w:r>
      <w:r w:rsidRPr="006C28E7">
        <w:rPr>
          <w:rFonts w:eastAsia="Calibri"/>
          <w:b/>
          <w:i/>
          <w:color w:val="000000"/>
          <w:szCs w:val="22"/>
          <w:lang w:eastAsia="en-US"/>
        </w:rPr>
        <w:tab/>
        <w:t>Les États membres devraient encourager le dépôt de résidus de lavage de citernes contenant des substances flottantes persistantes à haute viscosité, éventuellement en octroyant des incitations financières appropriées.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(36)</w:t>
      </w:r>
      <w:r w:rsidRPr="006C28E7">
        <w:rPr>
          <w:rFonts w:eastAsia="Calibri"/>
          <w:szCs w:val="22"/>
          <w:lang w:eastAsia="en-US"/>
        </w:rPr>
        <w:tab/>
        <w:t>Le règlement (UE) 2017/352 du Parlement européen et du Conseil</w:t>
      </w:r>
      <w:r w:rsidRPr="006C28E7">
        <w:rPr>
          <w:b/>
          <w:szCs w:val="22"/>
          <w:vertAlign w:val="superscript"/>
        </w:rPr>
        <w:footnoteReference w:id="13"/>
      </w:r>
      <w:r w:rsidRPr="006C28E7">
        <w:rPr>
          <w:rFonts w:eastAsia="Calibri"/>
          <w:szCs w:val="22"/>
          <w:lang w:eastAsia="en-US"/>
        </w:rPr>
        <w:t xml:space="preserve"> prévoit que la mise à disposition d</w:t>
      </w:r>
      <w:r w:rsidR="00D43184">
        <w:rPr>
          <w:rFonts w:eastAsia="Calibri"/>
          <w:szCs w:val="22"/>
          <w:lang w:eastAsia="en-US"/>
        </w:rPr>
        <w:t>’</w:t>
      </w:r>
      <w:r w:rsidRPr="006C28E7">
        <w:rPr>
          <w:rFonts w:eastAsia="Calibri"/>
          <w:szCs w:val="22"/>
          <w:lang w:eastAsia="en-US"/>
        </w:rPr>
        <w:t>installations de réception portuaires est un service qui relève de son champ d</w:t>
      </w:r>
      <w:r w:rsidR="00D43184">
        <w:rPr>
          <w:rFonts w:eastAsia="Calibri"/>
          <w:szCs w:val="22"/>
          <w:lang w:eastAsia="en-US"/>
        </w:rPr>
        <w:t>’</w:t>
      </w:r>
      <w:r w:rsidRPr="006C28E7">
        <w:rPr>
          <w:rFonts w:eastAsia="Calibri"/>
          <w:szCs w:val="22"/>
          <w:lang w:eastAsia="en-US"/>
        </w:rPr>
        <w:t>application</w:t>
      </w:r>
      <w:r w:rsidRPr="006C28E7">
        <w:rPr>
          <w:rFonts w:eastAsia="Calibri"/>
          <w:color w:val="000000"/>
          <w:szCs w:val="22"/>
          <w:lang w:eastAsia="en-US"/>
        </w:rPr>
        <w:t xml:space="preserve"> ▌</w:t>
      </w:r>
      <w:r w:rsidRPr="006C28E7">
        <w:rPr>
          <w:rFonts w:eastAsia="Calibri"/>
          <w:szCs w:val="22"/>
          <w:lang w:eastAsia="en-US"/>
        </w:rPr>
        <w:t>. Il contient des règles en matière de transparence des structures tarifaires appliquées à l</w:t>
      </w:r>
      <w:r w:rsidR="00D43184">
        <w:rPr>
          <w:rFonts w:eastAsia="Calibri"/>
          <w:szCs w:val="22"/>
          <w:lang w:eastAsia="en-US"/>
        </w:rPr>
        <w:t>’</w:t>
      </w:r>
      <w:r w:rsidRPr="006C28E7">
        <w:rPr>
          <w:rFonts w:eastAsia="Calibri"/>
          <w:szCs w:val="22"/>
          <w:lang w:eastAsia="en-US"/>
        </w:rPr>
        <w:t xml:space="preserve">utilisation de services portuaires, de consultation des utilisateurs du port et de procédures de traitement des plaintes. </w:t>
      </w:r>
      <w:r w:rsidRPr="006C28E7">
        <w:rPr>
          <w:rFonts w:eastAsia="Calibri"/>
          <w:b/>
          <w:bCs/>
          <w:i/>
          <w:iCs/>
          <w:szCs w:val="22"/>
          <w:lang w:eastAsia="en-US"/>
        </w:rPr>
        <w:t>La présente</w:t>
      </w:r>
      <w:r w:rsidRPr="006C28E7">
        <w:rPr>
          <w:rFonts w:eastAsia="Calibri"/>
          <w:szCs w:val="22"/>
          <w:lang w:eastAsia="en-US"/>
        </w:rPr>
        <w:t xml:space="preserve"> directive va au-delà du cadre offert par ledit règlement</w:t>
      </w:r>
      <w:r w:rsidRPr="006C28E7">
        <w:rPr>
          <w:rFonts w:eastAsia="Calibri"/>
          <w:color w:val="000000"/>
          <w:szCs w:val="22"/>
          <w:lang w:eastAsia="en-US"/>
        </w:rPr>
        <w:t xml:space="preserve"> ▌</w:t>
      </w:r>
      <w:r w:rsidRPr="006C28E7">
        <w:rPr>
          <w:rFonts w:eastAsia="Calibri"/>
          <w:szCs w:val="22"/>
          <w:lang w:eastAsia="en-US"/>
        </w:rPr>
        <w:t>en prévoyant des exigences plus détaillées concernant la conception et le fonctionnement des systèmes de recouvrement des coûts applicables aux installations de réception portuaires pour les déchets des navires et la transparence de la structure des coûts.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(37)</w:t>
      </w:r>
      <w:r w:rsidRPr="006C28E7">
        <w:rPr>
          <w:rFonts w:eastAsia="Calibri"/>
          <w:szCs w:val="22"/>
          <w:lang w:eastAsia="en-US"/>
        </w:rPr>
        <w:tab/>
        <w:t>Outre la mise en place d</w:t>
      </w:r>
      <w:r w:rsidR="00D43184">
        <w:rPr>
          <w:rFonts w:eastAsia="Calibri"/>
          <w:szCs w:val="22"/>
          <w:lang w:eastAsia="en-US"/>
        </w:rPr>
        <w:t>’</w:t>
      </w:r>
      <w:r w:rsidRPr="006C28E7">
        <w:rPr>
          <w:rFonts w:eastAsia="Calibri"/>
          <w:szCs w:val="22"/>
          <w:lang w:eastAsia="en-US"/>
        </w:rPr>
        <w:t>incitations au dépôt des déchets, le contrôle effectif du respect de l</w:t>
      </w:r>
      <w:r w:rsidR="00D43184">
        <w:rPr>
          <w:rFonts w:eastAsia="Calibri"/>
          <w:szCs w:val="22"/>
          <w:lang w:eastAsia="en-US"/>
        </w:rPr>
        <w:t>’</w:t>
      </w:r>
      <w:r w:rsidRPr="006C28E7">
        <w:rPr>
          <w:rFonts w:eastAsia="Calibri"/>
          <w:szCs w:val="22"/>
          <w:lang w:eastAsia="en-US"/>
        </w:rPr>
        <w:t xml:space="preserve">obligation de dépôt est crucial et devrait suivre une approche fondée sur les risques </w:t>
      </w:r>
      <w:r w:rsidRPr="006C28E7">
        <w:rPr>
          <w:rFonts w:eastAsia="Calibri"/>
          <w:color w:val="000000"/>
          <w:szCs w:val="22"/>
          <w:lang w:eastAsia="en-US"/>
        </w:rPr>
        <w:t>▌</w:t>
      </w:r>
      <w:r w:rsidRPr="006C28E7">
        <w:rPr>
          <w:rFonts w:eastAsia="Calibri"/>
          <w:szCs w:val="22"/>
          <w:lang w:eastAsia="en-US"/>
        </w:rPr>
        <w:t xml:space="preserve"> </w:t>
      </w:r>
      <w:r w:rsidRPr="006C28E7">
        <w:rPr>
          <w:rFonts w:eastAsia="Calibri"/>
          <w:b/>
          <w:i/>
          <w:color w:val="000000"/>
          <w:szCs w:val="22"/>
          <w:lang w:eastAsia="en-US"/>
        </w:rPr>
        <w:t>pour laquelle il convient d</w:t>
      </w:r>
      <w:r w:rsidR="00D43184">
        <w:rPr>
          <w:rFonts w:eastAsia="Calibri"/>
          <w:b/>
          <w:i/>
          <w:color w:val="000000"/>
          <w:szCs w:val="22"/>
          <w:lang w:eastAsia="en-US"/>
        </w:rPr>
        <w:t>’</w:t>
      </w:r>
      <w:r w:rsidRPr="006C28E7">
        <w:rPr>
          <w:rFonts w:eastAsia="Calibri"/>
          <w:b/>
          <w:i/>
          <w:color w:val="000000"/>
          <w:szCs w:val="22"/>
          <w:lang w:eastAsia="en-US"/>
        </w:rPr>
        <w:t>établir un mécanisme de ciblage de l</w:t>
      </w:r>
      <w:r w:rsidR="00D43184">
        <w:rPr>
          <w:rFonts w:eastAsia="Calibri"/>
          <w:b/>
          <w:i/>
          <w:color w:val="000000"/>
          <w:szCs w:val="22"/>
          <w:lang w:eastAsia="en-US"/>
        </w:rPr>
        <w:t>’</w:t>
      </w:r>
      <w:r w:rsidRPr="006C28E7">
        <w:rPr>
          <w:rFonts w:eastAsia="Calibri"/>
          <w:b/>
          <w:i/>
          <w:color w:val="000000"/>
          <w:szCs w:val="22"/>
          <w:lang w:eastAsia="en-US"/>
        </w:rPr>
        <w:t xml:space="preserve">Union fondé sur les risques. </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(38)</w:t>
      </w:r>
      <w:r w:rsidRPr="006C28E7">
        <w:rPr>
          <w:rFonts w:eastAsia="Calibri"/>
          <w:szCs w:val="22"/>
          <w:lang w:eastAsia="en-US"/>
        </w:rPr>
        <w:tab/>
        <w:t>Un des principaux freins au contrôle effectif de l</w:t>
      </w:r>
      <w:r w:rsidR="00D43184">
        <w:rPr>
          <w:rFonts w:eastAsia="Calibri"/>
          <w:szCs w:val="22"/>
          <w:lang w:eastAsia="en-US"/>
        </w:rPr>
        <w:t>’</w:t>
      </w:r>
      <w:r w:rsidRPr="006C28E7">
        <w:rPr>
          <w:rFonts w:eastAsia="Calibri"/>
          <w:szCs w:val="22"/>
          <w:lang w:eastAsia="en-US"/>
        </w:rPr>
        <w:t>obligation de dépôt est que les États membres ont interprété et, partant, mis en œuvre de manière divergente l</w:t>
      </w:r>
      <w:r w:rsidR="00D43184">
        <w:rPr>
          <w:rFonts w:eastAsia="Calibri"/>
          <w:szCs w:val="22"/>
          <w:lang w:eastAsia="en-US"/>
        </w:rPr>
        <w:t>’</w:t>
      </w:r>
      <w:r w:rsidRPr="006C28E7">
        <w:rPr>
          <w:rFonts w:eastAsia="Calibri"/>
          <w:szCs w:val="22"/>
          <w:lang w:eastAsia="en-US"/>
        </w:rPr>
        <w:t xml:space="preserve">exception fondée sur une capacité de stockage suffisante. Pour éviter que </w:t>
      </w:r>
      <w:r w:rsidRPr="006C28E7">
        <w:rPr>
          <w:rFonts w:eastAsia="Calibri"/>
          <w:color w:val="000000"/>
          <w:szCs w:val="22"/>
          <w:lang w:eastAsia="en-US"/>
        </w:rPr>
        <w:t>▌</w:t>
      </w:r>
      <w:r w:rsidRPr="006C28E7">
        <w:rPr>
          <w:rFonts w:eastAsia="Calibri"/>
          <w:szCs w:val="22"/>
          <w:lang w:eastAsia="en-US"/>
        </w:rPr>
        <w:t>l</w:t>
      </w:r>
      <w:r w:rsidR="00D43184">
        <w:rPr>
          <w:rFonts w:eastAsia="Calibri"/>
          <w:szCs w:val="22"/>
          <w:lang w:eastAsia="en-US"/>
        </w:rPr>
        <w:t>’</w:t>
      </w:r>
      <w:r w:rsidRPr="006C28E7">
        <w:rPr>
          <w:rFonts w:eastAsia="Calibri"/>
          <w:szCs w:val="22"/>
          <w:lang w:eastAsia="en-US"/>
        </w:rPr>
        <w:t xml:space="preserve">application de cette exception ne </w:t>
      </w:r>
      <w:r w:rsidRPr="006C28E7">
        <w:rPr>
          <w:rFonts w:eastAsia="Calibri"/>
          <w:b/>
          <w:bCs/>
          <w:i/>
          <w:iCs/>
          <w:szCs w:val="22"/>
          <w:lang w:eastAsia="en-US"/>
        </w:rPr>
        <w:t>compromette</w:t>
      </w:r>
      <w:r w:rsidRPr="006C28E7">
        <w:rPr>
          <w:rFonts w:eastAsia="Calibri"/>
          <w:szCs w:val="22"/>
          <w:lang w:eastAsia="en-US"/>
        </w:rPr>
        <w:t xml:space="preserve"> le principal objectif de la présente directive, il convient de la définir plus précisément, notamment en ce qui concerne la notion de port d</w:t>
      </w:r>
      <w:r w:rsidR="00D43184">
        <w:rPr>
          <w:rFonts w:eastAsia="Calibri"/>
          <w:szCs w:val="22"/>
          <w:lang w:eastAsia="en-US"/>
        </w:rPr>
        <w:t>’</w:t>
      </w:r>
      <w:r w:rsidRPr="006C28E7">
        <w:rPr>
          <w:rFonts w:eastAsia="Calibri"/>
          <w:szCs w:val="22"/>
          <w:lang w:eastAsia="en-US"/>
        </w:rPr>
        <w:t>escale suivant, et de déterminer une capacité de stockage suffisante de manière harmonisée, en s</w:t>
      </w:r>
      <w:r w:rsidR="00D43184">
        <w:rPr>
          <w:rFonts w:eastAsia="Calibri"/>
          <w:szCs w:val="22"/>
          <w:lang w:eastAsia="en-US"/>
        </w:rPr>
        <w:t>’</w:t>
      </w:r>
      <w:r w:rsidRPr="006C28E7">
        <w:rPr>
          <w:rFonts w:eastAsia="Calibri"/>
          <w:szCs w:val="22"/>
          <w:lang w:eastAsia="en-US"/>
        </w:rPr>
        <w:t>appuyant sur une méthode et des critères communs.</w:t>
      </w:r>
      <w:r w:rsidRPr="006C28E7">
        <w:rPr>
          <w:rFonts w:eastAsia="Calibri"/>
          <w:b/>
          <w:i/>
          <w:color w:val="000000"/>
          <w:szCs w:val="22"/>
          <w:lang w:eastAsia="en-US"/>
        </w:rPr>
        <w:t xml:space="preserve"> Dans les cas où il s</w:t>
      </w:r>
      <w:r w:rsidR="00D43184">
        <w:rPr>
          <w:rFonts w:eastAsia="Calibri"/>
          <w:b/>
          <w:i/>
          <w:color w:val="000000"/>
          <w:szCs w:val="22"/>
          <w:lang w:eastAsia="en-US"/>
        </w:rPr>
        <w:t>’</w:t>
      </w:r>
      <w:r w:rsidRPr="006C28E7">
        <w:rPr>
          <w:rFonts w:eastAsia="Calibri"/>
          <w:b/>
          <w:i/>
          <w:color w:val="000000"/>
          <w:szCs w:val="22"/>
          <w:lang w:eastAsia="en-US"/>
        </w:rPr>
        <w:t>avère difficile d</w:t>
      </w:r>
      <w:r w:rsidR="00D43184">
        <w:rPr>
          <w:rFonts w:eastAsia="Calibri"/>
          <w:b/>
          <w:i/>
          <w:color w:val="000000"/>
          <w:szCs w:val="22"/>
          <w:lang w:eastAsia="en-US"/>
        </w:rPr>
        <w:t>’</w:t>
      </w:r>
      <w:r w:rsidRPr="006C28E7">
        <w:rPr>
          <w:rFonts w:eastAsia="Calibri"/>
          <w:b/>
          <w:i/>
          <w:color w:val="000000"/>
          <w:szCs w:val="22"/>
          <w:lang w:eastAsia="en-US"/>
        </w:rPr>
        <w:t>établir si des installations de réception portuaires adéquates sont disponibles dans un port situé en dehors de l</w:t>
      </w:r>
      <w:r w:rsidR="00D43184">
        <w:rPr>
          <w:rFonts w:eastAsia="Calibri"/>
          <w:b/>
          <w:i/>
          <w:color w:val="000000"/>
          <w:szCs w:val="22"/>
          <w:lang w:eastAsia="en-US"/>
        </w:rPr>
        <w:t>’</w:t>
      </w:r>
      <w:r w:rsidRPr="006C28E7">
        <w:rPr>
          <w:rFonts w:eastAsia="Calibri"/>
          <w:b/>
          <w:i/>
          <w:color w:val="000000"/>
          <w:szCs w:val="22"/>
          <w:lang w:eastAsia="en-US"/>
        </w:rPr>
        <w:t>Union, il est essentiel que l</w:t>
      </w:r>
      <w:r w:rsidR="00D43184">
        <w:rPr>
          <w:rFonts w:eastAsia="Calibri"/>
          <w:b/>
          <w:i/>
          <w:color w:val="000000"/>
          <w:szCs w:val="22"/>
          <w:lang w:eastAsia="en-US"/>
        </w:rPr>
        <w:t>’</w:t>
      </w:r>
      <w:r w:rsidRPr="006C28E7">
        <w:rPr>
          <w:rFonts w:eastAsia="Calibri"/>
          <w:b/>
          <w:i/>
          <w:color w:val="000000"/>
          <w:szCs w:val="22"/>
          <w:lang w:eastAsia="en-US"/>
        </w:rPr>
        <w:t>autorité compétente examine avec soin l</w:t>
      </w:r>
      <w:r w:rsidR="00D43184">
        <w:rPr>
          <w:rFonts w:eastAsia="Calibri"/>
          <w:b/>
          <w:i/>
          <w:color w:val="000000"/>
          <w:szCs w:val="22"/>
          <w:lang w:eastAsia="en-US"/>
        </w:rPr>
        <w:t>’</w:t>
      </w:r>
      <w:r w:rsidRPr="006C28E7">
        <w:rPr>
          <w:rFonts w:eastAsia="Calibri"/>
          <w:b/>
          <w:i/>
          <w:color w:val="000000"/>
          <w:szCs w:val="22"/>
          <w:lang w:eastAsia="en-US"/>
        </w:rPr>
        <w:t>application de l</w:t>
      </w:r>
      <w:r w:rsidR="00D43184">
        <w:rPr>
          <w:rFonts w:eastAsia="Calibri"/>
          <w:b/>
          <w:i/>
          <w:color w:val="000000"/>
          <w:szCs w:val="22"/>
          <w:lang w:eastAsia="en-US"/>
        </w:rPr>
        <w:t>’</w:t>
      </w:r>
      <w:r w:rsidRPr="006C28E7">
        <w:rPr>
          <w:rFonts w:eastAsia="Calibri"/>
          <w:b/>
          <w:i/>
          <w:color w:val="000000"/>
          <w:szCs w:val="22"/>
          <w:lang w:eastAsia="en-US"/>
        </w:rPr>
        <w:t>exception.</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(39)</w:t>
      </w:r>
      <w:r w:rsidRPr="006C28E7">
        <w:rPr>
          <w:rFonts w:eastAsia="Calibri"/>
          <w:szCs w:val="22"/>
          <w:lang w:eastAsia="en-US"/>
        </w:rPr>
        <w:tab/>
        <w:t>Il est nécessaire de poursuivre l</w:t>
      </w:r>
      <w:r w:rsidR="00D43184">
        <w:rPr>
          <w:rFonts w:eastAsia="Calibri"/>
          <w:szCs w:val="22"/>
          <w:lang w:eastAsia="en-US"/>
        </w:rPr>
        <w:t>’</w:t>
      </w:r>
      <w:r w:rsidRPr="006C28E7">
        <w:rPr>
          <w:rFonts w:eastAsia="Calibri"/>
          <w:szCs w:val="22"/>
          <w:lang w:eastAsia="en-US"/>
        </w:rPr>
        <w:t>harmonisation du régime des exemptions pour les navires exploités sur des lignes régulières qui comportent des escales portuaires fréquentes et régulières, et plus particulièrement de clarifier les termes utilisés et les conditions régissant ces exemptions. L</w:t>
      </w:r>
      <w:r w:rsidR="00D43184">
        <w:rPr>
          <w:rFonts w:eastAsia="Calibri"/>
          <w:szCs w:val="22"/>
          <w:lang w:eastAsia="en-US"/>
        </w:rPr>
        <w:t>’</w:t>
      </w:r>
      <w:r w:rsidRPr="006C28E7">
        <w:rPr>
          <w:rFonts w:eastAsia="Calibri"/>
          <w:szCs w:val="22"/>
          <w:lang w:eastAsia="en-US"/>
        </w:rPr>
        <w:t>évaluation REFIT et l</w:t>
      </w:r>
      <w:r w:rsidR="00D43184">
        <w:rPr>
          <w:rFonts w:eastAsia="Calibri"/>
          <w:szCs w:val="22"/>
          <w:lang w:eastAsia="en-US"/>
        </w:rPr>
        <w:t>’</w:t>
      </w:r>
      <w:r w:rsidRPr="006C28E7">
        <w:rPr>
          <w:rFonts w:eastAsia="Calibri"/>
          <w:szCs w:val="22"/>
          <w:lang w:eastAsia="en-US"/>
        </w:rPr>
        <w:t>analyse d</w:t>
      </w:r>
      <w:r w:rsidR="00D43184">
        <w:rPr>
          <w:rFonts w:eastAsia="Calibri"/>
          <w:szCs w:val="22"/>
          <w:lang w:eastAsia="en-US"/>
        </w:rPr>
        <w:t>’</w:t>
      </w:r>
      <w:r w:rsidRPr="006C28E7">
        <w:rPr>
          <w:rFonts w:eastAsia="Calibri"/>
          <w:szCs w:val="22"/>
          <w:lang w:eastAsia="en-US"/>
        </w:rPr>
        <w:t>impact ont fait apparaître que le manque d</w:t>
      </w:r>
      <w:r w:rsidR="00D43184">
        <w:rPr>
          <w:rFonts w:eastAsia="Calibri"/>
          <w:szCs w:val="22"/>
          <w:lang w:eastAsia="en-US"/>
        </w:rPr>
        <w:t>’</w:t>
      </w:r>
      <w:r w:rsidRPr="006C28E7">
        <w:rPr>
          <w:rFonts w:eastAsia="Calibri"/>
          <w:szCs w:val="22"/>
          <w:lang w:eastAsia="en-US"/>
        </w:rPr>
        <w:t>harmonisation des conditions et de l</w:t>
      </w:r>
      <w:r w:rsidR="00D43184">
        <w:rPr>
          <w:rFonts w:eastAsia="Calibri"/>
          <w:szCs w:val="22"/>
          <w:lang w:eastAsia="en-US"/>
        </w:rPr>
        <w:t>’</w:t>
      </w:r>
      <w:r w:rsidRPr="006C28E7">
        <w:rPr>
          <w:rFonts w:eastAsia="Calibri"/>
          <w:szCs w:val="22"/>
          <w:lang w:eastAsia="en-US"/>
        </w:rPr>
        <w:t>application des exemptions avait engendré une charge administrative indue pour les navires et les ports.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(40)</w:t>
      </w:r>
      <w:r w:rsidRPr="006C28E7">
        <w:rPr>
          <w:rFonts w:eastAsia="Calibri"/>
          <w:szCs w:val="22"/>
          <w:lang w:eastAsia="en-US"/>
        </w:rPr>
        <w:tab/>
        <w:t>La mise en place d</w:t>
      </w:r>
      <w:r w:rsidR="00D43184">
        <w:rPr>
          <w:rFonts w:eastAsia="Calibri"/>
          <w:szCs w:val="22"/>
          <w:lang w:eastAsia="en-US"/>
        </w:rPr>
        <w:t>’</w:t>
      </w:r>
      <w:r w:rsidRPr="006C28E7">
        <w:rPr>
          <w:rFonts w:eastAsia="Calibri"/>
          <w:szCs w:val="22"/>
          <w:lang w:eastAsia="en-US"/>
        </w:rPr>
        <w:t>un système reposant sur la déclaration électronique et l</w:t>
      </w:r>
      <w:r w:rsidR="00D43184">
        <w:rPr>
          <w:rFonts w:eastAsia="Calibri"/>
          <w:szCs w:val="22"/>
          <w:lang w:eastAsia="en-US"/>
        </w:rPr>
        <w:t>’</w:t>
      </w:r>
      <w:r w:rsidRPr="006C28E7">
        <w:rPr>
          <w:rFonts w:eastAsia="Calibri"/>
          <w:szCs w:val="22"/>
          <w:lang w:eastAsia="en-US"/>
        </w:rPr>
        <w:t>échange électronique d</w:t>
      </w:r>
      <w:r w:rsidR="00D43184">
        <w:rPr>
          <w:rFonts w:eastAsia="Calibri"/>
          <w:szCs w:val="22"/>
          <w:lang w:eastAsia="en-US"/>
        </w:rPr>
        <w:t>’</w:t>
      </w:r>
      <w:r w:rsidRPr="006C28E7">
        <w:rPr>
          <w:rFonts w:eastAsia="Calibri"/>
          <w:szCs w:val="22"/>
          <w:lang w:eastAsia="en-US"/>
        </w:rPr>
        <w:t>informations devrait faciliter le suivi et le contrôle de l</w:t>
      </w:r>
      <w:r w:rsidR="00D43184">
        <w:rPr>
          <w:rFonts w:eastAsia="Calibri"/>
          <w:szCs w:val="22"/>
          <w:lang w:eastAsia="en-US"/>
        </w:rPr>
        <w:t>’</w:t>
      </w:r>
      <w:r w:rsidRPr="006C28E7">
        <w:rPr>
          <w:rFonts w:eastAsia="Calibri"/>
          <w:szCs w:val="22"/>
          <w:lang w:eastAsia="en-US"/>
        </w:rPr>
        <w:t>application. À cette fin, il convient de développer plus avant le système d</w:t>
      </w:r>
      <w:r w:rsidR="00D43184">
        <w:rPr>
          <w:rFonts w:eastAsia="Calibri"/>
          <w:szCs w:val="22"/>
          <w:lang w:eastAsia="en-US"/>
        </w:rPr>
        <w:t>’</w:t>
      </w:r>
      <w:r w:rsidRPr="006C28E7">
        <w:rPr>
          <w:rFonts w:eastAsia="Calibri"/>
          <w:szCs w:val="22"/>
          <w:lang w:eastAsia="en-US"/>
        </w:rPr>
        <w:t>information et de surveillance mis en place au titre de la directive 2000/59/CE et d</w:t>
      </w:r>
      <w:r w:rsidR="00D43184">
        <w:rPr>
          <w:rFonts w:eastAsia="Calibri"/>
          <w:szCs w:val="22"/>
          <w:lang w:eastAsia="en-US"/>
        </w:rPr>
        <w:t>’</w:t>
      </w:r>
      <w:r w:rsidRPr="006C28E7">
        <w:rPr>
          <w:rFonts w:eastAsia="Calibri"/>
          <w:szCs w:val="22"/>
          <w:lang w:eastAsia="en-US"/>
        </w:rPr>
        <w:t>en poursuivre l</w:t>
      </w:r>
      <w:r w:rsidR="00D43184">
        <w:rPr>
          <w:rFonts w:eastAsia="Calibri"/>
          <w:szCs w:val="22"/>
          <w:lang w:eastAsia="en-US"/>
        </w:rPr>
        <w:t>’</w:t>
      </w:r>
      <w:r w:rsidRPr="006C28E7">
        <w:rPr>
          <w:rFonts w:eastAsia="Calibri"/>
          <w:szCs w:val="22"/>
          <w:lang w:eastAsia="en-US"/>
        </w:rPr>
        <w:t>exploitation en s</w:t>
      </w:r>
      <w:r w:rsidR="00D43184">
        <w:rPr>
          <w:rFonts w:eastAsia="Calibri"/>
          <w:szCs w:val="22"/>
          <w:lang w:eastAsia="en-US"/>
        </w:rPr>
        <w:t>’</w:t>
      </w:r>
      <w:r w:rsidRPr="006C28E7">
        <w:rPr>
          <w:rFonts w:eastAsia="Calibri"/>
          <w:szCs w:val="22"/>
          <w:lang w:eastAsia="en-US"/>
        </w:rPr>
        <w:t>appuyant sur des systèmes de données électroniques existants, en particulier le système d</w:t>
      </w:r>
      <w:r w:rsidR="00D43184">
        <w:rPr>
          <w:rFonts w:eastAsia="Calibri"/>
          <w:szCs w:val="22"/>
          <w:lang w:eastAsia="en-US"/>
        </w:rPr>
        <w:t>’</w:t>
      </w:r>
      <w:r w:rsidRPr="006C28E7">
        <w:rPr>
          <w:rFonts w:eastAsia="Calibri"/>
          <w:szCs w:val="22"/>
          <w:lang w:eastAsia="en-US"/>
        </w:rPr>
        <w:t>échange d</w:t>
      </w:r>
      <w:r w:rsidR="00D43184">
        <w:rPr>
          <w:rFonts w:eastAsia="Calibri"/>
          <w:szCs w:val="22"/>
          <w:lang w:eastAsia="en-US"/>
        </w:rPr>
        <w:t>’</w:t>
      </w:r>
      <w:r w:rsidRPr="006C28E7">
        <w:rPr>
          <w:rFonts w:eastAsia="Calibri"/>
          <w:szCs w:val="22"/>
          <w:lang w:eastAsia="en-US"/>
        </w:rPr>
        <w:t>informations maritimes de l</w:t>
      </w:r>
      <w:r w:rsidR="00D43184">
        <w:rPr>
          <w:rFonts w:eastAsia="Calibri"/>
          <w:szCs w:val="22"/>
          <w:lang w:eastAsia="en-US"/>
        </w:rPr>
        <w:t>’</w:t>
      </w:r>
      <w:r w:rsidRPr="006C28E7">
        <w:rPr>
          <w:rFonts w:eastAsia="Calibri"/>
          <w:szCs w:val="22"/>
          <w:lang w:eastAsia="en-US"/>
        </w:rPr>
        <w:t xml:space="preserve">Union (SafeSeaNet) mis en place en vertu de la </w:t>
      </w:r>
      <w:r w:rsidRPr="006C28E7">
        <w:rPr>
          <w:bCs/>
          <w:iCs/>
          <w:color w:val="000000"/>
          <w:szCs w:val="22"/>
          <w:lang w:eastAsia="en-US"/>
        </w:rPr>
        <w:t>directive 2002/59/CE ▌du Parlement européen et du Conseil</w:t>
      </w:r>
      <w:r w:rsidRPr="006C28E7">
        <w:rPr>
          <w:rFonts w:eastAsia="Calibri"/>
          <w:b/>
          <w:szCs w:val="22"/>
          <w:vertAlign w:val="superscript"/>
          <w:lang w:eastAsia="en-US"/>
        </w:rPr>
        <w:footnoteReference w:id="14"/>
      </w:r>
      <w:r w:rsidRPr="006C28E7">
        <w:rPr>
          <w:rFonts w:eastAsia="Calibri"/>
          <w:szCs w:val="22"/>
          <w:lang w:eastAsia="en-US"/>
        </w:rPr>
        <w:t xml:space="preserve"> et la base de données sur les inspections créée par la directive 2009/16/CE du Parlement européen et du Conseil</w:t>
      </w:r>
      <w:r w:rsidRPr="006C28E7">
        <w:rPr>
          <w:rFonts w:eastAsia="Calibri"/>
          <w:b/>
          <w:szCs w:val="22"/>
          <w:vertAlign w:val="superscript"/>
          <w:lang w:eastAsia="en-US"/>
        </w:rPr>
        <w:footnoteReference w:id="15"/>
      </w:r>
      <w:r w:rsidRPr="006C28E7">
        <w:rPr>
          <w:rFonts w:eastAsia="Calibri"/>
          <w:szCs w:val="22"/>
          <w:lang w:eastAsia="en-US"/>
        </w:rPr>
        <w:t xml:space="preserve"> (THETIS). Un tel système devrait également inclure les informations relatives aux installations de réception portuaires disponibles dans les différents ports.</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(41)</w:t>
      </w:r>
      <w:r w:rsidRPr="006C28E7">
        <w:rPr>
          <w:rFonts w:eastAsia="Calibri"/>
          <w:b/>
          <w:i/>
          <w:color w:val="000000"/>
          <w:szCs w:val="22"/>
          <w:lang w:eastAsia="en-US"/>
        </w:rPr>
        <w:tab/>
      </w:r>
      <w:r w:rsidRPr="006C28E7">
        <w:rPr>
          <w:rFonts w:eastAsia="Calibri"/>
          <w:b/>
          <w:bCs/>
          <w:i/>
          <w:color w:val="000000"/>
          <w:szCs w:val="22"/>
          <w:lang w:eastAsia="en-US"/>
        </w:rPr>
        <w:t>La directive 2010/65/UE du Parlement européen et du Conseil</w:t>
      </w:r>
      <w:r w:rsidRPr="006C28E7">
        <w:rPr>
          <w:i/>
          <w:color w:val="000000"/>
          <w:szCs w:val="22"/>
          <w:vertAlign w:val="superscript"/>
        </w:rPr>
        <w:footnoteReference w:id="16"/>
      </w:r>
      <w:r w:rsidRPr="006C28E7">
        <w:rPr>
          <w:rFonts w:eastAsia="Calibri"/>
          <w:b/>
          <w:bCs/>
          <w:i/>
          <w:color w:val="000000"/>
          <w:szCs w:val="22"/>
          <w:lang w:eastAsia="en-US"/>
        </w:rPr>
        <w:t xml:space="preserve"> simplifie et harmonise les procédures administratives appliquées au transport maritime en généralisant davantage la transmission électronique d</w:t>
      </w:r>
      <w:r w:rsidR="00D43184">
        <w:rPr>
          <w:rFonts w:eastAsia="Calibri"/>
          <w:b/>
          <w:bCs/>
          <w:i/>
          <w:color w:val="000000"/>
          <w:szCs w:val="22"/>
          <w:lang w:eastAsia="en-US"/>
        </w:rPr>
        <w:t>’</w:t>
      </w:r>
      <w:r w:rsidRPr="006C28E7">
        <w:rPr>
          <w:rFonts w:eastAsia="Calibri"/>
          <w:b/>
          <w:bCs/>
          <w:i/>
          <w:color w:val="000000"/>
          <w:szCs w:val="22"/>
          <w:lang w:eastAsia="en-US"/>
        </w:rPr>
        <w:t>informations et en rationalisant les formalités déclaratives.</w:t>
      </w:r>
      <w:r w:rsidRPr="006C28E7">
        <w:rPr>
          <w:rFonts w:eastAsia="Calibri"/>
          <w:b/>
          <w:i/>
          <w:color w:val="000000"/>
          <w:szCs w:val="22"/>
          <w:lang w:eastAsia="en-US"/>
        </w:rPr>
        <w:t xml:space="preserve"> La déclaration de La Valette sur les priorités en matière de politique du transport maritime de l</w:t>
      </w:r>
      <w:r w:rsidR="00D43184">
        <w:rPr>
          <w:rFonts w:eastAsia="Calibri"/>
          <w:b/>
          <w:i/>
          <w:color w:val="000000"/>
          <w:szCs w:val="22"/>
          <w:lang w:eastAsia="en-US"/>
        </w:rPr>
        <w:t>’</w:t>
      </w:r>
      <w:r w:rsidRPr="006C28E7">
        <w:rPr>
          <w:rFonts w:eastAsia="Calibri"/>
          <w:b/>
          <w:i/>
          <w:color w:val="000000"/>
          <w:szCs w:val="22"/>
          <w:lang w:eastAsia="en-US"/>
        </w:rPr>
        <w:t>UE jusqu</w:t>
      </w:r>
      <w:r w:rsidR="00D43184">
        <w:rPr>
          <w:rFonts w:eastAsia="Calibri"/>
          <w:b/>
          <w:i/>
          <w:color w:val="000000"/>
          <w:szCs w:val="22"/>
          <w:lang w:eastAsia="en-US"/>
        </w:rPr>
        <w:t>’</w:t>
      </w:r>
      <w:r w:rsidRPr="006C28E7">
        <w:rPr>
          <w:rFonts w:eastAsia="Calibri"/>
          <w:b/>
          <w:i/>
          <w:color w:val="000000"/>
          <w:szCs w:val="22"/>
          <w:lang w:eastAsia="en-US"/>
        </w:rPr>
        <w:t>en 2020, entérinée par le Conseil dans ses conclusions du 8 juin 2017, invitait la Commission à proposer la suite qu</w:t>
      </w:r>
      <w:r w:rsidR="00D43184">
        <w:rPr>
          <w:rFonts w:eastAsia="Calibri"/>
          <w:b/>
          <w:i/>
          <w:color w:val="000000"/>
          <w:szCs w:val="22"/>
          <w:lang w:eastAsia="en-US"/>
        </w:rPr>
        <w:t>’</w:t>
      </w:r>
      <w:r w:rsidRPr="006C28E7">
        <w:rPr>
          <w:rFonts w:eastAsia="Calibri"/>
          <w:b/>
          <w:i/>
          <w:color w:val="000000"/>
          <w:szCs w:val="22"/>
          <w:lang w:eastAsia="en-US"/>
        </w:rPr>
        <w:t>il convenait de donner au réexamen de cette directive. Du 25 octobre 2017 au 18 janvier 2018, la Commission a mené une consultation publique sur les formalités déclaratives applicables aux navires. Le 17 mai 2018, la Commission a transmis au Parlement européen et au Conseil une proposition de règlement établissant un guichet unique maritime européen et abrogeant la directive 2010/65/UE.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(42)</w:t>
      </w:r>
      <w:r w:rsidRPr="006C28E7">
        <w:rPr>
          <w:rFonts w:eastAsia="Calibri"/>
          <w:szCs w:val="22"/>
          <w:lang w:eastAsia="en-US"/>
        </w:rPr>
        <w:tab/>
        <w:t>La convention MARPOL exige des parties contractantes qu</w:t>
      </w:r>
      <w:r w:rsidR="00D43184">
        <w:rPr>
          <w:rFonts w:eastAsia="Calibri"/>
          <w:szCs w:val="22"/>
          <w:lang w:eastAsia="en-US"/>
        </w:rPr>
        <w:t>’</w:t>
      </w:r>
      <w:r w:rsidRPr="006C28E7">
        <w:rPr>
          <w:rFonts w:eastAsia="Calibri"/>
          <w:szCs w:val="22"/>
          <w:lang w:eastAsia="en-US"/>
        </w:rPr>
        <w:t>elles tiennent à jour les informations concernant leurs installations de réception portuaires et qu</w:t>
      </w:r>
      <w:r w:rsidR="00D43184">
        <w:rPr>
          <w:rFonts w:eastAsia="Calibri"/>
          <w:szCs w:val="22"/>
          <w:lang w:eastAsia="en-US"/>
        </w:rPr>
        <w:t>’</w:t>
      </w:r>
      <w:r w:rsidRPr="006C28E7">
        <w:rPr>
          <w:rFonts w:eastAsia="Calibri"/>
          <w:szCs w:val="22"/>
          <w:lang w:eastAsia="en-US"/>
        </w:rPr>
        <w:t>elles les communiquent à l</w:t>
      </w:r>
      <w:r w:rsidR="00D43184">
        <w:rPr>
          <w:rFonts w:eastAsia="Calibri"/>
          <w:szCs w:val="22"/>
          <w:lang w:eastAsia="en-US"/>
        </w:rPr>
        <w:t>’</w:t>
      </w:r>
      <w:r w:rsidRPr="006C28E7">
        <w:rPr>
          <w:rFonts w:eastAsia="Calibri"/>
          <w:szCs w:val="22"/>
          <w:lang w:eastAsia="en-US"/>
        </w:rPr>
        <w:t>OMI. À cet effet, l</w:t>
      </w:r>
      <w:r w:rsidR="00D43184">
        <w:rPr>
          <w:rFonts w:eastAsia="Calibri"/>
          <w:szCs w:val="22"/>
          <w:lang w:eastAsia="en-US"/>
        </w:rPr>
        <w:t>’</w:t>
      </w:r>
      <w:r w:rsidRPr="006C28E7">
        <w:rPr>
          <w:rFonts w:eastAsia="Calibri"/>
          <w:szCs w:val="22"/>
          <w:lang w:eastAsia="en-US"/>
        </w:rPr>
        <w:t xml:space="preserve">OMI a mis en place une base de données relative aux installations de réception portuaires dans le cadre de son système mondial intégré de renseignements maritimes (GISIS). </w:t>
      </w:r>
      <w:r w:rsidRPr="006C28E7">
        <w:rPr>
          <w:rFonts w:eastAsia="Calibri"/>
          <w:color w:val="000000"/>
          <w:szCs w:val="22"/>
          <w:lang w:eastAsia="en-US"/>
        </w:rPr>
        <w:t>▌</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(43)</w:t>
      </w:r>
      <w:r w:rsidRPr="006C28E7">
        <w:rPr>
          <w:rFonts w:eastAsia="Calibri"/>
          <w:b/>
          <w:i/>
          <w:color w:val="000000"/>
          <w:szCs w:val="22"/>
          <w:lang w:eastAsia="en-US"/>
        </w:rPr>
        <w:tab/>
        <w:t>Dans le guide récapitulatif de l</w:t>
      </w:r>
      <w:r w:rsidR="00D43184">
        <w:rPr>
          <w:rFonts w:eastAsia="Calibri"/>
          <w:b/>
          <w:i/>
          <w:color w:val="000000"/>
          <w:szCs w:val="22"/>
          <w:lang w:eastAsia="en-US"/>
        </w:rPr>
        <w:t>’</w:t>
      </w:r>
      <w:r w:rsidRPr="006C28E7">
        <w:rPr>
          <w:rFonts w:eastAsia="Calibri"/>
          <w:b/>
          <w:i/>
          <w:color w:val="000000"/>
          <w:szCs w:val="22"/>
          <w:lang w:eastAsia="en-US"/>
        </w:rPr>
        <w:t>OMI, celle-ci prévoit la notification des inadéquations présumées des installations de réception portuaires. Dans le cadre de cette procédure, un navire devrait signaler de telles inadéquations à l</w:t>
      </w:r>
      <w:r w:rsidR="00D43184">
        <w:rPr>
          <w:rFonts w:eastAsia="Calibri"/>
          <w:b/>
          <w:i/>
          <w:color w:val="000000"/>
          <w:szCs w:val="22"/>
          <w:lang w:eastAsia="en-US"/>
        </w:rPr>
        <w:t>’</w:t>
      </w:r>
      <w:r w:rsidRPr="006C28E7">
        <w:rPr>
          <w:rFonts w:eastAsia="Calibri"/>
          <w:b/>
          <w:i/>
          <w:color w:val="000000"/>
          <w:szCs w:val="22"/>
          <w:lang w:eastAsia="en-US"/>
        </w:rPr>
        <w:t>administration de l</w:t>
      </w:r>
      <w:r w:rsidR="00D43184">
        <w:rPr>
          <w:rFonts w:eastAsia="Calibri"/>
          <w:b/>
          <w:i/>
          <w:color w:val="000000"/>
          <w:szCs w:val="22"/>
          <w:lang w:eastAsia="en-US"/>
        </w:rPr>
        <w:t>’</w:t>
      </w:r>
      <w:r w:rsidRPr="006C28E7">
        <w:rPr>
          <w:rFonts w:eastAsia="Calibri"/>
          <w:b/>
          <w:i/>
          <w:color w:val="000000"/>
          <w:szCs w:val="22"/>
          <w:lang w:eastAsia="en-US"/>
        </w:rPr>
        <w:t>État du pavillon, qui, à son tour, doit en informer l</w:t>
      </w:r>
      <w:r w:rsidR="00D43184">
        <w:rPr>
          <w:rFonts w:eastAsia="Calibri"/>
          <w:b/>
          <w:i/>
          <w:color w:val="000000"/>
          <w:szCs w:val="22"/>
          <w:lang w:eastAsia="en-US"/>
        </w:rPr>
        <w:t>’</w:t>
      </w:r>
      <w:r w:rsidRPr="006C28E7">
        <w:rPr>
          <w:rFonts w:eastAsia="Calibri"/>
          <w:b/>
          <w:i/>
          <w:color w:val="000000"/>
          <w:szCs w:val="22"/>
          <w:lang w:eastAsia="en-US"/>
        </w:rPr>
        <w:t>OMI et l</w:t>
      </w:r>
      <w:r w:rsidR="00D43184">
        <w:rPr>
          <w:rFonts w:eastAsia="Calibri"/>
          <w:b/>
          <w:i/>
          <w:color w:val="000000"/>
          <w:szCs w:val="22"/>
          <w:lang w:eastAsia="en-US"/>
        </w:rPr>
        <w:t>’</w:t>
      </w:r>
      <w:r w:rsidRPr="006C28E7">
        <w:rPr>
          <w:rFonts w:eastAsia="Calibri"/>
          <w:b/>
          <w:i/>
          <w:color w:val="000000"/>
          <w:szCs w:val="22"/>
          <w:lang w:eastAsia="en-US"/>
        </w:rPr>
        <w:t xml:space="preserve">État du port. </w:t>
      </w:r>
      <w:r w:rsidRPr="006C28E7">
        <w:rPr>
          <w:rFonts w:eastAsia="Calibri"/>
          <w:b/>
          <w:i/>
          <w:szCs w:val="22"/>
          <w:lang w:eastAsia="en-US"/>
        </w:rPr>
        <w:t>L</w:t>
      </w:r>
      <w:r w:rsidR="00D43184">
        <w:rPr>
          <w:rFonts w:eastAsia="Calibri"/>
          <w:b/>
          <w:i/>
          <w:szCs w:val="22"/>
          <w:lang w:eastAsia="en-US"/>
        </w:rPr>
        <w:t>’</w:t>
      </w:r>
      <w:r w:rsidRPr="006C28E7">
        <w:rPr>
          <w:rFonts w:eastAsia="Calibri"/>
          <w:b/>
          <w:i/>
          <w:szCs w:val="22"/>
          <w:lang w:eastAsia="en-US"/>
        </w:rPr>
        <w:t>État du port devrait examiner le rapport et apporter une réponse appropriée, en en informant l</w:t>
      </w:r>
      <w:r w:rsidR="00D43184">
        <w:rPr>
          <w:rFonts w:eastAsia="Calibri"/>
          <w:b/>
          <w:i/>
          <w:szCs w:val="22"/>
          <w:lang w:eastAsia="en-US"/>
        </w:rPr>
        <w:t>’</w:t>
      </w:r>
      <w:r w:rsidRPr="006C28E7">
        <w:rPr>
          <w:rFonts w:eastAsia="Calibri"/>
          <w:b/>
          <w:i/>
          <w:szCs w:val="22"/>
          <w:lang w:eastAsia="en-US"/>
        </w:rPr>
        <w:t>OMI et l</w:t>
      </w:r>
      <w:r w:rsidR="00D43184">
        <w:rPr>
          <w:rFonts w:eastAsia="Calibri"/>
          <w:b/>
          <w:i/>
          <w:szCs w:val="22"/>
          <w:lang w:eastAsia="en-US"/>
        </w:rPr>
        <w:t>’</w:t>
      </w:r>
      <w:r w:rsidRPr="006C28E7">
        <w:rPr>
          <w:rFonts w:eastAsia="Calibri"/>
          <w:b/>
          <w:i/>
          <w:szCs w:val="22"/>
          <w:lang w:eastAsia="en-US"/>
        </w:rPr>
        <w:t>État du pavillon signalant.</w:t>
      </w:r>
      <w:r w:rsidRPr="006C28E7">
        <w:rPr>
          <w:rFonts w:eastAsia="Calibri"/>
          <w:b/>
          <w:i/>
          <w:color w:val="000000"/>
          <w:szCs w:val="22"/>
          <w:lang w:eastAsia="en-US"/>
        </w:rPr>
        <w:t xml:space="preserve"> </w:t>
      </w:r>
      <w:r w:rsidRPr="006C28E7">
        <w:rPr>
          <w:rFonts w:eastAsia="Calibri"/>
          <w:b/>
          <w:bCs/>
          <w:i/>
          <w:iCs/>
          <w:szCs w:val="22"/>
          <w:lang w:eastAsia="en-US"/>
        </w:rPr>
        <w:t>Si ces informations relatives à des inadéquations présumées étaient directement consignées</w:t>
      </w:r>
      <w:r w:rsidRPr="006C28E7">
        <w:rPr>
          <w:rFonts w:eastAsia="Calibri"/>
          <w:szCs w:val="22"/>
          <w:lang w:eastAsia="en-US"/>
        </w:rPr>
        <w:t xml:space="preserve"> dans le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 xml:space="preserve">application </w:t>
      </w:r>
      <w:r w:rsidRPr="006C28E7">
        <w:rPr>
          <w:rFonts w:eastAsia="Calibri"/>
          <w:b/>
          <w:bCs/>
          <w:i/>
          <w:iCs/>
          <w:szCs w:val="22"/>
          <w:lang w:eastAsia="en-US"/>
        </w:rPr>
        <w:t>prévu par la présente</w:t>
      </w:r>
      <w:r w:rsidRPr="006C28E7">
        <w:rPr>
          <w:rFonts w:eastAsia="Calibri"/>
          <w:szCs w:val="22"/>
          <w:lang w:eastAsia="en-US"/>
        </w:rPr>
        <w:t xml:space="preserve"> directive, elles </w:t>
      </w:r>
      <w:r w:rsidRPr="006C28E7">
        <w:rPr>
          <w:rFonts w:eastAsia="Calibri"/>
          <w:b/>
          <w:bCs/>
          <w:i/>
          <w:iCs/>
          <w:szCs w:val="22"/>
          <w:lang w:eastAsia="en-US"/>
        </w:rPr>
        <w:t>pourraient</w:t>
      </w:r>
      <w:r w:rsidRPr="006C28E7">
        <w:rPr>
          <w:rFonts w:eastAsia="Calibri"/>
          <w:szCs w:val="22"/>
          <w:lang w:eastAsia="en-US"/>
        </w:rPr>
        <w:t xml:space="preserve"> ensuite être transmises </w:t>
      </w:r>
      <w:r w:rsidRPr="006C28E7">
        <w:rPr>
          <w:rFonts w:eastAsia="Calibri"/>
          <w:b/>
          <w:bCs/>
          <w:i/>
          <w:iCs/>
          <w:szCs w:val="22"/>
          <w:lang w:eastAsia="en-US"/>
        </w:rPr>
        <w:t>au</w:t>
      </w:r>
      <w:r w:rsidRPr="006C28E7">
        <w:rPr>
          <w:rFonts w:eastAsia="Calibri"/>
          <w:szCs w:val="22"/>
          <w:lang w:eastAsia="en-US"/>
        </w:rPr>
        <w:t xml:space="preserve"> GISIS, ce qui </w:t>
      </w:r>
      <w:r w:rsidRPr="006C28E7">
        <w:rPr>
          <w:rFonts w:eastAsia="Calibri"/>
          <w:b/>
          <w:bCs/>
          <w:i/>
          <w:iCs/>
          <w:szCs w:val="22"/>
          <w:lang w:eastAsia="en-US"/>
        </w:rPr>
        <w:t>libérerait</w:t>
      </w:r>
      <w:r w:rsidRPr="006C28E7">
        <w:rPr>
          <w:rFonts w:eastAsia="Calibri"/>
          <w:szCs w:val="22"/>
          <w:lang w:eastAsia="en-US"/>
        </w:rPr>
        <w:t xml:space="preserve"> les États membres, </w:t>
      </w:r>
      <w:r w:rsidRPr="006C28E7">
        <w:rPr>
          <w:rFonts w:eastAsia="Calibri"/>
          <w:b/>
          <w:bCs/>
          <w:i/>
          <w:iCs/>
          <w:szCs w:val="22"/>
          <w:lang w:eastAsia="en-US"/>
        </w:rPr>
        <w:t>qu</w:t>
      </w:r>
      <w:r w:rsidR="00D43184">
        <w:rPr>
          <w:rFonts w:eastAsia="Calibri"/>
          <w:b/>
          <w:bCs/>
          <w:i/>
          <w:iCs/>
          <w:szCs w:val="22"/>
          <w:lang w:eastAsia="en-US"/>
        </w:rPr>
        <w:t>’</w:t>
      </w:r>
      <w:r w:rsidRPr="006C28E7">
        <w:rPr>
          <w:rFonts w:eastAsia="Calibri"/>
          <w:b/>
          <w:bCs/>
          <w:i/>
          <w:iCs/>
          <w:szCs w:val="22"/>
          <w:lang w:eastAsia="en-US"/>
        </w:rPr>
        <w:t>ils soient État du pavillon ou État du port, de leur obligation de notification à</w:t>
      </w:r>
      <w:r w:rsidRPr="006C28E7">
        <w:rPr>
          <w:rFonts w:eastAsia="Calibri"/>
          <w:szCs w:val="22"/>
          <w:lang w:eastAsia="en-US"/>
        </w:rPr>
        <w:t xml:space="preserve"> l</w:t>
      </w:r>
      <w:r w:rsidR="00D43184">
        <w:rPr>
          <w:rFonts w:eastAsia="Calibri"/>
          <w:szCs w:val="22"/>
          <w:lang w:eastAsia="en-US"/>
        </w:rPr>
        <w:t>’</w:t>
      </w:r>
      <w:r w:rsidRPr="006C28E7">
        <w:rPr>
          <w:rFonts w:eastAsia="Calibri"/>
          <w:szCs w:val="22"/>
          <w:lang w:eastAsia="en-US"/>
        </w:rPr>
        <w:t>OMI.</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(44)</w:t>
      </w:r>
      <w:r w:rsidRPr="006C28E7">
        <w:rPr>
          <w:rFonts w:eastAsia="Calibri"/>
          <w:szCs w:val="22"/>
          <w:lang w:eastAsia="en-US"/>
        </w:rPr>
        <w:tab/>
        <w:t xml:space="preserve">Le sous-groupe sur les installations de réception portuaires, qui a été créé dans le cadre du Forum européen du transport maritime durable et qui </w:t>
      </w:r>
      <w:r w:rsidRPr="006C28E7">
        <w:rPr>
          <w:rFonts w:eastAsia="Calibri"/>
          <w:b/>
          <w:bCs/>
          <w:i/>
          <w:iCs/>
          <w:szCs w:val="22"/>
          <w:lang w:eastAsia="en-US"/>
        </w:rPr>
        <w:t>réunissait</w:t>
      </w:r>
      <w:r w:rsidRPr="006C28E7">
        <w:rPr>
          <w:rFonts w:eastAsia="Calibri"/>
          <w:szCs w:val="22"/>
          <w:lang w:eastAsia="en-US"/>
        </w:rPr>
        <w:t xml:space="preserve"> un large éventail d</w:t>
      </w:r>
      <w:r w:rsidR="00D43184">
        <w:rPr>
          <w:rFonts w:eastAsia="Calibri"/>
          <w:szCs w:val="22"/>
          <w:lang w:eastAsia="en-US"/>
        </w:rPr>
        <w:t>’</w:t>
      </w:r>
      <w:r w:rsidRPr="006C28E7">
        <w:rPr>
          <w:rFonts w:eastAsia="Calibri"/>
          <w:szCs w:val="22"/>
          <w:lang w:eastAsia="en-US"/>
        </w:rPr>
        <w:t xml:space="preserve">experts dans le domaine de la lutte contre la pollution causée par les navires et de la gestion des déchets des navires, </w:t>
      </w:r>
      <w:r w:rsidRPr="006C28E7">
        <w:rPr>
          <w:rFonts w:eastAsia="Calibri"/>
          <w:b/>
          <w:bCs/>
          <w:i/>
          <w:iCs/>
          <w:szCs w:val="22"/>
          <w:lang w:eastAsia="en-US"/>
        </w:rPr>
        <w:t>a été suspendu en décembre 2017 en raison du lancement de négociations interinstitutionnelles</w:t>
      </w:r>
      <w:r w:rsidRPr="006C28E7">
        <w:rPr>
          <w:rFonts w:eastAsia="Calibri"/>
          <w:szCs w:val="22"/>
          <w:lang w:eastAsia="en-US"/>
        </w:rPr>
        <w:t>.</w:t>
      </w:r>
      <w:r w:rsidRPr="006C28E7">
        <w:rPr>
          <w:rFonts w:eastAsia="Calibri"/>
          <w:b/>
          <w:i/>
          <w:color w:val="000000"/>
          <w:szCs w:val="22"/>
          <w:lang w:eastAsia="en-US"/>
        </w:rPr>
        <w:t xml:space="preserve"> </w:t>
      </w:r>
      <w:r w:rsidRPr="006C28E7">
        <w:rPr>
          <w:rFonts w:eastAsia="Calibri"/>
          <w:szCs w:val="22"/>
          <w:lang w:eastAsia="en-US"/>
        </w:rPr>
        <w:t>Compte tenu des conseils précieux et de l</w:t>
      </w:r>
      <w:r w:rsidR="00D43184">
        <w:rPr>
          <w:rFonts w:eastAsia="Calibri"/>
          <w:szCs w:val="22"/>
          <w:lang w:eastAsia="en-US"/>
        </w:rPr>
        <w:t>’</w:t>
      </w:r>
      <w:r w:rsidRPr="006C28E7">
        <w:rPr>
          <w:rFonts w:eastAsia="Calibri"/>
          <w:szCs w:val="22"/>
          <w:lang w:eastAsia="en-US"/>
        </w:rPr>
        <w:t>expertise que ce sous-groupe apportait à la Commission, il serait souhaitable de créer un groupe d</w:t>
      </w:r>
      <w:r w:rsidR="00D43184">
        <w:rPr>
          <w:rFonts w:eastAsia="Calibri"/>
          <w:szCs w:val="22"/>
          <w:lang w:eastAsia="en-US"/>
        </w:rPr>
        <w:t>’</w:t>
      </w:r>
      <w:r w:rsidRPr="006C28E7">
        <w:rPr>
          <w:rFonts w:eastAsia="Calibri"/>
          <w:szCs w:val="22"/>
          <w:lang w:eastAsia="en-US"/>
        </w:rPr>
        <w:t>experts similaire chargé de procéder à un partage d</w:t>
      </w:r>
      <w:r w:rsidR="00D43184">
        <w:rPr>
          <w:rFonts w:eastAsia="Calibri"/>
          <w:szCs w:val="22"/>
          <w:lang w:eastAsia="en-US"/>
        </w:rPr>
        <w:t>’</w:t>
      </w:r>
      <w:r w:rsidRPr="006C28E7">
        <w:rPr>
          <w:rFonts w:eastAsia="Calibri"/>
          <w:szCs w:val="22"/>
          <w:lang w:eastAsia="en-US"/>
        </w:rPr>
        <w:t>expérience sur la mise en œuvre de la présente directive.</w:t>
      </w:r>
    </w:p>
    <w:p w:rsidR="009C7E1C" w:rsidRPr="006C28E7" w:rsidRDefault="009C7E1C" w:rsidP="009C7E1C">
      <w:pPr>
        <w:widowControl/>
        <w:autoSpaceDE w:val="0"/>
        <w:autoSpaceDN w:val="0"/>
        <w:adjustRightInd w:val="0"/>
        <w:spacing w:before="120" w:after="120" w:line="360" w:lineRule="auto"/>
        <w:ind w:left="851" w:hanging="851"/>
        <w:rPr>
          <w:rFonts w:eastAsia="Calibri"/>
          <w:b/>
          <w:i/>
          <w:color w:val="000000"/>
          <w:szCs w:val="22"/>
          <w:lang w:eastAsia="en-US"/>
        </w:rPr>
      </w:pPr>
      <w:r w:rsidRPr="006C28E7">
        <w:rPr>
          <w:rFonts w:eastAsia="Calibri"/>
          <w:b/>
          <w:i/>
          <w:color w:val="000000"/>
          <w:szCs w:val="22"/>
          <w:lang w:eastAsia="en-US"/>
        </w:rPr>
        <w:t>(45)</w:t>
      </w:r>
      <w:r w:rsidRPr="006C28E7">
        <w:rPr>
          <w:rFonts w:eastAsia="Calibri"/>
          <w:b/>
          <w:i/>
          <w:color w:val="000000"/>
          <w:szCs w:val="22"/>
          <w:lang w:eastAsia="en-US"/>
        </w:rPr>
        <w:tab/>
        <w:t>Il importe que les sanctions prévues par les États membres soient correctement mises en œuvre et soient effectives, proportionnées et dissuasives.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(46)</w:t>
      </w:r>
      <w:r w:rsidRPr="006C28E7">
        <w:rPr>
          <w:rFonts w:eastAsia="Calibri"/>
          <w:b/>
          <w:i/>
          <w:color w:val="000000"/>
          <w:szCs w:val="22"/>
          <w:lang w:eastAsia="en-US"/>
        </w:rPr>
        <w:tab/>
        <w:t>De bonnes conditions de travail pour le personnel des installations de réception portuaires sont d</w:t>
      </w:r>
      <w:r w:rsidR="00D43184">
        <w:rPr>
          <w:rFonts w:eastAsia="Calibri"/>
          <w:b/>
          <w:i/>
          <w:color w:val="000000"/>
          <w:szCs w:val="22"/>
          <w:lang w:eastAsia="en-US"/>
        </w:rPr>
        <w:t>’</w:t>
      </w:r>
      <w:r w:rsidRPr="006C28E7">
        <w:rPr>
          <w:rFonts w:eastAsia="Calibri"/>
          <w:b/>
          <w:i/>
          <w:color w:val="000000"/>
          <w:szCs w:val="22"/>
          <w:lang w:eastAsia="en-US"/>
        </w:rPr>
        <w:t>une importance primordiale pour que le secteur du transport maritime soit sûr, efficace et socialement responsable, qu</w:t>
      </w:r>
      <w:r w:rsidR="00D43184">
        <w:rPr>
          <w:rFonts w:eastAsia="Calibri"/>
          <w:b/>
          <w:i/>
          <w:color w:val="000000"/>
          <w:szCs w:val="22"/>
          <w:lang w:eastAsia="en-US"/>
        </w:rPr>
        <w:t>’</w:t>
      </w:r>
      <w:r w:rsidRPr="006C28E7">
        <w:rPr>
          <w:rFonts w:eastAsia="Calibri"/>
          <w:b/>
          <w:i/>
          <w:color w:val="000000"/>
          <w:szCs w:val="22"/>
          <w:lang w:eastAsia="en-US"/>
        </w:rPr>
        <w:t>il puisse attirer des travailleurs qualifiés et garantir des conditions de concurrence égales dans toute l</w:t>
      </w:r>
      <w:r w:rsidR="00D43184">
        <w:rPr>
          <w:rFonts w:eastAsia="Calibri"/>
          <w:b/>
          <w:i/>
          <w:color w:val="000000"/>
          <w:szCs w:val="22"/>
          <w:lang w:eastAsia="en-US"/>
        </w:rPr>
        <w:t>’</w:t>
      </w:r>
      <w:r w:rsidRPr="006C28E7">
        <w:rPr>
          <w:rFonts w:eastAsia="Calibri"/>
          <w:b/>
          <w:i/>
          <w:color w:val="000000"/>
          <w:szCs w:val="22"/>
          <w:lang w:eastAsia="en-US"/>
        </w:rPr>
        <w:t>Europe. La formation initiale ainsi que la formation continue du personnel sont indispensables pour garantir la qualité des services et protéger les travailleurs. Il convient que les autorités du port et  les autorités de l</w:t>
      </w:r>
      <w:r w:rsidR="00D43184">
        <w:rPr>
          <w:rFonts w:eastAsia="Calibri"/>
          <w:b/>
          <w:i/>
          <w:color w:val="000000"/>
          <w:szCs w:val="22"/>
          <w:lang w:eastAsia="en-US"/>
        </w:rPr>
        <w:t>’</w:t>
      </w:r>
      <w:r w:rsidRPr="006C28E7">
        <w:rPr>
          <w:rFonts w:eastAsia="Calibri"/>
          <w:b/>
          <w:i/>
          <w:color w:val="000000"/>
          <w:szCs w:val="22"/>
          <w:lang w:eastAsia="en-US"/>
        </w:rPr>
        <w:t>installation de réception portuaire veillent à ce que tous les membres de leur personnel bénéficient de la formation nécessaire pour acquérir les connaissances indispensables à leur travail, une attention particulière étant accordée aux aspects liés à la santé et à la sécurité en cas de manipulation de matériaux dangereux, et à ce que les exigences en matière de formation soient actualisées régulièrement de manière à relever les défis de l</w:t>
      </w:r>
      <w:r w:rsidR="00D43184">
        <w:rPr>
          <w:rFonts w:eastAsia="Calibri"/>
          <w:b/>
          <w:i/>
          <w:color w:val="000000"/>
          <w:szCs w:val="22"/>
          <w:lang w:eastAsia="en-US"/>
        </w:rPr>
        <w:t>’</w:t>
      </w:r>
      <w:r w:rsidRPr="006C28E7">
        <w:rPr>
          <w:rFonts w:eastAsia="Calibri"/>
          <w:b/>
          <w:i/>
          <w:color w:val="000000"/>
          <w:szCs w:val="22"/>
          <w:lang w:eastAsia="en-US"/>
        </w:rPr>
        <w:t>innovation technologique.</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(47)</w:t>
      </w:r>
      <w:r w:rsidRPr="006C28E7">
        <w:rPr>
          <w:rFonts w:eastAsia="Calibri"/>
          <w:szCs w:val="22"/>
          <w:lang w:eastAsia="en-US"/>
        </w:rPr>
        <w:tab/>
        <w:t>Les pouvoirs conférés à la Commission pour mettre en œuvre la directive 2000/59/CE devraient être mis à jour en conformité avec le traité sur le fonctionnement de l</w:t>
      </w:r>
      <w:r w:rsidR="00D43184">
        <w:rPr>
          <w:rFonts w:eastAsia="Calibri"/>
          <w:szCs w:val="22"/>
          <w:lang w:eastAsia="en-US"/>
        </w:rPr>
        <w:t>’</w:t>
      </w:r>
      <w:r w:rsidRPr="006C28E7">
        <w:rPr>
          <w:rFonts w:eastAsia="Calibri"/>
          <w:szCs w:val="22"/>
          <w:lang w:eastAsia="en-US"/>
        </w:rPr>
        <w:t>Union européenne.</w:t>
      </w:r>
    </w:p>
    <w:p w:rsidR="009C7E1C" w:rsidRPr="006C28E7" w:rsidRDefault="009C7E1C" w:rsidP="009C7E1C">
      <w:pPr>
        <w:widowControl/>
        <w:autoSpaceDE w:val="0"/>
        <w:autoSpaceDN w:val="0"/>
        <w:adjustRightInd w:val="0"/>
        <w:spacing w:before="120" w:after="120" w:line="360" w:lineRule="auto"/>
        <w:ind w:left="851" w:hanging="851"/>
        <w:rPr>
          <w:rFonts w:eastAsia="Calibri"/>
          <w:b/>
          <w:bCs/>
          <w:i/>
          <w:iCs/>
          <w:szCs w:val="22"/>
          <w:lang w:eastAsia="en-US"/>
        </w:rPr>
      </w:pPr>
      <w:r w:rsidRPr="006C28E7">
        <w:rPr>
          <w:rFonts w:eastAsia="Calibri"/>
          <w:szCs w:val="22"/>
          <w:lang w:eastAsia="en-US"/>
        </w:rPr>
        <w:t>(48)</w:t>
      </w:r>
      <w:r w:rsidRPr="006C28E7">
        <w:rPr>
          <w:rFonts w:eastAsia="Calibri"/>
          <w:szCs w:val="22"/>
          <w:lang w:eastAsia="en-US"/>
        </w:rPr>
        <w:tab/>
        <w:t>Il convient de déléguer à la Commission le pouvoir d</w:t>
      </w:r>
      <w:r w:rsidR="00D43184">
        <w:rPr>
          <w:rFonts w:eastAsia="Calibri"/>
          <w:szCs w:val="22"/>
          <w:lang w:eastAsia="en-US"/>
        </w:rPr>
        <w:t>’</w:t>
      </w:r>
      <w:r w:rsidRPr="006C28E7">
        <w:rPr>
          <w:rFonts w:eastAsia="Calibri"/>
          <w:szCs w:val="22"/>
          <w:lang w:eastAsia="en-US"/>
        </w:rPr>
        <w:t>adopter des actes conformément à l</w:t>
      </w:r>
      <w:r w:rsidR="00D43184">
        <w:rPr>
          <w:rFonts w:eastAsia="Calibri"/>
          <w:szCs w:val="22"/>
          <w:lang w:eastAsia="en-US"/>
        </w:rPr>
        <w:t>’</w:t>
      </w:r>
      <w:r w:rsidRPr="006C28E7">
        <w:rPr>
          <w:rFonts w:eastAsia="Calibri"/>
          <w:szCs w:val="22"/>
          <w:lang w:eastAsia="en-US"/>
        </w:rPr>
        <w:t>article 290 du traité sur le fonctionnement de l</w:t>
      </w:r>
      <w:r w:rsidR="00D43184">
        <w:rPr>
          <w:rFonts w:eastAsia="Calibri"/>
          <w:szCs w:val="22"/>
          <w:lang w:eastAsia="en-US"/>
        </w:rPr>
        <w:t>’</w:t>
      </w:r>
      <w:r w:rsidRPr="006C28E7">
        <w:rPr>
          <w:rFonts w:eastAsia="Calibri"/>
          <w:szCs w:val="22"/>
          <w:lang w:eastAsia="en-US"/>
        </w:rPr>
        <w:t>Union européenne, en ce qui concerne la modification des annexes de la présente directive et des références aux instruments internationaux  dans la mesure nécessaire pour les aligner sur le droit de l</w:t>
      </w:r>
      <w:r w:rsidR="00D43184">
        <w:rPr>
          <w:rFonts w:eastAsia="Calibri"/>
          <w:szCs w:val="22"/>
          <w:lang w:eastAsia="en-US"/>
        </w:rPr>
        <w:t>’</w:t>
      </w:r>
      <w:r w:rsidRPr="006C28E7">
        <w:rPr>
          <w:rFonts w:eastAsia="Calibri"/>
          <w:szCs w:val="22"/>
          <w:lang w:eastAsia="en-US"/>
        </w:rPr>
        <w:t>Union ou pour tenir compte des évolutions au niveau international, notamment à l</w:t>
      </w:r>
      <w:r w:rsidR="00D43184">
        <w:rPr>
          <w:rFonts w:eastAsia="Calibri"/>
          <w:szCs w:val="22"/>
          <w:lang w:eastAsia="en-US"/>
        </w:rPr>
        <w:t>’</w:t>
      </w:r>
      <w:r w:rsidRPr="006C28E7">
        <w:rPr>
          <w:rFonts w:eastAsia="Calibri"/>
          <w:szCs w:val="22"/>
          <w:lang w:eastAsia="en-US"/>
        </w:rPr>
        <w:t>échelle de l</w:t>
      </w:r>
      <w:r w:rsidR="00D43184">
        <w:rPr>
          <w:rFonts w:eastAsia="Calibri"/>
          <w:szCs w:val="22"/>
          <w:lang w:eastAsia="en-US"/>
        </w:rPr>
        <w:t>’</w:t>
      </w:r>
      <w:r w:rsidRPr="006C28E7">
        <w:rPr>
          <w:rFonts w:eastAsia="Calibri"/>
          <w:szCs w:val="22"/>
          <w:lang w:eastAsia="en-US"/>
        </w:rPr>
        <w:t>OMI; pour modifier les annexes de la présente directive lorsque cela est nécessaire pour améliorer les modalités de mise en œuvre et de suivi qu</w:t>
      </w:r>
      <w:r w:rsidR="00D43184">
        <w:rPr>
          <w:rFonts w:eastAsia="Calibri"/>
          <w:szCs w:val="22"/>
          <w:lang w:eastAsia="en-US"/>
        </w:rPr>
        <w:t>’</w:t>
      </w:r>
      <w:r w:rsidRPr="006C28E7">
        <w:rPr>
          <w:rFonts w:eastAsia="Calibri"/>
          <w:szCs w:val="22"/>
          <w:lang w:eastAsia="en-US"/>
        </w:rPr>
        <w:t>elle établit, notamment pour ce qui est de l</w:t>
      </w:r>
      <w:r w:rsidR="00D43184">
        <w:rPr>
          <w:rFonts w:eastAsia="Calibri"/>
          <w:szCs w:val="22"/>
          <w:lang w:eastAsia="en-US"/>
        </w:rPr>
        <w:t>’</w:t>
      </w:r>
      <w:r w:rsidRPr="006C28E7">
        <w:rPr>
          <w:rFonts w:eastAsia="Calibri"/>
          <w:szCs w:val="22"/>
          <w:lang w:eastAsia="en-US"/>
        </w:rPr>
        <w:t>efficacité de la notification et du dépôt des déchets et de la bonne application des exemptions; et, dans des circonstances exceptionnelles, lorsque cela est dûment justifié par une analyse appropriée de la Commission, et afin d</w:t>
      </w:r>
      <w:r w:rsidR="00D43184">
        <w:rPr>
          <w:rFonts w:eastAsia="Calibri"/>
          <w:szCs w:val="22"/>
          <w:lang w:eastAsia="en-US"/>
        </w:rPr>
        <w:t>’</w:t>
      </w:r>
      <w:r w:rsidRPr="006C28E7">
        <w:rPr>
          <w:rFonts w:eastAsia="Calibri"/>
          <w:szCs w:val="22"/>
          <w:lang w:eastAsia="en-US"/>
        </w:rPr>
        <w:t>écarter une menace grave et inacceptable pour l</w:t>
      </w:r>
      <w:r w:rsidR="00D43184">
        <w:rPr>
          <w:rFonts w:eastAsia="Calibri"/>
          <w:szCs w:val="22"/>
          <w:lang w:eastAsia="en-US"/>
        </w:rPr>
        <w:t>’</w:t>
      </w:r>
      <w:r w:rsidRPr="006C28E7">
        <w:rPr>
          <w:rFonts w:eastAsia="Calibri"/>
          <w:szCs w:val="22"/>
          <w:lang w:eastAsia="en-US"/>
        </w:rPr>
        <w:t xml:space="preserve">environnement marin, </w:t>
      </w:r>
      <w:r w:rsidRPr="006C28E7">
        <w:rPr>
          <w:rFonts w:eastAsia="Calibri"/>
          <w:color w:val="000000"/>
          <w:szCs w:val="22"/>
          <w:lang w:eastAsia="en-US"/>
        </w:rPr>
        <w:t>▌</w:t>
      </w:r>
      <w:r w:rsidRPr="006C28E7">
        <w:rPr>
          <w:rFonts w:eastAsia="Calibri"/>
          <w:szCs w:val="22"/>
          <w:lang w:eastAsia="en-US"/>
        </w:rPr>
        <w:t xml:space="preserve"> pour modifier la présente directive, dans la mesure nécessaire pour écarter une telle menace, ce afin d</w:t>
      </w:r>
      <w:r w:rsidR="00D43184">
        <w:rPr>
          <w:rFonts w:eastAsia="Calibri"/>
          <w:szCs w:val="22"/>
          <w:lang w:eastAsia="en-US"/>
        </w:rPr>
        <w:t>’</w:t>
      </w:r>
      <w:r w:rsidRPr="006C28E7">
        <w:rPr>
          <w:rFonts w:eastAsia="Calibri"/>
          <w:szCs w:val="22"/>
          <w:lang w:eastAsia="en-US"/>
        </w:rPr>
        <w:t>empêcher, le cas échéant, que des modifications apportées à ces instruments internationaux ne s</w:t>
      </w:r>
      <w:r w:rsidR="00D43184">
        <w:rPr>
          <w:rFonts w:eastAsia="Calibri"/>
          <w:szCs w:val="22"/>
          <w:lang w:eastAsia="en-US"/>
        </w:rPr>
        <w:t>’</w:t>
      </w:r>
      <w:r w:rsidRPr="006C28E7">
        <w:rPr>
          <w:rFonts w:eastAsia="Calibri"/>
          <w:szCs w:val="22"/>
          <w:lang w:eastAsia="en-US"/>
        </w:rPr>
        <w:t xml:space="preserve">appliquent aux fins de la présente directive </w:t>
      </w:r>
      <w:r w:rsidRPr="006C28E7">
        <w:rPr>
          <w:rFonts w:eastAsia="Calibri"/>
          <w:color w:val="000000"/>
          <w:szCs w:val="22"/>
          <w:lang w:eastAsia="en-US"/>
        </w:rPr>
        <w:t>▌</w:t>
      </w:r>
      <w:r w:rsidRPr="006C28E7">
        <w:rPr>
          <w:rFonts w:eastAsia="Calibri"/>
          <w:szCs w:val="22"/>
          <w:lang w:eastAsia="en-US"/>
        </w:rPr>
        <w:t xml:space="preserve">. Il importe particulièrement que la Commission procède aux consultations appropriées durant son travail préparatoire, y compris au niveau des experts, </w:t>
      </w:r>
      <w:r w:rsidRPr="006C28E7">
        <w:rPr>
          <w:rFonts w:eastAsia="Calibri"/>
          <w:b/>
          <w:bCs/>
          <w:i/>
          <w:iCs/>
          <w:szCs w:val="22"/>
          <w:lang w:eastAsia="en-US"/>
        </w:rPr>
        <w:t>et que ces consultations soient menées conformément aux principes définis dans l</w:t>
      </w:r>
      <w:r w:rsidR="00D43184">
        <w:rPr>
          <w:rFonts w:eastAsia="Calibri"/>
          <w:b/>
          <w:bCs/>
          <w:i/>
          <w:iCs/>
          <w:szCs w:val="22"/>
          <w:lang w:eastAsia="en-US"/>
        </w:rPr>
        <w:t>’</w:t>
      </w:r>
      <w:r w:rsidRPr="006C28E7">
        <w:rPr>
          <w:rFonts w:eastAsia="Calibri"/>
          <w:b/>
          <w:bCs/>
          <w:i/>
          <w:iCs/>
          <w:szCs w:val="22"/>
          <w:lang w:eastAsia="en-US"/>
        </w:rPr>
        <w:t>accord interinstitutionnel du 13 avril 2016 "Mieux légiférer"</w:t>
      </w:r>
      <w:r w:rsidRPr="006C28E7">
        <w:rPr>
          <w:i/>
          <w:color w:val="000000"/>
          <w:szCs w:val="22"/>
          <w:vertAlign w:val="superscript"/>
        </w:rPr>
        <w:footnoteReference w:id="17"/>
      </w:r>
      <w:r w:rsidRPr="006C28E7">
        <w:rPr>
          <w:rFonts w:eastAsia="Calibri"/>
          <w:szCs w:val="22"/>
          <w:lang w:eastAsia="en-US"/>
        </w:rPr>
        <w:t>.</w:t>
      </w:r>
      <w:r w:rsidRPr="006C28E7">
        <w:rPr>
          <w:rFonts w:eastAsia="Calibri"/>
          <w:b/>
          <w:i/>
          <w:color w:val="000000"/>
          <w:szCs w:val="22"/>
          <w:lang w:eastAsia="en-US"/>
        </w:rPr>
        <w:t xml:space="preserve"> </w:t>
      </w:r>
      <w:r w:rsidRPr="006C28E7">
        <w:rPr>
          <w:rFonts w:eastAsia="Calibri"/>
          <w:b/>
          <w:bCs/>
          <w:i/>
          <w:iCs/>
          <w:szCs w:val="22"/>
          <w:lang w:eastAsia="en-US"/>
        </w:rPr>
        <w:t>En particulier, pour assurer leur égale participation à la préparation des actes délégués, le Parlement européen et le Conseil reçoivent tous les documents au même moment que les experts des États membres, et leurs experts ont systématiquement accès aux réunions des groupes d</w:t>
      </w:r>
      <w:r w:rsidR="00D43184">
        <w:rPr>
          <w:rFonts w:eastAsia="Calibri"/>
          <w:b/>
          <w:bCs/>
          <w:i/>
          <w:iCs/>
          <w:szCs w:val="22"/>
          <w:lang w:eastAsia="en-US"/>
        </w:rPr>
        <w:t>’</w:t>
      </w:r>
      <w:r w:rsidRPr="006C28E7">
        <w:rPr>
          <w:rFonts w:eastAsia="Calibri"/>
          <w:b/>
          <w:bCs/>
          <w:i/>
          <w:iCs/>
          <w:szCs w:val="22"/>
          <w:lang w:eastAsia="en-US"/>
        </w:rPr>
        <w:t>experts de la Commission traitant de la préparation des actes délégués.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br w:type="page"/>
        <w:t>(49)</w:t>
      </w:r>
      <w:r w:rsidRPr="006C28E7">
        <w:rPr>
          <w:rFonts w:eastAsia="Calibri"/>
          <w:szCs w:val="22"/>
          <w:lang w:eastAsia="en-US"/>
        </w:rPr>
        <w:tab/>
        <w:t xml:space="preserve">Afin de fournir les méthodes de </w:t>
      </w:r>
      <w:r w:rsidRPr="006C28E7">
        <w:rPr>
          <w:rFonts w:eastAsia="Calibri"/>
          <w:b/>
          <w:i/>
          <w:color w:val="000000"/>
          <w:szCs w:val="22"/>
          <w:lang w:eastAsia="en-US"/>
        </w:rPr>
        <w:t>calcul</w:t>
      </w:r>
      <w:r w:rsidRPr="006C28E7">
        <w:rPr>
          <w:rFonts w:eastAsia="Calibri"/>
          <w:szCs w:val="22"/>
          <w:lang w:eastAsia="en-US"/>
        </w:rPr>
        <w:t xml:space="preserve"> de la</w:t>
      </w:r>
      <w:r w:rsidRPr="006C28E7">
        <w:rPr>
          <w:rFonts w:eastAsia="Calibri"/>
          <w:color w:val="000000"/>
          <w:szCs w:val="22"/>
          <w:lang w:eastAsia="en-US"/>
        </w:rPr>
        <w:t xml:space="preserve"> ▌</w:t>
      </w:r>
      <w:r w:rsidRPr="006C28E7">
        <w:rPr>
          <w:rFonts w:eastAsia="Calibri"/>
          <w:szCs w:val="22"/>
          <w:lang w:eastAsia="en-US"/>
        </w:rPr>
        <w:t xml:space="preserve"> capacité de stockage suffisante dédiée</w:t>
      </w:r>
      <w:r w:rsidRPr="006C28E7">
        <w:rPr>
          <w:rFonts w:eastAsia="Calibri"/>
          <w:b/>
          <w:i/>
          <w:color w:val="000000"/>
          <w:szCs w:val="22"/>
          <w:lang w:eastAsia="en-US"/>
        </w:rPr>
        <w:t>; d</w:t>
      </w:r>
      <w:r w:rsidR="00D43184">
        <w:rPr>
          <w:rFonts w:eastAsia="Calibri"/>
          <w:b/>
          <w:i/>
          <w:color w:val="000000"/>
          <w:szCs w:val="22"/>
          <w:lang w:eastAsia="en-US"/>
        </w:rPr>
        <w:t>’</w:t>
      </w:r>
      <w:r w:rsidRPr="006C28E7">
        <w:rPr>
          <w:rFonts w:eastAsia="Calibri"/>
          <w:b/>
          <w:i/>
          <w:color w:val="000000"/>
          <w:szCs w:val="22"/>
          <w:lang w:eastAsia="en-US"/>
        </w:rPr>
        <w:t>élaborer des critères communs concernant la reconnaissance, aux fins de l</w:t>
      </w:r>
      <w:r w:rsidR="00D43184">
        <w:rPr>
          <w:rFonts w:eastAsia="Calibri"/>
          <w:b/>
          <w:i/>
          <w:color w:val="000000"/>
          <w:szCs w:val="22"/>
          <w:lang w:eastAsia="en-US"/>
        </w:rPr>
        <w:t>’</w:t>
      </w:r>
      <w:r w:rsidRPr="006C28E7">
        <w:rPr>
          <w:rFonts w:eastAsia="Calibri"/>
          <w:b/>
          <w:i/>
          <w:color w:val="000000"/>
          <w:szCs w:val="22"/>
          <w:lang w:eastAsia="en-US"/>
        </w:rPr>
        <w:t>octroi d</w:t>
      </w:r>
      <w:r w:rsidR="00D43184">
        <w:rPr>
          <w:rFonts w:eastAsia="Calibri"/>
          <w:b/>
          <w:i/>
          <w:color w:val="000000"/>
          <w:szCs w:val="22"/>
          <w:lang w:eastAsia="en-US"/>
        </w:rPr>
        <w:t>’</w:t>
      </w:r>
      <w:r w:rsidRPr="006C28E7">
        <w:rPr>
          <w:rFonts w:eastAsia="Calibri"/>
          <w:b/>
          <w:i/>
          <w:color w:val="000000"/>
          <w:szCs w:val="22"/>
          <w:lang w:eastAsia="en-US"/>
        </w:rPr>
        <w:t>une réduction de la redevance de dépôt des déchets aux navires, du fait que la conception, l</w:t>
      </w:r>
      <w:r w:rsidR="00D43184">
        <w:rPr>
          <w:rFonts w:eastAsia="Calibri"/>
          <w:b/>
          <w:i/>
          <w:color w:val="000000"/>
          <w:szCs w:val="22"/>
          <w:lang w:eastAsia="en-US"/>
        </w:rPr>
        <w:t>’</w:t>
      </w:r>
      <w:r w:rsidRPr="006C28E7">
        <w:rPr>
          <w:rFonts w:eastAsia="Calibri"/>
          <w:b/>
          <w:i/>
          <w:color w:val="000000"/>
          <w:szCs w:val="22"/>
          <w:lang w:eastAsia="en-US"/>
        </w:rPr>
        <w:t>équipement et l</w:t>
      </w:r>
      <w:r w:rsidR="00D43184">
        <w:rPr>
          <w:rFonts w:eastAsia="Calibri"/>
          <w:b/>
          <w:i/>
          <w:color w:val="000000"/>
          <w:szCs w:val="22"/>
          <w:lang w:eastAsia="en-US"/>
        </w:rPr>
        <w:t>’</w:t>
      </w:r>
      <w:r w:rsidRPr="006C28E7">
        <w:rPr>
          <w:rFonts w:eastAsia="Calibri"/>
          <w:b/>
          <w:i/>
          <w:color w:val="000000"/>
          <w:szCs w:val="22"/>
          <w:lang w:eastAsia="en-US"/>
        </w:rPr>
        <w:t>exploitation d</w:t>
      </w:r>
      <w:r w:rsidR="00D43184">
        <w:rPr>
          <w:rFonts w:eastAsia="Calibri"/>
          <w:b/>
          <w:i/>
          <w:color w:val="000000"/>
          <w:szCs w:val="22"/>
          <w:lang w:eastAsia="en-US"/>
        </w:rPr>
        <w:t>’</w:t>
      </w:r>
      <w:r w:rsidRPr="006C28E7">
        <w:rPr>
          <w:rFonts w:eastAsia="Calibri"/>
          <w:b/>
          <w:i/>
          <w:color w:val="000000"/>
          <w:szCs w:val="22"/>
          <w:lang w:eastAsia="en-US"/>
        </w:rPr>
        <w:t>un navire démontrent que celui-ci génère une quantité réduite de déchets et qu</w:t>
      </w:r>
      <w:r w:rsidR="00D43184">
        <w:rPr>
          <w:rFonts w:eastAsia="Calibri"/>
          <w:b/>
          <w:i/>
          <w:color w:val="000000"/>
          <w:szCs w:val="22"/>
          <w:lang w:eastAsia="en-US"/>
        </w:rPr>
        <w:t>’</w:t>
      </w:r>
      <w:r w:rsidRPr="006C28E7">
        <w:rPr>
          <w:rFonts w:eastAsia="Calibri"/>
          <w:b/>
          <w:i/>
          <w:color w:val="000000"/>
          <w:szCs w:val="22"/>
          <w:lang w:eastAsia="en-US"/>
        </w:rPr>
        <w:t>il gère ceux-ci de manière durable et respectueuse de l</w:t>
      </w:r>
      <w:r w:rsidR="00D43184">
        <w:rPr>
          <w:rFonts w:eastAsia="Calibri"/>
          <w:b/>
          <w:i/>
          <w:color w:val="000000"/>
          <w:szCs w:val="22"/>
          <w:lang w:eastAsia="en-US"/>
        </w:rPr>
        <w:t>’</w:t>
      </w:r>
      <w:r w:rsidRPr="006C28E7">
        <w:rPr>
          <w:rFonts w:eastAsia="Calibri"/>
          <w:b/>
          <w:i/>
          <w:color w:val="000000"/>
          <w:szCs w:val="22"/>
          <w:lang w:eastAsia="en-US"/>
        </w:rPr>
        <w:t>environnement; de définir des méthodologies de collecte des données de suivi concernant le volume et la quantité de déchets pêchés passivement et le format de communication de ces données; de définir les éléments détaillés d</w:t>
      </w:r>
      <w:r w:rsidR="00D43184">
        <w:rPr>
          <w:rFonts w:eastAsia="Calibri"/>
          <w:b/>
          <w:i/>
          <w:color w:val="000000"/>
          <w:szCs w:val="22"/>
          <w:lang w:eastAsia="en-US"/>
        </w:rPr>
        <w:t>’</w:t>
      </w:r>
      <w:r w:rsidRPr="006C28E7">
        <w:rPr>
          <w:rFonts w:eastAsia="Calibri"/>
          <w:b/>
          <w:i/>
          <w:color w:val="000000"/>
          <w:szCs w:val="22"/>
          <w:lang w:eastAsia="en-US"/>
        </w:rPr>
        <w:t>un mécanisme de ciblage de l</w:t>
      </w:r>
      <w:r w:rsidR="00D43184">
        <w:rPr>
          <w:rFonts w:eastAsia="Calibri"/>
          <w:b/>
          <w:i/>
          <w:color w:val="000000"/>
          <w:szCs w:val="22"/>
          <w:lang w:eastAsia="en-US"/>
        </w:rPr>
        <w:t>’</w:t>
      </w:r>
      <w:r w:rsidRPr="006C28E7">
        <w:rPr>
          <w:rFonts w:eastAsia="Calibri"/>
          <w:b/>
          <w:i/>
          <w:color w:val="000000"/>
          <w:szCs w:val="22"/>
          <w:lang w:eastAsia="en-US"/>
        </w:rPr>
        <w:t>Union fondé sur les risques,</w:t>
      </w:r>
      <w:r w:rsidRPr="006C28E7">
        <w:rPr>
          <w:rFonts w:eastAsia="Calibri"/>
          <w:szCs w:val="22"/>
          <w:lang w:eastAsia="en-US"/>
        </w:rPr>
        <w:t xml:space="preserve"> il convient de conférer des compétences d</w:t>
      </w:r>
      <w:r w:rsidR="00D43184">
        <w:rPr>
          <w:rFonts w:eastAsia="Calibri"/>
          <w:szCs w:val="22"/>
          <w:lang w:eastAsia="en-US"/>
        </w:rPr>
        <w:t>’</w:t>
      </w:r>
      <w:r w:rsidRPr="006C28E7">
        <w:rPr>
          <w:rFonts w:eastAsia="Calibri"/>
          <w:szCs w:val="22"/>
          <w:lang w:eastAsia="en-US"/>
        </w:rPr>
        <w:t>exécution à la Commission. Ces compétences devraient être exercées en conformité avec le règlement (UE) n° 182/2011 du Parlement européen et du Conseil</w:t>
      </w:r>
      <w:r w:rsidRPr="006C28E7">
        <w:rPr>
          <w:b/>
          <w:szCs w:val="22"/>
          <w:vertAlign w:val="superscript"/>
        </w:rPr>
        <w:footnoteReference w:id="18"/>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(50)</w:t>
      </w:r>
      <w:r w:rsidRPr="006C28E7">
        <w:rPr>
          <w:rFonts w:eastAsia="Calibri"/>
          <w:szCs w:val="22"/>
          <w:lang w:eastAsia="en-US"/>
        </w:rPr>
        <w:tab/>
        <w:t xml:space="preserve">Étant donné que </w:t>
      </w:r>
      <w:r w:rsidRPr="006C28E7">
        <w:rPr>
          <w:rFonts w:eastAsia="Calibri"/>
          <w:color w:val="000000"/>
          <w:szCs w:val="22"/>
          <w:lang w:eastAsia="en-US"/>
        </w:rPr>
        <w:t>▌</w:t>
      </w:r>
      <w:r w:rsidRPr="006C28E7">
        <w:rPr>
          <w:rFonts w:eastAsia="Calibri"/>
          <w:szCs w:val="22"/>
          <w:lang w:eastAsia="en-US"/>
        </w:rPr>
        <w:t xml:space="preserve"> l</w:t>
      </w:r>
      <w:r w:rsidR="00D43184">
        <w:rPr>
          <w:rFonts w:eastAsia="Calibri"/>
          <w:szCs w:val="22"/>
          <w:lang w:eastAsia="en-US"/>
        </w:rPr>
        <w:t>’</w:t>
      </w:r>
      <w:r w:rsidRPr="006C28E7">
        <w:rPr>
          <w:rFonts w:eastAsia="Calibri"/>
          <w:szCs w:val="22"/>
          <w:lang w:eastAsia="en-US"/>
        </w:rPr>
        <w:t xml:space="preserve">objectif de </w:t>
      </w:r>
      <w:r w:rsidRPr="006C28E7">
        <w:rPr>
          <w:rFonts w:eastAsia="Calibri"/>
          <w:b/>
          <w:bCs/>
          <w:i/>
          <w:iCs/>
          <w:szCs w:val="22"/>
          <w:lang w:eastAsia="en-US"/>
        </w:rPr>
        <w:t>la présente directive, à savoir la</w:t>
      </w:r>
      <w:r w:rsidRPr="006C28E7">
        <w:rPr>
          <w:rFonts w:eastAsia="Calibri"/>
          <w:szCs w:val="22"/>
          <w:lang w:eastAsia="en-US"/>
        </w:rPr>
        <w:t xml:space="preserve"> protection du milieu marin contre les rejets de déchets en mer, ne peut pas être atteint de manière suffisante par </w:t>
      </w:r>
      <w:r w:rsidRPr="006C28E7">
        <w:rPr>
          <w:rFonts w:eastAsia="Calibri"/>
          <w:b/>
          <w:bCs/>
          <w:i/>
          <w:iCs/>
          <w:szCs w:val="22"/>
          <w:lang w:eastAsia="en-US"/>
        </w:rPr>
        <w:t>les</w:t>
      </w:r>
      <w:r w:rsidRPr="006C28E7">
        <w:rPr>
          <w:rFonts w:eastAsia="Calibri"/>
          <w:szCs w:val="22"/>
          <w:lang w:eastAsia="en-US"/>
        </w:rPr>
        <w:t xml:space="preserve"> États membres </w:t>
      </w:r>
      <w:r w:rsidRPr="006C28E7">
        <w:rPr>
          <w:rFonts w:eastAsia="Calibri"/>
          <w:color w:val="000000"/>
          <w:szCs w:val="22"/>
          <w:lang w:eastAsia="en-US"/>
        </w:rPr>
        <w:t>▌</w:t>
      </w:r>
      <w:r w:rsidRPr="006C28E7">
        <w:rPr>
          <w:rFonts w:eastAsia="Calibri"/>
          <w:szCs w:val="22"/>
          <w:lang w:eastAsia="en-US"/>
        </w:rPr>
        <w:t xml:space="preserve">mais </w:t>
      </w:r>
      <w:r w:rsidRPr="006C28E7">
        <w:rPr>
          <w:rFonts w:eastAsia="Calibri"/>
          <w:b/>
          <w:bCs/>
          <w:i/>
          <w:iCs/>
          <w:szCs w:val="22"/>
          <w:lang w:eastAsia="en-US"/>
        </w:rPr>
        <w:t>peut,</w:t>
      </w:r>
      <w:r w:rsidRPr="006C28E7">
        <w:rPr>
          <w:rFonts w:eastAsia="Calibri"/>
          <w:szCs w:val="22"/>
          <w:lang w:eastAsia="en-US"/>
        </w:rPr>
        <w:t xml:space="preserve"> en raison des dimensions de </w:t>
      </w:r>
      <w:r w:rsidRPr="006C28E7">
        <w:rPr>
          <w:rFonts w:eastAsia="Calibri"/>
          <w:b/>
          <w:bCs/>
          <w:i/>
          <w:iCs/>
          <w:szCs w:val="22"/>
          <w:lang w:eastAsia="en-US"/>
        </w:rPr>
        <w:t>l</w:t>
      </w:r>
      <w:r w:rsidR="00D43184">
        <w:rPr>
          <w:rFonts w:eastAsia="Calibri"/>
          <w:szCs w:val="22"/>
          <w:lang w:eastAsia="en-US"/>
        </w:rPr>
        <w:t>’</w:t>
      </w:r>
      <w:r w:rsidRPr="006C28E7">
        <w:rPr>
          <w:rFonts w:eastAsia="Calibri"/>
          <w:szCs w:val="22"/>
          <w:lang w:eastAsia="en-US"/>
        </w:rPr>
        <w:t>action, l</w:t>
      </w:r>
      <w:r w:rsidR="00D43184">
        <w:rPr>
          <w:rFonts w:eastAsia="Calibri"/>
          <w:szCs w:val="22"/>
          <w:lang w:eastAsia="en-US"/>
        </w:rPr>
        <w:t>’</w:t>
      </w:r>
      <w:r w:rsidRPr="006C28E7">
        <w:rPr>
          <w:rFonts w:eastAsia="Calibri"/>
          <w:szCs w:val="22"/>
          <w:lang w:eastAsia="en-US"/>
        </w:rPr>
        <w:t>être mieux au niveau de l</w:t>
      </w:r>
      <w:r w:rsidR="00D43184">
        <w:rPr>
          <w:rFonts w:eastAsia="Calibri"/>
          <w:szCs w:val="22"/>
          <w:lang w:eastAsia="en-US"/>
        </w:rPr>
        <w:t>’</w:t>
      </w:r>
      <w:r w:rsidRPr="006C28E7">
        <w:rPr>
          <w:rFonts w:eastAsia="Calibri"/>
          <w:szCs w:val="22"/>
          <w:lang w:eastAsia="en-US"/>
        </w:rPr>
        <w:t>Union, celle-ci peut prendre des mesures, conformément au principe de subsidiarité consacré à l</w:t>
      </w:r>
      <w:r w:rsidR="00D43184">
        <w:rPr>
          <w:rFonts w:eastAsia="Calibri"/>
          <w:szCs w:val="22"/>
          <w:lang w:eastAsia="en-US"/>
        </w:rPr>
        <w:t>’</w:t>
      </w:r>
      <w:r w:rsidRPr="006C28E7">
        <w:rPr>
          <w:rFonts w:eastAsia="Calibri"/>
          <w:szCs w:val="22"/>
          <w:lang w:eastAsia="en-US"/>
        </w:rPr>
        <w:t>article 5 du traité sur l</w:t>
      </w:r>
      <w:r w:rsidR="00D43184">
        <w:rPr>
          <w:rFonts w:eastAsia="Calibri"/>
          <w:szCs w:val="22"/>
          <w:lang w:eastAsia="en-US"/>
        </w:rPr>
        <w:t>’</w:t>
      </w:r>
      <w:r w:rsidRPr="006C28E7">
        <w:rPr>
          <w:rFonts w:eastAsia="Calibri"/>
          <w:szCs w:val="22"/>
          <w:lang w:eastAsia="en-US"/>
        </w:rPr>
        <w:t>Union européenne. Conformément au principe de proportionnalité tel qu</w:t>
      </w:r>
      <w:r w:rsidR="00D43184">
        <w:rPr>
          <w:rFonts w:eastAsia="Calibri"/>
          <w:szCs w:val="22"/>
          <w:lang w:eastAsia="en-US"/>
        </w:rPr>
        <w:t>’</w:t>
      </w:r>
      <w:r w:rsidRPr="006C28E7">
        <w:rPr>
          <w:rFonts w:eastAsia="Calibri"/>
          <w:szCs w:val="22"/>
          <w:lang w:eastAsia="en-US"/>
        </w:rPr>
        <w:t>énoncé audit </w:t>
      </w:r>
      <w:r w:rsidRPr="006C28E7">
        <w:rPr>
          <w:rFonts w:eastAsia="Calibri"/>
          <w:b/>
          <w:bCs/>
          <w:i/>
          <w:iCs/>
          <w:szCs w:val="22"/>
          <w:lang w:eastAsia="en-US"/>
        </w:rPr>
        <w:t>article</w:t>
      </w:r>
      <w:r w:rsidRPr="006C28E7">
        <w:rPr>
          <w:rFonts w:eastAsia="Calibri"/>
          <w:szCs w:val="22"/>
          <w:lang w:eastAsia="en-US"/>
        </w:rPr>
        <w:t>, la présente directive n</w:t>
      </w:r>
      <w:r w:rsidR="00D43184">
        <w:rPr>
          <w:rFonts w:eastAsia="Calibri"/>
          <w:szCs w:val="22"/>
          <w:lang w:eastAsia="en-US"/>
        </w:rPr>
        <w:t>’</w:t>
      </w:r>
      <w:r w:rsidRPr="006C28E7">
        <w:rPr>
          <w:rFonts w:eastAsia="Calibri"/>
          <w:szCs w:val="22"/>
          <w:lang w:eastAsia="en-US"/>
        </w:rPr>
        <w:t>excède pas ce qui est nécessaire pour atteindre cet objectif.</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(51)</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Union se caractérise par d</w:t>
      </w:r>
      <w:r w:rsidR="00D43184">
        <w:rPr>
          <w:rFonts w:eastAsia="Calibri"/>
          <w:szCs w:val="22"/>
          <w:lang w:eastAsia="en-US"/>
        </w:rPr>
        <w:t>’</w:t>
      </w:r>
      <w:r w:rsidRPr="006C28E7">
        <w:rPr>
          <w:rFonts w:eastAsia="Calibri"/>
          <w:szCs w:val="22"/>
          <w:lang w:eastAsia="en-US"/>
        </w:rPr>
        <w:t>importantes disparités régionales au niveau des ports, comme l</w:t>
      </w:r>
      <w:r w:rsidR="00D43184">
        <w:rPr>
          <w:rFonts w:eastAsia="Calibri"/>
          <w:szCs w:val="22"/>
          <w:lang w:eastAsia="en-US"/>
        </w:rPr>
        <w:t>’</w:t>
      </w:r>
      <w:r w:rsidRPr="006C28E7">
        <w:rPr>
          <w:rFonts w:eastAsia="Calibri"/>
          <w:szCs w:val="22"/>
          <w:lang w:eastAsia="en-US"/>
        </w:rPr>
        <w:t>a également montré l</w:t>
      </w:r>
      <w:r w:rsidR="00D43184">
        <w:rPr>
          <w:rFonts w:eastAsia="Calibri"/>
          <w:szCs w:val="22"/>
          <w:lang w:eastAsia="en-US"/>
        </w:rPr>
        <w:t>’</w:t>
      </w:r>
      <w:r w:rsidRPr="006C28E7">
        <w:rPr>
          <w:rFonts w:eastAsia="Calibri"/>
          <w:szCs w:val="22"/>
          <w:lang w:eastAsia="en-US"/>
        </w:rPr>
        <w:t>analyse d</w:t>
      </w:r>
      <w:r w:rsidR="00D43184">
        <w:rPr>
          <w:rFonts w:eastAsia="Calibri"/>
          <w:szCs w:val="22"/>
          <w:lang w:eastAsia="en-US"/>
        </w:rPr>
        <w:t>’</w:t>
      </w:r>
      <w:r w:rsidRPr="006C28E7">
        <w:rPr>
          <w:rFonts w:eastAsia="Calibri"/>
          <w:szCs w:val="22"/>
          <w:lang w:eastAsia="en-US"/>
        </w:rPr>
        <w:t>impact territorial réalisée par la Commission. Les ports se différencient en fonction de leur position géographique, de leur taille, de leur structure administrative et de la propriété, et se caractérisent par le type de navires qui y font habituellement escale. En outre, les systèmes de gestion des déchets tiennent compte des différences au niveau des municipalités et des infrastructures de gestion des déchets en aval.</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szCs w:val="22"/>
          <w:lang w:eastAsia="en-US"/>
        </w:rPr>
        <w:t>(52)</w:t>
      </w:r>
      <w:r w:rsidRPr="006C28E7">
        <w:rPr>
          <w:rFonts w:eastAsia="Calibri"/>
          <w:b/>
          <w:i/>
          <w:szCs w:val="22"/>
          <w:lang w:eastAsia="en-US"/>
        </w:rPr>
        <w:tab/>
        <w:t>L</w:t>
      </w:r>
      <w:r w:rsidR="00D43184">
        <w:rPr>
          <w:rFonts w:eastAsia="Calibri"/>
          <w:b/>
          <w:i/>
          <w:szCs w:val="22"/>
          <w:lang w:eastAsia="en-US"/>
        </w:rPr>
        <w:t>’</w:t>
      </w:r>
      <w:r w:rsidRPr="006C28E7">
        <w:rPr>
          <w:rFonts w:eastAsia="Calibri"/>
          <w:b/>
          <w:i/>
          <w:szCs w:val="22"/>
          <w:lang w:eastAsia="en-US"/>
        </w:rPr>
        <w:t>article 349 du traité sur le fonctionnement de l</w:t>
      </w:r>
      <w:r w:rsidR="00D43184">
        <w:rPr>
          <w:rFonts w:eastAsia="Calibri"/>
          <w:b/>
          <w:i/>
          <w:szCs w:val="22"/>
          <w:lang w:eastAsia="en-US"/>
        </w:rPr>
        <w:t>’</w:t>
      </w:r>
      <w:r w:rsidRPr="006C28E7">
        <w:rPr>
          <w:rFonts w:eastAsia="Calibri"/>
          <w:b/>
          <w:i/>
          <w:szCs w:val="22"/>
          <w:lang w:eastAsia="en-US"/>
        </w:rPr>
        <w:t>Union européenne dispose qu</w:t>
      </w:r>
      <w:r w:rsidR="00D43184">
        <w:rPr>
          <w:rFonts w:eastAsia="Calibri"/>
          <w:b/>
          <w:i/>
          <w:szCs w:val="22"/>
          <w:lang w:eastAsia="en-US"/>
        </w:rPr>
        <w:t>’</w:t>
      </w:r>
      <w:r w:rsidRPr="006C28E7">
        <w:rPr>
          <w:rFonts w:eastAsia="Calibri"/>
          <w:b/>
          <w:i/>
          <w:szCs w:val="22"/>
          <w:lang w:eastAsia="en-US"/>
        </w:rPr>
        <w:t>il y a lieu de tenir compte des caractéristiques particulières des régions ultrapériphériques de l</w:t>
      </w:r>
      <w:r w:rsidR="00D43184">
        <w:rPr>
          <w:rFonts w:eastAsia="Calibri"/>
          <w:b/>
          <w:i/>
          <w:szCs w:val="22"/>
          <w:lang w:eastAsia="en-US"/>
        </w:rPr>
        <w:t>’</w:t>
      </w:r>
      <w:r w:rsidRPr="006C28E7">
        <w:rPr>
          <w:rFonts w:eastAsia="Calibri"/>
          <w:b/>
          <w:i/>
          <w:szCs w:val="22"/>
          <w:lang w:eastAsia="en-US"/>
        </w:rPr>
        <w:t>Union, à savoir la Guadeloupe, la Guyane française, la Martinique, Mayotte, la Réunion, Saint</w:t>
      </w:r>
      <w:r w:rsidRPr="006C28E7">
        <w:rPr>
          <w:rFonts w:eastAsia="Calibri"/>
          <w:b/>
          <w:i/>
          <w:szCs w:val="22"/>
          <w:lang w:eastAsia="en-US"/>
        </w:rPr>
        <w:noBreakHyphen/>
        <w:t>Martin, les Açores, Madère et les îles Canaries</w:t>
      </w:r>
      <w:r w:rsidRPr="006C28E7">
        <w:rPr>
          <w:rFonts w:eastAsia="Calibri"/>
          <w:b/>
          <w:i/>
          <w:color w:val="000000"/>
          <w:szCs w:val="22"/>
          <w:lang w:eastAsia="en-US"/>
        </w:rPr>
        <w:t>. Afin de garantir l</w:t>
      </w:r>
      <w:r w:rsidR="00D43184">
        <w:rPr>
          <w:rFonts w:eastAsia="Calibri"/>
          <w:b/>
          <w:i/>
          <w:color w:val="000000"/>
          <w:szCs w:val="22"/>
          <w:lang w:eastAsia="en-US"/>
        </w:rPr>
        <w:t>’</w:t>
      </w:r>
      <w:r w:rsidRPr="006C28E7">
        <w:rPr>
          <w:rFonts w:eastAsia="Calibri"/>
          <w:b/>
          <w:i/>
          <w:color w:val="000000"/>
          <w:szCs w:val="22"/>
          <w:lang w:eastAsia="en-US"/>
        </w:rPr>
        <w:t>adéquation et la disponibilité des installations de réception portuaires, il pourrait être opportun que les États membres mettent une aide au fonctionnement à finalité régionale à la disposition des exploitants d</w:t>
      </w:r>
      <w:r w:rsidR="00D43184">
        <w:rPr>
          <w:rFonts w:eastAsia="Calibri"/>
          <w:b/>
          <w:i/>
          <w:color w:val="000000"/>
          <w:szCs w:val="22"/>
          <w:lang w:eastAsia="en-US"/>
        </w:rPr>
        <w:t>’</w:t>
      </w:r>
      <w:r w:rsidRPr="006C28E7">
        <w:rPr>
          <w:rFonts w:eastAsia="Calibri"/>
          <w:b/>
          <w:i/>
          <w:color w:val="000000"/>
          <w:szCs w:val="22"/>
          <w:lang w:eastAsia="en-US"/>
        </w:rPr>
        <w:t>installations de réception portuaires ou des autorités portuaires dans ces régions de l</w:t>
      </w:r>
      <w:r w:rsidR="00D43184">
        <w:rPr>
          <w:rFonts w:eastAsia="Calibri"/>
          <w:b/>
          <w:i/>
          <w:color w:val="000000"/>
          <w:szCs w:val="22"/>
          <w:lang w:eastAsia="en-US"/>
        </w:rPr>
        <w:t>’</w:t>
      </w:r>
      <w:r w:rsidRPr="006C28E7">
        <w:rPr>
          <w:rFonts w:eastAsia="Calibri"/>
          <w:b/>
          <w:i/>
          <w:color w:val="000000"/>
          <w:szCs w:val="22"/>
          <w:lang w:eastAsia="en-US"/>
        </w:rPr>
        <w:t xml:space="preserve">Union en vue de remédier aux effets des handicaps permanents visés dans cet article. </w:t>
      </w:r>
      <w:r w:rsidRPr="006C28E7">
        <w:rPr>
          <w:rFonts w:eastAsia="Calibri"/>
          <w:b/>
          <w:bCs/>
          <w:i/>
          <w:szCs w:val="22"/>
          <w:lang w:eastAsia="en-US"/>
        </w:rPr>
        <w:t>L</w:t>
      </w:r>
      <w:r w:rsidR="00D43184">
        <w:rPr>
          <w:rFonts w:eastAsia="Calibri"/>
          <w:b/>
          <w:bCs/>
          <w:i/>
          <w:szCs w:val="22"/>
          <w:lang w:eastAsia="en-US"/>
        </w:rPr>
        <w:t>’</w:t>
      </w:r>
      <w:r w:rsidRPr="006C28E7">
        <w:rPr>
          <w:rFonts w:eastAsia="Calibri"/>
          <w:b/>
          <w:bCs/>
          <w:i/>
          <w:szCs w:val="22"/>
          <w:lang w:eastAsia="en-US"/>
        </w:rPr>
        <w:t>aide au fonctionnement à finalité régionale octroyée par les États membres dans ce contexte est exemptée de l</w:t>
      </w:r>
      <w:r w:rsidR="00D43184">
        <w:rPr>
          <w:rFonts w:eastAsia="Calibri"/>
          <w:b/>
          <w:bCs/>
          <w:i/>
          <w:szCs w:val="22"/>
          <w:lang w:eastAsia="en-US"/>
        </w:rPr>
        <w:t>’</w:t>
      </w:r>
      <w:r w:rsidRPr="006C28E7">
        <w:rPr>
          <w:rFonts w:eastAsia="Calibri"/>
          <w:b/>
          <w:bCs/>
          <w:i/>
          <w:szCs w:val="22"/>
          <w:lang w:eastAsia="en-US"/>
        </w:rPr>
        <w:t>obligation de notification visée à l</w:t>
      </w:r>
      <w:r w:rsidR="00D43184">
        <w:rPr>
          <w:rFonts w:eastAsia="Calibri"/>
          <w:b/>
          <w:bCs/>
          <w:i/>
          <w:szCs w:val="22"/>
          <w:lang w:eastAsia="en-US"/>
        </w:rPr>
        <w:t>’</w:t>
      </w:r>
      <w:r w:rsidRPr="006C28E7">
        <w:rPr>
          <w:rFonts w:eastAsia="Calibri"/>
          <w:b/>
          <w:bCs/>
          <w:i/>
          <w:szCs w:val="22"/>
          <w:lang w:eastAsia="en-US"/>
        </w:rPr>
        <w:t xml:space="preserve">article 108, paragraphe 3, du </w:t>
      </w:r>
      <w:r w:rsidRPr="006C28E7">
        <w:rPr>
          <w:rFonts w:eastAsia="Calibri"/>
          <w:b/>
          <w:i/>
          <w:szCs w:val="22"/>
          <w:lang w:eastAsia="en-US"/>
        </w:rPr>
        <w:t>traité sur le fonctionnement de l</w:t>
      </w:r>
      <w:r w:rsidR="00D43184">
        <w:rPr>
          <w:rFonts w:eastAsia="Calibri"/>
          <w:b/>
          <w:i/>
          <w:szCs w:val="22"/>
          <w:lang w:eastAsia="en-US"/>
        </w:rPr>
        <w:t>’</w:t>
      </w:r>
      <w:r w:rsidRPr="006C28E7">
        <w:rPr>
          <w:rFonts w:eastAsia="Calibri"/>
          <w:b/>
          <w:i/>
          <w:szCs w:val="22"/>
          <w:lang w:eastAsia="en-US"/>
        </w:rPr>
        <w:t xml:space="preserve">Union européenne </w:t>
      </w:r>
      <w:r w:rsidRPr="006C28E7">
        <w:rPr>
          <w:rFonts w:eastAsia="Calibri"/>
          <w:b/>
          <w:bCs/>
          <w:i/>
          <w:szCs w:val="22"/>
          <w:lang w:eastAsia="en-US"/>
        </w:rPr>
        <w:t>si, au moment où elle est octroyée, elle remplit les conditions fixées par le règlement (UE) n° 651/2014 de la Commission</w:t>
      </w:r>
      <w:r w:rsidRPr="006C28E7">
        <w:rPr>
          <w:i/>
          <w:color w:val="000000"/>
          <w:szCs w:val="22"/>
          <w:vertAlign w:val="superscript"/>
        </w:rPr>
        <w:footnoteReference w:id="19"/>
      </w:r>
      <w:r w:rsidRPr="006C28E7">
        <w:rPr>
          <w:rFonts w:eastAsia="Calibri"/>
          <w:b/>
          <w:bCs/>
          <w:i/>
          <w:szCs w:val="22"/>
          <w:lang w:eastAsia="en-US"/>
        </w:rPr>
        <w:t xml:space="preserve"> adopté en vertu du règlement (CE) n° 994/98 du Conseil</w:t>
      </w:r>
      <w:r w:rsidRPr="006C28E7">
        <w:rPr>
          <w:i/>
          <w:color w:val="000000"/>
          <w:szCs w:val="22"/>
          <w:vertAlign w:val="superscript"/>
        </w:rPr>
        <w:footnoteReference w:id="20"/>
      </w:r>
      <w:r w:rsidRPr="006C28E7">
        <w:rPr>
          <w:rFonts w:eastAsia="Calibri"/>
          <w:b/>
          <w:bCs/>
          <w:i/>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rFonts w:eastAsia="Calibri"/>
          <w:szCs w:val="22"/>
          <w:lang w:eastAsia="en-US"/>
        </w:rPr>
      </w:pPr>
      <w:r w:rsidRPr="006C28E7">
        <w:rPr>
          <w:rFonts w:eastAsia="Calibri"/>
          <w:szCs w:val="22"/>
          <w:lang w:eastAsia="en-US"/>
        </w:rPr>
        <w:t>(53)</w:t>
      </w:r>
      <w:r w:rsidRPr="006C28E7">
        <w:rPr>
          <w:rFonts w:eastAsia="Calibri"/>
          <w:szCs w:val="22"/>
          <w:lang w:eastAsia="en-US"/>
        </w:rPr>
        <w:tab/>
        <w:t>Il y a donc lieu d</w:t>
      </w:r>
      <w:r w:rsidR="00D43184">
        <w:rPr>
          <w:rFonts w:eastAsia="Calibri"/>
          <w:szCs w:val="22"/>
          <w:lang w:eastAsia="en-US"/>
        </w:rPr>
        <w:t>’</w:t>
      </w:r>
      <w:r w:rsidRPr="006C28E7">
        <w:rPr>
          <w:rFonts w:eastAsia="Calibri"/>
          <w:szCs w:val="22"/>
          <w:lang w:eastAsia="en-US"/>
        </w:rPr>
        <w:t>abroger la directive 2000/59/CE,</w:t>
      </w:r>
    </w:p>
    <w:p w:rsidR="009C7E1C" w:rsidRPr="006C28E7" w:rsidRDefault="009C7E1C" w:rsidP="009C7E1C">
      <w:pPr>
        <w:widowControl/>
        <w:spacing w:before="120" w:after="120" w:line="360" w:lineRule="auto"/>
        <w:rPr>
          <w:rFonts w:cs="Symbol"/>
          <w:szCs w:val="22"/>
          <w:lang w:eastAsia="en-US"/>
        </w:rPr>
      </w:pPr>
      <w:r w:rsidRPr="006C28E7">
        <w:rPr>
          <w:rFonts w:eastAsia="Calibri"/>
          <w:szCs w:val="22"/>
          <w:lang w:eastAsia="en-US"/>
        </w:rPr>
        <w:t>ONT ADOPTÉ LA PRÉSENTE DIRECTIVE:</w:t>
      </w:r>
    </w:p>
    <w:p w:rsidR="009C7E1C" w:rsidRPr="006C28E7" w:rsidRDefault="009C7E1C" w:rsidP="009C7E1C">
      <w:pPr>
        <w:widowControl/>
        <w:autoSpaceDE w:val="0"/>
        <w:autoSpaceDN w:val="0"/>
        <w:adjustRightInd w:val="0"/>
        <w:spacing w:before="120" w:after="120" w:line="360" w:lineRule="auto"/>
        <w:jc w:val="center"/>
        <w:rPr>
          <w:rFonts w:eastAsia="Calibri"/>
          <w:bCs/>
          <w:iCs/>
          <w:color w:val="000000"/>
          <w:szCs w:val="22"/>
          <w:lang w:eastAsia="en-US"/>
        </w:rPr>
      </w:pPr>
      <w:r w:rsidRPr="006C28E7">
        <w:rPr>
          <w:rFonts w:eastAsia="Calibri"/>
          <w:szCs w:val="22"/>
          <w:lang w:eastAsia="en-US"/>
        </w:rPr>
        <w:br w:type="page"/>
      </w:r>
      <w:r w:rsidRPr="006C28E7">
        <w:rPr>
          <w:rFonts w:eastAsia="Calibri"/>
          <w:bCs/>
          <w:iCs/>
          <w:color w:val="000000"/>
          <w:szCs w:val="22"/>
          <w:lang w:eastAsia="en-US"/>
        </w:rPr>
        <w:t xml:space="preserve">PARTIE 1 </w:t>
      </w:r>
    </w:p>
    <w:p w:rsidR="009C7E1C" w:rsidRPr="006C28E7" w:rsidRDefault="009C7E1C" w:rsidP="009C7E1C">
      <w:pPr>
        <w:widowControl/>
        <w:autoSpaceDE w:val="0"/>
        <w:autoSpaceDN w:val="0"/>
        <w:adjustRightInd w:val="0"/>
        <w:spacing w:before="120" w:after="120" w:line="360" w:lineRule="auto"/>
        <w:jc w:val="center"/>
        <w:rPr>
          <w:b/>
          <w:bCs/>
          <w:i/>
          <w:iCs/>
          <w:szCs w:val="22"/>
          <w:lang w:eastAsia="en-US"/>
        </w:rPr>
      </w:pPr>
      <w:r w:rsidRPr="006C28E7">
        <w:rPr>
          <w:rFonts w:eastAsia="Calibri"/>
          <w:bCs/>
          <w:iCs/>
          <w:color w:val="000000"/>
          <w:szCs w:val="22"/>
          <w:lang w:eastAsia="en-US"/>
        </w:rPr>
        <w:t>DISPOSITIONS GÉNÉRALES</w:t>
      </w:r>
    </w:p>
    <w:p w:rsidR="009C7E1C" w:rsidRPr="006C28E7" w:rsidRDefault="009C7E1C" w:rsidP="009C7E1C">
      <w:pPr>
        <w:widowControl/>
        <w:autoSpaceDE w:val="0"/>
        <w:autoSpaceDN w:val="0"/>
        <w:adjustRightInd w:val="0"/>
        <w:spacing w:before="120" w:after="120" w:line="360" w:lineRule="auto"/>
        <w:jc w:val="center"/>
        <w:rPr>
          <w:szCs w:val="22"/>
          <w:lang w:eastAsia="en-US"/>
        </w:rPr>
      </w:pPr>
      <w:r w:rsidRPr="006C28E7">
        <w:rPr>
          <w:rFonts w:eastAsia="Calibri"/>
          <w:i/>
          <w:szCs w:val="22"/>
          <w:lang w:eastAsia="en-US"/>
        </w:rPr>
        <w:t>Article premier</w:t>
      </w:r>
      <w:r w:rsidRPr="006C28E7">
        <w:rPr>
          <w:rFonts w:eastAsia="Calibri"/>
          <w:szCs w:val="22"/>
          <w:lang w:eastAsia="en-US"/>
        </w:rPr>
        <w:br/>
      </w:r>
      <w:r w:rsidRPr="006C28E7">
        <w:rPr>
          <w:rFonts w:eastAsia="Calibri"/>
          <w:b/>
          <w:szCs w:val="22"/>
          <w:lang w:eastAsia="en-US"/>
        </w:rPr>
        <w:t>Objet</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La présente directive vise à protéger le milieu marin contre les conséquences néfastes des rejets des déchets des navires qui font escale dans les ports situés dans l</w:t>
      </w:r>
      <w:r w:rsidR="00D43184">
        <w:rPr>
          <w:rFonts w:eastAsia="Calibri"/>
          <w:szCs w:val="22"/>
          <w:lang w:eastAsia="en-US"/>
        </w:rPr>
        <w:t>’</w:t>
      </w:r>
      <w:r w:rsidRPr="006C28E7">
        <w:rPr>
          <w:rFonts w:eastAsia="Calibri"/>
          <w:szCs w:val="22"/>
          <w:lang w:eastAsia="en-US"/>
        </w:rPr>
        <w:t xml:space="preserve">Union, tout en assurant la fluidité du trafic maritime, en améliorant la disponibilité </w:t>
      </w:r>
      <w:r w:rsidRPr="006C28E7">
        <w:rPr>
          <w:rFonts w:eastAsia="Calibri"/>
          <w:b/>
          <w:bCs/>
          <w:i/>
          <w:iCs/>
          <w:szCs w:val="22"/>
          <w:lang w:eastAsia="en-US"/>
        </w:rPr>
        <w:t>et l</w:t>
      </w:r>
      <w:r w:rsidR="00D43184">
        <w:rPr>
          <w:rFonts w:eastAsia="Calibri"/>
          <w:b/>
          <w:bCs/>
          <w:i/>
          <w:iCs/>
          <w:szCs w:val="22"/>
          <w:lang w:eastAsia="en-US"/>
        </w:rPr>
        <w:t>’</w:t>
      </w:r>
      <w:r w:rsidRPr="006C28E7">
        <w:rPr>
          <w:rFonts w:eastAsia="Calibri"/>
          <w:b/>
          <w:bCs/>
          <w:i/>
          <w:iCs/>
          <w:szCs w:val="22"/>
          <w:lang w:eastAsia="en-US"/>
        </w:rPr>
        <w:t>utilisation</w:t>
      </w:r>
      <w:r w:rsidRPr="006C28E7">
        <w:rPr>
          <w:rFonts w:eastAsia="Calibri"/>
          <w:szCs w:val="22"/>
          <w:lang w:eastAsia="en-US"/>
        </w:rPr>
        <w:t xml:space="preserve"> d</w:t>
      </w:r>
      <w:r w:rsidR="00D43184">
        <w:rPr>
          <w:rFonts w:eastAsia="Calibri"/>
          <w:szCs w:val="22"/>
          <w:lang w:eastAsia="en-US"/>
        </w:rPr>
        <w:t>’</w:t>
      </w:r>
      <w:r w:rsidRPr="006C28E7">
        <w:rPr>
          <w:rFonts w:eastAsia="Calibri"/>
          <w:szCs w:val="22"/>
          <w:lang w:eastAsia="en-US"/>
        </w:rPr>
        <w:t>installations de réception portuaires adéquates et le dépôt des déchets dans ces installations.</w:t>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i/>
          <w:szCs w:val="22"/>
          <w:lang w:eastAsia="en-US"/>
        </w:rPr>
        <w:t>Article 2</w:t>
      </w:r>
      <w:r w:rsidRPr="006C28E7">
        <w:rPr>
          <w:rFonts w:eastAsia="Calibri"/>
          <w:szCs w:val="22"/>
          <w:lang w:eastAsia="en-US"/>
        </w:rPr>
        <w:br/>
      </w:r>
      <w:r w:rsidRPr="006C28E7">
        <w:rPr>
          <w:rFonts w:eastAsia="Calibri"/>
          <w:b/>
          <w:szCs w:val="22"/>
          <w:lang w:eastAsia="en-US"/>
        </w:rPr>
        <w:t>Définitions</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 xml:space="preserve">Aux fins de la présente directive, </w:t>
      </w:r>
      <w:r w:rsidRPr="006C28E7">
        <w:rPr>
          <w:rFonts w:eastAsia="Calibri"/>
          <w:b/>
          <w:bCs/>
          <w:i/>
          <w:iCs/>
          <w:szCs w:val="22"/>
          <w:lang w:eastAsia="en-US"/>
        </w:rPr>
        <w:t>on entend par</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w:t>
      </w:r>
      <w:r w:rsidRPr="006C28E7">
        <w:rPr>
          <w:rFonts w:eastAsia="Calibri"/>
          <w:szCs w:val="22"/>
          <w:lang w:eastAsia="en-US"/>
        </w:rPr>
        <w:tab/>
        <w:t>"navire", un bâtiment de mer de tout type exploité en milieu marin, y compris les navires de pêche▌, les bateaux de plaisance▌, les hydroptères, les aéroglisseurs, les engins submersibles et les engins flottants;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2)</w:t>
      </w:r>
      <w:r w:rsidRPr="006C28E7">
        <w:rPr>
          <w:rFonts w:eastAsia="Calibri"/>
          <w:szCs w:val="22"/>
          <w:lang w:eastAsia="en-US"/>
        </w:rPr>
        <w:tab/>
        <w:t>"convention MARPOL", la convention internationale pour la prévention de la pollution par les navires, dans sa version actualisée;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3)</w:t>
      </w:r>
      <w:r w:rsidRPr="006C28E7">
        <w:rPr>
          <w:rFonts w:eastAsia="Calibri"/>
          <w:szCs w:val="22"/>
          <w:lang w:eastAsia="en-US"/>
        </w:rPr>
        <w:tab/>
        <w:t>"déchets des navires", tous les déchets, y compris les résidus de cargaison, qui sont générés durant l</w:t>
      </w:r>
      <w:r w:rsidR="00D43184">
        <w:rPr>
          <w:rFonts w:eastAsia="Calibri"/>
          <w:szCs w:val="22"/>
          <w:lang w:eastAsia="en-US"/>
        </w:rPr>
        <w:t>’</w:t>
      </w:r>
      <w:r w:rsidRPr="006C28E7">
        <w:rPr>
          <w:rFonts w:eastAsia="Calibri"/>
          <w:szCs w:val="22"/>
          <w:lang w:eastAsia="en-US"/>
        </w:rPr>
        <w:t>exploitation d</w:t>
      </w:r>
      <w:r w:rsidR="00D43184">
        <w:rPr>
          <w:rFonts w:eastAsia="Calibri"/>
          <w:szCs w:val="22"/>
          <w:lang w:eastAsia="en-US"/>
        </w:rPr>
        <w:t>’</w:t>
      </w:r>
      <w:r w:rsidRPr="006C28E7">
        <w:rPr>
          <w:rFonts w:eastAsia="Calibri"/>
          <w:szCs w:val="22"/>
          <w:lang w:eastAsia="en-US"/>
        </w:rPr>
        <w:t xml:space="preserve">un navire ou pendant les opérations de chargement, de déchargement et de nettoyage, ▌et qui relèvent des annexes I, II, IV, V et VI de la </w:t>
      </w:r>
      <w:r w:rsidRPr="006C28E7">
        <w:rPr>
          <w:rFonts w:eastAsia="Calibri"/>
          <w:b/>
          <w:bCs/>
          <w:i/>
          <w:iCs/>
          <w:szCs w:val="22"/>
          <w:lang w:eastAsia="en-US"/>
        </w:rPr>
        <w:t>convention MARPOL, ainsi que les déchets pêchés passivement</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4)</w:t>
      </w:r>
      <w:r w:rsidRPr="006C28E7">
        <w:rPr>
          <w:rFonts w:eastAsia="Calibri"/>
          <w:b/>
          <w:i/>
          <w:color w:val="000000"/>
          <w:szCs w:val="22"/>
          <w:lang w:eastAsia="en-US"/>
        </w:rPr>
        <w:tab/>
      </w:r>
      <w:r w:rsidRPr="006C28E7">
        <w:rPr>
          <w:rFonts w:eastAsia="Calibri"/>
          <w:b/>
          <w:bCs/>
          <w:i/>
          <w:iCs/>
          <w:szCs w:val="22"/>
          <w:lang w:eastAsia="en-US"/>
        </w:rPr>
        <w:t>"déchets pêchés passivement", les déchets collectés dans des filets au cours d</w:t>
      </w:r>
      <w:r w:rsidR="00D43184">
        <w:rPr>
          <w:rFonts w:eastAsia="Calibri"/>
          <w:b/>
          <w:bCs/>
          <w:i/>
          <w:iCs/>
          <w:szCs w:val="22"/>
          <w:lang w:eastAsia="en-US"/>
        </w:rPr>
        <w:t>’</w:t>
      </w:r>
      <w:r w:rsidRPr="006C28E7">
        <w:rPr>
          <w:rFonts w:eastAsia="Calibri"/>
          <w:b/>
          <w:bCs/>
          <w:i/>
          <w:iCs/>
          <w:szCs w:val="22"/>
          <w:lang w:eastAsia="en-US"/>
        </w:rPr>
        <w:t>opérations de pêche;</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5)</w:t>
      </w:r>
      <w:r w:rsidRPr="006C28E7">
        <w:rPr>
          <w:rFonts w:eastAsia="Calibri"/>
          <w:szCs w:val="22"/>
          <w:lang w:eastAsia="en-US"/>
        </w:rPr>
        <w:tab/>
        <w:t xml:space="preserve">"résidus de cargaison", les restes de cargaison à bord qui demeurent sur le pont, dans les cales </w:t>
      </w:r>
      <w:r w:rsidRPr="006C28E7">
        <w:rPr>
          <w:rFonts w:eastAsia="Calibri"/>
          <w:b/>
          <w:bCs/>
          <w:i/>
          <w:iCs/>
          <w:szCs w:val="22"/>
          <w:lang w:eastAsia="en-US"/>
        </w:rPr>
        <w:t>ou dans des citernes</w:t>
      </w:r>
      <w:r w:rsidRPr="006C28E7">
        <w:rPr>
          <w:rFonts w:eastAsia="Calibri"/>
          <w:szCs w:val="22"/>
          <w:lang w:eastAsia="en-US"/>
        </w:rPr>
        <w:t xml:space="preserve"> après les opérations de chargement et de déchargement, y compris les excès ou les pertes de chargement et de déchargement, que ce soit à l</w:t>
      </w:r>
      <w:r w:rsidR="00D43184">
        <w:rPr>
          <w:rFonts w:eastAsia="Calibri"/>
          <w:szCs w:val="22"/>
          <w:lang w:eastAsia="en-US"/>
        </w:rPr>
        <w:t>’</w:t>
      </w:r>
      <w:r w:rsidRPr="006C28E7">
        <w:rPr>
          <w:rFonts w:eastAsia="Calibri"/>
          <w:szCs w:val="22"/>
          <w:lang w:eastAsia="en-US"/>
        </w:rPr>
        <w:t>état sec ou humide, ou entraînés par les eaux de lavage, à l</w:t>
      </w:r>
      <w:r w:rsidR="00D43184">
        <w:rPr>
          <w:rFonts w:eastAsia="Calibri"/>
          <w:szCs w:val="22"/>
          <w:lang w:eastAsia="en-US"/>
        </w:rPr>
        <w:t>’</w:t>
      </w:r>
      <w:r w:rsidRPr="006C28E7">
        <w:rPr>
          <w:rFonts w:eastAsia="Calibri"/>
          <w:szCs w:val="22"/>
          <w:lang w:eastAsia="en-US"/>
        </w:rPr>
        <w:t>exclusion de la poussière résiduelle sur le pont après balayage ou de la poussière provenant des surfaces extérieures du navire;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6)</w:t>
      </w:r>
      <w:r w:rsidRPr="006C28E7">
        <w:rPr>
          <w:rFonts w:eastAsia="Calibri"/>
          <w:szCs w:val="22"/>
          <w:lang w:eastAsia="en-US"/>
        </w:rPr>
        <w:tab/>
        <w:t xml:space="preserve">"installation de réception portuaire", toute installation ▌ fixe, flottante ou mobile pouvant </w:t>
      </w:r>
      <w:r w:rsidRPr="006C28E7">
        <w:rPr>
          <w:rFonts w:eastAsia="Calibri"/>
          <w:b/>
          <w:bCs/>
          <w:i/>
          <w:iCs/>
          <w:szCs w:val="22"/>
          <w:lang w:eastAsia="en-US"/>
        </w:rPr>
        <w:t>assurer le service de</w:t>
      </w:r>
      <w:r w:rsidRPr="006C28E7">
        <w:rPr>
          <w:rFonts w:eastAsia="Calibri"/>
          <w:szCs w:val="22"/>
          <w:lang w:eastAsia="en-US"/>
        </w:rPr>
        <w:t xml:space="preserve"> réception des déchets des navires;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7)</w:t>
      </w:r>
      <w:r w:rsidRPr="006C28E7">
        <w:rPr>
          <w:rFonts w:eastAsia="Calibri"/>
          <w:szCs w:val="22"/>
          <w:lang w:eastAsia="en-US"/>
        </w:rPr>
        <w:tab/>
        <w:t>"navire de pêche", tout navire équipé ou utilisé à des fins commerciales pour la capture de poissons ou d</w:t>
      </w:r>
      <w:r w:rsidR="00D43184">
        <w:rPr>
          <w:rFonts w:eastAsia="Calibri"/>
          <w:szCs w:val="22"/>
          <w:lang w:eastAsia="en-US"/>
        </w:rPr>
        <w:t>’</w:t>
      </w:r>
      <w:r w:rsidRPr="006C28E7">
        <w:rPr>
          <w:rFonts w:eastAsia="Calibri"/>
          <w:szCs w:val="22"/>
          <w:lang w:eastAsia="en-US"/>
        </w:rPr>
        <w:t>autres ressources vivantes de la mer;</w:t>
      </w:r>
    </w:p>
    <w:p w:rsidR="009C7E1C" w:rsidRPr="006C28E7" w:rsidRDefault="009C7E1C" w:rsidP="009C7E1C">
      <w:pPr>
        <w:widowControl/>
        <w:autoSpaceDE w:val="0"/>
        <w:autoSpaceDN w:val="0"/>
        <w:adjustRightInd w:val="0"/>
        <w:spacing w:before="120" w:after="120" w:line="360" w:lineRule="auto"/>
        <w:ind w:left="851" w:hanging="851"/>
        <w:rPr>
          <w:rFonts w:cs="Symbol"/>
          <w:szCs w:val="22"/>
          <w:lang w:eastAsia="en-US"/>
        </w:rPr>
      </w:pPr>
      <w:r w:rsidRPr="006C28E7">
        <w:rPr>
          <w:rFonts w:eastAsia="Calibri"/>
          <w:szCs w:val="22"/>
          <w:lang w:eastAsia="en-US"/>
        </w:rPr>
        <w:t>8)</w:t>
      </w:r>
      <w:r w:rsidRPr="006C28E7">
        <w:rPr>
          <w:rFonts w:eastAsia="Calibri"/>
          <w:szCs w:val="22"/>
          <w:lang w:eastAsia="en-US"/>
        </w:rPr>
        <w:tab/>
        <w:t>"bateau de plaisance", un navire de tout type, dont la coque a une longueur égale</w:t>
      </w:r>
      <w:r w:rsidRPr="006C28E7">
        <w:rPr>
          <w:rFonts w:eastAsia="Calibri"/>
          <w:b/>
          <w:bCs/>
          <w:i/>
          <w:iCs/>
          <w:szCs w:val="22"/>
          <w:lang w:eastAsia="en-US"/>
        </w:rPr>
        <w:t xml:space="preserve"> ou supérieure</w:t>
      </w:r>
      <w:r w:rsidRPr="006C28E7">
        <w:rPr>
          <w:rFonts w:eastAsia="Calibri"/>
          <w:szCs w:val="22"/>
          <w:lang w:eastAsia="en-US"/>
        </w:rPr>
        <w:t xml:space="preserve"> à 2,5 m, quel que soit le moyen de propulsion, destiné à des fins sportives et de loisir, et à des fins non commerciales;</w:t>
      </w:r>
    </w:p>
    <w:p w:rsidR="009C7E1C" w:rsidRPr="006C28E7" w:rsidRDefault="009C7E1C" w:rsidP="009C7E1C">
      <w:pPr>
        <w:widowControl/>
        <w:autoSpaceDE w:val="0"/>
        <w:autoSpaceDN w:val="0"/>
        <w:adjustRightInd w:val="0"/>
        <w:spacing w:line="360" w:lineRule="auto"/>
        <w:ind w:left="851"/>
        <w:jc w:val="both"/>
        <w:rPr>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rFonts w:cs="Symbol"/>
          <w:szCs w:val="22"/>
          <w:lang w:eastAsia="en-US"/>
        </w:rPr>
      </w:pPr>
      <w:r w:rsidRPr="006C28E7">
        <w:rPr>
          <w:rFonts w:eastAsia="Calibri"/>
          <w:szCs w:val="22"/>
          <w:lang w:eastAsia="en-US"/>
        </w:rPr>
        <w:t>9)</w:t>
      </w:r>
      <w:r w:rsidRPr="006C28E7">
        <w:rPr>
          <w:rFonts w:eastAsia="Calibri"/>
          <w:szCs w:val="22"/>
          <w:lang w:eastAsia="en-US"/>
        </w:rPr>
        <w:tab/>
        <w:t xml:space="preserve">"port", un lieu ou une zone géographique comportant des aménagements et des équipements </w:t>
      </w:r>
      <w:r w:rsidRPr="006C28E7">
        <w:rPr>
          <w:rFonts w:eastAsia="Calibri"/>
          <w:b/>
          <w:bCs/>
          <w:i/>
          <w:iCs/>
          <w:szCs w:val="22"/>
          <w:lang w:eastAsia="en-US"/>
        </w:rPr>
        <w:t>principalement conçus</w:t>
      </w:r>
      <w:r w:rsidRPr="006C28E7">
        <w:rPr>
          <w:rFonts w:eastAsia="Calibri"/>
          <w:szCs w:val="22"/>
          <w:lang w:eastAsia="en-US"/>
        </w:rPr>
        <w:t xml:space="preserve"> pour permettre la réception de navires, y compris une zone de mouillage relevant de la juridiction du port;</w:t>
      </w:r>
    </w:p>
    <w:p w:rsidR="009C7E1C" w:rsidRPr="006C28E7" w:rsidRDefault="009C7E1C" w:rsidP="009C7E1C">
      <w:pPr>
        <w:widowControl/>
        <w:autoSpaceDE w:val="0"/>
        <w:autoSpaceDN w:val="0"/>
        <w:adjustRightInd w:val="0"/>
        <w:spacing w:line="360" w:lineRule="auto"/>
        <w:ind w:left="851"/>
        <w:jc w:val="both"/>
        <w:rPr>
          <w:szCs w:val="22"/>
          <w:lang w:eastAsia="en-US"/>
        </w:rPr>
      </w:pPr>
      <w:r w:rsidRPr="006C28E7">
        <w:rPr>
          <w:rFonts w:eastAsia="Calibri"/>
          <w:color w:val="000000"/>
          <w:szCs w:val="22"/>
          <w:lang w:eastAsia="en-US"/>
        </w:rPr>
        <w:t>▌</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10)</w:t>
      </w:r>
      <w:r w:rsidRPr="006C28E7">
        <w:rPr>
          <w:rFonts w:eastAsia="Calibri"/>
          <w:szCs w:val="22"/>
          <w:lang w:eastAsia="en-US"/>
        </w:rPr>
        <w:tab/>
        <w:t>"capacité de stockage suffisante", une capacité suffisante pour stocker les déchets à bord à compter du moment du départ jusqu</w:t>
      </w:r>
      <w:r w:rsidR="00D43184">
        <w:rPr>
          <w:rFonts w:eastAsia="Calibri"/>
          <w:szCs w:val="22"/>
          <w:lang w:eastAsia="en-US"/>
        </w:rPr>
        <w:t>’</w:t>
      </w:r>
      <w:r w:rsidRPr="006C28E7">
        <w:rPr>
          <w:rFonts w:eastAsia="Calibri"/>
          <w:szCs w:val="22"/>
          <w:lang w:eastAsia="en-US"/>
        </w:rPr>
        <w:t>au port d</w:t>
      </w:r>
      <w:r w:rsidR="00D43184">
        <w:rPr>
          <w:rFonts w:eastAsia="Calibri"/>
          <w:szCs w:val="22"/>
          <w:lang w:eastAsia="en-US"/>
        </w:rPr>
        <w:t>’</w:t>
      </w:r>
      <w:r w:rsidRPr="006C28E7">
        <w:rPr>
          <w:rFonts w:eastAsia="Calibri"/>
          <w:szCs w:val="22"/>
          <w:lang w:eastAsia="en-US"/>
        </w:rPr>
        <w:t>escale suivant, y compris les déchets susceptibles d</w:t>
      </w:r>
      <w:r w:rsidR="00D43184">
        <w:rPr>
          <w:rFonts w:eastAsia="Calibri"/>
          <w:szCs w:val="22"/>
          <w:lang w:eastAsia="en-US"/>
        </w:rPr>
        <w:t>’</w:t>
      </w:r>
      <w:r w:rsidRPr="006C28E7">
        <w:rPr>
          <w:rFonts w:eastAsia="Calibri"/>
          <w:szCs w:val="22"/>
          <w:lang w:eastAsia="en-US"/>
        </w:rPr>
        <w:t>être générés au cours du voyage;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11)</w:t>
      </w:r>
      <w:r w:rsidRPr="006C28E7">
        <w:rPr>
          <w:rFonts w:eastAsia="Calibri"/>
          <w:szCs w:val="22"/>
          <w:lang w:eastAsia="en-US"/>
        </w:rPr>
        <w:tab/>
        <w:t>"services réguliers", des services organisés sur la base d</w:t>
      </w:r>
      <w:r w:rsidR="00D43184">
        <w:rPr>
          <w:rFonts w:eastAsia="Calibri"/>
          <w:szCs w:val="22"/>
          <w:lang w:eastAsia="en-US"/>
        </w:rPr>
        <w:t>’</w:t>
      </w:r>
      <w:r w:rsidRPr="006C28E7">
        <w:rPr>
          <w:rFonts w:eastAsia="Calibri"/>
          <w:szCs w:val="22"/>
          <w:lang w:eastAsia="en-US"/>
        </w:rPr>
        <w:t>horaires de départ et d</w:t>
      </w:r>
      <w:r w:rsidR="00D43184">
        <w:rPr>
          <w:rFonts w:eastAsia="Calibri"/>
          <w:szCs w:val="22"/>
          <w:lang w:eastAsia="en-US"/>
        </w:rPr>
        <w:t>’</w:t>
      </w:r>
      <w:r w:rsidRPr="006C28E7">
        <w:rPr>
          <w:rFonts w:eastAsia="Calibri"/>
          <w:szCs w:val="22"/>
          <w:lang w:eastAsia="en-US"/>
        </w:rPr>
        <w:t>arrivée publiés ou planifiés entre deux ports déterminés ou des traversées récurrentes qui constituent un calendrier reconnu;</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12)</w:t>
      </w:r>
      <w:r w:rsidRPr="006C28E7">
        <w:rPr>
          <w:rFonts w:eastAsia="Calibri"/>
          <w:szCs w:val="22"/>
          <w:lang w:eastAsia="en-US"/>
        </w:rPr>
        <w:tab/>
        <w:t>"escales portuaires régulières", des trajets répétés d</w:t>
      </w:r>
      <w:r w:rsidR="00D43184">
        <w:rPr>
          <w:rFonts w:eastAsia="Calibri"/>
          <w:szCs w:val="22"/>
          <w:lang w:eastAsia="en-US"/>
        </w:rPr>
        <w:t>’</w:t>
      </w:r>
      <w:r w:rsidRPr="006C28E7">
        <w:rPr>
          <w:rFonts w:eastAsia="Calibri"/>
          <w:szCs w:val="22"/>
          <w:lang w:eastAsia="en-US"/>
        </w:rPr>
        <w:t>un même navire formant une constante entre des ports déterminés ou une série de voyages à destination et en provenance du même port sans escale intermédiaire;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13)</w:t>
      </w:r>
      <w:r w:rsidRPr="006C28E7">
        <w:rPr>
          <w:rFonts w:eastAsia="Calibri"/>
          <w:szCs w:val="22"/>
          <w:lang w:eastAsia="en-US"/>
        </w:rPr>
        <w:tab/>
        <w:t>"escales portuaires fréquentes", des visites effectuées par un navire dans le même port au moins une fois par quinzaine;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14)</w:t>
      </w:r>
      <w:r w:rsidRPr="006C28E7">
        <w:rPr>
          <w:rFonts w:eastAsia="Calibri"/>
          <w:szCs w:val="22"/>
          <w:lang w:eastAsia="en-US"/>
        </w:rPr>
        <w:tab/>
        <w:t>"GISIS", le système mondial intégré d</w:t>
      </w:r>
      <w:r w:rsidR="00D43184">
        <w:rPr>
          <w:rFonts w:eastAsia="Calibri"/>
          <w:szCs w:val="22"/>
          <w:lang w:eastAsia="en-US"/>
        </w:rPr>
        <w:t>’</w:t>
      </w:r>
      <w:r w:rsidRPr="006C28E7">
        <w:rPr>
          <w:rFonts w:eastAsia="Calibri"/>
          <w:szCs w:val="22"/>
          <w:lang w:eastAsia="en-US"/>
        </w:rPr>
        <w:t>information sur les transports maritimes mis en place par l</w:t>
      </w:r>
      <w:r w:rsidR="00D43184">
        <w:rPr>
          <w:rFonts w:eastAsia="Calibri"/>
          <w:szCs w:val="22"/>
          <w:lang w:eastAsia="en-US"/>
        </w:rPr>
        <w:t>’</w:t>
      </w:r>
      <w:r w:rsidRPr="006C28E7">
        <w:rPr>
          <w:rFonts w:eastAsia="Calibri"/>
          <w:szCs w:val="22"/>
          <w:lang w:eastAsia="en-US"/>
        </w:rPr>
        <w:t>OMI;</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15)</w:t>
      </w:r>
      <w:r w:rsidRPr="006C28E7">
        <w:rPr>
          <w:rFonts w:eastAsia="Calibri"/>
          <w:b/>
          <w:i/>
          <w:color w:val="000000"/>
          <w:szCs w:val="22"/>
          <w:lang w:eastAsia="en-US"/>
        </w:rPr>
        <w:tab/>
        <w:t>"traitement", toute opération de valorisation ou d</w:t>
      </w:r>
      <w:r w:rsidR="00D43184">
        <w:rPr>
          <w:rFonts w:eastAsia="Calibri"/>
          <w:b/>
          <w:i/>
          <w:color w:val="000000"/>
          <w:szCs w:val="22"/>
          <w:lang w:eastAsia="en-US"/>
        </w:rPr>
        <w:t>’</w:t>
      </w:r>
      <w:r w:rsidRPr="006C28E7">
        <w:rPr>
          <w:rFonts w:eastAsia="Calibri"/>
          <w:b/>
          <w:i/>
          <w:color w:val="000000"/>
          <w:szCs w:val="22"/>
          <w:lang w:eastAsia="en-US"/>
        </w:rPr>
        <w:t>élimination, y compris la préparation qui précède la valorisation ou l</w:t>
      </w:r>
      <w:r w:rsidR="00D43184">
        <w:rPr>
          <w:rFonts w:eastAsia="Calibri"/>
          <w:b/>
          <w:i/>
          <w:color w:val="000000"/>
          <w:szCs w:val="22"/>
          <w:lang w:eastAsia="en-US"/>
        </w:rPr>
        <w:t>’</w:t>
      </w:r>
      <w:r w:rsidRPr="006C28E7">
        <w:rPr>
          <w:rFonts w:eastAsia="Calibri"/>
          <w:b/>
          <w:i/>
          <w:color w:val="000000"/>
          <w:szCs w:val="22"/>
          <w:lang w:eastAsia="en-US"/>
        </w:rPr>
        <w:t>élimination;</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b/>
          <w:i/>
          <w:color w:val="000000"/>
          <w:szCs w:val="22"/>
          <w:lang w:eastAsia="en-US"/>
        </w:rPr>
        <w:t>16)</w:t>
      </w:r>
      <w:r w:rsidRPr="006C28E7">
        <w:rPr>
          <w:rFonts w:eastAsia="Calibri"/>
          <w:b/>
          <w:i/>
          <w:color w:val="000000"/>
          <w:szCs w:val="22"/>
          <w:lang w:eastAsia="en-US"/>
        </w:rPr>
        <w:tab/>
      </w:r>
      <w:r w:rsidRPr="006C28E7">
        <w:rPr>
          <w:rFonts w:eastAsia="Calibri"/>
          <w:b/>
          <w:bCs/>
          <w:i/>
          <w:iCs/>
          <w:szCs w:val="22"/>
          <w:lang w:eastAsia="en-US"/>
        </w:rPr>
        <w:t>"redevance indirecte", une redevance payée pour la fourniture des services d</w:t>
      </w:r>
      <w:r w:rsidR="00D43184">
        <w:rPr>
          <w:rFonts w:eastAsia="Calibri"/>
          <w:b/>
          <w:bCs/>
          <w:i/>
          <w:iCs/>
          <w:szCs w:val="22"/>
          <w:lang w:eastAsia="en-US"/>
        </w:rPr>
        <w:t>’</w:t>
      </w:r>
      <w:r w:rsidRPr="006C28E7">
        <w:rPr>
          <w:rFonts w:eastAsia="Calibri"/>
          <w:b/>
          <w:bCs/>
          <w:i/>
          <w:iCs/>
          <w:szCs w:val="22"/>
          <w:lang w:eastAsia="en-US"/>
        </w:rPr>
        <w:t>une installation de réception portuaire, qu</w:t>
      </w:r>
      <w:r w:rsidR="00D43184">
        <w:rPr>
          <w:rFonts w:eastAsia="Calibri"/>
          <w:b/>
          <w:bCs/>
          <w:i/>
          <w:iCs/>
          <w:szCs w:val="22"/>
          <w:lang w:eastAsia="en-US"/>
        </w:rPr>
        <w:t>’</w:t>
      </w:r>
      <w:r w:rsidRPr="006C28E7">
        <w:rPr>
          <w:rFonts w:eastAsia="Calibri"/>
          <w:b/>
          <w:bCs/>
          <w:i/>
          <w:iCs/>
          <w:szCs w:val="22"/>
          <w:lang w:eastAsia="en-US"/>
        </w:rPr>
        <w:t>il soit procédé ou non au dépôt effectif de déchets des navires.</w:t>
      </w:r>
    </w:p>
    <w:p w:rsidR="009C7E1C" w:rsidRPr="006C28E7" w:rsidRDefault="009C7E1C" w:rsidP="009C7E1C">
      <w:pPr>
        <w:widowControl/>
        <w:spacing w:line="360" w:lineRule="auto"/>
        <w:rPr>
          <w:rFonts w:eastAsia="Calibri" w:cs="Arial"/>
          <w:szCs w:val="22"/>
          <w:lang w:eastAsia="en-US"/>
        </w:rPr>
      </w:pPr>
      <w:r w:rsidRPr="006C28E7">
        <w:rPr>
          <w:rFonts w:eastAsia="Calibri"/>
          <w:szCs w:val="22"/>
          <w:lang w:eastAsia="en-US"/>
        </w:rPr>
        <w:t>Les "déchets des navires" visés au point 3) sont considérés comme des déchets au sens de l</w:t>
      </w:r>
      <w:r w:rsidR="00D43184">
        <w:rPr>
          <w:rFonts w:eastAsia="Calibri"/>
          <w:szCs w:val="22"/>
          <w:lang w:eastAsia="en-US"/>
        </w:rPr>
        <w:t>’</w:t>
      </w:r>
      <w:r w:rsidRPr="006C28E7">
        <w:rPr>
          <w:rFonts w:eastAsia="Calibri"/>
          <w:szCs w:val="22"/>
          <w:lang w:eastAsia="en-US"/>
        </w:rPr>
        <w:t>article 3, point 1), de la directive 2008/98/CE</w:t>
      </w:r>
      <w:r w:rsidRPr="006C28E7">
        <w:rPr>
          <w:rFonts w:eastAsia="Calibri"/>
          <w:color w:val="000000"/>
          <w:szCs w:val="22"/>
          <w:vertAlign w:val="superscript"/>
          <w:lang w:eastAsia="en-US"/>
        </w:rPr>
        <w:t xml:space="preserve"> ▌</w:t>
      </w:r>
      <w:r w:rsidRPr="006C28E7">
        <w:rPr>
          <w:rFonts w:eastAsia="Calibri"/>
          <w:szCs w:val="22"/>
          <w:lang w:eastAsia="en-US"/>
        </w:rPr>
        <w:t>.</w:t>
      </w:r>
    </w:p>
    <w:p w:rsidR="009C7E1C" w:rsidRPr="006C28E7" w:rsidRDefault="009C7E1C" w:rsidP="009C7E1C">
      <w:pPr>
        <w:widowControl/>
        <w:spacing w:after="200" w:line="276" w:lineRule="auto"/>
        <w:rPr>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i/>
          <w:szCs w:val="22"/>
          <w:lang w:eastAsia="en-US"/>
        </w:rPr>
        <w:t>Article 3</w:t>
      </w:r>
      <w:r w:rsidRPr="006C28E7">
        <w:rPr>
          <w:rFonts w:eastAsia="Calibri"/>
          <w:szCs w:val="22"/>
          <w:lang w:eastAsia="en-US"/>
        </w:rPr>
        <w:br/>
      </w:r>
      <w:r w:rsidRPr="006C28E7">
        <w:rPr>
          <w:rFonts w:eastAsia="Calibri"/>
          <w:b/>
          <w:szCs w:val="22"/>
          <w:lang w:eastAsia="en-US"/>
        </w:rPr>
        <w:t>Champ d</w:t>
      </w:r>
      <w:r w:rsidR="00D43184">
        <w:rPr>
          <w:rFonts w:eastAsia="Calibri"/>
          <w:b/>
          <w:szCs w:val="22"/>
          <w:lang w:eastAsia="en-US"/>
        </w:rPr>
        <w:t>’</w:t>
      </w:r>
      <w:r w:rsidRPr="006C28E7">
        <w:rPr>
          <w:rFonts w:eastAsia="Calibri"/>
          <w:b/>
          <w:szCs w:val="22"/>
          <w:lang w:eastAsia="en-US"/>
        </w:rPr>
        <w:t>application</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1.</w:t>
      </w:r>
      <w:r w:rsidRPr="006C28E7">
        <w:rPr>
          <w:rFonts w:eastAsia="Calibri"/>
          <w:b/>
          <w:i/>
          <w:color w:val="000000"/>
          <w:szCs w:val="22"/>
          <w:lang w:eastAsia="en-US"/>
        </w:rPr>
        <w:tab/>
      </w:r>
      <w:r w:rsidRPr="006C28E7">
        <w:rPr>
          <w:rFonts w:eastAsia="Calibri"/>
          <w:szCs w:val="22"/>
          <w:lang w:eastAsia="en-US"/>
        </w:rPr>
        <w:t>La présente directive s</w:t>
      </w:r>
      <w:r w:rsidR="00D43184">
        <w:rPr>
          <w:rFonts w:eastAsia="Calibri"/>
          <w:szCs w:val="22"/>
          <w:lang w:eastAsia="en-US"/>
        </w:rPr>
        <w:t>’</w:t>
      </w:r>
      <w:r w:rsidRPr="006C28E7">
        <w:rPr>
          <w:rFonts w:eastAsia="Calibri"/>
          <w:szCs w:val="22"/>
          <w:lang w:eastAsia="en-US"/>
        </w:rPr>
        <w:t>applique:</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à tous les navires, quel que soit leur pavillon, faisant escale dans un port d</w:t>
      </w:r>
      <w:r w:rsidR="00D43184">
        <w:rPr>
          <w:rFonts w:eastAsia="Calibri"/>
          <w:szCs w:val="22"/>
          <w:lang w:eastAsia="en-US"/>
        </w:rPr>
        <w:t>’</w:t>
      </w:r>
      <w:r w:rsidRPr="006C28E7">
        <w:rPr>
          <w:rFonts w:eastAsia="Calibri"/>
          <w:szCs w:val="22"/>
          <w:lang w:eastAsia="en-US"/>
        </w:rPr>
        <w:t>un État membre ou y opérant, à l</w:t>
      </w:r>
      <w:r w:rsidR="00D43184">
        <w:rPr>
          <w:rFonts w:eastAsia="Calibri"/>
          <w:szCs w:val="22"/>
          <w:lang w:eastAsia="en-US"/>
        </w:rPr>
        <w:t>’</w:t>
      </w:r>
      <w:r w:rsidRPr="006C28E7">
        <w:rPr>
          <w:rFonts w:eastAsia="Calibri"/>
          <w:szCs w:val="22"/>
          <w:lang w:eastAsia="en-US"/>
        </w:rPr>
        <w:t xml:space="preserve">exception </w:t>
      </w:r>
      <w:r w:rsidRPr="006C28E7">
        <w:rPr>
          <w:rFonts w:eastAsia="Calibri"/>
          <w:b/>
          <w:bCs/>
          <w:i/>
          <w:iCs/>
          <w:szCs w:val="22"/>
          <w:lang w:eastAsia="en-US"/>
        </w:rPr>
        <w:t>des navires affectés à des services portuaires au sens de l</w:t>
      </w:r>
      <w:r w:rsidR="00D43184">
        <w:rPr>
          <w:rFonts w:eastAsia="Calibri"/>
          <w:b/>
          <w:bCs/>
          <w:i/>
          <w:iCs/>
          <w:szCs w:val="22"/>
          <w:lang w:eastAsia="en-US"/>
        </w:rPr>
        <w:t>’</w:t>
      </w:r>
      <w:r w:rsidRPr="006C28E7">
        <w:rPr>
          <w:rFonts w:eastAsia="Calibri"/>
          <w:b/>
          <w:bCs/>
          <w:i/>
          <w:iCs/>
          <w:szCs w:val="22"/>
          <w:lang w:eastAsia="en-US"/>
        </w:rPr>
        <w:t>article 1</w:t>
      </w:r>
      <w:r w:rsidRPr="006C28E7">
        <w:rPr>
          <w:rFonts w:eastAsia="Calibri"/>
          <w:b/>
          <w:bCs/>
          <w:i/>
          <w:iCs/>
          <w:szCs w:val="22"/>
          <w:vertAlign w:val="superscript"/>
          <w:lang w:eastAsia="en-US"/>
        </w:rPr>
        <w:t>er</w:t>
      </w:r>
      <w:r w:rsidRPr="006C28E7">
        <w:rPr>
          <w:rFonts w:eastAsia="Calibri"/>
          <w:b/>
          <w:bCs/>
          <w:i/>
          <w:iCs/>
          <w:szCs w:val="22"/>
          <w:lang w:eastAsia="en-US"/>
        </w:rPr>
        <w:t>, paragraphe 2, du règlement (UE) 2017/352</w:t>
      </w:r>
      <w:r w:rsidRPr="006C28E7">
        <w:rPr>
          <w:rFonts w:eastAsia="Calibri"/>
          <w:szCs w:val="22"/>
          <w:lang w:eastAsia="en-US"/>
        </w:rPr>
        <w:t>, et à l</w:t>
      </w:r>
      <w:r w:rsidR="00D43184">
        <w:rPr>
          <w:rFonts w:eastAsia="Calibri"/>
          <w:szCs w:val="22"/>
          <w:lang w:eastAsia="en-US"/>
        </w:rPr>
        <w:t>’</w:t>
      </w:r>
      <w:r w:rsidRPr="006C28E7">
        <w:rPr>
          <w:rFonts w:eastAsia="Calibri"/>
          <w:szCs w:val="22"/>
          <w:lang w:eastAsia="en-US"/>
        </w:rPr>
        <w:t>exception des navires de guerre et navires de guerre auxiliaires, ou des autres navires appartenant à un État ou exploités par un État tant que celui-ci les utilise exclusivement à des fins gouvernementales et non commerciales;</w:t>
      </w:r>
    </w:p>
    <w:p w:rsidR="009C7E1C" w:rsidRPr="006C28E7" w:rsidRDefault="009C7E1C" w:rsidP="009C7E1C">
      <w:pPr>
        <w:widowControl/>
        <w:autoSpaceDE w:val="0"/>
        <w:autoSpaceDN w:val="0"/>
        <w:adjustRightInd w:val="0"/>
        <w:spacing w:before="120" w:after="120" w:line="360" w:lineRule="auto"/>
        <w:ind w:left="1134" w:hanging="567"/>
        <w:rPr>
          <w:rFonts w:eastAsia="Calibri"/>
          <w:b/>
          <w:i/>
          <w:color w:val="000000"/>
          <w:szCs w:val="22"/>
          <w:lang w:eastAsia="en-US"/>
        </w:rPr>
      </w:pPr>
      <w:r w:rsidRPr="006C28E7">
        <w:rPr>
          <w:rFonts w:eastAsia="Calibri"/>
          <w:szCs w:val="22"/>
          <w:lang w:eastAsia="en-US"/>
        </w:rPr>
        <w:t>b)</w:t>
      </w:r>
      <w:r w:rsidRPr="006C28E7">
        <w:rPr>
          <w:rFonts w:eastAsia="Calibri"/>
          <w:szCs w:val="22"/>
          <w:lang w:eastAsia="en-US"/>
        </w:rPr>
        <w:tab/>
        <w:t>à tous les ports des États membres dans lesquels les navires relevant du point a) font habituellement escale.</w:t>
      </w: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i/>
          <w:color w:val="000000"/>
          <w:szCs w:val="22"/>
          <w:lang w:eastAsia="en-US"/>
        </w:rPr>
        <w:t>Aux fins de la présente directive, et pour éviter de causer des retards anormaux aux navires, les États membres peuvent décider d</w:t>
      </w:r>
      <w:r w:rsidR="00D43184">
        <w:rPr>
          <w:rFonts w:eastAsia="Calibri"/>
          <w:b/>
          <w:i/>
          <w:color w:val="000000"/>
          <w:szCs w:val="22"/>
          <w:lang w:eastAsia="en-US"/>
        </w:rPr>
        <w:t>’</w:t>
      </w:r>
      <w:r w:rsidRPr="006C28E7">
        <w:rPr>
          <w:rFonts w:eastAsia="Calibri"/>
          <w:b/>
          <w:i/>
          <w:color w:val="000000"/>
          <w:szCs w:val="22"/>
          <w:lang w:eastAsia="en-US"/>
        </w:rPr>
        <w:t>exclure de leurs ports la zone de mouillage aux fins de l</w:t>
      </w:r>
      <w:r w:rsidR="00D43184">
        <w:rPr>
          <w:rFonts w:eastAsia="Calibri"/>
          <w:b/>
          <w:i/>
          <w:color w:val="000000"/>
          <w:szCs w:val="22"/>
          <w:lang w:eastAsia="en-US"/>
        </w:rPr>
        <w:t>’</w:t>
      </w:r>
      <w:r w:rsidRPr="006C28E7">
        <w:rPr>
          <w:rFonts w:eastAsia="Calibri"/>
          <w:b/>
          <w:i/>
          <w:color w:val="000000"/>
          <w:szCs w:val="22"/>
          <w:lang w:eastAsia="en-US"/>
        </w:rPr>
        <w:t>application des articles 6, 7 et 8.</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br w:type="page"/>
      </w:r>
      <w:r w:rsidRPr="006C28E7">
        <w:rPr>
          <w:rFonts w:eastAsia="Calibri"/>
          <w:b/>
          <w:i/>
          <w:color w:val="000000"/>
          <w:szCs w:val="22"/>
          <w:lang w:eastAsia="en-US"/>
        </w:rPr>
        <w:t>2.</w:t>
      </w:r>
      <w:r w:rsidRPr="006C28E7">
        <w:rPr>
          <w:rFonts w:eastAsia="Calibri"/>
          <w:b/>
          <w:i/>
          <w:color w:val="000000"/>
          <w:szCs w:val="22"/>
          <w:lang w:eastAsia="en-US"/>
        </w:rPr>
        <w:tab/>
      </w:r>
      <w:r w:rsidRPr="006C28E7">
        <w:rPr>
          <w:rFonts w:eastAsia="Calibri"/>
          <w:szCs w:val="22"/>
          <w:lang w:eastAsia="en-US"/>
        </w:rPr>
        <w:t xml:space="preserve">Les États membres prennent des mesures pour faire en sorte que, lorsque cela est </w:t>
      </w:r>
      <w:r w:rsidRPr="006C28E7">
        <w:rPr>
          <w:rFonts w:eastAsia="Calibri"/>
          <w:b/>
          <w:bCs/>
          <w:i/>
          <w:iCs/>
          <w:szCs w:val="22"/>
          <w:lang w:eastAsia="en-US"/>
        </w:rPr>
        <w:t>raisonnablement</w:t>
      </w:r>
      <w:r w:rsidRPr="006C28E7">
        <w:rPr>
          <w:rFonts w:eastAsia="Calibri"/>
          <w:szCs w:val="22"/>
          <w:lang w:eastAsia="en-US"/>
        </w:rPr>
        <w:t xml:space="preserve"> possible, les navires qui ne relèvent pas du champ d</w:t>
      </w:r>
      <w:r w:rsidR="00D43184">
        <w:rPr>
          <w:rFonts w:eastAsia="Calibri"/>
          <w:szCs w:val="22"/>
          <w:lang w:eastAsia="en-US"/>
        </w:rPr>
        <w:t>’</w:t>
      </w:r>
      <w:r w:rsidRPr="006C28E7">
        <w:rPr>
          <w:rFonts w:eastAsia="Calibri"/>
          <w:szCs w:val="22"/>
          <w:lang w:eastAsia="en-US"/>
        </w:rPr>
        <w:t>application de la présente directive déposent leurs déchets d</w:t>
      </w:r>
      <w:r w:rsidR="00D43184">
        <w:rPr>
          <w:rFonts w:eastAsia="Calibri"/>
          <w:szCs w:val="22"/>
          <w:lang w:eastAsia="en-US"/>
        </w:rPr>
        <w:t>’</w:t>
      </w:r>
      <w:r w:rsidRPr="006C28E7">
        <w:rPr>
          <w:rFonts w:eastAsia="Calibri"/>
          <w:szCs w:val="22"/>
          <w:lang w:eastAsia="en-US"/>
        </w:rPr>
        <w:t>une manière qui soit compatible avec cette dernière.</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3.</w:t>
      </w:r>
      <w:r w:rsidRPr="006C28E7">
        <w:rPr>
          <w:rFonts w:eastAsia="Calibri"/>
          <w:b/>
          <w:i/>
          <w:color w:val="000000"/>
          <w:szCs w:val="22"/>
          <w:lang w:eastAsia="en-US"/>
        </w:rPr>
        <w:tab/>
        <w:t>Les États membres n</w:t>
      </w:r>
      <w:r w:rsidR="00D43184">
        <w:rPr>
          <w:rFonts w:eastAsia="Calibri"/>
          <w:b/>
          <w:i/>
          <w:color w:val="000000"/>
          <w:szCs w:val="22"/>
          <w:lang w:eastAsia="en-US"/>
        </w:rPr>
        <w:t>’</w:t>
      </w:r>
      <w:r w:rsidRPr="006C28E7">
        <w:rPr>
          <w:rFonts w:eastAsia="Calibri"/>
          <w:b/>
          <w:i/>
          <w:color w:val="000000"/>
          <w:szCs w:val="22"/>
          <w:lang w:eastAsia="en-US"/>
        </w:rPr>
        <w:t>ayant ni ports ni navires battant leur pavillon qui relèvent du champ d</w:t>
      </w:r>
      <w:r w:rsidR="00D43184">
        <w:rPr>
          <w:rFonts w:eastAsia="Calibri"/>
          <w:b/>
          <w:i/>
          <w:color w:val="000000"/>
          <w:szCs w:val="22"/>
          <w:lang w:eastAsia="en-US"/>
        </w:rPr>
        <w:t>’</w:t>
      </w:r>
      <w:r w:rsidRPr="006C28E7">
        <w:rPr>
          <w:rFonts w:eastAsia="Calibri"/>
          <w:b/>
          <w:i/>
          <w:color w:val="000000"/>
          <w:szCs w:val="22"/>
          <w:lang w:eastAsia="en-US"/>
        </w:rPr>
        <w:t>application de la présente directive peuvent, à l</w:t>
      </w:r>
      <w:r w:rsidR="00D43184">
        <w:rPr>
          <w:rFonts w:eastAsia="Calibri"/>
          <w:b/>
          <w:i/>
          <w:color w:val="000000"/>
          <w:szCs w:val="22"/>
          <w:lang w:eastAsia="en-US"/>
        </w:rPr>
        <w:t>’</w:t>
      </w:r>
      <w:r w:rsidRPr="006C28E7">
        <w:rPr>
          <w:rFonts w:eastAsia="Calibri"/>
          <w:b/>
          <w:i/>
          <w:color w:val="000000"/>
          <w:szCs w:val="22"/>
          <w:lang w:eastAsia="en-US"/>
        </w:rPr>
        <w:t>exception de l</w:t>
      </w:r>
      <w:r w:rsidR="00D43184">
        <w:rPr>
          <w:rFonts w:eastAsia="Calibri"/>
          <w:b/>
          <w:i/>
          <w:color w:val="000000"/>
          <w:szCs w:val="22"/>
          <w:lang w:eastAsia="en-US"/>
        </w:rPr>
        <w:t>’</w:t>
      </w:r>
      <w:r w:rsidRPr="006C28E7">
        <w:rPr>
          <w:rFonts w:eastAsia="Calibri"/>
          <w:b/>
          <w:i/>
          <w:color w:val="000000"/>
          <w:szCs w:val="22"/>
          <w:lang w:eastAsia="en-US"/>
        </w:rPr>
        <w:t>obligation énoncée au troisième alinéa du présent paragraphe, déroger aux dispositions de la présente directive.</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i/>
          <w:color w:val="000000"/>
          <w:szCs w:val="22"/>
          <w:lang w:eastAsia="en-US"/>
        </w:rPr>
        <w:t>Les États membres n</w:t>
      </w:r>
      <w:r w:rsidR="00D43184">
        <w:rPr>
          <w:rFonts w:eastAsia="Calibri"/>
          <w:b/>
          <w:i/>
          <w:color w:val="000000"/>
          <w:szCs w:val="22"/>
          <w:lang w:eastAsia="en-US"/>
        </w:rPr>
        <w:t>’</w:t>
      </w:r>
      <w:r w:rsidRPr="006C28E7">
        <w:rPr>
          <w:rFonts w:eastAsia="Calibri"/>
          <w:b/>
          <w:i/>
          <w:color w:val="000000"/>
          <w:szCs w:val="22"/>
          <w:lang w:eastAsia="en-US"/>
        </w:rPr>
        <w:t>ayant pas de ports qui relèvent du champ d</w:t>
      </w:r>
      <w:r w:rsidR="00D43184">
        <w:rPr>
          <w:rFonts w:eastAsia="Calibri"/>
          <w:b/>
          <w:i/>
          <w:color w:val="000000"/>
          <w:szCs w:val="22"/>
          <w:lang w:eastAsia="en-US"/>
        </w:rPr>
        <w:t>’</w:t>
      </w:r>
      <w:r w:rsidRPr="006C28E7">
        <w:rPr>
          <w:rFonts w:eastAsia="Calibri"/>
          <w:b/>
          <w:i/>
          <w:color w:val="000000"/>
          <w:szCs w:val="22"/>
          <w:lang w:eastAsia="en-US"/>
        </w:rPr>
        <w:t>application de la présente directive peuvent déroger aux dispositions de cette dernière qui visent uniquement les ports.</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i/>
          <w:color w:val="000000"/>
          <w:szCs w:val="22"/>
          <w:lang w:eastAsia="en-US"/>
        </w:rPr>
        <w:t>Les États membres qui entendent se prévaloir des dérogations prévues au présent paragraphe font savoir à la Commission, au plus tard le … [date de transposition de la présente directive], s</w:t>
      </w:r>
      <w:r w:rsidR="00D43184">
        <w:rPr>
          <w:rFonts w:eastAsia="Calibri"/>
          <w:b/>
          <w:i/>
          <w:color w:val="000000"/>
          <w:szCs w:val="22"/>
          <w:lang w:eastAsia="en-US"/>
        </w:rPr>
        <w:t>’</w:t>
      </w:r>
      <w:r w:rsidRPr="006C28E7">
        <w:rPr>
          <w:rFonts w:eastAsia="Calibri"/>
          <w:b/>
          <w:i/>
          <w:color w:val="000000"/>
          <w:szCs w:val="22"/>
          <w:lang w:eastAsia="en-US"/>
        </w:rPr>
        <w:t>ils satisfont aux conditions applicables et informent la Commission, chaque année par la suite, de tout changement ultérieur. Tant qu</w:t>
      </w:r>
      <w:r w:rsidR="00D43184">
        <w:rPr>
          <w:rFonts w:eastAsia="Calibri"/>
          <w:b/>
          <w:i/>
          <w:color w:val="000000"/>
          <w:szCs w:val="22"/>
          <w:lang w:eastAsia="en-US"/>
        </w:rPr>
        <w:t>’</w:t>
      </w:r>
      <w:r w:rsidRPr="006C28E7">
        <w:rPr>
          <w:rFonts w:eastAsia="Calibri"/>
          <w:b/>
          <w:i/>
          <w:color w:val="000000"/>
          <w:szCs w:val="22"/>
          <w:lang w:eastAsia="en-US"/>
        </w:rPr>
        <w:t>ils n</w:t>
      </w:r>
      <w:r w:rsidR="00D43184">
        <w:rPr>
          <w:rFonts w:eastAsia="Calibri"/>
          <w:b/>
          <w:i/>
          <w:color w:val="000000"/>
          <w:szCs w:val="22"/>
          <w:lang w:eastAsia="en-US"/>
        </w:rPr>
        <w:t>’</w:t>
      </w:r>
      <w:r w:rsidRPr="006C28E7">
        <w:rPr>
          <w:rFonts w:eastAsia="Calibri"/>
          <w:b/>
          <w:i/>
          <w:color w:val="000000"/>
          <w:szCs w:val="22"/>
          <w:lang w:eastAsia="en-US"/>
        </w:rPr>
        <w:t>ont pas transposé et mis en œuvre la présente directive, ces États membres ne peuvent avoir de ports relevant du champ d</w:t>
      </w:r>
      <w:r w:rsidR="00D43184">
        <w:rPr>
          <w:rFonts w:eastAsia="Calibri"/>
          <w:b/>
          <w:i/>
          <w:color w:val="000000"/>
          <w:szCs w:val="22"/>
          <w:lang w:eastAsia="en-US"/>
        </w:rPr>
        <w:t>’</w:t>
      </w:r>
      <w:r w:rsidRPr="006C28E7">
        <w:rPr>
          <w:rFonts w:eastAsia="Calibri"/>
          <w:b/>
          <w:i/>
          <w:color w:val="000000"/>
          <w:szCs w:val="22"/>
          <w:lang w:eastAsia="en-US"/>
        </w:rPr>
        <w:t>application de la présente directive et ils ne peuvent autoriser des navires, y compris des engins, qui relèvent du champ d</w:t>
      </w:r>
      <w:r w:rsidR="00D43184">
        <w:rPr>
          <w:rFonts w:eastAsia="Calibri"/>
          <w:b/>
          <w:i/>
          <w:color w:val="000000"/>
          <w:szCs w:val="22"/>
          <w:lang w:eastAsia="en-US"/>
        </w:rPr>
        <w:t>’</w:t>
      </w:r>
      <w:r w:rsidRPr="006C28E7">
        <w:rPr>
          <w:rFonts w:eastAsia="Calibri"/>
          <w:b/>
          <w:i/>
          <w:color w:val="000000"/>
          <w:szCs w:val="22"/>
          <w:lang w:eastAsia="en-US"/>
        </w:rPr>
        <w:t>application de la présente directive à battre leur pavillon.</w:t>
      </w:r>
    </w:p>
    <w:p w:rsidR="009C7E1C" w:rsidRPr="006C28E7" w:rsidRDefault="009C7E1C" w:rsidP="009C7E1C">
      <w:pPr>
        <w:widowControl/>
        <w:autoSpaceDE w:val="0"/>
        <w:autoSpaceDN w:val="0"/>
        <w:adjustRightInd w:val="0"/>
        <w:spacing w:before="120" w:after="120" w:line="360" w:lineRule="auto"/>
        <w:jc w:val="center"/>
        <w:rPr>
          <w:b/>
          <w:bCs/>
          <w:i/>
          <w:iCs/>
          <w:szCs w:val="22"/>
          <w:lang w:eastAsia="en-US"/>
        </w:rPr>
      </w:pPr>
      <w:r w:rsidRPr="006C28E7">
        <w:rPr>
          <w:rFonts w:eastAsia="Calibri"/>
          <w:szCs w:val="22"/>
          <w:lang w:eastAsia="en-US"/>
        </w:rPr>
        <w:br w:type="page"/>
      </w:r>
      <w:r w:rsidRPr="006C28E7">
        <w:rPr>
          <w:rFonts w:eastAsia="Calibri"/>
          <w:bCs/>
          <w:iCs/>
          <w:color w:val="000000"/>
          <w:szCs w:val="22"/>
          <w:lang w:eastAsia="en-US"/>
        </w:rPr>
        <w:t>PARTIE 2</w:t>
      </w:r>
      <w:r w:rsidRPr="006C28E7">
        <w:rPr>
          <w:rFonts w:eastAsia="Calibri"/>
          <w:bCs/>
          <w:iCs/>
          <w:color w:val="000000"/>
          <w:szCs w:val="22"/>
          <w:lang w:eastAsia="en-US"/>
        </w:rPr>
        <w:br/>
        <w:t>MISE À DISPOSITION D</w:t>
      </w:r>
      <w:r w:rsidR="00D43184">
        <w:rPr>
          <w:rFonts w:eastAsia="Calibri"/>
          <w:bCs/>
          <w:iCs/>
          <w:color w:val="000000"/>
          <w:szCs w:val="22"/>
          <w:lang w:eastAsia="en-US"/>
        </w:rPr>
        <w:t>’</w:t>
      </w:r>
      <w:r w:rsidRPr="006C28E7">
        <w:rPr>
          <w:rFonts w:eastAsia="Calibri"/>
          <w:bCs/>
          <w:iCs/>
          <w:color w:val="000000"/>
          <w:szCs w:val="22"/>
          <w:lang w:eastAsia="en-US"/>
        </w:rPr>
        <w:t>INSTALLATIONS DE RÉCEPTION PORTUAIRES ADÉQUATES</w:t>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i/>
          <w:szCs w:val="22"/>
          <w:lang w:eastAsia="en-US"/>
        </w:rPr>
        <w:t>Article 4</w:t>
      </w:r>
      <w:r w:rsidRPr="006C28E7">
        <w:rPr>
          <w:rFonts w:eastAsia="Calibri"/>
          <w:szCs w:val="22"/>
          <w:lang w:eastAsia="en-US"/>
        </w:rPr>
        <w:br/>
        <w:t>Installations de réception portuaires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Les États membres garantissent la disponibilité des installations de réception portuaires adéquates pour répondre aux besoins des navires qui utilisent habituellement le port sans causer de retards anormaux à ces navires.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Les États membres s</w:t>
      </w:r>
      <w:r w:rsidR="00D43184">
        <w:rPr>
          <w:rFonts w:eastAsia="Calibri"/>
          <w:szCs w:val="22"/>
          <w:lang w:eastAsia="en-US"/>
        </w:rPr>
        <w:t>’</w:t>
      </w:r>
      <w:r w:rsidRPr="006C28E7">
        <w:rPr>
          <w:rFonts w:eastAsia="Calibri"/>
          <w:szCs w:val="22"/>
          <w:lang w:eastAsia="en-US"/>
        </w:rPr>
        <w:t>assurent de ce qui suit:</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b/>
          <w:bCs/>
          <w:i/>
          <w:iCs/>
          <w:szCs w:val="22"/>
          <w:lang w:eastAsia="en-US"/>
        </w:rPr>
        <w:t>a)</w:t>
      </w:r>
      <w:r w:rsidRPr="006C28E7">
        <w:rPr>
          <w:rFonts w:eastAsia="Calibri"/>
          <w:b/>
          <w:bCs/>
          <w:i/>
          <w:iCs/>
          <w:szCs w:val="22"/>
          <w:lang w:eastAsia="en-US"/>
        </w:rPr>
        <w:tab/>
        <w:t>les</w:t>
      </w:r>
      <w:r w:rsidRPr="006C28E7">
        <w:rPr>
          <w:rFonts w:eastAsia="Calibri"/>
          <w:szCs w:val="22"/>
          <w:lang w:eastAsia="en-US"/>
        </w:rPr>
        <w:t xml:space="preserve"> installations de réception portuaires ont une capacité permettant de recueillir les types et les quantités de déchets des navires qui utilisent habituellement le port, compte tenu:</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ab/>
        <w:t>i)</w:t>
      </w:r>
      <w:r w:rsidRPr="006C28E7">
        <w:rPr>
          <w:rFonts w:eastAsia="Calibri"/>
          <w:szCs w:val="22"/>
          <w:lang w:eastAsia="en-US"/>
        </w:rPr>
        <w:tab/>
        <w:t xml:space="preserve">des besoins opérationnels des utilisateurs du port; </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ab/>
        <w:t>ii)</w:t>
      </w:r>
      <w:r w:rsidRPr="006C28E7">
        <w:rPr>
          <w:rFonts w:eastAsia="Calibri"/>
          <w:szCs w:val="22"/>
          <w:lang w:eastAsia="en-US"/>
        </w:rPr>
        <w:tab/>
        <w:t xml:space="preserve">de la taille et de la position géographique de ce port; </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ab/>
        <w:t>iii)</w:t>
      </w:r>
      <w:r w:rsidRPr="006C28E7">
        <w:rPr>
          <w:rFonts w:eastAsia="Calibri"/>
          <w:szCs w:val="22"/>
          <w:lang w:eastAsia="en-US"/>
        </w:rPr>
        <w:tab/>
        <w:t xml:space="preserve">du type de navires qui font escale dans ce port; ▌et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b/>
        <w:t>iv)</w:t>
      </w:r>
      <w:r w:rsidRPr="006C28E7">
        <w:rPr>
          <w:rFonts w:eastAsia="Calibri"/>
          <w:szCs w:val="22"/>
          <w:lang w:eastAsia="en-US"/>
        </w:rPr>
        <w:tab/>
        <w:t>des exemptions prévues à l</w:t>
      </w:r>
      <w:r w:rsidR="00D43184">
        <w:rPr>
          <w:rFonts w:eastAsia="Calibri"/>
          <w:szCs w:val="22"/>
          <w:lang w:eastAsia="en-US"/>
        </w:rPr>
        <w:t>’</w:t>
      </w:r>
      <w:r w:rsidRPr="006C28E7">
        <w:rPr>
          <w:rFonts w:eastAsia="Calibri"/>
          <w:szCs w:val="22"/>
          <w:lang w:eastAsia="en-US"/>
        </w:rPr>
        <w:t>article 9;</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bCs/>
          <w:i/>
          <w:iCs/>
          <w:szCs w:val="22"/>
          <w:lang w:eastAsia="en-US"/>
        </w:rPr>
        <w:t>b)</w:t>
      </w:r>
      <w:r w:rsidRPr="006C28E7">
        <w:rPr>
          <w:rFonts w:eastAsia="Calibri"/>
          <w:b/>
          <w:bCs/>
          <w:i/>
          <w:iCs/>
          <w:szCs w:val="22"/>
          <w:lang w:eastAsia="en-US"/>
        </w:rPr>
        <w:tab/>
        <w:t>les</w:t>
      </w:r>
      <w:r w:rsidRPr="006C28E7">
        <w:rPr>
          <w:rFonts w:eastAsia="Calibri"/>
          <w:szCs w:val="22"/>
          <w:lang w:eastAsia="en-US"/>
        </w:rPr>
        <w:t xml:space="preserve"> formalités </w:t>
      </w:r>
      <w:r w:rsidRPr="006C28E7">
        <w:rPr>
          <w:rFonts w:eastAsia="Calibri"/>
          <w:b/>
          <w:bCs/>
          <w:i/>
          <w:iCs/>
          <w:szCs w:val="22"/>
          <w:lang w:eastAsia="en-US"/>
        </w:rPr>
        <w:t>et modalités pratiques</w:t>
      </w:r>
      <w:r w:rsidRPr="006C28E7">
        <w:rPr>
          <w:rFonts w:eastAsia="Calibri"/>
          <w:szCs w:val="22"/>
          <w:lang w:eastAsia="en-US"/>
        </w:rPr>
        <w:t xml:space="preserve"> liées à l</w:t>
      </w:r>
      <w:r w:rsidR="00D43184">
        <w:rPr>
          <w:rFonts w:eastAsia="Calibri"/>
          <w:szCs w:val="22"/>
          <w:lang w:eastAsia="en-US"/>
        </w:rPr>
        <w:t>’</w:t>
      </w:r>
      <w:r w:rsidRPr="006C28E7">
        <w:rPr>
          <w:rFonts w:eastAsia="Calibri"/>
          <w:szCs w:val="22"/>
          <w:lang w:eastAsia="en-US"/>
        </w:rPr>
        <w:t>utilisation des installations de réception portuaires sont simples et rapides pour éviter de causer des retards anormaux aux navires;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c)</w:t>
      </w:r>
      <w:r w:rsidRPr="006C28E7">
        <w:rPr>
          <w:rFonts w:eastAsia="Calibri"/>
          <w:b/>
          <w:i/>
          <w:color w:val="000000"/>
          <w:szCs w:val="22"/>
          <w:lang w:eastAsia="en-US"/>
        </w:rPr>
        <w:tab/>
        <w:t>les redevances perçues pour le dépôt ne dissuadent pas les navires d</w:t>
      </w:r>
      <w:r w:rsidR="00D43184">
        <w:rPr>
          <w:rFonts w:eastAsia="Calibri"/>
          <w:b/>
          <w:i/>
          <w:color w:val="000000"/>
          <w:szCs w:val="22"/>
          <w:lang w:eastAsia="en-US"/>
        </w:rPr>
        <w:t>’</w:t>
      </w:r>
      <w:r w:rsidRPr="006C28E7">
        <w:rPr>
          <w:rFonts w:eastAsia="Calibri"/>
          <w:b/>
          <w:i/>
          <w:color w:val="000000"/>
          <w:szCs w:val="22"/>
          <w:lang w:eastAsia="en-US"/>
        </w:rPr>
        <w:t>utiliser les installations de réception portuaires; et</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b/>
          <w:i/>
          <w:color w:val="000000"/>
          <w:szCs w:val="22"/>
          <w:lang w:eastAsia="en-US"/>
        </w:rPr>
        <w:br w:type="page"/>
      </w:r>
      <w:r w:rsidRPr="006C28E7">
        <w:rPr>
          <w:rFonts w:eastAsia="Calibri"/>
          <w:b/>
          <w:bCs/>
          <w:i/>
          <w:iCs/>
          <w:szCs w:val="22"/>
          <w:lang w:eastAsia="en-US"/>
        </w:rPr>
        <w:t>d)</w:t>
      </w:r>
      <w:r w:rsidRPr="006C28E7">
        <w:rPr>
          <w:rFonts w:eastAsia="Calibri"/>
          <w:szCs w:val="22"/>
          <w:lang w:eastAsia="en-US"/>
        </w:rPr>
        <w:tab/>
      </w:r>
      <w:r w:rsidRPr="006C28E7">
        <w:rPr>
          <w:rFonts w:eastAsia="Calibri"/>
          <w:b/>
          <w:bCs/>
          <w:i/>
          <w:iCs/>
          <w:szCs w:val="22"/>
          <w:lang w:eastAsia="en-US"/>
        </w:rPr>
        <w:t>les</w:t>
      </w:r>
      <w:r w:rsidRPr="006C28E7">
        <w:rPr>
          <w:rFonts w:eastAsia="Calibri"/>
          <w:szCs w:val="22"/>
          <w:lang w:eastAsia="en-US"/>
        </w:rPr>
        <w:t xml:space="preserve"> installations de réception portuaires permettent de gérer les ▌déchets </w:t>
      </w:r>
      <w:r w:rsidRPr="006C28E7">
        <w:rPr>
          <w:rFonts w:eastAsia="Calibri"/>
          <w:b/>
          <w:bCs/>
          <w:i/>
          <w:iCs/>
          <w:szCs w:val="22"/>
          <w:lang w:eastAsia="en-US"/>
        </w:rPr>
        <w:t>des navires</w:t>
      </w:r>
      <w:r w:rsidRPr="006C28E7">
        <w:rPr>
          <w:rFonts w:eastAsia="Calibri"/>
          <w:szCs w:val="22"/>
          <w:lang w:eastAsia="en-US"/>
        </w:rPr>
        <w:t xml:space="preserve"> </w:t>
      </w:r>
      <w:r w:rsidRPr="006C28E7">
        <w:rPr>
          <w:rFonts w:eastAsia="Calibri"/>
          <w:b/>
          <w:bCs/>
          <w:i/>
          <w:iCs/>
          <w:szCs w:val="22"/>
          <w:lang w:eastAsia="en-US"/>
        </w:rPr>
        <w:t>d</w:t>
      </w:r>
      <w:r w:rsidR="00D43184">
        <w:rPr>
          <w:rFonts w:eastAsia="Calibri"/>
          <w:b/>
          <w:bCs/>
          <w:i/>
          <w:iCs/>
          <w:szCs w:val="22"/>
          <w:lang w:eastAsia="en-US"/>
        </w:rPr>
        <w:t>’</w:t>
      </w:r>
      <w:r w:rsidRPr="006C28E7">
        <w:rPr>
          <w:rFonts w:eastAsia="Calibri"/>
          <w:b/>
          <w:bCs/>
          <w:i/>
          <w:iCs/>
          <w:szCs w:val="22"/>
          <w:lang w:eastAsia="en-US"/>
        </w:rPr>
        <w:t>une manière qui soit respectueuse</w:t>
      </w:r>
      <w:r w:rsidRPr="006C28E7">
        <w:rPr>
          <w:rFonts w:eastAsia="Calibri"/>
          <w:szCs w:val="22"/>
          <w:lang w:eastAsia="en-US"/>
        </w:rPr>
        <w:t xml:space="preserve"> de l</w:t>
      </w:r>
      <w:r w:rsidR="00D43184">
        <w:rPr>
          <w:rFonts w:eastAsia="Calibri"/>
          <w:szCs w:val="22"/>
          <w:lang w:eastAsia="en-US"/>
        </w:rPr>
        <w:t>’</w:t>
      </w:r>
      <w:r w:rsidRPr="006C28E7">
        <w:rPr>
          <w:rFonts w:eastAsia="Calibri"/>
          <w:szCs w:val="22"/>
          <w:lang w:eastAsia="en-US"/>
        </w:rPr>
        <w:t xml:space="preserve">environnement, conformément à la directive 2008/98/CE et aux autres dispositions pertinentes </w:t>
      </w:r>
      <w:r w:rsidRPr="006C28E7">
        <w:rPr>
          <w:rFonts w:eastAsia="Calibri"/>
          <w:b/>
          <w:bCs/>
          <w:i/>
          <w:iCs/>
          <w:szCs w:val="22"/>
          <w:lang w:eastAsia="en-US"/>
        </w:rPr>
        <w:t>du droit</w:t>
      </w:r>
      <w:r w:rsidRPr="006C28E7">
        <w:rPr>
          <w:rFonts w:eastAsia="Calibri"/>
          <w:szCs w:val="22"/>
          <w:lang w:eastAsia="en-US"/>
        </w:rPr>
        <w:t xml:space="preserve"> de l</w:t>
      </w:r>
      <w:r w:rsidR="00D43184">
        <w:rPr>
          <w:rFonts w:eastAsia="Calibri"/>
          <w:szCs w:val="22"/>
          <w:lang w:eastAsia="en-US"/>
        </w:rPr>
        <w:t>’</w:t>
      </w:r>
      <w:r w:rsidRPr="006C28E7">
        <w:rPr>
          <w:rFonts w:eastAsia="Calibri"/>
          <w:szCs w:val="22"/>
          <w:lang w:eastAsia="en-US"/>
        </w:rPr>
        <w:t xml:space="preserve">Union et du droit </w:t>
      </w:r>
      <w:r w:rsidRPr="006C28E7">
        <w:rPr>
          <w:rFonts w:eastAsia="Calibri"/>
          <w:b/>
          <w:bCs/>
          <w:i/>
          <w:iCs/>
          <w:szCs w:val="22"/>
          <w:lang w:eastAsia="en-US"/>
        </w:rPr>
        <w:t xml:space="preserve">national </w:t>
      </w:r>
      <w:r w:rsidRPr="006C28E7">
        <w:rPr>
          <w:rFonts w:eastAsia="Calibri"/>
          <w:szCs w:val="22"/>
          <w:lang w:eastAsia="en-US"/>
        </w:rPr>
        <w:t xml:space="preserve">relatives aux déchets. </w:t>
      </w:r>
    </w:p>
    <w:p w:rsidR="009C7E1C" w:rsidRPr="006C28E7" w:rsidRDefault="009C7E1C" w:rsidP="009C7E1C">
      <w:pPr>
        <w:widowControl/>
        <w:autoSpaceDE w:val="0"/>
        <w:autoSpaceDN w:val="0"/>
        <w:adjustRightInd w:val="0"/>
        <w:spacing w:before="120" w:after="120" w:line="360" w:lineRule="auto"/>
        <w:ind w:left="567"/>
        <w:rPr>
          <w:rFonts w:eastAsia="Calibri"/>
          <w:b/>
          <w:i/>
          <w:color w:val="000000"/>
          <w:szCs w:val="22"/>
          <w:lang w:eastAsia="en-US"/>
        </w:rPr>
      </w:pPr>
      <w:r w:rsidRPr="006C28E7">
        <w:rPr>
          <w:rFonts w:eastAsia="Calibri"/>
          <w:szCs w:val="22"/>
          <w:lang w:eastAsia="en-US"/>
        </w:rPr>
        <w:t xml:space="preserve">Aux fins du premier alinéa, point d), les États membres </w:t>
      </w:r>
      <w:r w:rsidRPr="006C28E7">
        <w:rPr>
          <w:rFonts w:eastAsia="Calibri"/>
          <w:b/>
          <w:bCs/>
          <w:i/>
          <w:iCs/>
          <w:szCs w:val="22"/>
          <w:lang w:eastAsia="en-US"/>
        </w:rPr>
        <w:t>veillent</w:t>
      </w:r>
      <w:r w:rsidRPr="006C28E7">
        <w:rPr>
          <w:rFonts w:eastAsia="Calibri"/>
          <w:szCs w:val="22"/>
          <w:lang w:eastAsia="en-US"/>
        </w:rPr>
        <w:t xml:space="preserve"> à ce qu</w:t>
      </w:r>
      <w:r w:rsidR="00D43184">
        <w:rPr>
          <w:rFonts w:eastAsia="Calibri"/>
          <w:szCs w:val="22"/>
          <w:lang w:eastAsia="en-US"/>
        </w:rPr>
        <w:t>’</w:t>
      </w:r>
      <w:r w:rsidRPr="006C28E7">
        <w:rPr>
          <w:rFonts w:eastAsia="Calibri"/>
          <w:szCs w:val="22"/>
          <w:lang w:eastAsia="en-US"/>
        </w:rPr>
        <w:t xml:space="preserve">une collecte séparée soit en place </w:t>
      </w:r>
      <w:r w:rsidRPr="006C28E7">
        <w:rPr>
          <w:rFonts w:eastAsia="Calibri"/>
          <w:b/>
          <w:bCs/>
          <w:i/>
          <w:iCs/>
          <w:szCs w:val="22"/>
          <w:lang w:eastAsia="en-US"/>
        </w:rPr>
        <w:t>pour faciliter le réemploi et le recyclage</w:t>
      </w:r>
      <w:r w:rsidRPr="006C28E7">
        <w:rPr>
          <w:rFonts w:eastAsia="Calibri"/>
          <w:szCs w:val="22"/>
          <w:lang w:eastAsia="en-US"/>
        </w:rPr>
        <w:t xml:space="preserve"> des déchets des navires dans les ports, comme le requiert le droit de l</w:t>
      </w:r>
      <w:r w:rsidR="00D43184">
        <w:rPr>
          <w:rFonts w:eastAsia="Calibri"/>
          <w:szCs w:val="22"/>
          <w:lang w:eastAsia="en-US"/>
        </w:rPr>
        <w:t>’</w:t>
      </w:r>
      <w:r w:rsidRPr="006C28E7">
        <w:rPr>
          <w:rFonts w:eastAsia="Calibri"/>
          <w:szCs w:val="22"/>
          <w:lang w:eastAsia="en-US"/>
        </w:rPr>
        <w:t xml:space="preserve">Union en matière de déchets, notamment la directive 2006/66/CE </w:t>
      </w:r>
      <w:r w:rsidRPr="006C28E7">
        <w:rPr>
          <w:rFonts w:eastAsia="Calibri"/>
          <w:b/>
          <w:bCs/>
          <w:i/>
          <w:iCs/>
          <w:szCs w:val="22"/>
          <w:lang w:eastAsia="en-US"/>
        </w:rPr>
        <w:t>du Parlement européen et du Conseil</w:t>
      </w:r>
      <w:r w:rsidRPr="006C28E7">
        <w:rPr>
          <w:i/>
          <w:color w:val="000000"/>
          <w:szCs w:val="22"/>
          <w:vertAlign w:val="superscript"/>
        </w:rPr>
        <w:footnoteReference w:id="21"/>
      </w:r>
      <w:r w:rsidRPr="006C28E7">
        <w:rPr>
          <w:rFonts w:eastAsia="Calibri"/>
          <w:b/>
          <w:bCs/>
          <w:i/>
          <w:iCs/>
          <w:szCs w:val="22"/>
          <w:lang w:eastAsia="en-US"/>
        </w:rPr>
        <w:t xml:space="preserve">, </w:t>
      </w:r>
      <w:r w:rsidRPr="006C28E7">
        <w:rPr>
          <w:rFonts w:eastAsia="Calibri"/>
          <w:szCs w:val="22"/>
          <w:lang w:eastAsia="en-US"/>
        </w:rPr>
        <w:t xml:space="preserve">la directive 2008/98/CE et la directive 2012/19/UE </w:t>
      </w:r>
      <w:r w:rsidRPr="006C28E7">
        <w:rPr>
          <w:rFonts w:eastAsia="Calibri"/>
          <w:b/>
          <w:bCs/>
          <w:i/>
          <w:iCs/>
          <w:szCs w:val="22"/>
          <w:lang w:eastAsia="en-US"/>
        </w:rPr>
        <w:t>du Parlement européen et du Conseil</w:t>
      </w:r>
      <w:r w:rsidRPr="006C28E7">
        <w:rPr>
          <w:i/>
          <w:color w:val="000000"/>
          <w:szCs w:val="22"/>
          <w:vertAlign w:val="superscript"/>
        </w:rPr>
        <w:footnoteReference w:id="22"/>
      </w:r>
      <w:r w:rsidRPr="006C28E7">
        <w:rPr>
          <w:rFonts w:eastAsia="Calibri"/>
          <w:szCs w:val="22"/>
          <w:lang w:eastAsia="en-US"/>
        </w:rPr>
        <w:t>.</w:t>
      </w:r>
      <w:r w:rsidRPr="006C28E7">
        <w:rPr>
          <w:rFonts w:eastAsia="Calibri"/>
          <w:b/>
          <w:i/>
          <w:color w:val="000000"/>
          <w:szCs w:val="22"/>
          <w:lang w:eastAsia="en-US"/>
        </w:rPr>
        <w:t xml:space="preserve"> Afin de faciliter ce processus, les installations de réception portuaires peuvent collecter des fractions séparées de déchets conformément aux catégories de déchets définies dans la convention MARPOL, en tenant compte des lignes directrices qu</w:t>
      </w:r>
      <w:r w:rsidR="00D43184">
        <w:rPr>
          <w:rFonts w:eastAsia="Calibri"/>
          <w:b/>
          <w:i/>
          <w:color w:val="000000"/>
          <w:szCs w:val="22"/>
          <w:lang w:eastAsia="en-US"/>
        </w:rPr>
        <w:t>’</w:t>
      </w:r>
      <w:r w:rsidRPr="006C28E7">
        <w:rPr>
          <w:rFonts w:eastAsia="Calibri"/>
          <w:b/>
          <w:i/>
          <w:color w:val="000000"/>
          <w:szCs w:val="22"/>
          <w:lang w:eastAsia="en-US"/>
        </w:rPr>
        <w:t xml:space="preserve">elle contient. </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bCs/>
          <w:i/>
          <w:iCs/>
          <w:szCs w:val="22"/>
          <w:lang w:eastAsia="en-US"/>
        </w:rPr>
        <w:t xml:space="preserve">Le </w:t>
      </w:r>
      <w:r w:rsidRPr="006C28E7">
        <w:rPr>
          <w:rFonts w:eastAsia="Calibri"/>
          <w:szCs w:val="22"/>
          <w:lang w:eastAsia="en-US"/>
        </w:rPr>
        <w:t xml:space="preserve">premier alinéa, </w:t>
      </w:r>
      <w:r w:rsidRPr="006C28E7">
        <w:rPr>
          <w:rFonts w:eastAsia="Calibri"/>
          <w:b/>
          <w:bCs/>
          <w:i/>
          <w:iCs/>
          <w:szCs w:val="22"/>
          <w:lang w:eastAsia="en-US"/>
        </w:rPr>
        <w:t>point</w:t>
      </w:r>
      <w:r w:rsidRPr="006C28E7">
        <w:rPr>
          <w:rFonts w:eastAsia="Calibri"/>
          <w:szCs w:val="22"/>
          <w:lang w:eastAsia="en-US"/>
        </w:rPr>
        <w:t xml:space="preserve"> d), s</w:t>
      </w:r>
      <w:r w:rsidR="00D43184">
        <w:rPr>
          <w:rFonts w:eastAsia="Calibri"/>
          <w:szCs w:val="22"/>
          <w:lang w:eastAsia="en-US"/>
        </w:rPr>
        <w:t>’</w:t>
      </w:r>
      <w:r w:rsidRPr="006C28E7">
        <w:rPr>
          <w:rFonts w:eastAsia="Calibri"/>
          <w:szCs w:val="22"/>
          <w:lang w:eastAsia="en-US"/>
        </w:rPr>
        <w:t>applique sans préjudice des exigences plus strictes imposées par le règlement (CE) n° 1069/2009 en ce qui concerne la gestion des déchets de cuisine et de table issus de voyages internationaux.</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3.</w:t>
      </w:r>
      <w:r w:rsidRPr="006C28E7">
        <w:rPr>
          <w:rFonts w:eastAsia="Calibri"/>
          <w:szCs w:val="22"/>
          <w:lang w:eastAsia="en-US"/>
        </w:rPr>
        <w:tab/>
        <w:t xml:space="preserve">Les États membres, </w:t>
      </w:r>
      <w:r w:rsidRPr="006C28E7">
        <w:rPr>
          <w:rFonts w:eastAsia="Calibri"/>
          <w:b/>
          <w:bCs/>
          <w:i/>
          <w:iCs/>
          <w:szCs w:val="22"/>
          <w:lang w:eastAsia="en-US"/>
        </w:rPr>
        <w:t>en leur qualité d</w:t>
      </w:r>
      <w:r w:rsidR="00D43184">
        <w:rPr>
          <w:rFonts w:eastAsia="Calibri"/>
          <w:b/>
          <w:bCs/>
          <w:i/>
          <w:iCs/>
          <w:szCs w:val="22"/>
          <w:lang w:eastAsia="en-US"/>
        </w:rPr>
        <w:t>’</w:t>
      </w:r>
      <w:r w:rsidRPr="006C28E7">
        <w:rPr>
          <w:rFonts w:eastAsia="Calibri"/>
          <w:b/>
          <w:bCs/>
          <w:i/>
          <w:iCs/>
          <w:szCs w:val="22"/>
          <w:lang w:eastAsia="en-US"/>
        </w:rPr>
        <w:t>États du pavillon</w:t>
      </w:r>
      <w:r w:rsidRPr="006C28E7">
        <w:rPr>
          <w:rFonts w:eastAsia="Calibri"/>
          <w:szCs w:val="22"/>
          <w:lang w:eastAsia="en-US"/>
        </w:rPr>
        <w:t xml:space="preserve">, utilisent les formulaires et les procédures </w:t>
      </w:r>
      <w:r w:rsidRPr="006C28E7">
        <w:rPr>
          <w:rFonts w:eastAsia="Calibri"/>
          <w:b/>
          <w:bCs/>
          <w:i/>
          <w:iCs/>
          <w:szCs w:val="22"/>
          <w:lang w:eastAsia="en-US"/>
        </w:rPr>
        <w:t>de l</w:t>
      </w:r>
      <w:r w:rsidR="00D43184">
        <w:rPr>
          <w:rFonts w:eastAsia="Calibri"/>
          <w:b/>
          <w:bCs/>
          <w:i/>
          <w:iCs/>
          <w:szCs w:val="22"/>
          <w:lang w:eastAsia="en-US"/>
        </w:rPr>
        <w:t>’</w:t>
      </w:r>
      <w:r w:rsidRPr="006C28E7">
        <w:rPr>
          <w:rFonts w:eastAsia="Calibri"/>
          <w:b/>
          <w:bCs/>
          <w:i/>
          <w:iCs/>
          <w:szCs w:val="22"/>
          <w:lang w:eastAsia="en-US"/>
        </w:rPr>
        <w:t>OMI pour notifier à celle-ci, ainsi qu</w:t>
      </w:r>
      <w:r w:rsidR="00D43184">
        <w:rPr>
          <w:rFonts w:eastAsia="Calibri"/>
          <w:b/>
          <w:bCs/>
          <w:i/>
          <w:iCs/>
          <w:szCs w:val="22"/>
          <w:lang w:eastAsia="en-US"/>
        </w:rPr>
        <w:t>’</w:t>
      </w:r>
      <w:r w:rsidRPr="006C28E7">
        <w:rPr>
          <w:rFonts w:eastAsia="Calibri"/>
          <w:szCs w:val="22"/>
          <w:lang w:eastAsia="en-US"/>
        </w:rPr>
        <w:t xml:space="preserve">aux autorités </w:t>
      </w:r>
      <w:r w:rsidRPr="006C28E7">
        <w:rPr>
          <w:rFonts w:eastAsia="Calibri"/>
          <w:b/>
          <w:bCs/>
          <w:i/>
          <w:iCs/>
          <w:szCs w:val="22"/>
          <w:lang w:eastAsia="en-US"/>
        </w:rPr>
        <w:t>de l</w:t>
      </w:r>
      <w:r w:rsidR="00D43184">
        <w:rPr>
          <w:rFonts w:eastAsia="Calibri"/>
          <w:b/>
          <w:bCs/>
          <w:i/>
          <w:iCs/>
          <w:szCs w:val="22"/>
          <w:lang w:eastAsia="en-US"/>
        </w:rPr>
        <w:t>’</w:t>
      </w:r>
      <w:r w:rsidRPr="006C28E7">
        <w:rPr>
          <w:rFonts w:eastAsia="Calibri"/>
          <w:b/>
          <w:bCs/>
          <w:i/>
          <w:iCs/>
          <w:szCs w:val="22"/>
          <w:lang w:eastAsia="en-US"/>
        </w:rPr>
        <w:t>État</w:t>
      </w:r>
      <w:r w:rsidRPr="006C28E7">
        <w:rPr>
          <w:rFonts w:eastAsia="Calibri"/>
          <w:szCs w:val="22"/>
          <w:lang w:eastAsia="en-US"/>
        </w:rPr>
        <w:t xml:space="preserve"> du port, des défauts présumés d</w:t>
      </w:r>
      <w:r w:rsidR="00D43184">
        <w:rPr>
          <w:rFonts w:eastAsia="Calibri"/>
          <w:szCs w:val="22"/>
          <w:lang w:eastAsia="en-US"/>
        </w:rPr>
        <w:t>’</w:t>
      </w:r>
      <w:r w:rsidRPr="006C28E7">
        <w:rPr>
          <w:rFonts w:eastAsia="Calibri"/>
          <w:szCs w:val="22"/>
          <w:lang w:eastAsia="en-US"/>
        </w:rPr>
        <w:t>adéquation des installations de réception portuaires.</w:t>
      </w:r>
    </w:p>
    <w:p w:rsidR="009C7E1C" w:rsidRPr="006C28E7" w:rsidRDefault="009C7E1C" w:rsidP="009C7E1C">
      <w:pPr>
        <w:widowControl/>
        <w:autoSpaceDE w:val="0"/>
        <w:autoSpaceDN w:val="0"/>
        <w:adjustRightInd w:val="0"/>
        <w:spacing w:before="120" w:after="120" w:line="360" w:lineRule="auto"/>
        <w:ind w:left="850"/>
        <w:jc w:val="both"/>
        <w:rPr>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567" w:hanging="567"/>
        <w:rPr>
          <w:b/>
          <w:i/>
          <w:color w:val="000000"/>
          <w:szCs w:val="22"/>
          <w:lang w:eastAsia="en-US"/>
        </w:rPr>
      </w:pPr>
      <w:r w:rsidRPr="006C28E7">
        <w:rPr>
          <w:rFonts w:eastAsia="Calibri"/>
          <w:color w:val="000000"/>
          <w:szCs w:val="22"/>
          <w:lang w:eastAsia="en-US"/>
        </w:rPr>
        <w:t>▌</w:t>
      </w:r>
      <w:r w:rsidRPr="006C28E7">
        <w:rPr>
          <w:rFonts w:eastAsia="Calibri"/>
          <w:szCs w:val="22"/>
          <w:lang w:eastAsia="en-US"/>
        </w:rPr>
        <w:tab/>
        <w:t xml:space="preserve">Les États membres, </w:t>
      </w:r>
      <w:r w:rsidRPr="006C28E7">
        <w:rPr>
          <w:rFonts w:eastAsia="Calibri"/>
          <w:b/>
          <w:bCs/>
          <w:i/>
          <w:iCs/>
          <w:szCs w:val="22"/>
          <w:lang w:eastAsia="en-US"/>
        </w:rPr>
        <w:t>en leur qualité d</w:t>
      </w:r>
      <w:r w:rsidR="00D43184">
        <w:rPr>
          <w:rFonts w:eastAsia="Calibri"/>
          <w:b/>
          <w:bCs/>
          <w:i/>
          <w:iCs/>
          <w:szCs w:val="22"/>
          <w:lang w:eastAsia="en-US"/>
        </w:rPr>
        <w:t>’</w:t>
      </w:r>
      <w:r w:rsidRPr="006C28E7">
        <w:rPr>
          <w:rFonts w:eastAsia="Calibri"/>
          <w:b/>
          <w:bCs/>
          <w:i/>
          <w:iCs/>
          <w:szCs w:val="22"/>
          <w:lang w:eastAsia="en-US"/>
        </w:rPr>
        <w:t>États du port</w:t>
      </w:r>
      <w:r w:rsidRPr="006C28E7">
        <w:rPr>
          <w:rFonts w:eastAsia="Calibri"/>
          <w:szCs w:val="22"/>
          <w:lang w:eastAsia="en-US"/>
        </w:rPr>
        <w:t>, enquêtent sur tous les cas de défaut présumé d</w:t>
      </w:r>
      <w:r w:rsidR="00D43184">
        <w:rPr>
          <w:rFonts w:eastAsia="Calibri"/>
          <w:szCs w:val="22"/>
          <w:lang w:eastAsia="en-US"/>
        </w:rPr>
        <w:t>’</w:t>
      </w:r>
      <w:r w:rsidRPr="006C28E7">
        <w:rPr>
          <w:rFonts w:eastAsia="Calibri"/>
          <w:szCs w:val="22"/>
          <w:lang w:eastAsia="en-US"/>
        </w:rPr>
        <w:t xml:space="preserve">adéquation signalés et </w:t>
      </w:r>
      <w:r w:rsidRPr="006C28E7">
        <w:rPr>
          <w:rFonts w:eastAsia="Calibri"/>
          <w:b/>
          <w:bCs/>
          <w:i/>
          <w:iCs/>
          <w:szCs w:val="22"/>
          <w:lang w:eastAsia="en-US"/>
        </w:rPr>
        <w:t>utilisent les formulaires et les procédures de l</w:t>
      </w:r>
      <w:r w:rsidR="00D43184">
        <w:rPr>
          <w:rFonts w:eastAsia="Calibri"/>
          <w:b/>
          <w:bCs/>
          <w:i/>
          <w:iCs/>
          <w:szCs w:val="22"/>
          <w:lang w:eastAsia="en-US"/>
        </w:rPr>
        <w:t>’</w:t>
      </w:r>
      <w:r w:rsidRPr="006C28E7">
        <w:rPr>
          <w:rFonts w:eastAsia="Calibri"/>
          <w:b/>
          <w:bCs/>
          <w:i/>
          <w:iCs/>
          <w:szCs w:val="22"/>
          <w:lang w:eastAsia="en-US"/>
        </w:rPr>
        <w:t>OMI pour notifier les conclusions de l</w:t>
      </w:r>
      <w:r w:rsidR="00D43184">
        <w:rPr>
          <w:rFonts w:eastAsia="Calibri"/>
          <w:b/>
          <w:bCs/>
          <w:i/>
          <w:iCs/>
          <w:szCs w:val="22"/>
          <w:lang w:eastAsia="en-US"/>
        </w:rPr>
        <w:t>’</w:t>
      </w:r>
      <w:r w:rsidRPr="006C28E7">
        <w:rPr>
          <w:rFonts w:eastAsia="Calibri"/>
          <w:b/>
          <w:bCs/>
          <w:i/>
          <w:iCs/>
          <w:szCs w:val="22"/>
          <w:lang w:eastAsia="en-US"/>
        </w:rPr>
        <w:t>enquête à l</w:t>
      </w:r>
      <w:r w:rsidR="00D43184">
        <w:rPr>
          <w:rFonts w:eastAsia="Calibri"/>
          <w:b/>
          <w:bCs/>
          <w:i/>
          <w:iCs/>
          <w:szCs w:val="22"/>
          <w:lang w:eastAsia="en-US"/>
        </w:rPr>
        <w:t>’</w:t>
      </w:r>
      <w:r w:rsidRPr="006C28E7">
        <w:rPr>
          <w:rFonts w:eastAsia="Calibri"/>
          <w:b/>
          <w:bCs/>
          <w:i/>
          <w:iCs/>
          <w:szCs w:val="22"/>
          <w:lang w:eastAsia="en-US"/>
        </w:rPr>
        <w:t>OMI et à l</w:t>
      </w:r>
      <w:r w:rsidR="00D43184">
        <w:rPr>
          <w:rFonts w:eastAsia="Calibri"/>
          <w:b/>
          <w:bCs/>
          <w:i/>
          <w:iCs/>
          <w:szCs w:val="22"/>
          <w:lang w:eastAsia="en-US"/>
        </w:rPr>
        <w:t>’</w:t>
      </w:r>
      <w:r w:rsidRPr="006C28E7">
        <w:rPr>
          <w:rFonts w:eastAsia="Calibri"/>
          <w:b/>
          <w:bCs/>
          <w:i/>
          <w:iCs/>
          <w:szCs w:val="22"/>
          <w:lang w:eastAsia="en-US"/>
        </w:rPr>
        <w:t>État du pavillon signalant.</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color w:val="000000"/>
          <w:szCs w:val="22"/>
          <w:lang w:eastAsia="en-US"/>
        </w:rPr>
      </w:pPr>
      <w:r w:rsidRPr="006C28E7">
        <w:rPr>
          <w:rFonts w:eastAsia="Calibri"/>
          <w:b/>
          <w:i/>
          <w:color w:val="000000"/>
          <w:szCs w:val="22"/>
          <w:lang w:eastAsia="en-US"/>
        </w:rPr>
        <w:t>4.</w:t>
      </w:r>
      <w:r w:rsidRPr="006C28E7">
        <w:rPr>
          <w:rFonts w:eastAsia="Calibri"/>
          <w:b/>
          <w:i/>
          <w:color w:val="000000"/>
          <w:szCs w:val="22"/>
          <w:lang w:eastAsia="en-US"/>
        </w:rPr>
        <w:tab/>
        <w:t>Les autorités portuaires compétentes, ou, à défaut, les autorités compétentes veillent à ce que les opérations de dépôt ou de réception des déchets s</w:t>
      </w:r>
      <w:r w:rsidR="00D43184">
        <w:rPr>
          <w:rFonts w:eastAsia="Calibri"/>
          <w:b/>
          <w:i/>
          <w:color w:val="000000"/>
          <w:szCs w:val="22"/>
          <w:lang w:eastAsia="en-US"/>
        </w:rPr>
        <w:t>’</w:t>
      </w:r>
      <w:r w:rsidRPr="006C28E7">
        <w:rPr>
          <w:rFonts w:eastAsia="Calibri"/>
          <w:b/>
          <w:i/>
          <w:color w:val="000000"/>
          <w:szCs w:val="22"/>
          <w:lang w:eastAsia="en-US"/>
        </w:rPr>
        <w:t>accompagnent de mesures de sécurité suffisantes pour prévenir les risques pour les personnes et pour l</w:t>
      </w:r>
      <w:r w:rsidR="00D43184">
        <w:rPr>
          <w:rFonts w:eastAsia="Calibri"/>
          <w:b/>
          <w:i/>
          <w:color w:val="000000"/>
          <w:szCs w:val="22"/>
          <w:lang w:eastAsia="en-US"/>
        </w:rPr>
        <w:t>’</w:t>
      </w:r>
      <w:r w:rsidRPr="006C28E7">
        <w:rPr>
          <w:rFonts w:eastAsia="Calibri"/>
          <w:b/>
          <w:i/>
          <w:color w:val="000000"/>
          <w:szCs w:val="22"/>
          <w:lang w:eastAsia="en-US"/>
        </w:rPr>
        <w:t>environnement dans les ports relevant de la présente directive.</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5.</w:t>
      </w:r>
      <w:r w:rsidRPr="006C28E7">
        <w:rPr>
          <w:rFonts w:eastAsia="Calibri"/>
          <w:b/>
          <w:i/>
          <w:color w:val="000000"/>
          <w:szCs w:val="22"/>
          <w:lang w:eastAsia="en-US"/>
        </w:rPr>
        <w:tab/>
      </w:r>
      <w:r w:rsidRPr="006C28E7">
        <w:rPr>
          <w:rFonts w:eastAsia="Calibri"/>
          <w:b/>
          <w:bCs/>
          <w:i/>
          <w:iCs/>
          <w:color w:val="000000"/>
          <w:szCs w:val="22"/>
          <w:lang w:eastAsia="en-US"/>
        </w:rPr>
        <w:t>Les États membres</w:t>
      </w:r>
      <w:r w:rsidRPr="006C28E7">
        <w:rPr>
          <w:rFonts w:eastAsia="Calibri"/>
          <w:color w:val="000000"/>
          <w:szCs w:val="22"/>
          <w:lang w:eastAsia="en-US"/>
        </w:rPr>
        <w:t xml:space="preserve"> veillent à ce que toute partie concernée par le dépôt ou la réception de déchets des navires puisse demander une indemnisation pour tout dommage résultant d</w:t>
      </w:r>
      <w:r w:rsidR="00D43184">
        <w:rPr>
          <w:rFonts w:eastAsia="Calibri"/>
          <w:color w:val="000000"/>
          <w:szCs w:val="22"/>
          <w:lang w:eastAsia="en-US"/>
        </w:rPr>
        <w:t>’</w:t>
      </w:r>
      <w:r w:rsidRPr="006C28E7">
        <w:rPr>
          <w:rFonts w:eastAsia="Calibri"/>
          <w:color w:val="000000"/>
          <w:szCs w:val="22"/>
          <w:lang w:eastAsia="en-US"/>
        </w:rPr>
        <w:t>un retard anormal.</w:t>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i/>
          <w:szCs w:val="22"/>
          <w:lang w:eastAsia="en-US"/>
        </w:rPr>
        <w:t>Article 5</w:t>
      </w:r>
      <w:r w:rsidRPr="006C28E7">
        <w:rPr>
          <w:rFonts w:eastAsia="Calibri"/>
          <w:szCs w:val="22"/>
          <w:lang w:eastAsia="en-US"/>
        </w:rPr>
        <w:br/>
      </w:r>
      <w:r w:rsidRPr="006C28E7">
        <w:rPr>
          <w:rFonts w:eastAsia="Calibri"/>
          <w:i/>
          <w:iCs/>
          <w:szCs w:val="22"/>
          <w:lang w:eastAsia="en-US"/>
        </w:rPr>
        <w:t>Plans de réception et de traitement des déchets</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b/>
          <w:bCs/>
          <w:i/>
          <w:iCs/>
          <w:szCs w:val="22"/>
          <w:lang w:eastAsia="en-US"/>
        </w:rPr>
        <w:t>1.</w:t>
      </w:r>
      <w:r w:rsidRPr="006C28E7">
        <w:rPr>
          <w:rFonts w:eastAsia="Calibri"/>
          <w:szCs w:val="22"/>
          <w:lang w:eastAsia="en-US"/>
        </w:rPr>
        <w:tab/>
      </w:r>
      <w:r w:rsidRPr="006C28E7">
        <w:rPr>
          <w:rFonts w:eastAsia="Calibri"/>
          <w:b/>
          <w:bCs/>
          <w:i/>
          <w:iCs/>
          <w:szCs w:val="22"/>
          <w:lang w:eastAsia="en-US"/>
        </w:rPr>
        <w:t>Les États membres veillent à ce qu</w:t>
      </w:r>
      <w:r w:rsidR="00D43184">
        <w:rPr>
          <w:rFonts w:eastAsia="Calibri"/>
          <w:b/>
          <w:bCs/>
          <w:i/>
          <w:iCs/>
          <w:szCs w:val="22"/>
          <w:lang w:eastAsia="en-US"/>
        </w:rPr>
        <w:t>’</w:t>
      </w:r>
      <w:r w:rsidRPr="006C28E7">
        <w:rPr>
          <w:rFonts w:eastAsia="Calibri"/>
          <w:b/>
          <w:bCs/>
          <w:i/>
          <w:iCs/>
          <w:szCs w:val="22"/>
          <w:lang w:eastAsia="en-US"/>
        </w:rPr>
        <w:t>un</w:t>
      </w:r>
      <w:r w:rsidRPr="006C28E7">
        <w:rPr>
          <w:rFonts w:eastAsia="Calibri"/>
          <w:szCs w:val="22"/>
          <w:lang w:eastAsia="en-US"/>
        </w:rPr>
        <w:t xml:space="preserve"> plan approprié de réception et de traitement des déchets soit établi et ait été mis en œuvre pour chaque port à l</w:t>
      </w:r>
      <w:r w:rsidR="00D43184">
        <w:rPr>
          <w:rFonts w:eastAsia="Calibri"/>
          <w:szCs w:val="22"/>
          <w:lang w:eastAsia="en-US"/>
        </w:rPr>
        <w:t>’</w:t>
      </w:r>
      <w:r w:rsidRPr="006C28E7">
        <w:rPr>
          <w:rFonts w:eastAsia="Calibri"/>
          <w:szCs w:val="22"/>
          <w:lang w:eastAsia="en-US"/>
        </w:rPr>
        <w:t xml:space="preserve">issue des consultations menées auprès des parties concernées, </w:t>
      </w:r>
      <w:r w:rsidRPr="006C28E7">
        <w:rPr>
          <w:rFonts w:eastAsia="Calibri"/>
          <w:b/>
          <w:bCs/>
          <w:i/>
          <w:iCs/>
          <w:szCs w:val="22"/>
          <w:lang w:eastAsia="en-US"/>
        </w:rPr>
        <w:t>y compris</w:t>
      </w:r>
      <w:r w:rsidRPr="006C28E7">
        <w:rPr>
          <w:rFonts w:eastAsia="Calibri"/>
          <w:szCs w:val="22"/>
          <w:lang w:eastAsia="en-US"/>
        </w:rPr>
        <w:t xml:space="preserve"> - en particulier - les utilisateurs des ports ou leurs représentants </w:t>
      </w:r>
      <w:r w:rsidRPr="006C28E7">
        <w:rPr>
          <w:rFonts w:eastAsia="Calibri"/>
          <w:b/>
          <w:bCs/>
          <w:i/>
          <w:iCs/>
          <w:szCs w:val="22"/>
          <w:lang w:eastAsia="en-US"/>
        </w:rPr>
        <w:t>et, le cas échéant, les autorités locales compétentes, les exploitants de l</w:t>
      </w:r>
      <w:r w:rsidR="00D43184">
        <w:rPr>
          <w:rFonts w:eastAsia="Calibri"/>
          <w:b/>
          <w:bCs/>
          <w:i/>
          <w:iCs/>
          <w:szCs w:val="22"/>
          <w:lang w:eastAsia="en-US"/>
        </w:rPr>
        <w:t>’</w:t>
      </w:r>
      <w:r w:rsidRPr="006C28E7">
        <w:rPr>
          <w:rFonts w:eastAsia="Calibri"/>
          <w:b/>
          <w:bCs/>
          <w:i/>
          <w:iCs/>
          <w:szCs w:val="22"/>
          <w:lang w:eastAsia="en-US"/>
        </w:rPr>
        <w:t>installation de réception portuaire, des organisations mettant en œuvre les obligations découlant de la responsabilité élargie du producteur et des représentants de la société civile.</w:t>
      </w:r>
      <w:r w:rsidRPr="006C28E7">
        <w:rPr>
          <w:rFonts w:eastAsia="Calibri"/>
          <w:szCs w:val="22"/>
          <w:lang w:eastAsia="en-US"/>
        </w:rPr>
        <w:t xml:space="preserve"> Ces consultations devraient être organisées à la fois au cours de la phase initiale d</w:t>
      </w:r>
      <w:r w:rsidR="00D43184">
        <w:rPr>
          <w:rFonts w:eastAsia="Calibri"/>
          <w:szCs w:val="22"/>
          <w:lang w:eastAsia="en-US"/>
        </w:rPr>
        <w:t>’</w:t>
      </w:r>
      <w:r w:rsidRPr="006C28E7">
        <w:rPr>
          <w:rFonts w:eastAsia="Calibri"/>
          <w:szCs w:val="22"/>
          <w:lang w:eastAsia="en-US"/>
        </w:rPr>
        <w:t xml:space="preserve">élaboration du plan de réception et de traitement des déchets et après son adoption, en particulier lorsque des changements importants ont eu lieu concernant les exigences prévues aux articles 4, 6 et 7. </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ab/>
        <w:t>Les prescriptions détaillées relatives à l</w:t>
      </w:r>
      <w:r w:rsidR="00D43184">
        <w:rPr>
          <w:rFonts w:eastAsia="Calibri"/>
          <w:szCs w:val="22"/>
          <w:lang w:eastAsia="en-US"/>
        </w:rPr>
        <w:t>’</w:t>
      </w:r>
      <w:r w:rsidRPr="006C28E7">
        <w:rPr>
          <w:rFonts w:eastAsia="Calibri"/>
          <w:szCs w:val="22"/>
          <w:lang w:eastAsia="en-US"/>
        </w:rPr>
        <w:t>élaboration du plan de réception et de traitement des déchets figurent à l</w:t>
      </w:r>
      <w:r w:rsidR="00D43184">
        <w:rPr>
          <w:rFonts w:eastAsia="Calibri"/>
          <w:szCs w:val="22"/>
          <w:lang w:eastAsia="en-US"/>
        </w:rPr>
        <w:t>’</w:t>
      </w:r>
      <w:r w:rsidRPr="006C28E7">
        <w:rPr>
          <w:rFonts w:eastAsia="Calibri"/>
          <w:szCs w:val="22"/>
          <w:lang w:eastAsia="en-US"/>
        </w:rPr>
        <w:t>annexe I.</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Les États membres s</w:t>
      </w:r>
      <w:r w:rsidR="00D43184">
        <w:rPr>
          <w:rFonts w:eastAsia="Calibri"/>
          <w:szCs w:val="22"/>
          <w:lang w:eastAsia="en-US"/>
        </w:rPr>
        <w:t>’</w:t>
      </w:r>
      <w:r w:rsidRPr="006C28E7">
        <w:rPr>
          <w:rFonts w:eastAsia="Calibri"/>
          <w:szCs w:val="22"/>
          <w:lang w:eastAsia="en-US"/>
        </w:rPr>
        <w:t>assurent que les informations suivantes, tirées des plans de réception et de traitement des déchets et relatives à la disponibilité d</w:t>
      </w:r>
      <w:r w:rsidR="00D43184">
        <w:rPr>
          <w:rFonts w:eastAsia="Calibri"/>
          <w:szCs w:val="22"/>
          <w:lang w:eastAsia="en-US"/>
        </w:rPr>
        <w:t>’</w:t>
      </w:r>
      <w:r w:rsidRPr="006C28E7">
        <w:rPr>
          <w:rFonts w:eastAsia="Calibri"/>
          <w:szCs w:val="22"/>
          <w:lang w:eastAsia="en-US"/>
        </w:rPr>
        <w:t xml:space="preserve">installations de réception portuaires adéquates dans leurs ports </w:t>
      </w:r>
      <w:r w:rsidRPr="006C28E7">
        <w:rPr>
          <w:rFonts w:eastAsia="Calibri"/>
          <w:b/>
          <w:bCs/>
          <w:i/>
          <w:iCs/>
          <w:szCs w:val="22"/>
          <w:lang w:eastAsia="en-US"/>
        </w:rPr>
        <w:t>et à la structure des coûts</w:t>
      </w:r>
      <w:r w:rsidRPr="006C28E7">
        <w:rPr>
          <w:rFonts w:eastAsia="Calibri"/>
          <w:szCs w:val="22"/>
          <w:lang w:eastAsia="en-US"/>
        </w:rPr>
        <w:t xml:space="preserve">, sont communiquées clairement aux exploitants de navires, </w:t>
      </w:r>
      <w:r w:rsidRPr="006C28E7">
        <w:rPr>
          <w:rFonts w:eastAsia="Calibri"/>
          <w:b/>
          <w:bCs/>
          <w:i/>
          <w:iCs/>
          <w:szCs w:val="22"/>
          <w:lang w:eastAsia="en-US"/>
        </w:rPr>
        <w:t>sont</w:t>
      </w:r>
      <w:r w:rsidRPr="006C28E7">
        <w:rPr>
          <w:rFonts w:eastAsia="Calibri"/>
          <w:szCs w:val="22"/>
          <w:lang w:eastAsia="en-US"/>
        </w:rPr>
        <w:t xml:space="preserve"> rendues publiques </w:t>
      </w:r>
      <w:r w:rsidRPr="006C28E7">
        <w:rPr>
          <w:rFonts w:eastAsia="Calibri"/>
          <w:b/>
          <w:bCs/>
          <w:i/>
          <w:iCs/>
          <w:szCs w:val="22"/>
          <w:lang w:eastAsia="en-US"/>
        </w:rPr>
        <w:t>et sont facilement accessibles, dans une langue officielle de l</w:t>
      </w:r>
      <w:r w:rsidR="00D43184">
        <w:rPr>
          <w:rFonts w:eastAsia="Calibri"/>
          <w:b/>
          <w:bCs/>
          <w:i/>
          <w:iCs/>
          <w:szCs w:val="22"/>
          <w:lang w:eastAsia="en-US"/>
        </w:rPr>
        <w:t>’</w:t>
      </w:r>
      <w:r w:rsidRPr="006C28E7">
        <w:rPr>
          <w:rFonts w:eastAsia="Calibri"/>
          <w:b/>
          <w:bCs/>
          <w:i/>
          <w:iCs/>
          <w:szCs w:val="22"/>
          <w:lang w:eastAsia="en-US"/>
        </w:rPr>
        <w:t>État membre où le port est situé et, le cas échéant, dans une langue utilisée dans le monde entier:</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emplacement des installations de réception portuaires correspondant à chaque poste de mouillage</w:t>
      </w:r>
      <w:r w:rsidRPr="006C28E7">
        <w:rPr>
          <w:rFonts w:eastAsia="Calibri"/>
          <w:b/>
          <w:i/>
          <w:color w:val="000000"/>
          <w:szCs w:val="22"/>
          <w:lang w:eastAsia="en-US"/>
        </w:rPr>
        <w:t xml:space="preserve"> et, le cas échéant, leurs heures d</w:t>
      </w:r>
      <w:r w:rsidR="00D43184">
        <w:rPr>
          <w:rFonts w:eastAsia="Calibri"/>
          <w:b/>
          <w:i/>
          <w:color w:val="000000"/>
          <w:szCs w:val="22"/>
          <w:lang w:eastAsia="en-US"/>
        </w:rPr>
        <w:t>’</w:t>
      </w:r>
      <w:r w:rsidRPr="006C28E7">
        <w:rPr>
          <w:rFonts w:eastAsia="Calibri"/>
          <w:b/>
          <w:i/>
          <w:color w:val="000000"/>
          <w:szCs w:val="22"/>
          <w:lang w:eastAsia="en-US"/>
        </w:rPr>
        <w:t>ouverture</w:t>
      </w:r>
      <w:r w:rsidRPr="006C28E7">
        <w:rPr>
          <w:rFonts w:eastAsia="Calibri"/>
          <w:bCs/>
          <w:iCs/>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b)</w:t>
      </w:r>
      <w:r w:rsidRPr="006C28E7">
        <w:rPr>
          <w:rFonts w:eastAsia="Calibri"/>
          <w:szCs w:val="22"/>
          <w:lang w:eastAsia="en-US"/>
        </w:rPr>
        <w:tab/>
        <w:t>la liste des déchets des navires habituellement gérés par le port;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c)</w:t>
      </w:r>
      <w:r w:rsidRPr="006C28E7">
        <w:rPr>
          <w:rFonts w:eastAsia="Calibri"/>
          <w:szCs w:val="22"/>
          <w:lang w:eastAsia="en-US"/>
        </w:rPr>
        <w:tab/>
        <w:t xml:space="preserve">la liste des points de contact, des exploitants </w:t>
      </w:r>
      <w:r w:rsidRPr="006C28E7">
        <w:rPr>
          <w:rFonts w:eastAsia="Calibri"/>
          <w:b/>
          <w:bCs/>
          <w:i/>
          <w:iCs/>
          <w:szCs w:val="22"/>
          <w:lang w:eastAsia="en-US"/>
        </w:rPr>
        <w:t>de l</w:t>
      </w:r>
      <w:r w:rsidR="00D43184">
        <w:rPr>
          <w:rFonts w:eastAsia="Calibri"/>
          <w:b/>
          <w:bCs/>
          <w:i/>
          <w:iCs/>
          <w:szCs w:val="22"/>
          <w:lang w:eastAsia="en-US"/>
        </w:rPr>
        <w:t>’</w:t>
      </w:r>
      <w:r w:rsidRPr="006C28E7">
        <w:rPr>
          <w:rFonts w:eastAsia="Calibri"/>
          <w:b/>
          <w:bCs/>
          <w:i/>
          <w:iCs/>
          <w:szCs w:val="22"/>
          <w:lang w:eastAsia="en-US"/>
        </w:rPr>
        <w:t>installation de réception portuaire</w:t>
      </w:r>
      <w:r w:rsidRPr="006C28E7">
        <w:rPr>
          <w:rFonts w:eastAsia="Calibri"/>
          <w:szCs w:val="22"/>
          <w:lang w:eastAsia="en-US"/>
        </w:rPr>
        <w:t xml:space="preserve"> et des services proposés;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d)</w:t>
      </w:r>
      <w:r w:rsidRPr="006C28E7">
        <w:rPr>
          <w:rFonts w:eastAsia="Calibri"/>
          <w:szCs w:val="22"/>
          <w:lang w:eastAsia="en-US"/>
        </w:rPr>
        <w:tab/>
        <w:t xml:space="preserve">la description des procédures de dépôt des déchets; </w:t>
      </w: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rFonts w:cs="Symbol"/>
          <w:szCs w:val="22"/>
          <w:lang w:eastAsia="en-US"/>
        </w:rPr>
      </w:pPr>
      <w:r w:rsidRPr="006C28E7">
        <w:rPr>
          <w:rFonts w:eastAsia="Calibri"/>
          <w:szCs w:val="22"/>
          <w:lang w:eastAsia="en-US"/>
        </w:rPr>
        <w:t>e)</w:t>
      </w:r>
      <w:r w:rsidRPr="006C28E7">
        <w:rPr>
          <w:rFonts w:eastAsia="Calibri"/>
          <w:szCs w:val="22"/>
          <w:lang w:eastAsia="en-US"/>
        </w:rPr>
        <w:tab/>
        <w:t xml:space="preserve">la description des systèmes de recouvrement des coûts, </w:t>
      </w:r>
      <w:r w:rsidRPr="006C28E7">
        <w:rPr>
          <w:rFonts w:eastAsia="Calibri"/>
          <w:b/>
          <w:bCs/>
          <w:i/>
          <w:iCs/>
          <w:szCs w:val="22"/>
          <w:lang w:eastAsia="en-US"/>
        </w:rPr>
        <w:t>y compris les systèmes et fonds de gestion des déchets tels qu</w:t>
      </w:r>
      <w:r w:rsidR="00D43184">
        <w:rPr>
          <w:rFonts w:eastAsia="Calibri"/>
          <w:b/>
          <w:bCs/>
          <w:i/>
          <w:iCs/>
          <w:szCs w:val="22"/>
          <w:lang w:eastAsia="en-US"/>
        </w:rPr>
        <w:t>’</w:t>
      </w:r>
      <w:r w:rsidRPr="006C28E7">
        <w:rPr>
          <w:rFonts w:eastAsia="Calibri"/>
          <w:b/>
          <w:bCs/>
          <w:i/>
          <w:iCs/>
          <w:szCs w:val="22"/>
          <w:lang w:eastAsia="en-US"/>
        </w:rPr>
        <w:t>ils sont visés à l</w:t>
      </w:r>
      <w:r w:rsidR="00D43184">
        <w:rPr>
          <w:rFonts w:eastAsia="Calibri"/>
          <w:b/>
          <w:bCs/>
          <w:i/>
          <w:iCs/>
          <w:szCs w:val="22"/>
          <w:lang w:eastAsia="en-US"/>
        </w:rPr>
        <w:t>’</w:t>
      </w:r>
      <w:r w:rsidRPr="006C28E7">
        <w:rPr>
          <w:rFonts w:eastAsia="Calibri"/>
          <w:b/>
          <w:bCs/>
          <w:i/>
          <w:iCs/>
          <w:szCs w:val="22"/>
          <w:lang w:eastAsia="en-US"/>
        </w:rPr>
        <w:t>annexe 4, le cas échéant.</w:t>
      </w:r>
    </w:p>
    <w:p w:rsidR="009C7E1C" w:rsidRPr="006C28E7" w:rsidRDefault="009C7E1C" w:rsidP="009C7E1C">
      <w:pPr>
        <w:widowControl/>
        <w:autoSpaceDE w:val="0"/>
        <w:autoSpaceDN w:val="0"/>
        <w:adjustRightInd w:val="0"/>
        <w:spacing w:line="360" w:lineRule="auto"/>
        <w:ind w:left="1417"/>
        <w:jc w:val="both"/>
        <w:rPr>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szCs w:val="22"/>
          <w:lang w:eastAsia="en-US"/>
        </w:rPr>
        <w:t xml:space="preserve">Les informations mentionnées au premier alinéa du présent paragraphe sont également </w:t>
      </w:r>
      <w:r w:rsidRPr="006C28E7">
        <w:rPr>
          <w:rFonts w:eastAsia="Calibri"/>
          <w:b/>
          <w:bCs/>
          <w:i/>
          <w:iCs/>
          <w:szCs w:val="22"/>
          <w:lang w:eastAsia="en-US"/>
        </w:rPr>
        <w:t>rendues accessibles</w:t>
      </w:r>
      <w:r w:rsidRPr="006C28E7">
        <w:rPr>
          <w:rFonts w:eastAsia="Calibri"/>
          <w:szCs w:val="22"/>
          <w:lang w:eastAsia="en-US"/>
        </w:rPr>
        <w:t xml:space="preserve"> par voie électronique et </w:t>
      </w:r>
      <w:r w:rsidRPr="006C28E7">
        <w:rPr>
          <w:rFonts w:eastAsia="Calibri"/>
          <w:b/>
          <w:bCs/>
          <w:i/>
          <w:iCs/>
          <w:szCs w:val="22"/>
          <w:lang w:eastAsia="en-US"/>
        </w:rPr>
        <w:t>mises à jour</w:t>
      </w:r>
      <w:r w:rsidRPr="006C28E7">
        <w:rPr>
          <w:rFonts w:eastAsia="Calibri"/>
          <w:szCs w:val="22"/>
          <w:lang w:eastAsia="en-US"/>
        </w:rPr>
        <w:t xml:space="preserve"> dans la partie du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application visée à l</w:t>
      </w:r>
      <w:r w:rsidR="00D43184">
        <w:rPr>
          <w:rFonts w:eastAsia="Calibri"/>
          <w:szCs w:val="22"/>
          <w:lang w:eastAsia="en-US"/>
        </w:rPr>
        <w:t>’</w:t>
      </w:r>
      <w:r w:rsidRPr="006C28E7">
        <w:rPr>
          <w:rFonts w:eastAsia="Calibri"/>
          <w:szCs w:val="22"/>
          <w:lang w:eastAsia="en-US"/>
        </w:rPr>
        <w:t>article 13.</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Lorsque cela s</w:t>
      </w:r>
      <w:r w:rsidR="00D43184">
        <w:rPr>
          <w:rFonts w:eastAsia="Calibri"/>
          <w:szCs w:val="22"/>
          <w:lang w:eastAsia="en-US"/>
        </w:rPr>
        <w:t>’</w:t>
      </w:r>
      <w:r w:rsidRPr="006C28E7">
        <w:rPr>
          <w:rFonts w:eastAsia="Calibri"/>
          <w:szCs w:val="22"/>
          <w:lang w:eastAsia="en-US"/>
        </w:rPr>
        <w:t>impose pour des raisons d</w:t>
      </w:r>
      <w:r w:rsidR="00D43184">
        <w:rPr>
          <w:rFonts w:eastAsia="Calibri"/>
          <w:szCs w:val="22"/>
          <w:lang w:eastAsia="en-US"/>
        </w:rPr>
        <w:t>’</w:t>
      </w:r>
      <w:r w:rsidRPr="006C28E7">
        <w:rPr>
          <w:rFonts w:eastAsia="Calibri"/>
          <w:szCs w:val="22"/>
          <w:lang w:eastAsia="en-US"/>
        </w:rPr>
        <w:t xml:space="preserve">efficacité, les plans de réception et de traitement des déchets peuvent être élaborés conjointement par deux ports voisins ou plus dans la même région </w:t>
      </w:r>
      <w:r w:rsidRPr="006C28E7">
        <w:rPr>
          <w:rFonts w:eastAsia="Calibri"/>
          <w:b/>
          <w:bCs/>
          <w:i/>
          <w:iCs/>
          <w:szCs w:val="22"/>
          <w:lang w:eastAsia="en-US"/>
        </w:rPr>
        <w:t>géographique</w:t>
      </w:r>
      <w:r w:rsidRPr="006C28E7">
        <w:rPr>
          <w:rFonts w:eastAsia="Calibri"/>
          <w:szCs w:val="22"/>
          <w:lang w:eastAsia="en-US"/>
        </w:rPr>
        <w:t>, chaque port y étant associé comme il se doit, pour autant qu</w:t>
      </w:r>
      <w:r w:rsidR="00D43184">
        <w:rPr>
          <w:rFonts w:eastAsia="Calibri"/>
          <w:szCs w:val="22"/>
          <w:lang w:eastAsia="en-US"/>
        </w:rPr>
        <w:t>’</w:t>
      </w:r>
      <w:r w:rsidRPr="006C28E7">
        <w:rPr>
          <w:rFonts w:eastAsia="Calibri"/>
          <w:szCs w:val="22"/>
          <w:lang w:eastAsia="en-US"/>
        </w:rPr>
        <w:t xml:space="preserve">y soient précisés, pour chacun des ports, les besoins en installations de réception </w:t>
      </w:r>
      <w:r w:rsidRPr="006C28E7">
        <w:rPr>
          <w:rFonts w:eastAsia="Calibri"/>
          <w:b/>
          <w:bCs/>
          <w:i/>
          <w:iCs/>
          <w:szCs w:val="22"/>
          <w:lang w:eastAsia="en-US"/>
        </w:rPr>
        <w:t>portuaires</w:t>
      </w:r>
      <w:r w:rsidRPr="006C28E7">
        <w:rPr>
          <w:rFonts w:eastAsia="Calibri"/>
          <w:szCs w:val="22"/>
          <w:lang w:eastAsia="en-US"/>
        </w:rPr>
        <w:t xml:space="preserve"> et la disponibilité de telles installations.</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4.</w:t>
      </w:r>
      <w:r w:rsidRPr="006C28E7">
        <w:rPr>
          <w:rFonts w:eastAsia="Calibri"/>
          <w:szCs w:val="22"/>
          <w:lang w:eastAsia="en-US"/>
        </w:rPr>
        <w:tab/>
        <w:t xml:space="preserve">Les États membres évaluent et approuvent le plan de réception et de traitement des déchets ▌et veillent à le soumettre à une nouvelle approbation au moins tous les </w:t>
      </w:r>
      <w:r w:rsidRPr="006C28E7">
        <w:rPr>
          <w:rFonts w:eastAsia="Calibri"/>
          <w:b/>
          <w:bCs/>
          <w:i/>
          <w:iCs/>
          <w:szCs w:val="22"/>
          <w:lang w:eastAsia="en-US"/>
        </w:rPr>
        <w:t>cinq</w:t>
      </w:r>
      <w:r w:rsidRPr="006C28E7">
        <w:rPr>
          <w:rFonts w:eastAsia="Calibri"/>
          <w:szCs w:val="22"/>
          <w:lang w:eastAsia="en-US"/>
        </w:rPr>
        <w:t xml:space="preserve"> ans après qu</w:t>
      </w:r>
      <w:r w:rsidR="00D43184">
        <w:rPr>
          <w:rFonts w:eastAsia="Calibri"/>
          <w:szCs w:val="22"/>
          <w:lang w:eastAsia="en-US"/>
        </w:rPr>
        <w:t>’</w:t>
      </w:r>
      <w:r w:rsidRPr="006C28E7">
        <w:rPr>
          <w:rFonts w:eastAsia="Calibri"/>
          <w:szCs w:val="22"/>
          <w:lang w:eastAsia="en-US"/>
        </w:rPr>
        <w:t>il a été approuvé ou nouvellement approuvé et après toute modification importante de l</w:t>
      </w:r>
      <w:r w:rsidR="00D43184">
        <w:rPr>
          <w:rFonts w:eastAsia="Calibri"/>
          <w:szCs w:val="22"/>
          <w:lang w:eastAsia="en-US"/>
        </w:rPr>
        <w:t>’</w:t>
      </w:r>
      <w:r w:rsidRPr="006C28E7">
        <w:rPr>
          <w:rFonts w:eastAsia="Calibri"/>
          <w:szCs w:val="22"/>
          <w:lang w:eastAsia="en-US"/>
        </w:rPr>
        <w:t>exploitation du port. Ces modifications peuvent notamment comprendre des changements structurels dans le trafic du port, la création de nouvelles infrastructures, des changements dans la demande et l</w:t>
      </w:r>
      <w:r w:rsidR="00D43184">
        <w:rPr>
          <w:rFonts w:eastAsia="Calibri"/>
          <w:szCs w:val="22"/>
          <w:lang w:eastAsia="en-US"/>
        </w:rPr>
        <w:t>’</w:t>
      </w:r>
      <w:r w:rsidRPr="006C28E7">
        <w:rPr>
          <w:rFonts w:eastAsia="Calibri"/>
          <w:szCs w:val="22"/>
          <w:lang w:eastAsia="en-US"/>
        </w:rPr>
        <w:t>offre d</w:t>
      </w:r>
      <w:r w:rsidR="00D43184">
        <w:rPr>
          <w:rFonts w:eastAsia="Calibri"/>
          <w:szCs w:val="22"/>
          <w:lang w:eastAsia="en-US"/>
        </w:rPr>
        <w:t>’</w:t>
      </w:r>
      <w:r w:rsidRPr="006C28E7">
        <w:rPr>
          <w:rFonts w:eastAsia="Calibri"/>
          <w:szCs w:val="22"/>
          <w:lang w:eastAsia="en-US"/>
        </w:rPr>
        <w:t>installations de réception portuaires et de nouvelles techniques de traitement à bord.</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ab/>
        <w:t>Les États membres contrôlent la mise en œuvre par le port du plan de réception et de traitement des déchets. Si aucune modification significative n</w:t>
      </w:r>
      <w:r w:rsidR="00D43184">
        <w:rPr>
          <w:rFonts w:eastAsia="Calibri"/>
          <w:b/>
          <w:i/>
          <w:color w:val="000000"/>
          <w:szCs w:val="22"/>
          <w:lang w:eastAsia="en-US"/>
        </w:rPr>
        <w:t>’</w:t>
      </w:r>
      <w:r w:rsidRPr="006C28E7">
        <w:rPr>
          <w:rFonts w:eastAsia="Calibri"/>
          <w:b/>
          <w:i/>
          <w:color w:val="000000"/>
          <w:szCs w:val="22"/>
          <w:lang w:eastAsia="en-US"/>
        </w:rPr>
        <w:t>est intervenue au cours de la période de cinq ans mentionnée au premier alinéa, la nouvelle approbation peut consister en la validation de plans existants.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5.</w:t>
      </w:r>
      <w:r w:rsidRPr="006C28E7">
        <w:rPr>
          <w:rFonts w:eastAsia="Calibri"/>
          <w:b/>
          <w:i/>
          <w:color w:val="000000"/>
          <w:szCs w:val="22"/>
          <w:lang w:eastAsia="en-US"/>
        </w:rPr>
        <w:tab/>
        <w:t>Les petits ports non commerciaux, qui se caractérisent par un trafic très faible ou faible de bateaux de plaisance uniquement, peuvent être exemptés des paragraphes 1 à 4 si leurs installations de réception portuaires sont intégrées dans le système de traitement des déchets géré par ou pour le compte de la municipalité compétente, et si les États membres qui abritent de tels ports veillent à ce que les informations concernant le système de gestion des déchets soient mises à la disposition des utilisateurs de ces ports.</w:t>
      </w:r>
    </w:p>
    <w:p w:rsidR="009C7E1C" w:rsidRPr="006C28E7" w:rsidRDefault="009C7E1C" w:rsidP="009C7E1C">
      <w:pPr>
        <w:widowControl/>
        <w:autoSpaceDE w:val="0"/>
        <w:autoSpaceDN w:val="0"/>
        <w:adjustRightInd w:val="0"/>
        <w:spacing w:before="120" w:after="120" w:line="360" w:lineRule="auto"/>
        <w:ind w:left="567" w:hanging="567"/>
        <w:rPr>
          <w:b/>
          <w:szCs w:val="22"/>
          <w:u w:val="single"/>
          <w:lang w:eastAsia="en-US"/>
        </w:rPr>
      </w:pPr>
      <w:r w:rsidRPr="006C28E7">
        <w:rPr>
          <w:rFonts w:eastAsia="Calibri"/>
          <w:b/>
          <w:i/>
          <w:color w:val="000000"/>
          <w:szCs w:val="22"/>
          <w:lang w:eastAsia="en-US"/>
        </w:rPr>
        <w:tab/>
        <w:t>Les États membres qui abritent de tels ports en communiquent le nom et la localisation par voie électronique dans la partie du système d</w:t>
      </w:r>
      <w:r w:rsidR="00D43184">
        <w:rPr>
          <w:rFonts w:eastAsia="Calibri"/>
          <w:b/>
          <w:i/>
          <w:color w:val="000000"/>
          <w:szCs w:val="22"/>
          <w:lang w:eastAsia="en-US"/>
        </w:rPr>
        <w:t>’</w:t>
      </w:r>
      <w:r w:rsidRPr="006C28E7">
        <w:rPr>
          <w:rFonts w:eastAsia="Calibri"/>
          <w:b/>
          <w:i/>
          <w:color w:val="000000"/>
          <w:szCs w:val="22"/>
          <w:lang w:eastAsia="en-US"/>
        </w:rPr>
        <w:t>information, de suivi et de contrôle de l</w:t>
      </w:r>
      <w:r w:rsidR="00D43184">
        <w:rPr>
          <w:rFonts w:eastAsia="Calibri"/>
          <w:b/>
          <w:i/>
          <w:color w:val="000000"/>
          <w:szCs w:val="22"/>
          <w:lang w:eastAsia="en-US"/>
        </w:rPr>
        <w:t>’</w:t>
      </w:r>
      <w:r w:rsidRPr="006C28E7">
        <w:rPr>
          <w:rFonts w:eastAsia="Calibri"/>
          <w:b/>
          <w:i/>
          <w:color w:val="000000"/>
          <w:szCs w:val="22"/>
          <w:lang w:eastAsia="en-US"/>
        </w:rPr>
        <w:t>application visée à l</w:t>
      </w:r>
      <w:r w:rsidR="00D43184">
        <w:rPr>
          <w:rFonts w:eastAsia="Calibri"/>
          <w:b/>
          <w:i/>
          <w:color w:val="000000"/>
          <w:szCs w:val="22"/>
          <w:lang w:eastAsia="en-US"/>
        </w:rPr>
        <w:t>’</w:t>
      </w:r>
      <w:r w:rsidRPr="006C28E7">
        <w:rPr>
          <w:rFonts w:eastAsia="Calibri"/>
          <w:b/>
          <w:i/>
          <w:color w:val="000000"/>
          <w:szCs w:val="22"/>
          <w:lang w:eastAsia="en-US"/>
        </w:rPr>
        <w:t>article 13.</w:t>
      </w:r>
    </w:p>
    <w:p w:rsidR="009C7E1C" w:rsidRPr="006C28E7" w:rsidRDefault="009C7E1C" w:rsidP="009C7E1C">
      <w:pPr>
        <w:widowControl/>
        <w:autoSpaceDE w:val="0"/>
        <w:autoSpaceDN w:val="0"/>
        <w:adjustRightInd w:val="0"/>
        <w:spacing w:before="120" w:after="120" w:line="360" w:lineRule="auto"/>
        <w:jc w:val="center"/>
        <w:rPr>
          <w:b/>
          <w:bCs/>
          <w:i/>
          <w:iCs/>
          <w:szCs w:val="22"/>
          <w:lang w:eastAsia="en-US"/>
        </w:rPr>
      </w:pPr>
      <w:r w:rsidRPr="006C28E7">
        <w:rPr>
          <w:rFonts w:eastAsia="Calibri"/>
          <w:szCs w:val="22"/>
          <w:lang w:eastAsia="en-US"/>
        </w:rPr>
        <w:br w:type="page"/>
      </w:r>
      <w:r w:rsidRPr="006C28E7">
        <w:rPr>
          <w:rFonts w:eastAsia="Calibri"/>
          <w:bCs/>
          <w:iCs/>
          <w:color w:val="000000"/>
          <w:szCs w:val="22"/>
          <w:lang w:eastAsia="en-US"/>
        </w:rPr>
        <w:t>PARTIE 3</w:t>
      </w:r>
      <w:r w:rsidRPr="006C28E7">
        <w:rPr>
          <w:rFonts w:eastAsia="Calibri"/>
          <w:bCs/>
          <w:iCs/>
          <w:color w:val="000000"/>
          <w:szCs w:val="22"/>
          <w:lang w:eastAsia="en-US"/>
        </w:rPr>
        <w:br/>
        <w:t>DÉPÔT DES DÉCHETS DES NAVIRES</w:t>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i/>
          <w:szCs w:val="22"/>
          <w:lang w:eastAsia="en-US"/>
        </w:rPr>
        <w:t>Article 6</w:t>
      </w:r>
      <w:r w:rsidRPr="006C28E7">
        <w:rPr>
          <w:rFonts w:eastAsia="Calibri"/>
          <w:szCs w:val="22"/>
          <w:lang w:eastAsia="en-US"/>
        </w:rPr>
        <w:br/>
      </w:r>
      <w:r w:rsidRPr="006C28E7">
        <w:rPr>
          <w:rFonts w:eastAsia="Calibri"/>
          <w:i/>
          <w:iCs/>
          <w:szCs w:val="22"/>
          <w:lang w:eastAsia="en-US"/>
        </w:rPr>
        <w:t>Notification préalable des déchets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exploitant, l</w:t>
      </w:r>
      <w:r w:rsidR="00D43184">
        <w:rPr>
          <w:rFonts w:eastAsia="Calibri"/>
          <w:szCs w:val="22"/>
          <w:lang w:eastAsia="en-US"/>
        </w:rPr>
        <w:t>’</w:t>
      </w:r>
      <w:r w:rsidRPr="006C28E7">
        <w:rPr>
          <w:rFonts w:eastAsia="Calibri"/>
          <w:szCs w:val="22"/>
          <w:lang w:eastAsia="en-US"/>
        </w:rPr>
        <w:t>agent ou le capitaine d</w:t>
      </w:r>
      <w:r w:rsidR="00D43184">
        <w:rPr>
          <w:rFonts w:eastAsia="Calibri"/>
          <w:szCs w:val="22"/>
          <w:lang w:eastAsia="en-US"/>
        </w:rPr>
        <w:t>’</w:t>
      </w:r>
      <w:r w:rsidRPr="006C28E7">
        <w:rPr>
          <w:rFonts w:eastAsia="Calibri"/>
          <w:szCs w:val="22"/>
          <w:lang w:eastAsia="en-US"/>
        </w:rPr>
        <w:t>un navire relevant du champ d</w:t>
      </w:r>
      <w:r w:rsidR="00D43184">
        <w:rPr>
          <w:rFonts w:eastAsia="Calibri"/>
          <w:szCs w:val="22"/>
          <w:lang w:eastAsia="en-US"/>
        </w:rPr>
        <w:t>’</w:t>
      </w:r>
      <w:r w:rsidRPr="006C28E7">
        <w:rPr>
          <w:rFonts w:eastAsia="Calibri"/>
          <w:szCs w:val="22"/>
          <w:lang w:eastAsia="en-US"/>
        </w:rPr>
        <w:t>application de la directive 2002/59/CE ▌qui fait route vers un port de l</w:t>
      </w:r>
      <w:r w:rsidR="00D43184">
        <w:rPr>
          <w:rFonts w:eastAsia="Calibri"/>
          <w:szCs w:val="22"/>
          <w:lang w:eastAsia="en-US"/>
        </w:rPr>
        <w:t>’</w:t>
      </w:r>
      <w:r w:rsidRPr="006C28E7">
        <w:rPr>
          <w:rFonts w:eastAsia="Calibri"/>
          <w:b/>
          <w:bCs/>
          <w:i/>
          <w:iCs/>
          <w:szCs w:val="22"/>
          <w:lang w:eastAsia="en-US"/>
        </w:rPr>
        <w:t>Union</w:t>
      </w:r>
      <w:r w:rsidRPr="006C28E7">
        <w:rPr>
          <w:rFonts w:eastAsia="Calibri"/>
          <w:szCs w:val="22"/>
          <w:lang w:eastAsia="en-US"/>
        </w:rPr>
        <w:t xml:space="preserve"> remplit </w:t>
      </w:r>
      <w:r w:rsidRPr="006C28E7">
        <w:rPr>
          <w:rFonts w:eastAsia="Calibri"/>
          <w:b/>
          <w:bCs/>
          <w:i/>
          <w:iCs/>
          <w:szCs w:val="22"/>
          <w:lang w:eastAsia="en-US"/>
        </w:rPr>
        <w:t>fidèlement et</w:t>
      </w:r>
      <w:r w:rsidRPr="006C28E7">
        <w:rPr>
          <w:rFonts w:eastAsia="Calibri"/>
          <w:szCs w:val="22"/>
          <w:lang w:eastAsia="en-US"/>
        </w:rPr>
        <w:t xml:space="preserve"> minutieusement le formulaire </w:t>
      </w:r>
      <w:r w:rsidRPr="006C28E7">
        <w:rPr>
          <w:rFonts w:eastAsia="Calibri"/>
          <w:b/>
          <w:bCs/>
          <w:i/>
          <w:iCs/>
          <w:szCs w:val="22"/>
          <w:lang w:eastAsia="en-US"/>
        </w:rPr>
        <w:t>figurant</w:t>
      </w:r>
      <w:r w:rsidRPr="006C28E7">
        <w:rPr>
          <w:rFonts w:eastAsia="Calibri"/>
          <w:szCs w:val="22"/>
          <w:lang w:eastAsia="en-US"/>
        </w:rPr>
        <w:t xml:space="preserve"> à l</w:t>
      </w:r>
      <w:r w:rsidR="00D43184">
        <w:rPr>
          <w:rFonts w:eastAsia="Calibri"/>
          <w:szCs w:val="22"/>
          <w:lang w:eastAsia="en-US"/>
        </w:rPr>
        <w:t>’</w:t>
      </w:r>
      <w:r w:rsidRPr="006C28E7">
        <w:rPr>
          <w:rFonts w:eastAsia="Calibri"/>
          <w:szCs w:val="22"/>
          <w:lang w:eastAsia="en-US"/>
        </w:rPr>
        <w:t xml:space="preserve">annexe 2 </w:t>
      </w:r>
      <w:r w:rsidRPr="006C28E7">
        <w:rPr>
          <w:rFonts w:eastAsia="Calibri"/>
          <w:b/>
          <w:bCs/>
          <w:i/>
          <w:iCs/>
          <w:szCs w:val="22"/>
          <w:lang w:eastAsia="en-US"/>
        </w:rPr>
        <w:t>de la présente directive</w:t>
      </w:r>
      <w:r w:rsidRPr="006C28E7">
        <w:rPr>
          <w:rFonts w:eastAsia="Calibri"/>
          <w:szCs w:val="22"/>
          <w:lang w:eastAsia="en-US"/>
        </w:rPr>
        <w:t xml:space="preserve"> (ci-après dénommé "notification préalable des déchets") et communique toutes les informations que celle-ci contient à l</w:t>
      </w:r>
      <w:r w:rsidR="00D43184">
        <w:rPr>
          <w:rFonts w:eastAsia="Calibri"/>
          <w:szCs w:val="22"/>
          <w:lang w:eastAsia="en-US"/>
        </w:rPr>
        <w:t>’</w:t>
      </w:r>
      <w:r w:rsidRPr="006C28E7">
        <w:rPr>
          <w:rFonts w:eastAsia="Calibri"/>
          <w:szCs w:val="22"/>
          <w:lang w:eastAsia="en-US"/>
        </w:rPr>
        <w:t>autorité ou à l</w:t>
      </w:r>
      <w:r w:rsidR="00D43184">
        <w:rPr>
          <w:rFonts w:eastAsia="Calibri"/>
          <w:szCs w:val="22"/>
          <w:lang w:eastAsia="en-US"/>
        </w:rPr>
        <w:t>’</w:t>
      </w:r>
      <w:r w:rsidRPr="006C28E7">
        <w:rPr>
          <w:rFonts w:eastAsia="Calibri"/>
          <w:szCs w:val="22"/>
          <w:lang w:eastAsia="en-US"/>
        </w:rPr>
        <w:t>organisme désigné à cet effet par l</w:t>
      </w:r>
      <w:r w:rsidR="00D43184">
        <w:rPr>
          <w:rFonts w:eastAsia="Calibri"/>
          <w:szCs w:val="22"/>
          <w:lang w:eastAsia="en-US"/>
        </w:rPr>
        <w:t>’</w:t>
      </w:r>
      <w:r w:rsidRPr="006C28E7">
        <w:rPr>
          <w:rFonts w:eastAsia="Calibri"/>
          <w:szCs w:val="22"/>
          <w:lang w:eastAsia="en-US"/>
        </w:rPr>
        <w:t>État membre dans lequel ce port est situé:</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au moins vingt-quatre heures avant l</w:t>
      </w:r>
      <w:r w:rsidR="00D43184">
        <w:rPr>
          <w:rFonts w:eastAsia="Calibri"/>
          <w:szCs w:val="22"/>
          <w:lang w:eastAsia="en-US"/>
        </w:rPr>
        <w:t>’</w:t>
      </w:r>
      <w:r w:rsidRPr="006C28E7">
        <w:rPr>
          <w:rFonts w:eastAsia="Calibri"/>
          <w:szCs w:val="22"/>
          <w:lang w:eastAsia="en-US"/>
        </w:rPr>
        <w:t>arrivée, si le port d</w:t>
      </w:r>
      <w:r w:rsidR="00D43184">
        <w:rPr>
          <w:rFonts w:eastAsia="Calibri"/>
          <w:szCs w:val="22"/>
          <w:lang w:eastAsia="en-US"/>
        </w:rPr>
        <w:t>’</w:t>
      </w:r>
      <w:r w:rsidRPr="006C28E7">
        <w:rPr>
          <w:rFonts w:eastAsia="Calibri"/>
          <w:szCs w:val="22"/>
          <w:lang w:eastAsia="en-US"/>
        </w:rPr>
        <w:t>escale est connu;</w:t>
      </w: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b)</w:t>
      </w:r>
      <w:r w:rsidRPr="006C28E7">
        <w:rPr>
          <w:rFonts w:eastAsia="Calibri"/>
          <w:szCs w:val="22"/>
          <w:lang w:eastAsia="en-US"/>
        </w:rPr>
        <w:tab/>
        <w:t>dès que le port d</w:t>
      </w:r>
      <w:r w:rsidR="00D43184">
        <w:rPr>
          <w:rFonts w:eastAsia="Calibri"/>
          <w:szCs w:val="22"/>
          <w:lang w:eastAsia="en-US"/>
        </w:rPr>
        <w:t>’</w:t>
      </w:r>
      <w:r w:rsidRPr="006C28E7">
        <w:rPr>
          <w:rFonts w:eastAsia="Calibri"/>
          <w:szCs w:val="22"/>
          <w:lang w:eastAsia="en-US"/>
        </w:rPr>
        <w:t>escale est connu, si ces informations sont disponibles moins de vingt</w:t>
      </w:r>
      <w:r w:rsidRPr="006C28E7">
        <w:rPr>
          <w:rFonts w:eastAsia="Calibri"/>
          <w:szCs w:val="22"/>
          <w:lang w:eastAsia="en-US"/>
        </w:rPr>
        <w:noBreakHyphen/>
        <w:t>quatre heures avant l</w:t>
      </w:r>
      <w:r w:rsidR="00D43184">
        <w:rPr>
          <w:rFonts w:eastAsia="Calibri"/>
          <w:szCs w:val="22"/>
          <w:lang w:eastAsia="en-US"/>
        </w:rPr>
        <w:t>’</w:t>
      </w:r>
      <w:r w:rsidRPr="006C28E7">
        <w:rPr>
          <w:rFonts w:eastAsia="Calibri"/>
          <w:szCs w:val="22"/>
          <w:lang w:eastAsia="en-US"/>
        </w:rPr>
        <w:t>arrivée;</w:t>
      </w:r>
      <w:r w:rsidRPr="006C28E7">
        <w:rPr>
          <w:rFonts w:eastAsia="Calibri"/>
          <w:b/>
          <w:i/>
          <w:color w:val="000000"/>
          <w:szCs w:val="22"/>
          <w:lang w:eastAsia="en-US"/>
        </w:rPr>
        <w:t xml:space="preserve"> ou</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c)</w:t>
      </w:r>
      <w:r w:rsidRPr="006C28E7">
        <w:rPr>
          <w:rFonts w:eastAsia="Calibri"/>
          <w:szCs w:val="22"/>
          <w:lang w:eastAsia="en-US"/>
        </w:rPr>
        <w:tab/>
        <w:t>au plus tard au moment où le navire quitte le port précédent, si la durée du voyage est inférieure à vingt-quatre heures.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Les informations figurant sur la notification préalable des déchets sont communiquées par voie électronique pour être consignées dans la partie du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application visée à l</w:t>
      </w:r>
      <w:r w:rsidR="00D43184">
        <w:rPr>
          <w:rFonts w:eastAsia="Calibri"/>
          <w:szCs w:val="22"/>
          <w:lang w:eastAsia="en-US"/>
        </w:rPr>
        <w:t>’</w:t>
      </w:r>
      <w:r w:rsidRPr="006C28E7">
        <w:rPr>
          <w:rFonts w:eastAsia="Calibri"/>
          <w:szCs w:val="22"/>
          <w:lang w:eastAsia="en-US"/>
        </w:rPr>
        <w:t xml:space="preserve">article 13 de la présente directive, conformément aux directives </w:t>
      </w:r>
      <w:r w:rsidRPr="006C28E7">
        <w:rPr>
          <w:rFonts w:eastAsia="Calibri"/>
          <w:b/>
          <w:bCs/>
          <w:i/>
          <w:iCs/>
          <w:szCs w:val="22"/>
          <w:lang w:eastAsia="en-US"/>
        </w:rPr>
        <w:t>2002/59/CE</w:t>
      </w:r>
      <w:r w:rsidRPr="006C28E7">
        <w:rPr>
          <w:rFonts w:eastAsia="Calibri"/>
          <w:szCs w:val="22"/>
          <w:lang w:eastAsia="en-US"/>
        </w:rPr>
        <w:t xml:space="preserve"> et </w:t>
      </w:r>
      <w:r w:rsidRPr="006C28E7">
        <w:rPr>
          <w:rFonts w:eastAsia="Calibri"/>
          <w:b/>
          <w:bCs/>
          <w:i/>
          <w:iCs/>
          <w:szCs w:val="22"/>
          <w:lang w:eastAsia="en-US"/>
        </w:rPr>
        <w:t>2010/65/UE</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 xml:space="preserve">Les informations figurant sur la notification préalable des déchets sont </w:t>
      </w:r>
      <w:r w:rsidRPr="006C28E7">
        <w:rPr>
          <w:rFonts w:eastAsia="Calibri"/>
          <w:b/>
          <w:bCs/>
          <w:i/>
          <w:iCs/>
          <w:szCs w:val="22"/>
          <w:lang w:eastAsia="en-US"/>
        </w:rPr>
        <w:t>disponibles</w:t>
      </w:r>
      <w:r w:rsidRPr="006C28E7">
        <w:rPr>
          <w:rFonts w:eastAsia="Calibri"/>
          <w:szCs w:val="22"/>
          <w:lang w:eastAsia="en-US"/>
        </w:rPr>
        <w:t xml:space="preserve"> à bord, </w:t>
      </w:r>
      <w:r w:rsidRPr="006C28E7">
        <w:rPr>
          <w:rFonts w:eastAsia="Calibri"/>
          <w:b/>
          <w:bCs/>
          <w:i/>
          <w:iCs/>
          <w:szCs w:val="22"/>
          <w:lang w:eastAsia="en-US"/>
        </w:rPr>
        <w:t>de préférence sous forme électronique</w:t>
      </w:r>
      <w:r w:rsidRPr="006C28E7">
        <w:rPr>
          <w:rFonts w:eastAsia="Calibri"/>
          <w:szCs w:val="22"/>
          <w:lang w:eastAsia="en-US"/>
        </w:rPr>
        <w:t>, au moins jusqu</w:t>
      </w:r>
      <w:r w:rsidR="00D43184">
        <w:rPr>
          <w:rFonts w:eastAsia="Calibri"/>
          <w:szCs w:val="22"/>
          <w:lang w:eastAsia="en-US"/>
        </w:rPr>
        <w:t>’</w:t>
      </w:r>
      <w:r w:rsidRPr="006C28E7">
        <w:rPr>
          <w:rFonts w:eastAsia="Calibri"/>
          <w:szCs w:val="22"/>
          <w:lang w:eastAsia="en-US"/>
        </w:rPr>
        <w:t>au port d</w:t>
      </w:r>
      <w:r w:rsidR="00D43184">
        <w:rPr>
          <w:rFonts w:eastAsia="Calibri"/>
          <w:szCs w:val="22"/>
          <w:lang w:eastAsia="en-US"/>
        </w:rPr>
        <w:t>’</w:t>
      </w:r>
      <w:r w:rsidRPr="006C28E7">
        <w:rPr>
          <w:rFonts w:eastAsia="Calibri"/>
          <w:szCs w:val="22"/>
          <w:lang w:eastAsia="en-US"/>
        </w:rPr>
        <w:t>escale suivant, et sont mises à la disposition des autorités compétentes des États membres qui en font la demande.</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4.</w:t>
      </w:r>
      <w:r w:rsidRPr="006C28E7">
        <w:rPr>
          <w:rFonts w:eastAsia="Calibri"/>
          <w:szCs w:val="22"/>
          <w:lang w:eastAsia="en-US"/>
        </w:rPr>
        <w:tab/>
        <w:t>Les États membres veillent à ce que les informations qui sont communiquées en vertu du présent article soient ▌ examinées et partagées avec les autorités chargées du contrôle de l</w:t>
      </w:r>
      <w:r w:rsidR="00D43184">
        <w:rPr>
          <w:rFonts w:eastAsia="Calibri"/>
          <w:szCs w:val="22"/>
          <w:lang w:eastAsia="en-US"/>
        </w:rPr>
        <w:t>’</w:t>
      </w:r>
      <w:r w:rsidRPr="006C28E7">
        <w:rPr>
          <w:rFonts w:eastAsia="Calibri"/>
          <w:szCs w:val="22"/>
          <w:lang w:eastAsia="en-US"/>
        </w:rPr>
        <w:t>application sans retard.</w:t>
      </w: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szCs w:val="22"/>
          <w:lang w:eastAsia="en-US"/>
        </w:rPr>
        <w:br w:type="page"/>
      </w:r>
      <w:r w:rsidRPr="006C28E7">
        <w:rPr>
          <w:rFonts w:eastAsia="Calibri"/>
          <w:i/>
          <w:szCs w:val="22"/>
          <w:lang w:eastAsia="en-US"/>
        </w:rPr>
        <w:t>Article 7</w:t>
      </w:r>
      <w:r w:rsidRPr="006C28E7">
        <w:rPr>
          <w:rFonts w:eastAsia="Calibri"/>
          <w:szCs w:val="22"/>
          <w:lang w:eastAsia="en-US"/>
        </w:rPr>
        <w:br/>
      </w:r>
      <w:r w:rsidRPr="006C28E7">
        <w:rPr>
          <w:rFonts w:eastAsia="Calibri"/>
          <w:i/>
          <w:iCs/>
          <w:szCs w:val="22"/>
          <w:lang w:eastAsia="en-US"/>
        </w:rPr>
        <w:t>Dépôt des déchets des navires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Avant de quitter un port de l</w:t>
      </w:r>
      <w:r w:rsidR="00D43184">
        <w:rPr>
          <w:rFonts w:eastAsia="Calibri"/>
          <w:szCs w:val="22"/>
          <w:lang w:eastAsia="en-US"/>
        </w:rPr>
        <w:t>’</w:t>
      </w:r>
      <w:r w:rsidRPr="006C28E7">
        <w:rPr>
          <w:rFonts w:eastAsia="Calibri"/>
          <w:szCs w:val="22"/>
          <w:lang w:eastAsia="en-US"/>
        </w:rPr>
        <w:t>Union, le capitaine d</w:t>
      </w:r>
      <w:r w:rsidR="00D43184">
        <w:rPr>
          <w:rFonts w:eastAsia="Calibri"/>
          <w:szCs w:val="22"/>
          <w:lang w:eastAsia="en-US"/>
        </w:rPr>
        <w:t>’</w:t>
      </w:r>
      <w:r w:rsidRPr="006C28E7">
        <w:rPr>
          <w:rFonts w:eastAsia="Calibri"/>
          <w:szCs w:val="22"/>
          <w:lang w:eastAsia="en-US"/>
        </w:rPr>
        <w:t>un navire faisant escale dans ce port dépose tous les déchets conservés à bord ▌dans une installation de réception portuaire conformément aux normes relatives aux rejets pertinentes qui sont fixées dans la convention MARPOL.</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Lors du dépôt, l</w:t>
      </w:r>
      <w:r w:rsidR="00D43184">
        <w:rPr>
          <w:rFonts w:eastAsia="Calibri"/>
          <w:szCs w:val="22"/>
          <w:lang w:eastAsia="en-US"/>
        </w:rPr>
        <w:t>’</w:t>
      </w:r>
      <w:r w:rsidRPr="006C28E7">
        <w:rPr>
          <w:rFonts w:eastAsia="Calibri"/>
          <w:szCs w:val="22"/>
          <w:lang w:eastAsia="en-US"/>
        </w:rPr>
        <w:t xml:space="preserve">exploitant de </w:t>
      </w:r>
      <w:r w:rsidRPr="006C28E7">
        <w:rPr>
          <w:rFonts w:eastAsia="Calibri"/>
          <w:b/>
          <w:bCs/>
          <w:i/>
          <w:iCs/>
          <w:szCs w:val="22"/>
          <w:lang w:eastAsia="en-US"/>
        </w:rPr>
        <w:t>l</w:t>
      </w:r>
      <w:r w:rsidR="00D43184">
        <w:rPr>
          <w:rFonts w:eastAsia="Calibri"/>
          <w:b/>
          <w:bCs/>
          <w:i/>
          <w:iCs/>
          <w:szCs w:val="22"/>
          <w:lang w:eastAsia="en-US"/>
        </w:rPr>
        <w:t>’</w:t>
      </w:r>
      <w:r w:rsidRPr="006C28E7">
        <w:rPr>
          <w:rFonts w:eastAsia="Calibri"/>
          <w:b/>
          <w:bCs/>
          <w:i/>
          <w:iCs/>
          <w:szCs w:val="22"/>
          <w:lang w:eastAsia="en-US"/>
        </w:rPr>
        <w:t>installation de réception portuaire</w:t>
      </w:r>
      <w:r w:rsidRPr="006C28E7">
        <w:rPr>
          <w:rFonts w:eastAsia="Calibri"/>
          <w:szCs w:val="22"/>
          <w:lang w:eastAsia="en-US"/>
        </w:rPr>
        <w:t xml:space="preserve"> ou l</w:t>
      </w:r>
      <w:r w:rsidR="00D43184">
        <w:rPr>
          <w:rFonts w:eastAsia="Calibri"/>
          <w:szCs w:val="22"/>
          <w:lang w:eastAsia="en-US"/>
        </w:rPr>
        <w:t>’</w:t>
      </w:r>
      <w:r w:rsidRPr="006C28E7">
        <w:rPr>
          <w:rFonts w:eastAsia="Calibri"/>
          <w:szCs w:val="22"/>
          <w:lang w:eastAsia="en-US"/>
        </w:rPr>
        <w:t>autorité du port où les déchets ont été déposés remplit</w:t>
      </w:r>
      <w:r w:rsidRPr="006C28E7">
        <w:rPr>
          <w:rFonts w:eastAsia="Calibri"/>
          <w:b/>
          <w:bCs/>
          <w:i/>
          <w:iCs/>
          <w:szCs w:val="22"/>
          <w:lang w:eastAsia="en-US"/>
        </w:rPr>
        <w:t xml:space="preserve"> fidèlement et</w:t>
      </w:r>
      <w:r w:rsidRPr="006C28E7">
        <w:rPr>
          <w:rFonts w:eastAsia="Calibri"/>
          <w:szCs w:val="22"/>
          <w:lang w:eastAsia="en-US"/>
        </w:rPr>
        <w:t xml:space="preserve"> minutieusement le formulaire figurant à l</w:t>
      </w:r>
      <w:r w:rsidR="00D43184">
        <w:rPr>
          <w:rFonts w:eastAsia="Calibri"/>
          <w:szCs w:val="22"/>
          <w:lang w:eastAsia="en-US"/>
        </w:rPr>
        <w:t>’</w:t>
      </w:r>
      <w:r w:rsidRPr="006C28E7">
        <w:rPr>
          <w:rFonts w:eastAsia="Calibri"/>
          <w:szCs w:val="22"/>
          <w:lang w:eastAsia="en-US"/>
        </w:rPr>
        <w:t xml:space="preserve">annexe 3 (ci-après dénommé "reçu de dépôt des déchets") et il délivre </w:t>
      </w:r>
      <w:r w:rsidRPr="006C28E7">
        <w:rPr>
          <w:rFonts w:eastAsia="Calibri"/>
          <w:b/>
          <w:bCs/>
          <w:i/>
          <w:iCs/>
          <w:szCs w:val="22"/>
          <w:lang w:eastAsia="en-US"/>
        </w:rPr>
        <w:t>et fournit sans retard indu</w:t>
      </w:r>
      <w:r w:rsidRPr="006C28E7">
        <w:rPr>
          <w:rFonts w:eastAsia="Calibri"/>
          <w:szCs w:val="22"/>
          <w:lang w:eastAsia="en-US"/>
        </w:rPr>
        <w:t xml:space="preserve"> le reçu de dépôt des déchets au capitaine du navire.</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bCs/>
          <w:i/>
          <w:iCs/>
          <w:szCs w:val="22"/>
          <w:lang w:eastAsia="en-US"/>
        </w:rPr>
        <w:t xml:space="preserve">Les </w:t>
      </w:r>
      <w:r w:rsidRPr="006C28E7">
        <w:rPr>
          <w:rFonts w:eastAsia="Calibri"/>
          <w:szCs w:val="22"/>
          <w:lang w:eastAsia="en-US"/>
        </w:rPr>
        <w:t xml:space="preserve">exigences </w:t>
      </w:r>
      <w:r w:rsidRPr="006C28E7">
        <w:rPr>
          <w:rFonts w:eastAsia="Calibri"/>
          <w:b/>
          <w:bCs/>
          <w:i/>
          <w:iCs/>
          <w:szCs w:val="22"/>
          <w:lang w:eastAsia="en-US"/>
        </w:rPr>
        <w:t>énoncées au premier alinéa</w:t>
      </w:r>
      <w:r w:rsidRPr="006C28E7">
        <w:rPr>
          <w:rFonts w:eastAsia="Calibri"/>
          <w:szCs w:val="22"/>
          <w:lang w:eastAsia="en-US"/>
        </w:rPr>
        <w:t xml:space="preserve"> ne s</w:t>
      </w:r>
      <w:r w:rsidR="00D43184">
        <w:rPr>
          <w:rFonts w:eastAsia="Calibri"/>
          <w:szCs w:val="22"/>
          <w:lang w:eastAsia="en-US"/>
        </w:rPr>
        <w:t>’</w:t>
      </w:r>
      <w:r w:rsidRPr="006C28E7">
        <w:rPr>
          <w:rFonts w:eastAsia="Calibri"/>
          <w:szCs w:val="22"/>
          <w:lang w:eastAsia="en-US"/>
        </w:rPr>
        <w:t xml:space="preserve">appliquent pas aux petits </w:t>
      </w:r>
      <w:r w:rsidRPr="006C28E7">
        <w:rPr>
          <w:rFonts w:eastAsia="Calibri"/>
          <w:b/>
          <w:bCs/>
          <w:i/>
          <w:iCs/>
          <w:szCs w:val="22"/>
          <w:lang w:eastAsia="en-US"/>
        </w:rPr>
        <w:t>ports équipés d</w:t>
      </w:r>
      <w:r w:rsidR="00D43184">
        <w:rPr>
          <w:rFonts w:eastAsia="Calibri"/>
          <w:b/>
          <w:bCs/>
          <w:i/>
          <w:iCs/>
          <w:szCs w:val="22"/>
          <w:lang w:eastAsia="en-US"/>
        </w:rPr>
        <w:t>’</w:t>
      </w:r>
      <w:r w:rsidRPr="006C28E7">
        <w:rPr>
          <w:rFonts w:eastAsia="Calibri"/>
          <w:b/>
          <w:bCs/>
          <w:i/>
          <w:iCs/>
          <w:szCs w:val="22"/>
          <w:lang w:eastAsia="en-US"/>
        </w:rPr>
        <w:t>installations</w:t>
      </w:r>
      <w:r w:rsidRPr="006C28E7">
        <w:rPr>
          <w:rFonts w:eastAsia="Calibri"/>
          <w:szCs w:val="22"/>
          <w:lang w:eastAsia="en-US"/>
        </w:rPr>
        <w:t xml:space="preserve"> sans personnel ou situés dans des régions éloignées ▌, pour autant que l</w:t>
      </w:r>
      <w:r w:rsidR="00D43184">
        <w:rPr>
          <w:rFonts w:eastAsia="Calibri"/>
          <w:szCs w:val="22"/>
          <w:lang w:eastAsia="en-US"/>
        </w:rPr>
        <w:t>’</w:t>
      </w:r>
      <w:r w:rsidRPr="006C28E7">
        <w:rPr>
          <w:rFonts w:eastAsia="Calibri"/>
          <w:szCs w:val="22"/>
          <w:lang w:eastAsia="en-US"/>
        </w:rPr>
        <w:t xml:space="preserve">État membre qui abrite ces ports </w:t>
      </w:r>
      <w:r w:rsidRPr="006C28E7">
        <w:rPr>
          <w:rFonts w:eastAsia="Calibri"/>
          <w:b/>
          <w:bCs/>
          <w:i/>
          <w:iCs/>
          <w:szCs w:val="22"/>
          <w:lang w:eastAsia="en-US"/>
        </w:rPr>
        <w:t>ait déclaré le nom et le lieu de ces ports</w:t>
      </w:r>
      <w:r w:rsidRPr="006C28E7">
        <w:rPr>
          <w:rFonts w:eastAsia="Calibri"/>
          <w:szCs w:val="22"/>
          <w:lang w:eastAsia="en-US"/>
        </w:rPr>
        <w:t xml:space="preserve"> par voie électronique dans la partie du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application visée à l</w:t>
      </w:r>
      <w:r w:rsidR="00D43184">
        <w:rPr>
          <w:rFonts w:eastAsia="Calibri"/>
          <w:szCs w:val="22"/>
          <w:lang w:eastAsia="en-US"/>
        </w:rPr>
        <w:t>’</w:t>
      </w:r>
      <w:r w:rsidRPr="006C28E7">
        <w:rPr>
          <w:rFonts w:eastAsia="Calibri"/>
          <w:szCs w:val="22"/>
          <w:lang w:eastAsia="en-US"/>
        </w:rPr>
        <w:t>article 13.</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exploitant, l</w:t>
      </w:r>
      <w:r w:rsidR="00D43184">
        <w:rPr>
          <w:rFonts w:eastAsia="Calibri"/>
          <w:szCs w:val="22"/>
          <w:lang w:eastAsia="en-US"/>
        </w:rPr>
        <w:t>’</w:t>
      </w:r>
      <w:r w:rsidRPr="006C28E7">
        <w:rPr>
          <w:rFonts w:eastAsia="Calibri"/>
          <w:szCs w:val="22"/>
          <w:lang w:eastAsia="en-US"/>
        </w:rPr>
        <w:t>agent ou le capitaine d</w:t>
      </w:r>
      <w:r w:rsidR="00D43184">
        <w:rPr>
          <w:rFonts w:eastAsia="Calibri"/>
          <w:szCs w:val="22"/>
          <w:lang w:eastAsia="en-US"/>
        </w:rPr>
        <w:t>’</w:t>
      </w:r>
      <w:r w:rsidRPr="006C28E7">
        <w:rPr>
          <w:rFonts w:eastAsia="Calibri"/>
          <w:szCs w:val="22"/>
          <w:lang w:eastAsia="en-US"/>
        </w:rPr>
        <w:t>un navire entrant dans le champ d</w:t>
      </w:r>
      <w:r w:rsidR="00D43184">
        <w:rPr>
          <w:rFonts w:eastAsia="Calibri"/>
          <w:szCs w:val="22"/>
          <w:lang w:eastAsia="en-US"/>
        </w:rPr>
        <w:t>’</w:t>
      </w:r>
      <w:r w:rsidRPr="006C28E7">
        <w:rPr>
          <w:rFonts w:eastAsia="Calibri"/>
          <w:szCs w:val="22"/>
          <w:lang w:eastAsia="en-US"/>
        </w:rPr>
        <w:t xml:space="preserve">application de la directive 2002/59/CE consigne par voie électronique, avant le départ </w:t>
      </w:r>
      <w:r w:rsidRPr="006C28E7">
        <w:rPr>
          <w:rFonts w:eastAsia="Calibri"/>
          <w:b/>
          <w:bCs/>
          <w:i/>
          <w:iCs/>
          <w:szCs w:val="22"/>
          <w:lang w:eastAsia="en-US"/>
        </w:rPr>
        <w:t>ou dès réception du reçu de dépôt des déchets</w:t>
      </w:r>
      <w:r w:rsidRPr="006C28E7">
        <w:rPr>
          <w:rFonts w:eastAsia="Calibri"/>
          <w:szCs w:val="22"/>
          <w:lang w:eastAsia="en-US"/>
        </w:rPr>
        <w:t>, les informations figurant dans celui-ci dans la partie du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application visée à l</w:t>
      </w:r>
      <w:r w:rsidR="00D43184">
        <w:rPr>
          <w:rFonts w:eastAsia="Calibri"/>
          <w:szCs w:val="22"/>
          <w:lang w:eastAsia="en-US"/>
        </w:rPr>
        <w:t>’</w:t>
      </w:r>
      <w:r w:rsidRPr="006C28E7">
        <w:rPr>
          <w:rFonts w:eastAsia="Calibri"/>
          <w:szCs w:val="22"/>
          <w:lang w:eastAsia="en-US"/>
        </w:rPr>
        <w:t xml:space="preserve">article 13 de la présente directive, conformément aux directives </w:t>
      </w:r>
      <w:r w:rsidRPr="006C28E7">
        <w:rPr>
          <w:rFonts w:eastAsia="Calibri"/>
          <w:b/>
          <w:bCs/>
          <w:i/>
          <w:iCs/>
          <w:szCs w:val="22"/>
          <w:lang w:eastAsia="en-US"/>
        </w:rPr>
        <w:t>2002/59/CE et 2010/65/UE</w:t>
      </w:r>
      <w:r w:rsidRPr="006C28E7">
        <w:rPr>
          <w:rFonts w:eastAsia="Calibri"/>
          <w:szCs w:val="22"/>
          <w:lang w:eastAsia="en-US"/>
        </w:rPr>
        <w:t>.</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b/>
          <w:bCs/>
          <w:i/>
          <w:iCs/>
          <w:szCs w:val="22"/>
          <w:lang w:eastAsia="en-US"/>
        </w:rPr>
        <w:t xml:space="preserve">Les informations figurant sur le reçu de dépôt des déchets </w:t>
      </w:r>
      <w:r w:rsidRPr="006C28E7">
        <w:rPr>
          <w:rFonts w:eastAsia="Calibri"/>
          <w:szCs w:val="22"/>
          <w:lang w:eastAsia="en-US"/>
        </w:rPr>
        <w:t xml:space="preserve">▌sont </w:t>
      </w:r>
      <w:r w:rsidRPr="006C28E7">
        <w:rPr>
          <w:rFonts w:eastAsia="Calibri"/>
          <w:b/>
          <w:bCs/>
          <w:i/>
          <w:iCs/>
          <w:szCs w:val="22"/>
          <w:lang w:eastAsia="en-US"/>
        </w:rPr>
        <w:t>disponibles</w:t>
      </w:r>
      <w:r w:rsidRPr="006C28E7">
        <w:rPr>
          <w:rFonts w:eastAsia="Calibri"/>
          <w:szCs w:val="22"/>
          <w:lang w:eastAsia="en-US"/>
        </w:rPr>
        <w:t xml:space="preserve"> à bord pendant au moins deux ans, </w:t>
      </w:r>
      <w:r w:rsidRPr="006C28E7">
        <w:rPr>
          <w:rFonts w:eastAsia="Calibri"/>
          <w:b/>
          <w:bCs/>
          <w:i/>
          <w:iCs/>
          <w:szCs w:val="22"/>
          <w:lang w:eastAsia="en-US"/>
        </w:rPr>
        <w:t>le cas échéant avec le registre des hydrocarbures, le registre de la cargaison, le registre des ordures ou le plan de gestion des ordures appropriés,</w:t>
      </w:r>
      <w:r w:rsidRPr="006C28E7">
        <w:rPr>
          <w:rFonts w:eastAsia="Calibri"/>
          <w:szCs w:val="22"/>
          <w:lang w:eastAsia="en-US"/>
        </w:rPr>
        <w:t xml:space="preserve"> et sont mises à la disposition des autorités des États membres qui en font la demande.</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4.</w:t>
      </w:r>
      <w:r w:rsidRPr="006C28E7">
        <w:rPr>
          <w:rFonts w:eastAsia="Calibri"/>
          <w:szCs w:val="22"/>
          <w:lang w:eastAsia="en-US"/>
        </w:rPr>
        <w:tab/>
        <w:t>Sans préjudice du paragraphe 1, un navire peut continuer sa route jusqu</w:t>
      </w:r>
      <w:r w:rsidR="00D43184">
        <w:rPr>
          <w:rFonts w:eastAsia="Calibri"/>
          <w:szCs w:val="22"/>
          <w:lang w:eastAsia="en-US"/>
        </w:rPr>
        <w:t>’</w:t>
      </w:r>
      <w:r w:rsidRPr="006C28E7">
        <w:rPr>
          <w:rFonts w:eastAsia="Calibri"/>
          <w:szCs w:val="22"/>
          <w:lang w:eastAsia="en-US"/>
        </w:rPr>
        <w:t>au port d</w:t>
      </w:r>
      <w:r w:rsidR="00D43184">
        <w:rPr>
          <w:rFonts w:eastAsia="Calibri"/>
          <w:szCs w:val="22"/>
          <w:lang w:eastAsia="en-US"/>
        </w:rPr>
        <w:t>’</w:t>
      </w:r>
      <w:r w:rsidRPr="006C28E7">
        <w:rPr>
          <w:rFonts w:eastAsia="Calibri"/>
          <w:szCs w:val="22"/>
          <w:lang w:eastAsia="en-US"/>
        </w:rPr>
        <w:t>escale suivant sans déposer de déchets, si:</w:t>
      </w:r>
    </w:p>
    <w:p w:rsidR="009C7E1C" w:rsidRPr="006C28E7" w:rsidRDefault="009C7E1C" w:rsidP="009C7E1C">
      <w:pPr>
        <w:widowControl/>
        <w:autoSpaceDE w:val="0"/>
        <w:autoSpaceDN w:val="0"/>
        <w:adjustRightInd w:val="0"/>
        <w:spacing w:line="360" w:lineRule="auto"/>
        <w:ind w:left="1417"/>
        <w:jc w:val="both"/>
        <w:rPr>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les informations fournies conformément aux annexes 2 et 3 montrent qu</w:t>
      </w:r>
      <w:r w:rsidR="00D43184">
        <w:rPr>
          <w:rFonts w:eastAsia="Calibri"/>
          <w:szCs w:val="22"/>
          <w:lang w:eastAsia="en-US"/>
        </w:rPr>
        <w:t>’</w:t>
      </w:r>
      <w:r w:rsidRPr="006C28E7">
        <w:rPr>
          <w:rFonts w:eastAsia="Calibri"/>
          <w:szCs w:val="22"/>
          <w:lang w:eastAsia="en-US"/>
        </w:rPr>
        <w:t>il existe une capacité de stockage suffisante dédiée à bord du navire pour tous les déchets qui ont été et seront accumulés pendant le trajet prévu jusqu</w:t>
      </w:r>
      <w:r w:rsidR="00D43184">
        <w:rPr>
          <w:rFonts w:eastAsia="Calibri"/>
          <w:szCs w:val="22"/>
          <w:lang w:eastAsia="en-US"/>
        </w:rPr>
        <w:t>’</w:t>
      </w:r>
      <w:r w:rsidRPr="006C28E7">
        <w:rPr>
          <w:rFonts w:eastAsia="Calibri"/>
          <w:szCs w:val="22"/>
          <w:lang w:eastAsia="en-US"/>
        </w:rPr>
        <w:t>au port d</w:t>
      </w:r>
      <w:r w:rsidR="00D43184">
        <w:rPr>
          <w:rFonts w:eastAsia="Calibri"/>
          <w:szCs w:val="22"/>
          <w:lang w:eastAsia="en-US"/>
        </w:rPr>
        <w:t>’</w:t>
      </w:r>
      <w:r w:rsidRPr="006C28E7">
        <w:rPr>
          <w:rFonts w:eastAsia="Calibri"/>
          <w:szCs w:val="22"/>
          <w:lang w:eastAsia="en-US"/>
        </w:rPr>
        <w:t>escale suivant;</w:t>
      </w: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b)</w:t>
      </w:r>
      <w:r w:rsidRPr="006C28E7">
        <w:rPr>
          <w:rFonts w:eastAsia="Calibri"/>
          <w:b/>
          <w:i/>
          <w:color w:val="000000"/>
          <w:szCs w:val="22"/>
          <w:lang w:eastAsia="en-US"/>
        </w:rPr>
        <w:tab/>
        <w:t>les informations disponibles à bord des navires ne relevant pas du champ d</w:t>
      </w:r>
      <w:r w:rsidR="00D43184">
        <w:rPr>
          <w:rFonts w:eastAsia="Calibri"/>
          <w:b/>
          <w:i/>
          <w:color w:val="000000"/>
          <w:szCs w:val="22"/>
          <w:lang w:eastAsia="en-US"/>
        </w:rPr>
        <w:t>’</w:t>
      </w:r>
      <w:r w:rsidRPr="006C28E7">
        <w:rPr>
          <w:rFonts w:eastAsia="Calibri"/>
          <w:b/>
          <w:i/>
          <w:color w:val="000000"/>
          <w:szCs w:val="22"/>
          <w:lang w:eastAsia="en-US"/>
        </w:rPr>
        <w:t>application de la directive 2002/59/CE montrent qu</w:t>
      </w:r>
      <w:r w:rsidR="00D43184">
        <w:rPr>
          <w:rFonts w:eastAsia="Calibri"/>
          <w:b/>
          <w:i/>
          <w:color w:val="000000"/>
          <w:szCs w:val="22"/>
          <w:lang w:eastAsia="en-US"/>
        </w:rPr>
        <w:t>’</w:t>
      </w:r>
      <w:r w:rsidRPr="006C28E7">
        <w:rPr>
          <w:rFonts w:eastAsia="Calibri"/>
          <w:b/>
          <w:i/>
          <w:color w:val="000000"/>
          <w:szCs w:val="22"/>
          <w:lang w:eastAsia="en-US"/>
        </w:rPr>
        <w:t>il existe une capacité de stockage suffisante dédiée à bord du navire pour tous les déchets qui ont été et seront accumulés pendant le trajet prévu jusqu</w:t>
      </w:r>
      <w:r w:rsidR="00D43184">
        <w:rPr>
          <w:rFonts w:eastAsia="Calibri"/>
          <w:b/>
          <w:i/>
          <w:color w:val="000000"/>
          <w:szCs w:val="22"/>
          <w:lang w:eastAsia="en-US"/>
        </w:rPr>
        <w:t>’</w:t>
      </w:r>
      <w:r w:rsidRPr="006C28E7">
        <w:rPr>
          <w:rFonts w:eastAsia="Calibri"/>
          <w:b/>
          <w:i/>
          <w:color w:val="000000"/>
          <w:szCs w:val="22"/>
          <w:lang w:eastAsia="en-US"/>
        </w:rPr>
        <w:t>au port d</w:t>
      </w:r>
      <w:r w:rsidR="00D43184">
        <w:rPr>
          <w:rFonts w:eastAsia="Calibri"/>
          <w:b/>
          <w:i/>
          <w:color w:val="000000"/>
          <w:szCs w:val="22"/>
          <w:lang w:eastAsia="en-US"/>
        </w:rPr>
        <w:t>’</w:t>
      </w:r>
      <w:r w:rsidRPr="006C28E7">
        <w:rPr>
          <w:rFonts w:eastAsia="Calibri"/>
          <w:b/>
          <w:i/>
          <w:color w:val="000000"/>
          <w:szCs w:val="22"/>
          <w:lang w:eastAsia="en-US"/>
        </w:rPr>
        <w:t>escale</w:t>
      </w:r>
      <w:r w:rsidRPr="006C28E7">
        <w:rPr>
          <w:rFonts w:eastAsia="Calibri"/>
          <w:szCs w:val="22"/>
          <w:lang w:eastAsia="en-US"/>
        </w:rPr>
        <w:t xml:space="preserve"> </w:t>
      </w:r>
      <w:r w:rsidRPr="006C28E7">
        <w:rPr>
          <w:rFonts w:eastAsia="Calibri"/>
          <w:b/>
          <w:bCs/>
          <w:i/>
          <w:iCs/>
          <w:szCs w:val="22"/>
          <w:lang w:eastAsia="en-US"/>
        </w:rPr>
        <w:t>suivant</w:t>
      </w:r>
      <w:r w:rsidRPr="006C28E7">
        <w:rPr>
          <w:rFonts w:eastAsia="Calibri"/>
          <w:b/>
          <w:i/>
          <w:color w:val="000000"/>
          <w:szCs w:val="22"/>
          <w:lang w:eastAsia="en-US"/>
        </w:rPr>
        <w:t>; ou</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c)</w:t>
      </w:r>
      <w:r w:rsidRPr="006C28E7">
        <w:rPr>
          <w:rFonts w:eastAsia="Calibri"/>
          <w:b/>
          <w:i/>
          <w:color w:val="000000"/>
          <w:szCs w:val="22"/>
          <w:lang w:eastAsia="en-US"/>
        </w:rPr>
        <w:tab/>
        <w:t>le navire est uniquement au mouillage pendant moins de 24 heures ou en cas de mauvaises conditions météorologiques, à moins qu</w:t>
      </w:r>
      <w:r w:rsidR="00D43184">
        <w:rPr>
          <w:rFonts w:eastAsia="Calibri"/>
          <w:b/>
          <w:i/>
          <w:color w:val="000000"/>
          <w:szCs w:val="22"/>
          <w:lang w:eastAsia="en-US"/>
        </w:rPr>
        <w:t>’</w:t>
      </w:r>
      <w:r w:rsidRPr="006C28E7">
        <w:rPr>
          <w:rFonts w:eastAsia="Calibri"/>
          <w:b/>
          <w:i/>
          <w:color w:val="000000"/>
          <w:szCs w:val="22"/>
          <w:lang w:eastAsia="en-US"/>
        </w:rPr>
        <w:t>une telle zone de mouillage n</w:t>
      </w:r>
      <w:r w:rsidR="00D43184">
        <w:rPr>
          <w:rFonts w:eastAsia="Calibri"/>
          <w:b/>
          <w:i/>
          <w:color w:val="000000"/>
          <w:szCs w:val="22"/>
          <w:lang w:eastAsia="en-US"/>
        </w:rPr>
        <w:t>’</w:t>
      </w:r>
      <w:r w:rsidRPr="006C28E7">
        <w:rPr>
          <w:rFonts w:eastAsia="Calibri"/>
          <w:b/>
          <w:i/>
          <w:color w:val="000000"/>
          <w:szCs w:val="22"/>
          <w:lang w:eastAsia="en-US"/>
        </w:rPr>
        <w:t>ait été exclue conformément à l</w:t>
      </w:r>
      <w:r w:rsidR="00D43184">
        <w:rPr>
          <w:rFonts w:eastAsia="Calibri"/>
          <w:b/>
          <w:i/>
          <w:color w:val="000000"/>
          <w:szCs w:val="22"/>
          <w:lang w:eastAsia="en-US"/>
        </w:rPr>
        <w:t>’</w:t>
      </w:r>
      <w:r w:rsidRPr="006C28E7">
        <w:rPr>
          <w:rFonts w:eastAsia="Calibri"/>
          <w:b/>
          <w:i/>
          <w:color w:val="000000"/>
          <w:szCs w:val="22"/>
          <w:lang w:eastAsia="en-US"/>
        </w:rPr>
        <w:t>article 3, paragraphe 1, second alinéa.</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ab/>
        <w:t>Afin d</w:t>
      </w:r>
      <w:r w:rsidR="00D43184">
        <w:rPr>
          <w:rFonts w:eastAsia="Calibri"/>
          <w:szCs w:val="22"/>
          <w:lang w:eastAsia="en-US"/>
        </w:rPr>
        <w:t>’</w:t>
      </w:r>
      <w:r w:rsidRPr="006C28E7">
        <w:rPr>
          <w:rFonts w:eastAsia="Calibri"/>
          <w:szCs w:val="22"/>
          <w:lang w:eastAsia="en-US"/>
        </w:rPr>
        <w:t>assurer des conditions uniformes d</w:t>
      </w:r>
      <w:r w:rsidR="00D43184">
        <w:rPr>
          <w:rFonts w:eastAsia="Calibri"/>
          <w:szCs w:val="22"/>
          <w:lang w:eastAsia="en-US"/>
        </w:rPr>
        <w:t>’</w:t>
      </w:r>
      <w:r w:rsidRPr="006C28E7">
        <w:rPr>
          <w:rFonts w:eastAsia="Calibri"/>
          <w:szCs w:val="22"/>
          <w:lang w:eastAsia="en-US"/>
        </w:rPr>
        <w:t>exécution de l</w:t>
      </w:r>
      <w:r w:rsidR="00D43184">
        <w:rPr>
          <w:rFonts w:eastAsia="Calibri"/>
          <w:szCs w:val="22"/>
          <w:lang w:eastAsia="en-US"/>
        </w:rPr>
        <w:t>’</w:t>
      </w:r>
      <w:r w:rsidRPr="006C28E7">
        <w:rPr>
          <w:rFonts w:eastAsia="Calibri"/>
          <w:szCs w:val="22"/>
          <w:lang w:eastAsia="en-US"/>
        </w:rPr>
        <w:t>exception mentionnée au premier alinéa, points a) et b), la Commission adopte des actes d</w:t>
      </w:r>
      <w:r w:rsidR="00D43184">
        <w:rPr>
          <w:rFonts w:eastAsia="Calibri"/>
          <w:szCs w:val="22"/>
          <w:lang w:eastAsia="en-US"/>
        </w:rPr>
        <w:t>’</w:t>
      </w:r>
      <w:r w:rsidRPr="006C28E7">
        <w:rPr>
          <w:rFonts w:eastAsia="Calibri"/>
          <w:szCs w:val="22"/>
          <w:lang w:eastAsia="en-US"/>
        </w:rPr>
        <w:t>exécution afin de définir les méthodes à utiliser pour calculer la capacité de stockage suffisante dédiée. Ces actes d</w:t>
      </w:r>
      <w:r w:rsidR="00D43184">
        <w:rPr>
          <w:rFonts w:eastAsia="Calibri"/>
          <w:szCs w:val="22"/>
          <w:lang w:eastAsia="en-US"/>
        </w:rPr>
        <w:t>’</w:t>
      </w:r>
      <w:r w:rsidRPr="006C28E7">
        <w:rPr>
          <w:rFonts w:eastAsia="Calibri"/>
          <w:szCs w:val="22"/>
          <w:lang w:eastAsia="en-US"/>
        </w:rPr>
        <w:t>exécution sont adoptés en conformité avec la procédure d</w:t>
      </w:r>
      <w:r w:rsidR="00D43184">
        <w:rPr>
          <w:rFonts w:eastAsia="Calibri"/>
          <w:szCs w:val="22"/>
          <w:lang w:eastAsia="en-US"/>
        </w:rPr>
        <w:t>’</w:t>
      </w:r>
      <w:r w:rsidRPr="006C28E7">
        <w:rPr>
          <w:rFonts w:eastAsia="Calibri"/>
          <w:szCs w:val="22"/>
          <w:lang w:eastAsia="en-US"/>
        </w:rPr>
        <w:t>examen visée à l</w:t>
      </w:r>
      <w:r w:rsidR="00D43184">
        <w:rPr>
          <w:rFonts w:eastAsia="Calibri"/>
          <w:szCs w:val="22"/>
          <w:lang w:eastAsia="en-US"/>
        </w:rPr>
        <w:t>’</w:t>
      </w:r>
      <w:r w:rsidRPr="006C28E7">
        <w:rPr>
          <w:rFonts w:eastAsia="Calibri"/>
          <w:szCs w:val="22"/>
          <w:lang w:eastAsia="en-US"/>
        </w:rPr>
        <w:t>article 20, paragraphe 2.</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szCs w:val="22"/>
          <w:lang w:eastAsia="en-US"/>
        </w:rPr>
        <w:t>5.</w:t>
      </w:r>
      <w:r w:rsidRPr="006C28E7">
        <w:rPr>
          <w:szCs w:val="22"/>
          <w:lang w:eastAsia="en-US"/>
        </w:rPr>
        <w:tab/>
        <w:t>Un État membre exige du navire qu</w:t>
      </w:r>
      <w:r w:rsidR="00D43184">
        <w:rPr>
          <w:szCs w:val="22"/>
          <w:lang w:eastAsia="en-US"/>
        </w:rPr>
        <w:t>’</w:t>
      </w:r>
      <w:r w:rsidRPr="006C28E7">
        <w:rPr>
          <w:szCs w:val="22"/>
          <w:lang w:eastAsia="en-US"/>
        </w:rPr>
        <w:t>il dépose tous ses déchets avant de repartir:</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ab/>
        <w:t>a)</w:t>
      </w:r>
      <w:r w:rsidRPr="006C28E7">
        <w:rPr>
          <w:rFonts w:eastAsia="Calibri"/>
          <w:szCs w:val="22"/>
          <w:lang w:eastAsia="en-US"/>
        </w:rPr>
        <w:tab/>
        <w:t>s</w:t>
      </w:r>
      <w:r w:rsidR="00D43184">
        <w:rPr>
          <w:rFonts w:eastAsia="Calibri"/>
          <w:szCs w:val="22"/>
          <w:lang w:eastAsia="en-US"/>
        </w:rPr>
        <w:t>’</w:t>
      </w:r>
      <w:r w:rsidRPr="006C28E7">
        <w:rPr>
          <w:rFonts w:eastAsia="Calibri"/>
          <w:b/>
          <w:bCs/>
          <w:i/>
          <w:iCs/>
          <w:szCs w:val="22"/>
          <w:lang w:eastAsia="en-US"/>
        </w:rPr>
        <w:t>il ne peut être établi, sur la base des informations consignées par voie électronique dans la partie du système d</w:t>
      </w:r>
      <w:r w:rsidR="00D43184">
        <w:rPr>
          <w:rFonts w:eastAsia="Calibri"/>
          <w:b/>
          <w:bCs/>
          <w:i/>
          <w:iCs/>
          <w:szCs w:val="22"/>
          <w:lang w:eastAsia="en-US"/>
        </w:rPr>
        <w:t>’</w:t>
      </w:r>
      <w:r w:rsidRPr="006C28E7">
        <w:rPr>
          <w:rFonts w:eastAsia="Calibri"/>
          <w:b/>
          <w:bCs/>
          <w:i/>
          <w:iCs/>
          <w:szCs w:val="22"/>
          <w:lang w:eastAsia="en-US"/>
        </w:rPr>
        <w:t>information, de suivi et de contrôle de l</w:t>
      </w:r>
      <w:r w:rsidR="00D43184">
        <w:rPr>
          <w:rFonts w:eastAsia="Calibri"/>
          <w:b/>
          <w:bCs/>
          <w:i/>
          <w:iCs/>
          <w:szCs w:val="22"/>
          <w:lang w:eastAsia="en-US"/>
        </w:rPr>
        <w:t>’</w:t>
      </w:r>
      <w:r w:rsidRPr="006C28E7">
        <w:rPr>
          <w:rFonts w:eastAsia="Calibri"/>
          <w:b/>
          <w:bCs/>
          <w:i/>
          <w:iCs/>
          <w:szCs w:val="22"/>
          <w:lang w:eastAsia="en-US"/>
        </w:rPr>
        <w:t>application visée à l</w:t>
      </w:r>
      <w:r w:rsidR="00D43184">
        <w:rPr>
          <w:rFonts w:eastAsia="Calibri"/>
          <w:b/>
          <w:bCs/>
          <w:i/>
          <w:iCs/>
          <w:szCs w:val="22"/>
          <w:lang w:eastAsia="en-US"/>
        </w:rPr>
        <w:t>’</w:t>
      </w:r>
      <w:r w:rsidRPr="006C28E7">
        <w:rPr>
          <w:rFonts w:eastAsia="Calibri"/>
          <w:b/>
          <w:bCs/>
          <w:i/>
          <w:iCs/>
          <w:szCs w:val="22"/>
          <w:lang w:eastAsia="en-US"/>
        </w:rPr>
        <w:t>article 13 ou dans le GISIS</w:t>
      </w:r>
      <w:r w:rsidRPr="006C28E7">
        <w:rPr>
          <w:rFonts w:eastAsia="Calibri"/>
          <w:szCs w:val="22"/>
          <w:lang w:eastAsia="en-US"/>
        </w:rPr>
        <w:t xml:space="preserve">, que des installations de réception portuaires adéquates sont </w:t>
      </w:r>
      <w:r w:rsidRPr="006C28E7">
        <w:rPr>
          <w:rFonts w:eastAsia="Calibri"/>
          <w:color w:val="000000"/>
          <w:szCs w:val="22"/>
          <w:lang w:eastAsia="en-US"/>
        </w:rPr>
        <w:t>▌</w:t>
      </w:r>
      <w:r w:rsidRPr="006C28E7">
        <w:rPr>
          <w:rFonts w:eastAsia="Calibri"/>
          <w:szCs w:val="22"/>
          <w:lang w:eastAsia="en-US"/>
        </w:rPr>
        <w:t xml:space="preserve"> disponibles dans le port d</w:t>
      </w:r>
      <w:r w:rsidR="00D43184">
        <w:rPr>
          <w:rFonts w:eastAsia="Calibri"/>
          <w:szCs w:val="22"/>
          <w:lang w:eastAsia="en-US"/>
        </w:rPr>
        <w:t>’</w:t>
      </w:r>
      <w:r w:rsidRPr="006C28E7">
        <w:rPr>
          <w:rFonts w:eastAsia="Calibri"/>
          <w:szCs w:val="22"/>
          <w:lang w:eastAsia="en-US"/>
        </w:rPr>
        <w:t>escale suivant; ou</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ab/>
        <w:t>b)</w:t>
      </w:r>
      <w:r w:rsidRPr="006C28E7">
        <w:rPr>
          <w:rFonts w:eastAsia="Calibri"/>
          <w:szCs w:val="22"/>
          <w:lang w:eastAsia="en-US"/>
        </w:rPr>
        <w:tab/>
        <w:t>si le port d</w:t>
      </w:r>
      <w:r w:rsidR="00D43184">
        <w:rPr>
          <w:rFonts w:eastAsia="Calibri"/>
          <w:szCs w:val="22"/>
          <w:lang w:eastAsia="en-US"/>
        </w:rPr>
        <w:t>’</w:t>
      </w:r>
      <w:r w:rsidRPr="006C28E7">
        <w:rPr>
          <w:rFonts w:eastAsia="Calibri"/>
          <w:szCs w:val="22"/>
          <w:lang w:eastAsia="en-US"/>
        </w:rPr>
        <w:t>escale suivant n</w:t>
      </w:r>
      <w:r w:rsidR="00D43184">
        <w:rPr>
          <w:rFonts w:eastAsia="Calibri"/>
          <w:szCs w:val="22"/>
          <w:lang w:eastAsia="en-US"/>
        </w:rPr>
        <w:t>’</w:t>
      </w:r>
      <w:r w:rsidRPr="006C28E7">
        <w:rPr>
          <w:rFonts w:eastAsia="Calibri"/>
          <w:szCs w:val="22"/>
          <w:lang w:eastAsia="en-US"/>
        </w:rPr>
        <w:t>est pas connu. ▌</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6.</w:t>
      </w:r>
      <w:r w:rsidRPr="006C28E7">
        <w:rPr>
          <w:rFonts w:eastAsia="Calibri"/>
          <w:szCs w:val="22"/>
          <w:lang w:eastAsia="en-US"/>
        </w:rPr>
        <w:tab/>
        <w:t>Le paragraphe 4 est applicable sans préjudice d</w:t>
      </w:r>
      <w:r w:rsidR="00D43184">
        <w:rPr>
          <w:rFonts w:eastAsia="Calibri"/>
          <w:szCs w:val="22"/>
          <w:lang w:eastAsia="en-US"/>
        </w:rPr>
        <w:t>’</w:t>
      </w:r>
      <w:r w:rsidRPr="006C28E7">
        <w:rPr>
          <w:rFonts w:eastAsia="Calibri"/>
          <w:szCs w:val="22"/>
          <w:lang w:eastAsia="en-US"/>
        </w:rPr>
        <w:t>exigences plus strictes valables pour les navires, adoptées conformément au droit international.</w:t>
      </w:r>
    </w:p>
    <w:p w:rsidR="009C7E1C" w:rsidRPr="006C28E7" w:rsidRDefault="009C7E1C" w:rsidP="009C7E1C">
      <w:pPr>
        <w:widowControl/>
        <w:autoSpaceDE w:val="0"/>
        <w:autoSpaceDN w:val="0"/>
        <w:adjustRightInd w:val="0"/>
        <w:spacing w:before="120" w:after="120" w:line="360" w:lineRule="auto"/>
        <w:jc w:val="center"/>
        <w:rPr>
          <w:bCs/>
          <w:i/>
          <w:szCs w:val="22"/>
          <w:lang w:eastAsia="en-US"/>
        </w:rPr>
      </w:pPr>
      <w:r w:rsidRPr="006C28E7">
        <w:rPr>
          <w:rFonts w:eastAsia="Calibri"/>
          <w:i/>
          <w:iCs/>
          <w:szCs w:val="22"/>
          <w:lang w:eastAsia="en-US"/>
        </w:rPr>
        <w:t>Article 8</w:t>
      </w:r>
      <w:r w:rsidRPr="006C28E7">
        <w:rPr>
          <w:rFonts w:eastAsia="Calibri"/>
          <w:szCs w:val="22"/>
          <w:lang w:eastAsia="en-US"/>
        </w:rPr>
        <w:br/>
      </w:r>
      <w:r w:rsidRPr="006C28E7">
        <w:rPr>
          <w:rFonts w:eastAsia="Calibri"/>
          <w:i/>
          <w:iCs/>
          <w:szCs w:val="22"/>
          <w:lang w:eastAsia="en-US"/>
        </w:rPr>
        <w:t>Systèmes de recouvrement des coûts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Les États membres veillent à ce que les coûts d</w:t>
      </w:r>
      <w:r w:rsidR="00D43184">
        <w:rPr>
          <w:rFonts w:eastAsia="Calibri"/>
          <w:szCs w:val="22"/>
          <w:lang w:eastAsia="en-US"/>
        </w:rPr>
        <w:t>’</w:t>
      </w:r>
      <w:r w:rsidRPr="006C28E7">
        <w:rPr>
          <w:rFonts w:eastAsia="Calibri"/>
          <w:szCs w:val="22"/>
          <w:lang w:eastAsia="en-US"/>
        </w:rPr>
        <w:t xml:space="preserve">exploitation des installations portuaires pour la réception et le traitement des déchets des navires autres que les résidus de cargaison </w:t>
      </w:r>
      <w:r w:rsidRPr="006C28E7">
        <w:rPr>
          <w:rFonts w:eastAsia="Calibri"/>
          <w:b/>
          <w:bCs/>
          <w:i/>
          <w:iCs/>
          <w:szCs w:val="22"/>
          <w:lang w:eastAsia="en-US"/>
        </w:rPr>
        <w:t>soient</w:t>
      </w:r>
      <w:r w:rsidRPr="006C28E7">
        <w:rPr>
          <w:rFonts w:eastAsia="Calibri"/>
          <w:szCs w:val="22"/>
          <w:lang w:eastAsia="en-US"/>
        </w:rPr>
        <w:t xml:space="preserve"> couverts par une redevance perçue sur les navires. Ces coûts comprennent les éléments énumérés à l</w:t>
      </w:r>
      <w:r w:rsidR="00D43184">
        <w:rPr>
          <w:rFonts w:eastAsia="Calibri"/>
          <w:szCs w:val="22"/>
          <w:lang w:eastAsia="en-US"/>
        </w:rPr>
        <w:t>’</w:t>
      </w:r>
      <w:r w:rsidRPr="006C28E7">
        <w:rPr>
          <w:rFonts w:eastAsia="Calibri"/>
          <w:szCs w:val="22"/>
          <w:lang w:eastAsia="en-US"/>
        </w:rPr>
        <w:t>annexe 4.</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Les systèmes de recouvrement des coûts ne constituent en aucune manière une incitation à déverser les déchets en mer. À cet effet, les États membres observent l</w:t>
      </w:r>
      <w:r w:rsidR="00D43184">
        <w:rPr>
          <w:rFonts w:eastAsia="Calibri"/>
          <w:szCs w:val="22"/>
          <w:lang w:eastAsia="en-US"/>
        </w:rPr>
        <w:t>’</w:t>
      </w:r>
      <w:r w:rsidRPr="006C28E7">
        <w:rPr>
          <w:rFonts w:eastAsia="Calibri"/>
          <w:szCs w:val="22"/>
          <w:lang w:eastAsia="en-US"/>
        </w:rPr>
        <w:t>ensemble des principes suivants lorsqu</w:t>
      </w:r>
      <w:r w:rsidR="00D43184">
        <w:rPr>
          <w:rFonts w:eastAsia="Calibri"/>
          <w:szCs w:val="22"/>
          <w:lang w:eastAsia="en-US"/>
        </w:rPr>
        <w:t>’</w:t>
      </w:r>
      <w:r w:rsidRPr="006C28E7">
        <w:rPr>
          <w:rFonts w:eastAsia="Calibri"/>
          <w:szCs w:val="22"/>
          <w:lang w:eastAsia="en-US"/>
        </w:rPr>
        <w:t>ils élaborent et appliquent les systèmes de recouvrement des coûts: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r>
      <w:r w:rsidRPr="006C28E7">
        <w:rPr>
          <w:rFonts w:eastAsia="Calibri"/>
          <w:color w:val="000000"/>
          <w:szCs w:val="22"/>
          <w:lang w:eastAsia="en-US"/>
        </w:rPr>
        <w:t>▌</w:t>
      </w:r>
      <w:r w:rsidRPr="006C28E7">
        <w:rPr>
          <w:rFonts w:eastAsia="Calibri"/>
          <w:szCs w:val="22"/>
          <w:lang w:eastAsia="en-US"/>
        </w:rPr>
        <w:t xml:space="preserve"> les navires s</w:t>
      </w:r>
      <w:r w:rsidR="00D43184">
        <w:rPr>
          <w:rFonts w:eastAsia="Calibri"/>
          <w:szCs w:val="22"/>
          <w:lang w:eastAsia="en-US"/>
        </w:rPr>
        <w:t>’</w:t>
      </w:r>
      <w:r w:rsidRPr="006C28E7">
        <w:rPr>
          <w:rFonts w:eastAsia="Calibri"/>
          <w:b/>
          <w:bCs/>
          <w:i/>
          <w:iCs/>
          <w:szCs w:val="22"/>
          <w:lang w:eastAsia="en-US"/>
        </w:rPr>
        <w:t>acquittent</w:t>
      </w:r>
      <w:r w:rsidRPr="006C28E7">
        <w:rPr>
          <w:rFonts w:eastAsia="Calibri"/>
          <w:szCs w:val="22"/>
          <w:lang w:eastAsia="en-US"/>
        </w:rPr>
        <w:t xml:space="preserve"> d</w:t>
      </w:r>
      <w:r w:rsidR="00D43184">
        <w:rPr>
          <w:rFonts w:eastAsia="Calibri"/>
          <w:szCs w:val="22"/>
          <w:lang w:eastAsia="en-US"/>
        </w:rPr>
        <w:t>’</w:t>
      </w:r>
      <w:r w:rsidRPr="006C28E7">
        <w:rPr>
          <w:rFonts w:eastAsia="Calibri"/>
          <w:szCs w:val="22"/>
          <w:lang w:eastAsia="en-US"/>
        </w:rPr>
        <w:t xml:space="preserve">une redevance indirecte, </w:t>
      </w:r>
      <w:r w:rsidRPr="006C28E7">
        <w:rPr>
          <w:rFonts w:eastAsia="Calibri"/>
          <w:color w:val="000000"/>
          <w:szCs w:val="22"/>
          <w:lang w:eastAsia="en-US"/>
        </w:rPr>
        <w:t>▌</w:t>
      </w:r>
      <w:r w:rsidRPr="006C28E7">
        <w:rPr>
          <w:rFonts w:eastAsia="Calibri"/>
          <w:szCs w:val="22"/>
          <w:lang w:eastAsia="en-US"/>
        </w:rPr>
        <w:t xml:space="preserve"> indépendamment du dépôt ou non de déchets dans une installation de réception portuaire;</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b)</w:t>
      </w:r>
      <w:r w:rsidRPr="006C28E7">
        <w:rPr>
          <w:rFonts w:eastAsia="Calibri"/>
          <w:szCs w:val="22"/>
          <w:lang w:eastAsia="en-US"/>
        </w:rPr>
        <w:tab/>
        <w:t>la redevance indirecte couvre:</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ab/>
        <w:t>i)</w:t>
      </w:r>
      <w:r w:rsidRPr="006C28E7">
        <w:rPr>
          <w:rFonts w:eastAsia="Calibri"/>
          <w:szCs w:val="22"/>
          <w:lang w:eastAsia="en-US"/>
        </w:rPr>
        <w:tab/>
        <w:t>les coûts administratifs indirects;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b/>
        <w:t>ii)</w:t>
      </w:r>
      <w:r w:rsidRPr="006C28E7">
        <w:rPr>
          <w:rFonts w:eastAsia="Calibri"/>
          <w:szCs w:val="22"/>
          <w:lang w:eastAsia="en-US"/>
        </w:rPr>
        <w:tab/>
        <w:t>une partie significative des coûts d</w:t>
      </w:r>
      <w:r w:rsidR="00D43184">
        <w:rPr>
          <w:rFonts w:eastAsia="Calibri"/>
          <w:szCs w:val="22"/>
          <w:lang w:eastAsia="en-US"/>
        </w:rPr>
        <w:t>’</w:t>
      </w:r>
      <w:r w:rsidRPr="006C28E7">
        <w:rPr>
          <w:rFonts w:eastAsia="Calibri"/>
          <w:szCs w:val="22"/>
          <w:lang w:eastAsia="en-US"/>
        </w:rPr>
        <w:t>exploitation directs, tels qu</w:t>
      </w:r>
      <w:r w:rsidR="00D43184">
        <w:rPr>
          <w:rFonts w:eastAsia="Calibri"/>
          <w:szCs w:val="22"/>
          <w:lang w:eastAsia="en-US"/>
        </w:rPr>
        <w:t>’</w:t>
      </w:r>
      <w:r w:rsidRPr="006C28E7">
        <w:rPr>
          <w:rFonts w:eastAsia="Calibri"/>
          <w:szCs w:val="22"/>
          <w:lang w:eastAsia="en-US"/>
        </w:rPr>
        <w:t>ils sont fixés à l</w:t>
      </w:r>
      <w:r w:rsidR="00D43184">
        <w:rPr>
          <w:rFonts w:eastAsia="Calibri"/>
          <w:szCs w:val="22"/>
          <w:lang w:eastAsia="en-US"/>
        </w:rPr>
        <w:t>’</w:t>
      </w:r>
      <w:r w:rsidRPr="006C28E7">
        <w:rPr>
          <w:rFonts w:eastAsia="Calibri"/>
          <w:szCs w:val="22"/>
          <w:lang w:eastAsia="en-US"/>
        </w:rPr>
        <w:t xml:space="preserve">annexe 4, qui représente au moins 30 % du total </w:t>
      </w:r>
      <w:r w:rsidRPr="006C28E7">
        <w:rPr>
          <w:rFonts w:eastAsia="Calibri"/>
          <w:color w:val="000000"/>
          <w:szCs w:val="22"/>
          <w:lang w:eastAsia="en-US"/>
        </w:rPr>
        <w:t>▌</w:t>
      </w:r>
      <w:r w:rsidRPr="006C28E7">
        <w:rPr>
          <w:rFonts w:eastAsia="Calibri"/>
          <w:szCs w:val="22"/>
          <w:lang w:eastAsia="en-US"/>
        </w:rPr>
        <w:t xml:space="preserve"> des coûts directs correspondant au dépôt effectif des déchets </w:t>
      </w:r>
      <w:r w:rsidRPr="006C28E7">
        <w:rPr>
          <w:rFonts w:eastAsia="Calibri"/>
          <w:b/>
          <w:bCs/>
          <w:i/>
          <w:iCs/>
          <w:szCs w:val="22"/>
          <w:lang w:eastAsia="en-US"/>
        </w:rPr>
        <w:t>au cours de l</w:t>
      </w:r>
      <w:r w:rsidR="00D43184">
        <w:rPr>
          <w:rFonts w:eastAsia="Calibri"/>
          <w:b/>
          <w:bCs/>
          <w:i/>
          <w:iCs/>
          <w:szCs w:val="22"/>
          <w:lang w:eastAsia="en-US"/>
        </w:rPr>
        <w:t>’</w:t>
      </w:r>
      <w:r w:rsidRPr="006C28E7">
        <w:rPr>
          <w:rFonts w:eastAsia="Calibri"/>
          <w:b/>
          <w:bCs/>
          <w:i/>
          <w:iCs/>
          <w:szCs w:val="22"/>
          <w:lang w:eastAsia="en-US"/>
        </w:rPr>
        <w:t>année précédente</w:t>
      </w:r>
      <w:r w:rsidRPr="006C28E7">
        <w:rPr>
          <w:rFonts w:eastAsia="Calibri"/>
          <w:szCs w:val="22"/>
          <w:lang w:eastAsia="en-US"/>
        </w:rPr>
        <w:t>,</w:t>
      </w:r>
      <w:r w:rsidRPr="006C28E7">
        <w:rPr>
          <w:rFonts w:eastAsia="Calibri"/>
          <w:b/>
          <w:i/>
          <w:color w:val="000000"/>
          <w:szCs w:val="22"/>
          <w:lang w:eastAsia="en-US"/>
        </w:rPr>
        <w:t xml:space="preserve"> </w:t>
      </w:r>
      <w:r w:rsidRPr="006C28E7">
        <w:rPr>
          <w:rFonts w:eastAsia="Calibri"/>
          <w:b/>
          <w:bCs/>
          <w:i/>
          <w:iCs/>
          <w:szCs w:val="22"/>
          <w:lang w:eastAsia="en-US"/>
        </w:rPr>
        <w:t>avec la possibilité de prendre également en compte les coûts liés au volume de trafic prévu pour l</w:t>
      </w:r>
      <w:r w:rsidR="00D43184">
        <w:rPr>
          <w:rFonts w:eastAsia="Calibri"/>
          <w:b/>
          <w:bCs/>
          <w:i/>
          <w:iCs/>
          <w:szCs w:val="22"/>
          <w:lang w:eastAsia="en-US"/>
        </w:rPr>
        <w:t>’</w:t>
      </w:r>
      <w:r w:rsidRPr="006C28E7">
        <w:rPr>
          <w:rFonts w:eastAsia="Calibri"/>
          <w:b/>
          <w:bCs/>
          <w:i/>
          <w:iCs/>
          <w:szCs w:val="22"/>
          <w:lang w:eastAsia="en-US"/>
        </w:rPr>
        <w:t>année à venir;</w:t>
      </w:r>
      <w:r w:rsidRPr="006C28E7">
        <w:rPr>
          <w:rFonts w:eastAsia="Calibri"/>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1134" w:hanging="567"/>
        <w:rPr>
          <w:b/>
          <w:szCs w:val="22"/>
          <w:u w:val="single"/>
          <w:lang w:eastAsia="en-US"/>
        </w:rPr>
      </w:pPr>
      <w:r w:rsidRPr="006C28E7">
        <w:rPr>
          <w:rFonts w:eastAsia="Calibri"/>
          <w:szCs w:val="22"/>
          <w:lang w:eastAsia="en-US"/>
        </w:rPr>
        <w:t>c)</w:t>
      </w:r>
      <w:r w:rsidRPr="006C28E7">
        <w:rPr>
          <w:rFonts w:eastAsia="Calibri"/>
          <w:szCs w:val="22"/>
          <w:lang w:eastAsia="en-US"/>
        </w:rPr>
        <w:tab/>
        <w:t>afin d</w:t>
      </w:r>
      <w:r w:rsidR="00D43184">
        <w:rPr>
          <w:rFonts w:eastAsia="Calibri"/>
          <w:szCs w:val="22"/>
          <w:lang w:eastAsia="en-US"/>
        </w:rPr>
        <w:t>’</w:t>
      </w:r>
      <w:r w:rsidRPr="006C28E7">
        <w:rPr>
          <w:rFonts w:eastAsia="Calibri"/>
          <w:szCs w:val="22"/>
          <w:lang w:eastAsia="en-US"/>
        </w:rPr>
        <w:t>offrir une incitation la plus large possible au dépôt des déchets relevant de l</w:t>
      </w:r>
      <w:r w:rsidR="00D43184">
        <w:rPr>
          <w:rFonts w:eastAsia="Calibri"/>
          <w:szCs w:val="22"/>
          <w:lang w:eastAsia="en-US"/>
        </w:rPr>
        <w:t>’</w:t>
      </w:r>
      <w:r w:rsidRPr="006C28E7">
        <w:rPr>
          <w:rFonts w:eastAsia="Calibri"/>
          <w:szCs w:val="22"/>
          <w:lang w:eastAsia="en-US"/>
        </w:rPr>
        <w:t xml:space="preserve">annexe V de MARPOL, </w:t>
      </w:r>
      <w:r w:rsidRPr="006C28E7">
        <w:rPr>
          <w:rFonts w:eastAsia="Calibri"/>
          <w:b/>
          <w:bCs/>
          <w:i/>
          <w:iCs/>
          <w:szCs w:val="22"/>
          <w:lang w:eastAsia="en-US"/>
        </w:rPr>
        <w:t>autres que les résidus de cargaison, aucune redevance directe n</w:t>
      </w:r>
      <w:r w:rsidR="00D43184">
        <w:rPr>
          <w:rFonts w:eastAsia="Calibri"/>
          <w:b/>
          <w:bCs/>
          <w:i/>
          <w:iCs/>
          <w:szCs w:val="22"/>
          <w:lang w:eastAsia="en-US"/>
        </w:rPr>
        <w:t>’</w:t>
      </w:r>
      <w:r w:rsidRPr="006C28E7">
        <w:rPr>
          <w:rFonts w:eastAsia="Calibri"/>
          <w:b/>
          <w:bCs/>
          <w:i/>
          <w:iCs/>
          <w:szCs w:val="22"/>
          <w:lang w:eastAsia="en-US"/>
        </w:rPr>
        <w:t>est</w:t>
      </w:r>
      <w:r w:rsidRPr="006C28E7">
        <w:rPr>
          <w:rFonts w:eastAsia="Calibri"/>
          <w:szCs w:val="22"/>
          <w:lang w:eastAsia="en-US"/>
        </w:rPr>
        <w:t xml:space="preserve"> perçue </w:t>
      </w:r>
      <w:r w:rsidRPr="006C28E7">
        <w:rPr>
          <w:rFonts w:eastAsia="Calibri"/>
          <w:color w:val="000000"/>
          <w:szCs w:val="22"/>
          <w:lang w:eastAsia="en-US"/>
        </w:rPr>
        <w:t>▌</w:t>
      </w:r>
      <w:r w:rsidRPr="006C28E7">
        <w:rPr>
          <w:rFonts w:eastAsia="Calibri"/>
          <w:szCs w:val="22"/>
          <w:lang w:eastAsia="en-US"/>
        </w:rPr>
        <w:t xml:space="preserve">pour ces déchets, de manière à garantir un droit de dépôt sans frais </w:t>
      </w:r>
      <w:r w:rsidRPr="006C28E7">
        <w:rPr>
          <w:rFonts w:eastAsia="Calibri"/>
          <w:color w:val="000000"/>
          <w:szCs w:val="22"/>
          <w:lang w:eastAsia="en-US"/>
        </w:rPr>
        <w:t>▌</w:t>
      </w:r>
      <w:r w:rsidRPr="006C28E7">
        <w:rPr>
          <w:rFonts w:eastAsia="Calibri"/>
          <w:szCs w:val="22"/>
          <w:lang w:eastAsia="en-US"/>
        </w:rPr>
        <w:t>supplémentaires f</w:t>
      </w:r>
      <w:r w:rsidRPr="006C28E7">
        <w:rPr>
          <w:rFonts w:eastAsia="Calibri"/>
          <w:b/>
          <w:bCs/>
          <w:i/>
          <w:iCs/>
          <w:szCs w:val="22"/>
          <w:lang w:eastAsia="en-US"/>
        </w:rPr>
        <w:t>ondés sur le volume de déchets déposés, sauf lorsque le volume des déchets excède la capacité de stockage dédiée maximale indiquée dans le formulaire figurant à l</w:t>
      </w:r>
      <w:r w:rsidR="00D43184">
        <w:rPr>
          <w:rFonts w:eastAsia="Calibri"/>
          <w:b/>
          <w:bCs/>
          <w:i/>
          <w:iCs/>
          <w:szCs w:val="22"/>
          <w:lang w:eastAsia="en-US"/>
        </w:rPr>
        <w:t>’</w:t>
      </w:r>
      <w:r w:rsidRPr="006C28E7">
        <w:rPr>
          <w:rFonts w:eastAsia="Calibri"/>
          <w:b/>
          <w:bCs/>
          <w:i/>
          <w:iCs/>
          <w:szCs w:val="22"/>
          <w:lang w:eastAsia="en-US"/>
        </w:rPr>
        <w:t>annexe 2 de la présente directive;</w:t>
      </w:r>
      <w:r w:rsidRPr="006C28E7">
        <w:rPr>
          <w:rFonts w:eastAsia="Calibri"/>
          <w:b/>
          <w:i/>
          <w:color w:val="000000"/>
          <w:szCs w:val="22"/>
          <w:lang w:eastAsia="en-US"/>
        </w:rPr>
        <w:t xml:space="preserve"> </w:t>
      </w:r>
      <w:r w:rsidRPr="006C28E7">
        <w:rPr>
          <w:rFonts w:eastAsia="Calibri"/>
          <w:b/>
          <w:bCs/>
          <w:i/>
          <w:iCs/>
          <w:szCs w:val="22"/>
          <w:lang w:eastAsia="en-US"/>
        </w:rPr>
        <w:t>les déchets pêchés passivement sont couverts par ce régime, y compris le droit de dépôt;</w:t>
      </w:r>
    </w:p>
    <w:p w:rsidR="009C7E1C" w:rsidRPr="006C28E7" w:rsidRDefault="009C7E1C" w:rsidP="009C7E1C">
      <w:pPr>
        <w:widowControl/>
        <w:spacing w:after="200" w:line="276" w:lineRule="auto"/>
        <w:rPr>
          <w:b/>
          <w:i/>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d)</w:t>
      </w:r>
      <w:r w:rsidRPr="006C28E7">
        <w:rPr>
          <w:rFonts w:eastAsia="Calibri"/>
          <w:b/>
          <w:i/>
          <w:color w:val="000000"/>
          <w:szCs w:val="22"/>
          <w:lang w:eastAsia="en-US"/>
        </w:rPr>
        <w:tab/>
        <w:t>afin d</w:t>
      </w:r>
      <w:r w:rsidR="00D43184">
        <w:rPr>
          <w:rFonts w:eastAsia="Calibri"/>
          <w:b/>
          <w:i/>
          <w:color w:val="000000"/>
          <w:szCs w:val="22"/>
          <w:lang w:eastAsia="en-US"/>
        </w:rPr>
        <w:t>’</w:t>
      </w:r>
      <w:r w:rsidRPr="006C28E7">
        <w:rPr>
          <w:rFonts w:eastAsia="Calibri"/>
          <w:b/>
          <w:i/>
          <w:color w:val="000000"/>
          <w:szCs w:val="22"/>
          <w:lang w:eastAsia="en-US"/>
        </w:rPr>
        <w:t>éviter que les coûts de collecte et de traitement des déchets pêchés passivement ne soit supportés exclusivement par les utilisateurs des ports, les États membres couvrent, le cas échéant, ces coûts grâce aux recettes provenant d</w:t>
      </w:r>
      <w:r w:rsidR="00D43184">
        <w:rPr>
          <w:rFonts w:eastAsia="Calibri"/>
          <w:b/>
          <w:i/>
          <w:color w:val="000000"/>
          <w:szCs w:val="22"/>
          <w:lang w:eastAsia="en-US"/>
        </w:rPr>
        <w:t>’</w:t>
      </w:r>
      <w:r w:rsidRPr="006C28E7">
        <w:rPr>
          <w:rFonts w:eastAsia="Calibri"/>
          <w:b/>
          <w:i/>
          <w:color w:val="000000"/>
          <w:szCs w:val="22"/>
          <w:lang w:eastAsia="en-US"/>
        </w:rPr>
        <w:t>autres mécanismes de financement, y compris les systèmes de gestion des déchets ainsi que les financements de l</w:t>
      </w:r>
      <w:r w:rsidR="00D43184">
        <w:rPr>
          <w:rFonts w:eastAsia="Calibri"/>
          <w:b/>
          <w:i/>
          <w:color w:val="000000"/>
          <w:szCs w:val="22"/>
          <w:lang w:eastAsia="en-US"/>
        </w:rPr>
        <w:t>’</w:t>
      </w:r>
      <w:r w:rsidRPr="006C28E7">
        <w:rPr>
          <w:rFonts w:eastAsia="Calibri"/>
          <w:b/>
          <w:i/>
          <w:color w:val="000000"/>
          <w:szCs w:val="22"/>
          <w:lang w:eastAsia="en-US"/>
        </w:rPr>
        <w:t>Union, les financements nationaux ou les financements régionaux disponibles;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e)</w:t>
      </w:r>
      <w:r w:rsidRPr="006C28E7">
        <w:rPr>
          <w:rFonts w:eastAsia="Calibri"/>
          <w:b/>
          <w:i/>
          <w:color w:val="000000"/>
          <w:szCs w:val="22"/>
          <w:lang w:eastAsia="en-US"/>
        </w:rPr>
        <w:tab/>
        <w:t>afin d</w:t>
      </w:r>
      <w:r w:rsidR="00D43184">
        <w:rPr>
          <w:rFonts w:eastAsia="Calibri"/>
          <w:b/>
          <w:i/>
          <w:color w:val="000000"/>
          <w:szCs w:val="22"/>
          <w:lang w:eastAsia="en-US"/>
        </w:rPr>
        <w:t>’</w:t>
      </w:r>
      <w:r w:rsidRPr="006C28E7">
        <w:rPr>
          <w:rFonts w:eastAsia="Calibri"/>
          <w:b/>
          <w:i/>
          <w:color w:val="000000"/>
          <w:szCs w:val="22"/>
          <w:lang w:eastAsia="en-US"/>
        </w:rPr>
        <w:t>encourager le dépôt de résidus de lavage de citernes contenant des substances flottantes persistantes à haute viscosité, les États membres peuvent prévoir des incitations financières appropriées pour leur dépôt;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bCs/>
          <w:i/>
          <w:iCs/>
          <w:szCs w:val="22"/>
          <w:lang w:eastAsia="en-US"/>
        </w:rPr>
        <w:t>f)</w:t>
      </w:r>
      <w:r w:rsidRPr="006C28E7">
        <w:rPr>
          <w:rFonts w:eastAsia="Calibri"/>
          <w:szCs w:val="22"/>
          <w:lang w:eastAsia="en-US"/>
        </w:rPr>
        <w:tab/>
      </w:r>
      <w:r w:rsidRPr="006C28E7">
        <w:rPr>
          <w:rFonts w:eastAsia="Calibri"/>
          <w:b/>
          <w:bCs/>
          <w:i/>
          <w:iCs/>
          <w:szCs w:val="22"/>
          <w:lang w:eastAsia="en-US"/>
        </w:rPr>
        <w:t>la</w:t>
      </w:r>
      <w:r w:rsidRPr="006C28E7">
        <w:rPr>
          <w:rFonts w:eastAsia="Calibri"/>
          <w:szCs w:val="22"/>
          <w:lang w:eastAsia="en-US"/>
        </w:rPr>
        <w:t xml:space="preserve"> redevance indirecte ne </w:t>
      </w:r>
      <w:r w:rsidRPr="006C28E7">
        <w:rPr>
          <w:rFonts w:eastAsia="Calibri"/>
          <w:b/>
          <w:bCs/>
          <w:i/>
          <w:iCs/>
          <w:szCs w:val="22"/>
          <w:lang w:eastAsia="en-US"/>
        </w:rPr>
        <w:t>porte</w:t>
      </w:r>
      <w:r w:rsidRPr="006C28E7">
        <w:rPr>
          <w:rFonts w:eastAsia="Calibri"/>
          <w:szCs w:val="22"/>
          <w:lang w:eastAsia="en-US"/>
        </w:rPr>
        <w:t xml:space="preserve"> pas sur les résidus des systèmes d</w:t>
      </w:r>
      <w:r w:rsidR="00D43184">
        <w:rPr>
          <w:rFonts w:eastAsia="Calibri"/>
          <w:szCs w:val="22"/>
          <w:lang w:eastAsia="en-US"/>
        </w:rPr>
        <w:t>’</w:t>
      </w:r>
      <w:r w:rsidRPr="006C28E7">
        <w:rPr>
          <w:rFonts w:eastAsia="Calibri"/>
          <w:szCs w:val="22"/>
          <w:lang w:eastAsia="en-US"/>
        </w:rPr>
        <w:t>épuration des gaz d</w:t>
      </w:r>
      <w:r w:rsidR="00D43184">
        <w:rPr>
          <w:rFonts w:eastAsia="Calibri"/>
          <w:szCs w:val="22"/>
          <w:lang w:eastAsia="en-US"/>
        </w:rPr>
        <w:t>’</w:t>
      </w:r>
      <w:r w:rsidRPr="006C28E7">
        <w:rPr>
          <w:rFonts w:eastAsia="Calibri"/>
          <w:szCs w:val="22"/>
          <w:lang w:eastAsia="en-US"/>
        </w:rPr>
        <w:t>échappement, pour lesquels les coûts sont couverts sur la base des types et des quantités de déchets déposés.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La part des coûts qui n</w:t>
      </w:r>
      <w:r w:rsidR="00D43184">
        <w:rPr>
          <w:rFonts w:eastAsia="Calibri"/>
          <w:szCs w:val="22"/>
          <w:lang w:eastAsia="en-US"/>
        </w:rPr>
        <w:t>’</w:t>
      </w:r>
      <w:r w:rsidRPr="006C28E7">
        <w:rPr>
          <w:rFonts w:eastAsia="Calibri"/>
          <w:szCs w:val="22"/>
          <w:lang w:eastAsia="en-US"/>
        </w:rPr>
        <w:t>est pas couverte par la redevance indirecte éventuelle est couverte sur la base des types et des quantités de déchets effectivement déposés par le navire.</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4.</w:t>
      </w:r>
      <w:r w:rsidRPr="006C28E7">
        <w:rPr>
          <w:rFonts w:eastAsia="Calibri"/>
          <w:szCs w:val="22"/>
          <w:lang w:eastAsia="en-US"/>
        </w:rPr>
        <w:tab/>
        <w:t xml:space="preserve">Les redevances peuvent être différenciées </w:t>
      </w:r>
      <w:r w:rsidRPr="006C28E7">
        <w:rPr>
          <w:rFonts w:eastAsia="Calibri"/>
          <w:b/>
          <w:bCs/>
          <w:i/>
          <w:iCs/>
          <w:szCs w:val="22"/>
          <w:lang w:eastAsia="en-US"/>
        </w:rPr>
        <w:t>selon les critères suivants</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a)</w:t>
      </w:r>
      <w:r w:rsidRPr="006C28E7">
        <w:rPr>
          <w:rFonts w:eastAsia="Calibri"/>
          <w:b/>
          <w:i/>
          <w:color w:val="000000"/>
          <w:szCs w:val="22"/>
          <w:lang w:eastAsia="en-US"/>
        </w:rPr>
        <w:tab/>
      </w:r>
      <w:r w:rsidRPr="006C28E7">
        <w:rPr>
          <w:rFonts w:eastAsia="Calibri"/>
          <w:szCs w:val="22"/>
          <w:lang w:eastAsia="en-US"/>
        </w:rPr>
        <w:t>la catégorie, le type et la taille du navire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b)</w:t>
      </w:r>
      <w:r w:rsidRPr="006C28E7">
        <w:rPr>
          <w:rFonts w:eastAsia="Calibri"/>
          <w:b/>
          <w:i/>
          <w:color w:val="000000"/>
          <w:szCs w:val="22"/>
          <w:lang w:eastAsia="en-US"/>
        </w:rPr>
        <w:tab/>
      </w:r>
      <w:r w:rsidRPr="006C28E7">
        <w:rPr>
          <w:rFonts w:eastAsia="Calibri"/>
          <w:szCs w:val="22"/>
          <w:lang w:eastAsia="en-US"/>
        </w:rPr>
        <w:t xml:space="preserve">la </w:t>
      </w:r>
      <w:r w:rsidRPr="006C28E7">
        <w:rPr>
          <w:rFonts w:eastAsia="Calibri"/>
          <w:b/>
          <w:bCs/>
          <w:i/>
          <w:iCs/>
          <w:szCs w:val="22"/>
          <w:lang w:eastAsia="en-US"/>
        </w:rPr>
        <w:t>fourniture de</w:t>
      </w:r>
      <w:r w:rsidRPr="006C28E7">
        <w:rPr>
          <w:rFonts w:eastAsia="Calibri"/>
          <w:szCs w:val="22"/>
          <w:lang w:eastAsia="en-US"/>
        </w:rPr>
        <w:t xml:space="preserve"> services </w:t>
      </w:r>
      <w:r w:rsidRPr="006C28E7">
        <w:rPr>
          <w:rFonts w:eastAsia="Calibri"/>
          <w:b/>
          <w:bCs/>
          <w:i/>
          <w:iCs/>
          <w:szCs w:val="22"/>
          <w:lang w:eastAsia="en-US"/>
        </w:rPr>
        <w:t>aux navires</w:t>
      </w:r>
      <w:r w:rsidRPr="006C28E7">
        <w:rPr>
          <w:rFonts w:eastAsia="Calibri"/>
          <w:szCs w:val="22"/>
          <w:lang w:eastAsia="en-US"/>
        </w:rPr>
        <w:t xml:space="preserve"> en dehors des heures habituelles de fonctionnement du port;</w:t>
      </w:r>
      <w:r w:rsidRPr="006C28E7">
        <w:rPr>
          <w:rFonts w:eastAsia="Calibri"/>
          <w:b/>
          <w:i/>
          <w:color w:val="000000"/>
          <w:szCs w:val="22"/>
          <w:lang w:eastAsia="en-US"/>
        </w:rPr>
        <w:t xml:space="preserve"> ou</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br w:type="page"/>
        <w:t>c)</w:t>
      </w:r>
      <w:r w:rsidRPr="006C28E7">
        <w:rPr>
          <w:rFonts w:eastAsia="Calibri"/>
          <w:b/>
          <w:i/>
          <w:color w:val="000000"/>
          <w:szCs w:val="22"/>
          <w:lang w:eastAsia="en-US"/>
        </w:rPr>
        <w:tab/>
        <w:t>le caractère dangereux des déchets.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bCs/>
          <w:i/>
          <w:iCs/>
          <w:szCs w:val="22"/>
          <w:lang w:eastAsia="en-US"/>
        </w:rPr>
        <w:t>5.</w:t>
      </w:r>
      <w:r w:rsidRPr="006C28E7">
        <w:rPr>
          <w:rFonts w:eastAsia="Calibri"/>
          <w:szCs w:val="22"/>
          <w:lang w:eastAsia="en-US"/>
        </w:rPr>
        <w:tab/>
        <w:t xml:space="preserve">Les redevances sont réduites </w:t>
      </w:r>
      <w:r w:rsidRPr="006C28E7">
        <w:rPr>
          <w:rFonts w:eastAsia="Calibri"/>
          <w:b/>
          <w:bCs/>
          <w:i/>
          <w:iCs/>
          <w:szCs w:val="22"/>
          <w:lang w:eastAsia="en-US"/>
        </w:rPr>
        <w:t>selon les critères suivants</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b/>
          <w:i/>
          <w:color w:val="000000"/>
          <w:szCs w:val="22"/>
          <w:lang w:eastAsia="en-US"/>
        </w:rPr>
      </w:pPr>
      <w:r w:rsidRPr="006C28E7">
        <w:rPr>
          <w:rFonts w:eastAsia="Calibri"/>
          <w:b/>
          <w:i/>
          <w:color w:val="000000"/>
          <w:szCs w:val="22"/>
          <w:lang w:eastAsia="en-US"/>
        </w:rPr>
        <w:t>a)</w:t>
      </w:r>
      <w:r w:rsidRPr="006C28E7">
        <w:rPr>
          <w:rFonts w:eastAsia="Calibri"/>
          <w:b/>
          <w:i/>
          <w:color w:val="000000"/>
          <w:szCs w:val="22"/>
          <w:lang w:eastAsia="en-US"/>
        </w:rPr>
        <w:tab/>
        <w:t>le type d</w:t>
      </w:r>
      <w:r w:rsidR="00D43184">
        <w:rPr>
          <w:rFonts w:eastAsia="Calibri"/>
          <w:b/>
          <w:i/>
          <w:color w:val="000000"/>
          <w:szCs w:val="22"/>
          <w:lang w:eastAsia="en-US"/>
        </w:rPr>
        <w:t>’</w:t>
      </w:r>
      <w:r w:rsidRPr="006C28E7">
        <w:rPr>
          <w:rFonts w:eastAsia="Calibri"/>
          <w:b/>
          <w:i/>
          <w:color w:val="000000"/>
          <w:szCs w:val="22"/>
          <w:lang w:eastAsia="en-US"/>
        </w:rPr>
        <w:t>activité du navire, en particulier lorsqu</w:t>
      </w:r>
      <w:r w:rsidR="00D43184">
        <w:rPr>
          <w:rFonts w:eastAsia="Calibri"/>
          <w:b/>
          <w:i/>
          <w:color w:val="000000"/>
          <w:szCs w:val="22"/>
          <w:lang w:eastAsia="en-US"/>
        </w:rPr>
        <w:t>’</w:t>
      </w:r>
      <w:r w:rsidRPr="006C28E7">
        <w:rPr>
          <w:rFonts w:eastAsia="Calibri"/>
          <w:b/>
          <w:i/>
          <w:color w:val="000000"/>
          <w:szCs w:val="22"/>
          <w:lang w:eastAsia="en-US"/>
        </w:rPr>
        <w:t>il s</w:t>
      </w:r>
      <w:r w:rsidR="00D43184">
        <w:rPr>
          <w:rFonts w:eastAsia="Calibri"/>
          <w:b/>
          <w:i/>
          <w:color w:val="000000"/>
          <w:szCs w:val="22"/>
          <w:lang w:eastAsia="en-US"/>
        </w:rPr>
        <w:t>’</w:t>
      </w:r>
      <w:r w:rsidRPr="006C28E7">
        <w:rPr>
          <w:rFonts w:eastAsia="Calibri"/>
          <w:b/>
          <w:i/>
          <w:color w:val="000000"/>
          <w:szCs w:val="22"/>
          <w:lang w:eastAsia="en-US"/>
        </w:rPr>
        <w:t xml:space="preserve">agit de transport maritime à courte distance; </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b)</w:t>
      </w:r>
      <w:r w:rsidRPr="006C28E7">
        <w:rPr>
          <w:rFonts w:eastAsia="Calibri"/>
          <w:szCs w:val="22"/>
          <w:lang w:eastAsia="en-US"/>
        </w:rPr>
        <w:tab/>
        <w:t>la conception, l</w:t>
      </w:r>
      <w:r w:rsidR="00D43184">
        <w:rPr>
          <w:rFonts w:eastAsia="Calibri"/>
          <w:szCs w:val="22"/>
          <w:lang w:eastAsia="en-US"/>
        </w:rPr>
        <w:t>’</w:t>
      </w:r>
      <w:r w:rsidRPr="006C28E7">
        <w:rPr>
          <w:rFonts w:eastAsia="Calibri"/>
          <w:szCs w:val="22"/>
          <w:lang w:eastAsia="en-US"/>
        </w:rPr>
        <w:t>équipement et l</w:t>
      </w:r>
      <w:r w:rsidR="00D43184">
        <w:rPr>
          <w:rFonts w:eastAsia="Calibri"/>
          <w:szCs w:val="22"/>
          <w:lang w:eastAsia="en-US"/>
        </w:rPr>
        <w:t>’</w:t>
      </w:r>
      <w:r w:rsidRPr="006C28E7">
        <w:rPr>
          <w:rFonts w:eastAsia="Calibri"/>
          <w:szCs w:val="22"/>
          <w:lang w:eastAsia="en-US"/>
        </w:rPr>
        <w:t xml:space="preserve">exploitation du navire </w:t>
      </w:r>
      <w:r w:rsidRPr="006C28E7">
        <w:rPr>
          <w:rFonts w:eastAsia="Calibri"/>
          <w:b/>
          <w:bCs/>
          <w:i/>
          <w:iCs/>
          <w:szCs w:val="22"/>
          <w:lang w:eastAsia="en-US"/>
        </w:rPr>
        <w:t>démontrent</w:t>
      </w:r>
      <w:r w:rsidRPr="006C28E7">
        <w:rPr>
          <w:rFonts w:eastAsia="Calibri"/>
          <w:szCs w:val="22"/>
          <w:lang w:eastAsia="en-US"/>
        </w:rPr>
        <w:t xml:space="preserve"> que le navire génère une quantité réduite de déchets et qu</w:t>
      </w:r>
      <w:r w:rsidR="00D43184">
        <w:rPr>
          <w:rFonts w:eastAsia="Calibri"/>
          <w:szCs w:val="22"/>
          <w:lang w:eastAsia="en-US"/>
        </w:rPr>
        <w:t>’</w:t>
      </w:r>
      <w:r w:rsidRPr="006C28E7">
        <w:rPr>
          <w:rFonts w:eastAsia="Calibri"/>
          <w:szCs w:val="22"/>
          <w:lang w:eastAsia="en-US"/>
        </w:rPr>
        <w:t>il gère ceux-ci de manière durable et respectueuse de l</w:t>
      </w:r>
      <w:r w:rsidR="00D43184">
        <w:rPr>
          <w:rFonts w:eastAsia="Calibri"/>
          <w:szCs w:val="22"/>
          <w:lang w:eastAsia="en-US"/>
        </w:rPr>
        <w:t>’</w:t>
      </w:r>
      <w:r w:rsidRPr="006C28E7">
        <w:rPr>
          <w:rFonts w:eastAsia="Calibri"/>
          <w:szCs w:val="22"/>
          <w:lang w:eastAsia="en-US"/>
        </w:rPr>
        <w:t>environnement.</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ab/>
        <w:t>A</w:t>
      </w:r>
      <w:r w:rsidRPr="006C28E7">
        <w:rPr>
          <w:rFonts w:eastAsia="Calibri"/>
          <w:b/>
          <w:bCs/>
          <w:i/>
          <w:iCs/>
          <w:szCs w:val="22"/>
          <w:lang w:eastAsia="en-US"/>
        </w:rPr>
        <w:t>u plus tard le</w:t>
      </w:r>
      <w:r w:rsidRPr="006C28E7">
        <w:rPr>
          <w:rFonts w:eastAsia="Calibri"/>
          <w:b/>
          <w:bCs/>
          <w:szCs w:val="22"/>
          <w:lang w:eastAsia="en-US"/>
        </w:rPr>
        <w:t>...</w:t>
      </w:r>
      <w:r w:rsidRPr="006C28E7">
        <w:rPr>
          <w:rFonts w:eastAsia="Calibri"/>
          <w:szCs w:val="22"/>
          <w:lang w:eastAsia="en-US"/>
        </w:rPr>
        <w:t xml:space="preserve"> </w:t>
      </w:r>
      <w:r w:rsidRPr="006C28E7">
        <w:rPr>
          <w:rFonts w:eastAsia="Calibri"/>
          <w:b/>
          <w:bCs/>
          <w:szCs w:val="22"/>
          <w:lang w:eastAsia="en-US"/>
        </w:rPr>
        <w:t>[</w:t>
      </w:r>
      <w:r w:rsidRPr="006C28E7">
        <w:rPr>
          <w:rFonts w:eastAsia="Calibri"/>
          <w:b/>
          <w:bCs/>
          <w:i/>
          <w:iCs/>
          <w:szCs w:val="22"/>
          <w:lang w:eastAsia="en-US"/>
        </w:rPr>
        <w:t>douze mois après la date d</w:t>
      </w:r>
      <w:r w:rsidR="00D43184">
        <w:rPr>
          <w:rFonts w:eastAsia="Calibri"/>
          <w:b/>
          <w:bCs/>
          <w:i/>
          <w:iCs/>
          <w:szCs w:val="22"/>
          <w:lang w:eastAsia="en-US"/>
        </w:rPr>
        <w:t>’</w:t>
      </w:r>
      <w:r w:rsidRPr="006C28E7">
        <w:rPr>
          <w:rFonts w:eastAsia="Calibri"/>
          <w:b/>
          <w:bCs/>
          <w:i/>
          <w:iCs/>
          <w:szCs w:val="22"/>
          <w:lang w:eastAsia="en-US"/>
        </w:rPr>
        <w:t>entrée en vigueur de la présente directive</w:t>
      </w:r>
      <w:r w:rsidRPr="006C28E7">
        <w:rPr>
          <w:rFonts w:eastAsia="Calibri"/>
          <w:szCs w:val="22"/>
          <w:lang w:eastAsia="en-US"/>
        </w:rPr>
        <w:t xml:space="preserve">], la Commission </w:t>
      </w:r>
      <w:r w:rsidRPr="006C28E7">
        <w:rPr>
          <w:rFonts w:eastAsia="Calibri"/>
          <w:b/>
          <w:bCs/>
          <w:i/>
          <w:iCs/>
          <w:szCs w:val="22"/>
          <w:lang w:eastAsia="en-US"/>
        </w:rPr>
        <w:t>adopte des actes d</w:t>
      </w:r>
      <w:r w:rsidR="00D43184">
        <w:rPr>
          <w:rFonts w:eastAsia="Calibri"/>
          <w:b/>
          <w:bCs/>
          <w:i/>
          <w:iCs/>
          <w:szCs w:val="22"/>
          <w:lang w:eastAsia="en-US"/>
        </w:rPr>
        <w:t>’</w:t>
      </w:r>
      <w:r w:rsidRPr="006C28E7">
        <w:rPr>
          <w:rFonts w:eastAsia="Calibri"/>
          <w:b/>
          <w:bCs/>
          <w:i/>
          <w:iCs/>
          <w:szCs w:val="22"/>
          <w:lang w:eastAsia="en-US"/>
        </w:rPr>
        <w:t xml:space="preserve">exécution </w:t>
      </w:r>
      <w:r w:rsidRPr="006C28E7">
        <w:rPr>
          <w:rFonts w:eastAsia="Calibri"/>
          <w:szCs w:val="22"/>
          <w:lang w:eastAsia="en-US"/>
        </w:rPr>
        <w:t>pour définir les critères permettant de déterminer qu</w:t>
      </w:r>
      <w:r w:rsidR="00D43184">
        <w:rPr>
          <w:rFonts w:eastAsia="Calibri"/>
          <w:szCs w:val="22"/>
          <w:lang w:eastAsia="en-US"/>
        </w:rPr>
        <w:t>’</w:t>
      </w:r>
      <w:r w:rsidRPr="006C28E7">
        <w:rPr>
          <w:rFonts w:eastAsia="Calibri"/>
          <w:szCs w:val="22"/>
          <w:lang w:eastAsia="en-US"/>
        </w:rPr>
        <w:t>un navire satisfait aux exigences énoncées au premier alinéa, point b), en ce qui concerne la gestion des déchets à bord du navire.</w:t>
      </w:r>
      <w:r w:rsidRPr="006C28E7">
        <w:rPr>
          <w:rFonts w:eastAsia="Calibri"/>
          <w:b/>
          <w:i/>
          <w:color w:val="000000"/>
          <w:szCs w:val="22"/>
          <w:lang w:eastAsia="en-US"/>
        </w:rPr>
        <w:t xml:space="preserve"> Ces actes d</w:t>
      </w:r>
      <w:r w:rsidR="00D43184">
        <w:rPr>
          <w:rFonts w:eastAsia="Calibri"/>
          <w:b/>
          <w:i/>
          <w:color w:val="000000"/>
          <w:szCs w:val="22"/>
          <w:lang w:eastAsia="en-US"/>
        </w:rPr>
        <w:t>’</w:t>
      </w:r>
      <w:r w:rsidRPr="006C28E7">
        <w:rPr>
          <w:rFonts w:eastAsia="Calibri"/>
          <w:b/>
          <w:i/>
          <w:color w:val="000000"/>
          <w:szCs w:val="22"/>
          <w:lang w:eastAsia="en-US"/>
        </w:rPr>
        <w:t>exécution sont adoptés en conformité avec la procédure d</w:t>
      </w:r>
      <w:r w:rsidR="00D43184">
        <w:rPr>
          <w:rFonts w:eastAsia="Calibri"/>
          <w:b/>
          <w:i/>
          <w:color w:val="000000"/>
          <w:szCs w:val="22"/>
          <w:lang w:eastAsia="en-US"/>
        </w:rPr>
        <w:t>’</w:t>
      </w:r>
      <w:r w:rsidRPr="006C28E7">
        <w:rPr>
          <w:rFonts w:eastAsia="Calibri"/>
          <w:b/>
          <w:i/>
          <w:color w:val="000000"/>
          <w:szCs w:val="22"/>
          <w:lang w:eastAsia="en-US"/>
        </w:rPr>
        <w:t>examen visée à l</w:t>
      </w:r>
      <w:r w:rsidR="00D43184">
        <w:rPr>
          <w:rFonts w:eastAsia="Calibri"/>
          <w:b/>
          <w:i/>
          <w:color w:val="000000"/>
          <w:szCs w:val="22"/>
          <w:lang w:eastAsia="en-US"/>
        </w:rPr>
        <w:t>’</w:t>
      </w:r>
      <w:r w:rsidRPr="006C28E7">
        <w:rPr>
          <w:rFonts w:eastAsia="Calibri"/>
          <w:b/>
          <w:i/>
          <w:color w:val="000000"/>
          <w:szCs w:val="22"/>
          <w:lang w:eastAsia="en-US"/>
        </w:rPr>
        <w:t>article 20, paragraphe 2.</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6.</w:t>
      </w:r>
      <w:r w:rsidRPr="006C28E7">
        <w:rPr>
          <w:rFonts w:eastAsia="Calibri"/>
          <w:szCs w:val="22"/>
          <w:lang w:eastAsia="en-US"/>
        </w:rPr>
        <w:tab/>
        <w:t xml:space="preserve">Afin de garantir que les redevances sont équitables, transparentes, </w:t>
      </w:r>
      <w:r w:rsidRPr="006C28E7">
        <w:rPr>
          <w:rFonts w:eastAsia="Calibri"/>
          <w:b/>
          <w:bCs/>
          <w:i/>
          <w:iCs/>
          <w:szCs w:val="22"/>
          <w:lang w:eastAsia="en-US"/>
        </w:rPr>
        <w:t>facilement identifiables</w:t>
      </w:r>
      <w:r w:rsidRPr="006C28E7">
        <w:rPr>
          <w:rFonts w:eastAsia="Calibri"/>
          <w:szCs w:val="22"/>
          <w:lang w:eastAsia="en-US"/>
        </w:rPr>
        <w:t xml:space="preserve"> et non discriminatoires et qu</w:t>
      </w:r>
      <w:r w:rsidR="00D43184">
        <w:rPr>
          <w:rFonts w:eastAsia="Calibri"/>
          <w:szCs w:val="22"/>
          <w:lang w:eastAsia="en-US"/>
        </w:rPr>
        <w:t>’</w:t>
      </w:r>
      <w:r w:rsidRPr="006C28E7">
        <w:rPr>
          <w:rFonts w:eastAsia="Calibri"/>
          <w:szCs w:val="22"/>
          <w:lang w:eastAsia="en-US"/>
        </w:rPr>
        <w:t xml:space="preserve">elles reflètent les coûts des installations et des services proposés et, le cas échéant, utilisés, le montant des redevances et la base de calcul de celles-ci sont mis à la disposition des utilisateurs du port </w:t>
      </w:r>
      <w:r w:rsidRPr="006C28E7">
        <w:rPr>
          <w:rFonts w:eastAsia="Calibri"/>
          <w:b/>
          <w:bCs/>
          <w:i/>
          <w:iCs/>
          <w:szCs w:val="22"/>
          <w:lang w:eastAsia="en-US"/>
        </w:rPr>
        <w:t>dans le plan de réception et de traitement des déchets</w:t>
      </w:r>
      <w:r w:rsidRPr="006C28E7">
        <w:rPr>
          <w:rFonts w:eastAsia="Calibri"/>
          <w:szCs w:val="22"/>
          <w:lang w:eastAsia="en-US"/>
        </w:rPr>
        <w:t xml:space="preserve">, </w:t>
      </w:r>
      <w:r w:rsidRPr="006C28E7">
        <w:rPr>
          <w:rFonts w:eastAsia="Calibri"/>
          <w:b/>
          <w:bCs/>
          <w:i/>
          <w:iCs/>
          <w:szCs w:val="22"/>
          <w:lang w:eastAsia="en-US"/>
        </w:rPr>
        <w:t>dans une langue officielle de l</w:t>
      </w:r>
      <w:r w:rsidR="00D43184">
        <w:rPr>
          <w:rFonts w:eastAsia="Calibri"/>
          <w:b/>
          <w:bCs/>
          <w:i/>
          <w:iCs/>
          <w:szCs w:val="22"/>
          <w:lang w:eastAsia="en-US"/>
        </w:rPr>
        <w:t>’</w:t>
      </w:r>
      <w:r w:rsidRPr="006C28E7">
        <w:rPr>
          <w:rFonts w:eastAsia="Calibri"/>
          <w:b/>
          <w:bCs/>
          <w:i/>
          <w:iCs/>
          <w:szCs w:val="22"/>
          <w:lang w:eastAsia="en-US"/>
        </w:rPr>
        <w:t>État membre où le port est situé et, le cas échéant, dans une langue utilisée dans le monde entier</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7.</w:t>
      </w:r>
      <w:r w:rsidRPr="006C28E7">
        <w:rPr>
          <w:rFonts w:eastAsia="Calibri"/>
          <w:b/>
          <w:i/>
          <w:color w:val="000000"/>
          <w:szCs w:val="22"/>
          <w:lang w:eastAsia="en-US"/>
        </w:rPr>
        <w:tab/>
        <w:t xml:space="preserve">Les États membres veillent à ce que des données de suivi concernant le volume et la quantité de déchets pêchés passivement soient recueillies et communiquent ces données de suivi à la Commission. Sur la base de ces données de suivi, la Commission publie un rapport pour le 31 décembre 2022, puis tous les deux ans par la suite. </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ab/>
        <w:t>La Commission adopte des actes d</w:t>
      </w:r>
      <w:r w:rsidR="00D43184">
        <w:rPr>
          <w:rFonts w:eastAsia="Calibri"/>
          <w:b/>
          <w:i/>
          <w:color w:val="000000"/>
          <w:szCs w:val="22"/>
          <w:lang w:eastAsia="en-US"/>
        </w:rPr>
        <w:t>’</w:t>
      </w:r>
      <w:r w:rsidRPr="006C28E7">
        <w:rPr>
          <w:rFonts w:eastAsia="Calibri"/>
          <w:b/>
          <w:i/>
          <w:color w:val="000000"/>
          <w:szCs w:val="22"/>
          <w:lang w:eastAsia="en-US"/>
        </w:rPr>
        <w:t>exécution pour définir les méthodologies applicables aux données de suivi et le format de communication des données. Ces actes d</w:t>
      </w:r>
      <w:r w:rsidR="00D43184">
        <w:rPr>
          <w:rFonts w:eastAsia="Calibri"/>
          <w:b/>
          <w:i/>
          <w:color w:val="000000"/>
          <w:szCs w:val="22"/>
          <w:lang w:eastAsia="en-US"/>
        </w:rPr>
        <w:t>’</w:t>
      </w:r>
      <w:r w:rsidRPr="006C28E7">
        <w:rPr>
          <w:rFonts w:eastAsia="Calibri"/>
          <w:b/>
          <w:i/>
          <w:color w:val="000000"/>
          <w:szCs w:val="22"/>
          <w:lang w:eastAsia="en-US"/>
        </w:rPr>
        <w:t>exécution sont adoptés en conformité avec la procédure d</w:t>
      </w:r>
      <w:r w:rsidR="00D43184">
        <w:rPr>
          <w:rFonts w:eastAsia="Calibri"/>
          <w:b/>
          <w:i/>
          <w:color w:val="000000"/>
          <w:szCs w:val="22"/>
          <w:lang w:eastAsia="en-US"/>
        </w:rPr>
        <w:t>’</w:t>
      </w:r>
      <w:r w:rsidRPr="006C28E7">
        <w:rPr>
          <w:rFonts w:eastAsia="Calibri"/>
          <w:b/>
          <w:i/>
          <w:color w:val="000000"/>
          <w:szCs w:val="22"/>
          <w:lang w:eastAsia="en-US"/>
        </w:rPr>
        <w:t>examen visée à l</w:t>
      </w:r>
      <w:r w:rsidR="00D43184">
        <w:rPr>
          <w:rFonts w:eastAsia="Calibri"/>
          <w:b/>
          <w:i/>
          <w:color w:val="000000"/>
          <w:szCs w:val="22"/>
          <w:lang w:eastAsia="en-US"/>
        </w:rPr>
        <w:t>’</w:t>
      </w:r>
      <w:r w:rsidRPr="006C28E7">
        <w:rPr>
          <w:rFonts w:eastAsia="Calibri"/>
          <w:b/>
          <w:i/>
          <w:color w:val="000000"/>
          <w:szCs w:val="22"/>
          <w:lang w:eastAsia="en-US"/>
        </w:rPr>
        <w:t>article 20, paragraphe 2.</w:t>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szCs w:val="22"/>
          <w:lang w:eastAsia="en-US"/>
        </w:rPr>
        <w:br w:type="page"/>
      </w:r>
      <w:r w:rsidRPr="006C28E7">
        <w:rPr>
          <w:rFonts w:eastAsia="Calibri"/>
          <w:i/>
          <w:szCs w:val="22"/>
          <w:lang w:eastAsia="en-US"/>
        </w:rPr>
        <w:t>Article 9</w:t>
      </w:r>
      <w:r w:rsidRPr="006C28E7">
        <w:rPr>
          <w:rFonts w:eastAsia="Calibri"/>
          <w:szCs w:val="22"/>
          <w:lang w:eastAsia="en-US"/>
        </w:rPr>
        <w:br/>
      </w:r>
      <w:r w:rsidRPr="006C28E7">
        <w:rPr>
          <w:rFonts w:eastAsia="Calibri"/>
          <w:i/>
          <w:iCs/>
          <w:szCs w:val="22"/>
          <w:lang w:eastAsia="en-US"/>
        </w:rPr>
        <w:t>Exemptions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Les États membres peuvent exempter un navire faisant escale dans leurs ports des obligations énoncées à l</w:t>
      </w:r>
      <w:r w:rsidR="00D43184">
        <w:rPr>
          <w:rFonts w:eastAsia="Calibri"/>
          <w:szCs w:val="22"/>
          <w:lang w:eastAsia="en-US"/>
        </w:rPr>
        <w:t>’</w:t>
      </w:r>
      <w:r w:rsidRPr="006C28E7">
        <w:rPr>
          <w:rFonts w:eastAsia="Calibri"/>
          <w:szCs w:val="22"/>
          <w:lang w:eastAsia="en-US"/>
        </w:rPr>
        <w:t>article 6, à l</w:t>
      </w:r>
      <w:r w:rsidR="00D43184">
        <w:rPr>
          <w:rFonts w:eastAsia="Calibri"/>
          <w:szCs w:val="22"/>
          <w:lang w:eastAsia="en-US"/>
        </w:rPr>
        <w:t>’</w:t>
      </w:r>
      <w:r w:rsidRPr="006C28E7">
        <w:rPr>
          <w:rFonts w:eastAsia="Calibri"/>
          <w:szCs w:val="22"/>
          <w:lang w:eastAsia="en-US"/>
        </w:rPr>
        <w:t>article 7, paragraphe 1, et à l</w:t>
      </w:r>
      <w:r w:rsidR="00D43184">
        <w:rPr>
          <w:rFonts w:eastAsia="Calibri"/>
          <w:szCs w:val="22"/>
          <w:lang w:eastAsia="en-US"/>
        </w:rPr>
        <w:t>’</w:t>
      </w:r>
      <w:r w:rsidRPr="006C28E7">
        <w:rPr>
          <w:rFonts w:eastAsia="Calibri"/>
          <w:szCs w:val="22"/>
          <w:lang w:eastAsia="en-US"/>
        </w:rPr>
        <w:t>article 8 ▌(ci-après dénommée "exemption") lorsqu</w:t>
      </w:r>
      <w:r w:rsidR="00D43184">
        <w:rPr>
          <w:rFonts w:eastAsia="Calibri"/>
          <w:szCs w:val="22"/>
          <w:lang w:eastAsia="en-US"/>
        </w:rPr>
        <w:t>’</w:t>
      </w:r>
      <w:r w:rsidRPr="006C28E7">
        <w:rPr>
          <w:rFonts w:eastAsia="Calibri"/>
          <w:szCs w:val="22"/>
          <w:lang w:eastAsia="en-US"/>
        </w:rPr>
        <w:t xml:space="preserve">il existe des preuves suffisantes attestant que </w:t>
      </w:r>
      <w:r w:rsidRPr="006C28E7">
        <w:rPr>
          <w:rFonts w:eastAsia="Calibri"/>
          <w:b/>
          <w:bCs/>
          <w:i/>
          <w:iCs/>
          <w:szCs w:val="22"/>
          <w:lang w:eastAsia="en-US"/>
        </w:rPr>
        <w:t>les conditions ci-après sont remplies</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le navire effectue des services réguliers qui comportent des escales portuaires fréquentes et régulières;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b)</w:t>
      </w:r>
      <w:r w:rsidRPr="006C28E7">
        <w:rPr>
          <w:rFonts w:eastAsia="Calibri"/>
          <w:szCs w:val="22"/>
          <w:lang w:eastAsia="en-US"/>
        </w:rPr>
        <w:tab/>
        <w:t>il existe un arrangement visant à garantir le dépôt des déchets et le paiement des redevances dans un port situé sur l</w:t>
      </w:r>
      <w:r w:rsidR="00D43184">
        <w:rPr>
          <w:rFonts w:eastAsia="Calibri"/>
          <w:szCs w:val="22"/>
          <w:lang w:eastAsia="en-US"/>
        </w:rPr>
        <w:t>’</w:t>
      </w:r>
      <w:r w:rsidRPr="006C28E7">
        <w:rPr>
          <w:rFonts w:eastAsia="Calibri"/>
          <w:szCs w:val="22"/>
          <w:lang w:eastAsia="en-US"/>
        </w:rPr>
        <w:t>itinéraire du navire qui:</w:t>
      </w:r>
    </w:p>
    <w:p w:rsidR="009C7E1C" w:rsidRPr="006C28E7" w:rsidRDefault="009C7E1C" w:rsidP="009C7E1C">
      <w:pPr>
        <w:widowControl/>
        <w:autoSpaceDE w:val="0"/>
        <w:autoSpaceDN w:val="0"/>
        <w:adjustRightInd w:val="0"/>
        <w:spacing w:before="120" w:after="120" w:line="360" w:lineRule="auto"/>
        <w:ind w:left="1134" w:hanging="567"/>
        <w:rPr>
          <w:rFonts w:eastAsia="Calibri"/>
          <w:szCs w:val="22"/>
          <w:lang w:eastAsia="en-US"/>
        </w:rPr>
      </w:pPr>
      <w:r w:rsidRPr="006C28E7">
        <w:rPr>
          <w:rFonts w:eastAsia="Calibri"/>
          <w:szCs w:val="22"/>
          <w:lang w:eastAsia="en-US"/>
        </w:rPr>
        <w:tab/>
      </w:r>
      <w:r w:rsidRPr="006C28E7">
        <w:rPr>
          <w:rFonts w:eastAsia="Calibri"/>
          <w:szCs w:val="22"/>
          <w:lang w:eastAsia="en-US"/>
        </w:rPr>
        <w:tab/>
        <w:t>i)</w:t>
      </w:r>
      <w:r w:rsidRPr="006C28E7">
        <w:rPr>
          <w:rFonts w:eastAsia="Calibri"/>
          <w:szCs w:val="22"/>
          <w:lang w:eastAsia="en-US"/>
        </w:rPr>
        <w:tab/>
        <w:t>est attesté par un contrat signé avec le port ou le gestionnaire de déchets et par des reçus de dépôt des déchets;</w:t>
      </w:r>
    </w:p>
    <w:p w:rsidR="009C7E1C" w:rsidRPr="006C28E7" w:rsidRDefault="009C7E1C" w:rsidP="009C7E1C">
      <w:pPr>
        <w:widowControl/>
        <w:autoSpaceDE w:val="0"/>
        <w:autoSpaceDN w:val="0"/>
        <w:adjustRightInd w:val="0"/>
        <w:spacing w:before="120" w:after="120" w:line="360" w:lineRule="auto"/>
        <w:ind w:left="1134" w:hanging="567"/>
        <w:rPr>
          <w:rFonts w:eastAsia="Calibri"/>
          <w:b/>
          <w:bCs/>
          <w:i/>
          <w:iCs/>
          <w:szCs w:val="22"/>
          <w:lang w:eastAsia="en-US"/>
        </w:rPr>
      </w:pPr>
      <w:r w:rsidRPr="006C28E7">
        <w:rPr>
          <w:rFonts w:eastAsia="Calibri"/>
          <w:szCs w:val="22"/>
          <w:lang w:eastAsia="en-US"/>
        </w:rPr>
        <w:tab/>
      </w:r>
      <w:r w:rsidRPr="006C28E7">
        <w:rPr>
          <w:rFonts w:eastAsia="Calibri"/>
          <w:szCs w:val="22"/>
          <w:lang w:eastAsia="en-US"/>
        </w:rPr>
        <w:tab/>
        <w:t>ii)</w:t>
      </w:r>
      <w:r w:rsidRPr="006C28E7">
        <w:rPr>
          <w:rFonts w:eastAsia="Calibri"/>
          <w:szCs w:val="22"/>
          <w:lang w:eastAsia="en-US"/>
        </w:rPr>
        <w:tab/>
        <w:t xml:space="preserve">a été </w:t>
      </w:r>
      <w:r w:rsidRPr="006C28E7">
        <w:rPr>
          <w:rFonts w:eastAsia="Calibri"/>
          <w:b/>
          <w:bCs/>
          <w:i/>
          <w:iCs/>
          <w:szCs w:val="22"/>
          <w:lang w:eastAsia="en-US"/>
        </w:rPr>
        <w:t>notifié à</w:t>
      </w:r>
      <w:r w:rsidRPr="006C28E7">
        <w:rPr>
          <w:rFonts w:eastAsia="Calibri"/>
          <w:szCs w:val="22"/>
          <w:lang w:eastAsia="en-US"/>
        </w:rPr>
        <w:t xml:space="preserve"> tous les ports situés sur l</w:t>
      </w:r>
      <w:r w:rsidR="00D43184">
        <w:rPr>
          <w:rFonts w:eastAsia="Calibri"/>
          <w:szCs w:val="22"/>
          <w:lang w:eastAsia="en-US"/>
        </w:rPr>
        <w:t>’</w:t>
      </w:r>
      <w:r w:rsidRPr="006C28E7">
        <w:rPr>
          <w:rFonts w:eastAsia="Calibri"/>
          <w:szCs w:val="22"/>
          <w:lang w:eastAsia="en-US"/>
        </w:rPr>
        <w:t xml:space="preserve">itinéraire du navire; </w:t>
      </w:r>
      <w:r w:rsidRPr="006C28E7">
        <w:rPr>
          <w:rFonts w:eastAsia="Calibri"/>
          <w:b/>
          <w:bCs/>
          <w:i/>
          <w:iCs/>
          <w:szCs w:val="22"/>
          <w:lang w:eastAsia="en-US"/>
        </w:rPr>
        <w:t xml:space="preserve">et </w:t>
      </w:r>
    </w:p>
    <w:p w:rsidR="009C7E1C" w:rsidRPr="006C28E7" w:rsidRDefault="009C7E1C" w:rsidP="009C7E1C">
      <w:pPr>
        <w:widowControl/>
        <w:autoSpaceDE w:val="0"/>
        <w:autoSpaceDN w:val="0"/>
        <w:adjustRightInd w:val="0"/>
        <w:spacing w:before="120" w:after="120" w:line="360" w:lineRule="auto"/>
        <w:ind w:left="1134" w:hanging="567"/>
        <w:rPr>
          <w:rFonts w:eastAsia="Calibri"/>
          <w:b/>
          <w:i/>
          <w:color w:val="000000"/>
          <w:szCs w:val="22"/>
          <w:lang w:eastAsia="en-US"/>
        </w:rPr>
      </w:pPr>
      <w:r w:rsidRPr="006C28E7">
        <w:rPr>
          <w:rFonts w:eastAsia="Calibri"/>
          <w:b/>
          <w:bCs/>
          <w:i/>
          <w:iCs/>
          <w:szCs w:val="22"/>
          <w:lang w:eastAsia="en-US"/>
        </w:rPr>
        <w:tab/>
      </w:r>
      <w:r w:rsidRPr="006C28E7">
        <w:rPr>
          <w:rFonts w:eastAsia="Calibri"/>
          <w:b/>
          <w:bCs/>
          <w:i/>
          <w:iCs/>
          <w:szCs w:val="22"/>
          <w:lang w:eastAsia="en-US"/>
        </w:rPr>
        <w:tab/>
        <w:t>iii)</w:t>
      </w:r>
      <w:r w:rsidRPr="006C28E7">
        <w:rPr>
          <w:rFonts w:eastAsia="Calibri"/>
          <w:b/>
          <w:bCs/>
          <w:i/>
          <w:iCs/>
          <w:szCs w:val="22"/>
          <w:lang w:eastAsia="en-US"/>
        </w:rPr>
        <w:tab/>
        <w:t>a été approuvé par le port où le</w:t>
      </w:r>
      <w:r w:rsidRPr="006C28E7">
        <w:rPr>
          <w:rFonts w:eastAsia="Calibri"/>
          <w:szCs w:val="22"/>
          <w:lang w:eastAsia="en-US"/>
        </w:rPr>
        <w:t xml:space="preserve"> dépôt et le paiement </w:t>
      </w:r>
      <w:r w:rsidRPr="006C28E7">
        <w:rPr>
          <w:rFonts w:eastAsia="Calibri"/>
          <w:b/>
          <w:bCs/>
          <w:i/>
          <w:iCs/>
          <w:szCs w:val="22"/>
          <w:lang w:eastAsia="en-US"/>
        </w:rPr>
        <w:t>ont lieu</w:t>
      </w:r>
      <w:r w:rsidRPr="006C28E7">
        <w:rPr>
          <w:rFonts w:eastAsia="Calibri"/>
          <w:szCs w:val="22"/>
          <w:lang w:eastAsia="en-US"/>
        </w:rPr>
        <w:t>,</w:t>
      </w:r>
      <w:r w:rsidRPr="006C28E7">
        <w:rPr>
          <w:rFonts w:eastAsia="Calibri"/>
          <w:color w:val="000000"/>
          <w:szCs w:val="22"/>
          <w:lang w:eastAsia="en-US"/>
        </w:rPr>
        <w:t xml:space="preserve"> qu</w:t>
      </w:r>
      <w:r w:rsidR="00D43184">
        <w:rPr>
          <w:rFonts w:eastAsia="Calibri"/>
          <w:color w:val="000000"/>
          <w:szCs w:val="22"/>
          <w:lang w:eastAsia="en-US"/>
        </w:rPr>
        <w:t>’</w:t>
      </w:r>
      <w:r w:rsidRPr="006C28E7">
        <w:rPr>
          <w:rFonts w:eastAsia="Calibri"/>
          <w:color w:val="000000"/>
          <w:szCs w:val="22"/>
          <w:lang w:eastAsia="en-US"/>
        </w:rPr>
        <w:t>il s</w:t>
      </w:r>
      <w:r w:rsidR="00D43184">
        <w:rPr>
          <w:rFonts w:eastAsia="Calibri"/>
          <w:color w:val="000000"/>
          <w:szCs w:val="22"/>
          <w:lang w:eastAsia="en-US"/>
        </w:rPr>
        <w:t>’</w:t>
      </w:r>
      <w:r w:rsidRPr="006C28E7">
        <w:rPr>
          <w:rFonts w:eastAsia="Calibri"/>
          <w:color w:val="000000"/>
          <w:szCs w:val="22"/>
          <w:lang w:eastAsia="en-US"/>
        </w:rPr>
        <w:t>agisse d</w:t>
      </w:r>
      <w:r w:rsidR="00D43184">
        <w:rPr>
          <w:rFonts w:eastAsia="Calibri"/>
          <w:color w:val="000000"/>
          <w:szCs w:val="22"/>
          <w:lang w:eastAsia="en-US"/>
        </w:rPr>
        <w:t>’</w:t>
      </w:r>
      <w:r w:rsidRPr="006C28E7">
        <w:rPr>
          <w:rFonts w:eastAsia="Calibri"/>
          <w:color w:val="000000"/>
          <w:szCs w:val="22"/>
          <w:lang w:eastAsia="en-US"/>
        </w:rPr>
        <w:t xml:space="preserve">un </w:t>
      </w:r>
      <w:r w:rsidRPr="006C28E7">
        <w:rPr>
          <w:rFonts w:eastAsia="Calibri"/>
          <w:b/>
          <w:i/>
          <w:color w:val="000000"/>
          <w:szCs w:val="22"/>
          <w:lang w:eastAsia="en-US"/>
        </w:rPr>
        <w:t>port de l</w:t>
      </w:r>
      <w:r w:rsidR="00D43184">
        <w:rPr>
          <w:rFonts w:eastAsia="Calibri"/>
          <w:b/>
          <w:i/>
          <w:color w:val="000000"/>
          <w:szCs w:val="22"/>
          <w:lang w:eastAsia="en-US"/>
        </w:rPr>
        <w:t>’</w:t>
      </w:r>
      <w:r w:rsidRPr="006C28E7">
        <w:rPr>
          <w:rFonts w:eastAsia="Calibri"/>
          <w:b/>
          <w:i/>
          <w:color w:val="000000"/>
          <w:szCs w:val="22"/>
          <w:lang w:eastAsia="en-US"/>
        </w:rPr>
        <w:t>Union ou d</w:t>
      </w:r>
      <w:r w:rsidR="00D43184">
        <w:rPr>
          <w:rFonts w:eastAsia="Calibri"/>
          <w:b/>
          <w:i/>
          <w:color w:val="000000"/>
          <w:szCs w:val="22"/>
          <w:lang w:eastAsia="en-US"/>
        </w:rPr>
        <w:t>’</w:t>
      </w:r>
      <w:r w:rsidRPr="006C28E7">
        <w:rPr>
          <w:rFonts w:eastAsia="Calibri"/>
          <w:b/>
          <w:i/>
          <w:color w:val="000000"/>
          <w:szCs w:val="22"/>
          <w:lang w:eastAsia="en-US"/>
        </w:rPr>
        <w:t>un autre port dans lequel des installations adéquates sont disponibles, ainsi que cela est établi sur la base des informations communiquées par voie électronique pour être consignées dans la partie du système d</w:t>
      </w:r>
      <w:r w:rsidR="00D43184">
        <w:rPr>
          <w:rFonts w:eastAsia="Calibri"/>
          <w:b/>
          <w:i/>
          <w:color w:val="000000"/>
          <w:szCs w:val="22"/>
          <w:lang w:eastAsia="en-US"/>
        </w:rPr>
        <w:t>’</w:t>
      </w:r>
      <w:r w:rsidRPr="006C28E7">
        <w:rPr>
          <w:rFonts w:eastAsia="Calibri"/>
          <w:b/>
          <w:i/>
          <w:color w:val="000000"/>
          <w:szCs w:val="22"/>
          <w:lang w:eastAsia="en-US"/>
        </w:rPr>
        <w:t>information, de suivi et de contrôle de l</w:t>
      </w:r>
      <w:r w:rsidR="00D43184">
        <w:rPr>
          <w:rFonts w:eastAsia="Calibri"/>
          <w:b/>
          <w:i/>
          <w:color w:val="000000"/>
          <w:szCs w:val="22"/>
          <w:lang w:eastAsia="en-US"/>
        </w:rPr>
        <w:t>’</w:t>
      </w:r>
      <w:r w:rsidRPr="006C28E7">
        <w:rPr>
          <w:rFonts w:eastAsia="Calibri"/>
          <w:b/>
          <w:i/>
          <w:color w:val="000000"/>
          <w:szCs w:val="22"/>
          <w:lang w:eastAsia="en-US"/>
        </w:rPr>
        <w:t>application visée à l</w:t>
      </w:r>
      <w:r w:rsidR="00D43184">
        <w:rPr>
          <w:rFonts w:eastAsia="Calibri"/>
          <w:b/>
          <w:i/>
          <w:color w:val="000000"/>
          <w:szCs w:val="22"/>
          <w:lang w:eastAsia="en-US"/>
        </w:rPr>
        <w:t>’</w:t>
      </w:r>
      <w:r w:rsidRPr="006C28E7">
        <w:rPr>
          <w:rFonts w:eastAsia="Calibri"/>
          <w:b/>
          <w:i/>
          <w:color w:val="000000"/>
          <w:szCs w:val="22"/>
          <w:lang w:eastAsia="en-US"/>
        </w:rPr>
        <w:t>article 13 et dans le GISIS;</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b/>
          <w:i/>
          <w:color w:val="000000"/>
          <w:szCs w:val="22"/>
          <w:lang w:eastAsia="en-US"/>
        </w:rPr>
        <w:t>c)</w:t>
      </w:r>
      <w:r w:rsidRPr="006C28E7">
        <w:rPr>
          <w:rFonts w:eastAsia="Calibri"/>
          <w:b/>
          <w:i/>
          <w:color w:val="000000"/>
          <w:szCs w:val="22"/>
          <w:lang w:eastAsia="en-US"/>
        </w:rPr>
        <w:tab/>
        <w:t>l</w:t>
      </w:r>
      <w:r w:rsidR="00D43184">
        <w:rPr>
          <w:rFonts w:eastAsia="Calibri"/>
          <w:b/>
          <w:i/>
          <w:color w:val="000000"/>
          <w:szCs w:val="22"/>
          <w:lang w:eastAsia="en-US"/>
        </w:rPr>
        <w:t>’</w:t>
      </w:r>
      <w:r w:rsidRPr="006C28E7">
        <w:rPr>
          <w:rFonts w:eastAsia="Calibri"/>
          <w:b/>
          <w:i/>
          <w:color w:val="000000"/>
          <w:szCs w:val="22"/>
          <w:lang w:eastAsia="en-US"/>
        </w:rPr>
        <w:t>exemption n</w:t>
      </w:r>
      <w:r w:rsidR="00D43184">
        <w:rPr>
          <w:rFonts w:eastAsia="Calibri"/>
          <w:b/>
          <w:i/>
          <w:color w:val="000000"/>
          <w:szCs w:val="22"/>
          <w:lang w:eastAsia="en-US"/>
        </w:rPr>
        <w:t>’</w:t>
      </w:r>
      <w:r w:rsidRPr="006C28E7">
        <w:rPr>
          <w:rFonts w:eastAsia="Calibri"/>
          <w:b/>
          <w:i/>
          <w:color w:val="000000"/>
          <w:szCs w:val="22"/>
          <w:lang w:eastAsia="en-US"/>
        </w:rPr>
        <w:t>entraîne pas de conséquences négatives pour la sécurité maritime, la santé, les conditions de vie ou de travail à bord ou pour l</w:t>
      </w:r>
      <w:r w:rsidR="00D43184">
        <w:rPr>
          <w:rFonts w:eastAsia="Calibri"/>
          <w:b/>
          <w:i/>
          <w:color w:val="000000"/>
          <w:szCs w:val="22"/>
          <w:lang w:eastAsia="en-US"/>
        </w:rPr>
        <w:t>’</w:t>
      </w:r>
      <w:r w:rsidRPr="006C28E7">
        <w:rPr>
          <w:rFonts w:eastAsia="Calibri"/>
          <w:b/>
          <w:i/>
          <w:color w:val="000000"/>
          <w:szCs w:val="22"/>
          <w:lang w:eastAsia="en-US"/>
        </w:rPr>
        <w:t>environnement marin.</w:t>
      </w:r>
    </w:p>
    <w:p w:rsidR="009C7E1C" w:rsidRPr="006C28E7" w:rsidRDefault="009C7E1C" w:rsidP="009C7E1C">
      <w:pPr>
        <w:widowControl/>
        <w:autoSpaceDE w:val="0"/>
        <w:autoSpaceDN w:val="0"/>
        <w:adjustRightInd w:val="0"/>
        <w:spacing w:before="120" w:after="120" w:line="360" w:lineRule="auto"/>
        <w:ind w:left="567" w:hanging="567"/>
        <w:rPr>
          <w:b/>
          <w:szCs w:val="22"/>
          <w:u w:val="single"/>
          <w:lang w:eastAsia="en-US"/>
        </w:rPr>
      </w:pPr>
      <w:r w:rsidRPr="006C28E7">
        <w:rPr>
          <w:rFonts w:eastAsia="Calibri"/>
          <w:szCs w:val="22"/>
          <w:lang w:eastAsia="en-US"/>
        </w:rPr>
        <w:t>2.</w:t>
      </w:r>
      <w:r w:rsidRPr="006C28E7">
        <w:rPr>
          <w:rFonts w:eastAsia="Calibri"/>
          <w:szCs w:val="22"/>
          <w:lang w:eastAsia="en-US"/>
        </w:rPr>
        <w:tab/>
        <w:t>Si l</w:t>
      </w:r>
      <w:r w:rsidR="00D43184">
        <w:rPr>
          <w:rFonts w:eastAsia="Calibri"/>
          <w:szCs w:val="22"/>
          <w:lang w:eastAsia="en-US"/>
        </w:rPr>
        <w:t>’</w:t>
      </w:r>
      <w:r w:rsidRPr="006C28E7">
        <w:rPr>
          <w:rFonts w:eastAsia="Calibri"/>
          <w:szCs w:val="22"/>
          <w:lang w:eastAsia="en-US"/>
        </w:rPr>
        <w:t>exemption est accordée, l</w:t>
      </w:r>
      <w:r w:rsidR="00D43184">
        <w:rPr>
          <w:rFonts w:eastAsia="Calibri"/>
          <w:szCs w:val="22"/>
          <w:lang w:eastAsia="en-US"/>
        </w:rPr>
        <w:t>’</w:t>
      </w:r>
      <w:r w:rsidRPr="006C28E7">
        <w:rPr>
          <w:rFonts w:eastAsia="Calibri"/>
          <w:szCs w:val="22"/>
          <w:lang w:eastAsia="en-US"/>
        </w:rPr>
        <w:t xml:space="preserve">État membre qui abrite le port </w:t>
      </w:r>
      <w:r w:rsidRPr="006C28E7">
        <w:rPr>
          <w:rFonts w:eastAsia="Calibri"/>
          <w:color w:val="000000"/>
          <w:szCs w:val="22"/>
          <w:lang w:eastAsia="en-US"/>
        </w:rPr>
        <w:t>▌</w:t>
      </w:r>
      <w:r w:rsidRPr="006C28E7">
        <w:rPr>
          <w:rFonts w:eastAsia="Calibri"/>
          <w:szCs w:val="22"/>
          <w:lang w:eastAsia="en-US"/>
        </w:rPr>
        <w:t>délivre un certificat d</w:t>
      </w:r>
      <w:r w:rsidR="00D43184">
        <w:rPr>
          <w:rFonts w:eastAsia="Calibri"/>
          <w:szCs w:val="22"/>
          <w:lang w:eastAsia="en-US"/>
        </w:rPr>
        <w:t>’</w:t>
      </w:r>
      <w:r w:rsidRPr="006C28E7">
        <w:rPr>
          <w:rFonts w:eastAsia="Calibri"/>
          <w:szCs w:val="22"/>
          <w:lang w:eastAsia="en-US"/>
        </w:rPr>
        <w:t>exemption dans le format figurant à l</w:t>
      </w:r>
      <w:r w:rsidR="00D43184">
        <w:rPr>
          <w:rFonts w:eastAsia="Calibri"/>
          <w:szCs w:val="22"/>
          <w:lang w:eastAsia="en-US"/>
        </w:rPr>
        <w:t>’</w:t>
      </w:r>
      <w:r w:rsidRPr="006C28E7">
        <w:rPr>
          <w:rFonts w:eastAsia="Calibri"/>
          <w:szCs w:val="22"/>
          <w:lang w:eastAsia="en-US"/>
        </w:rPr>
        <w:t>annexe 5, qui confirme que le navire satisfait aux conditions et exigences requises pour l</w:t>
      </w:r>
      <w:r w:rsidR="00D43184">
        <w:rPr>
          <w:rFonts w:eastAsia="Calibri"/>
          <w:szCs w:val="22"/>
          <w:lang w:eastAsia="en-US"/>
        </w:rPr>
        <w:t>’</w:t>
      </w:r>
      <w:r w:rsidRPr="006C28E7">
        <w:rPr>
          <w:rFonts w:eastAsia="Calibri"/>
          <w:szCs w:val="22"/>
          <w:lang w:eastAsia="en-US"/>
        </w:rPr>
        <w:t>application de l</w:t>
      </w:r>
      <w:r w:rsidR="00D43184">
        <w:rPr>
          <w:rFonts w:eastAsia="Calibri"/>
          <w:szCs w:val="22"/>
          <w:lang w:eastAsia="en-US"/>
        </w:rPr>
        <w:t>’</w:t>
      </w:r>
      <w:r w:rsidRPr="006C28E7">
        <w:rPr>
          <w:rFonts w:eastAsia="Calibri"/>
          <w:szCs w:val="22"/>
          <w:lang w:eastAsia="en-US"/>
        </w:rPr>
        <w:t>exemption et précise la durée de validité de celle-ci.</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br w:type="page"/>
        <w:t>3.</w:t>
      </w:r>
      <w:r w:rsidRPr="006C28E7">
        <w:rPr>
          <w:rFonts w:eastAsia="Calibri"/>
          <w:szCs w:val="22"/>
          <w:lang w:eastAsia="en-US"/>
        </w:rPr>
        <w:tab/>
        <w:t>Les États membres communiquent par voie électronique les informations figurant sur le certificat d</w:t>
      </w:r>
      <w:r w:rsidR="00D43184">
        <w:rPr>
          <w:rFonts w:eastAsia="Calibri"/>
          <w:szCs w:val="22"/>
          <w:lang w:eastAsia="en-US"/>
        </w:rPr>
        <w:t>’</w:t>
      </w:r>
      <w:r w:rsidRPr="006C28E7">
        <w:rPr>
          <w:rFonts w:eastAsia="Calibri"/>
          <w:szCs w:val="22"/>
          <w:lang w:eastAsia="en-US"/>
        </w:rPr>
        <w:t>exemption pour qu</w:t>
      </w:r>
      <w:r w:rsidR="00D43184">
        <w:rPr>
          <w:rFonts w:eastAsia="Calibri"/>
          <w:szCs w:val="22"/>
          <w:lang w:eastAsia="en-US"/>
        </w:rPr>
        <w:t>’</w:t>
      </w:r>
      <w:r w:rsidRPr="006C28E7">
        <w:rPr>
          <w:rFonts w:eastAsia="Calibri"/>
          <w:szCs w:val="22"/>
          <w:lang w:eastAsia="en-US"/>
        </w:rPr>
        <w:t>elles soient consignées dans la partie du système d</w:t>
      </w:r>
      <w:r w:rsidR="00D43184">
        <w:rPr>
          <w:rFonts w:eastAsia="Calibri"/>
          <w:szCs w:val="22"/>
          <w:lang w:eastAsia="en-US"/>
        </w:rPr>
        <w:t>’</w:t>
      </w:r>
      <w:r w:rsidRPr="006C28E7">
        <w:rPr>
          <w:rFonts w:eastAsia="Calibri"/>
          <w:szCs w:val="22"/>
          <w:lang w:eastAsia="en-US"/>
        </w:rPr>
        <w:t>information, de suivi et de contrôle de l</w:t>
      </w:r>
      <w:r w:rsidR="00D43184">
        <w:rPr>
          <w:rFonts w:eastAsia="Calibri"/>
          <w:szCs w:val="22"/>
          <w:lang w:eastAsia="en-US"/>
        </w:rPr>
        <w:t>’</w:t>
      </w:r>
      <w:r w:rsidRPr="006C28E7">
        <w:rPr>
          <w:rFonts w:eastAsia="Calibri"/>
          <w:szCs w:val="22"/>
          <w:lang w:eastAsia="en-US"/>
        </w:rPr>
        <w:t>application visée à l</w:t>
      </w:r>
      <w:r w:rsidR="00D43184">
        <w:rPr>
          <w:rFonts w:eastAsia="Calibri"/>
          <w:szCs w:val="22"/>
          <w:lang w:eastAsia="en-US"/>
        </w:rPr>
        <w:t>’</w:t>
      </w:r>
      <w:r w:rsidRPr="006C28E7">
        <w:rPr>
          <w:rFonts w:eastAsia="Calibri"/>
          <w:szCs w:val="22"/>
          <w:lang w:eastAsia="en-US"/>
        </w:rPr>
        <w:t>article 13.</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4.</w:t>
      </w:r>
      <w:r w:rsidRPr="006C28E7">
        <w:rPr>
          <w:rFonts w:eastAsia="Calibri"/>
          <w:szCs w:val="22"/>
          <w:lang w:eastAsia="en-US"/>
        </w:rPr>
        <w:tab/>
        <w:t>Les États membres assurent de manière efficace le suivi et le contrôle de l</w:t>
      </w:r>
      <w:r w:rsidR="00D43184">
        <w:rPr>
          <w:rFonts w:eastAsia="Calibri"/>
          <w:szCs w:val="22"/>
          <w:lang w:eastAsia="en-US"/>
        </w:rPr>
        <w:t>’</w:t>
      </w:r>
      <w:r w:rsidRPr="006C28E7">
        <w:rPr>
          <w:rFonts w:eastAsia="Calibri"/>
          <w:szCs w:val="22"/>
          <w:lang w:eastAsia="en-US"/>
        </w:rPr>
        <w:t xml:space="preserve">application des arrangements en matière de dépôt et de paiement existants pour les </w:t>
      </w:r>
      <w:r w:rsidRPr="006C28E7">
        <w:rPr>
          <w:rFonts w:eastAsia="Calibri"/>
          <w:b/>
          <w:bCs/>
          <w:i/>
          <w:iCs/>
          <w:szCs w:val="22"/>
          <w:lang w:eastAsia="en-US"/>
        </w:rPr>
        <w:t>navires</w:t>
      </w:r>
      <w:r w:rsidRPr="006C28E7">
        <w:rPr>
          <w:rFonts w:eastAsia="Calibri"/>
          <w:szCs w:val="22"/>
          <w:lang w:eastAsia="en-US"/>
        </w:rPr>
        <w:t xml:space="preserve"> exemptés qui font escale dans leurs ports.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5.</w:t>
      </w:r>
      <w:r w:rsidRPr="006C28E7">
        <w:rPr>
          <w:rFonts w:eastAsia="Calibri"/>
          <w:b/>
          <w:i/>
          <w:color w:val="000000"/>
          <w:szCs w:val="22"/>
          <w:lang w:eastAsia="en-US"/>
        </w:rPr>
        <w:tab/>
        <w:t>Nonobstant l</w:t>
      </w:r>
      <w:r w:rsidR="00D43184">
        <w:rPr>
          <w:rFonts w:eastAsia="Calibri"/>
          <w:b/>
          <w:i/>
          <w:color w:val="000000"/>
          <w:szCs w:val="22"/>
          <w:lang w:eastAsia="en-US"/>
        </w:rPr>
        <w:t>’</w:t>
      </w:r>
      <w:r w:rsidRPr="006C28E7">
        <w:rPr>
          <w:rFonts w:eastAsia="Calibri"/>
          <w:b/>
          <w:i/>
          <w:color w:val="000000"/>
          <w:szCs w:val="22"/>
          <w:lang w:eastAsia="en-US"/>
        </w:rPr>
        <w:t>exemption accordée, un navire ne poursuit pas sa route jusqu</w:t>
      </w:r>
      <w:r w:rsidR="00D43184">
        <w:rPr>
          <w:rFonts w:eastAsia="Calibri"/>
          <w:b/>
          <w:i/>
          <w:color w:val="000000"/>
          <w:szCs w:val="22"/>
          <w:lang w:eastAsia="en-US"/>
        </w:rPr>
        <w:t>’</w:t>
      </w:r>
      <w:r w:rsidRPr="006C28E7">
        <w:rPr>
          <w:rFonts w:eastAsia="Calibri"/>
          <w:b/>
          <w:i/>
          <w:color w:val="000000"/>
          <w:szCs w:val="22"/>
          <w:lang w:eastAsia="en-US"/>
        </w:rPr>
        <w:t>au port d</w:t>
      </w:r>
      <w:r w:rsidR="00D43184">
        <w:rPr>
          <w:rFonts w:eastAsia="Calibri"/>
          <w:b/>
          <w:i/>
          <w:color w:val="000000"/>
          <w:szCs w:val="22"/>
          <w:lang w:eastAsia="en-US"/>
        </w:rPr>
        <w:t>’</w:t>
      </w:r>
      <w:r w:rsidRPr="006C28E7">
        <w:rPr>
          <w:rFonts w:eastAsia="Calibri"/>
          <w:b/>
          <w:i/>
          <w:color w:val="000000"/>
          <w:szCs w:val="22"/>
          <w:lang w:eastAsia="en-US"/>
        </w:rPr>
        <w:t xml:space="preserve">escale </w:t>
      </w:r>
      <w:r w:rsidRPr="006C28E7">
        <w:rPr>
          <w:rFonts w:eastAsia="Calibri"/>
          <w:b/>
          <w:bCs/>
          <w:i/>
          <w:iCs/>
          <w:szCs w:val="22"/>
          <w:lang w:eastAsia="en-US"/>
        </w:rPr>
        <w:t>suivant</w:t>
      </w:r>
      <w:r w:rsidRPr="006C28E7">
        <w:rPr>
          <w:rFonts w:eastAsia="Calibri"/>
          <w:b/>
          <w:i/>
          <w:color w:val="000000"/>
          <w:szCs w:val="22"/>
          <w:lang w:eastAsia="en-US"/>
        </w:rPr>
        <w:t xml:space="preserve"> s</w:t>
      </w:r>
      <w:r w:rsidR="00D43184">
        <w:rPr>
          <w:rFonts w:eastAsia="Calibri"/>
          <w:b/>
          <w:i/>
          <w:color w:val="000000"/>
          <w:szCs w:val="22"/>
          <w:lang w:eastAsia="en-US"/>
        </w:rPr>
        <w:t>’</w:t>
      </w:r>
      <w:r w:rsidRPr="006C28E7">
        <w:rPr>
          <w:rFonts w:eastAsia="Calibri"/>
          <w:b/>
          <w:i/>
          <w:color w:val="000000"/>
          <w:szCs w:val="22"/>
          <w:lang w:eastAsia="en-US"/>
        </w:rPr>
        <w:t>il ne dispose pas d</w:t>
      </w:r>
      <w:r w:rsidR="00D43184">
        <w:rPr>
          <w:rFonts w:eastAsia="Calibri"/>
          <w:b/>
          <w:i/>
          <w:color w:val="000000"/>
          <w:szCs w:val="22"/>
          <w:lang w:eastAsia="en-US"/>
        </w:rPr>
        <w:t>’</w:t>
      </w:r>
      <w:r w:rsidRPr="006C28E7">
        <w:rPr>
          <w:rFonts w:eastAsia="Calibri"/>
          <w:b/>
          <w:i/>
          <w:color w:val="000000"/>
          <w:szCs w:val="22"/>
          <w:lang w:eastAsia="en-US"/>
        </w:rPr>
        <w:t>une capacité de stockage suffisante dédiée pour tous les déchets qui ont été et qui seront accumulés pendant le trajet prévu du navire jusqu</w:t>
      </w:r>
      <w:r w:rsidR="00D43184">
        <w:rPr>
          <w:rFonts w:eastAsia="Calibri"/>
          <w:b/>
          <w:i/>
          <w:color w:val="000000"/>
          <w:szCs w:val="22"/>
          <w:lang w:eastAsia="en-US"/>
        </w:rPr>
        <w:t>’</w:t>
      </w:r>
      <w:r w:rsidRPr="006C28E7">
        <w:rPr>
          <w:rFonts w:eastAsia="Calibri"/>
          <w:b/>
          <w:i/>
          <w:color w:val="000000"/>
          <w:szCs w:val="22"/>
          <w:lang w:eastAsia="en-US"/>
        </w:rPr>
        <w:t>au port d</w:t>
      </w:r>
      <w:r w:rsidR="00D43184">
        <w:rPr>
          <w:rFonts w:eastAsia="Calibri"/>
          <w:b/>
          <w:i/>
          <w:color w:val="000000"/>
          <w:szCs w:val="22"/>
          <w:lang w:eastAsia="en-US"/>
        </w:rPr>
        <w:t>’</w:t>
      </w:r>
      <w:r w:rsidRPr="006C28E7">
        <w:rPr>
          <w:rFonts w:eastAsia="Calibri"/>
          <w:b/>
          <w:i/>
          <w:color w:val="000000"/>
          <w:szCs w:val="22"/>
          <w:lang w:eastAsia="en-US"/>
        </w:rPr>
        <w:t>escale</w:t>
      </w:r>
      <w:r w:rsidRPr="006C28E7">
        <w:rPr>
          <w:rFonts w:eastAsia="Calibri"/>
          <w:b/>
          <w:bCs/>
          <w:i/>
          <w:iCs/>
          <w:szCs w:val="22"/>
          <w:lang w:eastAsia="en-US"/>
        </w:rPr>
        <w:t xml:space="preserve"> suivant</w:t>
      </w:r>
      <w:r w:rsidRPr="006C28E7">
        <w:rPr>
          <w:rFonts w:eastAsia="Calibri"/>
          <w:b/>
          <w:i/>
          <w:color w:val="000000"/>
          <w:szCs w:val="22"/>
          <w:lang w:eastAsia="en-US"/>
        </w:rPr>
        <w:t>.</w:t>
      </w:r>
    </w:p>
    <w:p w:rsidR="009C7E1C" w:rsidRPr="006C28E7" w:rsidRDefault="009C7E1C" w:rsidP="009C7E1C">
      <w:pPr>
        <w:widowControl/>
        <w:autoSpaceDE w:val="0"/>
        <w:autoSpaceDN w:val="0"/>
        <w:adjustRightInd w:val="0"/>
        <w:spacing w:before="120" w:after="120" w:line="360" w:lineRule="auto"/>
        <w:jc w:val="center"/>
        <w:rPr>
          <w:b/>
          <w:bCs/>
          <w:i/>
          <w:iCs/>
          <w:szCs w:val="22"/>
          <w:lang w:eastAsia="en-US"/>
        </w:rPr>
      </w:pPr>
      <w:r w:rsidRPr="006C28E7">
        <w:rPr>
          <w:rFonts w:eastAsia="Calibri"/>
          <w:szCs w:val="22"/>
          <w:lang w:eastAsia="en-US"/>
        </w:rPr>
        <w:br w:type="page"/>
      </w:r>
      <w:r w:rsidRPr="006C28E7">
        <w:rPr>
          <w:rFonts w:eastAsia="Calibri"/>
          <w:bCs/>
          <w:iCs/>
          <w:color w:val="000000"/>
          <w:szCs w:val="22"/>
          <w:lang w:eastAsia="en-US"/>
        </w:rPr>
        <w:t>PARTIE 4</w:t>
      </w:r>
      <w:r w:rsidRPr="006C28E7">
        <w:rPr>
          <w:rFonts w:eastAsia="Calibri"/>
          <w:bCs/>
          <w:iCs/>
          <w:color w:val="000000"/>
          <w:szCs w:val="22"/>
          <w:lang w:eastAsia="en-US"/>
        </w:rPr>
        <w:br/>
        <w:t>CONTRÔLE DE L</w:t>
      </w:r>
      <w:r w:rsidR="00D43184">
        <w:rPr>
          <w:rFonts w:eastAsia="Calibri"/>
          <w:bCs/>
          <w:iCs/>
          <w:color w:val="000000"/>
          <w:szCs w:val="22"/>
          <w:lang w:eastAsia="en-US"/>
        </w:rPr>
        <w:t>’</w:t>
      </w:r>
      <w:r w:rsidRPr="006C28E7">
        <w:rPr>
          <w:rFonts w:eastAsia="Calibri"/>
          <w:bCs/>
          <w:iCs/>
          <w:color w:val="000000"/>
          <w:szCs w:val="22"/>
          <w:lang w:eastAsia="en-US"/>
        </w:rPr>
        <w:t>APPLICATION</w:t>
      </w:r>
    </w:p>
    <w:p w:rsidR="009C7E1C" w:rsidRPr="006C28E7" w:rsidRDefault="009C7E1C" w:rsidP="009C7E1C">
      <w:pPr>
        <w:widowControl/>
        <w:autoSpaceDE w:val="0"/>
        <w:autoSpaceDN w:val="0"/>
        <w:adjustRightInd w:val="0"/>
        <w:spacing w:before="120" w:after="120" w:line="360" w:lineRule="auto"/>
        <w:jc w:val="center"/>
        <w:rPr>
          <w:bCs/>
          <w:i/>
          <w:szCs w:val="22"/>
          <w:lang w:eastAsia="en-US"/>
        </w:rPr>
      </w:pPr>
      <w:r w:rsidRPr="006C28E7">
        <w:rPr>
          <w:rFonts w:eastAsia="Calibri"/>
          <w:i/>
          <w:szCs w:val="22"/>
          <w:lang w:eastAsia="en-US"/>
        </w:rPr>
        <w:t>Article 10</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Inspections</w:t>
      </w:r>
    </w:p>
    <w:p w:rsidR="009C7E1C" w:rsidRPr="006C28E7" w:rsidRDefault="009C7E1C" w:rsidP="009C7E1C">
      <w:pPr>
        <w:widowControl/>
        <w:spacing w:before="120" w:after="120" w:line="360" w:lineRule="auto"/>
        <w:rPr>
          <w:rFonts w:cs="Symbol"/>
          <w:szCs w:val="22"/>
          <w:lang w:eastAsia="en-US"/>
        </w:rPr>
      </w:pPr>
      <w:r w:rsidRPr="006C28E7">
        <w:rPr>
          <w:rFonts w:eastAsia="Calibri"/>
          <w:szCs w:val="22"/>
          <w:lang w:eastAsia="en-US"/>
        </w:rPr>
        <w:t>Les États membres veillent à ce que tout navire soit susceptible de faire l</w:t>
      </w:r>
      <w:r w:rsidR="00D43184">
        <w:rPr>
          <w:rFonts w:eastAsia="Calibri"/>
          <w:szCs w:val="22"/>
          <w:lang w:eastAsia="en-US"/>
        </w:rPr>
        <w:t>’</w:t>
      </w:r>
      <w:r w:rsidRPr="006C28E7">
        <w:rPr>
          <w:rFonts w:eastAsia="Calibri"/>
          <w:szCs w:val="22"/>
          <w:lang w:eastAsia="en-US"/>
        </w:rPr>
        <w:t xml:space="preserve">objet </w:t>
      </w:r>
      <w:r w:rsidRPr="006C28E7">
        <w:rPr>
          <w:rFonts w:eastAsia="Calibri"/>
          <w:b/>
          <w:bCs/>
          <w:i/>
          <w:iCs/>
          <w:szCs w:val="22"/>
          <w:lang w:eastAsia="en-US"/>
        </w:rPr>
        <w:t>d</w:t>
      </w:r>
      <w:r w:rsidR="00D43184">
        <w:rPr>
          <w:rFonts w:eastAsia="Calibri"/>
          <w:b/>
          <w:bCs/>
          <w:i/>
          <w:iCs/>
          <w:szCs w:val="22"/>
          <w:lang w:eastAsia="en-US"/>
        </w:rPr>
        <w:t>’</w:t>
      </w:r>
      <w:r w:rsidRPr="006C28E7">
        <w:rPr>
          <w:rFonts w:eastAsia="Calibri"/>
          <w:b/>
          <w:bCs/>
          <w:i/>
          <w:iCs/>
          <w:szCs w:val="22"/>
          <w:lang w:eastAsia="en-US"/>
        </w:rPr>
        <w:t>inspections, y compris aléatoires</w:t>
      </w:r>
      <w:r w:rsidRPr="006C28E7">
        <w:rPr>
          <w:rFonts w:eastAsia="Calibri"/>
          <w:szCs w:val="22"/>
          <w:lang w:eastAsia="en-US"/>
        </w:rPr>
        <w:t>, destinées à vérifier qu</w:t>
      </w:r>
      <w:r w:rsidR="00D43184">
        <w:rPr>
          <w:rFonts w:eastAsia="Calibri"/>
          <w:szCs w:val="22"/>
          <w:lang w:eastAsia="en-US"/>
        </w:rPr>
        <w:t>’</w:t>
      </w:r>
      <w:r w:rsidRPr="006C28E7">
        <w:rPr>
          <w:rFonts w:eastAsia="Calibri"/>
          <w:szCs w:val="22"/>
          <w:lang w:eastAsia="en-US"/>
        </w:rPr>
        <w:t>il satisfait à la présente directive.</w:t>
      </w:r>
    </w:p>
    <w:p w:rsidR="009C7E1C" w:rsidRPr="006C28E7" w:rsidRDefault="009C7E1C" w:rsidP="009C7E1C">
      <w:pPr>
        <w:keepNext/>
        <w:widowControl/>
        <w:autoSpaceDE w:val="0"/>
        <w:autoSpaceDN w:val="0"/>
        <w:adjustRightInd w:val="0"/>
        <w:spacing w:before="120" w:after="120" w:line="360" w:lineRule="auto"/>
        <w:jc w:val="center"/>
        <w:rPr>
          <w:rFonts w:cs="Symbol"/>
          <w:i/>
          <w:szCs w:val="22"/>
          <w:lang w:eastAsia="en-US"/>
        </w:rPr>
      </w:pPr>
      <w:r w:rsidRPr="006C28E7">
        <w:rPr>
          <w:rFonts w:eastAsia="Calibri"/>
          <w:i/>
          <w:color w:val="000000"/>
          <w:szCs w:val="22"/>
          <w:lang w:eastAsia="en-US"/>
        </w:rPr>
        <w:t>▌</w:t>
      </w:r>
    </w:p>
    <w:p w:rsidR="009C7E1C" w:rsidRPr="006C28E7" w:rsidRDefault="009C7E1C" w:rsidP="009C7E1C">
      <w:pPr>
        <w:widowControl/>
        <w:autoSpaceDE w:val="0"/>
        <w:autoSpaceDN w:val="0"/>
        <w:adjustRightInd w:val="0"/>
        <w:spacing w:before="120" w:after="120" w:line="360" w:lineRule="auto"/>
        <w:jc w:val="center"/>
        <w:rPr>
          <w:i/>
          <w:szCs w:val="22"/>
          <w:lang w:eastAsia="en-US"/>
        </w:rPr>
      </w:pPr>
      <w:r w:rsidRPr="006C28E7">
        <w:rPr>
          <w:rFonts w:eastAsia="Calibri"/>
          <w:b/>
          <w:i/>
          <w:szCs w:val="22"/>
          <w:lang w:eastAsia="en-US"/>
        </w:rPr>
        <w:t>Article 11</w:t>
      </w:r>
      <w:r w:rsidRPr="006C28E7">
        <w:rPr>
          <w:rFonts w:eastAsia="Calibri"/>
          <w:b/>
          <w:i/>
          <w:szCs w:val="22"/>
          <w:lang w:eastAsia="en-US"/>
        </w:rPr>
        <w:br/>
        <w:t>Obligations en matière d</w:t>
      </w:r>
      <w:r w:rsidR="00D43184">
        <w:rPr>
          <w:rFonts w:eastAsia="Calibri"/>
          <w:b/>
          <w:i/>
          <w:szCs w:val="22"/>
          <w:lang w:eastAsia="en-US"/>
        </w:rPr>
        <w:t>’</w:t>
      </w:r>
      <w:r w:rsidRPr="006C28E7">
        <w:rPr>
          <w:rFonts w:eastAsia="Calibri"/>
          <w:b/>
          <w:i/>
          <w:szCs w:val="22"/>
          <w:lang w:eastAsia="en-US"/>
        </w:rPr>
        <w:t>inspection</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1.</w:t>
      </w:r>
      <w:r w:rsidRPr="006C28E7">
        <w:rPr>
          <w:rFonts w:eastAsia="Calibri"/>
          <w:szCs w:val="22"/>
          <w:lang w:eastAsia="en-US"/>
        </w:rPr>
        <w:tab/>
      </w:r>
      <w:r w:rsidRPr="006C28E7">
        <w:rPr>
          <w:rFonts w:eastAsia="Calibri"/>
          <w:color w:val="000000"/>
          <w:szCs w:val="22"/>
          <w:lang w:eastAsia="en-US"/>
        </w:rPr>
        <w:t>▌</w:t>
      </w:r>
      <w:r w:rsidRPr="006C28E7">
        <w:rPr>
          <w:rFonts w:eastAsia="Calibri"/>
          <w:szCs w:val="22"/>
          <w:lang w:eastAsia="en-US"/>
        </w:rPr>
        <w:t xml:space="preserve">Chaque État membre </w:t>
      </w:r>
      <w:r w:rsidRPr="006C28E7">
        <w:rPr>
          <w:rFonts w:eastAsia="Calibri"/>
          <w:b/>
          <w:bCs/>
          <w:i/>
          <w:iCs/>
          <w:szCs w:val="22"/>
          <w:lang w:eastAsia="en-US"/>
        </w:rPr>
        <w:t>procède à</w:t>
      </w:r>
      <w:r w:rsidRPr="006C28E7">
        <w:rPr>
          <w:rFonts w:eastAsia="Calibri"/>
          <w:szCs w:val="22"/>
          <w:lang w:eastAsia="en-US"/>
        </w:rPr>
        <w:t xml:space="preserve"> des inspections </w:t>
      </w:r>
      <w:r w:rsidRPr="006C28E7">
        <w:rPr>
          <w:rFonts w:eastAsia="Calibri"/>
          <w:color w:val="000000"/>
          <w:szCs w:val="22"/>
          <w:lang w:eastAsia="en-US"/>
        </w:rPr>
        <w:t>▌</w:t>
      </w:r>
      <w:r w:rsidRPr="006C28E7">
        <w:rPr>
          <w:rFonts w:eastAsia="Calibri"/>
          <w:szCs w:val="22"/>
          <w:lang w:eastAsia="en-US"/>
        </w:rPr>
        <w:t xml:space="preserve">de </w:t>
      </w:r>
      <w:r w:rsidRPr="006C28E7">
        <w:rPr>
          <w:rFonts w:eastAsia="Calibri"/>
          <w:b/>
          <w:bCs/>
          <w:i/>
          <w:iCs/>
          <w:szCs w:val="22"/>
          <w:lang w:eastAsia="en-US"/>
        </w:rPr>
        <w:t>navires faisant escale dans ses ports, en ce qui concerne</w:t>
      </w:r>
      <w:r w:rsidRPr="006C28E7">
        <w:rPr>
          <w:rFonts w:eastAsia="Calibri"/>
          <w:szCs w:val="22"/>
          <w:lang w:eastAsia="en-US"/>
        </w:rPr>
        <w:t xml:space="preserve"> au moins </w:t>
      </w:r>
      <w:r w:rsidRPr="006C28E7">
        <w:rPr>
          <w:rFonts w:eastAsia="Calibri"/>
          <w:b/>
          <w:bCs/>
          <w:i/>
          <w:iCs/>
          <w:szCs w:val="22"/>
          <w:lang w:eastAsia="en-US"/>
        </w:rPr>
        <w:t>15</w:t>
      </w:r>
      <w:r w:rsidRPr="006C28E7">
        <w:rPr>
          <w:rFonts w:eastAsia="Calibri"/>
          <w:szCs w:val="22"/>
          <w:lang w:eastAsia="en-US"/>
        </w:rPr>
        <w:t xml:space="preserve"> % du nombre total de </w:t>
      </w:r>
      <w:r w:rsidRPr="006C28E7">
        <w:rPr>
          <w:rFonts w:eastAsia="Calibri"/>
          <w:b/>
          <w:bCs/>
          <w:i/>
          <w:iCs/>
          <w:szCs w:val="22"/>
          <w:lang w:eastAsia="en-US"/>
        </w:rPr>
        <w:t>navires distincts faisant escale dans ses ports chaque année</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ab/>
      </w:r>
      <w:r w:rsidRPr="006C28E7">
        <w:rPr>
          <w:rFonts w:eastAsia="Calibri"/>
          <w:b/>
          <w:i/>
          <w:color w:val="000000"/>
          <w:szCs w:val="22"/>
          <w:lang w:eastAsia="en-US"/>
        </w:rPr>
        <w:t>Le nombre total de navires</w:t>
      </w:r>
      <w:r w:rsidRPr="006C28E7">
        <w:rPr>
          <w:rFonts w:eastAsia="Calibri"/>
          <w:b/>
          <w:bCs/>
          <w:i/>
          <w:iCs/>
          <w:szCs w:val="22"/>
          <w:lang w:eastAsia="en-US"/>
        </w:rPr>
        <w:t xml:space="preserve"> distincts</w:t>
      </w:r>
      <w:r w:rsidRPr="006C28E7">
        <w:rPr>
          <w:rFonts w:eastAsia="Calibri"/>
          <w:b/>
          <w:i/>
          <w:color w:val="000000"/>
          <w:szCs w:val="22"/>
          <w:lang w:eastAsia="en-US"/>
        </w:rPr>
        <w:t xml:space="preserve"> faisant escale dans un État membre est calculé comme étant le nombre moyen de navires</w:t>
      </w:r>
      <w:r w:rsidRPr="006C28E7">
        <w:rPr>
          <w:rFonts w:eastAsia="Calibri"/>
          <w:b/>
          <w:bCs/>
          <w:i/>
          <w:iCs/>
          <w:szCs w:val="22"/>
          <w:lang w:eastAsia="en-US"/>
        </w:rPr>
        <w:t xml:space="preserve"> distincts</w:t>
      </w:r>
      <w:r w:rsidRPr="006C28E7">
        <w:rPr>
          <w:rFonts w:eastAsia="Calibri"/>
          <w:b/>
          <w:i/>
          <w:color w:val="000000"/>
          <w:szCs w:val="22"/>
          <w:lang w:eastAsia="en-US"/>
        </w:rPr>
        <w:t xml:space="preserve"> des trois années précédentes, tel qu</w:t>
      </w:r>
      <w:r w:rsidR="00D43184">
        <w:rPr>
          <w:rFonts w:eastAsia="Calibri"/>
          <w:b/>
          <w:i/>
          <w:color w:val="000000"/>
          <w:szCs w:val="22"/>
          <w:lang w:eastAsia="en-US"/>
        </w:rPr>
        <w:t>’</w:t>
      </w:r>
      <w:r w:rsidRPr="006C28E7">
        <w:rPr>
          <w:rFonts w:eastAsia="Calibri"/>
          <w:b/>
          <w:i/>
          <w:color w:val="000000"/>
          <w:szCs w:val="22"/>
          <w:lang w:eastAsia="en-US"/>
        </w:rPr>
        <w:t>il a été communiqué par le biais de la partie du système d</w:t>
      </w:r>
      <w:r w:rsidR="00D43184">
        <w:rPr>
          <w:rFonts w:eastAsia="Calibri"/>
          <w:b/>
          <w:i/>
          <w:color w:val="000000"/>
          <w:szCs w:val="22"/>
          <w:lang w:eastAsia="en-US"/>
        </w:rPr>
        <w:t>’</w:t>
      </w:r>
      <w:r w:rsidRPr="006C28E7">
        <w:rPr>
          <w:rFonts w:eastAsia="Calibri"/>
          <w:b/>
          <w:i/>
          <w:color w:val="000000"/>
          <w:szCs w:val="22"/>
          <w:lang w:eastAsia="en-US"/>
        </w:rPr>
        <w:t>information, de suivi et de contrôle de l</w:t>
      </w:r>
      <w:r w:rsidR="00D43184">
        <w:rPr>
          <w:rFonts w:eastAsia="Calibri"/>
          <w:b/>
          <w:i/>
          <w:color w:val="000000"/>
          <w:szCs w:val="22"/>
          <w:lang w:eastAsia="en-US"/>
        </w:rPr>
        <w:t>’</w:t>
      </w:r>
      <w:r w:rsidRPr="006C28E7">
        <w:rPr>
          <w:rFonts w:eastAsia="Calibri"/>
          <w:b/>
          <w:i/>
          <w:color w:val="000000"/>
          <w:szCs w:val="22"/>
          <w:lang w:eastAsia="en-US"/>
        </w:rPr>
        <w:t>application visée à l</w:t>
      </w:r>
      <w:r w:rsidR="00D43184">
        <w:rPr>
          <w:rFonts w:eastAsia="Calibri"/>
          <w:b/>
          <w:i/>
          <w:color w:val="000000"/>
          <w:szCs w:val="22"/>
          <w:lang w:eastAsia="en-US"/>
        </w:rPr>
        <w:t>’</w:t>
      </w:r>
      <w:r w:rsidRPr="006C28E7">
        <w:rPr>
          <w:rFonts w:eastAsia="Calibri"/>
          <w:b/>
          <w:i/>
          <w:color w:val="000000"/>
          <w:szCs w:val="22"/>
          <w:lang w:eastAsia="en-US"/>
        </w:rPr>
        <w:t>article 13.</w:t>
      </w:r>
    </w:p>
    <w:p w:rsidR="009C7E1C" w:rsidRPr="006C28E7" w:rsidRDefault="009C7E1C" w:rsidP="009C7E1C">
      <w:pPr>
        <w:widowControl/>
        <w:autoSpaceDE w:val="0"/>
        <w:autoSpaceDN w:val="0"/>
        <w:adjustRightInd w:val="0"/>
        <w:spacing w:before="120" w:after="120" w:line="360" w:lineRule="auto"/>
        <w:ind w:left="567" w:hanging="567"/>
        <w:rPr>
          <w:rFonts w:eastAsia="Calibri"/>
          <w:b/>
          <w:i/>
          <w:color w:val="000000"/>
          <w:szCs w:val="22"/>
          <w:lang w:eastAsia="en-US"/>
        </w:rPr>
      </w:pPr>
      <w:r w:rsidRPr="006C28E7">
        <w:rPr>
          <w:rFonts w:eastAsia="Calibri"/>
          <w:b/>
          <w:i/>
          <w:color w:val="000000"/>
          <w:szCs w:val="22"/>
          <w:lang w:eastAsia="en-US"/>
        </w:rPr>
        <w:t>2.</w:t>
      </w:r>
      <w:r w:rsidRPr="006C28E7">
        <w:rPr>
          <w:rFonts w:eastAsia="Calibri"/>
          <w:b/>
          <w:i/>
          <w:color w:val="000000"/>
          <w:szCs w:val="22"/>
          <w:lang w:eastAsia="en-US"/>
        </w:rPr>
        <w:tab/>
        <w:t>Les États membres se conforment au paragraphe 1 du présent article en sélectionnant les navires sur la base d</w:t>
      </w:r>
      <w:r w:rsidR="00D43184">
        <w:rPr>
          <w:rFonts w:eastAsia="Calibri"/>
          <w:b/>
          <w:i/>
          <w:color w:val="000000"/>
          <w:szCs w:val="22"/>
          <w:lang w:eastAsia="en-US"/>
        </w:rPr>
        <w:t>’</w:t>
      </w:r>
      <w:r w:rsidRPr="006C28E7">
        <w:rPr>
          <w:rFonts w:eastAsia="Calibri"/>
          <w:b/>
          <w:i/>
          <w:color w:val="000000"/>
          <w:szCs w:val="22"/>
          <w:lang w:eastAsia="en-US"/>
        </w:rPr>
        <w:t>un mécanisme de ciblage de l</w:t>
      </w:r>
      <w:r w:rsidR="00D43184">
        <w:rPr>
          <w:rFonts w:eastAsia="Calibri"/>
          <w:b/>
          <w:i/>
          <w:color w:val="000000"/>
          <w:szCs w:val="22"/>
          <w:lang w:eastAsia="en-US"/>
        </w:rPr>
        <w:t>’</w:t>
      </w:r>
      <w:r w:rsidRPr="006C28E7">
        <w:rPr>
          <w:rFonts w:eastAsia="Calibri"/>
          <w:b/>
          <w:i/>
          <w:color w:val="000000"/>
          <w:szCs w:val="22"/>
          <w:lang w:eastAsia="en-US"/>
        </w:rPr>
        <w:t xml:space="preserve">Union fondé sur les risques. </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ab/>
        <w:t>Afin de garantir une harmonisation des inspections et d</w:t>
      </w:r>
      <w:r w:rsidR="00D43184">
        <w:rPr>
          <w:rFonts w:eastAsia="Calibri"/>
          <w:b/>
          <w:i/>
          <w:color w:val="000000"/>
          <w:szCs w:val="22"/>
          <w:lang w:eastAsia="en-US"/>
        </w:rPr>
        <w:t>’</w:t>
      </w:r>
      <w:r w:rsidRPr="006C28E7">
        <w:rPr>
          <w:rFonts w:eastAsia="Calibri"/>
          <w:b/>
          <w:i/>
          <w:color w:val="000000"/>
          <w:szCs w:val="22"/>
          <w:lang w:eastAsia="en-US"/>
        </w:rPr>
        <w:t>assurer des conditions uniformes de sélection des navires aux fins d</w:t>
      </w:r>
      <w:r w:rsidR="00D43184">
        <w:rPr>
          <w:rFonts w:eastAsia="Calibri"/>
          <w:b/>
          <w:i/>
          <w:color w:val="000000"/>
          <w:szCs w:val="22"/>
          <w:lang w:eastAsia="en-US"/>
        </w:rPr>
        <w:t>’</w:t>
      </w:r>
      <w:r w:rsidRPr="006C28E7">
        <w:rPr>
          <w:rFonts w:eastAsia="Calibri"/>
          <w:b/>
          <w:i/>
          <w:color w:val="000000"/>
          <w:szCs w:val="22"/>
          <w:lang w:eastAsia="en-US"/>
        </w:rPr>
        <w:t>inspection, la Commission adopte des actes d</w:t>
      </w:r>
      <w:r w:rsidR="00D43184">
        <w:rPr>
          <w:rFonts w:eastAsia="Calibri"/>
          <w:b/>
          <w:i/>
          <w:color w:val="000000"/>
          <w:szCs w:val="22"/>
          <w:lang w:eastAsia="en-US"/>
        </w:rPr>
        <w:t>’</w:t>
      </w:r>
      <w:r w:rsidRPr="006C28E7">
        <w:rPr>
          <w:rFonts w:eastAsia="Calibri"/>
          <w:b/>
          <w:i/>
          <w:color w:val="000000"/>
          <w:szCs w:val="22"/>
          <w:lang w:eastAsia="en-US"/>
        </w:rPr>
        <w:t>exécution afin de définir les éléments détaillés du mécanisme de ciblage de l</w:t>
      </w:r>
      <w:r w:rsidR="00D43184">
        <w:rPr>
          <w:rFonts w:eastAsia="Calibri"/>
          <w:b/>
          <w:i/>
          <w:color w:val="000000"/>
          <w:szCs w:val="22"/>
          <w:lang w:eastAsia="en-US"/>
        </w:rPr>
        <w:t>’</w:t>
      </w:r>
      <w:r w:rsidRPr="006C28E7">
        <w:rPr>
          <w:rFonts w:eastAsia="Calibri"/>
          <w:b/>
          <w:i/>
          <w:color w:val="000000"/>
          <w:szCs w:val="22"/>
          <w:lang w:eastAsia="en-US"/>
        </w:rPr>
        <w:t>Union fondé sur les risques. Ces actes d</w:t>
      </w:r>
      <w:r w:rsidR="00D43184">
        <w:rPr>
          <w:rFonts w:eastAsia="Calibri"/>
          <w:b/>
          <w:i/>
          <w:color w:val="000000"/>
          <w:szCs w:val="22"/>
          <w:lang w:eastAsia="en-US"/>
        </w:rPr>
        <w:t>’</w:t>
      </w:r>
      <w:r w:rsidRPr="006C28E7">
        <w:rPr>
          <w:rFonts w:eastAsia="Calibri"/>
          <w:b/>
          <w:i/>
          <w:color w:val="000000"/>
          <w:szCs w:val="22"/>
          <w:lang w:eastAsia="en-US"/>
        </w:rPr>
        <w:t>exécution sont adoptés en conformité avec la procédure d</w:t>
      </w:r>
      <w:r w:rsidR="00D43184">
        <w:rPr>
          <w:rFonts w:eastAsia="Calibri"/>
          <w:b/>
          <w:i/>
          <w:color w:val="000000"/>
          <w:szCs w:val="22"/>
          <w:lang w:eastAsia="en-US"/>
        </w:rPr>
        <w:t>’</w:t>
      </w:r>
      <w:r w:rsidRPr="006C28E7">
        <w:rPr>
          <w:rFonts w:eastAsia="Calibri"/>
          <w:b/>
          <w:i/>
          <w:color w:val="000000"/>
          <w:szCs w:val="22"/>
          <w:lang w:eastAsia="en-US"/>
        </w:rPr>
        <w:t>examen visée à l</w:t>
      </w:r>
      <w:r w:rsidR="00D43184">
        <w:rPr>
          <w:rFonts w:eastAsia="Calibri"/>
          <w:b/>
          <w:i/>
          <w:color w:val="000000"/>
          <w:szCs w:val="22"/>
          <w:lang w:eastAsia="en-US"/>
        </w:rPr>
        <w:t>’</w:t>
      </w:r>
      <w:r w:rsidRPr="006C28E7">
        <w:rPr>
          <w:rFonts w:eastAsia="Calibri"/>
          <w:b/>
          <w:i/>
          <w:color w:val="000000"/>
          <w:szCs w:val="22"/>
          <w:lang w:eastAsia="en-US"/>
        </w:rPr>
        <w:t>article 20, paragraphe 2.</w:t>
      </w:r>
    </w:p>
    <w:p w:rsidR="009C7E1C" w:rsidRPr="006C28E7" w:rsidRDefault="009C7E1C" w:rsidP="009C7E1C">
      <w:pPr>
        <w:widowControl/>
        <w:autoSpaceDE w:val="0"/>
        <w:autoSpaceDN w:val="0"/>
        <w:adjustRightInd w:val="0"/>
        <w:spacing w:before="120" w:after="120" w:line="360" w:lineRule="auto"/>
        <w:ind w:left="567" w:hanging="567"/>
        <w:rPr>
          <w:rFonts w:eastAsia="Calibri"/>
          <w:b/>
          <w:i/>
          <w:color w:val="000000"/>
          <w:szCs w:val="22"/>
          <w:lang w:eastAsia="en-US"/>
        </w:rPr>
      </w:pPr>
      <w:r w:rsidRPr="006C28E7">
        <w:rPr>
          <w:rFonts w:eastAsia="Calibri"/>
          <w:szCs w:val="22"/>
          <w:lang w:eastAsia="en-US"/>
        </w:rPr>
        <w:t>3.</w:t>
      </w:r>
      <w:r w:rsidRPr="006C28E7">
        <w:rPr>
          <w:rFonts w:eastAsia="Calibri"/>
          <w:szCs w:val="22"/>
          <w:lang w:eastAsia="en-US"/>
        </w:rPr>
        <w:tab/>
        <w:t xml:space="preserve">Les États membres mettent en place des procédures pour les inspections des </w:t>
      </w:r>
      <w:r w:rsidRPr="006C28E7">
        <w:rPr>
          <w:rFonts w:eastAsia="Calibri"/>
          <w:b/>
          <w:bCs/>
          <w:i/>
          <w:iCs/>
          <w:szCs w:val="22"/>
          <w:lang w:eastAsia="en-US"/>
        </w:rPr>
        <w:t>navires qui ne relèvent pas du champ d</w:t>
      </w:r>
      <w:r w:rsidR="00D43184">
        <w:rPr>
          <w:rFonts w:eastAsia="Calibri"/>
          <w:b/>
          <w:bCs/>
          <w:i/>
          <w:iCs/>
          <w:szCs w:val="22"/>
          <w:lang w:eastAsia="en-US"/>
        </w:rPr>
        <w:t>’</w:t>
      </w:r>
      <w:r w:rsidRPr="006C28E7">
        <w:rPr>
          <w:rFonts w:eastAsia="Calibri"/>
          <w:b/>
          <w:bCs/>
          <w:i/>
          <w:iCs/>
          <w:szCs w:val="22"/>
          <w:lang w:eastAsia="en-US"/>
        </w:rPr>
        <w:t>application de la directive 2002/59/CE afin de garantir, dans toute la mesure du possible, le respect de la présente directive.</w:t>
      </w: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ab/>
        <w:t>Lors de l</w:t>
      </w:r>
      <w:r w:rsidR="00D43184">
        <w:rPr>
          <w:rFonts w:eastAsia="Calibri"/>
          <w:b/>
          <w:i/>
          <w:color w:val="000000"/>
          <w:szCs w:val="22"/>
          <w:lang w:eastAsia="en-US"/>
        </w:rPr>
        <w:t>’</w:t>
      </w:r>
      <w:r w:rsidRPr="006C28E7">
        <w:rPr>
          <w:rFonts w:eastAsia="Calibri"/>
          <w:b/>
          <w:i/>
          <w:color w:val="000000"/>
          <w:szCs w:val="22"/>
          <w:lang w:eastAsia="en-US"/>
        </w:rPr>
        <w:t>établissement de ces procédures, les États membres peuvent tenir compte du mécanisme de ciblage de l</w:t>
      </w:r>
      <w:r w:rsidR="00D43184">
        <w:rPr>
          <w:rFonts w:eastAsia="Calibri"/>
          <w:b/>
          <w:i/>
          <w:color w:val="000000"/>
          <w:szCs w:val="22"/>
          <w:lang w:eastAsia="en-US"/>
        </w:rPr>
        <w:t>’</w:t>
      </w:r>
      <w:r w:rsidRPr="006C28E7">
        <w:rPr>
          <w:rFonts w:eastAsia="Calibri"/>
          <w:b/>
          <w:i/>
          <w:color w:val="000000"/>
          <w:szCs w:val="22"/>
          <w:lang w:eastAsia="en-US"/>
        </w:rPr>
        <w:t>Union fondé sur les risques visé au paragraphe 2.</w:t>
      </w:r>
    </w:p>
    <w:p w:rsidR="009C7E1C" w:rsidRPr="006C28E7" w:rsidRDefault="009C7E1C" w:rsidP="009C7E1C">
      <w:pPr>
        <w:widowControl/>
        <w:spacing w:before="120" w:after="120" w:line="360" w:lineRule="auto"/>
        <w:rPr>
          <w:rFonts w:eastAsia="Calibri"/>
          <w:szCs w:val="22"/>
          <w:lang w:eastAsia="en-US"/>
        </w:rPr>
      </w:pPr>
    </w:p>
    <w:p w:rsidR="009C7E1C" w:rsidRPr="006C28E7" w:rsidRDefault="009C7E1C" w:rsidP="009C7E1C">
      <w:pPr>
        <w:widowControl/>
        <w:autoSpaceDE w:val="0"/>
        <w:autoSpaceDN w:val="0"/>
        <w:adjustRightInd w:val="0"/>
        <w:spacing w:before="120" w:after="120" w:line="360" w:lineRule="auto"/>
        <w:ind w:left="567" w:hanging="567"/>
        <w:rPr>
          <w:b/>
          <w:szCs w:val="22"/>
          <w:lang w:eastAsia="en-US"/>
        </w:rPr>
      </w:pPr>
      <w:r w:rsidRPr="006C28E7">
        <w:rPr>
          <w:rFonts w:eastAsia="Calibri"/>
          <w:szCs w:val="22"/>
          <w:lang w:eastAsia="en-US"/>
        </w:rPr>
        <w:t>4.</w:t>
      </w:r>
      <w:r w:rsidRPr="006C28E7">
        <w:rPr>
          <w:rFonts w:eastAsia="Calibri"/>
          <w:b/>
          <w:szCs w:val="22"/>
          <w:lang w:eastAsia="en-US"/>
        </w:rPr>
        <w:tab/>
      </w:r>
      <w:r w:rsidRPr="006C28E7">
        <w:rPr>
          <w:rFonts w:eastAsia="Calibri"/>
          <w:szCs w:val="22"/>
          <w:lang w:eastAsia="en-US"/>
        </w:rPr>
        <w:t>Si l</w:t>
      </w:r>
      <w:r w:rsidR="00D43184">
        <w:rPr>
          <w:rFonts w:eastAsia="Calibri"/>
          <w:szCs w:val="22"/>
          <w:lang w:eastAsia="en-US"/>
        </w:rPr>
        <w:t>’</w:t>
      </w:r>
      <w:r w:rsidRPr="006C28E7">
        <w:rPr>
          <w:rFonts w:eastAsia="Calibri"/>
          <w:szCs w:val="22"/>
          <w:lang w:eastAsia="en-US"/>
        </w:rPr>
        <w:t>autorité compétente de l</w:t>
      </w:r>
      <w:r w:rsidR="00D43184">
        <w:rPr>
          <w:rFonts w:eastAsia="Calibri"/>
          <w:szCs w:val="22"/>
          <w:lang w:eastAsia="en-US"/>
        </w:rPr>
        <w:t>’</w:t>
      </w:r>
      <w:r w:rsidRPr="006C28E7">
        <w:rPr>
          <w:rFonts w:eastAsia="Calibri"/>
          <w:szCs w:val="22"/>
          <w:lang w:eastAsia="en-US"/>
        </w:rPr>
        <w:t>État membre n</w:t>
      </w:r>
      <w:r w:rsidR="00D43184">
        <w:rPr>
          <w:rFonts w:eastAsia="Calibri"/>
          <w:szCs w:val="22"/>
          <w:lang w:eastAsia="en-US"/>
        </w:rPr>
        <w:t>’</w:t>
      </w:r>
      <w:r w:rsidRPr="006C28E7">
        <w:rPr>
          <w:rFonts w:eastAsia="Calibri"/>
          <w:szCs w:val="22"/>
          <w:lang w:eastAsia="en-US"/>
        </w:rPr>
        <w:t>est pas satisfaite des résultats de l</w:t>
      </w:r>
      <w:r w:rsidR="00D43184">
        <w:rPr>
          <w:rFonts w:eastAsia="Calibri"/>
          <w:szCs w:val="22"/>
          <w:lang w:eastAsia="en-US"/>
        </w:rPr>
        <w:t>’</w:t>
      </w:r>
      <w:r w:rsidRPr="006C28E7">
        <w:rPr>
          <w:rFonts w:eastAsia="Calibri"/>
          <w:szCs w:val="22"/>
          <w:lang w:eastAsia="en-US"/>
        </w:rPr>
        <w:t>inspection, elle fait en sorte que le navire ne quitte pas le port avant d</w:t>
      </w:r>
      <w:r w:rsidR="00D43184">
        <w:rPr>
          <w:rFonts w:eastAsia="Calibri"/>
          <w:szCs w:val="22"/>
          <w:lang w:eastAsia="en-US"/>
        </w:rPr>
        <w:t>’</w:t>
      </w:r>
      <w:r w:rsidRPr="006C28E7">
        <w:rPr>
          <w:rFonts w:eastAsia="Calibri"/>
          <w:szCs w:val="22"/>
          <w:lang w:eastAsia="en-US"/>
        </w:rPr>
        <w:t>avoir déposé ses déchets dans une installation de réception portuaire conformément à l</w:t>
      </w:r>
      <w:r w:rsidR="00D43184">
        <w:rPr>
          <w:rFonts w:eastAsia="Calibri"/>
          <w:szCs w:val="22"/>
          <w:lang w:eastAsia="en-US"/>
        </w:rPr>
        <w:t>’</w:t>
      </w:r>
      <w:r w:rsidRPr="006C28E7">
        <w:rPr>
          <w:rFonts w:eastAsia="Calibri"/>
          <w:szCs w:val="22"/>
          <w:lang w:eastAsia="en-US"/>
        </w:rPr>
        <w:t>article 7, et ce sans préjudice de l</w:t>
      </w:r>
      <w:r w:rsidR="00D43184">
        <w:rPr>
          <w:rFonts w:eastAsia="Calibri"/>
          <w:szCs w:val="22"/>
          <w:lang w:eastAsia="en-US"/>
        </w:rPr>
        <w:t>’</w:t>
      </w:r>
      <w:r w:rsidRPr="006C28E7">
        <w:rPr>
          <w:rFonts w:eastAsia="Calibri"/>
          <w:szCs w:val="22"/>
          <w:lang w:eastAsia="en-US"/>
        </w:rPr>
        <w:t>application des sanctions prévues à l</w:t>
      </w:r>
      <w:r w:rsidR="00D43184">
        <w:rPr>
          <w:rFonts w:eastAsia="Calibri"/>
          <w:szCs w:val="22"/>
          <w:lang w:eastAsia="en-US"/>
        </w:rPr>
        <w:t>’</w:t>
      </w:r>
      <w:r w:rsidRPr="006C28E7">
        <w:rPr>
          <w:rFonts w:eastAsia="Calibri"/>
          <w:szCs w:val="22"/>
          <w:lang w:eastAsia="en-US"/>
        </w:rPr>
        <w:t>article 16.</w:t>
      </w:r>
    </w:p>
    <w:p w:rsidR="009C7E1C" w:rsidRPr="006C28E7" w:rsidRDefault="009C7E1C" w:rsidP="009C7E1C">
      <w:pPr>
        <w:widowControl/>
        <w:autoSpaceDE w:val="0"/>
        <w:autoSpaceDN w:val="0"/>
        <w:adjustRightInd w:val="0"/>
        <w:spacing w:before="120" w:after="120" w:line="360" w:lineRule="auto"/>
        <w:jc w:val="center"/>
        <w:rPr>
          <w:bCs/>
          <w:i/>
          <w:szCs w:val="22"/>
          <w:lang w:eastAsia="en-US"/>
        </w:rPr>
      </w:pPr>
      <w:r w:rsidRPr="006C28E7">
        <w:rPr>
          <w:rFonts w:eastAsia="Calibri"/>
          <w:szCs w:val="22"/>
          <w:lang w:eastAsia="en-US"/>
        </w:rPr>
        <w:br w:type="page"/>
      </w:r>
      <w:r w:rsidRPr="006C28E7">
        <w:rPr>
          <w:rFonts w:eastAsia="Calibri"/>
          <w:i/>
          <w:szCs w:val="22"/>
          <w:lang w:eastAsia="en-US"/>
        </w:rPr>
        <w:t>Article 12</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Système d</w:t>
      </w:r>
      <w:r w:rsidR="00D43184">
        <w:rPr>
          <w:rFonts w:eastAsia="Calibri"/>
          <w:bCs/>
          <w:i/>
          <w:szCs w:val="22"/>
          <w:lang w:eastAsia="en-US"/>
        </w:rPr>
        <w:t>’</w:t>
      </w:r>
      <w:r w:rsidRPr="006C28E7">
        <w:rPr>
          <w:rFonts w:eastAsia="Calibri"/>
          <w:bCs/>
          <w:i/>
          <w:szCs w:val="22"/>
          <w:lang w:eastAsia="en-US"/>
        </w:rPr>
        <w:t>information, de suivi et de contrôle de l</w:t>
      </w:r>
      <w:r w:rsidR="00D43184">
        <w:rPr>
          <w:rFonts w:eastAsia="Calibri"/>
          <w:bCs/>
          <w:i/>
          <w:szCs w:val="22"/>
          <w:lang w:eastAsia="en-US"/>
        </w:rPr>
        <w:t>’</w:t>
      </w:r>
      <w:r w:rsidRPr="006C28E7">
        <w:rPr>
          <w:rFonts w:eastAsia="Calibri"/>
          <w:bCs/>
          <w:i/>
          <w:szCs w:val="22"/>
          <w:lang w:eastAsia="en-US"/>
        </w:rPr>
        <w:t>application</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La mise en œuvre et le contrôle de l</w:t>
      </w:r>
      <w:r w:rsidR="00D43184">
        <w:rPr>
          <w:rFonts w:eastAsia="Calibri"/>
          <w:szCs w:val="22"/>
          <w:lang w:eastAsia="en-US"/>
        </w:rPr>
        <w:t>’</w:t>
      </w:r>
      <w:r w:rsidRPr="006C28E7">
        <w:rPr>
          <w:rFonts w:eastAsia="Calibri"/>
          <w:szCs w:val="22"/>
          <w:lang w:eastAsia="en-US"/>
        </w:rPr>
        <w:t xml:space="preserve">application de la </w:t>
      </w:r>
      <w:r w:rsidRPr="006C28E7">
        <w:rPr>
          <w:rFonts w:eastAsia="Calibri"/>
          <w:b/>
          <w:bCs/>
          <w:i/>
          <w:iCs/>
          <w:szCs w:val="22"/>
          <w:lang w:eastAsia="en-US"/>
        </w:rPr>
        <w:t>présente</w:t>
      </w:r>
      <w:r w:rsidRPr="006C28E7">
        <w:rPr>
          <w:rFonts w:eastAsia="Calibri"/>
          <w:szCs w:val="22"/>
          <w:lang w:eastAsia="en-US"/>
        </w:rPr>
        <w:t xml:space="preserve"> directive sont facilités par la communication et l</w:t>
      </w:r>
      <w:r w:rsidR="00D43184">
        <w:rPr>
          <w:rFonts w:eastAsia="Calibri"/>
          <w:szCs w:val="22"/>
          <w:lang w:eastAsia="en-US"/>
        </w:rPr>
        <w:t>’</w:t>
      </w:r>
      <w:r w:rsidRPr="006C28E7">
        <w:rPr>
          <w:rFonts w:eastAsia="Calibri"/>
          <w:szCs w:val="22"/>
          <w:lang w:eastAsia="en-US"/>
        </w:rPr>
        <w:t>échange d</w:t>
      </w:r>
      <w:r w:rsidR="00D43184">
        <w:rPr>
          <w:rFonts w:eastAsia="Calibri"/>
          <w:szCs w:val="22"/>
          <w:lang w:eastAsia="en-US"/>
        </w:rPr>
        <w:t>’</w:t>
      </w:r>
      <w:r w:rsidRPr="006C28E7">
        <w:rPr>
          <w:rFonts w:eastAsia="Calibri"/>
          <w:szCs w:val="22"/>
          <w:lang w:eastAsia="en-US"/>
        </w:rPr>
        <w:t>informations par voie électronique entre les États membres conformément aux articles 13 et 14.</w:t>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i/>
          <w:szCs w:val="22"/>
          <w:lang w:eastAsia="en-US"/>
        </w:rPr>
        <w:t>Article 13</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Communication et échange d</w:t>
      </w:r>
      <w:r w:rsidR="00D43184">
        <w:rPr>
          <w:rFonts w:eastAsia="Calibri"/>
          <w:bCs/>
          <w:i/>
          <w:szCs w:val="22"/>
          <w:lang w:eastAsia="en-US"/>
        </w:rPr>
        <w:t>’</w:t>
      </w:r>
      <w:r w:rsidRPr="006C28E7">
        <w:rPr>
          <w:rFonts w:eastAsia="Calibri"/>
          <w:bCs/>
          <w:i/>
          <w:szCs w:val="22"/>
          <w:lang w:eastAsia="en-US"/>
        </w:rPr>
        <w:t>informations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La communication et l</w:t>
      </w:r>
      <w:r w:rsidR="00D43184">
        <w:rPr>
          <w:rFonts w:eastAsia="Calibri"/>
          <w:szCs w:val="22"/>
          <w:lang w:eastAsia="en-US"/>
        </w:rPr>
        <w:t>’</w:t>
      </w:r>
      <w:r w:rsidRPr="006C28E7">
        <w:rPr>
          <w:rFonts w:eastAsia="Calibri"/>
          <w:szCs w:val="22"/>
          <w:lang w:eastAsia="en-US"/>
        </w:rPr>
        <w:t>échange d</w:t>
      </w:r>
      <w:r w:rsidR="00D43184">
        <w:rPr>
          <w:rFonts w:eastAsia="Calibri"/>
          <w:szCs w:val="22"/>
          <w:lang w:eastAsia="en-US"/>
        </w:rPr>
        <w:t>’</w:t>
      </w:r>
      <w:r w:rsidRPr="006C28E7">
        <w:rPr>
          <w:rFonts w:eastAsia="Calibri"/>
          <w:szCs w:val="22"/>
          <w:lang w:eastAsia="en-US"/>
        </w:rPr>
        <w:t>informations reposent sur le système d</w:t>
      </w:r>
      <w:r w:rsidR="00D43184">
        <w:rPr>
          <w:rFonts w:eastAsia="Calibri"/>
          <w:szCs w:val="22"/>
          <w:lang w:eastAsia="en-US"/>
        </w:rPr>
        <w:t>’</w:t>
      </w:r>
      <w:r w:rsidRPr="006C28E7">
        <w:rPr>
          <w:rFonts w:eastAsia="Calibri"/>
          <w:szCs w:val="22"/>
          <w:lang w:eastAsia="en-US"/>
        </w:rPr>
        <w:t>échange d</w:t>
      </w:r>
      <w:r w:rsidR="00D43184">
        <w:rPr>
          <w:rFonts w:eastAsia="Calibri"/>
          <w:szCs w:val="22"/>
          <w:lang w:eastAsia="en-US"/>
        </w:rPr>
        <w:t>’</w:t>
      </w:r>
      <w:r w:rsidRPr="006C28E7">
        <w:rPr>
          <w:rFonts w:eastAsia="Calibri"/>
          <w:szCs w:val="22"/>
          <w:lang w:eastAsia="en-US"/>
        </w:rPr>
        <w:t>informations maritimes de l</w:t>
      </w:r>
      <w:r w:rsidR="00D43184">
        <w:rPr>
          <w:rFonts w:eastAsia="Calibri"/>
          <w:szCs w:val="22"/>
          <w:lang w:eastAsia="en-US"/>
        </w:rPr>
        <w:t>’</w:t>
      </w:r>
      <w:r w:rsidRPr="006C28E7">
        <w:rPr>
          <w:rFonts w:eastAsia="Calibri"/>
          <w:szCs w:val="22"/>
          <w:lang w:eastAsia="en-US"/>
        </w:rPr>
        <w:t>Union (ci-après dénommé "SafeSeaNet") visé à l</w:t>
      </w:r>
      <w:r w:rsidR="00D43184">
        <w:rPr>
          <w:rFonts w:eastAsia="Calibri"/>
          <w:szCs w:val="22"/>
          <w:lang w:eastAsia="en-US"/>
        </w:rPr>
        <w:t>’</w:t>
      </w:r>
      <w:r w:rsidRPr="006C28E7">
        <w:rPr>
          <w:rFonts w:eastAsia="Calibri"/>
          <w:szCs w:val="22"/>
          <w:lang w:eastAsia="en-US"/>
        </w:rPr>
        <w:t xml:space="preserve">article 22 </w:t>
      </w:r>
      <w:r w:rsidRPr="006C28E7">
        <w:rPr>
          <w:rFonts w:eastAsia="Calibri"/>
          <w:i/>
          <w:iCs/>
          <w:szCs w:val="22"/>
          <w:lang w:eastAsia="en-US"/>
        </w:rPr>
        <w:t>bis</w:t>
      </w:r>
      <w:r w:rsidRPr="006C28E7">
        <w:rPr>
          <w:rFonts w:eastAsia="Calibri"/>
          <w:szCs w:val="22"/>
          <w:lang w:eastAsia="en-US"/>
        </w:rPr>
        <w:t>, paragraphe 3, de la directive 2002/59/CE et à son annexe III.</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Les États membres veillent à ce que les informations suivantes soient communiquées par voie électronique et dans un délai raisonnable conformément à la directive 2010/65/</w:t>
      </w:r>
      <w:r w:rsidRPr="006C28E7">
        <w:rPr>
          <w:rFonts w:eastAsia="Calibri"/>
          <w:b/>
          <w:bCs/>
          <w:i/>
          <w:iCs/>
          <w:szCs w:val="22"/>
          <w:lang w:eastAsia="en-US"/>
        </w:rPr>
        <w:t>UE</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a)</w:t>
      </w:r>
      <w:r w:rsidRPr="006C28E7">
        <w:rPr>
          <w:rFonts w:eastAsia="Calibri"/>
          <w:szCs w:val="22"/>
          <w:lang w:eastAsia="en-US"/>
        </w:rPr>
        <w:tab/>
        <w:t>les informations sur l</w:t>
      </w:r>
      <w:r w:rsidR="00D43184">
        <w:rPr>
          <w:rFonts w:eastAsia="Calibri"/>
          <w:szCs w:val="22"/>
          <w:lang w:eastAsia="en-US"/>
        </w:rPr>
        <w:t>’</w:t>
      </w:r>
      <w:r w:rsidRPr="006C28E7">
        <w:rPr>
          <w:rFonts w:eastAsia="Calibri"/>
          <w:szCs w:val="22"/>
          <w:lang w:eastAsia="en-US"/>
        </w:rPr>
        <w:t>heure réelle d</w:t>
      </w:r>
      <w:r w:rsidR="00D43184">
        <w:rPr>
          <w:rFonts w:eastAsia="Calibri"/>
          <w:szCs w:val="22"/>
          <w:lang w:eastAsia="en-US"/>
        </w:rPr>
        <w:t>’</w:t>
      </w:r>
      <w:r w:rsidRPr="006C28E7">
        <w:rPr>
          <w:rFonts w:eastAsia="Calibri"/>
          <w:szCs w:val="22"/>
          <w:lang w:eastAsia="en-US"/>
        </w:rPr>
        <w:t>arrivée et de départ de chaque navire relevant de la directive 2002/59/CE qui fait escale dans un port de l</w:t>
      </w:r>
      <w:r w:rsidR="00D43184">
        <w:rPr>
          <w:rFonts w:eastAsia="Calibri"/>
          <w:szCs w:val="22"/>
          <w:lang w:eastAsia="en-US"/>
        </w:rPr>
        <w:t>’</w:t>
      </w:r>
      <w:r w:rsidRPr="006C28E7">
        <w:rPr>
          <w:rFonts w:eastAsia="Calibri"/>
          <w:szCs w:val="22"/>
          <w:lang w:eastAsia="en-US"/>
        </w:rPr>
        <w:t>Union, ainsi que l</w:t>
      </w:r>
      <w:r w:rsidR="00D43184">
        <w:rPr>
          <w:rFonts w:eastAsia="Calibri"/>
          <w:szCs w:val="22"/>
          <w:lang w:eastAsia="en-US"/>
        </w:rPr>
        <w:t>’</w:t>
      </w:r>
      <w:r w:rsidRPr="006C28E7">
        <w:rPr>
          <w:rFonts w:eastAsia="Calibri"/>
          <w:szCs w:val="22"/>
          <w:lang w:eastAsia="en-US"/>
        </w:rPr>
        <w:t>identifiant du port en question;</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b)</w:t>
      </w:r>
      <w:r w:rsidRPr="006C28E7">
        <w:rPr>
          <w:rFonts w:eastAsia="Calibri"/>
          <w:szCs w:val="22"/>
          <w:lang w:eastAsia="en-US"/>
        </w:rPr>
        <w:tab/>
        <w:t>les informations contenues dans la notification préalable des déchets figurant à l</w:t>
      </w:r>
      <w:r w:rsidR="00D43184">
        <w:rPr>
          <w:rFonts w:eastAsia="Calibri"/>
          <w:szCs w:val="22"/>
          <w:lang w:eastAsia="en-US"/>
        </w:rPr>
        <w:t>’</w:t>
      </w:r>
      <w:r w:rsidRPr="006C28E7">
        <w:rPr>
          <w:rFonts w:eastAsia="Calibri"/>
          <w:szCs w:val="22"/>
          <w:lang w:eastAsia="en-US"/>
        </w:rPr>
        <w:t>annexe 2;</w:t>
      </w:r>
    </w:p>
    <w:p w:rsidR="009C7E1C" w:rsidRPr="006C28E7" w:rsidRDefault="009C7E1C" w:rsidP="009C7E1C">
      <w:pPr>
        <w:widowControl/>
        <w:autoSpaceDE w:val="0"/>
        <w:autoSpaceDN w:val="0"/>
        <w:adjustRightInd w:val="0"/>
        <w:spacing w:before="120" w:after="120" w:line="360" w:lineRule="auto"/>
        <w:ind w:left="1134" w:hanging="567"/>
        <w:rPr>
          <w:szCs w:val="22"/>
          <w:lang w:eastAsia="en-US"/>
        </w:rPr>
      </w:pPr>
      <w:r w:rsidRPr="006C28E7">
        <w:rPr>
          <w:rFonts w:eastAsia="Calibri"/>
          <w:szCs w:val="22"/>
          <w:lang w:eastAsia="en-US"/>
        </w:rPr>
        <w:t>c)</w:t>
      </w:r>
      <w:r w:rsidRPr="006C28E7">
        <w:rPr>
          <w:rFonts w:eastAsia="Calibri"/>
          <w:szCs w:val="22"/>
          <w:lang w:eastAsia="en-US"/>
        </w:rPr>
        <w:tab/>
        <w:t>les informations contenues dans le reçu de dépôt des déchets figurant à l</w:t>
      </w:r>
      <w:r w:rsidR="00D43184">
        <w:rPr>
          <w:rFonts w:eastAsia="Calibri"/>
          <w:szCs w:val="22"/>
          <w:lang w:eastAsia="en-US"/>
        </w:rPr>
        <w:t>’</w:t>
      </w:r>
      <w:r w:rsidRPr="006C28E7">
        <w:rPr>
          <w:rFonts w:eastAsia="Calibri"/>
          <w:szCs w:val="22"/>
          <w:lang w:eastAsia="en-US"/>
        </w:rPr>
        <w:t>annexe 3;</w:t>
      </w:r>
    </w:p>
    <w:p w:rsidR="009C7E1C" w:rsidRPr="006C28E7" w:rsidRDefault="009C7E1C" w:rsidP="009C7E1C">
      <w:pPr>
        <w:widowControl/>
        <w:autoSpaceDE w:val="0"/>
        <w:autoSpaceDN w:val="0"/>
        <w:adjustRightInd w:val="0"/>
        <w:spacing w:before="120" w:after="120" w:line="360" w:lineRule="auto"/>
        <w:ind w:left="1134" w:hanging="567"/>
        <w:rPr>
          <w:rFonts w:cs="Symbol"/>
          <w:szCs w:val="22"/>
          <w:lang w:eastAsia="en-US"/>
        </w:rPr>
      </w:pPr>
      <w:r w:rsidRPr="006C28E7">
        <w:rPr>
          <w:rFonts w:eastAsia="Calibri"/>
          <w:szCs w:val="22"/>
          <w:lang w:eastAsia="en-US"/>
        </w:rPr>
        <w:t>d)</w:t>
      </w:r>
      <w:r w:rsidRPr="006C28E7">
        <w:rPr>
          <w:rFonts w:eastAsia="Calibri"/>
          <w:szCs w:val="22"/>
          <w:lang w:eastAsia="en-US"/>
        </w:rPr>
        <w:tab/>
        <w:t>les informations contenues dans le certificat d</w:t>
      </w:r>
      <w:r w:rsidR="00D43184">
        <w:rPr>
          <w:rFonts w:eastAsia="Calibri"/>
          <w:szCs w:val="22"/>
          <w:lang w:eastAsia="en-US"/>
        </w:rPr>
        <w:t>’</w:t>
      </w:r>
      <w:r w:rsidRPr="006C28E7">
        <w:rPr>
          <w:rFonts w:eastAsia="Calibri"/>
          <w:szCs w:val="22"/>
          <w:lang w:eastAsia="en-US"/>
        </w:rPr>
        <w:t>exemption figurant à l</w:t>
      </w:r>
      <w:r w:rsidR="00D43184">
        <w:rPr>
          <w:rFonts w:eastAsia="Calibri"/>
          <w:szCs w:val="22"/>
          <w:lang w:eastAsia="en-US"/>
        </w:rPr>
        <w:t>’</w:t>
      </w:r>
      <w:r w:rsidRPr="006C28E7">
        <w:rPr>
          <w:rFonts w:eastAsia="Calibri"/>
          <w:szCs w:val="22"/>
          <w:lang w:eastAsia="en-US"/>
        </w:rPr>
        <w:t>annexe 5.</w:t>
      </w:r>
    </w:p>
    <w:p w:rsidR="009C7E1C" w:rsidRPr="006C28E7" w:rsidRDefault="009C7E1C" w:rsidP="009C7E1C">
      <w:pPr>
        <w:widowControl/>
        <w:autoSpaceDE w:val="0"/>
        <w:autoSpaceDN w:val="0"/>
        <w:adjustRightInd w:val="0"/>
        <w:spacing w:before="120" w:after="120" w:line="360" w:lineRule="auto"/>
        <w:ind w:left="850" w:hanging="850"/>
        <w:jc w:val="both"/>
        <w:rPr>
          <w:rFonts w:cs="Symbol"/>
          <w:color w:val="000000"/>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850" w:hanging="850"/>
        <w:jc w:val="both"/>
        <w:rPr>
          <w:szCs w:val="22"/>
          <w:lang w:eastAsia="en-US"/>
        </w:rPr>
      </w:pPr>
      <w:r w:rsidRPr="006C28E7">
        <w:rPr>
          <w:rFonts w:eastAsia="Calibri"/>
          <w:b/>
          <w:i/>
          <w:color w:val="000000"/>
          <w:szCs w:val="22"/>
          <w:lang w:eastAsia="en-US"/>
        </w:rPr>
        <w:t>3.</w:t>
      </w:r>
      <w:r w:rsidRPr="006C28E7">
        <w:rPr>
          <w:rFonts w:eastAsia="Calibri"/>
          <w:b/>
          <w:i/>
          <w:color w:val="000000"/>
          <w:szCs w:val="22"/>
          <w:lang w:eastAsia="en-US"/>
        </w:rPr>
        <w:tab/>
        <w:t>Les États membres veillent à ce que les informations énumérées à l</w:t>
      </w:r>
      <w:r w:rsidR="00D43184">
        <w:rPr>
          <w:rFonts w:eastAsia="Calibri"/>
          <w:b/>
          <w:i/>
          <w:color w:val="000000"/>
          <w:szCs w:val="22"/>
          <w:lang w:eastAsia="en-US"/>
        </w:rPr>
        <w:t>’</w:t>
      </w:r>
      <w:r w:rsidRPr="006C28E7">
        <w:rPr>
          <w:rFonts w:eastAsia="Calibri"/>
          <w:b/>
          <w:i/>
          <w:color w:val="000000"/>
          <w:szCs w:val="22"/>
          <w:lang w:eastAsia="en-US"/>
        </w:rPr>
        <w:t>article 5, paragraphe 2, soient rendues accessibles par voie électronique par le biais du SafeSeaNet.</w:t>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szCs w:val="22"/>
          <w:lang w:eastAsia="en-US"/>
        </w:rPr>
        <w:br w:type="page"/>
      </w:r>
      <w:r w:rsidRPr="006C28E7">
        <w:rPr>
          <w:rFonts w:eastAsia="Calibri"/>
          <w:i/>
          <w:szCs w:val="22"/>
          <w:lang w:eastAsia="en-US"/>
        </w:rPr>
        <w:t>Article 14</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Enregistrement des inspections</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La Commission crée, gère et met à jour une base de données des inspections à laquelle tous les États membres sont connectés et qui contient toutes les informations requises pour la mise en œuvre du système d</w:t>
      </w:r>
      <w:r w:rsidR="00D43184">
        <w:rPr>
          <w:rFonts w:eastAsia="Calibri"/>
          <w:szCs w:val="22"/>
          <w:lang w:eastAsia="en-US"/>
        </w:rPr>
        <w:t>’</w:t>
      </w:r>
      <w:r w:rsidRPr="006C28E7">
        <w:rPr>
          <w:rFonts w:eastAsia="Calibri"/>
          <w:szCs w:val="22"/>
          <w:lang w:eastAsia="en-US"/>
        </w:rPr>
        <w:t>inspection prévu par la présente directive (ci-après dénommée "base de données des inspections"). La base de données des inspections est créée sur le modèle de la base de données des inspections visée à l</w:t>
      </w:r>
      <w:r w:rsidR="00D43184">
        <w:rPr>
          <w:rFonts w:eastAsia="Calibri"/>
          <w:szCs w:val="22"/>
          <w:lang w:eastAsia="en-US"/>
        </w:rPr>
        <w:t>’</w:t>
      </w:r>
      <w:r w:rsidRPr="006C28E7">
        <w:rPr>
          <w:rFonts w:eastAsia="Calibri"/>
          <w:szCs w:val="22"/>
          <w:lang w:eastAsia="en-US"/>
        </w:rPr>
        <w:t>article 24 de la directive 2009/16/CE et est dotée de fonctionnalités semblables à ladite base de données.</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2.</w:t>
      </w:r>
      <w:r w:rsidRPr="006C28E7">
        <w:rPr>
          <w:rFonts w:eastAsia="Calibri"/>
          <w:szCs w:val="22"/>
          <w:lang w:eastAsia="en-US"/>
        </w:rPr>
        <w:tab/>
        <w:t>Les États membres veillent à ce que les informations relatives aux inspections effectuées au titre de la présente directive, notamment les informations relatives aux défauts de conformité et aux ordres d</w:t>
      </w:r>
      <w:r w:rsidR="00D43184">
        <w:rPr>
          <w:rFonts w:eastAsia="Calibri"/>
          <w:szCs w:val="22"/>
          <w:lang w:eastAsia="en-US"/>
        </w:rPr>
        <w:t>’</w:t>
      </w:r>
      <w:r w:rsidRPr="006C28E7">
        <w:rPr>
          <w:rFonts w:eastAsia="Calibri"/>
          <w:szCs w:val="22"/>
          <w:lang w:eastAsia="en-US"/>
        </w:rPr>
        <w:t>interdiction de départ, soient transférées sans tarder vers la base de données des inspections dès:</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ab/>
      </w:r>
      <w:r w:rsidRPr="006C28E7">
        <w:rPr>
          <w:rFonts w:eastAsia="Calibri"/>
          <w:szCs w:val="22"/>
          <w:lang w:eastAsia="en-US"/>
        </w:rPr>
        <w:tab/>
        <w:t>a)</w:t>
      </w:r>
      <w:r w:rsidRPr="006C28E7">
        <w:rPr>
          <w:rFonts w:eastAsia="Calibri"/>
          <w:szCs w:val="22"/>
          <w:lang w:eastAsia="en-US"/>
        </w:rPr>
        <w:tab/>
        <w:t>que le rapport d</w:t>
      </w:r>
      <w:r w:rsidR="00D43184">
        <w:rPr>
          <w:rFonts w:eastAsia="Calibri"/>
          <w:szCs w:val="22"/>
          <w:lang w:eastAsia="en-US"/>
        </w:rPr>
        <w:t>’</w:t>
      </w:r>
      <w:r w:rsidRPr="006C28E7">
        <w:rPr>
          <w:rFonts w:eastAsia="Calibri"/>
          <w:szCs w:val="22"/>
          <w:lang w:eastAsia="en-US"/>
        </w:rPr>
        <w:t>inspection a été établi;</w:t>
      </w:r>
    </w:p>
    <w:p w:rsidR="009C7E1C" w:rsidRPr="006C28E7" w:rsidRDefault="009C7E1C" w:rsidP="009C7E1C">
      <w:pPr>
        <w:widowControl/>
        <w:autoSpaceDE w:val="0"/>
        <w:autoSpaceDN w:val="0"/>
        <w:adjustRightInd w:val="0"/>
        <w:spacing w:before="120" w:after="120" w:line="360" w:lineRule="auto"/>
        <w:ind w:left="567" w:hanging="567"/>
        <w:rPr>
          <w:rFonts w:eastAsia="Calibri"/>
          <w:szCs w:val="22"/>
          <w:lang w:eastAsia="en-US"/>
        </w:rPr>
      </w:pPr>
      <w:r w:rsidRPr="006C28E7">
        <w:rPr>
          <w:rFonts w:eastAsia="Calibri"/>
          <w:szCs w:val="22"/>
          <w:lang w:eastAsia="en-US"/>
        </w:rPr>
        <w:tab/>
      </w:r>
      <w:r w:rsidRPr="006C28E7">
        <w:rPr>
          <w:rFonts w:eastAsia="Calibri"/>
          <w:szCs w:val="22"/>
          <w:lang w:eastAsia="en-US"/>
        </w:rPr>
        <w:tab/>
        <w:t>b)</w:t>
      </w:r>
      <w:r w:rsidRPr="006C28E7">
        <w:rPr>
          <w:rFonts w:eastAsia="Calibri"/>
          <w:szCs w:val="22"/>
          <w:lang w:eastAsia="en-US"/>
        </w:rPr>
        <w:tab/>
        <w:t>que l</w:t>
      </w:r>
      <w:r w:rsidR="00D43184">
        <w:rPr>
          <w:rFonts w:eastAsia="Calibri"/>
          <w:szCs w:val="22"/>
          <w:lang w:eastAsia="en-US"/>
        </w:rPr>
        <w:t>’</w:t>
      </w:r>
      <w:r w:rsidRPr="006C28E7">
        <w:rPr>
          <w:rFonts w:eastAsia="Calibri"/>
          <w:szCs w:val="22"/>
          <w:lang w:eastAsia="en-US"/>
        </w:rPr>
        <w:t>ordre d</w:t>
      </w:r>
      <w:r w:rsidR="00D43184">
        <w:rPr>
          <w:rFonts w:eastAsia="Calibri"/>
          <w:szCs w:val="22"/>
          <w:lang w:eastAsia="en-US"/>
        </w:rPr>
        <w:t>’</w:t>
      </w:r>
      <w:r w:rsidRPr="006C28E7">
        <w:rPr>
          <w:rFonts w:eastAsia="Calibri"/>
          <w:szCs w:val="22"/>
          <w:lang w:eastAsia="en-US"/>
        </w:rPr>
        <w:t xml:space="preserve">interdiction de départ a été levé; ou </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ab/>
      </w:r>
      <w:r w:rsidRPr="006C28E7">
        <w:rPr>
          <w:rFonts w:eastAsia="Calibri"/>
          <w:szCs w:val="22"/>
          <w:lang w:eastAsia="en-US"/>
        </w:rPr>
        <w:tab/>
        <w:t>c)</w:t>
      </w:r>
      <w:r w:rsidRPr="006C28E7">
        <w:rPr>
          <w:rFonts w:eastAsia="Calibri"/>
          <w:szCs w:val="22"/>
          <w:lang w:eastAsia="en-US"/>
        </w:rPr>
        <w:tab/>
        <w:t>qu</w:t>
      </w:r>
      <w:r w:rsidR="00D43184">
        <w:rPr>
          <w:rFonts w:eastAsia="Calibri"/>
          <w:szCs w:val="22"/>
          <w:lang w:eastAsia="en-US"/>
        </w:rPr>
        <w:t>’</w:t>
      </w:r>
      <w:r w:rsidRPr="006C28E7">
        <w:rPr>
          <w:rFonts w:eastAsia="Calibri"/>
          <w:szCs w:val="22"/>
          <w:lang w:eastAsia="en-US"/>
        </w:rPr>
        <w:t>une exemption a été accordée.</w:t>
      </w:r>
    </w:p>
    <w:p w:rsidR="009C7E1C" w:rsidRPr="006C28E7" w:rsidRDefault="009C7E1C" w:rsidP="009C7E1C">
      <w:pPr>
        <w:widowControl/>
        <w:autoSpaceDE w:val="0"/>
        <w:autoSpaceDN w:val="0"/>
        <w:adjustRightInd w:val="0"/>
        <w:spacing w:before="120" w:after="120" w:line="360" w:lineRule="auto"/>
        <w:ind w:left="850" w:hanging="850"/>
        <w:jc w:val="both"/>
        <w:rPr>
          <w:szCs w:val="22"/>
          <w:lang w:eastAsia="en-US"/>
        </w:rPr>
      </w:pPr>
      <w:r w:rsidRPr="006C28E7">
        <w:rPr>
          <w:rFonts w:eastAsia="Calibri"/>
          <w:color w:val="000000"/>
          <w:szCs w:val="22"/>
          <w:lang w:eastAsia="en-US"/>
        </w:rPr>
        <w:t>▌</w:t>
      </w:r>
    </w:p>
    <w:p w:rsidR="009C7E1C" w:rsidRPr="006C28E7" w:rsidRDefault="009C7E1C" w:rsidP="009C7E1C">
      <w:pPr>
        <w:widowControl/>
        <w:autoSpaceDE w:val="0"/>
        <w:autoSpaceDN w:val="0"/>
        <w:adjustRightInd w:val="0"/>
        <w:spacing w:before="120" w:after="120" w:line="360" w:lineRule="auto"/>
        <w:ind w:left="567" w:hanging="567"/>
        <w:rPr>
          <w:rFonts w:eastAsia="Calibri"/>
          <w:b/>
          <w:i/>
          <w:color w:val="000000"/>
          <w:szCs w:val="22"/>
          <w:lang w:eastAsia="en-US"/>
        </w:rPr>
      </w:pPr>
      <w:r w:rsidRPr="006C28E7">
        <w:rPr>
          <w:rFonts w:eastAsia="Calibri"/>
          <w:szCs w:val="22"/>
          <w:lang w:eastAsia="en-US"/>
        </w:rPr>
        <w:t>3.</w:t>
      </w:r>
      <w:r w:rsidRPr="006C28E7">
        <w:rPr>
          <w:rFonts w:eastAsia="Calibri"/>
          <w:szCs w:val="22"/>
          <w:lang w:eastAsia="en-US"/>
        </w:rPr>
        <w:tab/>
        <w:t>La Commission veille à ce qu</w:t>
      </w:r>
      <w:r w:rsidR="00D43184">
        <w:rPr>
          <w:rFonts w:eastAsia="Calibri"/>
          <w:szCs w:val="22"/>
          <w:lang w:eastAsia="en-US"/>
        </w:rPr>
        <w:t>’</w:t>
      </w:r>
      <w:r w:rsidRPr="006C28E7">
        <w:rPr>
          <w:rFonts w:eastAsia="Calibri"/>
          <w:szCs w:val="22"/>
          <w:lang w:eastAsia="en-US"/>
        </w:rPr>
        <w:t>il soit possible d</w:t>
      </w:r>
      <w:r w:rsidR="00D43184">
        <w:rPr>
          <w:rFonts w:eastAsia="Calibri"/>
          <w:szCs w:val="22"/>
          <w:lang w:eastAsia="en-US"/>
        </w:rPr>
        <w:t>’</w:t>
      </w:r>
      <w:r w:rsidRPr="006C28E7">
        <w:rPr>
          <w:rFonts w:eastAsia="Calibri"/>
          <w:szCs w:val="22"/>
          <w:lang w:eastAsia="en-US"/>
        </w:rPr>
        <w:t xml:space="preserve">extraire de la base des données des inspections toute donnée utile communiquée par les États membres aux fins du suivi de la mise en œuvre de </w:t>
      </w:r>
      <w:r w:rsidRPr="006C28E7">
        <w:rPr>
          <w:rFonts w:eastAsia="Calibri"/>
          <w:b/>
          <w:bCs/>
          <w:i/>
          <w:iCs/>
          <w:szCs w:val="22"/>
          <w:lang w:eastAsia="en-US"/>
        </w:rPr>
        <w:t>la présente</w:t>
      </w:r>
      <w:r w:rsidRPr="006C28E7">
        <w:rPr>
          <w:rFonts w:eastAsia="Calibri"/>
          <w:szCs w:val="22"/>
          <w:lang w:eastAsia="en-US"/>
        </w:rPr>
        <w:t xml:space="preserve"> directive.</w:t>
      </w:r>
      <w:r w:rsidRPr="006C28E7">
        <w:rPr>
          <w:rFonts w:eastAsia="Calibri"/>
          <w:b/>
          <w:i/>
          <w:color w:val="000000"/>
          <w:szCs w:val="22"/>
          <w:lang w:eastAsia="en-US"/>
        </w:rPr>
        <w:t xml:space="preserve"> </w:t>
      </w:r>
    </w:p>
    <w:p w:rsidR="009C7E1C" w:rsidRPr="006C28E7" w:rsidRDefault="009C7E1C" w:rsidP="009C7E1C">
      <w:pPr>
        <w:widowControl/>
        <w:autoSpaceDE w:val="0"/>
        <w:autoSpaceDN w:val="0"/>
        <w:adjustRightInd w:val="0"/>
        <w:spacing w:before="120" w:after="120" w:line="360" w:lineRule="auto"/>
        <w:ind w:left="567" w:hanging="567"/>
        <w:rPr>
          <w:rFonts w:eastAsia="Calibri"/>
          <w:b/>
          <w:i/>
          <w:color w:val="000000"/>
          <w:szCs w:val="22"/>
          <w:lang w:eastAsia="en-US"/>
        </w:rPr>
      </w:pPr>
      <w:r w:rsidRPr="006C28E7">
        <w:rPr>
          <w:rFonts w:eastAsia="Calibri"/>
          <w:b/>
          <w:i/>
          <w:color w:val="000000"/>
          <w:szCs w:val="22"/>
          <w:lang w:eastAsia="en-US"/>
        </w:rPr>
        <w:tab/>
        <w:t>La Commission veille à ce que la base de données des inspections fournisse des informations pour le mécanisme de ciblage de l</w:t>
      </w:r>
      <w:r w:rsidR="00D43184">
        <w:rPr>
          <w:rFonts w:eastAsia="Calibri"/>
          <w:b/>
          <w:i/>
          <w:color w:val="000000"/>
          <w:szCs w:val="22"/>
          <w:lang w:eastAsia="en-US"/>
        </w:rPr>
        <w:t>’</w:t>
      </w:r>
      <w:r w:rsidRPr="006C28E7">
        <w:rPr>
          <w:rFonts w:eastAsia="Calibri"/>
          <w:b/>
          <w:i/>
          <w:color w:val="000000"/>
          <w:szCs w:val="22"/>
          <w:lang w:eastAsia="en-US"/>
        </w:rPr>
        <w:t>Union fondé sur les risques visé à l</w:t>
      </w:r>
      <w:r w:rsidR="00D43184">
        <w:rPr>
          <w:rFonts w:eastAsia="Calibri"/>
          <w:b/>
          <w:i/>
          <w:color w:val="000000"/>
          <w:szCs w:val="22"/>
          <w:lang w:eastAsia="en-US"/>
        </w:rPr>
        <w:t>’</w:t>
      </w:r>
      <w:r w:rsidRPr="006C28E7">
        <w:rPr>
          <w:rFonts w:eastAsia="Calibri"/>
          <w:b/>
          <w:i/>
          <w:color w:val="000000"/>
          <w:szCs w:val="22"/>
          <w:lang w:eastAsia="en-US"/>
        </w:rPr>
        <w:t xml:space="preserve">article 11, paragraphe 2. </w:t>
      </w:r>
    </w:p>
    <w:p w:rsidR="009C7E1C" w:rsidRPr="006C28E7" w:rsidRDefault="009C7E1C" w:rsidP="009C7E1C">
      <w:pPr>
        <w:widowControl/>
        <w:autoSpaceDE w:val="0"/>
        <w:autoSpaceDN w:val="0"/>
        <w:adjustRightInd w:val="0"/>
        <w:spacing w:before="120" w:after="120" w:line="360" w:lineRule="auto"/>
        <w:ind w:left="567" w:hanging="567"/>
        <w:rPr>
          <w:b/>
          <w:szCs w:val="22"/>
          <w:u w:val="single"/>
          <w:lang w:eastAsia="en-US"/>
        </w:rPr>
      </w:pPr>
      <w:r w:rsidRPr="006C28E7">
        <w:rPr>
          <w:rFonts w:eastAsia="Calibri"/>
          <w:b/>
          <w:i/>
          <w:color w:val="000000"/>
          <w:szCs w:val="22"/>
          <w:lang w:eastAsia="en-US"/>
        </w:rPr>
        <w:tab/>
        <w:t>La Commission réexamine régulièrement la base de données des inspections pour suivre la mise en œuvre de la présente directive et attire l</w:t>
      </w:r>
      <w:r w:rsidR="00D43184">
        <w:rPr>
          <w:rFonts w:eastAsia="Calibri"/>
          <w:b/>
          <w:i/>
          <w:color w:val="000000"/>
          <w:szCs w:val="22"/>
          <w:lang w:eastAsia="en-US"/>
        </w:rPr>
        <w:t>’</w:t>
      </w:r>
      <w:r w:rsidRPr="006C28E7">
        <w:rPr>
          <w:rFonts w:eastAsia="Calibri"/>
          <w:b/>
          <w:i/>
          <w:color w:val="000000"/>
          <w:szCs w:val="22"/>
          <w:lang w:eastAsia="en-US"/>
        </w:rPr>
        <w:t>attention sur tout doute concernant sa mise en œuvre globale dans le but de susciter des mesures correctives.</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4.</w:t>
      </w:r>
      <w:r w:rsidRPr="006C28E7">
        <w:rPr>
          <w:rFonts w:eastAsia="Calibri"/>
          <w:szCs w:val="22"/>
          <w:lang w:eastAsia="en-US"/>
        </w:rPr>
        <w:tab/>
        <w:t>Les États membres ont à tout moment accès aux informations enregistrées dans la base de données des inspections.</w:t>
      </w:r>
    </w:p>
    <w:p w:rsidR="009C7E1C" w:rsidRPr="006C28E7" w:rsidRDefault="009C7E1C" w:rsidP="009C7E1C">
      <w:pPr>
        <w:widowControl/>
        <w:spacing w:after="200" w:line="276" w:lineRule="auto"/>
        <w:rPr>
          <w:i/>
          <w:szCs w:val="22"/>
        </w:rPr>
      </w:pPr>
    </w:p>
    <w:p w:rsidR="009C7E1C" w:rsidRPr="006C28E7" w:rsidRDefault="009C7E1C" w:rsidP="009C7E1C">
      <w:pPr>
        <w:widowControl/>
        <w:autoSpaceDE w:val="0"/>
        <w:autoSpaceDN w:val="0"/>
        <w:adjustRightInd w:val="0"/>
        <w:spacing w:before="120" w:after="120" w:line="360" w:lineRule="auto"/>
        <w:jc w:val="center"/>
        <w:rPr>
          <w:b/>
          <w:i/>
          <w:szCs w:val="22"/>
          <w:lang w:eastAsia="en-US"/>
        </w:rPr>
      </w:pPr>
      <w:r w:rsidRPr="006C28E7">
        <w:rPr>
          <w:rFonts w:eastAsia="Calibri"/>
          <w:b/>
          <w:bCs/>
          <w:i/>
          <w:szCs w:val="22"/>
          <w:lang w:eastAsia="en-US"/>
        </w:rPr>
        <w:t>Article</w:t>
      </w:r>
      <w:r w:rsidRPr="006C28E7">
        <w:rPr>
          <w:rFonts w:eastAsia="Calibri"/>
          <w:i/>
          <w:szCs w:val="22"/>
          <w:lang w:eastAsia="en-US"/>
        </w:rPr>
        <w:t xml:space="preserve"> </w:t>
      </w:r>
      <w:r w:rsidRPr="006C28E7">
        <w:rPr>
          <w:rFonts w:eastAsia="Calibri"/>
          <w:b/>
          <w:bCs/>
          <w:i/>
          <w:szCs w:val="22"/>
          <w:lang w:eastAsia="en-US"/>
        </w:rPr>
        <w:t>15</w:t>
      </w:r>
      <w:r w:rsidRPr="006C28E7">
        <w:rPr>
          <w:rFonts w:eastAsia="Calibri"/>
          <w:i/>
          <w:szCs w:val="22"/>
          <w:lang w:eastAsia="en-US"/>
        </w:rPr>
        <w:t xml:space="preserve"> </w:t>
      </w:r>
      <w:r w:rsidRPr="006C28E7">
        <w:rPr>
          <w:rFonts w:eastAsia="Calibri"/>
          <w:i/>
          <w:szCs w:val="22"/>
          <w:lang w:eastAsia="en-US"/>
        </w:rPr>
        <w:br/>
      </w:r>
      <w:r w:rsidRPr="006C28E7">
        <w:rPr>
          <w:rFonts w:eastAsia="Calibri"/>
          <w:b/>
          <w:bCs/>
          <w:i/>
          <w:szCs w:val="22"/>
          <w:lang w:eastAsia="en-US"/>
        </w:rPr>
        <w:t>Formation du personnel</w:t>
      </w:r>
    </w:p>
    <w:p w:rsidR="009C7E1C" w:rsidRPr="006C28E7" w:rsidRDefault="009C7E1C" w:rsidP="009C7E1C">
      <w:pPr>
        <w:widowControl/>
        <w:spacing w:before="120" w:after="120" w:line="360" w:lineRule="auto"/>
        <w:rPr>
          <w:rFonts w:cs="Arial"/>
          <w:szCs w:val="22"/>
          <w:lang w:eastAsia="en-US"/>
        </w:rPr>
      </w:pPr>
      <w:r w:rsidRPr="006C28E7">
        <w:rPr>
          <w:rFonts w:eastAsia="Calibri"/>
          <w:b/>
          <w:i/>
          <w:color w:val="000000"/>
          <w:szCs w:val="22"/>
          <w:lang w:eastAsia="en-US"/>
        </w:rPr>
        <w:t>Les autorités du port et les autorités de l</w:t>
      </w:r>
      <w:r w:rsidR="00D43184">
        <w:rPr>
          <w:rFonts w:eastAsia="Calibri"/>
          <w:b/>
          <w:i/>
          <w:color w:val="000000"/>
          <w:szCs w:val="22"/>
          <w:lang w:eastAsia="en-US"/>
        </w:rPr>
        <w:t>’</w:t>
      </w:r>
      <w:r w:rsidRPr="006C28E7">
        <w:rPr>
          <w:rFonts w:eastAsia="Calibri"/>
          <w:b/>
          <w:i/>
          <w:color w:val="000000"/>
          <w:szCs w:val="22"/>
          <w:lang w:eastAsia="en-US"/>
        </w:rPr>
        <w:t>installation de réception portuaire veillent à ce que tous les membres de leur personnel bénéficient de la formation nécessaire pour acquérir les connaissances indispensables à leur travail pour ce qui concerne les déchets, une attention particulière étant accordée aux aspects liés à la santé et à la sécurité en cas de manipulation de matériaux dangereux, et à ce que les exigences en matière de formation soient actualisées régulièrement de manière à relever les défis de l</w:t>
      </w:r>
      <w:r w:rsidR="00D43184">
        <w:rPr>
          <w:rFonts w:eastAsia="Calibri"/>
          <w:b/>
          <w:i/>
          <w:color w:val="000000"/>
          <w:szCs w:val="22"/>
          <w:lang w:eastAsia="en-US"/>
        </w:rPr>
        <w:t>’</w:t>
      </w:r>
      <w:r w:rsidRPr="006C28E7">
        <w:rPr>
          <w:rFonts w:eastAsia="Calibri"/>
          <w:b/>
          <w:i/>
          <w:color w:val="000000"/>
          <w:szCs w:val="22"/>
          <w:lang w:eastAsia="en-US"/>
        </w:rPr>
        <w:t>innovation technologique.</w:t>
      </w:r>
    </w:p>
    <w:p w:rsidR="009C7E1C" w:rsidRPr="006C28E7" w:rsidRDefault="009C7E1C" w:rsidP="009C7E1C">
      <w:pPr>
        <w:widowControl/>
        <w:autoSpaceDE w:val="0"/>
        <w:autoSpaceDN w:val="0"/>
        <w:adjustRightInd w:val="0"/>
        <w:spacing w:before="120" w:after="120" w:line="360" w:lineRule="auto"/>
        <w:jc w:val="center"/>
        <w:rPr>
          <w:rFonts w:eastAsia="Calibri"/>
          <w:i/>
          <w:iCs/>
          <w:szCs w:val="22"/>
          <w:lang w:eastAsia="en-US"/>
        </w:rPr>
      </w:pPr>
      <w:r w:rsidRPr="006C28E7">
        <w:rPr>
          <w:rFonts w:eastAsia="Calibri"/>
          <w:i/>
          <w:iCs/>
          <w:szCs w:val="22"/>
          <w:lang w:eastAsia="en-US"/>
        </w:rPr>
        <w:t xml:space="preserve">Article 16 </w:t>
      </w:r>
      <w:r w:rsidRPr="006C28E7">
        <w:rPr>
          <w:rFonts w:eastAsia="Calibri"/>
          <w:i/>
          <w:iCs/>
          <w:szCs w:val="22"/>
          <w:lang w:eastAsia="en-US"/>
        </w:rPr>
        <w:br/>
        <w:t>Sanctions</w:t>
      </w:r>
    </w:p>
    <w:p w:rsidR="009C7E1C" w:rsidRPr="006C28E7" w:rsidRDefault="009C7E1C" w:rsidP="009C7E1C">
      <w:pPr>
        <w:widowControl/>
        <w:spacing w:before="120" w:after="120" w:line="360" w:lineRule="auto"/>
        <w:rPr>
          <w:rFonts w:cs="Symbol"/>
          <w:szCs w:val="22"/>
          <w:lang w:eastAsia="en-US"/>
        </w:rPr>
      </w:pPr>
      <w:r w:rsidRPr="006C28E7">
        <w:rPr>
          <w:rFonts w:eastAsia="Calibri"/>
          <w:szCs w:val="22"/>
          <w:lang w:eastAsia="en-US"/>
        </w:rPr>
        <w:t xml:space="preserve">Les États membres déterminent </w:t>
      </w:r>
      <w:r w:rsidRPr="006C28E7">
        <w:rPr>
          <w:rFonts w:eastAsia="Calibri"/>
          <w:color w:val="000000"/>
          <w:szCs w:val="22"/>
          <w:lang w:eastAsia="en-US"/>
        </w:rPr>
        <w:t>▌</w:t>
      </w:r>
      <w:r w:rsidRPr="006C28E7">
        <w:rPr>
          <w:rFonts w:eastAsia="Calibri"/>
          <w:szCs w:val="22"/>
          <w:lang w:eastAsia="en-US"/>
        </w:rPr>
        <w:t xml:space="preserve"> le régime des sanctions applicables aux violations des dispositions nationales adoptées en application de la présente directive et prennent toute mesure nécessaire pour en assurer la mise en œuvre. Les sanctions ainsi prévues sont effectives, proportionnées et dissuasives.</w:t>
      </w:r>
    </w:p>
    <w:p w:rsidR="009C7E1C" w:rsidRPr="006C28E7" w:rsidRDefault="009C7E1C" w:rsidP="009C7E1C">
      <w:pPr>
        <w:widowControl/>
        <w:spacing w:before="120" w:after="120" w:line="360" w:lineRule="auto"/>
        <w:jc w:val="both"/>
        <w:rPr>
          <w:rFonts w:cs="Symbol"/>
          <w:szCs w:val="22"/>
          <w:lang w:eastAsia="en-US"/>
        </w:rPr>
      </w:pPr>
    </w:p>
    <w:p w:rsidR="009C7E1C" w:rsidRPr="006C28E7" w:rsidRDefault="009C7E1C" w:rsidP="009C7E1C">
      <w:pPr>
        <w:widowControl/>
        <w:spacing w:after="200" w:line="276" w:lineRule="auto"/>
        <w:rPr>
          <w:bCs/>
          <w:iCs/>
          <w:color w:val="000000"/>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
          <w:bCs/>
          <w:i/>
          <w:iCs/>
          <w:szCs w:val="22"/>
          <w:lang w:eastAsia="en-US"/>
        </w:rPr>
      </w:pPr>
      <w:r w:rsidRPr="006C28E7">
        <w:rPr>
          <w:rFonts w:eastAsia="Calibri"/>
          <w:bCs/>
          <w:iCs/>
          <w:color w:val="000000"/>
          <w:szCs w:val="22"/>
          <w:lang w:eastAsia="en-US"/>
        </w:rPr>
        <w:t>PARTIE 5</w:t>
      </w:r>
      <w:r w:rsidRPr="006C28E7">
        <w:rPr>
          <w:rFonts w:eastAsia="Calibri"/>
          <w:bCs/>
          <w:iCs/>
          <w:color w:val="000000"/>
          <w:szCs w:val="22"/>
          <w:lang w:eastAsia="en-US"/>
        </w:rPr>
        <w:br/>
        <w:t>DISPOSITIONS FINALES</w:t>
      </w:r>
    </w:p>
    <w:p w:rsidR="009C7E1C" w:rsidRPr="006C28E7" w:rsidRDefault="009C7E1C" w:rsidP="009C7E1C">
      <w:pPr>
        <w:widowControl/>
        <w:autoSpaceDE w:val="0"/>
        <w:autoSpaceDN w:val="0"/>
        <w:adjustRightInd w:val="0"/>
        <w:spacing w:before="120" w:after="120" w:line="360" w:lineRule="auto"/>
        <w:jc w:val="center"/>
        <w:rPr>
          <w:bCs/>
          <w:i/>
          <w:szCs w:val="22"/>
          <w:lang w:eastAsia="en-US"/>
        </w:rPr>
      </w:pPr>
      <w:r w:rsidRPr="006C28E7">
        <w:rPr>
          <w:rFonts w:eastAsia="Calibri"/>
          <w:szCs w:val="22"/>
          <w:lang w:eastAsia="en-US"/>
        </w:rPr>
        <w:t>Article 17</w:t>
      </w:r>
      <w:r w:rsidRPr="006C28E7">
        <w:rPr>
          <w:rFonts w:eastAsia="Calibri"/>
          <w:szCs w:val="22"/>
          <w:lang w:eastAsia="en-US"/>
        </w:rPr>
        <w:br/>
      </w:r>
      <w:r w:rsidRPr="006C28E7">
        <w:rPr>
          <w:rFonts w:eastAsia="Calibri"/>
          <w:bCs/>
          <w:i/>
          <w:szCs w:val="22"/>
          <w:lang w:eastAsia="en-US"/>
        </w:rPr>
        <w:t>Partage d</w:t>
      </w:r>
      <w:r w:rsidR="00D43184">
        <w:rPr>
          <w:rFonts w:eastAsia="Calibri"/>
          <w:bCs/>
          <w:i/>
          <w:szCs w:val="22"/>
          <w:lang w:eastAsia="en-US"/>
        </w:rPr>
        <w:t>’</w:t>
      </w:r>
      <w:r w:rsidRPr="006C28E7">
        <w:rPr>
          <w:rFonts w:eastAsia="Calibri"/>
          <w:bCs/>
          <w:i/>
          <w:szCs w:val="22"/>
          <w:lang w:eastAsia="en-US"/>
        </w:rPr>
        <w:t>expérience</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La Commission organise le partage d</w:t>
      </w:r>
      <w:r w:rsidR="00D43184">
        <w:rPr>
          <w:rFonts w:eastAsia="Calibri"/>
          <w:szCs w:val="22"/>
          <w:lang w:eastAsia="en-US"/>
        </w:rPr>
        <w:t>’</w:t>
      </w:r>
      <w:r w:rsidRPr="006C28E7">
        <w:rPr>
          <w:rFonts w:eastAsia="Calibri"/>
          <w:szCs w:val="22"/>
          <w:lang w:eastAsia="en-US"/>
        </w:rPr>
        <w:t xml:space="preserve">expérience entre les autorités nationales et les experts des États membres, y compris en provenance du secteur privé, </w:t>
      </w:r>
      <w:r w:rsidRPr="006C28E7">
        <w:rPr>
          <w:rFonts w:eastAsia="Calibri"/>
          <w:b/>
          <w:bCs/>
          <w:i/>
          <w:iCs/>
          <w:szCs w:val="22"/>
          <w:lang w:eastAsia="en-US"/>
        </w:rPr>
        <w:t>de la société civile et des organisations syndicales,</w:t>
      </w:r>
      <w:r w:rsidRPr="006C28E7">
        <w:rPr>
          <w:rFonts w:eastAsia="Calibri"/>
          <w:szCs w:val="22"/>
          <w:lang w:eastAsia="en-US"/>
        </w:rPr>
        <w:t xml:space="preserve"> en matière d</w:t>
      </w:r>
      <w:r w:rsidR="00D43184">
        <w:rPr>
          <w:rFonts w:eastAsia="Calibri"/>
          <w:szCs w:val="22"/>
          <w:lang w:eastAsia="en-US"/>
        </w:rPr>
        <w:t>’</w:t>
      </w:r>
      <w:r w:rsidRPr="006C28E7">
        <w:rPr>
          <w:rFonts w:eastAsia="Calibri"/>
          <w:szCs w:val="22"/>
          <w:lang w:eastAsia="en-US"/>
        </w:rPr>
        <w:t>application de la présente directive dans les ports de l</w:t>
      </w:r>
      <w:r w:rsidR="00D43184">
        <w:rPr>
          <w:rFonts w:eastAsia="Calibri"/>
          <w:szCs w:val="22"/>
          <w:lang w:eastAsia="en-US"/>
        </w:rPr>
        <w:t>’</w:t>
      </w:r>
      <w:r w:rsidRPr="006C28E7">
        <w:rPr>
          <w:rFonts w:eastAsia="Calibri"/>
          <w:szCs w:val="22"/>
          <w:lang w:eastAsia="en-US"/>
        </w:rPr>
        <w:t>Union.</w:t>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i/>
          <w:szCs w:val="22"/>
          <w:lang w:eastAsia="en-US"/>
        </w:rPr>
        <w:t>Article 18</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Procédure de modification</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 xml:space="preserve">La Commission </w:t>
      </w:r>
      <w:r w:rsidRPr="006C28E7">
        <w:rPr>
          <w:rFonts w:eastAsia="Calibri"/>
          <w:b/>
          <w:bCs/>
          <w:i/>
          <w:iCs/>
          <w:szCs w:val="22"/>
          <w:lang w:eastAsia="en-US"/>
        </w:rPr>
        <w:t>est</w:t>
      </w:r>
      <w:r w:rsidRPr="006C28E7">
        <w:rPr>
          <w:rFonts w:eastAsia="Calibri"/>
          <w:szCs w:val="22"/>
          <w:lang w:eastAsia="en-US"/>
        </w:rPr>
        <w:t xml:space="preserve"> habilitée à adopter des actes délégués en conformité avec l</w:t>
      </w:r>
      <w:r w:rsidR="00D43184">
        <w:rPr>
          <w:rFonts w:eastAsia="Calibri"/>
          <w:szCs w:val="22"/>
          <w:lang w:eastAsia="en-US"/>
        </w:rPr>
        <w:t>’</w:t>
      </w:r>
      <w:r w:rsidRPr="006C28E7">
        <w:rPr>
          <w:rFonts w:eastAsia="Calibri"/>
          <w:szCs w:val="22"/>
          <w:lang w:eastAsia="en-US"/>
        </w:rPr>
        <w:t>article 19 en vue de modifier les annexes de la présente directive et les références faites aux instruments de l</w:t>
      </w:r>
      <w:r w:rsidR="00D43184">
        <w:rPr>
          <w:rFonts w:eastAsia="Calibri"/>
          <w:szCs w:val="22"/>
          <w:lang w:eastAsia="en-US"/>
        </w:rPr>
        <w:t>’</w:t>
      </w:r>
      <w:r w:rsidRPr="006C28E7">
        <w:rPr>
          <w:rFonts w:eastAsia="Calibri"/>
          <w:szCs w:val="22"/>
          <w:lang w:eastAsia="en-US"/>
        </w:rPr>
        <w:t>OMI dans la présente directive dans la mesure nécessaire pour les aligner sur le droit de l</w:t>
      </w:r>
      <w:r w:rsidR="00D43184">
        <w:rPr>
          <w:rFonts w:eastAsia="Calibri"/>
          <w:szCs w:val="22"/>
          <w:lang w:eastAsia="en-US"/>
        </w:rPr>
        <w:t>’</w:t>
      </w:r>
      <w:r w:rsidRPr="006C28E7">
        <w:rPr>
          <w:rFonts w:eastAsia="Calibri"/>
          <w:szCs w:val="22"/>
          <w:lang w:eastAsia="en-US"/>
        </w:rPr>
        <w:t>Union ou pour tenir compte des évolutions au niveau international, notamment à l</w:t>
      </w:r>
      <w:r w:rsidR="00D43184">
        <w:rPr>
          <w:rFonts w:eastAsia="Calibri"/>
          <w:szCs w:val="22"/>
          <w:lang w:eastAsia="en-US"/>
        </w:rPr>
        <w:t>’</w:t>
      </w:r>
      <w:r w:rsidRPr="006C28E7">
        <w:rPr>
          <w:rFonts w:eastAsia="Calibri"/>
          <w:szCs w:val="22"/>
          <w:lang w:eastAsia="en-US"/>
        </w:rPr>
        <w:t>échelle de l</w:t>
      </w:r>
      <w:r w:rsidR="00D43184">
        <w:rPr>
          <w:rFonts w:eastAsia="Calibri"/>
          <w:szCs w:val="22"/>
          <w:lang w:eastAsia="en-US"/>
        </w:rPr>
        <w:t>’</w:t>
      </w:r>
      <w:r w:rsidRPr="006C28E7">
        <w:rPr>
          <w:rFonts w:eastAsia="Calibri"/>
          <w:szCs w:val="22"/>
          <w:lang w:eastAsia="en-US"/>
        </w:rPr>
        <w:t>OMI.</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r>
      <w:r w:rsidRPr="006C28E7">
        <w:rPr>
          <w:rFonts w:eastAsia="Calibri"/>
          <w:b/>
          <w:bCs/>
          <w:i/>
          <w:iCs/>
          <w:szCs w:val="22"/>
          <w:lang w:eastAsia="en-US"/>
        </w:rPr>
        <w:t>La Commission est également habilitée à adopter des actes délégués en conformité avec l</w:t>
      </w:r>
      <w:r w:rsidR="00D43184">
        <w:rPr>
          <w:rFonts w:eastAsia="Calibri"/>
          <w:b/>
          <w:bCs/>
          <w:i/>
          <w:iCs/>
          <w:szCs w:val="22"/>
          <w:lang w:eastAsia="en-US"/>
        </w:rPr>
        <w:t>’</w:t>
      </w:r>
      <w:r w:rsidRPr="006C28E7">
        <w:rPr>
          <w:rFonts w:eastAsia="Calibri"/>
          <w:b/>
          <w:bCs/>
          <w:i/>
          <w:iCs/>
          <w:szCs w:val="22"/>
          <w:lang w:eastAsia="en-US"/>
        </w:rPr>
        <w:t>article 19 en vue de modifier les annexes lorsque cela est nécessaire pour améliorer les modalités de mise en œuvre et de suivi établies par la présente directive, notamment celles prévues aux articles 6, 7 et 9, de manière à garantir l</w:t>
      </w:r>
      <w:r w:rsidR="00D43184">
        <w:rPr>
          <w:rFonts w:eastAsia="Calibri"/>
          <w:b/>
          <w:bCs/>
          <w:i/>
          <w:iCs/>
          <w:szCs w:val="22"/>
          <w:lang w:eastAsia="en-US"/>
        </w:rPr>
        <w:t>’</w:t>
      </w:r>
      <w:r w:rsidRPr="006C28E7">
        <w:rPr>
          <w:rFonts w:eastAsia="Calibri"/>
          <w:b/>
          <w:bCs/>
          <w:i/>
          <w:iCs/>
          <w:szCs w:val="22"/>
          <w:lang w:eastAsia="en-US"/>
        </w:rPr>
        <w:t>efficacité de la notification et du dépôt des déchets, ainsi que la bonne application des exemptions.</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Dans des circonstances exceptionnelles, lorsque cela est dûment justifié par une analyse appropriée de la Commission, et afin d</w:t>
      </w:r>
      <w:r w:rsidR="00D43184">
        <w:rPr>
          <w:rFonts w:eastAsia="Calibri"/>
          <w:szCs w:val="22"/>
          <w:lang w:eastAsia="en-US"/>
        </w:rPr>
        <w:t>’</w:t>
      </w:r>
      <w:r w:rsidRPr="006C28E7">
        <w:rPr>
          <w:rFonts w:eastAsia="Calibri"/>
          <w:szCs w:val="22"/>
          <w:lang w:eastAsia="en-US"/>
        </w:rPr>
        <w:t>écarter une menace grave et inacceptable pour l</w:t>
      </w:r>
      <w:r w:rsidR="00D43184">
        <w:rPr>
          <w:rFonts w:eastAsia="Calibri"/>
          <w:szCs w:val="22"/>
          <w:lang w:eastAsia="en-US"/>
        </w:rPr>
        <w:t>’</w:t>
      </w:r>
      <w:r w:rsidRPr="006C28E7">
        <w:rPr>
          <w:rFonts w:eastAsia="Calibri"/>
          <w:szCs w:val="22"/>
          <w:lang w:eastAsia="en-US"/>
        </w:rPr>
        <w:t xml:space="preserve">environnement marin, </w:t>
      </w:r>
      <w:r w:rsidRPr="006C28E7">
        <w:rPr>
          <w:rFonts w:eastAsia="Calibri"/>
          <w:color w:val="000000"/>
          <w:szCs w:val="22"/>
          <w:lang w:eastAsia="en-US"/>
        </w:rPr>
        <w:t>▌</w:t>
      </w:r>
      <w:r w:rsidRPr="006C28E7">
        <w:rPr>
          <w:rFonts w:eastAsia="Calibri"/>
          <w:szCs w:val="22"/>
          <w:lang w:eastAsia="en-US"/>
        </w:rPr>
        <w:t xml:space="preserve"> la Commission est habilitée à adopter des actes délégués conformément à l</w:t>
      </w:r>
      <w:r w:rsidR="00D43184">
        <w:rPr>
          <w:rFonts w:eastAsia="Calibri"/>
          <w:szCs w:val="22"/>
          <w:lang w:eastAsia="en-US"/>
        </w:rPr>
        <w:t>’</w:t>
      </w:r>
      <w:r w:rsidRPr="006C28E7">
        <w:rPr>
          <w:rFonts w:eastAsia="Calibri"/>
          <w:szCs w:val="22"/>
          <w:lang w:eastAsia="en-US"/>
        </w:rPr>
        <w:t xml:space="preserve">article 19 en vue de modifier la présente directive, </w:t>
      </w:r>
      <w:r w:rsidRPr="006C28E7">
        <w:rPr>
          <w:rFonts w:eastAsia="Calibri"/>
          <w:b/>
          <w:bCs/>
          <w:i/>
          <w:iCs/>
          <w:szCs w:val="22"/>
          <w:lang w:eastAsia="en-US"/>
        </w:rPr>
        <w:t>dans la mesure nécessaire pour écarter une telle menace</w:t>
      </w:r>
      <w:r w:rsidRPr="006C28E7">
        <w:rPr>
          <w:rFonts w:eastAsia="Calibri"/>
          <w:szCs w:val="22"/>
          <w:lang w:eastAsia="en-US"/>
        </w:rPr>
        <w:t>, afin que ne soit pas appliquée, aux fins de la présente directive, une modification apportée à la convention MARPOL.</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bCs/>
          <w:i/>
          <w:iCs/>
          <w:szCs w:val="22"/>
          <w:lang w:eastAsia="en-US"/>
        </w:rPr>
        <w:t>4.</w:t>
      </w:r>
      <w:r w:rsidRPr="006C28E7">
        <w:rPr>
          <w:rFonts w:eastAsia="Calibri"/>
          <w:szCs w:val="22"/>
          <w:lang w:eastAsia="en-US"/>
        </w:rPr>
        <w:tab/>
      </w:r>
      <w:r w:rsidRPr="006C28E7">
        <w:rPr>
          <w:rFonts w:eastAsia="Calibri"/>
          <w:b/>
          <w:bCs/>
          <w:i/>
          <w:iCs/>
          <w:szCs w:val="22"/>
          <w:lang w:eastAsia="en-US"/>
        </w:rPr>
        <w:t>Les</w:t>
      </w:r>
      <w:r w:rsidRPr="006C28E7">
        <w:rPr>
          <w:rFonts w:eastAsia="Calibri"/>
          <w:szCs w:val="22"/>
          <w:lang w:eastAsia="en-US"/>
        </w:rPr>
        <w:t xml:space="preserve"> actes délégués </w:t>
      </w:r>
      <w:r w:rsidRPr="006C28E7">
        <w:rPr>
          <w:rFonts w:eastAsia="Calibri"/>
          <w:b/>
          <w:bCs/>
          <w:i/>
          <w:iCs/>
          <w:szCs w:val="22"/>
          <w:lang w:eastAsia="en-US"/>
        </w:rPr>
        <w:t>visés au présent article</w:t>
      </w:r>
      <w:r w:rsidRPr="006C28E7">
        <w:rPr>
          <w:rFonts w:eastAsia="Calibri"/>
          <w:szCs w:val="22"/>
          <w:lang w:eastAsia="en-US"/>
        </w:rPr>
        <w:t xml:space="preserve"> sont adoptés au moins trois mois avant l</w:t>
      </w:r>
      <w:r w:rsidR="00D43184">
        <w:rPr>
          <w:rFonts w:eastAsia="Calibri"/>
          <w:szCs w:val="22"/>
          <w:lang w:eastAsia="en-US"/>
        </w:rPr>
        <w:t>’</w:t>
      </w:r>
      <w:r w:rsidRPr="006C28E7">
        <w:rPr>
          <w:rFonts w:eastAsia="Calibri"/>
          <w:szCs w:val="22"/>
          <w:lang w:eastAsia="en-US"/>
        </w:rPr>
        <w:t>expiration de la période fixée au niveau international pour l</w:t>
      </w:r>
      <w:r w:rsidR="00D43184">
        <w:rPr>
          <w:rFonts w:eastAsia="Calibri"/>
          <w:szCs w:val="22"/>
          <w:lang w:eastAsia="en-US"/>
        </w:rPr>
        <w:t>’</w:t>
      </w:r>
      <w:r w:rsidRPr="006C28E7">
        <w:rPr>
          <w:rFonts w:eastAsia="Calibri"/>
          <w:szCs w:val="22"/>
          <w:lang w:eastAsia="en-US"/>
        </w:rPr>
        <w:t>acceptation tacite de la modification de la convention MARPOL ou avant la date envisagée pour l</w:t>
      </w:r>
      <w:r w:rsidR="00D43184">
        <w:rPr>
          <w:rFonts w:eastAsia="Calibri"/>
          <w:szCs w:val="22"/>
          <w:lang w:eastAsia="en-US"/>
        </w:rPr>
        <w:t>’</w:t>
      </w:r>
      <w:r w:rsidRPr="006C28E7">
        <w:rPr>
          <w:rFonts w:eastAsia="Calibri"/>
          <w:szCs w:val="22"/>
          <w:lang w:eastAsia="en-US"/>
        </w:rPr>
        <w:t>entrée en vigueur de ladite modification.</w:t>
      </w:r>
    </w:p>
    <w:p w:rsidR="009C7E1C" w:rsidRPr="006C28E7" w:rsidRDefault="009C7E1C" w:rsidP="009C7E1C">
      <w:pPr>
        <w:widowControl/>
        <w:autoSpaceDE w:val="0"/>
        <w:autoSpaceDN w:val="0"/>
        <w:adjustRightInd w:val="0"/>
        <w:spacing w:before="120" w:after="120" w:line="360" w:lineRule="auto"/>
        <w:ind w:left="567"/>
        <w:rPr>
          <w:szCs w:val="22"/>
          <w:lang w:eastAsia="en-US"/>
        </w:rPr>
      </w:pPr>
      <w:r w:rsidRPr="006C28E7">
        <w:rPr>
          <w:rFonts w:eastAsia="Calibri"/>
          <w:szCs w:val="22"/>
          <w:lang w:eastAsia="en-US"/>
        </w:rPr>
        <w:t>Au cours de la période précédant l</w:t>
      </w:r>
      <w:r w:rsidR="00D43184">
        <w:rPr>
          <w:rFonts w:eastAsia="Calibri"/>
          <w:szCs w:val="22"/>
          <w:lang w:eastAsia="en-US"/>
        </w:rPr>
        <w:t>’</w:t>
      </w:r>
      <w:r w:rsidRPr="006C28E7">
        <w:rPr>
          <w:rFonts w:eastAsia="Calibri"/>
          <w:szCs w:val="22"/>
          <w:lang w:eastAsia="en-US"/>
        </w:rPr>
        <w:t>entrée en vigueur de ces actes délégués, les États membres s</w:t>
      </w:r>
      <w:r w:rsidR="00D43184">
        <w:rPr>
          <w:rFonts w:eastAsia="Calibri"/>
          <w:szCs w:val="22"/>
          <w:lang w:eastAsia="en-US"/>
        </w:rPr>
        <w:t>’</w:t>
      </w:r>
      <w:r w:rsidRPr="006C28E7">
        <w:rPr>
          <w:rFonts w:eastAsia="Calibri"/>
          <w:szCs w:val="22"/>
          <w:lang w:eastAsia="en-US"/>
        </w:rPr>
        <w:t>abstiennent de toute initiative visant à intégrer ladite modification dans le droit national ou à appliquer la modification de l</w:t>
      </w:r>
      <w:r w:rsidR="00D43184">
        <w:rPr>
          <w:rFonts w:eastAsia="Calibri"/>
          <w:szCs w:val="22"/>
          <w:lang w:eastAsia="en-US"/>
        </w:rPr>
        <w:t>’</w:t>
      </w:r>
      <w:r w:rsidRPr="006C28E7">
        <w:rPr>
          <w:rFonts w:eastAsia="Calibri"/>
          <w:szCs w:val="22"/>
          <w:lang w:eastAsia="en-US"/>
        </w:rPr>
        <w:t>instrument international concerné.</w:t>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i/>
          <w:szCs w:val="22"/>
          <w:lang w:eastAsia="en-US"/>
        </w:rPr>
        <w:t>Article 19</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 xml:space="preserve">Exercice de </w:t>
      </w:r>
      <w:r w:rsidRPr="006C28E7">
        <w:rPr>
          <w:rFonts w:eastAsia="Calibri"/>
          <w:b/>
          <w:bCs/>
          <w:i/>
          <w:iCs/>
          <w:szCs w:val="22"/>
          <w:lang w:eastAsia="en-US"/>
        </w:rPr>
        <w:t>la</w:t>
      </w:r>
      <w:r w:rsidRPr="006C28E7">
        <w:rPr>
          <w:rFonts w:eastAsia="Calibri"/>
          <w:bCs/>
          <w:i/>
          <w:szCs w:val="22"/>
          <w:lang w:eastAsia="en-US"/>
        </w:rPr>
        <w:t xml:space="preserve"> délégation</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1.</w:t>
      </w:r>
      <w:r w:rsidRPr="006C28E7">
        <w:rPr>
          <w:rFonts w:eastAsia="Calibri"/>
          <w:b/>
          <w:i/>
          <w:color w:val="000000"/>
          <w:szCs w:val="22"/>
          <w:lang w:eastAsia="en-US"/>
        </w:rPr>
        <w:tab/>
        <w:t>Le pouvoir d</w:t>
      </w:r>
      <w:r w:rsidR="00D43184">
        <w:rPr>
          <w:rFonts w:eastAsia="Calibri"/>
          <w:b/>
          <w:i/>
          <w:color w:val="000000"/>
          <w:szCs w:val="22"/>
          <w:lang w:eastAsia="en-US"/>
        </w:rPr>
        <w:t>’</w:t>
      </w:r>
      <w:r w:rsidRPr="006C28E7">
        <w:rPr>
          <w:rFonts w:eastAsia="Calibri"/>
          <w:b/>
          <w:i/>
          <w:color w:val="000000"/>
          <w:szCs w:val="22"/>
          <w:lang w:eastAsia="en-US"/>
        </w:rPr>
        <w:t>adopter des actes délégués conféré à la Commission est soumis aux conditions fixées au présent article.</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2.</w:t>
      </w:r>
      <w:r w:rsidRPr="006C28E7">
        <w:rPr>
          <w:rFonts w:eastAsia="Calibri"/>
          <w:szCs w:val="22"/>
          <w:lang w:eastAsia="en-US"/>
        </w:rPr>
        <w:tab/>
        <w:t>Le pouvoir d</w:t>
      </w:r>
      <w:r w:rsidR="00D43184">
        <w:rPr>
          <w:rFonts w:eastAsia="Calibri"/>
          <w:szCs w:val="22"/>
          <w:lang w:eastAsia="en-US"/>
        </w:rPr>
        <w:t>’</w:t>
      </w:r>
      <w:r w:rsidRPr="006C28E7">
        <w:rPr>
          <w:rFonts w:eastAsia="Calibri"/>
          <w:szCs w:val="22"/>
          <w:lang w:eastAsia="en-US"/>
        </w:rPr>
        <w:t xml:space="preserve">adopter des actes délégués visé à </w:t>
      </w:r>
      <w:r w:rsidRPr="006C28E7">
        <w:rPr>
          <w:rFonts w:eastAsia="Calibri"/>
          <w:color w:val="000000"/>
          <w:szCs w:val="22"/>
          <w:lang w:eastAsia="en-US"/>
        </w:rPr>
        <w:t>▌</w:t>
      </w:r>
      <w:r w:rsidRPr="006C28E7">
        <w:rPr>
          <w:rFonts w:eastAsia="Calibri"/>
          <w:szCs w:val="22"/>
          <w:lang w:eastAsia="en-US"/>
        </w:rPr>
        <w:t>l</w:t>
      </w:r>
      <w:r w:rsidR="00D43184">
        <w:rPr>
          <w:rFonts w:eastAsia="Calibri"/>
          <w:szCs w:val="22"/>
          <w:lang w:eastAsia="en-US"/>
        </w:rPr>
        <w:t>’</w:t>
      </w:r>
      <w:r w:rsidRPr="006C28E7">
        <w:rPr>
          <w:rFonts w:eastAsia="Calibri"/>
          <w:szCs w:val="22"/>
          <w:lang w:eastAsia="en-US"/>
        </w:rPr>
        <w:t xml:space="preserve">article 18, paragraphes 1, </w:t>
      </w:r>
      <w:r w:rsidRPr="006C28E7">
        <w:rPr>
          <w:rFonts w:eastAsia="Calibri"/>
          <w:color w:val="000000"/>
          <w:szCs w:val="22"/>
          <w:lang w:eastAsia="en-US"/>
        </w:rPr>
        <w:t>▌</w:t>
      </w:r>
      <w:r w:rsidRPr="006C28E7">
        <w:rPr>
          <w:rFonts w:eastAsia="Calibri"/>
          <w:szCs w:val="22"/>
          <w:lang w:eastAsia="en-US"/>
        </w:rPr>
        <w:t>2 et 3, est conféré à la Commission pour une période de cinq ans à compter du ...[</w:t>
      </w:r>
      <w:r w:rsidRPr="006C28E7">
        <w:rPr>
          <w:rFonts w:eastAsia="Calibri"/>
          <w:b/>
          <w:bCs/>
          <w:i/>
          <w:iCs/>
          <w:color w:val="000000"/>
          <w:szCs w:val="22"/>
          <w:lang w:eastAsia="en-US"/>
        </w:rPr>
        <w:t>date d</w:t>
      </w:r>
      <w:r w:rsidR="00D43184">
        <w:rPr>
          <w:rFonts w:eastAsia="Calibri"/>
          <w:b/>
          <w:bCs/>
          <w:i/>
          <w:iCs/>
          <w:color w:val="000000"/>
          <w:szCs w:val="22"/>
          <w:lang w:eastAsia="en-US"/>
        </w:rPr>
        <w:t>’</w:t>
      </w:r>
      <w:r w:rsidRPr="006C28E7">
        <w:rPr>
          <w:rFonts w:eastAsia="Calibri"/>
          <w:b/>
          <w:bCs/>
          <w:i/>
          <w:iCs/>
          <w:color w:val="000000"/>
          <w:szCs w:val="22"/>
          <w:lang w:eastAsia="en-US"/>
        </w:rPr>
        <w:t>entrée en vigueur</w:t>
      </w:r>
      <w:r w:rsidRPr="006C28E7">
        <w:rPr>
          <w:rFonts w:eastAsia="Calibri"/>
          <w:b/>
          <w:i/>
          <w:color w:val="000000"/>
          <w:szCs w:val="22"/>
          <w:lang w:eastAsia="en-US"/>
        </w:rPr>
        <w:t xml:space="preserve"> de la présente directive</w:t>
      </w:r>
      <w:r w:rsidRPr="006C28E7">
        <w:rPr>
          <w:rFonts w:eastAsia="Calibri"/>
          <w:szCs w:val="22"/>
          <w:lang w:eastAsia="en-US"/>
        </w:rPr>
        <w:t>]. La Commission élabore un rapport relatif à la délégation de pouvoir au plus tard neuf mois avant la fin de la période de cinq ans. La délégation de pouvoir est tacitement prorogée pour des périodes d</w:t>
      </w:r>
      <w:r w:rsidR="00D43184">
        <w:rPr>
          <w:rFonts w:eastAsia="Calibri"/>
          <w:szCs w:val="22"/>
          <w:lang w:eastAsia="en-US"/>
        </w:rPr>
        <w:t>’</w:t>
      </w:r>
      <w:r w:rsidRPr="006C28E7">
        <w:rPr>
          <w:rFonts w:eastAsia="Calibri"/>
          <w:szCs w:val="22"/>
          <w:lang w:eastAsia="en-US"/>
        </w:rPr>
        <w:t>une durée identique, sauf si le Parlement européen ou le Conseil s</w:t>
      </w:r>
      <w:r w:rsidR="00D43184">
        <w:rPr>
          <w:rFonts w:eastAsia="Calibri"/>
          <w:szCs w:val="22"/>
          <w:lang w:eastAsia="en-US"/>
        </w:rPr>
        <w:t>’</w:t>
      </w:r>
      <w:r w:rsidRPr="006C28E7">
        <w:rPr>
          <w:rFonts w:eastAsia="Calibri"/>
          <w:szCs w:val="22"/>
          <w:lang w:eastAsia="en-US"/>
        </w:rPr>
        <w:t>oppose à cette prorogation trois mois au plus tard avant la fin de chaque période.</w:t>
      </w: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3.</w:t>
      </w:r>
      <w:r w:rsidRPr="006C28E7">
        <w:rPr>
          <w:rFonts w:eastAsia="Calibri"/>
          <w:szCs w:val="22"/>
          <w:lang w:eastAsia="en-US"/>
        </w:rPr>
        <w:tab/>
        <w:t xml:space="preserve">La délégation </w:t>
      </w:r>
      <w:r w:rsidRPr="006C28E7">
        <w:rPr>
          <w:rFonts w:eastAsia="Calibri"/>
          <w:b/>
          <w:bCs/>
          <w:i/>
          <w:iCs/>
          <w:szCs w:val="22"/>
          <w:lang w:eastAsia="en-US"/>
        </w:rPr>
        <w:t>de pouvoir visée à l</w:t>
      </w:r>
      <w:r w:rsidR="00D43184">
        <w:rPr>
          <w:rFonts w:eastAsia="Calibri"/>
          <w:b/>
          <w:bCs/>
          <w:i/>
          <w:iCs/>
          <w:szCs w:val="22"/>
          <w:lang w:eastAsia="en-US"/>
        </w:rPr>
        <w:t>’</w:t>
      </w:r>
      <w:r w:rsidRPr="006C28E7">
        <w:rPr>
          <w:rFonts w:eastAsia="Calibri"/>
          <w:b/>
          <w:bCs/>
          <w:i/>
          <w:iCs/>
          <w:szCs w:val="22"/>
          <w:lang w:eastAsia="en-US"/>
        </w:rPr>
        <w:t>article 18, paragraphes 1, 2 et 3</w:t>
      </w:r>
      <w:r w:rsidRPr="006C28E7">
        <w:rPr>
          <w:rFonts w:eastAsia="Calibri"/>
          <w:szCs w:val="22"/>
          <w:lang w:eastAsia="en-US"/>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w:t>
      </w:r>
      <w:r w:rsidRPr="006C28E7">
        <w:rPr>
          <w:rFonts w:eastAsia="Calibri"/>
          <w:i/>
          <w:iCs/>
          <w:szCs w:val="22"/>
          <w:lang w:eastAsia="en-US"/>
        </w:rPr>
        <w:t>Journal officiel de l</w:t>
      </w:r>
      <w:r w:rsidR="00D43184">
        <w:rPr>
          <w:rFonts w:eastAsia="Calibri"/>
          <w:i/>
          <w:iCs/>
          <w:szCs w:val="22"/>
          <w:lang w:eastAsia="en-US"/>
        </w:rPr>
        <w:t>’</w:t>
      </w:r>
      <w:r w:rsidRPr="006C28E7">
        <w:rPr>
          <w:rFonts w:eastAsia="Calibri"/>
          <w:i/>
          <w:iCs/>
          <w:szCs w:val="22"/>
          <w:lang w:eastAsia="en-US"/>
        </w:rPr>
        <w:t>Union européenne</w:t>
      </w:r>
      <w:r w:rsidRPr="006C28E7">
        <w:rPr>
          <w:rFonts w:eastAsia="Calibri"/>
          <w:szCs w:val="22"/>
          <w:lang w:eastAsia="en-US"/>
        </w:rPr>
        <w:t xml:space="preserve"> ou à une date ultérieure qui est précisée dans ladite décision. Elle ne porte pas atteinte à la validité des actes délégués déjà en vigueur.</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b/>
          <w:i/>
          <w:color w:val="000000"/>
          <w:szCs w:val="22"/>
          <w:lang w:eastAsia="en-US"/>
        </w:rPr>
        <w:t>4.</w:t>
      </w:r>
      <w:r w:rsidRPr="006C28E7">
        <w:rPr>
          <w:rFonts w:eastAsia="Calibri"/>
          <w:b/>
          <w:i/>
          <w:color w:val="000000"/>
          <w:szCs w:val="22"/>
          <w:lang w:eastAsia="en-US"/>
        </w:rPr>
        <w:tab/>
      </w:r>
      <w:r w:rsidRPr="006C28E7">
        <w:rPr>
          <w:rFonts w:eastAsia="Calibri"/>
          <w:b/>
          <w:bCs/>
          <w:i/>
          <w:iCs/>
          <w:szCs w:val="22"/>
          <w:lang w:eastAsia="en-US"/>
        </w:rPr>
        <w:t>Avant l</w:t>
      </w:r>
      <w:r w:rsidR="00D43184">
        <w:rPr>
          <w:rFonts w:eastAsia="Calibri"/>
          <w:b/>
          <w:bCs/>
          <w:i/>
          <w:iCs/>
          <w:szCs w:val="22"/>
          <w:lang w:eastAsia="en-US"/>
        </w:rPr>
        <w:t>’</w:t>
      </w:r>
      <w:r w:rsidRPr="006C28E7">
        <w:rPr>
          <w:rFonts w:eastAsia="Calibri"/>
          <w:b/>
          <w:bCs/>
          <w:i/>
          <w:iCs/>
          <w:szCs w:val="22"/>
          <w:lang w:eastAsia="en-US"/>
        </w:rPr>
        <w:t>adoption d</w:t>
      </w:r>
      <w:r w:rsidR="00D43184">
        <w:rPr>
          <w:rFonts w:eastAsia="Calibri"/>
          <w:b/>
          <w:bCs/>
          <w:i/>
          <w:iCs/>
          <w:szCs w:val="22"/>
          <w:lang w:eastAsia="en-US"/>
        </w:rPr>
        <w:t>’</w:t>
      </w:r>
      <w:r w:rsidRPr="006C28E7">
        <w:rPr>
          <w:rFonts w:eastAsia="Calibri"/>
          <w:b/>
          <w:bCs/>
          <w:i/>
          <w:iCs/>
          <w:szCs w:val="22"/>
          <w:lang w:eastAsia="en-US"/>
        </w:rPr>
        <w:t>un acte délégué, la Commission consulte les experts désignés par chaque État membre, conformément aux principes définis dans l</w:t>
      </w:r>
      <w:r w:rsidR="00D43184">
        <w:rPr>
          <w:rFonts w:eastAsia="Calibri"/>
          <w:b/>
          <w:bCs/>
          <w:i/>
          <w:iCs/>
          <w:szCs w:val="22"/>
          <w:lang w:eastAsia="en-US"/>
        </w:rPr>
        <w:t>’</w:t>
      </w:r>
      <w:r w:rsidRPr="006C28E7">
        <w:rPr>
          <w:rFonts w:eastAsia="Calibri"/>
          <w:b/>
          <w:bCs/>
          <w:i/>
          <w:iCs/>
          <w:szCs w:val="22"/>
          <w:lang w:eastAsia="en-US"/>
        </w:rPr>
        <w:t>accord interinstitutionnel du 13 avril 2016 "Mieux légiférer".</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5.</w:t>
      </w:r>
      <w:r w:rsidRPr="006C28E7">
        <w:rPr>
          <w:rFonts w:eastAsia="Calibri"/>
          <w:szCs w:val="22"/>
          <w:lang w:eastAsia="en-US"/>
        </w:rPr>
        <w:tab/>
        <w:t>Aussitôt qu</w:t>
      </w:r>
      <w:r w:rsidR="00D43184">
        <w:rPr>
          <w:rFonts w:eastAsia="Calibri"/>
          <w:szCs w:val="22"/>
          <w:lang w:eastAsia="en-US"/>
        </w:rPr>
        <w:t>’</w:t>
      </w:r>
      <w:r w:rsidRPr="006C28E7">
        <w:rPr>
          <w:rFonts w:eastAsia="Calibri"/>
          <w:szCs w:val="22"/>
          <w:lang w:eastAsia="en-US"/>
        </w:rPr>
        <w:t>elle adopte un acte délégué, la Commission le notifie au Parlement européen et au Conseil simultanément.</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6.</w:t>
      </w:r>
      <w:r w:rsidRPr="006C28E7">
        <w:rPr>
          <w:rFonts w:eastAsia="Calibri"/>
          <w:szCs w:val="22"/>
          <w:lang w:eastAsia="en-US"/>
        </w:rPr>
        <w:tab/>
        <w:t xml:space="preserve">Un acte délégué </w:t>
      </w:r>
      <w:r w:rsidRPr="006C28E7">
        <w:rPr>
          <w:rFonts w:eastAsia="Calibri"/>
          <w:b/>
          <w:bCs/>
          <w:i/>
          <w:iCs/>
          <w:szCs w:val="22"/>
          <w:lang w:eastAsia="en-US"/>
        </w:rPr>
        <w:t>adopté en vertu de l</w:t>
      </w:r>
      <w:r w:rsidR="00D43184">
        <w:rPr>
          <w:rFonts w:eastAsia="Calibri"/>
          <w:b/>
          <w:bCs/>
          <w:i/>
          <w:iCs/>
          <w:szCs w:val="22"/>
          <w:lang w:eastAsia="en-US"/>
        </w:rPr>
        <w:t>’</w:t>
      </w:r>
      <w:r w:rsidRPr="006C28E7">
        <w:rPr>
          <w:rFonts w:eastAsia="Calibri"/>
          <w:b/>
          <w:bCs/>
          <w:i/>
          <w:iCs/>
          <w:szCs w:val="22"/>
          <w:lang w:eastAsia="en-US"/>
        </w:rPr>
        <w:t>article 18, paragraphes 1, 2 et 3</w:t>
      </w:r>
      <w:r w:rsidRPr="006C28E7">
        <w:rPr>
          <w:rFonts w:eastAsia="Calibri"/>
          <w:szCs w:val="22"/>
          <w:lang w:eastAsia="en-US"/>
        </w:rPr>
        <w:t>, n</w:t>
      </w:r>
      <w:r w:rsidR="00D43184">
        <w:rPr>
          <w:rFonts w:eastAsia="Calibri"/>
          <w:szCs w:val="22"/>
          <w:lang w:eastAsia="en-US"/>
        </w:rPr>
        <w:t>’</w:t>
      </w:r>
      <w:r w:rsidRPr="006C28E7">
        <w:rPr>
          <w:rFonts w:eastAsia="Calibri"/>
          <w:szCs w:val="22"/>
          <w:lang w:eastAsia="en-US"/>
        </w:rPr>
        <w:t>entre en vigueur que si le Parlement européen ou le Conseil n</w:t>
      </w:r>
      <w:r w:rsidR="00D43184">
        <w:rPr>
          <w:rFonts w:eastAsia="Calibri"/>
          <w:szCs w:val="22"/>
          <w:lang w:eastAsia="en-US"/>
        </w:rPr>
        <w:t>’</w:t>
      </w:r>
      <w:r w:rsidRPr="006C28E7">
        <w:rPr>
          <w:rFonts w:eastAsia="Calibri"/>
          <w:szCs w:val="22"/>
          <w:lang w:eastAsia="en-US"/>
        </w:rPr>
        <w:t>a pas exprimé d</w:t>
      </w:r>
      <w:r w:rsidR="00D43184">
        <w:rPr>
          <w:rFonts w:eastAsia="Calibri"/>
          <w:szCs w:val="22"/>
          <w:lang w:eastAsia="en-US"/>
        </w:rPr>
        <w:t>’</w:t>
      </w:r>
      <w:r w:rsidRPr="006C28E7">
        <w:rPr>
          <w:rFonts w:eastAsia="Calibri"/>
          <w:szCs w:val="22"/>
          <w:lang w:eastAsia="en-US"/>
        </w:rPr>
        <w:t>objections dans un délai de deux mois à compter de la notification de cet acte au Parlement européen et au Conseil ou si, avant l</w:t>
      </w:r>
      <w:r w:rsidR="00D43184">
        <w:rPr>
          <w:rFonts w:eastAsia="Calibri"/>
          <w:szCs w:val="22"/>
          <w:lang w:eastAsia="en-US"/>
        </w:rPr>
        <w:t>’</w:t>
      </w:r>
      <w:r w:rsidRPr="006C28E7">
        <w:rPr>
          <w:rFonts w:eastAsia="Calibri"/>
          <w:szCs w:val="22"/>
          <w:lang w:eastAsia="en-US"/>
        </w:rPr>
        <w:t>expiration de ce délai, le Parlement européen et le Conseil ont tous deux informé la Commission de leur intention de ne pas exprimer d</w:t>
      </w:r>
      <w:r w:rsidR="00D43184">
        <w:rPr>
          <w:rFonts w:eastAsia="Calibri"/>
          <w:szCs w:val="22"/>
          <w:lang w:eastAsia="en-US"/>
        </w:rPr>
        <w:t>’</w:t>
      </w:r>
      <w:r w:rsidRPr="006C28E7">
        <w:rPr>
          <w:rFonts w:eastAsia="Calibri"/>
          <w:szCs w:val="22"/>
          <w:lang w:eastAsia="en-US"/>
        </w:rPr>
        <w:t>objections. Ce délai est prolongé de deux mois à l</w:t>
      </w:r>
      <w:r w:rsidR="00D43184">
        <w:rPr>
          <w:rFonts w:eastAsia="Calibri"/>
          <w:szCs w:val="22"/>
          <w:lang w:eastAsia="en-US"/>
        </w:rPr>
        <w:t>’</w:t>
      </w:r>
      <w:r w:rsidRPr="006C28E7">
        <w:rPr>
          <w:rFonts w:eastAsia="Calibri"/>
          <w:szCs w:val="22"/>
          <w:lang w:eastAsia="en-US"/>
        </w:rPr>
        <w:t xml:space="preserve">initiative du Parlement européen ou </w:t>
      </w:r>
      <w:r w:rsidRPr="006C28E7">
        <w:rPr>
          <w:rFonts w:eastAsia="Calibri"/>
          <w:b/>
          <w:bCs/>
          <w:i/>
          <w:iCs/>
          <w:szCs w:val="22"/>
          <w:lang w:eastAsia="en-US"/>
        </w:rPr>
        <w:t>du</w:t>
      </w:r>
      <w:r w:rsidRPr="006C28E7">
        <w:rPr>
          <w:rFonts w:eastAsia="Calibri"/>
          <w:szCs w:val="22"/>
          <w:lang w:eastAsia="en-US"/>
        </w:rPr>
        <w:t xml:space="preserve"> Conseil.</w:t>
      </w:r>
    </w:p>
    <w:p w:rsidR="009C7E1C" w:rsidRPr="006C28E7" w:rsidRDefault="009C7E1C" w:rsidP="009C7E1C">
      <w:pPr>
        <w:widowControl/>
        <w:spacing w:after="200" w:line="276" w:lineRule="auto"/>
        <w:rPr>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Cs/>
          <w:szCs w:val="22"/>
          <w:lang w:eastAsia="en-US"/>
        </w:rPr>
      </w:pPr>
      <w:r w:rsidRPr="006C28E7">
        <w:rPr>
          <w:rFonts w:eastAsia="Calibri"/>
          <w:i/>
          <w:szCs w:val="22"/>
          <w:lang w:eastAsia="en-US"/>
        </w:rPr>
        <w:t>Article 20</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Comité</w:t>
      </w:r>
    </w:p>
    <w:p w:rsidR="009C7E1C" w:rsidRPr="006C28E7" w:rsidRDefault="009C7E1C" w:rsidP="009C7E1C">
      <w:pPr>
        <w:widowControl/>
        <w:autoSpaceDE w:val="0"/>
        <w:autoSpaceDN w:val="0"/>
        <w:adjustRightInd w:val="0"/>
        <w:spacing w:before="120" w:after="120" w:line="360" w:lineRule="auto"/>
        <w:ind w:left="567" w:hanging="567"/>
        <w:rPr>
          <w:szCs w:val="22"/>
          <w:lang w:eastAsia="en-US"/>
        </w:rPr>
      </w:pPr>
      <w:r w:rsidRPr="006C28E7">
        <w:rPr>
          <w:rFonts w:eastAsia="Calibri"/>
          <w:szCs w:val="22"/>
          <w:lang w:eastAsia="en-US"/>
        </w:rPr>
        <w:t>1.</w:t>
      </w:r>
      <w:r w:rsidRPr="006C28E7">
        <w:rPr>
          <w:rFonts w:eastAsia="Calibri"/>
          <w:szCs w:val="22"/>
          <w:lang w:eastAsia="en-US"/>
        </w:rPr>
        <w:tab/>
        <w:t>La Commission est assistée par le comité pour la sécurité maritime et la prévention de la pollution par les navires (COSS) institué par le règlement (CE) n° 2099/</w:t>
      </w:r>
      <w:r w:rsidRPr="006C28E7">
        <w:rPr>
          <w:rFonts w:eastAsia="Calibri"/>
          <w:b/>
          <w:bCs/>
          <w:i/>
          <w:iCs/>
          <w:szCs w:val="22"/>
          <w:lang w:eastAsia="en-US"/>
        </w:rPr>
        <w:t>2002 du Parlement européen et du Conseil</w:t>
      </w:r>
      <w:r w:rsidRPr="006C28E7">
        <w:rPr>
          <w:i/>
          <w:color w:val="000000"/>
          <w:szCs w:val="22"/>
          <w:vertAlign w:val="superscript"/>
        </w:rPr>
        <w:footnoteReference w:id="23"/>
      </w:r>
      <w:r w:rsidRPr="006C28E7">
        <w:rPr>
          <w:rFonts w:eastAsia="Calibri"/>
          <w:szCs w:val="22"/>
          <w:lang w:eastAsia="en-US"/>
        </w:rPr>
        <w:t>. Ledit comité est un comité au sens du règlement (UE) n° 182/2011.</w:t>
      </w:r>
    </w:p>
    <w:p w:rsidR="009C7E1C" w:rsidRPr="006C28E7" w:rsidRDefault="009C7E1C" w:rsidP="009C7E1C">
      <w:pPr>
        <w:widowControl/>
        <w:autoSpaceDE w:val="0"/>
        <w:autoSpaceDN w:val="0"/>
        <w:adjustRightInd w:val="0"/>
        <w:spacing w:before="120" w:after="120" w:line="360" w:lineRule="auto"/>
        <w:ind w:left="567" w:hanging="567"/>
        <w:rPr>
          <w:rFonts w:cs="Symbol"/>
          <w:szCs w:val="22"/>
          <w:lang w:eastAsia="en-US"/>
        </w:rPr>
      </w:pPr>
      <w:r w:rsidRPr="006C28E7">
        <w:rPr>
          <w:rFonts w:eastAsia="Calibri"/>
          <w:szCs w:val="22"/>
          <w:lang w:eastAsia="en-US"/>
        </w:rPr>
        <w:t>2.</w:t>
      </w:r>
      <w:r w:rsidRPr="006C28E7">
        <w:rPr>
          <w:rFonts w:eastAsia="Calibri"/>
          <w:szCs w:val="22"/>
          <w:lang w:eastAsia="en-US"/>
        </w:rPr>
        <w:tab/>
        <w:t>Lorsqu</w:t>
      </w:r>
      <w:r w:rsidR="00D43184">
        <w:rPr>
          <w:rFonts w:eastAsia="Calibri"/>
          <w:szCs w:val="22"/>
          <w:lang w:eastAsia="en-US"/>
        </w:rPr>
        <w:t>’</w:t>
      </w:r>
      <w:r w:rsidRPr="006C28E7">
        <w:rPr>
          <w:rFonts w:eastAsia="Calibri"/>
          <w:szCs w:val="22"/>
          <w:lang w:eastAsia="en-US"/>
        </w:rPr>
        <w:t>il est fait référence au présent paragraphe, l</w:t>
      </w:r>
      <w:r w:rsidR="00D43184">
        <w:rPr>
          <w:rFonts w:eastAsia="Calibri"/>
          <w:szCs w:val="22"/>
          <w:lang w:eastAsia="en-US"/>
        </w:rPr>
        <w:t>’</w:t>
      </w:r>
      <w:r w:rsidRPr="006C28E7">
        <w:rPr>
          <w:rFonts w:eastAsia="Calibri"/>
          <w:szCs w:val="22"/>
          <w:lang w:eastAsia="en-US"/>
        </w:rPr>
        <w:t>article 5 du règlement (UE) n° 182/2011 s</w:t>
      </w:r>
      <w:r w:rsidR="00D43184">
        <w:rPr>
          <w:rFonts w:eastAsia="Calibri"/>
          <w:szCs w:val="22"/>
          <w:lang w:eastAsia="en-US"/>
        </w:rPr>
        <w:t>’</w:t>
      </w:r>
      <w:r w:rsidRPr="006C28E7">
        <w:rPr>
          <w:rFonts w:eastAsia="Calibri"/>
          <w:szCs w:val="22"/>
          <w:lang w:eastAsia="en-US"/>
        </w:rPr>
        <w:t>applique.</w:t>
      </w:r>
    </w:p>
    <w:p w:rsidR="009C7E1C" w:rsidRPr="006C28E7" w:rsidRDefault="009C7E1C" w:rsidP="009C7E1C">
      <w:pPr>
        <w:keepNext/>
        <w:widowControl/>
        <w:autoSpaceDE w:val="0"/>
        <w:autoSpaceDN w:val="0"/>
        <w:adjustRightInd w:val="0"/>
        <w:spacing w:before="120" w:after="120" w:line="360" w:lineRule="auto"/>
        <w:jc w:val="center"/>
        <w:rPr>
          <w:rFonts w:cs="Symbol"/>
          <w:i/>
          <w:szCs w:val="22"/>
          <w:lang w:eastAsia="en-US"/>
        </w:rPr>
      </w:pPr>
      <w:r w:rsidRPr="006C28E7">
        <w:rPr>
          <w:rFonts w:eastAsia="Calibri"/>
          <w:i/>
          <w:color w:val="000000"/>
          <w:szCs w:val="22"/>
          <w:lang w:eastAsia="en-US"/>
        </w:rPr>
        <w:t>▌</w:t>
      </w:r>
    </w:p>
    <w:p w:rsidR="009C7E1C" w:rsidRPr="006C28E7" w:rsidRDefault="009C7E1C" w:rsidP="009C7E1C">
      <w:pPr>
        <w:widowControl/>
        <w:autoSpaceDE w:val="0"/>
        <w:autoSpaceDN w:val="0"/>
        <w:adjustRightInd w:val="0"/>
        <w:spacing w:before="120" w:after="120" w:line="360" w:lineRule="auto"/>
        <w:jc w:val="center"/>
        <w:rPr>
          <w:bCs/>
          <w:i/>
          <w:szCs w:val="22"/>
          <w:lang w:eastAsia="en-US"/>
        </w:rPr>
      </w:pPr>
      <w:r w:rsidRPr="006C28E7">
        <w:rPr>
          <w:rFonts w:eastAsia="Calibri"/>
          <w:i/>
          <w:szCs w:val="22"/>
          <w:lang w:eastAsia="en-US"/>
        </w:rPr>
        <w:t>Article 21</w:t>
      </w:r>
      <w:r w:rsidRPr="006C28E7">
        <w:rPr>
          <w:rFonts w:eastAsia="Calibri"/>
          <w:szCs w:val="22"/>
          <w:lang w:eastAsia="en-US"/>
        </w:rPr>
        <w:t xml:space="preserve"> </w:t>
      </w:r>
      <w:r w:rsidRPr="006C28E7">
        <w:rPr>
          <w:rFonts w:eastAsia="Calibri"/>
          <w:szCs w:val="22"/>
          <w:lang w:eastAsia="en-US"/>
        </w:rPr>
        <w:br/>
      </w:r>
      <w:r w:rsidRPr="006C28E7">
        <w:rPr>
          <w:rFonts w:eastAsia="Calibri"/>
          <w:bCs/>
          <w:i/>
          <w:szCs w:val="22"/>
          <w:lang w:eastAsia="en-US"/>
        </w:rPr>
        <w:t>Modification de la directive 2010/65/UE</w:t>
      </w:r>
    </w:p>
    <w:p w:rsidR="009C7E1C" w:rsidRPr="006C28E7" w:rsidRDefault="009C7E1C" w:rsidP="009C7E1C">
      <w:pPr>
        <w:widowControl/>
        <w:spacing w:before="120" w:after="120" w:line="360" w:lineRule="auto"/>
        <w:rPr>
          <w:rFonts w:cs="Arial"/>
          <w:szCs w:val="22"/>
          <w:lang w:eastAsia="en-US"/>
        </w:rPr>
      </w:pPr>
      <w:r w:rsidRPr="006C28E7">
        <w:rPr>
          <w:rFonts w:eastAsia="Calibri"/>
          <w:b/>
          <w:bCs/>
          <w:i/>
          <w:iCs/>
          <w:szCs w:val="22"/>
          <w:lang w:eastAsia="en-US"/>
        </w:rPr>
        <w:t>Au</w:t>
      </w:r>
      <w:r w:rsidRPr="006C28E7">
        <w:rPr>
          <w:rFonts w:eastAsia="Calibri"/>
          <w:szCs w:val="22"/>
          <w:lang w:eastAsia="en-US"/>
        </w:rPr>
        <w:t xml:space="preserve"> point A de l</w:t>
      </w:r>
      <w:r w:rsidR="00D43184">
        <w:rPr>
          <w:rFonts w:eastAsia="Calibri"/>
          <w:szCs w:val="22"/>
          <w:lang w:eastAsia="en-US"/>
        </w:rPr>
        <w:t>’</w:t>
      </w:r>
      <w:r w:rsidRPr="006C28E7">
        <w:rPr>
          <w:rFonts w:eastAsia="Calibri"/>
          <w:szCs w:val="22"/>
          <w:lang w:eastAsia="en-US"/>
        </w:rPr>
        <w:t>annexe de la directive 2010/65/UE, le point 4) est remplacé par le texte suivant:</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"4) Notification des déchets des navires, y compris les résidus</w:t>
      </w:r>
    </w:p>
    <w:p w:rsidR="009C7E1C" w:rsidRPr="006C28E7" w:rsidRDefault="009C7E1C" w:rsidP="009C7E1C">
      <w:pPr>
        <w:widowControl/>
        <w:spacing w:before="120" w:after="120" w:line="360" w:lineRule="auto"/>
        <w:rPr>
          <w:rFonts w:eastAsia="Calibri"/>
          <w:szCs w:val="22"/>
          <w:lang w:eastAsia="en-US"/>
        </w:rPr>
      </w:pPr>
      <w:r w:rsidRPr="006C28E7">
        <w:rPr>
          <w:rFonts w:eastAsia="Calibri"/>
          <w:szCs w:val="22"/>
          <w:lang w:eastAsia="en-US"/>
        </w:rPr>
        <w:t>Articles</w:t>
      </w:r>
      <w:r w:rsidRPr="006C28E7">
        <w:rPr>
          <w:rFonts w:eastAsia="Calibri"/>
          <w:b/>
          <w:bCs/>
          <w:i/>
          <w:iCs/>
          <w:szCs w:val="22"/>
          <w:lang w:eastAsia="en-US"/>
        </w:rPr>
        <w:t xml:space="preserve"> 6, 7 et 9</w:t>
      </w:r>
      <w:r w:rsidRPr="006C28E7">
        <w:rPr>
          <w:rFonts w:eastAsia="Calibri"/>
          <w:szCs w:val="22"/>
          <w:lang w:eastAsia="en-US"/>
        </w:rPr>
        <w:t xml:space="preserve"> de la directive (UE) 2019/… du Parlement européen et du Conseil du … relative aux installations de réception portuaires pour le dépôt des déchets des navires (JO L …)</w:t>
      </w:r>
      <w:r w:rsidRPr="006C28E7">
        <w:rPr>
          <w:rFonts w:eastAsia="Calibri"/>
          <w:b/>
          <w:szCs w:val="22"/>
          <w:vertAlign w:val="superscript"/>
          <w:lang w:eastAsia="en-US"/>
        </w:rPr>
        <w:footnoteReference w:customMarkFollows="1" w:id="24"/>
        <w:sym w:font="Symbol" w:char="F02A"/>
      </w:r>
      <w:r w:rsidRPr="006C28E7">
        <w:rPr>
          <w:rFonts w:eastAsia="Calibri"/>
          <w:szCs w:val="22"/>
          <w:lang w:eastAsia="en-US"/>
        </w:rPr>
        <w:t>.".</w:t>
      </w:r>
    </w:p>
    <w:p w:rsidR="009C7E1C" w:rsidRPr="006C28E7" w:rsidRDefault="009C7E1C" w:rsidP="009C7E1C">
      <w:pPr>
        <w:widowControl/>
        <w:spacing w:after="200" w:line="276" w:lineRule="auto"/>
        <w:rPr>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Cs/>
          <w:i/>
          <w:iCs/>
          <w:szCs w:val="22"/>
          <w:lang w:eastAsia="en-US"/>
        </w:rPr>
      </w:pPr>
      <w:r w:rsidRPr="006C28E7">
        <w:rPr>
          <w:rFonts w:eastAsia="Calibri"/>
          <w:i/>
          <w:szCs w:val="22"/>
          <w:lang w:eastAsia="en-US"/>
        </w:rPr>
        <w:t>Article 22</w:t>
      </w:r>
      <w:r w:rsidRPr="006C28E7">
        <w:rPr>
          <w:rFonts w:eastAsia="Calibri"/>
          <w:szCs w:val="22"/>
          <w:lang w:eastAsia="en-US"/>
        </w:rPr>
        <w:t xml:space="preserve"> </w:t>
      </w:r>
      <w:r w:rsidRPr="006C28E7">
        <w:rPr>
          <w:rFonts w:eastAsia="Calibri"/>
          <w:szCs w:val="22"/>
          <w:lang w:eastAsia="en-US"/>
        </w:rPr>
        <w:br/>
      </w:r>
      <w:r w:rsidRPr="006C28E7">
        <w:rPr>
          <w:rFonts w:eastAsia="Calibri"/>
          <w:bCs/>
          <w:i/>
          <w:iCs/>
          <w:szCs w:val="22"/>
          <w:lang w:eastAsia="en-US"/>
        </w:rPr>
        <w:t>Abrogation</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La directive 2000/59/CE est abrogée.</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Les références faites à la directive abrogée s</w:t>
      </w:r>
      <w:r w:rsidR="00D43184">
        <w:rPr>
          <w:rFonts w:eastAsia="Calibri"/>
          <w:szCs w:val="22"/>
          <w:lang w:eastAsia="en-US"/>
        </w:rPr>
        <w:t>’</w:t>
      </w:r>
      <w:r w:rsidRPr="006C28E7">
        <w:rPr>
          <w:rFonts w:eastAsia="Calibri"/>
          <w:szCs w:val="22"/>
          <w:lang w:eastAsia="en-US"/>
        </w:rPr>
        <w:t>entendent comme faites à la présente directive.</w:t>
      </w:r>
    </w:p>
    <w:p w:rsidR="009C7E1C" w:rsidRPr="006C28E7" w:rsidRDefault="009C7E1C" w:rsidP="009C7E1C">
      <w:pPr>
        <w:widowControl/>
        <w:autoSpaceDE w:val="0"/>
        <w:autoSpaceDN w:val="0"/>
        <w:adjustRightInd w:val="0"/>
        <w:spacing w:before="120" w:after="120" w:line="360" w:lineRule="auto"/>
        <w:jc w:val="center"/>
        <w:rPr>
          <w:bCs/>
          <w:i/>
          <w:iCs/>
          <w:szCs w:val="22"/>
          <w:lang w:eastAsia="en-US"/>
        </w:rPr>
      </w:pPr>
      <w:r w:rsidRPr="006C28E7">
        <w:rPr>
          <w:rFonts w:eastAsia="Calibri"/>
          <w:i/>
          <w:szCs w:val="22"/>
          <w:lang w:eastAsia="en-US"/>
        </w:rPr>
        <w:t>Article 23</w:t>
      </w:r>
      <w:r w:rsidRPr="006C28E7">
        <w:rPr>
          <w:rFonts w:eastAsia="Calibri"/>
          <w:szCs w:val="22"/>
          <w:lang w:eastAsia="en-US"/>
        </w:rPr>
        <w:t xml:space="preserve"> </w:t>
      </w:r>
      <w:r w:rsidRPr="006C28E7">
        <w:rPr>
          <w:rFonts w:eastAsia="Calibri"/>
          <w:szCs w:val="22"/>
          <w:lang w:eastAsia="en-US"/>
        </w:rPr>
        <w:br/>
      </w:r>
      <w:r w:rsidRPr="006C28E7">
        <w:rPr>
          <w:rFonts w:eastAsia="Calibri"/>
          <w:bCs/>
          <w:i/>
          <w:iCs/>
          <w:szCs w:val="22"/>
          <w:lang w:eastAsia="en-US"/>
        </w:rPr>
        <w:t>Réexamen</w:t>
      </w:r>
    </w:p>
    <w:p w:rsidR="009C7E1C" w:rsidRPr="006C28E7" w:rsidRDefault="009C7E1C" w:rsidP="009C7E1C">
      <w:pPr>
        <w:widowControl/>
        <w:spacing w:before="120" w:after="120" w:line="360" w:lineRule="auto"/>
        <w:ind w:left="567" w:hanging="567"/>
        <w:rPr>
          <w:rFonts w:cs="Arial"/>
          <w:szCs w:val="22"/>
          <w:lang w:eastAsia="en-US"/>
        </w:rPr>
      </w:pPr>
      <w:r w:rsidRPr="006C28E7">
        <w:rPr>
          <w:rFonts w:eastAsia="Calibri"/>
          <w:szCs w:val="22"/>
          <w:lang w:eastAsia="en-US"/>
        </w:rPr>
        <w:t>1.</w:t>
      </w:r>
      <w:r w:rsidRPr="006C28E7">
        <w:rPr>
          <w:rFonts w:eastAsia="Calibri"/>
          <w:szCs w:val="22"/>
          <w:lang w:eastAsia="en-US"/>
        </w:rPr>
        <w:tab/>
        <w:t>La Commission évalue la présente directive et présente les résultats de l</w:t>
      </w:r>
      <w:r w:rsidR="00D43184">
        <w:rPr>
          <w:rFonts w:eastAsia="Calibri"/>
          <w:szCs w:val="22"/>
          <w:lang w:eastAsia="en-US"/>
        </w:rPr>
        <w:t>’</w:t>
      </w:r>
      <w:r w:rsidRPr="006C28E7">
        <w:rPr>
          <w:rFonts w:eastAsia="Calibri"/>
          <w:szCs w:val="22"/>
          <w:lang w:eastAsia="en-US"/>
        </w:rPr>
        <w:t xml:space="preserve">évaluation au Parlement européen et au Conseil au plus tard le... [sept ans à compter de la </w:t>
      </w:r>
      <w:r w:rsidRPr="006C28E7">
        <w:rPr>
          <w:rFonts w:eastAsia="Calibri"/>
          <w:b/>
          <w:bCs/>
          <w:i/>
          <w:iCs/>
          <w:szCs w:val="22"/>
          <w:lang w:eastAsia="en-US"/>
        </w:rPr>
        <w:t>date</w:t>
      </w:r>
      <w:r w:rsidRPr="006C28E7">
        <w:rPr>
          <w:rFonts w:eastAsia="Calibri"/>
          <w:szCs w:val="22"/>
          <w:lang w:eastAsia="en-US"/>
        </w:rPr>
        <w:t xml:space="preserve"> d</w:t>
      </w:r>
      <w:r w:rsidR="00D43184">
        <w:rPr>
          <w:rFonts w:eastAsia="Calibri"/>
          <w:szCs w:val="22"/>
          <w:lang w:eastAsia="en-US"/>
        </w:rPr>
        <w:t>’</w:t>
      </w:r>
      <w:r w:rsidRPr="006C28E7">
        <w:rPr>
          <w:rFonts w:eastAsia="Calibri"/>
          <w:szCs w:val="22"/>
          <w:lang w:eastAsia="en-US"/>
        </w:rPr>
        <w:t>entrée en vigueur de la présente directive</w:t>
      </w:r>
      <w:r w:rsidRPr="006C28E7">
        <w:rPr>
          <w:rFonts w:eastAsia="Calibri"/>
          <w:b/>
          <w:bCs/>
          <w:i/>
          <w:iCs/>
          <w:szCs w:val="22"/>
          <w:lang w:eastAsia="en-US"/>
        </w:rPr>
        <w:t>].</w:t>
      </w:r>
      <w:r w:rsidRPr="006C28E7">
        <w:rPr>
          <w:rFonts w:eastAsia="Calibri"/>
          <w:b/>
          <w:i/>
          <w:color w:val="000000"/>
          <w:szCs w:val="22"/>
          <w:lang w:eastAsia="en-US"/>
        </w:rPr>
        <w:t xml:space="preserve"> L</w:t>
      </w:r>
      <w:r w:rsidR="00D43184">
        <w:rPr>
          <w:rFonts w:eastAsia="Calibri"/>
          <w:b/>
          <w:i/>
          <w:color w:val="000000"/>
          <w:szCs w:val="22"/>
          <w:lang w:eastAsia="en-US"/>
        </w:rPr>
        <w:t>’</w:t>
      </w:r>
      <w:r w:rsidRPr="006C28E7">
        <w:rPr>
          <w:rFonts w:eastAsia="Calibri"/>
          <w:b/>
          <w:i/>
          <w:color w:val="000000"/>
          <w:szCs w:val="22"/>
          <w:lang w:eastAsia="en-US"/>
        </w:rPr>
        <w:t>évaluation comprend également un rapport détaillant les meilleures pratiques de prévention et de gestion des déchets à bord des navires.</w:t>
      </w:r>
    </w:p>
    <w:p w:rsidR="009C7E1C" w:rsidRPr="006C28E7" w:rsidRDefault="009C7E1C" w:rsidP="009C7E1C">
      <w:pPr>
        <w:widowControl/>
        <w:spacing w:before="120" w:after="120" w:line="360" w:lineRule="auto"/>
        <w:ind w:left="567" w:hanging="567"/>
        <w:rPr>
          <w:rFonts w:eastAsia="Calibri"/>
          <w:b/>
          <w:i/>
          <w:color w:val="000000"/>
          <w:szCs w:val="22"/>
          <w:lang w:eastAsia="en-US"/>
        </w:rPr>
      </w:pPr>
      <w:r w:rsidRPr="006C28E7">
        <w:rPr>
          <w:rFonts w:eastAsia="Calibri"/>
          <w:b/>
          <w:i/>
          <w:color w:val="000000"/>
          <w:szCs w:val="22"/>
          <w:lang w:eastAsia="en-US"/>
        </w:rPr>
        <w:t>2.</w:t>
      </w:r>
      <w:r w:rsidRPr="006C28E7">
        <w:rPr>
          <w:rFonts w:eastAsia="Calibri"/>
          <w:b/>
          <w:i/>
          <w:color w:val="000000"/>
          <w:szCs w:val="22"/>
          <w:lang w:eastAsia="en-US"/>
        </w:rPr>
        <w:tab/>
        <w:t>Dans le cadre du règlement (UE) 2016/1625 du Parlement européen et du Conseil</w:t>
      </w:r>
      <w:r w:rsidRPr="006C28E7">
        <w:rPr>
          <w:rFonts w:eastAsia="Calibri"/>
          <w:b/>
          <w:i/>
          <w:color w:val="000000"/>
          <w:szCs w:val="22"/>
          <w:vertAlign w:val="superscript"/>
          <w:lang w:eastAsia="en-US"/>
        </w:rPr>
        <w:footnoteReference w:id="25"/>
      </w:r>
      <w:r w:rsidRPr="006C28E7">
        <w:rPr>
          <w:rFonts w:eastAsia="Calibri"/>
          <w:b/>
          <w:i/>
          <w:color w:val="000000"/>
          <w:szCs w:val="22"/>
          <w:lang w:eastAsia="en-US"/>
        </w:rPr>
        <w:t>, à l</w:t>
      </w:r>
      <w:r w:rsidR="00D43184">
        <w:rPr>
          <w:rFonts w:eastAsia="Calibri"/>
          <w:b/>
          <w:i/>
          <w:color w:val="000000"/>
          <w:szCs w:val="22"/>
          <w:lang w:eastAsia="en-US"/>
        </w:rPr>
        <w:t>’</w:t>
      </w:r>
      <w:r w:rsidRPr="006C28E7">
        <w:rPr>
          <w:rFonts w:eastAsia="Calibri"/>
          <w:b/>
          <w:i/>
          <w:color w:val="000000"/>
          <w:szCs w:val="22"/>
          <w:lang w:eastAsia="en-US"/>
        </w:rPr>
        <w:t>occasion du prochain réexamen du mandat de l</w:t>
      </w:r>
      <w:r w:rsidR="00D43184">
        <w:rPr>
          <w:rFonts w:eastAsia="Calibri"/>
          <w:b/>
          <w:i/>
          <w:color w:val="000000"/>
          <w:szCs w:val="22"/>
          <w:lang w:eastAsia="en-US"/>
        </w:rPr>
        <w:t>’</w:t>
      </w:r>
      <w:r w:rsidRPr="006C28E7">
        <w:rPr>
          <w:rFonts w:eastAsia="Calibri"/>
          <w:b/>
          <w:i/>
          <w:color w:val="000000"/>
          <w:szCs w:val="22"/>
          <w:lang w:eastAsia="en-US"/>
        </w:rPr>
        <w:t>Agence européenne pour la sécurité maritime (AESM), la Commission évalue également s</w:t>
      </w:r>
      <w:r w:rsidR="00D43184">
        <w:rPr>
          <w:rFonts w:eastAsia="Calibri"/>
          <w:b/>
          <w:i/>
          <w:color w:val="000000"/>
          <w:szCs w:val="22"/>
          <w:lang w:eastAsia="en-US"/>
        </w:rPr>
        <w:t>’</w:t>
      </w:r>
      <w:r w:rsidRPr="006C28E7">
        <w:rPr>
          <w:rFonts w:eastAsia="Calibri"/>
          <w:b/>
          <w:i/>
          <w:color w:val="000000"/>
          <w:szCs w:val="22"/>
          <w:lang w:eastAsia="en-US"/>
        </w:rPr>
        <w:t>il convient d</w:t>
      </w:r>
      <w:r w:rsidR="00D43184">
        <w:rPr>
          <w:rFonts w:eastAsia="Calibri"/>
          <w:b/>
          <w:i/>
          <w:color w:val="000000"/>
          <w:szCs w:val="22"/>
          <w:lang w:eastAsia="en-US"/>
        </w:rPr>
        <w:t>’</w:t>
      </w:r>
      <w:r w:rsidRPr="006C28E7">
        <w:rPr>
          <w:rFonts w:eastAsia="Calibri"/>
          <w:b/>
          <w:i/>
          <w:color w:val="000000"/>
          <w:szCs w:val="22"/>
          <w:lang w:eastAsia="en-US"/>
        </w:rPr>
        <w:t>octroyer des compétences supplémentaires à l</w:t>
      </w:r>
      <w:r w:rsidR="00D43184">
        <w:rPr>
          <w:rFonts w:eastAsia="Calibri"/>
          <w:b/>
          <w:i/>
          <w:color w:val="000000"/>
          <w:szCs w:val="22"/>
          <w:lang w:eastAsia="en-US"/>
        </w:rPr>
        <w:t>’</w:t>
      </w:r>
      <w:r w:rsidRPr="006C28E7">
        <w:rPr>
          <w:rFonts w:eastAsia="Calibri"/>
          <w:b/>
          <w:i/>
          <w:color w:val="000000"/>
          <w:szCs w:val="22"/>
          <w:lang w:eastAsia="en-US"/>
        </w:rPr>
        <w:t>AESM pour le contrôle de l</w:t>
      </w:r>
      <w:r w:rsidR="00D43184">
        <w:rPr>
          <w:rFonts w:eastAsia="Calibri"/>
          <w:b/>
          <w:i/>
          <w:color w:val="000000"/>
          <w:szCs w:val="22"/>
          <w:lang w:eastAsia="en-US"/>
        </w:rPr>
        <w:t>’</w:t>
      </w:r>
      <w:r w:rsidRPr="006C28E7">
        <w:rPr>
          <w:rFonts w:eastAsia="Calibri"/>
          <w:b/>
          <w:i/>
          <w:color w:val="000000"/>
          <w:szCs w:val="22"/>
          <w:lang w:eastAsia="en-US"/>
        </w:rPr>
        <w:t>application de la présente directive.</w:t>
      </w:r>
    </w:p>
    <w:p w:rsidR="009C7E1C" w:rsidRPr="006C28E7" w:rsidRDefault="009C7E1C" w:rsidP="009C7E1C">
      <w:pPr>
        <w:widowControl/>
        <w:spacing w:after="200" w:line="276" w:lineRule="auto"/>
        <w:rPr>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Cs/>
          <w:i/>
          <w:iCs/>
          <w:szCs w:val="22"/>
          <w:lang w:eastAsia="en-US"/>
        </w:rPr>
      </w:pPr>
      <w:r w:rsidRPr="006C28E7">
        <w:rPr>
          <w:rFonts w:eastAsia="Calibri"/>
          <w:szCs w:val="22"/>
          <w:lang w:eastAsia="en-US"/>
        </w:rPr>
        <w:t>Article 24</w:t>
      </w:r>
      <w:r w:rsidRPr="006C28E7">
        <w:rPr>
          <w:rFonts w:eastAsia="Calibri"/>
          <w:szCs w:val="22"/>
          <w:lang w:eastAsia="en-US"/>
        </w:rPr>
        <w:br/>
      </w:r>
      <w:r w:rsidRPr="006C28E7">
        <w:rPr>
          <w:rFonts w:eastAsia="Calibri"/>
          <w:i/>
          <w:iCs/>
          <w:szCs w:val="22"/>
          <w:lang w:eastAsia="en-US"/>
        </w:rPr>
        <w:t>Transposition</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1.</w:t>
      </w:r>
      <w:r w:rsidRPr="006C28E7">
        <w:rPr>
          <w:rFonts w:eastAsia="Calibri"/>
          <w:szCs w:val="22"/>
          <w:lang w:eastAsia="en-US"/>
        </w:rPr>
        <w:tab/>
        <w:t xml:space="preserve">Les États membres </w:t>
      </w:r>
      <w:r w:rsidRPr="006C28E7">
        <w:rPr>
          <w:rFonts w:eastAsia="Calibri"/>
          <w:b/>
          <w:bCs/>
          <w:i/>
          <w:iCs/>
          <w:szCs w:val="22"/>
          <w:lang w:eastAsia="en-US"/>
        </w:rPr>
        <w:t>mettent en vigueur</w:t>
      </w:r>
      <w:r w:rsidRPr="006C28E7">
        <w:rPr>
          <w:rFonts w:eastAsia="Calibri"/>
          <w:szCs w:val="22"/>
          <w:lang w:eastAsia="en-US"/>
        </w:rPr>
        <w:t xml:space="preserve"> les dispositions législatives, réglementaires et administratives nécessaires pour se conformer à la présente directive</w:t>
      </w:r>
      <w:r w:rsidRPr="006C28E7">
        <w:rPr>
          <w:rFonts w:eastAsia="Calibri"/>
          <w:b/>
          <w:bCs/>
          <w:i/>
          <w:iCs/>
          <w:szCs w:val="22"/>
          <w:lang w:eastAsia="en-US"/>
        </w:rPr>
        <w:t xml:space="preserve"> au plus tard le ... [24 mois après l</w:t>
      </w:r>
      <w:r w:rsidR="00D43184">
        <w:rPr>
          <w:rFonts w:eastAsia="Calibri"/>
          <w:b/>
          <w:bCs/>
          <w:i/>
          <w:iCs/>
          <w:szCs w:val="22"/>
          <w:lang w:eastAsia="en-US"/>
        </w:rPr>
        <w:t>’</w:t>
      </w:r>
      <w:r w:rsidRPr="006C28E7">
        <w:rPr>
          <w:rFonts w:eastAsia="Calibri"/>
          <w:b/>
          <w:bCs/>
          <w:i/>
          <w:iCs/>
          <w:szCs w:val="22"/>
          <w:lang w:eastAsia="en-US"/>
        </w:rPr>
        <w:t>entrée en vigueur de la présente directive]</w:t>
      </w:r>
      <w:r w:rsidRPr="006C28E7">
        <w:rPr>
          <w:rFonts w:eastAsia="Calibri"/>
          <w:szCs w:val="22"/>
          <w:lang w:eastAsia="en-US"/>
        </w:rPr>
        <w:t xml:space="preserve">. Ils communiquent </w:t>
      </w:r>
      <w:r w:rsidRPr="006C28E7">
        <w:rPr>
          <w:rFonts w:eastAsia="Calibri"/>
          <w:b/>
          <w:bCs/>
          <w:i/>
          <w:iCs/>
          <w:szCs w:val="22"/>
          <w:lang w:eastAsia="en-US"/>
        </w:rPr>
        <w:t>immédiatement</w:t>
      </w:r>
      <w:r w:rsidRPr="006C28E7">
        <w:rPr>
          <w:rFonts w:eastAsia="Calibri"/>
          <w:szCs w:val="22"/>
          <w:lang w:eastAsia="en-US"/>
        </w:rPr>
        <w:t xml:space="preserve"> à la Commission le texte de ces </w:t>
      </w:r>
      <w:r w:rsidRPr="006C28E7">
        <w:rPr>
          <w:rFonts w:eastAsia="Calibri"/>
          <w:b/>
          <w:bCs/>
          <w:i/>
          <w:iCs/>
          <w:szCs w:val="22"/>
          <w:lang w:eastAsia="en-US"/>
        </w:rPr>
        <w:t>dispositions</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851"/>
        <w:rPr>
          <w:szCs w:val="22"/>
          <w:lang w:eastAsia="en-US"/>
        </w:rPr>
      </w:pPr>
      <w:r w:rsidRPr="006C28E7">
        <w:rPr>
          <w:rFonts w:eastAsia="Calibri"/>
          <w:szCs w:val="22"/>
          <w:lang w:eastAsia="en-US"/>
        </w:rPr>
        <w:t xml:space="preserve">Lorsque les États membres adoptent ces </w:t>
      </w:r>
      <w:r w:rsidRPr="006C28E7">
        <w:rPr>
          <w:rFonts w:eastAsia="Calibri"/>
          <w:b/>
          <w:bCs/>
          <w:i/>
          <w:iCs/>
          <w:szCs w:val="22"/>
          <w:lang w:eastAsia="en-US"/>
        </w:rPr>
        <w:t>dispositions</w:t>
      </w:r>
      <w:r w:rsidRPr="006C28E7">
        <w:rPr>
          <w:rFonts w:eastAsia="Calibri"/>
          <w:szCs w:val="22"/>
          <w:lang w:eastAsia="en-US"/>
        </w:rPr>
        <w:t>, celles-ci contiennent une référence à la présente directive ou sont accompagnées d</w:t>
      </w:r>
      <w:r w:rsidR="00D43184">
        <w:rPr>
          <w:rFonts w:eastAsia="Calibri"/>
          <w:szCs w:val="22"/>
          <w:lang w:eastAsia="en-US"/>
        </w:rPr>
        <w:t>’</w:t>
      </w:r>
      <w:r w:rsidRPr="006C28E7">
        <w:rPr>
          <w:rFonts w:eastAsia="Calibri"/>
          <w:szCs w:val="22"/>
          <w:lang w:eastAsia="en-US"/>
        </w:rPr>
        <w:t xml:space="preserve">une telle </w:t>
      </w:r>
      <w:r w:rsidRPr="006C28E7">
        <w:rPr>
          <w:rFonts w:eastAsia="Calibri"/>
          <w:color w:val="000000"/>
          <w:szCs w:val="22"/>
          <w:lang w:eastAsia="en-US"/>
        </w:rPr>
        <w:t>▌</w:t>
      </w:r>
      <w:r w:rsidRPr="006C28E7">
        <w:rPr>
          <w:rFonts w:eastAsia="Calibri"/>
          <w:szCs w:val="22"/>
          <w:lang w:eastAsia="en-US"/>
        </w:rPr>
        <w:t xml:space="preserve">référence lors de leur publication officielle. </w:t>
      </w:r>
      <w:r w:rsidRPr="006C28E7">
        <w:rPr>
          <w:rFonts w:eastAsia="Calibri"/>
          <w:b/>
          <w:bCs/>
          <w:i/>
          <w:iCs/>
          <w:szCs w:val="22"/>
          <w:lang w:eastAsia="en-US"/>
        </w:rPr>
        <w:t>Les modalités de</w:t>
      </w:r>
      <w:r w:rsidRPr="006C28E7">
        <w:rPr>
          <w:rFonts w:eastAsia="Calibri"/>
          <w:szCs w:val="22"/>
          <w:lang w:eastAsia="en-US"/>
        </w:rPr>
        <w:t xml:space="preserve"> cette référence </w:t>
      </w:r>
      <w:r w:rsidRPr="006C28E7">
        <w:rPr>
          <w:rFonts w:eastAsia="Calibri"/>
          <w:b/>
          <w:bCs/>
          <w:i/>
          <w:iCs/>
          <w:szCs w:val="22"/>
          <w:lang w:eastAsia="en-US"/>
        </w:rPr>
        <w:t>sont arrêtées par les États membres</w:t>
      </w:r>
      <w:r w:rsidRPr="006C28E7">
        <w:rPr>
          <w:rFonts w:eastAsia="Calibri"/>
          <w:szCs w:val="22"/>
          <w:lang w:eastAsia="en-US"/>
        </w:rPr>
        <w:t>.</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2.</w:t>
      </w:r>
      <w:r w:rsidRPr="006C28E7">
        <w:rPr>
          <w:rFonts w:eastAsia="Calibri"/>
          <w:szCs w:val="22"/>
          <w:lang w:eastAsia="en-US"/>
        </w:rPr>
        <w:tab/>
        <w:t>Les États membres communiquent à la Commission le texte des dispositions essentielles de droit interne qu</w:t>
      </w:r>
      <w:r w:rsidR="00D43184">
        <w:rPr>
          <w:rFonts w:eastAsia="Calibri"/>
          <w:szCs w:val="22"/>
          <w:lang w:eastAsia="en-US"/>
        </w:rPr>
        <w:t>’</w:t>
      </w:r>
      <w:r w:rsidRPr="006C28E7">
        <w:rPr>
          <w:rFonts w:eastAsia="Calibri"/>
          <w:szCs w:val="22"/>
          <w:lang w:eastAsia="en-US"/>
        </w:rPr>
        <w:t>ils adoptent dans le domaine régi par la présente directive.</w:t>
      </w:r>
    </w:p>
    <w:p w:rsidR="009C7E1C" w:rsidRPr="006C28E7" w:rsidRDefault="009C7E1C" w:rsidP="009C7E1C">
      <w:pPr>
        <w:widowControl/>
        <w:autoSpaceDE w:val="0"/>
        <w:autoSpaceDN w:val="0"/>
        <w:adjustRightInd w:val="0"/>
        <w:spacing w:before="120" w:after="120" w:line="360" w:lineRule="auto"/>
        <w:jc w:val="center"/>
        <w:rPr>
          <w:bCs/>
          <w:i/>
          <w:iCs/>
          <w:szCs w:val="22"/>
          <w:lang w:eastAsia="en-US"/>
        </w:rPr>
      </w:pPr>
      <w:r w:rsidRPr="006C28E7">
        <w:rPr>
          <w:rFonts w:eastAsia="Calibri"/>
          <w:i/>
          <w:szCs w:val="22"/>
          <w:lang w:eastAsia="en-US"/>
        </w:rPr>
        <w:t>Article 25</w:t>
      </w:r>
      <w:r w:rsidRPr="006C28E7">
        <w:rPr>
          <w:rFonts w:eastAsia="Calibri"/>
          <w:szCs w:val="22"/>
          <w:lang w:eastAsia="en-US"/>
        </w:rPr>
        <w:t xml:space="preserve"> </w:t>
      </w:r>
      <w:r w:rsidRPr="006C28E7">
        <w:rPr>
          <w:rFonts w:eastAsia="Calibri"/>
          <w:szCs w:val="22"/>
          <w:lang w:eastAsia="en-US"/>
        </w:rPr>
        <w:br/>
      </w:r>
      <w:r w:rsidRPr="006C28E7">
        <w:rPr>
          <w:rFonts w:eastAsia="Calibri"/>
          <w:bCs/>
          <w:i/>
          <w:iCs/>
          <w:szCs w:val="22"/>
          <w:lang w:eastAsia="en-US"/>
        </w:rPr>
        <w:t>Entrée en vigueur</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 xml:space="preserve">La présente directive entre en vigueur le vingtième jour suivant celui de sa publication au </w:t>
      </w:r>
      <w:r w:rsidRPr="006C28E7">
        <w:rPr>
          <w:rFonts w:eastAsia="Calibri"/>
          <w:i/>
          <w:szCs w:val="22"/>
          <w:lang w:eastAsia="en-US"/>
        </w:rPr>
        <w:t>Journal officiel de l</w:t>
      </w:r>
      <w:r w:rsidR="00D43184">
        <w:rPr>
          <w:rFonts w:eastAsia="Calibri"/>
          <w:i/>
          <w:szCs w:val="22"/>
          <w:lang w:eastAsia="en-US"/>
        </w:rPr>
        <w:t>’</w:t>
      </w:r>
      <w:r w:rsidRPr="006C28E7">
        <w:rPr>
          <w:rFonts w:eastAsia="Calibri"/>
          <w:i/>
          <w:szCs w:val="22"/>
          <w:lang w:eastAsia="en-US"/>
        </w:rPr>
        <w:t>Union européenne</w:t>
      </w:r>
      <w:r w:rsidRPr="006C28E7">
        <w:rPr>
          <w:rFonts w:eastAsia="Calibri"/>
          <w:szCs w:val="22"/>
          <w:lang w:eastAsia="en-US"/>
        </w:rPr>
        <w:t>.</w:t>
      </w:r>
    </w:p>
    <w:p w:rsidR="009C7E1C" w:rsidRPr="006C28E7" w:rsidRDefault="009C7E1C" w:rsidP="009C7E1C">
      <w:pPr>
        <w:widowControl/>
        <w:spacing w:after="200" w:line="276" w:lineRule="auto"/>
        <w:rPr>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120" w:after="120" w:line="360" w:lineRule="auto"/>
        <w:jc w:val="center"/>
        <w:rPr>
          <w:bCs/>
          <w:i/>
          <w:iCs/>
          <w:szCs w:val="22"/>
          <w:lang w:eastAsia="en-US"/>
        </w:rPr>
      </w:pPr>
      <w:r w:rsidRPr="006C28E7">
        <w:rPr>
          <w:rFonts w:eastAsia="Calibri"/>
          <w:i/>
          <w:szCs w:val="22"/>
          <w:lang w:eastAsia="en-US"/>
        </w:rPr>
        <w:t>Article 26</w:t>
      </w:r>
      <w:r w:rsidRPr="006C28E7">
        <w:rPr>
          <w:rFonts w:eastAsia="Calibri"/>
          <w:szCs w:val="22"/>
          <w:lang w:eastAsia="en-US"/>
        </w:rPr>
        <w:t xml:space="preserve"> </w:t>
      </w:r>
      <w:r w:rsidRPr="006C28E7">
        <w:rPr>
          <w:rFonts w:eastAsia="Calibri"/>
          <w:szCs w:val="22"/>
          <w:lang w:eastAsia="en-US"/>
        </w:rPr>
        <w:br/>
      </w:r>
      <w:r w:rsidRPr="006C28E7">
        <w:rPr>
          <w:rFonts w:eastAsia="Calibri"/>
          <w:bCs/>
          <w:i/>
          <w:iCs/>
          <w:szCs w:val="22"/>
          <w:lang w:eastAsia="en-US"/>
        </w:rPr>
        <w:t>Destinataires</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Les États membres sont destinataires de la présente directive.</w:t>
      </w:r>
    </w:p>
    <w:p w:rsidR="009C7E1C" w:rsidRPr="006C28E7" w:rsidRDefault="009C7E1C" w:rsidP="009C7E1C">
      <w:pPr>
        <w:widowControl/>
        <w:spacing w:before="120" w:after="120" w:line="360" w:lineRule="auto"/>
        <w:rPr>
          <w:rFonts w:cs="Arial"/>
          <w:szCs w:val="22"/>
          <w:lang w:eastAsia="en-US"/>
        </w:rPr>
      </w:pPr>
      <w:r w:rsidRPr="006C28E7">
        <w:rPr>
          <w:rFonts w:eastAsia="Calibri"/>
          <w:szCs w:val="22"/>
          <w:lang w:eastAsia="en-US"/>
        </w:rPr>
        <w:t xml:space="preserve">Fait à </w:t>
      </w:r>
      <w:r w:rsidRPr="006C28E7">
        <w:rPr>
          <w:rFonts w:eastAsia="Calibri"/>
          <w:b/>
          <w:i/>
          <w:color w:val="000000"/>
          <w:szCs w:val="22"/>
          <w:lang w:eastAsia="en-US"/>
        </w:rPr>
        <w:t>…</w:t>
      </w:r>
      <w:r w:rsidRPr="006C28E7">
        <w:rPr>
          <w:rFonts w:eastAsia="Calibri"/>
          <w:szCs w:val="22"/>
          <w:lang w:eastAsia="en-US"/>
        </w:rPr>
        <w:t>, le</w:t>
      </w:r>
    </w:p>
    <w:p w:rsidR="009C7E1C" w:rsidRPr="006C28E7" w:rsidRDefault="009C7E1C" w:rsidP="009C7E1C">
      <w:pPr>
        <w:widowControl/>
        <w:tabs>
          <w:tab w:val="left" w:pos="4395"/>
        </w:tabs>
        <w:spacing w:before="120" w:after="120" w:line="360" w:lineRule="auto"/>
        <w:rPr>
          <w:rFonts w:cs="Arial"/>
          <w:i/>
          <w:szCs w:val="22"/>
          <w:lang w:eastAsia="en-US"/>
        </w:rPr>
      </w:pPr>
      <w:r w:rsidRPr="006C28E7">
        <w:rPr>
          <w:rFonts w:eastAsia="Calibri"/>
          <w:i/>
          <w:szCs w:val="22"/>
          <w:lang w:eastAsia="en-US"/>
        </w:rPr>
        <w:t>Par le Parlement européen</w:t>
      </w:r>
      <w:r w:rsidRPr="006C28E7">
        <w:rPr>
          <w:rFonts w:eastAsia="Calibri"/>
          <w:i/>
          <w:szCs w:val="22"/>
          <w:lang w:eastAsia="en-US"/>
        </w:rPr>
        <w:tab/>
        <w:t>Par le Conseil</w:t>
      </w:r>
      <w:r w:rsidRPr="006C28E7">
        <w:rPr>
          <w:rFonts w:eastAsia="Calibri"/>
          <w:i/>
          <w:szCs w:val="22"/>
          <w:lang w:eastAsia="en-US"/>
        </w:rPr>
        <w:br/>
        <w:t>Le président</w:t>
      </w:r>
      <w:r w:rsidRPr="006C28E7">
        <w:rPr>
          <w:rFonts w:eastAsia="Calibri"/>
          <w:i/>
          <w:szCs w:val="22"/>
          <w:lang w:eastAsia="en-US"/>
        </w:rPr>
        <w:tab/>
        <w:t>Le président</w:t>
      </w:r>
    </w:p>
    <w:p w:rsidR="009C7E1C" w:rsidRPr="006C28E7" w:rsidRDefault="009C7E1C" w:rsidP="009C7E1C">
      <w:pPr>
        <w:widowControl/>
        <w:spacing w:after="200" w:line="276" w:lineRule="auto"/>
        <w:rPr>
          <w:rFonts w:cs="Arial"/>
          <w:i/>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200" w:after="120" w:line="360" w:lineRule="auto"/>
        <w:jc w:val="center"/>
        <w:rPr>
          <w:b/>
          <w:szCs w:val="22"/>
          <w:u w:val="single"/>
          <w:lang w:eastAsia="en-US"/>
        </w:rPr>
      </w:pPr>
      <w:r w:rsidRPr="006C28E7">
        <w:rPr>
          <w:rFonts w:eastAsia="Calibri"/>
          <w:b/>
          <w:szCs w:val="22"/>
          <w:u w:val="single"/>
          <w:lang w:eastAsia="en-US"/>
        </w:rPr>
        <w:t>ANNEXE 1</w:t>
      </w:r>
    </w:p>
    <w:p w:rsidR="009C7E1C" w:rsidRPr="006C28E7" w:rsidRDefault="009C7E1C" w:rsidP="009C7E1C">
      <w:pPr>
        <w:widowControl/>
        <w:autoSpaceDE w:val="0"/>
        <w:autoSpaceDN w:val="0"/>
        <w:adjustRightInd w:val="0"/>
        <w:spacing w:before="200" w:after="120" w:line="360" w:lineRule="auto"/>
        <w:jc w:val="center"/>
        <w:rPr>
          <w:b/>
          <w:szCs w:val="22"/>
          <w:lang w:eastAsia="en-US"/>
        </w:rPr>
      </w:pPr>
      <w:r w:rsidRPr="006C28E7">
        <w:rPr>
          <w:rFonts w:eastAsia="Calibri"/>
          <w:b/>
          <w:szCs w:val="22"/>
          <w:lang w:eastAsia="en-US"/>
        </w:rPr>
        <w:t xml:space="preserve">PRESCRIPTIONS CONCERNANT LES PLANS DE RÉCEPTION ET DE TRAITEMENT DES DÉCHETS </w:t>
      </w:r>
    </w:p>
    <w:p w:rsidR="009C7E1C" w:rsidRPr="006C28E7" w:rsidRDefault="009C7E1C" w:rsidP="009C7E1C">
      <w:pPr>
        <w:widowControl/>
        <w:spacing w:line="360" w:lineRule="auto"/>
        <w:rPr>
          <w:rFonts w:cs="Arial"/>
          <w:szCs w:val="22"/>
          <w:lang w:eastAsia="en-US"/>
        </w:rPr>
      </w:pPr>
      <w:r w:rsidRPr="006C28E7">
        <w:rPr>
          <w:rFonts w:eastAsia="Calibri"/>
          <w:szCs w:val="22"/>
          <w:lang w:eastAsia="en-US"/>
        </w:rPr>
        <w:t xml:space="preserve">Les plans de réception et de traitement des déchets couvrent tous les types de déchets </w:t>
      </w:r>
      <w:r w:rsidRPr="006C28E7">
        <w:rPr>
          <w:rFonts w:eastAsia="Calibri"/>
          <w:color w:val="000000"/>
          <w:szCs w:val="24"/>
          <w:lang w:eastAsia="en-US"/>
        </w:rPr>
        <w:t>▌</w:t>
      </w:r>
      <w:r w:rsidRPr="006C28E7">
        <w:rPr>
          <w:rFonts w:eastAsia="Calibri"/>
          <w:szCs w:val="22"/>
          <w:lang w:eastAsia="en-US"/>
        </w:rPr>
        <w:t xml:space="preserve"> provenant des navires faisant escale dans le port et être élaborés en fonction de la taille du port et des catégories de navires qui y font escale.</w:t>
      </w:r>
    </w:p>
    <w:p w:rsidR="009C7E1C" w:rsidRPr="006C28E7" w:rsidRDefault="009C7E1C" w:rsidP="009C7E1C">
      <w:pPr>
        <w:widowControl/>
        <w:spacing w:line="360" w:lineRule="auto"/>
        <w:rPr>
          <w:rFonts w:cs="Arial"/>
          <w:szCs w:val="24"/>
          <w:lang w:eastAsia="en-US"/>
        </w:rPr>
      </w:pPr>
      <w:r w:rsidRPr="006C28E7">
        <w:rPr>
          <w:rFonts w:eastAsia="Calibri"/>
          <w:szCs w:val="22"/>
          <w:lang w:eastAsia="en-US"/>
        </w:rPr>
        <w:t>Les plans de réception et de traitement des déchets doivent notamment comprendre les éléments suivants: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a)</w:t>
      </w:r>
      <w:r w:rsidRPr="006C28E7">
        <w:rPr>
          <w:rFonts w:eastAsia="Calibri"/>
          <w:szCs w:val="22"/>
          <w:lang w:eastAsia="en-US"/>
        </w:rPr>
        <w:tab/>
        <w:t>une évaluation des besoins en termes d</w:t>
      </w:r>
      <w:r w:rsidR="00D43184">
        <w:rPr>
          <w:rFonts w:eastAsia="Calibri"/>
          <w:szCs w:val="22"/>
          <w:lang w:eastAsia="en-US"/>
        </w:rPr>
        <w:t>’</w:t>
      </w:r>
      <w:r w:rsidRPr="006C28E7">
        <w:rPr>
          <w:rFonts w:eastAsia="Calibri"/>
          <w:szCs w:val="22"/>
          <w:lang w:eastAsia="en-US"/>
        </w:rPr>
        <w:t>installations de réception portuaires, compte tenu des besoins des navires qui font habituellement escale dans le port;</w:t>
      </w:r>
      <w:bookmarkStart w:id="4" w:name="DQCErrorScope0dcf86ff00114160a9d348a8c3d"/>
    </w:p>
    <w:bookmarkEnd w:id="4"/>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b)</w:t>
      </w:r>
      <w:r w:rsidRPr="006C28E7">
        <w:rPr>
          <w:rFonts w:eastAsia="Calibri"/>
          <w:szCs w:val="22"/>
          <w:lang w:eastAsia="en-US"/>
        </w:rPr>
        <w:tab/>
        <w:t>une description du type et de la capacité des installations de réception portuaires;</w:t>
      </w:r>
      <w:bookmarkStart w:id="5" w:name="DQCErrorScope66cde51a9acc4af1bdb59cacc75"/>
    </w:p>
    <w:bookmarkEnd w:id="5"/>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c)</w:t>
      </w:r>
      <w:r w:rsidRPr="006C28E7">
        <w:rPr>
          <w:rFonts w:eastAsia="Calibri"/>
          <w:szCs w:val="22"/>
          <w:lang w:eastAsia="en-US"/>
        </w:rPr>
        <w:tab/>
        <w:t>une description des procédures de réception et de collecte des déchets des navires;</w:t>
      </w:r>
      <w:bookmarkStart w:id="6" w:name="DQCErrorScope982a6a67ad1c4016a547c260dc5"/>
    </w:p>
    <w:bookmarkEnd w:id="6"/>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d)</w:t>
      </w:r>
      <w:r w:rsidRPr="006C28E7">
        <w:rPr>
          <w:rFonts w:eastAsia="Calibri"/>
          <w:szCs w:val="22"/>
          <w:lang w:eastAsia="en-US"/>
        </w:rPr>
        <w:tab/>
        <w:t>une description du système de recouvrement des coûts;</w:t>
      </w:r>
      <w:bookmarkStart w:id="7" w:name="DQCErrorScopeee973479966c432e99a04231975"/>
    </w:p>
    <w:bookmarkEnd w:id="7"/>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e)</w:t>
      </w:r>
      <w:r w:rsidRPr="006C28E7">
        <w:rPr>
          <w:rFonts w:eastAsia="Calibri"/>
          <w:szCs w:val="22"/>
          <w:lang w:eastAsia="en-US"/>
        </w:rPr>
        <w:tab/>
        <w:t>une description de la procédure à suivre pour signaler les inadéquations présumées dans les installations de réception portuaires;</w:t>
      </w:r>
      <w:bookmarkStart w:id="8" w:name="DQCErrorScope02b980b09d4944499d6d213cf7b"/>
    </w:p>
    <w:bookmarkEnd w:id="8"/>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f)</w:t>
      </w:r>
      <w:r w:rsidRPr="006C28E7">
        <w:rPr>
          <w:rFonts w:eastAsia="Calibri"/>
          <w:szCs w:val="22"/>
          <w:lang w:eastAsia="en-US"/>
        </w:rPr>
        <w:tab/>
        <w:t>une description de la procédure à suivre pour la consultation permanente des utilisateurs du port, des contractants du secteur des déchets, des exploitants de terminaux et des autres parties intéressées; et</w:t>
      </w:r>
      <w:bookmarkStart w:id="9" w:name="DQCErrorScoped3593efbaa464ec3b9bb619f1aa"/>
    </w:p>
    <w:bookmarkEnd w:id="9"/>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g)</w:t>
      </w:r>
      <w:r w:rsidRPr="006C28E7">
        <w:rPr>
          <w:rFonts w:eastAsia="Calibri"/>
          <w:szCs w:val="22"/>
          <w:lang w:eastAsia="en-US"/>
        </w:rPr>
        <w:tab/>
        <w:t>un aperçu du type et des quantités de déchets reçus des navires et traités dans les installations.</w:t>
      </w:r>
    </w:p>
    <w:p w:rsidR="009C7E1C" w:rsidRPr="006C28E7" w:rsidRDefault="009C7E1C" w:rsidP="009C7E1C">
      <w:pPr>
        <w:widowControl/>
        <w:spacing w:after="200" w:line="276" w:lineRule="auto"/>
        <w:rPr>
          <w:rFonts w:cs="Arial"/>
          <w:szCs w:val="24"/>
          <w:lang w:eastAsia="en-US"/>
        </w:rPr>
      </w:pPr>
      <w:r w:rsidRPr="006C28E7">
        <w:rPr>
          <w:rFonts w:eastAsia="Calibri"/>
          <w:szCs w:val="22"/>
          <w:lang w:eastAsia="en-US"/>
        </w:rPr>
        <w:br w:type="page"/>
      </w:r>
    </w:p>
    <w:p w:rsidR="009C7E1C" w:rsidRPr="006C28E7" w:rsidRDefault="009C7E1C" w:rsidP="009C7E1C">
      <w:pPr>
        <w:widowControl/>
        <w:spacing w:line="360" w:lineRule="auto"/>
        <w:rPr>
          <w:rFonts w:cs="Arial"/>
          <w:szCs w:val="24"/>
          <w:lang w:eastAsia="en-US"/>
        </w:rPr>
      </w:pPr>
      <w:r w:rsidRPr="006C28E7">
        <w:rPr>
          <w:rFonts w:eastAsia="Calibri"/>
          <w:szCs w:val="22"/>
          <w:lang w:eastAsia="en-US"/>
        </w:rPr>
        <w:t>Les plans de réception et de traitement des déchets peuvent comprendre:</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a)</w:t>
      </w:r>
      <w:r w:rsidRPr="006C28E7">
        <w:rPr>
          <w:rFonts w:eastAsia="Calibri"/>
          <w:szCs w:val="22"/>
          <w:lang w:eastAsia="en-US"/>
        </w:rPr>
        <w:tab/>
        <w:t>un résumé du droit national applicable ainsi que la procédure et les formalités pour le dépôt des déchets dans des installations de réception portuaires;</w:t>
      </w:r>
      <w:bookmarkStart w:id="10" w:name="DQCErrorScopeb7e2053bf57440378093bc7f4d6"/>
    </w:p>
    <w:bookmarkEnd w:id="10"/>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b)</w:t>
      </w:r>
      <w:r w:rsidRPr="006C28E7">
        <w:rPr>
          <w:rFonts w:eastAsia="Calibri"/>
          <w:szCs w:val="22"/>
          <w:lang w:eastAsia="en-US"/>
        </w:rPr>
        <w:tab/>
        <w:t>l</w:t>
      </w:r>
      <w:r w:rsidR="00D43184">
        <w:rPr>
          <w:rFonts w:eastAsia="Calibri"/>
          <w:szCs w:val="22"/>
          <w:lang w:eastAsia="en-US"/>
        </w:rPr>
        <w:t>’</w:t>
      </w:r>
      <w:r w:rsidRPr="006C28E7">
        <w:rPr>
          <w:rFonts w:eastAsia="Calibri"/>
          <w:szCs w:val="22"/>
          <w:lang w:eastAsia="en-US"/>
        </w:rPr>
        <w:t>identification d</w:t>
      </w:r>
      <w:r w:rsidR="00D43184">
        <w:rPr>
          <w:rFonts w:eastAsia="Calibri"/>
          <w:szCs w:val="22"/>
          <w:lang w:eastAsia="en-US"/>
        </w:rPr>
        <w:t>’</w:t>
      </w:r>
      <w:r w:rsidRPr="006C28E7">
        <w:rPr>
          <w:rFonts w:eastAsia="Calibri"/>
          <w:szCs w:val="22"/>
          <w:lang w:eastAsia="en-US"/>
        </w:rPr>
        <w:t>un point de contact dans le port;</w:t>
      </w:r>
      <w:bookmarkStart w:id="11" w:name="DQCErrorScope26f59b030eaf41e9a07008bfad5"/>
    </w:p>
    <w:bookmarkEnd w:id="11"/>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c)</w:t>
      </w:r>
      <w:r w:rsidRPr="006C28E7">
        <w:rPr>
          <w:rFonts w:eastAsia="Calibri"/>
          <w:szCs w:val="22"/>
          <w:lang w:eastAsia="en-US"/>
        </w:rPr>
        <w:tab/>
        <w:t>une description, le cas échéant, des équipements et procédés de prétraitement pour des flux de déchets spécifiques dans le port;</w:t>
      </w:r>
      <w:bookmarkStart w:id="12" w:name="DQCErrorScopeba52dbdce7a54fb3b36fff1c1a5"/>
    </w:p>
    <w:bookmarkEnd w:id="12"/>
    <w:p w:rsidR="009C7E1C" w:rsidRPr="006C28E7" w:rsidRDefault="009C7E1C" w:rsidP="009C7E1C">
      <w:pPr>
        <w:widowControl/>
        <w:autoSpaceDE w:val="0"/>
        <w:autoSpaceDN w:val="0"/>
        <w:adjustRightInd w:val="0"/>
        <w:spacing w:before="120" w:after="120" w:line="360" w:lineRule="auto"/>
        <w:ind w:left="851" w:hanging="851"/>
        <w:rPr>
          <w:b/>
          <w:bCs/>
          <w:iCs/>
          <w:szCs w:val="22"/>
          <w:lang w:eastAsia="en-US"/>
        </w:rPr>
      </w:pPr>
      <w:r w:rsidRPr="006C28E7">
        <w:rPr>
          <w:rFonts w:eastAsia="Calibri"/>
          <w:bCs/>
          <w:iCs/>
          <w:color w:val="000000"/>
          <w:szCs w:val="22"/>
          <w:lang w:eastAsia="en-US"/>
        </w:rPr>
        <w:t>d)</w:t>
      </w:r>
      <w:r w:rsidRPr="006C28E7">
        <w:rPr>
          <w:rFonts w:eastAsia="Calibri"/>
          <w:bCs/>
          <w:iCs/>
          <w:color w:val="000000"/>
          <w:szCs w:val="22"/>
          <w:lang w:eastAsia="en-US"/>
        </w:rPr>
        <w:tab/>
        <w:t>une description des méthodes employées pour enregistrer l</w:t>
      </w:r>
      <w:r w:rsidR="00D43184">
        <w:rPr>
          <w:rFonts w:eastAsia="Calibri"/>
          <w:bCs/>
          <w:iCs/>
          <w:color w:val="000000"/>
          <w:szCs w:val="22"/>
          <w:lang w:eastAsia="en-US"/>
        </w:rPr>
        <w:t>’</w:t>
      </w:r>
      <w:r w:rsidRPr="006C28E7">
        <w:rPr>
          <w:rFonts w:eastAsia="Calibri"/>
          <w:bCs/>
          <w:iCs/>
          <w:color w:val="000000"/>
          <w:szCs w:val="22"/>
          <w:lang w:eastAsia="en-US"/>
        </w:rPr>
        <w:t>utilisation effective des installations de réception portuaires;</w:t>
      </w:r>
      <w:bookmarkStart w:id="13" w:name="DQCErrorScope52da5af9dd614adaa4293f1706b"/>
    </w:p>
    <w:bookmarkEnd w:id="13"/>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e)</w:t>
      </w:r>
      <w:r w:rsidRPr="006C28E7">
        <w:rPr>
          <w:rFonts w:eastAsia="Calibri"/>
          <w:szCs w:val="22"/>
          <w:lang w:eastAsia="en-US"/>
        </w:rPr>
        <w:tab/>
        <w:t>une description des méthodes employées pour enregistrer les quantités de déchets déposés par les navires;</w:t>
      </w:r>
    </w:p>
    <w:p w:rsidR="009C7E1C" w:rsidRPr="006C28E7" w:rsidRDefault="009C7E1C" w:rsidP="009C7E1C">
      <w:pPr>
        <w:widowControl/>
        <w:autoSpaceDE w:val="0"/>
        <w:autoSpaceDN w:val="0"/>
        <w:adjustRightInd w:val="0"/>
        <w:spacing w:before="120" w:after="120" w:line="360" w:lineRule="auto"/>
        <w:ind w:left="851" w:hanging="851"/>
        <w:rPr>
          <w:szCs w:val="22"/>
          <w:lang w:eastAsia="en-US"/>
        </w:rPr>
      </w:pPr>
      <w:r w:rsidRPr="006C28E7">
        <w:rPr>
          <w:rFonts w:eastAsia="Calibri"/>
          <w:szCs w:val="22"/>
          <w:lang w:eastAsia="en-US"/>
        </w:rPr>
        <w:t>f)</w:t>
      </w:r>
      <w:r w:rsidRPr="006C28E7">
        <w:rPr>
          <w:rFonts w:eastAsia="Calibri"/>
          <w:szCs w:val="22"/>
          <w:lang w:eastAsia="en-US"/>
        </w:rPr>
        <w:tab/>
        <w:t>une description des méthodes de gestion des différents flux de déchets dans le port.</w:t>
      </w:r>
    </w:p>
    <w:p w:rsidR="009C7E1C" w:rsidRPr="006C28E7" w:rsidRDefault="009C7E1C" w:rsidP="009C7E1C">
      <w:pPr>
        <w:widowControl/>
        <w:spacing w:line="360" w:lineRule="auto"/>
        <w:rPr>
          <w:rFonts w:cs="Arial"/>
          <w:szCs w:val="22"/>
          <w:lang w:eastAsia="en-US"/>
        </w:rPr>
      </w:pPr>
      <w:r w:rsidRPr="006C28E7">
        <w:rPr>
          <w:rFonts w:eastAsia="Calibri"/>
          <w:szCs w:val="22"/>
          <w:lang w:eastAsia="en-US"/>
        </w:rPr>
        <w:t>Les procédures de réception, collecte, stockage, traitement et élimination devraient être à tous égards conformes à un programme de gestion de l</w:t>
      </w:r>
      <w:r w:rsidR="00D43184">
        <w:rPr>
          <w:rFonts w:eastAsia="Calibri"/>
          <w:szCs w:val="22"/>
          <w:lang w:eastAsia="en-US"/>
        </w:rPr>
        <w:t>’</w:t>
      </w:r>
      <w:r w:rsidRPr="006C28E7">
        <w:rPr>
          <w:rFonts w:eastAsia="Calibri"/>
          <w:szCs w:val="22"/>
          <w:lang w:eastAsia="en-US"/>
        </w:rPr>
        <w:t>environnement conduisant à une réduction progressive de l</w:t>
      </w:r>
      <w:r w:rsidR="00D43184">
        <w:rPr>
          <w:rFonts w:eastAsia="Calibri"/>
          <w:szCs w:val="22"/>
          <w:lang w:eastAsia="en-US"/>
        </w:rPr>
        <w:t>’</w:t>
      </w:r>
      <w:r w:rsidRPr="006C28E7">
        <w:rPr>
          <w:rFonts w:eastAsia="Calibri"/>
          <w:szCs w:val="22"/>
          <w:lang w:eastAsia="en-US"/>
        </w:rPr>
        <w:t>impact de ces activités sur l</w:t>
      </w:r>
      <w:r w:rsidR="00D43184">
        <w:rPr>
          <w:rFonts w:eastAsia="Calibri"/>
          <w:szCs w:val="22"/>
          <w:lang w:eastAsia="en-US"/>
        </w:rPr>
        <w:t>’</w:t>
      </w:r>
      <w:r w:rsidRPr="006C28E7">
        <w:rPr>
          <w:rFonts w:eastAsia="Calibri"/>
          <w:szCs w:val="22"/>
          <w:lang w:eastAsia="en-US"/>
        </w:rPr>
        <w:t>environnement. Cette conformité est présumée si les procédures sont conformes au règlement (CE) n° 1221/2009 du Parlement européen et du Conseil</w:t>
      </w:r>
      <w:r w:rsidRPr="006C28E7">
        <w:rPr>
          <w:rFonts w:eastAsia="Calibri"/>
          <w:b/>
          <w:szCs w:val="22"/>
          <w:vertAlign w:val="superscript"/>
          <w:lang w:eastAsia="en-US"/>
        </w:rPr>
        <w:footnoteReference w:id="26"/>
      </w:r>
      <w:r w:rsidRPr="006C28E7">
        <w:rPr>
          <w:rFonts w:eastAsia="Calibri"/>
          <w:szCs w:val="22"/>
          <w:lang w:eastAsia="en-US"/>
        </w:rPr>
        <w:t>.</w:t>
      </w:r>
    </w:p>
    <w:p w:rsidR="009C7E1C" w:rsidRPr="006C28E7" w:rsidRDefault="009C7E1C" w:rsidP="009C7E1C">
      <w:pPr>
        <w:widowControl/>
        <w:spacing w:line="360" w:lineRule="auto"/>
        <w:rPr>
          <w:rFonts w:cs="Arial"/>
          <w:szCs w:val="22"/>
          <w:lang w:eastAsia="en-US"/>
        </w:rPr>
      </w:pPr>
    </w:p>
    <w:p w:rsidR="009C7E1C" w:rsidRPr="006C28E7" w:rsidRDefault="009C7E1C" w:rsidP="009C7E1C">
      <w:pPr>
        <w:widowControl/>
        <w:spacing w:after="200" w:line="276" w:lineRule="auto"/>
        <w:rPr>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200" w:after="120" w:line="360" w:lineRule="auto"/>
        <w:jc w:val="center"/>
        <w:rPr>
          <w:b/>
          <w:szCs w:val="22"/>
          <w:u w:val="single"/>
          <w:lang w:eastAsia="en-US"/>
        </w:rPr>
      </w:pPr>
      <w:r w:rsidRPr="006C28E7">
        <w:rPr>
          <w:rFonts w:eastAsia="Calibri"/>
          <w:b/>
          <w:szCs w:val="22"/>
          <w:u w:val="single"/>
          <w:lang w:eastAsia="en-US"/>
        </w:rPr>
        <w:t>ANNEXE 2</w:t>
      </w:r>
    </w:p>
    <w:p w:rsidR="009C7E1C" w:rsidRPr="006C28E7" w:rsidRDefault="009C7E1C" w:rsidP="009C7E1C">
      <w:pPr>
        <w:widowControl/>
        <w:autoSpaceDE w:val="0"/>
        <w:autoSpaceDN w:val="0"/>
        <w:adjustRightInd w:val="0"/>
        <w:spacing w:before="200" w:after="120" w:line="360" w:lineRule="auto"/>
        <w:jc w:val="center"/>
        <w:rPr>
          <w:b/>
          <w:sz w:val="22"/>
          <w:szCs w:val="22"/>
          <w:lang w:eastAsia="en-US"/>
        </w:rPr>
      </w:pPr>
      <w:r w:rsidRPr="006C28E7">
        <w:rPr>
          <w:rFonts w:eastAsia="Calibri"/>
          <w:b/>
          <w:sz w:val="22"/>
          <w:szCs w:val="22"/>
          <w:lang w:eastAsia="en-US"/>
        </w:rPr>
        <w:t>MODÈLE NORMALISÉ POUR LA NOTIFICATION PRÉALABLE DE DÉPÔT DES DÉCHETS</w:t>
      </w:r>
    </w:p>
    <w:p w:rsidR="009C7E1C" w:rsidRPr="006C28E7" w:rsidRDefault="009C7E1C" w:rsidP="009C7E1C">
      <w:pPr>
        <w:keepNext/>
        <w:keepLines/>
        <w:widowControl/>
        <w:spacing w:after="360" w:line="234" w:lineRule="exact"/>
        <w:jc w:val="center"/>
        <w:outlineLvl w:val="0"/>
        <w:rPr>
          <w:rFonts w:cs="Arial"/>
          <w:b/>
          <w:sz w:val="22"/>
          <w:szCs w:val="22"/>
          <w:lang w:eastAsia="en-US"/>
        </w:rPr>
      </w:pPr>
      <w:r w:rsidRPr="006C28E7">
        <w:rPr>
          <w:rFonts w:eastAsia="Calibri"/>
          <w:b/>
          <w:sz w:val="22"/>
          <w:szCs w:val="22"/>
          <w:lang w:eastAsia="en-US"/>
        </w:rPr>
        <w:t>DANS DES INSTALLATIONS DE RÉCEPTION PORTUAIRES</w:t>
      </w:r>
    </w:p>
    <w:p w:rsidR="009C7E1C" w:rsidRPr="006C28E7" w:rsidRDefault="009C7E1C" w:rsidP="009C7E1C">
      <w:pPr>
        <w:widowControl/>
        <w:spacing w:line="360" w:lineRule="auto"/>
        <w:rPr>
          <w:rFonts w:cs="Arial"/>
          <w:color w:val="000000"/>
          <w:sz w:val="16"/>
          <w:szCs w:val="16"/>
          <w:lang w:eastAsia="en-US"/>
        </w:rPr>
      </w:pPr>
      <w:r w:rsidRPr="006C28E7">
        <w:rPr>
          <w:rFonts w:eastAsia="Calibri"/>
          <w:sz w:val="16"/>
          <w:szCs w:val="16"/>
          <w:lang w:eastAsia="en-US"/>
        </w:rPr>
        <w:t>Notification du dépôt de déchets à:</w:t>
      </w:r>
      <w:r w:rsidRPr="006C28E7">
        <w:rPr>
          <w:rFonts w:eastAsia="Calibri"/>
          <w:sz w:val="16"/>
          <w:szCs w:val="16"/>
          <w:lang w:eastAsia="en-US"/>
        </w:rPr>
        <w:tab/>
      </w:r>
      <w:r w:rsidRPr="006C28E7">
        <w:rPr>
          <w:rFonts w:eastAsia="Calibri"/>
          <w:i/>
          <w:sz w:val="16"/>
          <w:szCs w:val="16"/>
          <w:lang w:eastAsia="en-US"/>
        </w:rPr>
        <w:t>(indiquer le nom du port d</w:t>
      </w:r>
      <w:r w:rsidR="00D43184">
        <w:rPr>
          <w:rFonts w:eastAsia="Calibri"/>
          <w:i/>
          <w:sz w:val="16"/>
          <w:szCs w:val="16"/>
          <w:lang w:eastAsia="en-US"/>
        </w:rPr>
        <w:t>’</w:t>
      </w:r>
      <w:r w:rsidRPr="006C28E7">
        <w:rPr>
          <w:rFonts w:eastAsia="Calibri"/>
          <w:i/>
          <w:sz w:val="16"/>
          <w:szCs w:val="16"/>
          <w:lang w:eastAsia="en-US"/>
        </w:rPr>
        <w:t>escale, tel qu</w:t>
      </w:r>
      <w:r w:rsidR="00D43184">
        <w:rPr>
          <w:rFonts w:eastAsia="Calibri"/>
          <w:i/>
          <w:sz w:val="16"/>
          <w:szCs w:val="16"/>
          <w:lang w:eastAsia="en-US"/>
        </w:rPr>
        <w:t>’</w:t>
      </w:r>
      <w:r w:rsidRPr="006C28E7">
        <w:rPr>
          <w:rFonts w:eastAsia="Calibri"/>
          <w:i/>
          <w:sz w:val="16"/>
          <w:szCs w:val="16"/>
          <w:lang w:eastAsia="en-US"/>
        </w:rPr>
        <w:t>il est visé à l</w:t>
      </w:r>
      <w:r w:rsidR="00D43184">
        <w:rPr>
          <w:rFonts w:eastAsia="Calibri"/>
          <w:i/>
          <w:sz w:val="16"/>
          <w:szCs w:val="16"/>
          <w:lang w:eastAsia="en-US"/>
        </w:rPr>
        <w:t>’</w:t>
      </w:r>
      <w:r w:rsidRPr="006C28E7">
        <w:rPr>
          <w:rFonts w:eastAsia="Calibri"/>
          <w:i/>
          <w:sz w:val="16"/>
          <w:szCs w:val="16"/>
          <w:lang w:eastAsia="en-US"/>
        </w:rPr>
        <w:t>article 6 de la directive (UE) 2019/XX</w:t>
      </w:r>
      <w:r w:rsidRPr="006C28E7">
        <w:rPr>
          <w:rFonts w:eastAsia="Calibri"/>
          <w:b/>
          <w:i/>
          <w:sz w:val="16"/>
          <w:szCs w:val="16"/>
          <w:vertAlign w:val="superscript"/>
          <w:lang w:eastAsia="en-US"/>
        </w:rPr>
        <w:footnoteReference w:customMarkFollows="1" w:id="27"/>
        <w:sym w:font="Symbol" w:char="F02B"/>
      </w:r>
      <w:r w:rsidRPr="006C28E7">
        <w:rPr>
          <w:rFonts w:eastAsia="Calibri"/>
          <w:i/>
          <w:sz w:val="16"/>
          <w:szCs w:val="16"/>
          <w:lang w:eastAsia="en-US"/>
        </w:rPr>
        <w:t>)</w:t>
      </w:r>
    </w:p>
    <w:p w:rsidR="009C7E1C" w:rsidRPr="006C28E7" w:rsidRDefault="009C7E1C" w:rsidP="009C7E1C">
      <w:pPr>
        <w:widowControl/>
        <w:spacing w:line="360" w:lineRule="auto"/>
        <w:rPr>
          <w:rFonts w:cs="Arial"/>
          <w:sz w:val="16"/>
          <w:szCs w:val="16"/>
          <w:lang w:eastAsia="en-US"/>
        </w:rPr>
      </w:pPr>
      <w:r w:rsidRPr="006C28E7">
        <w:rPr>
          <w:rFonts w:eastAsia="Calibri"/>
          <w:sz w:val="16"/>
          <w:szCs w:val="16"/>
          <w:lang w:eastAsia="en-US"/>
        </w:rPr>
        <w:t xml:space="preserve">Le présent formulaire </w:t>
      </w:r>
      <w:r w:rsidRPr="006C28E7">
        <w:rPr>
          <w:rFonts w:eastAsia="Calibri"/>
          <w:b/>
          <w:bCs/>
          <w:i/>
          <w:iCs/>
          <w:sz w:val="16"/>
          <w:szCs w:val="16"/>
          <w:lang w:eastAsia="en-US"/>
        </w:rPr>
        <w:t>devrait</w:t>
      </w:r>
      <w:r w:rsidRPr="006C28E7">
        <w:rPr>
          <w:rFonts w:eastAsia="Calibri"/>
          <w:sz w:val="16"/>
          <w:szCs w:val="16"/>
          <w:lang w:eastAsia="en-US"/>
        </w:rPr>
        <w:t xml:space="preserve"> être conservé à bord du navire avec le registre des hydrocarbures, le registre de la cargaison, le registre des ordures ou le plan de gestion des ordures, comme l</w:t>
      </w:r>
      <w:r w:rsidR="00D43184">
        <w:rPr>
          <w:rFonts w:eastAsia="Calibri"/>
          <w:sz w:val="16"/>
          <w:szCs w:val="16"/>
          <w:lang w:eastAsia="en-US"/>
        </w:rPr>
        <w:t>’</w:t>
      </w:r>
      <w:r w:rsidRPr="006C28E7">
        <w:rPr>
          <w:rFonts w:eastAsia="Calibri"/>
          <w:sz w:val="16"/>
          <w:szCs w:val="16"/>
          <w:lang w:eastAsia="en-US"/>
        </w:rPr>
        <w:t>exige la convention MARPOL.</w:t>
      </w:r>
    </w:p>
    <w:p w:rsidR="009C7E1C" w:rsidRPr="006C28E7" w:rsidRDefault="009C7E1C" w:rsidP="009C7E1C">
      <w:pPr>
        <w:widowControl/>
        <w:tabs>
          <w:tab w:val="left" w:pos="709"/>
        </w:tabs>
        <w:spacing w:line="360" w:lineRule="auto"/>
        <w:rPr>
          <w:rFonts w:cs="Arial"/>
          <w:b/>
          <w:color w:val="000000"/>
          <w:sz w:val="16"/>
          <w:szCs w:val="16"/>
          <w:lang w:eastAsia="en-US"/>
        </w:rPr>
      </w:pPr>
      <w:r w:rsidRPr="006C28E7">
        <w:rPr>
          <w:rFonts w:eastAsia="Calibri"/>
          <w:b/>
          <w:color w:val="000000"/>
          <w:sz w:val="16"/>
          <w:szCs w:val="16"/>
          <w:lang w:eastAsia="en-US"/>
        </w:rPr>
        <w:t>1.</w:t>
      </w:r>
      <w:r w:rsidRPr="006C28E7">
        <w:rPr>
          <w:rFonts w:eastAsia="Calibri"/>
          <w:b/>
          <w:color w:val="000000"/>
          <w:sz w:val="16"/>
          <w:szCs w:val="16"/>
          <w:lang w:eastAsia="en-US"/>
        </w:rPr>
        <w:tab/>
        <w:t>RENSEIGNEMENTS CONCERNANT LE NAVIRE</w:t>
      </w:r>
    </w:p>
    <w:tbl>
      <w:tblPr>
        <w:tblW w:w="0" w:type="auto"/>
        <w:tblInd w:w="-18" w:type="dxa"/>
        <w:tblLayout w:type="fixed"/>
        <w:tblCellMar>
          <w:left w:w="10" w:type="dxa"/>
          <w:right w:w="10" w:type="dxa"/>
        </w:tblCellMar>
        <w:tblLook w:val="04A0" w:firstRow="1" w:lastRow="0" w:firstColumn="1" w:lastColumn="0" w:noHBand="0" w:noVBand="1"/>
      </w:tblPr>
      <w:tblGrid>
        <w:gridCol w:w="394"/>
        <w:gridCol w:w="1334"/>
        <w:gridCol w:w="1694"/>
        <w:gridCol w:w="547"/>
        <w:gridCol w:w="1915"/>
        <w:gridCol w:w="1253"/>
        <w:gridCol w:w="1296"/>
      </w:tblGrid>
      <w:tr w:rsidR="009C7E1C" w:rsidRPr="006C28E7" w:rsidTr="009C7E1C">
        <w:trPr>
          <w:trHeight w:val="298"/>
        </w:trPr>
        <w:tc>
          <w:tcPr>
            <w:tcW w:w="394" w:type="dxa"/>
            <w:tcBorders>
              <w:top w:val="single" w:sz="4" w:space="0" w:color="auto"/>
              <w:left w:val="single" w:sz="4" w:space="0" w:color="auto"/>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1.1</w:t>
            </w:r>
          </w:p>
        </w:tc>
        <w:tc>
          <w:tcPr>
            <w:tcW w:w="1334" w:type="dxa"/>
            <w:tcBorders>
              <w:top w:val="single" w:sz="4" w:space="0" w:color="auto"/>
              <w:left w:val="nil"/>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Nom du navire:</w:t>
            </w:r>
          </w:p>
        </w:tc>
        <w:tc>
          <w:tcPr>
            <w:tcW w:w="1694" w:type="dxa"/>
            <w:tcBorders>
              <w:top w:val="single" w:sz="4" w:space="0" w:color="auto"/>
              <w:left w:val="nil"/>
              <w:bottom w:val="nil"/>
              <w:right w:val="nil"/>
            </w:tcBorders>
            <w:shd w:val="clear" w:color="auto" w:fill="FFFFFF"/>
          </w:tcPr>
          <w:p w:rsidR="009C7E1C" w:rsidRPr="006C28E7" w:rsidRDefault="009C7E1C" w:rsidP="009C7E1C">
            <w:pPr>
              <w:widowControl/>
              <w:rPr>
                <w:rFonts w:cs="Arial"/>
                <w:sz w:val="16"/>
                <w:szCs w:val="16"/>
                <w:lang w:eastAsia="en-US"/>
              </w:rPr>
            </w:pPr>
          </w:p>
        </w:tc>
        <w:tc>
          <w:tcPr>
            <w:tcW w:w="547" w:type="dxa"/>
            <w:tcBorders>
              <w:top w:val="single" w:sz="4" w:space="0" w:color="auto"/>
              <w:left w:val="nil"/>
              <w:bottom w:val="nil"/>
              <w:right w:val="nil"/>
            </w:tcBorders>
            <w:shd w:val="clear" w:color="auto" w:fill="FFFFFF"/>
          </w:tcPr>
          <w:p w:rsidR="009C7E1C" w:rsidRPr="006C28E7" w:rsidRDefault="009C7E1C" w:rsidP="009C7E1C">
            <w:pPr>
              <w:widowControl/>
              <w:rPr>
                <w:rFonts w:cs="Arial"/>
                <w:color w:val="000000"/>
                <w:sz w:val="16"/>
                <w:szCs w:val="16"/>
                <w:lang w:eastAsia="en-US"/>
              </w:rPr>
            </w:pPr>
          </w:p>
        </w:tc>
        <w:tc>
          <w:tcPr>
            <w:tcW w:w="4464" w:type="dxa"/>
            <w:gridSpan w:val="3"/>
            <w:tcBorders>
              <w:top w:val="single" w:sz="4" w:space="0" w:color="auto"/>
              <w:left w:val="single" w:sz="4" w:space="0" w:color="auto"/>
              <w:bottom w:val="nil"/>
              <w:right w:val="single" w:sz="4" w:space="0" w:color="auto"/>
            </w:tcBorders>
            <w:shd w:val="clear" w:color="auto" w:fill="FFFFFF"/>
            <w:vAlign w:val="center"/>
          </w:tcPr>
          <w:p w:rsidR="009C7E1C" w:rsidRPr="006C28E7" w:rsidRDefault="009C7E1C" w:rsidP="009C7E1C">
            <w:pPr>
              <w:keepNext/>
              <w:framePr w:w="8434" w:wrap="notBeside" w:vAnchor="text" w:hAnchor="text" w:xAlign="center" w:y="2"/>
              <w:widowControl/>
              <w:spacing w:line="168" w:lineRule="exact"/>
              <w:rPr>
                <w:rFonts w:cs="Arial"/>
                <w:color w:val="000000"/>
                <w:sz w:val="16"/>
                <w:szCs w:val="16"/>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1.5 Propriétaire ou exploitant:</w:t>
            </w:r>
          </w:p>
        </w:tc>
      </w:tr>
      <w:tr w:rsidR="009C7E1C" w:rsidRPr="006C28E7" w:rsidTr="009C7E1C">
        <w:trPr>
          <w:trHeight w:val="298"/>
        </w:trPr>
        <w:tc>
          <w:tcPr>
            <w:tcW w:w="394" w:type="dxa"/>
            <w:tcBorders>
              <w:top w:val="single" w:sz="4" w:space="0" w:color="auto"/>
              <w:left w:val="single" w:sz="4" w:space="0" w:color="auto"/>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1.2</w:t>
            </w:r>
          </w:p>
        </w:tc>
        <w:tc>
          <w:tcPr>
            <w:tcW w:w="1334" w:type="dxa"/>
            <w:tcBorders>
              <w:top w:val="single" w:sz="4" w:space="0" w:color="auto"/>
              <w:left w:val="nil"/>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Numéro OMI:</w:t>
            </w:r>
          </w:p>
        </w:tc>
        <w:tc>
          <w:tcPr>
            <w:tcW w:w="1694" w:type="dxa"/>
            <w:tcBorders>
              <w:top w:val="single" w:sz="4" w:space="0" w:color="auto"/>
              <w:left w:val="nil"/>
              <w:bottom w:val="nil"/>
              <w:right w:val="nil"/>
            </w:tcBorders>
            <w:shd w:val="clear" w:color="auto" w:fill="FFFFFF"/>
          </w:tcPr>
          <w:p w:rsidR="009C7E1C" w:rsidRPr="006C28E7" w:rsidRDefault="009C7E1C" w:rsidP="009C7E1C">
            <w:pPr>
              <w:widowControl/>
              <w:rPr>
                <w:rFonts w:cs="Arial"/>
                <w:sz w:val="16"/>
                <w:szCs w:val="16"/>
                <w:lang w:eastAsia="en-US"/>
              </w:rPr>
            </w:pPr>
          </w:p>
        </w:tc>
        <w:tc>
          <w:tcPr>
            <w:tcW w:w="547" w:type="dxa"/>
            <w:tcBorders>
              <w:top w:val="single" w:sz="4" w:space="0" w:color="auto"/>
              <w:left w:val="nil"/>
              <w:bottom w:val="nil"/>
              <w:right w:val="nil"/>
            </w:tcBorders>
            <w:shd w:val="clear" w:color="auto" w:fill="FFFFFF"/>
          </w:tcPr>
          <w:p w:rsidR="009C7E1C" w:rsidRPr="006C28E7" w:rsidRDefault="009C7E1C" w:rsidP="009C7E1C">
            <w:pPr>
              <w:widowControl/>
              <w:rPr>
                <w:rFonts w:cs="Arial"/>
                <w:color w:val="000000"/>
                <w:sz w:val="16"/>
                <w:szCs w:val="16"/>
                <w:lang w:eastAsia="en-US"/>
              </w:rPr>
            </w:pPr>
          </w:p>
        </w:tc>
        <w:tc>
          <w:tcPr>
            <w:tcW w:w="4464" w:type="dxa"/>
            <w:gridSpan w:val="3"/>
            <w:tcBorders>
              <w:top w:val="single" w:sz="4" w:space="0" w:color="auto"/>
              <w:left w:val="single" w:sz="4" w:space="0" w:color="auto"/>
              <w:bottom w:val="nil"/>
              <w:right w:val="single" w:sz="4" w:space="0" w:color="auto"/>
            </w:tcBorders>
            <w:shd w:val="clear" w:color="auto" w:fill="FFFFFF"/>
            <w:vAlign w:val="center"/>
          </w:tcPr>
          <w:p w:rsidR="009C7E1C" w:rsidRPr="006C28E7" w:rsidRDefault="009C7E1C" w:rsidP="009C7E1C">
            <w:pPr>
              <w:keepNext/>
              <w:framePr w:w="8434" w:wrap="notBeside" w:vAnchor="text" w:hAnchor="text" w:xAlign="center" w:y="2"/>
              <w:widowControl/>
              <w:spacing w:line="168" w:lineRule="exact"/>
              <w:rPr>
                <w:rFonts w:cs="Arial"/>
                <w:color w:val="000000"/>
                <w:sz w:val="16"/>
                <w:szCs w:val="16"/>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1.6 Numéro ou lettres distinctifs:</w:t>
            </w:r>
          </w:p>
        </w:tc>
      </w:tr>
      <w:tr w:rsidR="009C7E1C" w:rsidRPr="006C28E7" w:rsidTr="009C7E1C">
        <w:trPr>
          <w:trHeight w:val="298"/>
        </w:trPr>
        <w:tc>
          <w:tcPr>
            <w:tcW w:w="394" w:type="dxa"/>
            <w:tcBorders>
              <w:top w:val="single" w:sz="4" w:space="0" w:color="auto"/>
              <w:left w:val="single" w:sz="4" w:space="0" w:color="auto"/>
              <w:bottom w:val="nil"/>
              <w:right w:val="nil"/>
            </w:tcBorders>
            <w:shd w:val="clear" w:color="auto" w:fill="FFFFFF"/>
            <w:vAlign w:val="center"/>
          </w:tcPr>
          <w:p w:rsidR="009C7E1C" w:rsidRPr="006C28E7" w:rsidRDefault="009C7E1C" w:rsidP="009C7E1C">
            <w:pPr>
              <w:widowControl/>
              <w:rPr>
                <w:rFonts w:cs="Arial"/>
                <w:color w:val="000000"/>
                <w:sz w:val="16"/>
                <w:szCs w:val="16"/>
                <w:shd w:val="clear" w:color="auto" w:fill="FFFFFF"/>
                <w:lang w:eastAsia="en-US"/>
              </w:rPr>
            </w:pPr>
          </w:p>
        </w:tc>
        <w:tc>
          <w:tcPr>
            <w:tcW w:w="1334" w:type="dxa"/>
            <w:tcBorders>
              <w:top w:val="single" w:sz="4" w:space="0" w:color="auto"/>
              <w:left w:val="nil"/>
              <w:bottom w:val="nil"/>
              <w:right w:val="nil"/>
            </w:tcBorders>
            <w:shd w:val="clear" w:color="auto" w:fill="FFFFFF"/>
            <w:vAlign w:val="center"/>
          </w:tcPr>
          <w:p w:rsidR="009C7E1C" w:rsidRPr="006C28E7" w:rsidRDefault="009C7E1C" w:rsidP="009C7E1C">
            <w:pPr>
              <w:widowControl/>
              <w:rPr>
                <w:rFonts w:cs="Arial"/>
                <w:color w:val="000000"/>
                <w:sz w:val="16"/>
                <w:szCs w:val="16"/>
                <w:shd w:val="clear" w:color="auto" w:fill="FFFFFF"/>
                <w:lang w:eastAsia="en-US"/>
              </w:rPr>
            </w:pPr>
          </w:p>
        </w:tc>
        <w:tc>
          <w:tcPr>
            <w:tcW w:w="1694" w:type="dxa"/>
            <w:tcBorders>
              <w:top w:val="single" w:sz="4" w:space="0" w:color="auto"/>
              <w:left w:val="nil"/>
              <w:bottom w:val="nil"/>
              <w:right w:val="nil"/>
            </w:tcBorders>
            <w:shd w:val="clear" w:color="auto" w:fill="FFFFFF"/>
          </w:tcPr>
          <w:p w:rsidR="009C7E1C" w:rsidRPr="006C28E7" w:rsidRDefault="009C7E1C" w:rsidP="009C7E1C">
            <w:pPr>
              <w:widowControl/>
              <w:rPr>
                <w:rFonts w:cs="Arial"/>
                <w:sz w:val="16"/>
                <w:szCs w:val="16"/>
                <w:lang w:eastAsia="en-US"/>
              </w:rPr>
            </w:pPr>
          </w:p>
        </w:tc>
        <w:tc>
          <w:tcPr>
            <w:tcW w:w="547" w:type="dxa"/>
            <w:tcBorders>
              <w:top w:val="single" w:sz="4" w:space="0" w:color="auto"/>
              <w:left w:val="nil"/>
              <w:bottom w:val="nil"/>
              <w:right w:val="nil"/>
            </w:tcBorders>
            <w:shd w:val="clear" w:color="auto" w:fill="FFFFFF"/>
          </w:tcPr>
          <w:p w:rsidR="009C7E1C" w:rsidRPr="006C28E7" w:rsidRDefault="009C7E1C" w:rsidP="009C7E1C">
            <w:pPr>
              <w:widowControl/>
              <w:rPr>
                <w:rFonts w:cs="Arial"/>
                <w:color w:val="000000"/>
                <w:sz w:val="16"/>
                <w:szCs w:val="16"/>
                <w:lang w:eastAsia="en-US"/>
              </w:rPr>
            </w:pPr>
          </w:p>
        </w:tc>
        <w:tc>
          <w:tcPr>
            <w:tcW w:w="4464" w:type="dxa"/>
            <w:gridSpan w:val="3"/>
            <w:tcBorders>
              <w:top w:val="single" w:sz="4" w:space="0" w:color="auto"/>
              <w:left w:val="single" w:sz="4" w:space="0" w:color="auto"/>
              <w:bottom w:val="nil"/>
              <w:right w:val="single" w:sz="4" w:space="0" w:color="auto"/>
            </w:tcBorders>
            <w:shd w:val="clear" w:color="auto" w:fill="FFFFFF"/>
            <w:vAlign w:val="center"/>
            <w:hideMark/>
          </w:tcPr>
          <w:p w:rsidR="009C7E1C" w:rsidRPr="006C28E7" w:rsidRDefault="009C7E1C" w:rsidP="009C7E1C">
            <w:pPr>
              <w:keepNext/>
              <w:framePr w:w="8434" w:wrap="notBeside" w:vAnchor="text" w:hAnchor="text" w:xAlign="center" w:y="2"/>
              <w:widowControl/>
              <w:spacing w:line="168" w:lineRule="exact"/>
              <w:rPr>
                <w:rFonts w:cs="Arial"/>
                <w:color w:val="000000"/>
                <w:sz w:val="16"/>
                <w:szCs w:val="16"/>
                <w:lang w:eastAsia="en-US"/>
              </w:rPr>
            </w:pPr>
            <w:r w:rsidRPr="006C28E7">
              <w:rPr>
                <w:rFonts w:eastAsia="Calibri"/>
                <w:b/>
                <w:i/>
                <w:color w:val="000000"/>
                <w:sz w:val="16"/>
                <w:szCs w:val="16"/>
                <w:shd w:val="clear" w:color="auto" w:fill="FFFFFF"/>
                <w:lang w:eastAsia="en-US"/>
              </w:rPr>
              <w:t>Numéro MMSI (</w:t>
            </w:r>
            <w:r w:rsidRPr="006C28E7">
              <w:rPr>
                <w:sz w:val="16"/>
                <w:szCs w:val="16"/>
                <w:lang w:eastAsia="en-US"/>
              </w:rPr>
              <w:t xml:space="preserve"> </w:t>
            </w:r>
            <w:r w:rsidRPr="006C28E7">
              <w:rPr>
                <w:b/>
                <w:i/>
                <w:color w:val="000000"/>
                <w:sz w:val="16"/>
                <w:szCs w:val="16"/>
                <w:lang w:eastAsia="en-US"/>
              </w:rPr>
              <w:t>Maritime Mobile Service Identity)</w:t>
            </w:r>
            <w:r w:rsidRPr="006C28E7">
              <w:rPr>
                <w:rFonts w:eastAsia="Calibri"/>
                <w:b/>
                <w:i/>
                <w:color w:val="000000"/>
                <w:sz w:val="16"/>
                <w:szCs w:val="16"/>
                <w:shd w:val="clear" w:color="auto" w:fill="FFFFFF"/>
                <w:lang w:eastAsia="en-US"/>
              </w:rPr>
              <w:t>:</w:t>
            </w:r>
          </w:p>
        </w:tc>
      </w:tr>
      <w:tr w:rsidR="009C7E1C" w:rsidRPr="006C28E7" w:rsidTr="009C7E1C">
        <w:trPr>
          <w:trHeight w:val="402"/>
        </w:trPr>
        <w:tc>
          <w:tcPr>
            <w:tcW w:w="394" w:type="dxa"/>
            <w:tcBorders>
              <w:top w:val="single" w:sz="4" w:space="0" w:color="auto"/>
              <w:left w:val="single" w:sz="4" w:space="0" w:color="auto"/>
              <w:bottom w:val="nil"/>
              <w:right w:val="nil"/>
            </w:tcBorders>
            <w:shd w:val="clear" w:color="auto" w:fill="FFFFFF"/>
            <w:vAlign w:val="bottom"/>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1.3</w:t>
            </w:r>
          </w:p>
        </w:tc>
        <w:tc>
          <w:tcPr>
            <w:tcW w:w="1334" w:type="dxa"/>
            <w:tcBorders>
              <w:top w:val="single" w:sz="4" w:space="0" w:color="auto"/>
              <w:left w:val="nil"/>
              <w:bottom w:val="nil"/>
              <w:right w:val="nil"/>
            </w:tcBorders>
            <w:shd w:val="clear" w:color="auto" w:fill="FFFFFF"/>
            <w:vAlign w:val="bottom"/>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Tonnage brut:</w:t>
            </w:r>
          </w:p>
        </w:tc>
        <w:tc>
          <w:tcPr>
            <w:tcW w:w="1694" w:type="dxa"/>
            <w:tcBorders>
              <w:top w:val="single" w:sz="4" w:space="0" w:color="auto"/>
              <w:left w:val="nil"/>
              <w:bottom w:val="nil"/>
              <w:right w:val="nil"/>
            </w:tcBorders>
            <w:shd w:val="clear" w:color="auto" w:fill="FFFFFF"/>
          </w:tcPr>
          <w:p w:rsidR="009C7E1C" w:rsidRPr="006C28E7" w:rsidRDefault="009C7E1C" w:rsidP="009C7E1C">
            <w:pPr>
              <w:widowControl/>
              <w:rPr>
                <w:rFonts w:cs="Arial"/>
                <w:sz w:val="16"/>
                <w:szCs w:val="16"/>
                <w:lang w:eastAsia="en-US"/>
              </w:rPr>
            </w:pPr>
          </w:p>
        </w:tc>
        <w:tc>
          <w:tcPr>
            <w:tcW w:w="547" w:type="dxa"/>
            <w:tcBorders>
              <w:top w:val="single" w:sz="4" w:space="0" w:color="auto"/>
              <w:left w:val="nil"/>
              <w:bottom w:val="nil"/>
              <w:right w:val="nil"/>
            </w:tcBorders>
            <w:shd w:val="clear" w:color="auto" w:fill="FFFFFF"/>
          </w:tcPr>
          <w:p w:rsidR="009C7E1C" w:rsidRPr="006C28E7" w:rsidRDefault="009C7E1C" w:rsidP="009C7E1C">
            <w:pPr>
              <w:widowControl/>
              <w:rPr>
                <w:rFonts w:cs="Arial"/>
                <w:color w:val="000000"/>
                <w:sz w:val="16"/>
                <w:szCs w:val="16"/>
                <w:lang w:eastAsia="en-US"/>
              </w:rPr>
            </w:pPr>
          </w:p>
        </w:tc>
        <w:tc>
          <w:tcPr>
            <w:tcW w:w="4464" w:type="dxa"/>
            <w:gridSpan w:val="3"/>
            <w:tcBorders>
              <w:top w:val="single" w:sz="4" w:space="0" w:color="auto"/>
              <w:left w:val="single" w:sz="4" w:space="0" w:color="auto"/>
              <w:bottom w:val="nil"/>
              <w:right w:val="single" w:sz="4" w:space="0" w:color="auto"/>
            </w:tcBorders>
            <w:shd w:val="clear" w:color="auto" w:fill="FFFFFF"/>
            <w:vAlign w:val="bottom"/>
          </w:tcPr>
          <w:p w:rsidR="009C7E1C" w:rsidRPr="006C28E7" w:rsidRDefault="009C7E1C" w:rsidP="009C7E1C">
            <w:pPr>
              <w:keepNext/>
              <w:framePr w:w="8434" w:wrap="notBeside" w:vAnchor="text" w:hAnchor="text" w:xAlign="center" w:y="2"/>
              <w:widowControl/>
              <w:spacing w:line="168" w:lineRule="exact"/>
              <w:rPr>
                <w:rFonts w:cs="Arial"/>
                <w:color w:val="000000"/>
                <w:sz w:val="16"/>
                <w:szCs w:val="16"/>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1.7 État du pavillon:</w:t>
            </w:r>
          </w:p>
        </w:tc>
      </w:tr>
      <w:tr w:rsidR="009C7E1C" w:rsidRPr="006C28E7" w:rsidTr="009C7E1C">
        <w:trPr>
          <w:trHeight w:val="494"/>
        </w:trPr>
        <w:tc>
          <w:tcPr>
            <w:tcW w:w="394" w:type="dxa"/>
            <w:tcBorders>
              <w:top w:val="single" w:sz="4" w:space="0" w:color="auto"/>
              <w:left w:val="single" w:sz="4" w:space="0" w:color="auto"/>
              <w:bottom w:val="single" w:sz="4" w:space="0" w:color="auto"/>
              <w:right w:val="nil"/>
            </w:tcBorders>
            <w:shd w:val="clear" w:color="auto" w:fill="FFFFFF"/>
          </w:tcPr>
          <w:p w:rsidR="009C7E1C" w:rsidRPr="006C28E7" w:rsidRDefault="009C7E1C" w:rsidP="009C7E1C">
            <w:pPr>
              <w:widowControl/>
              <w:rPr>
                <w:rFonts w:cs="Arial"/>
                <w:color w:val="000000"/>
                <w:sz w:val="16"/>
                <w:szCs w:val="16"/>
                <w:shd w:val="clear" w:color="auto" w:fill="FFFFFF"/>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1.4</w:t>
            </w:r>
          </w:p>
        </w:tc>
        <w:tc>
          <w:tcPr>
            <w:tcW w:w="1334" w:type="dxa"/>
            <w:tcBorders>
              <w:top w:val="single" w:sz="4" w:space="0" w:color="auto"/>
              <w:left w:val="nil"/>
              <w:bottom w:val="single" w:sz="4" w:space="0" w:color="auto"/>
              <w:right w:val="nil"/>
            </w:tcBorders>
            <w:shd w:val="clear" w:color="auto" w:fill="FFFFFF"/>
          </w:tcPr>
          <w:p w:rsidR="009C7E1C" w:rsidRPr="006C28E7" w:rsidRDefault="009C7E1C" w:rsidP="009C7E1C">
            <w:pPr>
              <w:widowControl/>
              <w:rPr>
                <w:rFonts w:cs="Arial"/>
                <w:color w:val="000000"/>
                <w:sz w:val="16"/>
                <w:szCs w:val="16"/>
                <w:shd w:val="clear" w:color="auto" w:fill="FFFFFF"/>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Type de navire:</w:t>
            </w:r>
          </w:p>
        </w:tc>
        <w:tc>
          <w:tcPr>
            <w:tcW w:w="1694" w:type="dxa"/>
            <w:tcBorders>
              <w:top w:val="single" w:sz="4" w:space="0" w:color="auto"/>
              <w:left w:val="nil"/>
              <w:bottom w:val="single" w:sz="4" w:space="0" w:color="auto"/>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ascii="Segoe UI Symbol" w:eastAsia="Calibri" w:hAnsi="Segoe UI Symbol" w:cs="Segoe UI Symbol"/>
                <w:color w:val="000000"/>
                <w:sz w:val="16"/>
                <w:szCs w:val="16"/>
                <w:shd w:val="clear" w:color="auto" w:fill="FFFFFF"/>
                <w:lang w:eastAsia="en-US"/>
              </w:rPr>
              <w:t>☐</w:t>
            </w:r>
            <w:r w:rsidRPr="006C28E7">
              <w:rPr>
                <w:rFonts w:eastAsia="Calibri"/>
                <w:color w:val="000000"/>
                <w:sz w:val="16"/>
                <w:szCs w:val="16"/>
                <w:shd w:val="clear" w:color="auto" w:fill="FFFFFF"/>
                <w:lang w:eastAsia="en-US"/>
              </w:rPr>
              <w:t xml:space="preserve"> Pétrolier </w:t>
            </w:r>
            <w:r w:rsidRPr="006C28E7">
              <w:rPr>
                <w:rFonts w:eastAsia="Calibri"/>
                <w:color w:val="000000"/>
                <w:szCs w:val="22"/>
                <w:lang w:eastAsia="en-US"/>
              </w:rPr>
              <w:t>▌</w:t>
            </w:r>
          </w:p>
          <w:p w:rsidR="009C7E1C" w:rsidRPr="006C28E7" w:rsidRDefault="009C7E1C" w:rsidP="009C7E1C">
            <w:pPr>
              <w:widowControl/>
              <w:rPr>
                <w:rFonts w:cs="Arial"/>
                <w:color w:val="000000"/>
                <w:sz w:val="16"/>
                <w:szCs w:val="16"/>
                <w:shd w:val="clear" w:color="auto" w:fill="FFFFFF"/>
                <w:lang w:eastAsia="en-US"/>
              </w:rPr>
            </w:pPr>
            <w:r w:rsidRPr="006C28E7">
              <w:rPr>
                <w:rFonts w:ascii="Segoe UI Symbol" w:eastAsia="Calibri" w:hAnsi="Segoe UI Symbol" w:cs="Segoe UI Symbol"/>
                <w:color w:val="000000"/>
                <w:sz w:val="16"/>
                <w:szCs w:val="16"/>
                <w:shd w:val="clear" w:color="auto" w:fill="FFFFFF"/>
                <w:lang w:eastAsia="en-US"/>
              </w:rPr>
              <w:t>☐</w:t>
            </w:r>
            <w:r w:rsidRPr="006C28E7">
              <w:rPr>
                <w:rFonts w:eastAsia="Calibri"/>
                <w:color w:val="000000"/>
                <w:sz w:val="16"/>
                <w:szCs w:val="16"/>
                <w:shd w:val="clear" w:color="auto" w:fill="FFFFFF"/>
                <w:lang w:eastAsia="en-US"/>
              </w:rPr>
              <w:t xml:space="preserve"> Autre navire de charge</w:t>
            </w:r>
          </w:p>
        </w:tc>
        <w:tc>
          <w:tcPr>
            <w:tcW w:w="2462" w:type="dxa"/>
            <w:gridSpan w:val="2"/>
            <w:tcBorders>
              <w:top w:val="single" w:sz="4" w:space="0" w:color="auto"/>
              <w:left w:val="nil"/>
              <w:bottom w:val="single" w:sz="4" w:space="0" w:color="auto"/>
              <w:right w:val="nil"/>
            </w:tcBorders>
            <w:shd w:val="clear" w:color="auto" w:fill="FFFFFF"/>
            <w:vAlign w:val="center"/>
            <w:hideMark/>
          </w:tcPr>
          <w:p w:rsidR="009C7E1C" w:rsidRPr="006C28E7" w:rsidRDefault="009C7E1C" w:rsidP="009C7E1C">
            <w:pPr>
              <w:widowControl/>
              <w:ind w:left="340"/>
              <w:rPr>
                <w:rFonts w:cs="Arial"/>
                <w:sz w:val="16"/>
                <w:szCs w:val="16"/>
                <w:lang w:eastAsia="en-US"/>
              </w:rPr>
            </w:pPr>
            <w:r w:rsidRPr="006C28E7">
              <w:rPr>
                <w:rFonts w:ascii="Segoe UI Symbol" w:eastAsia="Calibri" w:hAnsi="Segoe UI Symbol" w:cs="Segoe UI Symbol"/>
                <w:sz w:val="16"/>
                <w:szCs w:val="16"/>
                <w:shd w:val="clear" w:color="auto" w:fill="FFFFFF"/>
                <w:lang w:eastAsia="en-US"/>
              </w:rPr>
              <w:t>☐</w:t>
            </w:r>
            <w:r w:rsidRPr="006C28E7">
              <w:rPr>
                <w:rFonts w:eastAsia="Calibri"/>
                <w:sz w:val="16"/>
                <w:szCs w:val="16"/>
                <w:shd w:val="clear" w:color="auto" w:fill="FFFFFF"/>
                <w:lang w:eastAsia="en-US"/>
              </w:rPr>
              <w:t xml:space="preserve"> Navire-citerne pour produits chimiques</w:t>
            </w:r>
          </w:p>
          <w:p w:rsidR="009C7E1C" w:rsidRPr="006C28E7" w:rsidRDefault="009C7E1C" w:rsidP="009C7E1C">
            <w:pPr>
              <w:widowControl/>
              <w:ind w:left="340"/>
              <w:rPr>
                <w:rFonts w:cs="Arial"/>
                <w:color w:val="000000"/>
                <w:sz w:val="16"/>
                <w:szCs w:val="16"/>
                <w:shd w:val="clear" w:color="auto" w:fill="FFFFFF"/>
                <w:lang w:eastAsia="en-US"/>
              </w:rPr>
            </w:pPr>
            <w:r w:rsidRPr="006C28E7">
              <w:rPr>
                <w:rFonts w:ascii="Segoe UI Symbol" w:eastAsia="Calibri" w:hAnsi="Segoe UI Symbol" w:cs="Segoe UI Symbol"/>
                <w:sz w:val="16"/>
                <w:szCs w:val="16"/>
                <w:shd w:val="clear" w:color="auto" w:fill="FFFFFF"/>
                <w:lang w:eastAsia="en-US"/>
              </w:rPr>
              <w:t>☐</w:t>
            </w:r>
            <w:r w:rsidRPr="006C28E7">
              <w:rPr>
                <w:rFonts w:eastAsia="Calibri"/>
                <w:sz w:val="16"/>
                <w:szCs w:val="16"/>
                <w:shd w:val="clear" w:color="auto" w:fill="FFFFFF"/>
                <w:lang w:eastAsia="en-US"/>
              </w:rPr>
              <w:t xml:space="preserve"> Navires à passagers</w:t>
            </w:r>
          </w:p>
        </w:tc>
        <w:tc>
          <w:tcPr>
            <w:tcW w:w="1253" w:type="dxa"/>
            <w:tcBorders>
              <w:top w:val="single" w:sz="4" w:space="0" w:color="auto"/>
              <w:left w:val="nil"/>
              <w:bottom w:val="single" w:sz="4" w:space="0" w:color="auto"/>
              <w:right w:val="nil"/>
            </w:tcBorders>
            <w:shd w:val="clear" w:color="auto" w:fill="FFFFFF"/>
            <w:vAlign w:val="center"/>
            <w:hideMark/>
          </w:tcPr>
          <w:p w:rsidR="009C7E1C" w:rsidRPr="006C28E7" w:rsidRDefault="009C7E1C" w:rsidP="009C7E1C">
            <w:pPr>
              <w:widowControl/>
              <w:rPr>
                <w:rFonts w:cs="Arial"/>
                <w:sz w:val="16"/>
                <w:szCs w:val="16"/>
                <w:lang w:eastAsia="en-US"/>
              </w:rPr>
            </w:pPr>
            <w:r w:rsidRPr="006C28E7">
              <w:rPr>
                <w:rFonts w:ascii="Segoe UI Symbol" w:eastAsia="Calibri" w:hAnsi="Segoe UI Symbol" w:cs="Segoe UI Symbol"/>
                <w:sz w:val="16"/>
                <w:szCs w:val="16"/>
                <w:shd w:val="clear" w:color="auto" w:fill="FFFFFF"/>
                <w:lang w:eastAsia="en-US"/>
              </w:rPr>
              <w:t>☐</w:t>
            </w:r>
            <w:r w:rsidRPr="006C28E7">
              <w:rPr>
                <w:rFonts w:eastAsia="Calibri"/>
                <w:sz w:val="16"/>
                <w:szCs w:val="16"/>
                <w:shd w:val="clear" w:color="auto" w:fill="FFFFFF"/>
                <w:lang w:eastAsia="en-US"/>
              </w:rPr>
              <w:t xml:space="preserve"> Vraquier</w:t>
            </w:r>
          </w:p>
          <w:p w:rsidR="009C7E1C" w:rsidRPr="006C28E7" w:rsidRDefault="009C7E1C" w:rsidP="009C7E1C">
            <w:pPr>
              <w:widowControl/>
              <w:rPr>
                <w:rFonts w:cs="Arial"/>
                <w:color w:val="000000"/>
                <w:sz w:val="16"/>
                <w:szCs w:val="16"/>
                <w:shd w:val="clear" w:color="auto" w:fill="FFFFFF"/>
                <w:lang w:eastAsia="en-US"/>
              </w:rPr>
            </w:pPr>
            <w:r w:rsidRPr="006C28E7">
              <w:rPr>
                <w:rFonts w:ascii="Segoe UI Symbol" w:eastAsia="Calibri" w:hAnsi="Segoe UI Symbol" w:cs="Segoe UI Symbol"/>
                <w:sz w:val="16"/>
                <w:szCs w:val="16"/>
                <w:shd w:val="clear" w:color="auto" w:fill="FFFFFF"/>
                <w:lang w:eastAsia="en-US"/>
              </w:rPr>
              <w:t>☐</w:t>
            </w:r>
            <w:r w:rsidRPr="006C28E7">
              <w:rPr>
                <w:rFonts w:eastAsia="Calibri"/>
                <w:sz w:val="16"/>
                <w:szCs w:val="16"/>
                <w:shd w:val="clear" w:color="auto" w:fill="FFFFFF"/>
                <w:lang w:eastAsia="en-US"/>
              </w:rPr>
              <w:t xml:space="preserve"> Navire roulier</w:t>
            </w:r>
          </w:p>
        </w:tc>
        <w:tc>
          <w:tcPr>
            <w:tcW w:w="1296" w:type="dxa"/>
            <w:tcBorders>
              <w:top w:val="single" w:sz="4" w:space="0" w:color="auto"/>
              <w:left w:val="nil"/>
              <w:bottom w:val="single" w:sz="4" w:space="0" w:color="auto"/>
              <w:right w:val="single" w:sz="4" w:space="0" w:color="auto"/>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ascii="Segoe UI Symbol" w:eastAsia="Calibri" w:hAnsi="Segoe UI Symbol" w:cs="Segoe UI Symbol"/>
                <w:color w:val="000000"/>
                <w:sz w:val="16"/>
                <w:szCs w:val="16"/>
                <w:shd w:val="clear" w:color="auto" w:fill="FFFFFF"/>
                <w:lang w:eastAsia="en-US"/>
              </w:rPr>
              <w:t>☐</w:t>
            </w:r>
            <w:r w:rsidRPr="006C28E7">
              <w:rPr>
                <w:rFonts w:eastAsia="Calibri"/>
                <w:color w:val="000000"/>
                <w:sz w:val="16"/>
                <w:szCs w:val="16"/>
                <w:shd w:val="clear" w:color="auto" w:fill="FFFFFF"/>
                <w:lang w:eastAsia="en-US"/>
              </w:rPr>
              <w:t xml:space="preserve"> Porte-conteneurs</w:t>
            </w:r>
          </w:p>
          <w:p w:rsidR="009C7E1C" w:rsidRPr="006C28E7" w:rsidRDefault="009C7E1C" w:rsidP="009C7E1C">
            <w:pPr>
              <w:widowControl/>
              <w:rPr>
                <w:rFonts w:cs="Arial"/>
                <w:color w:val="000000"/>
                <w:sz w:val="16"/>
                <w:szCs w:val="16"/>
                <w:shd w:val="clear" w:color="auto" w:fill="FFFFFF"/>
                <w:lang w:eastAsia="en-US"/>
              </w:rPr>
            </w:pPr>
            <w:r w:rsidRPr="006C28E7">
              <w:rPr>
                <w:rFonts w:ascii="Segoe UI Symbol" w:eastAsia="Calibri" w:hAnsi="Segoe UI Symbol" w:cs="Segoe UI Symbol"/>
                <w:color w:val="000000"/>
                <w:sz w:val="16"/>
                <w:szCs w:val="16"/>
                <w:shd w:val="clear" w:color="auto" w:fill="FFFFFF"/>
                <w:lang w:eastAsia="en-US"/>
              </w:rPr>
              <w:t>☐</w:t>
            </w:r>
            <w:r w:rsidRPr="006C28E7">
              <w:rPr>
                <w:rFonts w:eastAsia="Calibri"/>
                <w:color w:val="000000"/>
                <w:sz w:val="16"/>
                <w:szCs w:val="16"/>
                <w:shd w:val="clear" w:color="auto" w:fill="FFFFFF"/>
                <w:lang w:eastAsia="en-US"/>
              </w:rPr>
              <w:t xml:space="preserve"> Autre type (préciser)</w:t>
            </w:r>
          </w:p>
        </w:tc>
      </w:tr>
    </w:tbl>
    <w:p w:rsidR="009C7E1C" w:rsidRPr="006C28E7" w:rsidRDefault="009C7E1C" w:rsidP="00337ACF">
      <w:pPr>
        <w:widowControl/>
        <w:tabs>
          <w:tab w:val="left" w:pos="720"/>
        </w:tabs>
        <w:spacing w:line="168" w:lineRule="exact"/>
        <w:jc w:val="both"/>
        <w:rPr>
          <w:rFonts w:cs="Symbol"/>
          <w:b/>
          <w:sz w:val="16"/>
          <w:szCs w:val="16"/>
          <w:lang w:eastAsia="en-US"/>
        </w:rPr>
      </w:pPr>
    </w:p>
    <w:p w:rsidR="009C7E1C" w:rsidRPr="006C28E7" w:rsidRDefault="009C7E1C" w:rsidP="00337ACF">
      <w:pPr>
        <w:widowControl/>
        <w:tabs>
          <w:tab w:val="left" w:pos="720"/>
        </w:tabs>
        <w:spacing w:line="168" w:lineRule="exact"/>
        <w:rPr>
          <w:rFonts w:cs="Arial"/>
          <w:sz w:val="16"/>
          <w:szCs w:val="16"/>
          <w:lang w:eastAsia="en-US"/>
        </w:rPr>
      </w:pPr>
    </w:p>
    <w:p w:rsidR="009C7E1C" w:rsidRPr="006C28E7" w:rsidRDefault="009C7E1C" w:rsidP="009C7E1C">
      <w:pPr>
        <w:widowControl/>
        <w:tabs>
          <w:tab w:val="left" w:pos="709"/>
        </w:tabs>
        <w:spacing w:line="360" w:lineRule="auto"/>
        <w:rPr>
          <w:rFonts w:cs="Arial"/>
          <w:b/>
          <w:color w:val="000000"/>
          <w:sz w:val="16"/>
          <w:szCs w:val="16"/>
          <w:lang w:eastAsia="en-US"/>
        </w:rPr>
      </w:pPr>
    </w:p>
    <w:p w:rsidR="009C7E1C" w:rsidRPr="006C28E7" w:rsidRDefault="009C7E1C" w:rsidP="009C7E1C">
      <w:pPr>
        <w:widowControl/>
        <w:tabs>
          <w:tab w:val="left" w:pos="709"/>
        </w:tabs>
        <w:spacing w:line="360" w:lineRule="auto"/>
        <w:rPr>
          <w:rFonts w:cs="Arial"/>
          <w:b/>
          <w:sz w:val="16"/>
          <w:szCs w:val="16"/>
          <w:lang w:eastAsia="en-US"/>
        </w:rPr>
      </w:pPr>
      <w:r w:rsidRPr="006C28E7">
        <w:rPr>
          <w:rFonts w:eastAsia="Calibri"/>
          <w:b/>
          <w:sz w:val="16"/>
          <w:szCs w:val="16"/>
          <w:lang w:eastAsia="en-US"/>
        </w:rPr>
        <w:t>2.</w:t>
      </w:r>
      <w:r w:rsidRPr="006C28E7">
        <w:rPr>
          <w:rFonts w:eastAsia="Calibri"/>
          <w:b/>
          <w:sz w:val="16"/>
          <w:szCs w:val="16"/>
          <w:lang w:eastAsia="en-US"/>
        </w:rPr>
        <w:tab/>
        <w:t>RENSEIGNEMENTS CONCERNANT LE PORT ET LE VOYAGE</w:t>
      </w:r>
    </w:p>
    <w:tbl>
      <w:tblPr>
        <w:tblW w:w="0" w:type="auto"/>
        <w:tblInd w:w="-18" w:type="dxa"/>
        <w:tblLayout w:type="fixed"/>
        <w:tblCellMar>
          <w:left w:w="10" w:type="dxa"/>
          <w:right w:w="10" w:type="dxa"/>
        </w:tblCellMar>
        <w:tblLook w:val="04A0" w:firstRow="1" w:lastRow="0" w:firstColumn="1" w:lastColumn="0" w:noHBand="0" w:noVBand="1"/>
      </w:tblPr>
      <w:tblGrid>
        <w:gridCol w:w="3941"/>
        <w:gridCol w:w="4459"/>
      </w:tblGrid>
      <w:tr w:rsidR="009C7E1C" w:rsidRPr="006C28E7" w:rsidTr="009C7E1C">
        <w:trPr>
          <w:trHeight w:val="355"/>
        </w:trPr>
        <w:tc>
          <w:tcPr>
            <w:tcW w:w="3941" w:type="dxa"/>
            <w:tcBorders>
              <w:top w:val="single" w:sz="4" w:space="0" w:color="auto"/>
              <w:left w:val="single" w:sz="4" w:space="0" w:color="auto"/>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2.1 Position géographique/nom du terminal:</w:t>
            </w:r>
          </w:p>
        </w:tc>
        <w:tc>
          <w:tcPr>
            <w:tcW w:w="4459" w:type="dxa"/>
            <w:tcBorders>
              <w:top w:val="single" w:sz="4" w:space="0" w:color="auto"/>
              <w:left w:val="single" w:sz="4" w:space="0" w:color="auto"/>
              <w:bottom w:val="nil"/>
              <w:right w:val="single" w:sz="4" w:space="0" w:color="auto"/>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2.6 Dernier port où des déchets ont été déposés:</w:t>
            </w:r>
          </w:p>
        </w:tc>
      </w:tr>
      <w:tr w:rsidR="009C7E1C" w:rsidRPr="006C28E7" w:rsidTr="009C7E1C">
        <w:trPr>
          <w:trHeight w:val="355"/>
        </w:trPr>
        <w:tc>
          <w:tcPr>
            <w:tcW w:w="3941" w:type="dxa"/>
            <w:tcBorders>
              <w:top w:val="single" w:sz="4" w:space="0" w:color="auto"/>
              <w:left w:val="single" w:sz="4" w:space="0" w:color="auto"/>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2.2 Date et heure d</w:t>
            </w:r>
            <w:r w:rsidR="00D43184">
              <w:rPr>
                <w:rFonts w:eastAsia="Calibri"/>
                <w:color w:val="000000"/>
                <w:sz w:val="16"/>
                <w:szCs w:val="16"/>
                <w:shd w:val="clear" w:color="auto" w:fill="FFFFFF"/>
                <w:lang w:eastAsia="en-US"/>
              </w:rPr>
              <w:t>’</w:t>
            </w:r>
            <w:r w:rsidRPr="006C28E7">
              <w:rPr>
                <w:rFonts w:eastAsia="Calibri"/>
                <w:color w:val="000000"/>
                <w:sz w:val="16"/>
                <w:szCs w:val="16"/>
                <w:shd w:val="clear" w:color="auto" w:fill="FFFFFF"/>
                <w:lang w:eastAsia="en-US"/>
              </w:rPr>
              <w:t>arrivée:</w:t>
            </w:r>
          </w:p>
        </w:tc>
        <w:tc>
          <w:tcPr>
            <w:tcW w:w="4459" w:type="dxa"/>
            <w:tcBorders>
              <w:top w:val="single" w:sz="4" w:space="0" w:color="auto"/>
              <w:left w:val="single" w:sz="4" w:space="0" w:color="auto"/>
              <w:bottom w:val="nil"/>
              <w:right w:val="single" w:sz="4" w:space="0" w:color="auto"/>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2.7 Date du dernier dépôt:</w:t>
            </w:r>
          </w:p>
        </w:tc>
      </w:tr>
      <w:tr w:rsidR="009C7E1C" w:rsidRPr="006C28E7" w:rsidTr="009C7E1C">
        <w:trPr>
          <w:trHeight w:val="350"/>
        </w:trPr>
        <w:tc>
          <w:tcPr>
            <w:tcW w:w="3941" w:type="dxa"/>
            <w:tcBorders>
              <w:top w:val="single" w:sz="4" w:space="0" w:color="auto"/>
              <w:left w:val="single" w:sz="4" w:space="0" w:color="auto"/>
              <w:bottom w:val="nil"/>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2.3 Date et heure de départ:</w:t>
            </w:r>
          </w:p>
        </w:tc>
        <w:tc>
          <w:tcPr>
            <w:tcW w:w="4459" w:type="dxa"/>
            <w:tcBorders>
              <w:top w:val="single" w:sz="4" w:space="0" w:color="auto"/>
              <w:left w:val="single" w:sz="4" w:space="0" w:color="auto"/>
              <w:bottom w:val="nil"/>
              <w:right w:val="single" w:sz="4" w:space="0" w:color="auto"/>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2.8 Port de dépôt suivant:</w:t>
            </w:r>
          </w:p>
        </w:tc>
      </w:tr>
      <w:tr w:rsidR="009C7E1C" w:rsidRPr="006C28E7" w:rsidTr="009C7E1C">
        <w:trPr>
          <w:trHeight w:val="512"/>
        </w:trPr>
        <w:tc>
          <w:tcPr>
            <w:tcW w:w="3941" w:type="dxa"/>
            <w:tcBorders>
              <w:top w:val="single" w:sz="4" w:space="0" w:color="auto"/>
              <w:left w:val="single" w:sz="4" w:space="0" w:color="auto"/>
              <w:bottom w:val="nil"/>
              <w:right w:val="nil"/>
            </w:tcBorders>
            <w:shd w:val="clear" w:color="auto" w:fill="FFFFFF"/>
            <w:vAlign w:val="center"/>
          </w:tcPr>
          <w:p w:rsidR="009C7E1C" w:rsidRPr="006C28E7" w:rsidRDefault="009C7E1C" w:rsidP="009C7E1C">
            <w:pPr>
              <w:widowControl/>
              <w:rPr>
                <w:rFonts w:cs="Arial"/>
                <w:color w:val="000000"/>
                <w:sz w:val="16"/>
                <w:szCs w:val="16"/>
                <w:shd w:val="clear" w:color="auto" w:fill="FFFFFF"/>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2.4 Dernier port et pays:</w:t>
            </w:r>
          </w:p>
        </w:tc>
        <w:tc>
          <w:tcPr>
            <w:tcW w:w="4459" w:type="dxa"/>
            <w:vMerge w:val="restart"/>
            <w:tcBorders>
              <w:top w:val="single" w:sz="4" w:space="0" w:color="auto"/>
              <w:left w:val="single" w:sz="4" w:space="0" w:color="auto"/>
              <w:bottom w:val="single" w:sz="4" w:space="0" w:color="auto"/>
              <w:right w:val="single" w:sz="4" w:space="0" w:color="auto"/>
            </w:tcBorders>
            <w:shd w:val="clear" w:color="auto" w:fill="FFFFFF"/>
          </w:tcPr>
          <w:p w:rsidR="009C7E1C" w:rsidRPr="006C28E7" w:rsidRDefault="009C7E1C" w:rsidP="009C7E1C">
            <w:pPr>
              <w:keepNext/>
              <w:framePr w:w="8400" w:wrap="notBeside" w:vAnchor="text" w:hAnchor="page" w:x="1741" w:y="2075"/>
              <w:widowControl/>
              <w:spacing w:line="168" w:lineRule="exact"/>
              <w:rPr>
                <w:rFonts w:cs="Arial"/>
                <w:sz w:val="16"/>
                <w:szCs w:val="16"/>
                <w:lang w:eastAsia="en-US"/>
              </w:rPr>
            </w:pPr>
          </w:p>
          <w:p w:rsidR="009C7E1C" w:rsidRPr="006C28E7" w:rsidRDefault="009C7E1C" w:rsidP="009C7E1C">
            <w:pPr>
              <w:widowControl/>
              <w:rPr>
                <w:rFonts w:cs="Arial"/>
                <w:color w:val="000000"/>
                <w:sz w:val="16"/>
                <w:szCs w:val="16"/>
                <w:shd w:val="clear" w:color="auto" w:fill="FFFFFF"/>
                <w:lang w:eastAsia="en-US"/>
              </w:rPr>
            </w:pPr>
          </w:p>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2.9 Personne soumettant le présent formulaire (si autre que le capitaine):</w:t>
            </w:r>
          </w:p>
        </w:tc>
      </w:tr>
      <w:tr w:rsidR="009C7E1C" w:rsidRPr="006C28E7" w:rsidTr="009C7E1C">
        <w:trPr>
          <w:trHeight w:val="360"/>
        </w:trPr>
        <w:tc>
          <w:tcPr>
            <w:tcW w:w="3941" w:type="dxa"/>
            <w:tcBorders>
              <w:top w:val="single" w:sz="4" w:space="0" w:color="auto"/>
              <w:left w:val="single" w:sz="4" w:space="0" w:color="auto"/>
              <w:bottom w:val="single" w:sz="4" w:space="0" w:color="auto"/>
              <w:right w:val="nil"/>
            </w:tcBorders>
            <w:shd w:val="clear" w:color="auto" w:fill="FFFFFF"/>
            <w:vAlign w:val="center"/>
            <w:hideMark/>
          </w:tcPr>
          <w:p w:rsidR="009C7E1C" w:rsidRPr="006C28E7" w:rsidRDefault="009C7E1C" w:rsidP="009C7E1C">
            <w:pPr>
              <w:widowControl/>
              <w:rPr>
                <w:rFonts w:cs="Arial"/>
                <w:color w:val="000000"/>
                <w:sz w:val="16"/>
                <w:szCs w:val="16"/>
                <w:shd w:val="clear" w:color="auto" w:fill="FFFFFF"/>
                <w:lang w:eastAsia="en-US"/>
              </w:rPr>
            </w:pPr>
            <w:r w:rsidRPr="006C28E7">
              <w:rPr>
                <w:rFonts w:eastAsia="Calibri"/>
                <w:color w:val="000000"/>
                <w:sz w:val="16"/>
                <w:szCs w:val="16"/>
                <w:shd w:val="clear" w:color="auto" w:fill="FFFFFF"/>
                <w:lang w:eastAsia="en-US"/>
              </w:rPr>
              <w:t>2.5 Port suivant et pays (s</w:t>
            </w:r>
            <w:r w:rsidR="00D43184">
              <w:rPr>
                <w:rFonts w:eastAsia="Calibri"/>
                <w:color w:val="000000"/>
                <w:sz w:val="16"/>
                <w:szCs w:val="16"/>
                <w:shd w:val="clear" w:color="auto" w:fill="FFFFFF"/>
                <w:lang w:eastAsia="en-US"/>
              </w:rPr>
              <w:t>’</w:t>
            </w:r>
            <w:r w:rsidRPr="006C28E7">
              <w:rPr>
                <w:rFonts w:eastAsia="Calibri"/>
                <w:color w:val="000000"/>
                <w:sz w:val="16"/>
                <w:szCs w:val="16"/>
                <w:shd w:val="clear" w:color="auto" w:fill="FFFFFF"/>
                <w:lang w:eastAsia="en-US"/>
              </w:rPr>
              <w:t>il est connu):</w:t>
            </w: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spacing w:line="276" w:lineRule="auto"/>
              <w:rPr>
                <w:rFonts w:cs="Arial"/>
                <w:color w:val="000000"/>
                <w:sz w:val="16"/>
                <w:szCs w:val="16"/>
                <w:shd w:val="clear" w:color="auto" w:fill="FFFFFF"/>
                <w:lang w:eastAsia="en-US"/>
              </w:rPr>
            </w:pPr>
          </w:p>
        </w:tc>
      </w:tr>
    </w:tbl>
    <w:p w:rsidR="009C7E1C" w:rsidRPr="006C28E7" w:rsidRDefault="009C7E1C" w:rsidP="00337ACF">
      <w:pPr>
        <w:widowControl/>
        <w:tabs>
          <w:tab w:val="left" w:pos="715"/>
        </w:tabs>
        <w:spacing w:line="168" w:lineRule="exact"/>
        <w:jc w:val="both"/>
        <w:rPr>
          <w:rFonts w:cs="Arial"/>
          <w:sz w:val="16"/>
          <w:szCs w:val="16"/>
          <w:lang w:eastAsia="en-US"/>
        </w:rPr>
      </w:pPr>
    </w:p>
    <w:p w:rsidR="009C7E1C" w:rsidRPr="006C28E7" w:rsidRDefault="009C7E1C" w:rsidP="009C7E1C">
      <w:pPr>
        <w:widowControl/>
        <w:tabs>
          <w:tab w:val="left" w:pos="715"/>
        </w:tabs>
        <w:spacing w:line="168" w:lineRule="exact"/>
        <w:rPr>
          <w:rFonts w:cs="Symbol"/>
          <w:sz w:val="16"/>
          <w:szCs w:val="16"/>
          <w:lang w:eastAsia="en-US"/>
        </w:rPr>
      </w:pPr>
    </w:p>
    <w:p w:rsidR="009C7E1C" w:rsidRPr="006C28E7" w:rsidRDefault="009C7E1C" w:rsidP="00337ACF">
      <w:pPr>
        <w:widowControl/>
        <w:tabs>
          <w:tab w:val="left" w:pos="715"/>
        </w:tabs>
        <w:spacing w:line="168" w:lineRule="exact"/>
        <w:jc w:val="both"/>
        <w:rPr>
          <w:rFonts w:cs="Arial"/>
          <w:sz w:val="16"/>
          <w:szCs w:val="16"/>
          <w:lang w:eastAsia="en-US"/>
        </w:rPr>
      </w:pPr>
    </w:p>
    <w:p w:rsidR="009C7E1C" w:rsidRPr="006C28E7" w:rsidRDefault="009C7E1C" w:rsidP="009C7E1C">
      <w:pPr>
        <w:widowControl/>
        <w:tabs>
          <w:tab w:val="left" w:pos="709"/>
        </w:tabs>
        <w:spacing w:line="360" w:lineRule="auto"/>
        <w:rPr>
          <w:rFonts w:cs="Arial"/>
          <w:b/>
          <w:sz w:val="16"/>
          <w:szCs w:val="16"/>
          <w:lang w:eastAsia="en-US"/>
        </w:rPr>
      </w:pPr>
    </w:p>
    <w:p w:rsidR="009C7E1C" w:rsidRPr="006C28E7" w:rsidRDefault="009C7E1C" w:rsidP="009C7E1C">
      <w:pPr>
        <w:widowControl/>
        <w:spacing w:after="200" w:line="276" w:lineRule="auto"/>
        <w:rPr>
          <w:rFonts w:cs="Arial"/>
          <w:b/>
          <w:sz w:val="16"/>
          <w:szCs w:val="16"/>
          <w:lang w:eastAsia="en-US"/>
        </w:rPr>
      </w:pPr>
      <w:r w:rsidRPr="006C28E7">
        <w:rPr>
          <w:rFonts w:eastAsia="Calibri"/>
          <w:szCs w:val="22"/>
          <w:lang w:eastAsia="en-US"/>
        </w:rPr>
        <w:br w:type="page"/>
      </w:r>
    </w:p>
    <w:p w:rsidR="009C7E1C" w:rsidRPr="006C28E7" w:rsidRDefault="009C7E1C" w:rsidP="009C7E1C">
      <w:pPr>
        <w:widowControl/>
        <w:tabs>
          <w:tab w:val="left" w:pos="715"/>
        </w:tabs>
        <w:spacing w:line="360" w:lineRule="auto"/>
        <w:rPr>
          <w:rFonts w:cs="Arial"/>
          <w:b/>
          <w:sz w:val="16"/>
          <w:szCs w:val="16"/>
          <w:lang w:eastAsia="en-US"/>
        </w:rPr>
      </w:pPr>
      <w:r w:rsidRPr="006C28E7">
        <w:rPr>
          <w:rFonts w:eastAsia="Calibri"/>
          <w:b/>
          <w:sz w:val="16"/>
          <w:szCs w:val="16"/>
          <w:lang w:eastAsia="en-US"/>
        </w:rPr>
        <w:t>3.</w:t>
      </w:r>
      <w:r w:rsidRPr="006C28E7">
        <w:rPr>
          <w:rFonts w:eastAsia="Calibri"/>
          <w:b/>
          <w:sz w:val="16"/>
          <w:szCs w:val="16"/>
          <w:lang w:eastAsia="en-US"/>
        </w:rPr>
        <w:tab/>
        <w:t>TYPE ET VOLUME DE DÉCHETS ET CAPACITÉ DE STOCKAGE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11"/>
        <w:gridCol w:w="39"/>
        <w:gridCol w:w="1280"/>
        <w:gridCol w:w="1113"/>
        <w:gridCol w:w="1259"/>
        <w:gridCol w:w="1872"/>
      </w:tblGrid>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Type</w:t>
            </w:r>
          </w:p>
        </w:tc>
        <w:tc>
          <w:tcPr>
            <w:tcW w:w="1350" w:type="dxa"/>
            <w:gridSpan w:val="2"/>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Quantités à déposer (m³)</w:t>
            </w:r>
          </w:p>
        </w:tc>
        <w:tc>
          <w:tcPr>
            <w:tcW w:w="128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Capacité de stockage dédiée maximale</w:t>
            </w:r>
          </w:p>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(m</w:t>
            </w:r>
            <w:r w:rsidRPr="006C28E7">
              <w:rPr>
                <w:rFonts w:eastAsia="Calibri"/>
                <w:color w:val="000000"/>
                <w:sz w:val="16"/>
                <w:szCs w:val="16"/>
                <w:vertAlign w:val="superscript"/>
                <w:lang w:eastAsia="en-US"/>
              </w:rPr>
              <w:t>3</w:t>
            </w:r>
            <w:r w:rsidRPr="006C28E7">
              <w:rPr>
                <w:rFonts w:eastAsia="Calibri"/>
                <w:color w:val="000000"/>
                <w:sz w:val="16"/>
                <w:szCs w:val="16"/>
                <w:lang w:eastAsia="en-US"/>
              </w:rPr>
              <w:t>)</w:t>
            </w: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Quantité de déchets restants à bord</w:t>
            </w:r>
          </w:p>
          <w:p w:rsidR="009C7E1C" w:rsidRPr="006C28E7" w:rsidRDefault="009C7E1C" w:rsidP="009C7E1C">
            <w:pPr>
              <w:widowControl/>
              <w:spacing w:after="122"/>
              <w:jc w:val="center"/>
              <w:rPr>
                <w:rFonts w:cs="Symbol"/>
                <w:color w:val="000000"/>
                <w:sz w:val="16"/>
                <w:szCs w:val="16"/>
                <w:lang w:eastAsia="en-US"/>
              </w:rPr>
            </w:pPr>
            <w:r w:rsidRPr="006C28E7">
              <w:rPr>
                <w:rFonts w:eastAsia="Calibri"/>
                <w:color w:val="000000"/>
                <w:sz w:val="16"/>
                <w:szCs w:val="16"/>
                <w:lang w:eastAsia="en-US"/>
              </w:rPr>
              <w:t>(m</w:t>
            </w:r>
            <w:r w:rsidRPr="006C28E7">
              <w:rPr>
                <w:rFonts w:eastAsia="Calibri"/>
                <w:color w:val="000000"/>
                <w:sz w:val="16"/>
                <w:szCs w:val="16"/>
                <w:vertAlign w:val="superscript"/>
                <w:lang w:eastAsia="en-US"/>
              </w:rPr>
              <w:t>3</w:t>
            </w:r>
            <w:r w:rsidRPr="006C28E7">
              <w:rPr>
                <w:rFonts w:eastAsia="Calibri"/>
                <w:color w:val="000000"/>
                <w:sz w:val="16"/>
                <w:szCs w:val="16"/>
                <w:lang w:eastAsia="en-US"/>
              </w:rPr>
              <w:t>)</w:t>
            </w:r>
          </w:p>
          <w:p w:rsidR="009C7E1C" w:rsidRPr="006C28E7" w:rsidRDefault="009C7E1C" w:rsidP="009C7E1C">
            <w:pPr>
              <w:widowControl/>
              <w:spacing w:before="60" w:after="60"/>
              <w:jc w:val="both"/>
              <w:rPr>
                <w:rFonts w:cs="Symbo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Port dans lequel les déchets restants seront déposés</w:t>
            </w:r>
          </w:p>
        </w:tc>
        <w:tc>
          <w:tcPr>
            <w:tcW w:w="1872"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jc w:val="center"/>
              <w:rPr>
                <w:rFonts w:cs="Arial"/>
                <w:color w:val="000000"/>
                <w:sz w:val="16"/>
                <w:szCs w:val="16"/>
                <w:lang w:eastAsia="en-US"/>
              </w:rPr>
            </w:pPr>
            <w:r w:rsidRPr="006C28E7">
              <w:rPr>
                <w:rFonts w:eastAsia="Calibri"/>
                <w:color w:val="000000"/>
                <w:sz w:val="16"/>
                <w:szCs w:val="16"/>
                <w:lang w:eastAsia="en-US"/>
              </w:rPr>
              <w:t>Estimation de la quantité</w:t>
            </w:r>
          </w:p>
          <w:p w:rsidR="009C7E1C" w:rsidRPr="006C28E7" w:rsidRDefault="009C7E1C" w:rsidP="009C7E1C">
            <w:pPr>
              <w:widowControl/>
              <w:spacing w:after="122"/>
              <w:jc w:val="center"/>
              <w:rPr>
                <w:rFonts w:cs="Arial"/>
                <w:color w:val="000000"/>
                <w:sz w:val="16"/>
                <w:szCs w:val="16"/>
                <w:vertAlign w:val="subscript"/>
                <w:lang w:eastAsia="en-US"/>
              </w:rPr>
            </w:pPr>
            <w:r w:rsidRPr="006C28E7">
              <w:rPr>
                <w:rFonts w:eastAsia="Calibri"/>
                <w:color w:val="000000"/>
                <w:sz w:val="16"/>
                <w:szCs w:val="16"/>
                <w:lang w:eastAsia="en-US"/>
              </w:rPr>
              <w:t>de déchets qui sera produite entre la notification et l</w:t>
            </w:r>
            <w:r w:rsidR="00D43184">
              <w:rPr>
                <w:rFonts w:eastAsia="Calibri"/>
                <w:color w:val="000000"/>
                <w:sz w:val="16"/>
                <w:szCs w:val="16"/>
                <w:lang w:eastAsia="en-US"/>
              </w:rPr>
              <w:t>’</w:t>
            </w:r>
            <w:r w:rsidRPr="006C28E7">
              <w:rPr>
                <w:rFonts w:eastAsia="Calibri"/>
                <w:color w:val="000000"/>
                <w:sz w:val="16"/>
                <w:szCs w:val="16"/>
                <w:lang w:eastAsia="en-US"/>
              </w:rPr>
              <w:t>entrée dans le port d</w:t>
            </w:r>
            <w:r w:rsidR="00D43184">
              <w:rPr>
                <w:rFonts w:eastAsia="Calibri"/>
                <w:color w:val="000000"/>
                <w:sz w:val="16"/>
                <w:szCs w:val="16"/>
                <w:lang w:eastAsia="en-US"/>
              </w:rPr>
              <w:t>’</w:t>
            </w:r>
            <w:r w:rsidRPr="006C28E7">
              <w:rPr>
                <w:rFonts w:eastAsia="Calibri"/>
                <w:color w:val="000000"/>
                <w:sz w:val="16"/>
                <w:szCs w:val="16"/>
                <w:lang w:eastAsia="en-US"/>
              </w:rPr>
              <w:t>escale suivant</w:t>
            </w:r>
          </w:p>
          <w:p w:rsidR="009C7E1C" w:rsidRPr="006C28E7" w:rsidRDefault="009C7E1C" w:rsidP="009C7E1C">
            <w:pPr>
              <w:widowControl/>
              <w:spacing w:after="122"/>
              <w:jc w:val="center"/>
              <w:rPr>
                <w:rFonts w:cs="Arial"/>
                <w:color w:val="000000"/>
                <w:sz w:val="16"/>
                <w:szCs w:val="16"/>
                <w:lang w:eastAsia="en-US"/>
              </w:rPr>
            </w:pPr>
            <w:r w:rsidRPr="006C28E7">
              <w:rPr>
                <w:rFonts w:eastAsia="Calibri"/>
                <w:color w:val="000000"/>
                <w:sz w:val="16"/>
                <w:szCs w:val="16"/>
                <w:lang w:eastAsia="en-US"/>
              </w:rPr>
              <w:t>(m</w:t>
            </w:r>
            <w:r w:rsidRPr="006C28E7">
              <w:rPr>
                <w:rFonts w:eastAsia="Calibri"/>
                <w:color w:val="000000"/>
                <w:sz w:val="16"/>
                <w:szCs w:val="16"/>
                <w:vertAlign w:val="superscript"/>
                <w:lang w:eastAsia="en-US"/>
              </w:rPr>
              <w:t>3</w:t>
            </w:r>
            <w:r w:rsidRPr="006C28E7">
              <w:rPr>
                <w:rFonts w:eastAsia="Calibri"/>
                <w:color w:val="000000"/>
                <w:sz w:val="16"/>
                <w:szCs w:val="16"/>
                <w:lang w:eastAsia="en-US"/>
              </w:rPr>
              <w:t>)</w:t>
            </w:r>
          </w:p>
        </w:tc>
      </w:tr>
      <w:tr w:rsidR="009C7E1C" w:rsidRPr="006C28E7" w:rsidTr="009C7E1C">
        <w:tc>
          <w:tcPr>
            <w:tcW w:w="8364" w:type="dxa"/>
            <w:gridSpan w:val="7"/>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b/>
                <w:color w:val="000000"/>
                <w:sz w:val="16"/>
                <w:szCs w:val="16"/>
                <w:lang w:eastAsia="en-US"/>
              </w:rPr>
            </w:pPr>
          </w:p>
          <w:p w:rsidR="009C7E1C" w:rsidRPr="006C28E7" w:rsidRDefault="009C7E1C" w:rsidP="009C7E1C">
            <w:pPr>
              <w:widowControl/>
              <w:rPr>
                <w:rFonts w:cs="Arial"/>
                <w:b/>
                <w:color w:val="000000"/>
                <w:sz w:val="16"/>
                <w:szCs w:val="16"/>
                <w:lang w:eastAsia="en-US"/>
              </w:rPr>
            </w:pPr>
            <w:r w:rsidRPr="006C28E7">
              <w:rPr>
                <w:rFonts w:eastAsia="Calibri"/>
                <w:b/>
                <w:color w:val="000000"/>
                <w:sz w:val="16"/>
                <w:szCs w:val="16"/>
                <w:lang w:eastAsia="en-US"/>
              </w:rPr>
              <w:t>Annexe I de MARPOL – Hydrocarbures</w:t>
            </w:r>
          </w:p>
          <w:p w:rsidR="009C7E1C" w:rsidRPr="006C28E7" w:rsidRDefault="009C7E1C" w:rsidP="009C7E1C">
            <w:pPr>
              <w:widowControl/>
              <w:rPr>
                <w:rFonts w:cs="Arial"/>
                <w:b/>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Eaux de cale polluées par les hydrocarbures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b/>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Résidus d</w:t>
            </w:r>
            <w:r w:rsidR="00D43184">
              <w:rPr>
                <w:rFonts w:eastAsia="Calibri"/>
                <w:color w:val="000000"/>
                <w:sz w:val="16"/>
                <w:szCs w:val="16"/>
                <w:lang w:eastAsia="en-US"/>
              </w:rPr>
              <w:t>’</w:t>
            </w:r>
            <w:r w:rsidRPr="006C28E7">
              <w:rPr>
                <w:rFonts w:eastAsia="Calibri"/>
                <w:color w:val="000000"/>
                <w:sz w:val="16"/>
                <w:szCs w:val="16"/>
                <w:lang w:eastAsia="en-US"/>
              </w:rPr>
              <w:t>hydrocarbures (boues)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b/>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Eaux de lavage des citernes d</w:t>
            </w:r>
            <w:r w:rsidR="00D43184">
              <w:rPr>
                <w:rFonts w:eastAsia="Calibri"/>
                <w:color w:val="000000"/>
                <w:sz w:val="16"/>
                <w:szCs w:val="16"/>
                <w:lang w:eastAsia="en-US"/>
              </w:rPr>
              <w:t>’</w:t>
            </w:r>
            <w:r w:rsidRPr="006C28E7">
              <w:rPr>
                <w:rFonts w:eastAsia="Calibri"/>
                <w:color w:val="000000"/>
                <w:sz w:val="16"/>
                <w:szCs w:val="16"/>
                <w:lang w:eastAsia="en-US"/>
              </w:rPr>
              <w:t>hydrocarbures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b/>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b/>
                <w:i/>
                <w:color w:val="000000"/>
                <w:sz w:val="16"/>
                <w:szCs w:val="16"/>
                <w:lang w:eastAsia="en-US"/>
              </w:rPr>
              <w:t>Eaux de ballast sales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b/>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Tartre et boues provenant du nettoyage des citernes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Autres (veuillez préciser)</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gridSpan w:val="2"/>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bl>
    <w:p w:rsidR="009C7E1C" w:rsidRPr="006C28E7" w:rsidRDefault="009C7E1C" w:rsidP="009C7E1C">
      <w:pPr>
        <w:widowControl/>
        <w:spacing w:line="360" w:lineRule="auto"/>
        <w:rPr>
          <w:rFonts w:cs="Arial"/>
          <w:szCs w:val="22"/>
          <w:lang w:eastAsia="en-US"/>
        </w:rPr>
      </w:pPr>
      <w:r w:rsidRPr="006C28E7">
        <w:rPr>
          <w:rFonts w:eastAsia="Calibri"/>
          <w:szCs w:val="22"/>
          <w:lang w:eastAsia="en-US"/>
        </w:rPr>
        <w:br w:type="page"/>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11"/>
        <w:gridCol w:w="1319"/>
        <w:gridCol w:w="1113"/>
        <w:gridCol w:w="1259"/>
        <w:gridCol w:w="1872"/>
      </w:tblGrid>
      <w:tr w:rsidR="009C7E1C" w:rsidRPr="006C28E7" w:rsidTr="009C7E1C">
        <w:tc>
          <w:tcPr>
            <w:tcW w:w="8364" w:type="dxa"/>
            <w:gridSpan w:val="6"/>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b/>
                <w:color w:val="000000"/>
                <w:sz w:val="16"/>
                <w:szCs w:val="16"/>
                <w:lang w:eastAsia="en-US"/>
              </w:rPr>
            </w:pPr>
          </w:p>
          <w:p w:rsidR="009C7E1C" w:rsidRPr="006C28E7" w:rsidRDefault="009C7E1C" w:rsidP="009C7E1C">
            <w:pPr>
              <w:widowControl/>
              <w:rPr>
                <w:rFonts w:cs="Arial"/>
                <w:b/>
                <w:color w:val="000000"/>
                <w:sz w:val="16"/>
                <w:szCs w:val="16"/>
                <w:lang w:eastAsia="en-US"/>
              </w:rPr>
            </w:pPr>
            <w:r w:rsidRPr="006C28E7">
              <w:rPr>
                <w:rFonts w:eastAsia="Calibri"/>
                <w:b/>
                <w:color w:val="000000"/>
                <w:sz w:val="16"/>
                <w:szCs w:val="16"/>
                <w:lang w:eastAsia="en-US"/>
              </w:rPr>
              <w:t xml:space="preserve">Annexe II de MARPOL – </w:t>
            </w:r>
            <w:r w:rsidRPr="006C28E7">
              <w:rPr>
                <w:rFonts w:eastAsia="Calibri"/>
                <w:b/>
                <w:caps/>
                <w:color w:val="000000"/>
                <w:sz w:val="16"/>
                <w:szCs w:val="16"/>
                <w:lang w:eastAsia="en-US"/>
              </w:rPr>
              <w:t>Substances liquides nocives</w:t>
            </w:r>
            <w:r w:rsidRPr="006C28E7">
              <w:rPr>
                <w:rFonts w:eastAsia="Calibri"/>
                <w:b/>
                <w:color w:val="000000"/>
                <w:sz w:val="16"/>
                <w:szCs w:val="16"/>
                <w:lang w:eastAsia="en-US"/>
              </w:rPr>
              <w:t xml:space="preserve"> (SLN)</w:t>
            </w:r>
            <w:r w:rsidRPr="006C28E7">
              <w:rPr>
                <w:rFonts w:cs="Arial"/>
                <w:color w:val="000000"/>
                <w:sz w:val="20"/>
                <w:vertAlign w:val="superscript"/>
                <w:lang w:eastAsia="en-US"/>
              </w:rPr>
              <w:footnoteReference w:id="28"/>
            </w:r>
          </w:p>
          <w:p w:rsidR="009C7E1C" w:rsidRPr="006C28E7" w:rsidRDefault="009C7E1C" w:rsidP="009C7E1C">
            <w:pPr>
              <w:widowControl/>
              <w:rPr>
                <w:rFonts w:cs="Arial"/>
                <w:b/>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Substance de catégorie X</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Substance de catégorie Y</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Substance de catégorie Z</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AS - Autres substances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8364" w:type="dxa"/>
            <w:gridSpan w:val="6"/>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color w:val="000000"/>
                <w:sz w:val="16"/>
                <w:szCs w:val="16"/>
                <w:lang w:eastAsia="en-US"/>
              </w:rPr>
            </w:pPr>
            <w:r w:rsidRPr="006C28E7">
              <w:rPr>
                <w:rFonts w:eastAsia="Calibri"/>
                <w:b/>
                <w:color w:val="000000"/>
                <w:sz w:val="16"/>
                <w:szCs w:val="16"/>
                <w:lang w:eastAsia="en-US"/>
              </w:rPr>
              <w:t>Annexe IV de MARPOL – Eaux usées</w:t>
            </w: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rPr>
                <w:rFonts w:cs="Arial"/>
                <w:b/>
                <w:color w:val="000000"/>
                <w:sz w:val="16"/>
                <w:szCs w:val="16"/>
                <w:lang w:eastAsia="en-US"/>
              </w:rPr>
            </w:pP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8364" w:type="dxa"/>
            <w:gridSpan w:val="6"/>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color w:val="000000"/>
                <w:sz w:val="16"/>
                <w:szCs w:val="16"/>
                <w:lang w:eastAsia="en-US"/>
              </w:rPr>
            </w:pPr>
            <w:r w:rsidRPr="006C28E7">
              <w:rPr>
                <w:rFonts w:eastAsia="Calibri"/>
                <w:b/>
                <w:color w:val="000000"/>
                <w:sz w:val="16"/>
                <w:szCs w:val="16"/>
                <w:lang w:eastAsia="en-US"/>
              </w:rPr>
              <w:t xml:space="preserve">Annexe V de MARPOL – Ordures </w:t>
            </w: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A. Matières plastiques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B. Déchets alimentaires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C. Déchets domestiques (papier, chiffons, verre, métaux, bouteilles, vaisselle, etc.)</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D. Huiles de cuisson</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E. Cendres d</w:t>
            </w:r>
            <w:r w:rsidR="00D43184">
              <w:rPr>
                <w:rFonts w:eastAsia="Calibri"/>
                <w:color w:val="000000"/>
                <w:sz w:val="16"/>
                <w:szCs w:val="16"/>
                <w:lang w:eastAsia="en-US"/>
              </w:rPr>
              <w:t>’</w:t>
            </w:r>
            <w:r w:rsidRPr="006C28E7">
              <w:rPr>
                <w:rFonts w:eastAsia="Calibri"/>
                <w:color w:val="000000"/>
                <w:sz w:val="16"/>
                <w:szCs w:val="16"/>
                <w:lang w:eastAsia="en-US"/>
              </w:rPr>
              <w:t>incinération</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b/>
                <w:i/>
                <w:color w:val="000000"/>
                <w:sz w:val="16"/>
                <w:szCs w:val="16"/>
                <w:lang w:eastAsia="en-US"/>
              </w:rPr>
            </w:pPr>
            <w:r w:rsidRPr="006C28E7">
              <w:rPr>
                <w:rFonts w:eastAsia="Calibri"/>
                <w:color w:val="000000"/>
                <w:sz w:val="16"/>
                <w:szCs w:val="16"/>
                <w:lang w:eastAsia="en-US"/>
              </w:rPr>
              <w:t>▌</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pageBreakBefore/>
              <w:widowControl/>
              <w:spacing w:after="122"/>
              <w:rPr>
                <w:rFonts w:cs="Arial"/>
                <w:color w:val="000000"/>
                <w:sz w:val="16"/>
                <w:szCs w:val="16"/>
                <w:lang w:eastAsia="en-US"/>
              </w:rPr>
            </w:pPr>
            <w:r w:rsidRPr="006C28E7">
              <w:rPr>
                <w:rFonts w:eastAsia="Calibri"/>
                <w:color w:val="000000"/>
                <w:sz w:val="16"/>
                <w:szCs w:val="16"/>
                <w:lang w:eastAsia="en-US"/>
              </w:rPr>
              <w:t>F. Déchets d</w:t>
            </w:r>
            <w:r w:rsidR="00D43184">
              <w:rPr>
                <w:rFonts w:eastAsia="Calibri"/>
                <w:color w:val="000000"/>
                <w:sz w:val="16"/>
                <w:szCs w:val="16"/>
                <w:lang w:eastAsia="en-US"/>
              </w:rPr>
              <w:t>’</w:t>
            </w:r>
            <w:r w:rsidRPr="006C28E7">
              <w:rPr>
                <w:rFonts w:eastAsia="Calibri"/>
                <w:color w:val="000000"/>
                <w:sz w:val="16"/>
                <w:szCs w:val="16"/>
                <w:lang w:eastAsia="en-US"/>
              </w:rPr>
              <w:t>exploitation</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G. Carcasse(s) d</w:t>
            </w:r>
            <w:r w:rsidR="00D43184">
              <w:rPr>
                <w:rFonts w:eastAsia="Calibri"/>
                <w:color w:val="000000"/>
                <w:sz w:val="16"/>
                <w:szCs w:val="16"/>
                <w:lang w:eastAsia="en-US"/>
              </w:rPr>
              <w:t>’</w:t>
            </w:r>
            <w:r w:rsidRPr="006C28E7">
              <w:rPr>
                <w:rFonts w:eastAsia="Calibri"/>
                <w:color w:val="000000"/>
                <w:sz w:val="16"/>
                <w:szCs w:val="16"/>
                <w:lang w:eastAsia="en-US"/>
              </w:rPr>
              <w:t>animaux</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H. Engins de pêche</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b/>
                <w:i/>
                <w:color w:val="000000"/>
                <w:sz w:val="16"/>
                <w:szCs w:val="16"/>
                <w:lang w:eastAsia="en-US"/>
              </w:rPr>
              <w:t>I. Déchets électroniques</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b/>
                <w:bCs/>
                <w:i/>
                <w:color w:val="000000"/>
                <w:sz w:val="16"/>
                <w:szCs w:val="16"/>
                <w:lang w:eastAsia="en-US"/>
              </w:rPr>
              <w:t>J. Résidus de cargaison</w:t>
            </w:r>
            <w:r w:rsidRPr="006C28E7">
              <w:rPr>
                <w:rFonts w:cs="Arial"/>
                <w:i/>
                <w:color w:val="000000"/>
                <w:sz w:val="16"/>
                <w:szCs w:val="16"/>
                <w:vertAlign w:val="superscript"/>
                <w:lang w:eastAsia="en-US"/>
              </w:rPr>
              <w:footnoteReference w:id="29"/>
            </w:r>
            <w:r w:rsidRPr="006C28E7">
              <w:rPr>
                <w:rFonts w:eastAsia="Calibri"/>
                <w:b/>
                <w:bCs/>
                <w:i/>
                <w:color w:val="000000"/>
                <w:sz w:val="16"/>
                <w:szCs w:val="16"/>
                <w:lang w:eastAsia="en-US"/>
              </w:rPr>
              <w:t xml:space="preserve"> (nocifs pour le milieu marin - HME)</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b/>
                <w:bCs/>
                <w:i/>
                <w:color w:val="000000"/>
                <w:sz w:val="16"/>
                <w:szCs w:val="16"/>
                <w:lang w:eastAsia="en-US"/>
              </w:rPr>
              <w:t>K. Résidus de cargaison</w:t>
            </w:r>
            <w:r w:rsidRPr="006C28E7">
              <w:rPr>
                <w:rFonts w:cs="Arial"/>
                <w:i/>
                <w:color w:val="000000"/>
                <w:sz w:val="16"/>
                <w:szCs w:val="16"/>
                <w:vertAlign w:val="superscript"/>
                <w:lang w:eastAsia="en-US"/>
              </w:rPr>
              <w:footnoteReference w:id="30"/>
            </w:r>
            <w:r w:rsidRPr="006C28E7">
              <w:rPr>
                <w:rFonts w:eastAsia="Calibri"/>
                <w:b/>
                <w:bCs/>
                <w:i/>
                <w:color w:val="000000"/>
                <w:sz w:val="16"/>
                <w:szCs w:val="16"/>
                <w:lang w:eastAsia="en-US"/>
              </w:rPr>
              <w:t xml:space="preserve"> (non HME)</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8364" w:type="dxa"/>
            <w:gridSpan w:val="6"/>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p w:rsidR="009C7E1C" w:rsidRPr="006C28E7" w:rsidRDefault="009C7E1C" w:rsidP="009C7E1C">
            <w:pPr>
              <w:widowControl/>
              <w:rPr>
                <w:rFonts w:cs="Arial"/>
                <w:b/>
                <w:color w:val="000000"/>
                <w:sz w:val="16"/>
                <w:szCs w:val="16"/>
                <w:lang w:eastAsia="en-US"/>
              </w:rPr>
            </w:pPr>
            <w:r w:rsidRPr="006C28E7">
              <w:rPr>
                <w:rFonts w:eastAsia="Calibri"/>
                <w:b/>
                <w:color w:val="000000"/>
                <w:sz w:val="16"/>
                <w:szCs w:val="16"/>
                <w:lang w:eastAsia="en-US"/>
              </w:rPr>
              <w:t>Annexe VI de MARPOL – Pollution de l</w:t>
            </w:r>
            <w:r w:rsidR="00D43184">
              <w:rPr>
                <w:rFonts w:eastAsia="Calibri"/>
                <w:b/>
                <w:color w:val="000000"/>
                <w:sz w:val="16"/>
                <w:szCs w:val="16"/>
                <w:lang w:eastAsia="en-US"/>
              </w:rPr>
              <w:t>’</w:t>
            </w:r>
            <w:r w:rsidRPr="006C28E7">
              <w:rPr>
                <w:rFonts w:eastAsia="Calibri"/>
                <w:b/>
                <w:color w:val="000000"/>
                <w:sz w:val="16"/>
                <w:szCs w:val="16"/>
                <w:lang w:eastAsia="en-US"/>
              </w:rPr>
              <w:t>atmosphère</w:t>
            </w:r>
          </w:p>
          <w:p w:rsidR="009C7E1C" w:rsidRPr="006C28E7" w:rsidRDefault="009C7E1C" w:rsidP="009C7E1C">
            <w:pPr>
              <w:widowControl/>
              <w:rPr>
                <w:rFonts w:cs="Arial"/>
                <w:b/>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b/>
                <w:color w:val="000000"/>
                <w:sz w:val="16"/>
                <w:szCs w:val="16"/>
                <w:vertAlign w:val="superscript"/>
                <w:lang w:eastAsia="en-US"/>
              </w:rPr>
            </w:pPr>
            <w:r w:rsidRPr="006C28E7">
              <w:rPr>
                <w:rFonts w:eastAsia="Calibri"/>
                <w:color w:val="000000"/>
                <w:sz w:val="16"/>
                <w:szCs w:val="16"/>
                <w:lang w:eastAsia="en-US"/>
              </w:rPr>
              <w:t>Substances appauvrissant la couche d</w:t>
            </w:r>
            <w:r w:rsidR="00D43184">
              <w:rPr>
                <w:rFonts w:eastAsia="Calibri"/>
                <w:color w:val="000000"/>
                <w:sz w:val="16"/>
                <w:szCs w:val="16"/>
                <w:lang w:eastAsia="en-US"/>
              </w:rPr>
              <w:t>’</w:t>
            </w:r>
            <w:r w:rsidRPr="006C28E7">
              <w:rPr>
                <w:rFonts w:eastAsia="Calibri"/>
                <w:color w:val="000000"/>
                <w:sz w:val="16"/>
                <w:szCs w:val="16"/>
                <w:lang w:eastAsia="en-US"/>
              </w:rPr>
              <w:t>ozone et équipements contenant de telles substances</w:t>
            </w:r>
            <w:r w:rsidRPr="006C28E7">
              <w:rPr>
                <w:rFonts w:cs="Arial"/>
                <w:b/>
                <w:color w:val="000000"/>
                <w:sz w:val="16"/>
                <w:szCs w:val="16"/>
                <w:vertAlign w:val="superscript"/>
                <w:lang w:eastAsia="en-US"/>
              </w:rPr>
              <w:footnoteReference w:id="31"/>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r w:rsidR="009C7E1C" w:rsidRPr="006C28E7" w:rsidTr="009C7E1C">
        <w:tc>
          <w:tcPr>
            <w:tcW w:w="1490"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cs="Arial"/>
                <w:color w:val="000000"/>
                <w:sz w:val="16"/>
                <w:szCs w:val="16"/>
                <w:lang w:eastAsia="en-US"/>
              </w:rPr>
            </w:pPr>
            <w:r w:rsidRPr="006C28E7">
              <w:rPr>
                <w:rFonts w:eastAsia="Calibri"/>
                <w:color w:val="000000"/>
                <w:sz w:val="16"/>
                <w:szCs w:val="16"/>
                <w:lang w:eastAsia="en-US"/>
              </w:rPr>
              <w:t>Résidus d</w:t>
            </w:r>
            <w:r w:rsidR="00D43184">
              <w:rPr>
                <w:rFonts w:eastAsia="Calibri"/>
                <w:color w:val="000000"/>
                <w:sz w:val="16"/>
                <w:szCs w:val="16"/>
                <w:lang w:eastAsia="en-US"/>
              </w:rPr>
              <w:t>’</w:t>
            </w:r>
            <w:r w:rsidRPr="006C28E7">
              <w:rPr>
                <w:rFonts w:eastAsia="Calibri"/>
                <w:color w:val="000000"/>
                <w:sz w:val="16"/>
                <w:szCs w:val="16"/>
                <w:lang w:eastAsia="en-US"/>
              </w:rPr>
              <w:t>épuration des gaz d</w:t>
            </w:r>
            <w:r w:rsidR="00D43184">
              <w:rPr>
                <w:rFonts w:eastAsia="Calibri"/>
                <w:color w:val="000000"/>
                <w:sz w:val="16"/>
                <w:szCs w:val="16"/>
                <w:lang w:eastAsia="en-US"/>
              </w:rPr>
              <w:t>’</w:t>
            </w:r>
            <w:r w:rsidRPr="006C28E7">
              <w:rPr>
                <w:rFonts w:eastAsia="Calibri"/>
                <w:color w:val="000000"/>
                <w:sz w:val="16"/>
                <w:szCs w:val="16"/>
                <w:lang w:eastAsia="en-US"/>
              </w:rPr>
              <w:t>échappement</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cs="Arial"/>
                <w:color w:val="000000"/>
                <w:sz w:val="16"/>
                <w:szCs w:val="16"/>
                <w:lang w:eastAsia="en-US"/>
              </w:rPr>
            </w:pPr>
          </w:p>
        </w:tc>
        <w:tc>
          <w:tcPr>
            <w:tcW w:w="1872"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color w:val="000000"/>
                <w:sz w:val="16"/>
                <w:szCs w:val="16"/>
                <w:lang w:eastAsia="en-US"/>
              </w:rPr>
            </w:pPr>
          </w:p>
        </w:tc>
      </w:tr>
    </w:tbl>
    <w:p w:rsidR="009C7E1C" w:rsidRPr="006C28E7" w:rsidRDefault="009C7E1C" w:rsidP="009C7E1C">
      <w:pPr>
        <w:widowControl/>
        <w:spacing w:line="360" w:lineRule="auto"/>
        <w:rPr>
          <w:rFonts w:cs="Arial"/>
          <w:szCs w:val="22"/>
          <w:lang w:eastAsia="en-US"/>
        </w:rPr>
      </w:pPr>
    </w:p>
    <w:tbl>
      <w:tblPr>
        <w:tblStyle w:val="TableGrid21"/>
        <w:tblW w:w="0" w:type="auto"/>
        <w:tblInd w:w="-34" w:type="dxa"/>
        <w:tblLook w:val="04A0" w:firstRow="1" w:lastRow="0" w:firstColumn="1" w:lastColumn="0" w:noHBand="0" w:noVBand="1"/>
      </w:tblPr>
      <w:tblGrid>
        <w:gridCol w:w="1632"/>
        <w:gridCol w:w="1311"/>
        <w:gridCol w:w="1319"/>
        <w:gridCol w:w="1113"/>
        <w:gridCol w:w="1259"/>
        <w:gridCol w:w="1730"/>
      </w:tblGrid>
      <w:tr w:rsidR="009C7E1C" w:rsidRPr="006C28E7" w:rsidTr="009C7E1C">
        <w:tc>
          <w:tcPr>
            <w:tcW w:w="8364" w:type="dxa"/>
            <w:gridSpan w:val="6"/>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b/>
                <w:i/>
                <w:iCs/>
                <w:color w:val="000000"/>
                <w:sz w:val="16"/>
                <w:szCs w:val="16"/>
                <w:lang w:eastAsia="en-US"/>
              </w:rPr>
            </w:pPr>
            <w:r w:rsidRPr="006C28E7">
              <w:rPr>
                <w:rFonts w:eastAsia="Calibri"/>
                <w:lang w:eastAsia="en-US"/>
              </w:rPr>
              <w:br w:type="page"/>
            </w:r>
          </w:p>
          <w:p w:rsidR="009C7E1C" w:rsidRPr="006C28E7" w:rsidRDefault="009C7E1C" w:rsidP="009C7E1C">
            <w:pPr>
              <w:widowControl/>
              <w:rPr>
                <w:rFonts w:eastAsia="Calibri"/>
                <w:b/>
                <w:i/>
                <w:iCs/>
                <w:color w:val="000000"/>
                <w:sz w:val="16"/>
                <w:szCs w:val="16"/>
                <w:lang w:eastAsia="en-US"/>
              </w:rPr>
            </w:pPr>
            <w:r w:rsidRPr="006C28E7">
              <w:rPr>
                <w:rFonts w:eastAsia="Calibri"/>
                <w:b/>
                <w:i/>
                <w:iCs/>
                <w:color w:val="000000"/>
                <w:sz w:val="16"/>
                <w:szCs w:val="16"/>
                <w:lang w:eastAsia="en-US"/>
              </w:rPr>
              <w:t>Autres déchets, non couverts par MARPOL</w:t>
            </w:r>
          </w:p>
          <w:p w:rsidR="009C7E1C" w:rsidRPr="006C28E7" w:rsidRDefault="009C7E1C" w:rsidP="009C7E1C">
            <w:pPr>
              <w:widowControl/>
              <w:rPr>
                <w:rFonts w:eastAsia="Calibri"/>
                <w:i/>
                <w:iCs/>
                <w:color w:val="000000"/>
                <w:sz w:val="16"/>
                <w:szCs w:val="16"/>
                <w:lang w:eastAsia="en-US"/>
              </w:rPr>
            </w:pPr>
          </w:p>
        </w:tc>
      </w:tr>
      <w:tr w:rsidR="009C7E1C" w:rsidRPr="006C28E7" w:rsidTr="009C7E1C">
        <w:tc>
          <w:tcPr>
            <w:tcW w:w="1632"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after="122"/>
              <w:rPr>
                <w:rFonts w:eastAsia="Calibri"/>
                <w:b/>
                <w:i/>
                <w:iCs/>
                <w:color w:val="000000"/>
                <w:sz w:val="16"/>
                <w:szCs w:val="16"/>
                <w:lang w:eastAsia="en-US"/>
              </w:rPr>
            </w:pPr>
            <w:r w:rsidRPr="006C28E7">
              <w:rPr>
                <w:rFonts w:eastAsia="Calibri"/>
                <w:b/>
                <w:i/>
                <w:iCs/>
                <w:color w:val="000000"/>
                <w:sz w:val="16"/>
                <w:szCs w:val="16"/>
                <w:lang w:eastAsia="en-US"/>
              </w:rPr>
              <w:t>Déchets pêchés passivement</w:t>
            </w:r>
          </w:p>
        </w:tc>
        <w:tc>
          <w:tcPr>
            <w:tcW w:w="13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eastAsia="Calibri"/>
                <w:i/>
                <w:iCs/>
                <w:color w:val="000000"/>
                <w:sz w:val="16"/>
                <w:szCs w:val="16"/>
                <w:lang w:eastAsia="en-US"/>
              </w:rPr>
            </w:pPr>
          </w:p>
        </w:tc>
        <w:tc>
          <w:tcPr>
            <w:tcW w:w="131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eastAsia="Calibri"/>
                <w:i/>
                <w:iCs/>
                <w:color w:val="000000"/>
                <w:sz w:val="16"/>
                <w:szCs w:val="16"/>
                <w:lang w:eastAsia="en-US"/>
              </w:rPr>
            </w:pPr>
          </w:p>
        </w:tc>
        <w:tc>
          <w:tcPr>
            <w:tcW w:w="1113"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eastAsia="Calibri"/>
                <w:iCs/>
                <w:color w:val="000000"/>
                <w:sz w:val="16"/>
                <w:szCs w:val="16"/>
                <w:lang w:eastAsia="en-US"/>
              </w:rPr>
            </w:pPr>
          </w:p>
        </w:tc>
        <w:tc>
          <w:tcPr>
            <w:tcW w:w="1259"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after="122"/>
              <w:jc w:val="center"/>
              <w:rPr>
                <w:rFonts w:eastAsia="Calibri"/>
                <w:color w:val="000000"/>
                <w:sz w:val="16"/>
                <w:szCs w:val="16"/>
                <w:lang w:eastAsia="en-US"/>
              </w:rPr>
            </w:pPr>
          </w:p>
        </w:tc>
        <w:tc>
          <w:tcPr>
            <w:tcW w:w="1730"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color w:val="000000"/>
                <w:sz w:val="16"/>
                <w:szCs w:val="16"/>
                <w:lang w:eastAsia="en-US"/>
              </w:rPr>
            </w:pPr>
          </w:p>
        </w:tc>
      </w:tr>
    </w:tbl>
    <w:p w:rsidR="009C7E1C" w:rsidRPr="006C28E7" w:rsidRDefault="009C7E1C" w:rsidP="009C7E1C">
      <w:pPr>
        <w:widowControl/>
        <w:spacing w:line="360" w:lineRule="auto"/>
        <w:rPr>
          <w:rFonts w:cs="Arial"/>
          <w:szCs w:val="22"/>
          <w:lang w:eastAsia="en-US"/>
        </w:rPr>
      </w:pPr>
    </w:p>
    <w:p w:rsidR="009C7E1C" w:rsidRPr="006C28E7" w:rsidRDefault="009C7E1C" w:rsidP="009C7E1C">
      <w:pPr>
        <w:widowControl/>
        <w:spacing w:line="360" w:lineRule="auto"/>
        <w:rPr>
          <w:rFonts w:cs="Arial"/>
          <w:szCs w:val="22"/>
          <w:lang w:eastAsia="en-US"/>
        </w:rPr>
      </w:pPr>
      <w:r w:rsidRPr="006C28E7">
        <w:rPr>
          <w:rFonts w:eastAsia="Calibri"/>
          <w:szCs w:val="22"/>
          <w:lang w:eastAsia="en-US"/>
        </w:rPr>
        <w:t>Remarques</w:t>
      </w:r>
    </w:p>
    <w:p w:rsidR="009C7E1C" w:rsidRPr="006C28E7" w:rsidRDefault="009C7E1C" w:rsidP="009C7E1C">
      <w:pPr>
        <w:widowControl/>
        <w:tabs>
          <w:tab w:val="left" w:pos="850"/>
        </w:tabs>
        <w:autoSpaceDE w:val="0"/>
        <w:autoSpaceDN w:val="0"/>
        <w:adjustRightInd w:val="0"/>
        <w:spacing w:before="120" w:after="120" w:line="360" w:lineRule="auto"/>
        <w:ind w:left="850" w:hanging="850"/>
        <w:rPr>
          <w:sz w:val="16"/>
          <w:szCs w:val="16"/>
          <w:lang w:eastAsia="en-US"/>
        </w:rPr>
      </w:pPr>
      <w:r w:rsidRPr="006C28E7">
        <w:rPr>
          <w:rFonts w:eastAsia="Calibri"/>
          <w:sz w:val="16"/>
          <w:szCs w:val="16"/>
          <w:lang w:eastAsia="en-US"/>
        </w:rPr>
        <w:t>1.</w:t>
      </w:r>
      <w:r w:rsidRPr="006C28E7">
        <w:rPr>
          <w:rFonts w:eastAsia="Calibri"/>
          <w:sz w:val="16"/>
          <w:szCs w:val="16"/>
          <w:lang w:eastAsia="en-US"/>
        </w:rPr>
        <w:tab/>
        <w:t>Ces renseignements sont utilisés à des fins de contrôle par l</w:t>
      </w:r>
      <w:r w:rsidR="00D43184">
        <w:rPr>
          <w:rFonts w:eastAsia="Calibri"/>
          <w:sz w:val="16"/>
          <w:szCs w:val="16"/>
          <w:lang w:eastAsia="en-US"/>
        </w:rPr>
        <w:t>’</w:t>
      </w:r>
      <w:r w:rsidRPr="006C28E7">
        <w:rPr>
          <w:rFonts w:eastAsia="Calibri"/>
          <w:sz w:val="16"/>
          <w:szCs w:val="16"/>
          <w:lang w:eastAsia="en-US"/>
        </w:rPr>
        <w:t>État du port ainsi qu</w:t>
      </w:r>
      <w:r w:rsidR="00D43184">
        <w:rPr>
          <w:rFonts w:eastAsia="Calibri"/>
          <w:sz w:val="16"/>
          <w:szCs w:val="16"/>
          <w:lang w:eastAsia="en-US"/>
        </w:rPr>
        <w:t>’</w:t>
      </w:r>
      <w:r w:rsidRPr="006C28E7">
        <w:rPr>
          <w:rFonts w:eastAsia="Calibri"/>
          <w:sz w:val="16"/>
          <w:szCs w:val="16"/>
          <w:lang w:eastAsia="en-US"/>
        </w:rPr>
        <w:t>à d</w:t>
      </w:r>
      <w:r w:rsidR="00D43184">
        <w:rPr>
          <w:rFonts w:eastAsia="Calibri"/>
          <w:sz w:val="16"/>
          <w:szCs w:val="16"/>
          <w:lang w:eastAsia="en-US"/>
        </w:rPr>
        <w:t>’</w:t>
      </w:r>
      <w:r w:rsidRPr="006C28E7">
        <w:rPr>
          <w:rFonts w:eastAsia="Calibri"/>
          <w:sz w:val="16"/>
          <w:szCs w:val="16"/>
          <w:lang w:eastAsia="en-US"/>
        </w:rPr>
        <w:t>autres fins d</w:t>
      </w:r>
      <w:r w:rsidR="00D43184">
        <w:rPr>
          <w:rFonts w:eastAsia="Calibri"/>
          <w:sz w:val="16"/>
          <w:szCs w:val="16"/>
          <w:lang w:eastAsia="en-US"/>
        </w:rPr>
        <w:t>’</w:t>
      </w:r>
      <w:r w:rsidRPr="006C28E7">
        <w:rPr>
          <w:rFonts w:eastAsia="Calibri"/>
          <w:sz w:val="16"/>
          <w:szCs w:val="16"/>
          <w:lang w:eastAsia="en-US"/>
        </w:rPr>
        <w:t>inspection.</w:t>
      </w:r>
    </w:p>
    <w:p w:rsidR="009C7E1C" w:rsidRPr="006C28E7" w:rsidRDefault="009C7E1C" w:rsidP="009C7E1C">
      <w:pPr>
        <w:tabs>
          <w:tab w:val="left" w:pos="850"/>
        </w:tabs>
        <w:autoSpaceDE w:val="0"/>
        <w:autoSpaceDN w:val="0"/>
        <w:adjustRightInd w:val="0"/>
        <w:spacing w:line="360" w:lineRule="auto"/>
        <w:ind w:left="850" w:hanging="850"/>
        <w:rPr>
          <w:color w:val="000000"/>
          <w:sz w:val="18"/>
          <w:szCs w:val="18"/>
          <w:lang w:eastAsia="en-US"/>
        </w:rPr>
      </w:pPr>
      <w:r w:rsidRPr="006C28E7">
        <w:rPr>
          <w:rFonts w:eastAsia="Calibri"/>
          <w:color w:val="000000"/>
          <w:sz w:val="18"/>
          <w:szCs w:val="18"/>
          <w:lang w:eastAsia="en-US"/>
        </w:rPr>
        <w:t>2.</w:t>
      </w:r>
      <w:r w:rsidRPr="006C28E7">
        <w:rPr>
          <w:rFonts w:eastAsia="Calibri"/>
          <w:color w:val="000000"/>
          <w:sz w:val="18"/>
          <w:szCs w:val="18"/>
          <w:lang w:eastAsia="en-US"/>
        </w:rPr>
        <w:tab/>
      </w:r>
      <w:r w:rsidRPr="006C28E7">
        <w:rPr>
          <w:rFonts w:eastAsia="Calibri"/>
          <w:sz w:val="16"/>
          <w:szCs w:val="16"/>
          <w:lang w:eastAsia="en-US"/>
        </w:rPr>
        <w:t>Le présent formulaire doit être rempli, sauf si le navire fait l</w:t>
      </w:r>
      <w:r w:rsidR="00D43184">
        <w:rPr>
          <w:rFonts w:eastAsia="Calibri"/>
          <w:sz w:val="16"/>
          <w:szCs w:val="16"/>
          <w:lang w:eastAsia="en-US"/>
        </w:rPr>
        <w:t>’</w:t>
      </w:r>
      <w:r w:rsidRPr="006C28E7">
        <w:rPr>
          <w:rFonts w:eastAsia="Calibri"/>
          <w:sz w:val="16"/>
          <w:szCs w:val="16"/>
          <w:lang w:eastAsia="en-US"/>
        </w:rPr>
        <w:t>objet d</w:t>
      </w:r>
      <w:r w:rsidR="00D43184">
        <w:rPr>
          <w:rFonts w:eastAsia="Calibri"/>
          <w:sz w:val="16"/>
          <w:szCs w:val="16"/>
          <w:lang w:eastAsia="en-US"/>
        </w:rPr>
        <w:t>’</w:t>
      </w:r>
      <w:r w:rsidRPr="006C28E7">
        <w:rPr>
          <w:rFonts w:eastAsia="Calibri"/>
          <w:sz w:val="16"/>
          <w:szCs w:val="16"/>
          <w:lang w:eastAsia="en-US"/>
        </w:rPr>
        <w:t>une exemption conformément à l</w:t>
      </w:r>
      <w:r w:rsidR="00D43184">
        <w:rPr>
          <w:rFonts w:eastAsia="Calibri"/>
          <w:sz w:val="16"/>
          <w:szCs w:val="16"/>
          <w:lang w:eastAsia="en-US"/>
        </w:rPr>
        <w:t>’</w:t>
      </w:r>
      <w:r w:rsidRPr="006C28E7">
        <w:rPr>
          <w:rFonts w:eastAsia="Calibri"/>
          <w:sz w:val="16"/>
          <w:szCs w:val="16"/>
          <w:lang w:eastAsia="en-US"/>
        </w:rPr>
        <w:t>article 9 de la directive (UE) 2019/XXXX</w:t>
      </w:r>
      <w:r w:rsidRPr="006C28E7">
        <w:rPr>
          <w:rFonts w:eastAsia="Calibri"/>
          <w:b/>
          <w:sz w:val="16"/>
          <w:szCs w:val="16"/>
          <w:vertAlign w:val="superscript"/>
          <w:lang w:eastAsia="en-US"/>
        </w:rPr>
        <w:footnoteReference w:customMarkFollows="1" w:id="32"/>
        <w:sym w:font="Symbol" w:char="F02B"/>
      </w:r>
      <w:r w:rsidRPr="006C28E7">
        <w:rPr>
          <w:rFonts w:eastAsia="Calibri"/>
          <w:sz w:val="16"/>
          <w:szCs w:val="16"/>
          <w:lang w:eastAsia="en-US"/>
        </w:rPr>
        <w:t>.</w:t>
      </w:r>
    </w:p>
    <w:p w:rsidR="009C7E1C" w:rsidRPr="006C28E7" w:rsidRDefault="009C7E1C" w:rsidP="009C7E1C">
      <w:pPr>
        <w:widowControl/>
        <w:spacing w:after="200" w:line="276" w:lineRule="auto"/>
        <w:rPr>
          <w:rFonts w:cs="Arial"/>
          <w:color w:val="000000"/>
          <w:sz w:val="18"/>
          <w:szCs w:val="18"/>
          <w:lang w:eastAsia="en-US"/>
        </w:rPr>
      </w:pPr>
    </w:p>
    <w:p w:rsidR="009C7E1C" w:rsidRPr="006C28E7" w:rsidRDefault="009C7E1C" w:rsidP="009C7E1C">
      <w:pPr>
        <w:widowControl/>
        <w:spacing w:line="360" w:lineRule="auto"/>
        <w:rPr>
          <w:rFonts w:cs="Arial"/>
          <w:color w:val="000000"/>
          <w:sz w:val="18"/>
          <w:szCs w:val="18"/>
          <w:lang w:eastAsia="en-US"/>
        </w:rPr>
        <w:sectPr w:rsidR="009C7E1C" w:rsidRPr="006C28E7" w:rsidSect="009C7E1C">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0" w:h="16840"/>
          <w:pgMar w:top="1134" w:right="1134" w:bottom="1134" w:left="1134" w:header="567" w:footer="567" w:gutter="0"/>
          <w:cols w:space="720"/>
        </w:sectPr>
      </w:pPr>
    </w:p>
    <w:p w:rsidR="009C7E1C" w:rsidRPr="006C28E7" w:rsidRDefault="009C7E1C" w:rsidP="009C7E1C">
      <w:pPr>
        <w:widowControl/>
        <w:autoSpaceDE w:val="0"/>
        <w:autoSpaceDN w:val="0"/>
        <w:adjustRightInd w:val="0"/>
        <w:spacing w:before="200" w:after="120" w:line="360" w:lineRule="auto"/>
        <w:jc w:val="center"/>
        <w:rPr>
          <w:b/>
          <w:szCs w:val="22"/>
          <w:u w:val="single"/>
          <w:lang w:eastAsia="en-US"/>
        </w:rPr>
      </w:pPr>
      <w:r w:rsidRPr="006C28E7">
        <w:rPr>
          <w:rFonts w:eastAsia="Calibri"/>
          <w:b/>
          <w:szCs w:val="22"/>
          <w:u w:val="single"/>
          <w:lang w:eastAsia="en-US"/>
        </w:rPr>
        <w:t>ANNEXE 3</w:t>
      </w:r>
    </w:p>
    <w:p w:rsidR="009C7E1C" w:rsidRPr="006C28E7" w:rsidRDefault="009C7E1C" w:rsidP="009C7E1C">
      <w:pPr>
        <w:widowControl/>
        <w:autoSpaceDE w:val="0"/>
        <w:autoSpaceDN w:val="0"/>
        <w:adjustRightInd w:val="0"/>
        <w:spacing w:before="200" w:after="120" w:line="360" w:lineRule="auto"/>
        <w:jc w:val="center"/>
        <w:rPr>
          <w:b/>
          <w:sz w:val="20"/>
          <w:lang w:eastAsia="en-US"/>
        </w:rPr>
      </w:pPr>
      <w:r w:rsidRPr="006C28E7">
        <w:rPr>
          <w:rFonts w:eastAsia="Calibri"/>
          <w:b/>
          <w:sz w:val="20"/>
          <w:lang w:eastAsia="en-US"/>
        </w:rPr>
        <w:t>MODÈLE NORMALISÉ DE REÇU DE DÉPÔT DES DÉCHETS</w:t>
      </w:r>
    </w:p>
    <w:p w:rsidR="009C7E1C" w:rsidRPr="006C28E7" w:rsidRDefault="009C7E1C" w:rsidP="009C7E1C">
      <w:pPr>
        <w:widowControl/>
        <w:spacing w:line="360" w:lineRule="auto"/>
        <w:rPr>
          <w:rFonts w:cs="Arial"/>
          <w:i/>
          <w:sz w:val="16"/>
          <w:szCs w:val="16"/>
          <w:lang w:eastAsia="en-US"/>
        </w:rPr>
      </w:pPr>
      <w:r w:rsidRPr="006C28E7">
        <w:rPr>
          <w:rFonts w:eastAsia="Calibri"/>
          <w:i/>
          <w:sz w:val="16"/>
          <w:szCs w:val="16"/>
          <w:lang w:eastAsia="en-US"/>
        </w:rPr>
        <w:t>Le représentant désigné du fournisseur de l</w:t>
      </w:r>
      <w:r w:rsidR="00D43184">
        <w:rPr>
          <w:rFonts w:eastAsia="Calibri"/>
          <w:i/>
          <w:sz w:val="16"/>
          <w:szCs w:val="16"/>
          <w:lang w:eastAsia="en-US"/>
        </w:rPr>
        <w:t>’</w:t>
      </w:r>
      <w:r w:rsidRPr="006C28E7">
        <w:rPr>
          <w:rFonts w:eastAsia="Calibri"/>
          <w:i/>
          <w:sz w:val="16"/>
          <w:szCs w:val="16"/>
          <w:lang w:eastAsia="en-US"/>
        </w:rPr>
        <w:t>installation de réception portuaire remet le formulaire suivant au capitaine d</w:t>
      </w:r>
      <w:r w:rsidR="00D43184">
        <w:rPr>
          <w:rFonts w:eastAsia="Calibri"/>
          <w:i/>
          <w:sz w:val="16"/>
          <w:szCs w:val="16"/>
          <w:lang w:eastAsia="en-US"/>
        </w:rPr>
        <w:t>’</w:t>
      </w:r>
      <w:r w:rsidRPr="006C28E7">
        <w:rPr>
          <w:rFonts w:eastAsia="Calibri"/>
          <w:i/>
          <w:sz w:val="16"/>
          <w:szCs w:val="16"/>
          <w:lang w:eastAsia="en-US"/>
        </w:rPr>
        <w:t>un navire qui a déposé des déchets conformément à l</w:t>
      </w:r>
      <w:r w:rsidR="00D43184">
        <w:rPr>
          <w:rFonts w:eastAsia="Calibri"/>
          <w:i/>
          <w:sz w:val="16"/>
          <w:szCs w:val="16"/>
          <w:lang w:eastAsia="en-US"/>
        </w:rPr>
        <w:t>’</w:t>
      </w:r>
      <w:r w:rsidRPr="006C28E7">
        <w:rPr>
          <w:rFonts w:eastAsia="Calibri"/>
          <w:i/>
          <w:sz w:val="16"/>
          <w:szCs w:val="16"/>
          <w:lang w:eastAsia="en-US"/>
        </w:rPr>
        <w:t>article 7 de la directive (UE) 2019/XX</w:t>
      </w:r>
      <w:r w:rsidRPr="006C28E7">
        <w:rPr>
          <w:rFonts w:eastAsia="Calibri"/>
          <w:b/>
          <w:i/>
          <w:sz w:val="16"/>
          <w:szCs w:val="16"/>
          <w:vertAlign w:val="superscript"/>
          <w:lang w:eastAsia="en-US"/>
        </w:rPr>
        <w:footnoteReference w:customMarkFollows="1" w:id="33"/>
        <w:sym w:font="Symbol" w:char="F02B"/>
      </w:r>
      <w:r w:rsidRPr="006C28E7">
        <w:rPr>
          <w:rFonts w:eastAsia="Calibri"/>
          <w:i/>
          <w:sz w:val="16"/>
          <w:szCs w:val="16"/>
          <w:lang w:eastAsia="en-US"/>
        </w:rPr>
        <w:t>.</w:t>
      </w:r>
    </w:p>
    <w:p w:rsidR="009C7E1C" w:rsidRPr="006C28E7" w:rsidRDefault="009C7E1C" w:rsidP="009C7E1C">
      <w:pPr>
        <w:widowControl/>
        <w:spacing w:line="360" w:lineRule="auto"/>
        <w:rPr>
          <w:rFonts w:cs="Arial"/>
          <w:i/>
          <w:sz w:val="16"/>
          <w:szCs w:val="16"/>
          <w:lang w:eastAsia="en-US"/>
        </w:rPr>
      </w:pPr>
    </w:p>
    <w:p w:rsidR="009C7E1C" w:rsidRPr="006C28E7" w:rsidRDefault="009C7E1C" w:rsidP="009C7E1C">
      <w:pPr>
        <w:widowControl/>
        <w:spacing w:line="360" w:lineRule="auto"/>
        <w:rPr>
          <w:rFonts w:cs="Arial"/>
          <w:i/>
          <w:sz w:val="16"/>
          <w:szCs w:val="16"/>
          <w:lang w:eastAsia="en-US"/>
        </w:rPr>
      </w:pPr>
      <w:r w:rsidRPr="006C28E7">
        <w:rPr>
          <w:rFonts w:eastAsia="Calibri"/>
          <w:i/>
          <w:sz w:val="16"/>
          <w:szCs w:val="16"/>
          <w:lang w:eastAsia="en-US"/>
        </w:rPr>
        <w:t>Ce formulaire doit être conservé à bord du navire en même temps que le registre des hydrocarbures, le registre de la cargaison, le registre des ordures ou le plan de gestion des ordures, comme l</w:t>
      </w:r>
      <w:r w:rsidR="00D43184">
        <w:rPr>
          <w:rFonts w:eastAsia="Calibri"/>
          <w:i/>
          <w:sz w:val="16"/>
          <w:szCs w:val="16"/>
          <w:lang w:eastAsia="en-US"/>
        </w:rPr>
        <w:t>’</w:t>
      </w:r>
      <w:r w:rsidRPr="006C28E7">
        <w:rPr>
          <w:rFonts w:eastAsia="Calibri"/>
          <w:i/>
          <w:sz w:val="16"/>
          <w:szCs w:val="16"/>
          <w:lang w:eastAsia="en-US"/>
        </w:rPr>
        <w:t>exige la convention MARPOL.</w:t>
      </w:r>
    </w:p>
    <w:p w:rsidR="009C7E1C" w:rsidRPr="006C28E7" w:rsidRDefault="009C7E1C" w:rsidP="009C7E1C">
      <w:pPr>
        <w:keepNext/>
        <w:widowControl/>
        <w:tabs>
          <w:tab w:val="left" w:pos="850"/>
        </w:tabs>
        <w:autoSpaceDE w:val="0"/>
        <w:autoSpaceDN w:val="0"/>
        <w:adjustRightInd w:val="0"/>
        <w:spacing w:before="120" w:after="120" w:line="360" w:lineRule="auto"/>
        <w:ind w:left="851" w:hanging="851"/>
        <w:outlineLvl w:val="0"/>
        <w:rPr>
          <w:b/>
          <w:smallCaps/>
          <w:sz w:val="18"/>
          <w:szCs w:val="18"/>
          <w:lang w:eastAsia="en-US"/>
        </w:rPr>
      </w:pPr>
      <w:r w:rsidRPr="006C28E7">
        <w:rPr>
          <w:rFonts w:eastAsia="Calibri"/>
          <w:b/>
          <w:smallCaps/>
          <w:sz w:val="18"/>
          <w:szCs w:val="18"/>
          <w:lang w:eastAsia="en-US"/>
        </w:rPr>
        <w:t>1.</w:t>
      </w:r>
      <w:r w:rsidRPr="006C28E7">
        <w:rPr>
          <w:rFonts w:eastAsia="Calibri"/>
          <w:b/>
          <w:smallCaps/>
          <w:sz w:val="18"/>
          <w:szCs w:val="18"/>
          <w:lang w:eastAsia="en-US"/>
        </w:rPr>
        <w:tab/>
        <w:t>Renseignements concernant l</w:t>
      </w:r>
      <w:r w:rsidR="00D43184">
        <w:rPr>
          <w:rFonts w:eastAsia="Calibri"/>
          <w:b/>
          <w:smallCaps/>
          <w:sz w:val="18"/>
          <w:szCs w:val="18"/>
          <w:lang w:eastAsia="en-US"/>
        </w:rPr>
        <w:t>’</w:t>
      </w:r>
      <w:r w:rsidRPr="006C28E7">
        <w:rPr>
          <w:rFonts w:eastAsia="Calibri"/>
          <w:b/>
          <w:smallCaps/>
          <w:sz w:val="18"/>
          <w:szCs w:val="18"/>
          <w:lang w:eastAsia="en-US"/>
        </w:rPr>
        <w:t>installation de réception portuaire et le port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9C7E1C" w:rsidRPr="006C28E7" w:rsidTr="009C7E1C">
        <w:tc>
          <w:tcPr>
            <w:tcW w:w="9289"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8"/>
                <w:szCs w:val="18"/>
                <w:lang w:eastAsia="en-US"/>
              </w:rPr>
            </w:pPr>
            <w:r w:rsidRPr="006C28E7">
              <w:rPr>
                <w:rFonts w:eastAsia="Calibri"/>
                <w:sz w:val="18"/>
                <w:szCs w:val="18"/>
                <w:lang w:eastAsia="en-US"/>
              </w:rPr>
              <w:t>1.1.</w:t>
            </w:r>
            <w:r w:rsidRPr="006C28E7">
              <w:rPr>
                <w:rFonts w:eastAsia="Calibri"/>
                <w:sz w:val="18"/>
                <w:szCs w:val="18"/>
                <w:lang w:eastAsia="en-US"/>
              </w:rPr>
              <w:tab/>
              <w:t>Position géographique/Nom du terminal:</w:t>
            </w:r>
          </w:p>
        </w:tc>
      </w:tr>
      <w:tr w:rsidR="009C7E1C" w:rsidRPr="006C28E7" w:rsidTr="009C7E1C">
        <w:tc>
          <w:tcPr>
            <w:tcW w:w="9289"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1.2.</w:t>
            </w:r>
            <w:r w:rsidRPr="006C28E7">
              <w:rPr>
                <w:rFonts w:eastAsia="Calibri"/>
                <w:sz w:val="16"/>
                <w:szCs w:val="16"/>
                <w:lang w:eastAsia="en-US"/>
              </w:rPr>
              <w:tab/>
              <w:t>Fournisseur(s) de l</w:t>
            </w:r>
            <w:r w:rsidR="00D43184">
              <w:rPr>
                <w:rFonts w:eastAsia="Calibri"/>
                <w:sz w:val="16"/>
                <w:szCs w:val="16"/>
                <w:lang w:eastAsia="en-US"/>
              </w:rPr>
              <w:t>’</w:t>
            </w:r>
            <w:r w:rsidRPr="006C28E7">
              <w:rPr>
                <w:rFonts w:eastAsia="Calibri"/>
                <w:sz w:val="16"/>
                <w:szCs w:val="16"/>
                <w:lang w:eastAsia="en-US"/>
              </w:rPr>
              <w:t>installation de réception portuaire</w:t>
            </w:r>
          </w:p>
        </w:tc>
      </w:tr>
      <w:tr w:rsidR="009C7E1C" w:rsidRPr="006C28E7" w:rsidTr="009C7E1C">
        <w:tc>
          <w:tcPr>
            <w:tcW w:w="9289"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1.3.</w:t>
            </w:r>
            <w:r w:rsidRPr="006C28E7">
              <w:rPr>
                <w:rFonts w:eastAsia="Calibri"/>
                <w:sz w:val="16"/>
                <w:szCs w:val="16"/>
                <w:lang w:eastAsia="en-US"/>
              </w:rPr>
              <w:tab/>
              <w:t>Fournisseur(s) de l</w:t>
            </w:r>
            <w:r w:rsidR="00D43184">
              <w:rPr>
                <w:rFonts w:eastAsia="Calibri"/>
                <w:sz w:val="16"/>
                <w:szCs w:val="16"/>
                <w:lang w:eastAsia="en-US"/>
              </w:rPr>
              <w:t>’</w:t>
            </w:r>
            <w:r w:rsidRPr="006C28E7">
              <w:rPr>
                <w:rFonts w:eastAsia="Calibri"/>
                <w:sz w:val="16"/>
                <w:szCs w:val="16"/>
                <w:lang w:eastAsia="en-US"/>
              </w:rPr>
              <w:t>installation de traitement — si autre que la personne susmentionnée:</w:t>
            </w:r>
          </w:p>
        </w:tc>
      </w:tr>
      <w:tr w:rsidR="009C7E1C" w:rsidRPr="006C28E7" w:rsidTr="009C7E1C">
        <w:tc>
          <w:tcPr>
            <w:tcW w:w="9289"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1.4.</w:t>
            </w:r>
            <w:r w:rsidRPr="006C28E7">
              <w:rPr>
                <w:rFonts w:eastAsia="Calibri"/>
                <w:sz w:val="16"/>
                <w:szCs w:val="16"/>
                <w:lang w:eastAsia="en-US"/>
              </w:rPr>
              <w:tab/>
              <w:t>Date et heure de dépôt des déchets à partir du:                                                                          à:</w:t>
            </w:r>
          </w:p>
        </w:tc>
      </w:tr>
    </w:tbl>
    <w:p w:rsidR="009C7E1C" w:rsidRPr="006C28E7" w:rsidRDefault="009C7E1C" w:rsidP="009C7E1C">
      <w:pPr>
        <w:keepNext/>
        <w:widowControl/>
        <w:tabs>
          <w:tab w:val="left" w:pos="850"/>
        </w:tabs>
        <w:autoSpaceDE w:val="0"/>
        <w:autoSpaceDN w:val="0"/>
        <w:adjustRightInd w:val="0"/>
        <w:spacing w:before="120" w:after="120" w:line="360" w:lineRule="auto"/>
        <w:ind w:left="851" w:hanging="851"/>
        <w:outlineLvl w:val="0"/>
        <w:rPr>
          <w:b/>
          <w:smallCaps/>
          <w:sz w:val="16"/>
          <w:szCs w:val="16"/>
          <w:lang w:eastAsia="en-US"/>
        </w:rPr>
      </w:pPr>
      <w:r w:rsidRPr="006C28E7">
        <w:rPr>
          <w:rFonts w:eastAsia="Calibri"/>
          <w:b/>
          <w:smallCaps/>
          <w:sz w:val="16"/>
          <w:szCs w:val="16"/>
          <w:lang w:eastAsia="en-US"/>
        </w:rPr>
        <w:t>2.</w:t>
      </w:r>
      <w:r w:rsidRPr="006C28E7">
        <w:rPr>
          <w:rFonts w:eastAsia="Calibri"/>
          <w:b/>
          <w:smallCaps/>
          <w:sz w:val="16"/>
          <w:szCs w:val="16"/>
          <w:lang w:eastAsia="en-US"/>
        </w:rPr>
        <w:tab/>
        <w:t>Renseignements concernant le navire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C7E1C" w:rsidRPr="006C28E7" w:rsidTr="009C7E1C">
        <w:tc>
          <w:tcPr>
            <w:tcW w:w="4644"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2.1.</w:t>
            </w:r>
            <w:r w:rsidRPr="006C28E7">
              <w:rPr>
                <w:rFonts w:eastAsia="Calibri"/>
                <w:sz w:val="16"/>
                <w:szCs w:val="16"/>
                <w:lang w:eastAsia="en-US"/>
              </w:rPr>
              <w:tab/>
              <w:t>Nom du navire:</w:t>
            </w:r>
          </w:p>
        </w:tc>
        <w:tc>
          <w:tcPr>
            <w:tcW w:w="4645"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ind w:left="8"/>
              <w:rPr>
                <w:rFonts w:cs="Arial"/>
                <w:sz w:val="16"/>
                <w:szCs w:val="16"/>
                <w:lang w:eastAsia="en-US"/>
              </w:rPr>
            </w:pPr>
            <w:r w:rsidRPr="006C28E7">
              <w:rPr>
                <w:rFonts w:eastAsia="Calibri"/>
                <w:sz w:val="16"/>
                <w:szCs w:val="16"/>
                <w:lang w:eastAsia="en-US"/>
              </w:rPr>
              <w:t>2.5.</w:t>
            </w:r>
            <w:r w:rsidRPr="006C28E7">
              <w:rPr>
                <w:rFonts w:eastAsia="Calibri"/>
                <w:sz w:val="16"/>
                <w:szCs w:val="16"/>
                <w:lang w:eastAsia="en-US"/>
              </w:rPr>
              <w:tab/>
              <w:t>Propriétaire ou exploitant:</w:t>
            </w:r>
          </w:p>
        </w:tc>
      </w:tr>
      <w:tr w:rsidR="009C7E1C" w:rsidRPr="006C28E7" w:rsidTr="009C7E1C">
        <w:tc>
          <w:tcPr>
            <w:tcW w:w="4644"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2.2.</w:t>
            </w:r>
            <w:r w:rsidRPr="006C28E7">
              <w:rPr>
                <w:rFonts w:eastAsia="Calibri"/>
                <w:sz w:val="16"/>
                <w:szCs w:val="16"/>
                <w:lang w:eastAsia="en-US"/>
              </w:rPr>
              <w:tab/>
              <w:t>Numéro OMI:</w:t>
            </w:r>
          </w:p>
        </w:tc>
        <w:tc>
          <w:tcPr>
            <w:tcW w:w="4645"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ind w:left="575" w:hanging="575"/>
              <w:rPr>
                <w:rFonts w:cs="Arial"/>
                <w:sz w:val="16"/>
                <w:szCs w:val="16"/>
                <w:lang w:eastAsia="en-US"/>
              </w:rPr>
            </w:pPr>
            <w:r w:rsidRPr="006C28E7">
              <w:rPr>
                <w:rFonts w:eastAsia="Calibri"/>
                <w:sz w:val="16"/>
                <w:szCs w:val="16"/>
                <w:lang w:eastAsia="en-US"/>
              </w:rPr>
              <w:t>2.6.</w:t>
            </w:r>
            <w:r w:rsidRPr="006C28E7">
              <w:rPr>
                <w:rFonts w:eastAsia="Calibri"/>
                <w:sz w:val="16"/>
                <w:szCs w:val="16"/>
                <w:lang w:eastAsia="en-US"/>
              </w:rPr>
              <w:tab/>
              <w:t>Numéro ou lettres distinctifs:</w:t>
            </w:r>
            <w:r w:rsidRPr="006C28E7">
              <w:rPr>
                <w:rFonts w:eastAsia="Calibri"/>
                <w:b/>
                <w:i/>
                <w:color w:val="000000"/>
                <w:sz w:val="16"/>
                <w:szCs w:val="16"/>
                <w:lang w:eastAsia="en-US"/>
              </w:rPr>
              <w:br/>
              <w:t>Numéro MMSI</w:t>
            </w:r>
            <w:r w:rsidRPr="006C28E7">
              <w:rPr>
                <w:sz w:val="16"/>
                <w:szCs w:val="16"/>
                <w:lang w:eastAsia="en-US"/>
              </w:rPr>
              <w:t xml:space="preserve"> (</w:t>
            </w:r>
            <w:r w:rsidRPr="006C28E7">
              <w:rPr>
                <w:b/>
                <w:i/>
                <w:color w:val="000000"/>
                <w:sz w:val="16"/>
                <w:szCs w:val="16"/>
                <w:lang w:eastAsia="en-US"/>
              </w:rPr>
              <w:t>Maritime Mobile Service Identity)</w:t>
            </w:r>
            <w:r w:rsidRPr="006C28E7">
              <w:rPr>
                <w:rFonts w:eastAsia="Calibri"/>
                <w:b/>
                <w:i/>
                <w:color w:val="000000"/>
                <w:sz w:val="16"/>
                <w:szCs w:val="16"/>
                <w:lang w:eastAsia="en-US"/>
              </w:rPr>
              <w:t>:</w:t>
            </w:r>
          </w:p>
        </w:tc>
      </w:tr>
      <w:tr w:rsidR="009C7E1C" w:rsidRPr="006C28E7" w:rsidTr="009C7E1C">
        <w:tc>
          <w:tcPr>
            <w:tcW w:w="4644"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sz w:val="16"/>
                <w:szCs w:val="16"/>
                <w:lang w:eastAsia="en-US"/>
              </w:rPr>
            </w:pPr>
            <w:r w:rsidRPr="006C28E7">
              <w:rPr>
                <w:rFonts w:eastAsia="Calibri"/>
                <w:sz w:val="16"/>
                <w:szCs w:val="16"/>
                <w:lang w:eastAsia="en-US"/>
              </w:rPr>
              <w:t>2.3.</w:t>
            </w:r>
            <w:r w:rsidRPr="006C28E7">
              <w:rPr>
                <w:rFonts w:eastAsia="Calibri"/>
                <w:sz w:val="16"/>
                <w:szCs w:val="16"/>
                <w:lang w:eastAsia="en-US"/>
              </w:rPr>
              <w:tab/>
              <w:t>Tonnage brut:</w:t>
            </w:r>
          </w:p>
        </w:tc>
        <w:tc>
          <w:tcPr>
            <w:tcW w:w="4645"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2.7.</w:t>
            </w:r>
            <w:r w:rsidRPr="006C28E7">
              <w:rPr>
                <w:rFonts w:eastAsia="Calibri"/>
                <w:sz w:val="16"/>
                <w:szCs w:val="16"/>
                <w:lang w:eastAsia="en-US"/>
              </w:rPr>
              <w:tab/>
              <w:t>État du pavillon:</w:t>
            </w:r>
          </w:p>
        </w:tc>
      </w:tr>
      <w:tr w:rsidR="009C7E1C" w:rsidRPr="006C28E7" w:rsidTr="009C7E1C">
        <w:tc>
          <w:tcPr>
            <w:tcW w:w="9289" w:type="dxa"/>
            <w:gridSpan w:val="2"/>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keepNext/>
              <w:widowControl/>
              <w:tabs>
                <w:tab w:val="left" w:pos="850"/>
              </w:tabs>
              <w:autoSpaceDE w:val="0"/>
              <w:autoSpaceDN w:val="0"/>
              <w:adjustRightInd w:val="0"/>
              <w:spacing w:before="120" w:after="120"/>
              <w:ind w:left="850" w:hanging="850"/>
              <w:outlineLvl w:val="1"/>
              <w:rPr>
                <w:rFonts w:eastAsia="MS Gothic"/>
                <w:sz w:val="16"/>
                <w:szCs w:val="16"/>
                <w:lang w:eastAsia="en-US"/>
              </w:rPr>
            </w:pPr>
            <w:r w:rsidRPr="006C28E7">
              <w:rPr>
                <w:rFonts w:eastAsia="Calibri"/>
                <w:sz w:val="16"/>
                <w:szCs w:val="16"/>
                <w:lang w:eastAsia="en-US"/>
              </w:rPr>
              <w:t>2.4.</w:t>
            </w:r>
            <w:r w:rsidRPr="006C28E7">
              <w:rPr>
                <w:rFonts w:eastAsia="Calibri"/>
                <w:sz w:val="16"/>
                <w:szCs w:val="16"/>
                <w:lang w:eastAsia="en-US"/>
              </w:rPr>
              <w:tab/>
              <w:t>Type de navire:</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Pétrolier</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Navire-citerne pour produits chimiques</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Vraquier</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Porte-conteneur</w:t>
            </w:r>
          </w:p>
          <w:p w:rsidR="009C7E1C" w:rsidRPr="006C28E7" w:rsidRDefault="009C7E1C" w:rsidP="009C7E1C">
            <w:pPr>
              <w:keepNext/>
              <w:widowControl/>
              <w:tabs>
                <w:tab w:val="left" w:pos="850"/>
              </w:tabs>
              <w:autoSpaceDE w:val="0"/>
              <w:autoSpaceDN w:val="0"/>
              <w:adjustRightInd w:val="0"/>
              <w:spacing w:before="120" w:after="120"/>
              <w:ind w:left="567" w:hanging="850"/>
              <w:outlineLvl w:val="1"/>
              <w:rPr>
                <w:sz w:val="16"/>
                <w:szCs w:val="16"/>
                <w:lang w:eastAsia="en-US"/>
              </w:rPr>
            </w:pPr>
            <w:r w:rsidRPr="006C28E7">
              <w:rPr>
                <w:rFonts w:ascii="Segoe UI Symbol" w:eastAsia="Calibri" w:hAnsi="Segoe UI Symbol" w:cs="Segoe UI Symbol"/>
                <w:sz w:val="16"/>
                <w:szCs w:val="16"/>
                <w:lang w:eastAsia="en-US"/>
              </w:rPr>
              <w:t>☐</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Autre type de navire de charge</w:t>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Navire à passagers</w:t>
            </w:r>
            <w:r w:rsidRPr="006C28E7">
              <w:rPr>
                <w:rFonts w:eastAsia="Calibri"/>
                <w:sz w:val="16"/>
                <w:szCs w:val="16"/>
                <w:lang w:eastAsia="en-US"/>
              </w:rPr>
              <w:tab/>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 xml:space="preserve"> Navire roulier</w:t>
            </w:r>
            <w:r w:rsidRPr="006C28E7">
              <w:rPr>
                <w:rFonts w:eastAsia="Calibri"/>
                <w:sz w:val="16"/>
                <w:szCs w:val="16"/>
                <w:lang w:eastAsia="en-US"/>
              </w:rPr>
              <w:tab/>
            </w:r>
            <w:r w:rsidRPr="006C28E7">
              <w:rPr>
                <w:rFonts w:eastAsia="Calibri"/>
                <w:sz w:val="16"/>
                <w:szCs w:val="16"/>
                <w:lang w:eastAsia="en-US"/>
              </w:rPr>
              <w:tab/>
            </w:r>
            <w:r w:rsidRPr="006C28E7">
              <w:rPr>
                <w:rFonts w:ascii="Segoe UI Symbol" w:eastAsia="Calibri" w:hAnsi="Segoe UI Symbol" w:cs="Segoe UI Symbol"/>
                <w:sz w:val="16"/>
                <w:szCs w:val="16"/>
                <w:lang w:eastAsia="en-US"/>
              </w:rPr>
              <w:t>☐</w:t>
            </w:r>
            <w:r w:rsidRPr="006C28E7">
              <w:rPr>
                <w:rFonts w:eastAsia="Calibri"/>
                <w:sz w:val="16"/>
                <w:szCs w:val="16"/>
                <w:lang w:eastAsia="en-US"/>
              </w:rPr>
              <w:t>Autre (veuillez préciser)</w:t>
            </w:r>
          </w:p>
        </w:tc>
      </w:tr>
    </w:tbl>
    <w:p w:rsidR="009C7E1C" w:rsidRPr="006C28E7" w:rsidRDefault="009C7E1C" w:rsidP="009C7E1C">
      <w:pPr>
        <w:keepNext/>
        <w:widowControl/>
        <w:tabs>
          <w:tab w:val="left" w:pos="850"/>
        </w:tabs>
        <w:autoSpaceDE w:val="0"/>
        <w:autoSpaceDN w:val="0"/>
        <w:adjustRightInd w:val="0"/>
        <w:spacing w:before="120" w:after="120" w:line="360" w:lineRule="auto"/>
        <w:ind w:left="851" w:hanging="851"/>
        <w:outlineLvl w:val="0"/>
        <w:rPr>
          <w:b/>
          <w:smallCaps/>
          <w:sz w:val="16"/>
          <w:szCs w:val="16"/>
        </w:rPr>
      </w:pPr>
    </w:p>
    <w:p w:rsidR="009C7E1C" w:rsidRPr="006C28E7" w:rsidRDefault="009C7E1C" w:rsidP="009C7E1C">
      <w:pPr>
        <w:autoSpaceDE w:val="0"/>
        <w:autoSpaceDN w:val="0"/>
        <w:adjustRightInd w:val="0"/>
        <w:spacing w:before="120" w:after="120" w:line="360" w:lineRule="auto"/>
        <w:ind w:left="567"/>
        <w:rPr>
          <w:szCs w:val="22"/>
          <w:lang w:eastAsia="en-US"/>
        </w:rPr>
      </w:pPr>
      <w:r w:rsidRPr="006C28E7">
        <w:rPr>
          <w:rFonts w:eastAsia="Calibri"/>
          <w:szCs w:val="22"/>
          <w:lang w:eastAsia="en-US"/>
        </w:rPr>
        <w:br w:type="page"/>
      </w:r>
    </w:p>
    <w:p w:rsidR="009C7E1C" w:rsidRPr="006C28E7" w:rsidRDefault="009C7E1C" w:rsidP="009C7E1C">
      <w:pPr>
        <w:keepNext/>
        <w:widowControl/>
        <w:tabs>
          <w:tab w:val="left" w:pos="850"/>
        </w:tabs>
        <w:autoSpaceDE w:val="0"/>
        <w:autoSpaceDN w:val="0"/>
        <w:adjustRightInd w:val="0"/>
        <w:spacing w:before="120" w:after="120" w:line="360" w:lineRule="auto"/>
        <w:ind w:left="851" w:hanging="851"/>
        <w:outlineLvl w:val="0"/>
        <w:rPr>
          <w:b/>
          <w:smallCaps/>
          <w:sz w:val="16"/>
          <w:szCs w:val="16"/>
          <w:lang w:eastAsia="en-US"/>
        </w:rPr>
      </w:pPr>
      <w:r w:rsidRPr="006C28E7">
        <w:rPr>
          <w:rFonts w:eastAsia="Calibri"/>
          <w:b/>
          <w:smallCaps/>
          <w:sz w:val="16"/>
          <w:szCs w:val="16"/>
          <w:lang w:eastAsia="en-US"/>
        </w:rPr>
        <w:t>3.</w:t>
      </w:r>
      <w:r w:rsidRPr="006C28E7">
        <w:rPr>
          <w:rFonts w:eastAsia="Calibri"/>
          <w:b/>
          <w:smallCaps/>
          <w:sz w:val="16"/>
          <w:szCs w:val="16"/>
          <w:lang w:eastAsia="en-US"/>
        </w:rPr>
        <w:tab/>
        <w:t>TYPE ET VOLUME DE DÉCHETS REÇUS</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283"/>
        <w:gridCol w:w="222"/>
        <w:gridCol w:w="3524"/>
        <w:gridCol w:w="1002"/>
      </w:tblGrid>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lang w:eastAsia="en-US"/>
              </w:rPr>
            </w:pPr>
            <w:r w:rsidRPr="006C28E7">
              <w:rPr>
                <w:rFonts w:eastAsia="Calibri"/>
                <w:b/>
                <w:sz w:val="16"/>
                <w:szCs w:val="16"/>
                <w:lang w:eastAsia="en-US"/>
              </w:rPr>
              <w:t>Annexe I de MARPOL – Hydrocarbures</w:t>
            </w: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w:t>
            </w: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b/>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lang w:eastAsia="en-US"/>
              </w:rPr>
            </w:pPr>
            <w:r w:rsidRPr="006C28E7">
              <w:rPr>
                <w:rFonts w:eastAsia="Calibri"/>
                <w:b/>
                <w:sz w:val="16"/>
                <w:szCs w:val="16"/>
                <w:lang w:eastAsia="en-US"/>
              </w:rPr>
              <w:t>Annexe V de MARPOL – Ordures</w:t>
            </w: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w:t>
            </w: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Eaux de cale polluées par les hydrocarbures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A. Matières plastiques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Résidus d</w:t>
            </w:r>
            <w:r w:rsidR="00D43184">
              <w:rPr>
                <w:rFonts w:eastAsia="Calibri"/>
                <w:sz w:val="16"/>
                <w:szCs w:val="16"/>
                <w:lang w:eastAsia="en-US"/>
              </w:rPr>
              <w:t>’</w:t>
            </w:r>
            <w:r w:rsidRPr="006C28E7">
              <w:rPr>
                <w:rFonts w:eastAsia="Calibri"/>
                <w:sz w:val="16"/>
                <w:szCs w:val="16"/>
                <w:lang w:eastAsia="en-US"/>
              </w:rPr>
              <w:t>hydrocarbures (boues)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B. Déchets alimentaires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Eaux de lavage des citernes d</w:t>
            </w:r>
            <w:r w:rsidR="00D43184">
              <w:rPr>
                <w:rFonts w:eastAsia="Calibri"/>
                <w:sz w:val="16"/>
                <w:szCs w:val="16"/>
                <w:lang w:eastAsia="en-US"/>
              </w:rPr>
              <w:t>’</w:t>
            </w:r>
            <w:r w:rsidRPr="006C28E7">
              <w:rPr>
                <w:rFonts w:eastAsia="Calibri"/>
                <w:sz w:val="16"/>
                <w:szCs w:val="16"/>
                <w:lang w:eastAsia="en-US"/>
              </w:rPr>
              <w:t>hydrocarbures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C. Déchets domestiques (papier, chiffons, verre, métaux, bouteilles, vaisselle, etc.)</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Eaux de ballast sales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D. Huile de cuisson</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Tartre et boues provenant du nettoyage des citernes</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E. Cendres d</w:t>
            </w:r>
            <w:r w:rsidR="00D43184">
              <w:rPr>
                <w:rFonts w:eastAsia="Calibri"/>
                <w:sz w:val="16"/>
                <w:szCs w:val="16"/>
                <w:lang w:eastAsia="en-US"/>
              </w:rPr>
              <w:t>’</w:t>
            </w:r>
            <w:r w:rsidRPr="006C28E7">
              <w:rPr>
                <w:rFonts w:eastAsia="Calibri"/>
                <w:sz w:val="16"/>
                <w:szCs w:val="16"/>
                <w:lang w:eastAsia="en-US"/>
              </w:rPr>
              <w:t>incinération</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Autres (veuillez préciser)</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F. Déchets d</w:t>
            </w:r>
            <w:r w:rsidR="00D43184">
              <w:rPr>
                <w:rFonts w:eastAsia="Calibri"/>
                <w:sz w:val="16"/>
                <w:szCs w:val="16"/>
                <w:lang w:eastAsia="en-US"/>
              </w:rPr>
              <w:t>’</w:t>
            </w:r>
            <w:r w:rsidRPr="006C28E7">
              <w:rPr>
                <w:rFonts w:eastAsia="Calibri"/>
                <w:sz w:val="16"/>
                <w:szCs w:val="16"/>
                <w:lang w:eastAsia="en-US"/>
              </w:rPr>
              <w:t>exploitation</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lang w:eastAsia="en-US"/>
              </w:rPr>
            </w:pPr>
            <w:r w:rsidRPr="006C28E7">
              <w:rPr>
                <w:rFonts w:eastAsia="Calibri"/>
                <w:b/>
                <w:sz w:val="16"/>
                <w:szCs w:val="16"/>
                <w:lang w:eastAsia="en-US"/>
              </w:rPr>
              <w:t>Annexe II de MARPOL – SUBSTANCES LIQUIDES NOCIVES (SLN)</w:t>
            </w: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b/>
                <w:sz w:val="16"/>
                <w:szCs w:val="16"/>
                <w:vertAlign w:val="superscript"/>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)/Nom</w:t>
            </w:r>
            <w:r w:rsidRPr="006C28E7">
              <w:rPr>
                <w:rFonts w:eastAsia="Calibri"/>
                <w:b/>
                <w:sz w:val="16"/>
                <w:szCs w:val="16"/>
                <w:vertAlign w:val="superscript"/>
                <w:lang w:eastAsia="en-US"/>
              </w:rPr>
              <w:t>5</w:t>
            </w: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b/>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 xml:space="preserve">G. </w:t>
            </w:r>
            <w:r w:rsidRPr="006C28E7">
              <w:rPr>
                <w:rFonts w:eastAsia="Calibri"/>
                <w:b/>
                <w:bCs/>
                <w:i/>
                <w:iCs/>
                <w:sz w:val="16"/>
                <w:szCs w:val="16"/>
                <w:lang w:eastAsia="en-US"/>
              </w:rPr>
              <w:t>Carcasse(s) d</w:t>
            </w:r>
            <w:r w:rsidR="00D43184">
              <w:rPr>
                <w:rFonts w:eastAsia="Calibri"/>
                <w:b/>
                <w:bCs/>
                <w:i/>
                <w:iCs/>
                <w:sz w:val="16"/>
                <w:szCs w:val="16"/>
                <w:lang w:eastAsia="en-US"/>
              </w:rPr>
              <w:t>’</w:t>
            </w:r>
            <w:r w:rsidRPr="006C28E7">
              <w:rPr>
                <w:rFonts w:eastAsia="Calibri"/>
                <w:b/>
                <w:bCs/>
                <w:i/>
                <w:iCs/>
                <w:sz w:val="16"/>
                <w:szCs w:val="16"/>
                <w:lang w:eastAsia="en-US"/>
              </w:rPr>
              <w:t>animaux</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r w:rsidR="009C7E1C" w:rsidRPr="006C28E7" w:rsidTr="009C7E1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Substance de catégorie X</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nil"/>
              <w:left w:val="single" w:sz="4" w:space="0" w:color="auto"/>
              <w:bottom w:val="nil"/>
              <w:right w:val="single" w:sz="4" w:space="0" w:color="auto"/>
            </w:tcBorders>
          </w:tcPr>
          <w:p w:rsidR="009C7E1C" w:rsidRPr="006C28E7" w:rsidRDefault="009C7E1C" w:rsidP="009C7E1C">
            <w:pPr>
              <w:widowControl/>
              <w:rPr>
                <w:rFonts w:cs="Arial"/>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cs="Arial"/>
                <w:sz w:val="16"/>
                <w:szCs w:val="16"/>
                <w:lang w:eastAsia="en-US"/>
              </w:rPr>
            </w:pPr>
            <w:r w:rsidRPr="006C28E7">
              <w:rPr>
                <w:rFonts w:eastAsia="Calibri"/>
                <w:sz w:val="16"/>
                <w:szCs w:val="16"/>
                <w:lang w:eastAsia="en-US"/>
              </w:rPr>
              <w:t xml:space="preserve">H. </w:t>
            </w:r>
            <w:r w:rsidRPr="006C28E7">
              <w:rPr>
                <w:rFonts w:eastAsia="Calibri"/>
                <w:b/>
                <w:bCs/>
                <w:i/>
                <w:iCs/>
                <w:sz w:val="16"/>
                <w:szCs w:val="16"/>
                <w:lang w:eastAsia="en-US"/>
              </w:rPr>
              <w:t>Engins de pêche</w:t>
            </w:r>
          </w:p>
        </w:tc>
        <w:tc>
          <w:tcPr>
            <w:tcW w:w="0" w:type="auto"/>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cs="Arial"/>
                <w:sz w:val="16"/>
                <w:szCs w:val="16"/>
                <w:lang w:eastAsia="en-US"/>
              </w:rPr>
            </w:pPr>
          </w:p>
        </w:tc>
      </w:tr>
    </w:tbl>
    <w:p w:rsidR="009C7E1C" w:rsidRPr="006C28E7" w:rsidRDefault="009C7E1C" w:rsidP="009C7E1C">
      <w:pPr>
        <w:widowControl/>
        <w:spacing w:line="360" w:lineRule="auto"/>
        <w:rPr>
          <w:rFonts w:cs="Arial"/>
          <w:szCs w:val="22"/>
          <w:lang w:eastAsia="en-US"/>
        </w:rPr>
      </w:pPr>
    </w:p>
    <w:tbl>
      <w:tblPr>
        <w:tblStyle w:val="TableGrid21"/>
        <w:tblW w:w="10065" w:type="dxa"/>
        <w:tblInd w:w="-176" w:type="dxa"/>
        <w:tblLook w:val="04A0" w:firstRow="1" w:lastRow="0" w:firstColumn="1" w:lastColumn="0" w:noHBand="0" w:noVBand="1"/>
      </w:tblPr>
      <w:tblGrid>
        <w:gridCol w:w="2411"/>
        <w:gridCol w:w="1417"/>
        <w:gridCol w:w="284"/>
        <w:gridCol w:w="4677"/>
        <w:gridCol w:w="1276"/>
      </w:tblGrid>
      <w:tr w:rsidR="009C7E1C" w:rsidRPr="006C28E7" w:rsidTr="009C7E1C">
        <w:trPr>
          <w:trHeight w:val="426"/>
        </w:trPr>
        <w:tc>
          <w:tcPr>
            <w:tcW w:w="2411" w:type="dxa"/>
            <w:vMerge w:val="restart"/>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sz w:val="16"/>
                <w:szCs w:val="16"/>
                <w:lang w:eastAsia="en-US"/>
              </w:rPr>
            </w:pPr>
            <w:r w:rsidRPr="006C28E7">
              <w:rPr>
                <w:rFonts w:eastAsia="Calibri"/>
                <w:sz w:val="16"/>
                <w:szCs w:val="16"/>
                <w:lang w:eastAsia="en-US"/>
              </w:rPr>
              <w:t>Substance de catégorie Y</w:t>
            </w:r>
          </w:p>
        </w:tc>
        <w:tc>
          <w:tcPr>
            <w:tcW w:w="1417" w:type="dxa"/>
            <w:vMerge w:val="restart"/>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c>
          <w:tcPr>
            <w:tcW w:w="284" w:type="dxa"/>
            <w:vMerge w:val="restart"/>
            <w:tcBorders>
              <w:top w:val="nil"/>
              <w:left w:val="single" w:sz="4" w:space="0" w:color="auto"/>
              <w:bottom w:val="nil"/>
              <w:right w:val="single" w:sz="4" w:space="0" w:color="auto"/>
            </w:tcBorders>
          </w:tcPr>
          <w:p w:rsidR="009C7E1C" w:rsidRPr="006C28E7" w:rsidRDefault="009C7E1C" w:rsidP="009C7E1C">
            <w:pPr>
              <w:widowControl/>
              <w:rPr>
                <w:rFonts w:eastAsia="Calibr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before="120" w:after="120"/>
              <w:ind w:left="436" w:hanging="425"/>
              <w:rPr>
                <w:rFonts w:eastAsia="Calibri"/>
                <w:bCs/>
                <w:sz w:val="16"/>
                <w:szCs w:val="16"/>
                <w:lang w:eastAsia="en-US"/>
              </w:rPr>
            </w:pPr>
            <w:r w:rsidRPr="006C28E7">
              <w:rPr>
                <w:rFonts w:eastAsia="Calibri"/>
                <w:sz w:val="16"/>
                <w:szCs w:val="16"/>
                <w:lang w:eastAsia="en-US"/>
              </w:rPr>
              <w:t xml:space="preserve">I. </w:t>
            </w:r>
            <w:r w:rsidRPr="006C28E7">
              <w:rPr>
                <w:rFonts w:eastAsia="Calibri"/>
                <w:b/>
                <w:bCs/>
                <w:i/>
                <w:iCs/>
                <w:sz w:val="16"/>
                <w:szCs w:val="16"/>
                <w:lang w:eastAsia="en-US"/>
              </w:rPr>
              <w:t>Déchets électroniques</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nil"/>
              <w:left w:val="single" w:sz="4" w:space="0" w:color="auto"/>
              <w:bottom w:val="nil"/>
              <w:right w:val="single" w:sz="4" w:space="0" w:color="auto"/>
            </w:tcBorders>
            <w:vAlign w:val="center"/>
            <w:hideMark/>
          </w:tcPr>
          <w:p w:rsidR="009C7E1C" w:rsidRPr="006C28E7" w:rsidRDefault="009C7E1C" w:rsidP="009C7E1C">
            <w:pPr>
              <w:widowControl/>
              <w:rPr>
                <w:sz w:val="16"/>
                <w:szCs w:val="16"/>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ind w:left="360" w:hanging="360"/>
              <w:rPr>
                <w:rFonts w:eastAsia="Calibri"/>
                <w:b/>
                <w:i/>
                <w:iCs/>
                <w:sz w:val="16"/>
                <w:szCs w:val="16"/>
                <w:lang w:eastAsia="en-US"/>
              </w:rPr>
            </w:pPr>
            <w:r w:rsidRPr="006C28E7">
              <w:rPr>
                <w:rFonts w:eastAsia="Calibri"/>
                <w:b/>
                <w:i/>
                <w:iCs/>
                <w:sz w:val="16"/>
                <w:szCs w:val="16"/>
                <w:lang w:eastAsia="en-US"/>
              </w:rPr>
              <w:t>J. Résidus de cargaison</w:t>
            </w:r>
            <w:r w:rsidRPr="006C28E7">
              <w:rPr>
                <w:rFonts w:eastAsia="Calibri"/>
                <w:b/>
                <w:i/>
                <w:iCs/>
                <w:sz w:val="14"/>
                <w:szCs w:val="14"/>
                <w:vertAlign w:val="superscript"/>
                <w:lang w:eastAsia="en-US"/>
              </w:rPr>
              <w:t>6</w:t>
            </w:r>
            <w:r w:rsidRPr="006C28E7">
              <w:rPr>
                <w:rFonts w:eastAsia="Calibri"/>
                <w:b/>
                <w:i/>
                <w:iCs/>
                <w:sz w:val="16"/>
                <w:szCs w:val="16"/>
                <w:lang w:eastAsia="en-US"/>
              </w:rPr>
              <w:t xml:space="preserve"> (nocifs pour le milieu marin)</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nil"/>
              <w:left w:val="single" w:sz="4" w:space="0" w:color="auto"/>
              <w:bottom w:val="nil"/>
              <w:right w:val="single" w:sz="4" w:space="0" w:color="auto"/>
            </w:tcBorders>
            <w:vAlign w:val="center"/>
            <w:hideMark/>
          </w:tcPr>
          <w:p w:rsidR="009C7E1C" w:rsidRPr="006C28E7" w:rsidRDefault="009C7E1C" w:rsidP="009C7E1C">
            <w:pPr>
              <w:widowControl/>
              <w:rPr>
                <w:sz w:val="16"/>
                <w:szCs w:val="16"/>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ind w:left="360" w:hanging="360"/>
              <w:rPr>
                <w:rFonts w:eastAsia="Calibri"/>
                <w:b/>
                <w:i/>
                <w:iCs/>
                <w:sz w:val="16"/>
                <w:szCs w:val="16"/>
                <w:lang w:eastAsia="en-US"/>
              </w:rPr>
            </w:pPr>
            <w:r w:rsidRPr="006C28E7">
              <w:rPr>
                <w:rFonts w:eastAsia="Calibri"/>
                <w:b/>
                <w:i/>
                <w:iCs/>
                <w:sz w:val="16"/>
                <w:szCs w:val="16"/>
                <w:lang w:eastAsia="en-US"/>
              </w:rPr>
              <w:t>K. Résidus de cargaison</w:t>
            </w:r>
            <w:r w:rsidRPr="006C28E7">
              <w:rPr>
                <w:rFonts w:eastAsia="Calibri"/>
                <w:b/>
                <w:i/>
                <w:iCs/>
                <w:sz w:val="16"/>
                <w:szCs w:val="16"/>
                <w:vertAlign w:val="superscript"/>
                <w:lang w:eastAsia="en-US"/>
              </w:rPr>
              <w:t>6</w:t>
            </w:r>
            <w:r w:rsidRPr="006C28E7">
              <w:rPr>
                <w:rFonts w:eastAsia="Calibri"/>
                <w:b/>
                <w:i/>
                <w:iCs/>
                <w:sz w:val="16"/>
                <w:szCs w:val="16"/>
                <w:lang w:eastAsia="en-US"/>
              </w:rPr>
              <w:t xml:space="preserve"> (non nocifs pour le milieu marin)</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0" w:type="auto"/>
            <w:vMerge/>
            <w:tcBorders>
              <w:top w:val="nil"/>
              <w:left w:val="single" w:sz="4" w:space="0" w:color="auto"/>
              <w:bottom w:val="nil"/>
              <w:right w:val="single" w:sz="4" w:space="0" w:color="auto"/>
            </w:tcBorders>
            <w:vAlign w:val="center"/>
            <w:hideMark/>
          </w:tcPr>
          <w:p w:rsidR="009C7E1C" w:rsidRPr="006C28E7" w:rsidRDefault="009C7E1C" w:rsidP="009C7E1C">
            <w:pPr>
              <w:widowControl/>
              <w:rPr>
                <w:sz w:val="16"/>
                <w:szCs w:val="16"/>
              </w:rPr>
            </w:pPr>
          </w:p>
        </w:tc>
        <w:tc>
          <w:tcPr>
            <w:tcW w:w="4677"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spacing w:before="120" w:after="120"/>
              <w:ind w:left="436" w:hanging="425"/>
              <w:rPr>
                <w:rFonts w:eastAsia="Calibri"/>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c>
          <w:tcPr>
            <w:tcW w:w="2411"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ascii="Arial" w:eastAsia="Calibri" w:hAnsi="Arial"/>
                <w:color w:val="000000"/>
                <w:sz w:val="16"/>
                <w:szCs w:val="16"/>
                <w:lang w:eastAsia="en-US"/>
              </w:rPr>
              <w:t>▌</w:t>
            </w:r>
          </w:p>
        </w:tc>
        <w:tc>
          <w:tcPr>
            <w:tcW w:w="1417"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c>
          <w:tcPr>
            <w:tcW w:w="284" w:type="dxa"/>
            <w:tcBorders>
              <w:top w:val="nil"/>
              <w:left w:val="single" w:sz="4" w:space="0" w:color="auto"/>
              <w:bottom w:val="nil"/>
              <w:right w:val="single" w:sz="4" w:space="0" w:color="auto"/>
            </w:tcBorders>
          </w:tcPr>
          <w:p w:rsidR="009C7E1C" w:rsidRPr="006C28E7" w:rsidRDefault="009C7E1C" w:rsidP="009C7E1C">
            <w:pPr>
              <w:widowControl/>
              <w:rPr>
                <w:rFonts w:eastAsia="Calibr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b/>
                <w:sz w:val="16"/>
                <w:szCs w:val="16"/>
                <w:lang w:eastAsia="en-US"/>
              </w:rPr>
            </w:pPr>
            <w:r w:rsidRPr="006C28E7">
              <w:rPr>
                <w:rFonts w:eastAsia="Calibri"/>
                <w:b/>
                <w:sz w:val="16"/>
                <w:szCs w:val="16"/>
                <w:lang w:eastAsia="en-US"/>
              </w:rPr>
              <w:t>Annexe VI de MARPOL – Pollution de l</w:t>
            </w:r>
            <w:r w:rsidR="00D43184">
              <w:rPr>
                <w:rFonts w:eastAsia="Calibri"/>
                <w:b/>
                <w:sz w:val="16"/>
                <w:szCs w:val="16"/>
                <w:lang w:eastAsia="en-US"/>
              </w:rPr>
              <w:t>’</w:t>
            </w:r>
            <w:r w:rsidRPr="006C28E7">
              <w:rPr>
                <w:rFonts w:eastAsia="Calibri"/>
                <w:b/>
                <w:sz w:val="16"/>
                <w:szCs w:val="16"/>
                <w:lang w:eastAsia="en-US"/>
              </w:rPr>
              <w:t>atmosphère</w:t>
            </w:r>
          </w:p>
        </w:tc>
        <w:tc>
          <w:tcPr>
            <w:tcW w:w="1276"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w:t>
            </w:r>
          </w:p>
        </w:tc>
      </w:tr>
      <w:tr w:rsidR="009C7E1C" w:rsidRPr="006C28E7" w:rsidTr="009C7E1C">
        <w:tc>
          <w:tcPr>
            <w:tcW w:w="2411"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eastAsia="Calibri"/>
                <w:sz w:val="16"/>
                <w:szCs w:val="16"/>
                <w:lang w:eastAsia="en-US"/>
              </w:rPr>
              <w:t xml:space="preserve">Substance </w:t>
            </w:r>
            <w:r w:rsidRPr="006C28E7">
              <w:rPr>
                <w:rFonts w:eastAsia="Calibri"/>
                <w:b/>
                <w:bCs/>
                <w:i/>
                <w:iCs/>
                <w:sz w:val="16"/>
                <w:szCs w:val="16"/>
                <w:lang w:eastAsia="en-US"/>
              </w:rPr>
              <w:t>de catégorie Z</w:t>
            </w:r>
          </w:p>
        </w:tc>
        <w:tc>
          <w:tcPr>
            <w:tcW w:w="1417"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c>
          <w:tcPr>
            <w:tcW w:w="284" w:type="dxa"/>
            <w:tcBorders>
              <w:top w:val="nil"/>
              <w:left w:val="single" w:sz="4" w:space="0" w:color="auto"/>
              <w:bottom w:val="nil"/>
              <w:right w:val="single" w:sz="4" w:space="0" w:color="auto"/>
            </w:tcBorders>
          </w:tcPr>
          <w:p w:rsidR="009C7E1C" w:rsidRPr="006C28E7" w:rsidRDefault="009C7E1C" w:rsidP="009C7E1C">
            <w:pPr>
              <w:widowControl/>
              <w:rPr>
                <w:rFonts w:eastAsia="Calibr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bCs/>
                <w:sz w:val="16"/>
                <w:szCs w:val="16"/>
                <w:lang w:eastAsia="en-US"/>
              </w:rPr>
            </w:pPr>
            <w:r w:rsidRPr="006C28E7">
              <w:rPr>
                <w:rFonts w:eastAsia="Calibri"/>
                <w:bCs/>
                <w:sz w:val="16"/>
                <w:szCs w:val="16"/>
                <w:lang w:eastAsia="en-US"/>
              </w:rPr>
              <w:t>Substances appauvrissant la couche d</w:t>
            </w:r>
            <w:r w:rsidR="00D43184">
              <w:rPr>
                <w:rFonts w:eastAsia="Calibri"/>
                <w:bCs/>
                <w:sz w:val="16"/>
                <w:szCs w:val="16"/>
                <w:lang w:eastAsia="en-US"/>
              </w:rPr>
              <w:t>’</w:t>
            </w:r>
            <w:r w:rsidRPr="006C28E7">
              <w:rPr>
                <w:rFonts w:eastAsia="Calibri"/>
                <w:bCs/>
                <w:sz w:val="16"/>
                <w:szCs w:val="16"/>
                <w:lang w:eastAsia="en-US"/>
              </w:rPr>
              <w:t>ozone et équipements contenant de telles substances</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c>
          <w:tcPr>
            <w:tcW w:w="2411"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b/>
                <w:bCs/>
                <w:i/>
                <w:iCs/>
                <w:sz w:val="16"/>
                <w:szCs w:val="16"/>
                <w:lang w:eastAsia="en-US"/>
              </w:rPr>
            </w:pPr>
            <w:r w:rsidRPr="006C28E7">
              <w:rPr>
                <w:rFonts w:eastAsia="Calibri"/>
                <w:b/>
                <w:bCs/>
                <w:i/>
                <w:iCs/>
                <w:sz w:val="16"/>
                <w:szCs w:val="16"/>
                <w:lang w:eastAsia="en-US"/>
              </w:rPr>
              <w:t>AS – Autres substances</w:t>
            </w:r>
          </w:p>
        </w:tc>
        <w:tc>
          <w:tcPr>
            <w:tcW w:w="1417"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c>
          <w:tcPr>
            <w:tcW w:w="284" w:type="dxa"/>
            <w:vMerge w:val="restart"/>
            <w:tcBorders>
              <w:top w:val="nil"/>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bCs/>
                <w:sz w:val="16"/>
                <w:szCs w:val="16"/>
                <w:lang w:eastAsia="en-US"/>
              </w:rPr>
            </w:pPr>
            <w:r w:rsidRPr="006C28E7">
              <w:rPr>
                <w:rFonts w:eastAsia="Calibri"/>
                <w:bCs/>
                <w:sz w:val="16"/>
                <w:szCs w:val="16"/>
                <w:lang w:eastAsia="en-US"/>
              </w:rPr>
              <w:t>Résidus d</w:t>
            </w:r>
            <w:r w:rsidR="00D43184">
              <w:rPr>
                <w:rFonts w:eastAsia="Calibri"/>
                <w:bCs/>
                <w:sz w:val="16"/>
                <w:szCs w:val="16"/>
                <w:lang w:eastAsia="en-US"/>
              </w:rPr>
              <w:t>’</w:t>
            </w:r>
            <w:r w:rsidRPr="006C28E7">
              <w:rPr>
                <w:rFonts w:eastAsia="Calibri"/>
                <w:bCs/>
                <w:sz w:val="16"/>
                <w:szCs w:val="16"/>
                <w:lang w:eastAsia="en-US"/>
              </w:rPr>
              <w:t>épuration des gaz d</w:t>
            </w:r>
            <w:r w:rsidR="00D43184">
              <w:rPr>
                <w:rFonts w:eastAsia="Calibri"/>
                <w:bCs/>
                <w:sz w:val="16"/>
                <w:szCs w:val="16"/>
                <w:lang w:eastAsia="en-US"/>
              </w:rPr>
              <w:t>’</w:t>
            </w:r>
            <w:r w:rsidRPr="006C28E7">
              <w:rPr>
                <w:rFonts w:eastAsia="Calibri"/>
                <w:bCs/>
                <w:sz w:val="16"/>
                <w:szCs w:val="16"/>
                <w:lang w:eastAsia="en-US"/>
              </w:rPr>
              <w:t>échappement</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r w:rsidR="009C7E1C" w:rsidRPr="006C28E7" w:rsidTr="009C7E1C">
        <w:tc>
          <w:tcPr>
            <w:tcW w:w="2411"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eastAsia="Calibri"/>
                <w:b/>
                <w:sz w:val="16"/>
                <w:szCs w:val="16"/>
                <w:lang w:eastAsia="en-US"/>
              </w:rPr>
              <w:t>Annexe IV de MARPOL – Eaux usées</w:t>
            </w:r>
          </w:p>
        </w:tc>
        <w:tc>
          <w:tcPr>
            <w:tcW w:w="141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w:t>
            </w:r>
          </w:p>
        </w:tc>
        <w:tc>
          <w:tcPr>
            <w:tcW w:w="0" w:type="auto"/>
            <w:vMerge/>
            <w:tcBorders>
              <w:top w:val="nil"/>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i/>
                <w:iCs/>
                <w:sz w:val="16"/>
                <w:szCs w:val="16"/>
                <w:lang w:eastAsia="en-US"/>
              </w:rPr>
            </w:pPr>
            <w:r w:rsidRPr="006C28E7">
              <w:rPr>
                <w:rFonts w:eastAsia="Calibri"/>
                <w:b/>
                <w:i/>
                <w:iCs/>
                <w:color w:val="000000"/>
                <w:sz w:val="16"/>
                <w:szCs w:val="16"/>
                <w:lang w:eastAsia="en-US"/>
              </w:rPr>
              <w:t>Autres déchets, non couverts par MARPOL</w:t>
            </w:r>
          </w:p>
        </w:tc>
        <w:tc>
          <w:tcPr>
            <w:tcW w:w="1276"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sz w:val="16"/>
                <w:szCs w:val="16"/>
                <w:lang w:eastAsia="en-US"/>
              </w:rPr>
            </w:pPr>
            <w:r w:rsidRPr="006C28E7">
              <w:rPr>
                <w:rFonts w:eastAsia="Calibri"/>
                <w:b/>
                <w:sz w:val="16"/>
                <w:szCs w:val="16"/>
                <w:lang w:eastAsia="en-US"/>
              </w:rPr>
              <w:t>Quantité (m</w:t>
            </w:r>
            <w:r w:rsidRPr="006C28E7">
              <w:rPr>
                <w:rFonts w:eastAsia="Calibri"/>
                <w:b/>
                <w:sz w:val="16"/>
                <w:szCs w:val="16"/>
                <w:vertAlign w:val="superscript"/>
                <w:lang w:eastAsia="en-US"/>
              </w:rPr>
              <w:t>3</w:t>
            </w:r>
            <w:r w:rsidRPr="006C28E7">
              <w:rPr>
                <w:rFonts w:eastAsia="Calibri"/>
                <w:b/>
                <w:sz w:val="16"/>
                <w:szCs w:val="16"/>
                <w:lang w:eastAsia="en-US"/>
              </w:rPr>
              <w:t>)</w:t>
            </w:r>
          </w:p>
        </w:tc>
      </w:tr>
      <w:tr w:rsidR="009C7E1C" w:rsidRPr="006C28E7" w:rsidTr="009C7E1C">
        <w:tc>
          <w:tcPr>
            <w:tcW w:w="2411"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b/>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9C7E1C" w:rsidRPr="006C28E7" w:rsidRDefault="009C7E1C" w:rsidP="009C7E1C">
            <w:pPr>
              <w:widowControl/>
              <w:rPr>
                <w:sz w:val="16"/>
                <w:szCs w:val="16"/>
              </w:rPr>
            </w:pPr>
          </w:p>
        </w:tc>
        <w:tc>
          <w:tcPr>
            <w:tcW w:w="4677"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rPr>
                <w:rFonts w:eastAsia="Calibri"/>
                <w:bCs/>
                <w:sz w:val="16"/>
                <w:szCs w:val="16"/>
                <w:lang w:eastAsia="en-US"/>
              </w:rPr>
            </w:pPr>
            <w:r w:rsidRPr="006C28E7">
              <w:rPr>
                <w:rFonts w:eastAsia="Calibri"/>
                <w:bCs/>
                <w:color w:val="000000"/>
                <w:sz w:val="16"/>
                <w:szCs w:val="16"/>
                <w:lang w:eastAsia="en-US"/>
              </w:rPr>
              <w:t>Déchets pêchés passivement</w:t>
            </w:r>
          </w:p>
        </w:tc>
        <w:tc>
          <w:tcPr>
            <w:tcW w:w="1276" w:type="dxa"/>
            <w:tcBorders>
              <w:top w:val="single" w:sz="4" w:space="0" w:color="auto"/>
              <w:left w:val="single" w:sz="4" w:space="0" w:color="auto"/>
              <w:bottom w:val="single" w:sz="4" w:space="0" w:color="auto"/>
              <w:right w:val="single" w:sz="4" w:space="0" w:color="auto"/>
            </w:tcBorders>
          </w:tcPr>
          <w:p w:rsidR="009C7E1C" w:rsidRPr="006C28E7" w:rsidRDefault="009C7E1C" w:rsidP="009C7E1C">
            <w:pPr>
              <w:widowControl/>
              <w:rPr>
                <w:rFonts w:eastAsia="Calibri"/>
                <w:sz w:val="16"/>
                <w:szCs w:val="16"/>
                <w:lang w:eastAsia="en-US"/>
              </w:rPr>
            </w:pPr>
          </w:p>
        </w:tc>
      </w:tr>
    </w:tbl>
    <w:p w:rsidR="009C7E1C" w:rsidRPr="006C28E7" w:rsidRDefault="009C7E1C" w:rsidP="009C7E1C">
      <w:pPr>
        <w:widowControl/>
        <w:spacing w:line="360" w:lineRule="auto"/>
        <w:rPr>
          <w:rFonts w:cs="Arial"/>
          <w:szCs w:val="22"/>
          <w:lang w:eastAsia="en-US"/>
        </w:rPr>
      </w:pPr>
    </w:p>
    <w:p w:rsidR="009C7E1C" w:rsidRPr="006C28E7" w:rsidRDefault="009C7E1C" w:rsidP="009C7E1C">
      <w:pPr>
        <w:widowControl/>
        <w:spacing w:line="360" w:lineRule="auto"/>
        <w:rPr>
          <w:rFonts w:cs="Arial"/>
          <w:sz w:val="16"/>
          <w:szCs w:val="16"/>
          <w:vertAlign w:val="superscript"/>
          <w:lang w:eastAsia="en-US"/>
        </w:rPr>
      </w:pPr>
    </w:p>
    <w:p w:rsidR="009C7E1C" w:rsidRPr="006C28E7" w:rsidRDefault="009C7E1C" w:rsidP="009C7E1C">
      <w:pPr>
        <w:widowControl/>
        <w:spacing w:line="360" w:lineRule="auto"/>
        <w:rPr>
          <w:rFonts w:eastAsia="Calibri"/>
          <w:sz w:val="14"/>
          <w:szCs w:val="14"/>
          <w:lang w:eastAsia="en-US"/>
        </w:rPr>
      </w:pPr>
      <w:r w:rsidRPr="006C28E7">
        <w:rPr>
          <w:rFonts w:eastAsia="Calibri"/>
          <w:sz w:val="14"/>
          <w:szCs w:val="14"/>
          <w:vertAlign w:val="superscript"/>
          <w:lang w:eastAsia="en-US"/>
        </w:rPr>
        <w:t>5</w:t>
      </w:r>
      <w:r w:rsidRPr="006C28E7">
        <w:rPr>
          <w:rFonts w:eastAsia="Calibri"/>
          <w:sz w:val="14"/>
          <w:szCs w:val="14"/>
          <w:lang w:eastAsia="en-US"/>
        </w:rPr>
        <w:tab/>
        <w:t>Indiquer la désignation officielle de transport des SLN concernés.</w:t>
      </w:r>
    </w:p>
    <w:p w:rsidR="009C7E1C" w:rsidRPr="006C28E7" w:rsidRDefault="009C7E1C" w:rsidP="009C7E1C">
      <w:pPr>
        <w:widowControl/>
        <w:spacing w:line="360" w:lineRule="auto"/>
        <w:rPr>
          <w:rFonts w:cs="Arial"/>
          <w:sz w:val="14"/>
          <w:szCs w:val="14"/>
          <w:lang w:eastAsia="en-US"/>
        </w:rPr>
      </w:pPr>
      <w:r w:rsidRPr="006C28E7">
        <w:rPr>
          <w:rFonts w:eastAsia="Calibri"/>
          <w:sz w:val="14"/>
          <w:szCs w:val="14"/>
          <w:vertAlign w:val="superscript"/>
          <w:lang w:eastAsia="en-US"/>
        </w:rPr>
        <w:t>6</w:t>
      </w:r>
      <w:r w:rsidRPr="006C28E7">
        <w:rPr>
          <w:rFonts w:eastAsia="Calibri"/>
          <w:sz w:val="14"/>
          <w:szCs w:val="14"/>
          <w:lang w:eastAsia="en-US"/>
        </w:rPr>
        <w:tab/>
        <w:t>Indiquer la désignation officielle de transport des marchandises solides.</w:t>
      </w:r>
    </w:p>
    <w:p w:rsidR="009C7E1C" w:rsidRPr="006C28E7" w:rsidRDefault="009C7E1C" w:rsidP="009C7E1C">
      <w:pPr>
        <w:widowControl/>
        <w:spacing w:line="360" w:lineRule="auto"/>
        <w:rPr>
          <w:rFonts w:cs="Arial"/>
          <w:szCs w:val="22"/>
          <w:lang w:eastAsia="en-US"/>
        </w:rPr>
      </w:pPr>
    </w:p>
    <w:p w:rsidR="009C7E1C" w:rsidRPr="006C28E7" w:rsidRDefault="009C7E1C" w:rsidP="009C7E1C">
      <w:pPr>
        <w:widowControl/>
        <w:spacing w:after="200" w:line="276" w:lineRule="auto"/>
        <w:rPr>
          <w:rFonts w:cs="Arial"/>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200" w:after="120" w:line="360" w:lineRule="auto"/>
        <w:jc w:val="center"/>
        <w:rPr>
          <w:b/>
          <w:szCs w:val="22"/>
          <w:u w:val="single"/>
          <w:lang w:eastAsia="en-US"/>
        </w:rPr>
      </w:pPr>
      <w:r w:rsidRPr="006C28E7">
        <w:rPr>
          <w:rFonts w:eastAsia="Calibri"/>
          <w:b/>
          <w:szCs w:val="22"/>
          <w:u w:val="single"/>
          <w:lang w:eastAsia="en-US"/>
        </w:rPr>
        <w:t>ANNEXE 4</w:t>
      </w:r>
    </w:p>
    <w:p w:rsidR="009C7E1C" w:rsidRPr="006C28E7" w:rsidRDefault="009C7E1C" w:rsidP="009C7E1C">
      <w:pPr>
        <w:widowControl/>
        <w:autoSpaceDE w:val="0"/>
        <w:autoSpaceDN w:val="0"/>
        <w:adjustRightInd w:val="0"/>
        <w:spacing w:before="200" w:after="120" w:line="360" w:lineRule="auto"/>
        <w:jc w:val="center"/>
        <w:rPr>
          <w:b/>
          <w:sz w:val="22"/>
          <w:szCs w:val="22"/>
          <w:lang w:eastAsia="en-US"/>
        </w:rPr>
      </w:pPr>
      <w:r w:rsidRPr="006C28E7">
        <w:rPr>
          <w:rFonts w:eastAsia="Calibri"/>
          <w:b/>
          <w:sz w:val="22"/>
          <w:szCs w:val="22"/>
          <w:lang w:eastAsia="en-US"/>
        </w:rPr>
        <w:t xml:space="preserve">Catégories de coûts </w:t>
      </w:r>
      <w:r w:rsidRPr="006C28E7">
        <w:rPr>
          <w:rFonts w:eastAsia="Calibri"/>
          <w:b/>
          <w:i/>
          <w:iCs/>
          <w:sz w:val="22"/>
          <w:szCs w:val="22"/>
          <w:lang w:eastAsia="en-US"/>
        </w:rPr>
        <w:t>et de recettes nettes liés à</w:t>
      </w:r>
      <w:r w:rsidRPr="006C28E7">
        <w:rPr>
          <w:rFonts w:eastAsia="Calibri"/>
          <w:b/>
          <w:sz w:val="22"/>
          <w:szCs w:val="22"/>
          <w:lang w:eastAsia="en-US"/>
        </w:rPr>
        <w:t xml:space="preserve"> l</w:t>
      </w:r>
      <w:r w:rsidR="00D43184">
        <w:rPr>
          <w:rFonts w:eastAsia="Calibri"/>
          <w:b/>
          <w:sz w:val="22"/>
          <w:szCs w:val="22"/>
          <w:lang w:eastAsia="en-US"/>
        </w:rPr>
        <w:t>’</w:t>
      </w:r>
      <w:r w:rsidRPr="006C28E7">
        <w:rPr>
          <w:rFonts w:eastAsia="Calibri"/>
          <w:b/>
          <w:sz w:val="22"/>
          <w:szCs w:val="22"/>
          <w:lang w:eastAsia="en-US"/>
        </w:rPr>
        <w:t>exploitation et la gestion des installations de réception portuaires</w:t>
      </w:r>
    </w:p>
    <w:tbl>
      <w:tblPr>
        <w:tblW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9C7E1C" w:rsidRPr="006C28E7" w:rsidTr="009C7E1C">
        <w:tc>
          <w:tcPr>
            <w:tcW w:w="3402"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before="60" w:after="60"/>
              <w:rPr>
                <w:rFonts w:cs="Arial"/>
                <w:b/>
                <w:sz w:val="22"/>
                <w:szCs w:val="22"/>
                <w:lang w:eastAsia="en-US"/>
              </w:rPr>
            </w:pPr>
            <w:r w:rsidRPr="006C28E7">
              <w:rPr>
                <w:rFonts w:eastAsia="Calibri"/>
                <w:b/>
                <w:i/>
                <w:sz w:val="22"/>
                <w:szCs w:val="22"/>
                <w:lang w:eastAsia="en-US"/>
              </w:rPr>
              <w:t>Coûts directs</w:t>
            </w:r>
          </w:p>
          <w:p w:rsidR="009C7E1C" w:rsidRPr="006C28E7" w:rsidRDefault="009C7E1C" w:rsidP="009C7E1C">
            <w:pPr>
              <w:widowControl/>
              <w:spacing w:before="60" w:after="60"/>
              <w:rPr>
                <w:rFonts w:cs="Arial"/>
                <w:b/>
                <w:sz w:val="22"/>
                <w:szCs w:val="22"/>
                <w:lang w:eastAsia="en-US"/>
              </w:rPr>
            </w:pPr>
            <w:r w:rsidRPr="006C28E7">
              <w:rPr>
                <w:rFonts w:eastAsia="Calibri"/>
                <w:b/>
                <w:sz w:val="22"/>
                <w:szCs w:val="22"/>
                <w:lang w:eastAsia="en-US"/>
              </w:rPr>
              <w:t xml:space="preserve">Coûts </w:t>
            </w:r>
            <w:r w:rsidRPr="006C28E7">
              <w:rPr>
                <w:rFonts w:eastAsia="Calibri"/>
                <w:b/>
                <w:i/>
                <w:iCs/>
                <w:sz w:val="22"/>
                <w:szCs w:val="22"/>
                <w:lang w:eastAsia="en-US"/>
              </w:rPr>
              <w:t>d</w:t>
            </w:r>
            <w:r w:rsidR="00D43184">
              <w:rPr>
                <w:rFonts w:eastAsia="Calibri"/>
                <w:b/>
                <w:i/>
                <w:iCs/>
                <w:sz w:val="22"/>
                <w:szCs w:val="22"/>
                <w:lang w:eastAsia="en-US"/>
              </w:rPr>
              <w:t>’</w:t>
            </w:r>
            <w:r w:rsidRPr="006C28E7">
              <w:rPr>
                <w:rFonts w:eastAsia="Calibri"/>
                <w:b/>
                <w:i/>
                <w:iCs/>
                <w:sz w:val="22"/>
                <w:szCs w:val="22"/>
                <w:lang w:eastAsia="en-US"/>
              </w:rPr>
              <w:t>exploitation directs</w:t>
            </w:r>
            <w:r w:rsidRPr="006C28E7">
              <w:rPr>
                <w:rFonts w:eastAsia="Calibri"/>
                <w:b/>
                <w:sz w:val="22"/>
                <w:szCs w:val="22"/>
                <w:lang w:eastAsia="en-US"/>
              </w:rPr>
              <w:t xml:space="preserve"> découlant du dépôt effectif de déchets des navires, y compris les éléments de coût énumérés ci-dessous.</w:t>
            </w:r>
          </w:p>
        </w:tc>
        <w:tc>
          <w:tcPr>
            <w:tcW w:w="3402"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before="60" w:after="60"/>
              <w:rPr>
                <w:rFonts w:cs="Arial"/>
                <w:b/>
                <w:sz w:val="22"/>
                <w:szCs w:val="22"/>
                <w:lang w:eastAsia="en-US"/>
              </w:rPr>
            </w:pPr>
            <w:r w:rsidRPr="006C28E7">
              <w:rPr>
                <w:rFonts w:eastAsia="Calibri"/>
                <w:b/>
                <w:i/>
                <w:sz w:val="22"/>
                <w:szCs w:val="22"/>
                <w:lang w:eastAsia="en-US"/>
              </w:rPr>
              <w:t>Coûts indirects</w:t>
            </w:r>
          </w:p>
          <w:p w:rsidR="009C7E1C" w:rsidRPr="006C28E7" w:rsidRDefault="009C7E1C" w:rsidP="009C7E1C">
            <w:pPr>
              <w:widowControl/>
              <w:spacing w:before="60" w:after="60"/>
              <w:rPr>
                <w:rFonts w:cs="Arial"/>
                <w:b/>
                <w:sz w:val="22"/>
                <w:szCs w:val="22"/>
                <w:lang w:eastAsia="en-US"/>
              </w:rPr>
            </w:pPr>
            <w:r w:rsidRPr="006C28E7">
              <w:rPr>
                <w:rFonts w:eastAsia="Calibri"/>
                <w:b/>
                <w:i/>
                <w:iCs/>
                <w:sz w:val="22"/>
                <w:szCs w:val="22"/>
                <w:lang w:eastAsia="en-US"/>
              </w:rPr>
              <w:t>Coûts administratifs</w:t>
            </w:r>
            <w:r w:rsidRPr="006C28E7">
              <w:rPr>
                <w:rFonts w:eastAsia="Calibri"/>
                <w:b/>
                <w:sz w:val="22"/>
                <w:szCs w:val="22"/>
                <w:lang w:eastAsia="en-US"/>
              </w:rPr>
              <w:t xml:space="preserve"> indirects découlant de la gestion du système dans le port, y compris les éléments de coût énumérés ci-dessous.</w:t>
            </w:r>
          </w:p>
        </w:tc>
        <w:tc>
          <w:tcPr>
            <w:tcW w:w="3402" w:type="dxa"/>
            <w:tcBorders>
              <w:top w:val="single" w:sz="4" w:space="0" w:color="auto"/>
              <w:left w:val="single" w:sz="4" w:space="0" w:color="auto"/>
              <w:bottom w:val="single" w:sz="4" w:space="0" w:color="auto"/>
              <w:right w:val="single" w:sz="4" w:space="0" w:color="auto"/>
            </w:tcBorders>
            <w:hideMark/>
          </w:tcPr>
          <w:p w:rsidR="009C7E1C" w:rsidRPr="006C28E7" w:rsidRDefault="009C7E1C" w:rsidP="009C7E1C">
            <w:pPr>
              <w:widowControl/>
              <w:spacing w:before="60" w:after="60"/>
              <w:rPr>
                <w:rFonts w:eastAsia="Calibri" w:cs="Arial"/>
                <w:b/>
                <w:i/>
                <w:sz w:val="22"/>
                <w:szCs w:val="22"/>
                <w:lang w:eastAsia="en-US"/>
              </w:rPr>
            </w:pPr>
            <w:r w:rsidRPr="006C28E7">
              <w:rPr>
                <w:rFonts w:eastAsia="Calibri"/>
                <w:b/>
                <w:i/>
                <w:sz w:val="22"/>
                <w:szCs w:val="22"/>
                <w:lang w:eastAsia="en-US"/>
              </w:rPr>
              <w:t>Recettes nettes</w:t>
            </w:r>
          </w:p>
          <w:p w:rsidR="009C7E1C" w:rsidRPr="006C28E7" w:rsidRDefault="009C7E1C" w:rsidP="009C7E1C">
            <w:pPr>
              <w:widowControl/>
              <w:spacing w:before="60" w:after="60"/>
              <w:rPr>
                <w:rFonts w:cs="Arial"/>
                <w:b/>
                <w:i/>
                <w:sz w:val="22"/>
                <w:szCs w:val="22"/>
                <w:lang w:eastAsia="en-US"/>
              </w:rPr>
            </w:pPr>
            <w:r w:rsidRPr="006C28E7">
              <w:rPr>
                <w:rFonts w:eastAsia="Calibri"/>
                <w:b/>
                <w:i/>
                <w:sz w:val="22"/>
                <w:szCs w:val="22"/>
                <w:lang w:eastAsia="en-US"/>
              </w:rPr>
              <w:t>Produits nets provenant des systèmes de gestion de déchets et du financement national/régional disponible, y compris les éléments de recettes énumérés ci-dessous.</w:t>
            </w:r>
          </w:p>
        </w:tc>
      </w:tr>
      <w:tr w:rsidR="009C7E1C" w:rsidRPr="006C28E7" w:rsidTr="009C7E1C">
        <w:tc>
          <w:tcPr>
            <w:tcW w:w="3402" w:type="dxa"/>
            <w:tcBorders>
              <w:top w:val="single" w:sz="4" w:space="0" w:color="auto"/>
              <w:left w:val="single" w:sz="4" w:space="0" w:color="auto"/>
              <w:bottom w:val="nil"/>
              <w:right w:val="single" w:sz="4" w:space="0" w:color="auto"/>
            </w:tcBorders>
          </w:tcPr>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Fourniture d</w:t>
            </w:r>
            <w:r w:rsidR="00D43184">
              <w:rPr>
                <w:rFonts w:eastAsia="Calibri"/>
                <w:sz w:val="22"/>
                <w:szCs w:val="22"/>
                <w:lang w:eastAsia="en-US"/>
              </w:rPr>
              <w:t>’</w:t>
            </w:r>
            <w:r w:rsidRPr="006C28E7">
              <w:rPr>
                <w:rFonts w:eastAsia="Calibri"/>
                <w:sz w:val="22"/>
                <w:szCs w:val="22"/>
                <w:lang w:eastAsia="en-US"/>
              </w:rPr>
              <w:t>infrastructures des installations de réception portuaires, y compris les conteneurs, citernes, outils de traitement, barges, camions, installations de réception des déchets, installations de traitement;</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Concessions de location du site, le cas échéant, ou de location des équipements nécessaires pour l</w:t>
            </w:r>
            <w:r w:rsidR="00D43184">
              <w:rPr>
                <w:rFonts w:eastAsia="Calibri"/>
                <w:sz w:val="22"/>
                <w:szCs w:val="22"/>
                <w:lang w:eastAsia="en-US"/>
              </w:rPr>
              <w:t>’</w:t>
            </w:r>
            <w:r w:rsidRPr="006C28E7">
              <w:rPr>
                <w:rFonts w:eastAsia="Calibri"/>
                <w:sz w:val="22"/>
                <w:szCs w:val="22"/>
                <w:lang w:eastAsia="en-US"/>
              </w:rPr>
              <w:t>exploitation des installations de réception portuaires;</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Exploitation proprement dite des installations de réception portuaires: collecte des déchets des navires, transport des déchets depuis les installations de réception portuaires pour le traitement final, entretien et nettoyage des installations de réception portuaires, coûts de personnel, y compris les heures supplémentaires, approvisionnement en électricité, analyse des déchets et assurance;</w:t>
            </w:r>
          </w:p>
          <w:p w:rsidR="009C7E1C" w:rsidRPr="006C28E7" w:rsidRDefault="009C7E1C" w:rsidP="009C7E1C">
            <w:pPr>
              <w:widowControl/>
              <w:spacing w:before="60" w:after="60"/>
              <w:ind w:left="720" w:hanging="360"/>
              <w:rPr>
                <w:rFonts w:cs="Arial"/>
                <w:sz w:val="22"/>
                <w:szCs w:val="22"/>
                <w:lang w:eastAsia="en-US"/>
              </w:rPr>
            </w:pPr>
          </w:p>
        </w:tc>
        <w:tc>
          <w:tcPr>
            <w:tcW w:w="3402" w:type="dxa"/>
            <w:tcBorders>
              <w:top w:val="single" w:sz="4" w:space="0" w:color="auto"/>
              <w:left w:val="single" w:sz="4" w:space="0" w:color="auto"/>
              <w:bottom w:val="nil"/>
              <w:right w:val="single" w:sz="4" w:space="0" w:color="auto"/>
            </w:tcBorders>
          </w:tcPr>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Élaboration et approbation du plan de réception et de traitement des déchets, y compris les éventuels audits de ce plan et de sa mise en œuvre;</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Mise à jour du plan de réception et de traitement des déchets, y compris les coûts de main-d</w:t>
            </w:r>
            <w:r w:rsidR="00D43184">
              <w:rPr>
                <w:rFonts w:eastAsia="Calibri"/>
                <w:sz w:val="22"/>
                <w:szCs w:val="22"/>
                <w:lang w:eastAsia="en-US"/>
              </w:rPr>
              <w:t>’</w:t>
            </w:r>
            <w:r w:rsidRPr="006C28E7">
              <w:rPr>
                <w:rFonts w:eastAsia="Calibri"/>
                <w:sz w:val="22"/>
                <w:szCs w:val="22"/>
                <w:lang w:eastAsia="en-US"/>
              </w:rPr>
              <w:t>œuvre et les coûts de services de conseil, le cas échéant;</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Organisation des procédures de consultation pour l</w:t>
            </w:r>
            <w:r w:rsidR="00D43184">
              <w:rPr>
                <w:rFonts w:eastAsia="Calibri"/>
                <w:sz w:val="22"/>
                <w:szCs w:val="22"/>
                <w:lang w:eastAsia="en-US"/>
              </w:rPr>
              <w:t>’</w:t>
            </w:r>
            <w:r w:rsidRPr="006C28E7">
              <w:rPr>
                <w:rFonts w:eastAsia="Calibri"/>
                <w:sz w:val="22"/>
                <w:szCs w:val="22"/>
                <w:lang w:eastAsia="en-US"/>
              </w:rPr>
              <w:t>évaluation (ou réévaluation) du plan de réception et de traitement des déchets;</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Gestion des systèmes de notification et de recouvrement des coûts, y compris la demande de réduction des redevances pour les "navires verts", la fourniture de systèmes informatiques au niveau des ports, l</w:t>
            </w:r>
            <w:r w:rsidR="00D43184">
              <w:rPr>
                <w:rFonts w:eastAsia="Calibri"/>
                <w:sz w:val="22"/>
                <w:szCs w:val="22"/>
                <w:lang w:eastAsia="en-US"/>
              </w:rPr>
              <w:t>’</w:t>
            </w:r>
            <w:r w:rsidRPr="006C28E7">
              <w:rPr>
                <w:rFonts w:eastAsia="Calibri"/>
                <w:sz w:val="22"/>
                <w:szCs w:val="22"/>
                <w:lang w:eastAsia="en-US"/>
              </w:rPr>
              <w:t>analyse statistique et les coûts de main-d</w:t>
            </w:r>
            <w:r w:rsidR="00D43184">
              <w:rPr>
                <w:rFonts w:eastAsia="Calibri"/>
                <w:sz w:val="22"/>
                <w:szCs w:val="22"/>
                <w:lang w:eastAsia="en-US"/>
              </w:rPr>
              <w:t>’</w:t>
            </w:r>
            <w:r w:rsidRPr="006C28E7">
              <w:rPr>
                <w:rFonts w:eastAsia="Calibri"/>
                <w:sz w:val="22"/>
                <w:szCs w:val="22"/>
                <w:lang w:eastAsia="en-US"/>
              </w:rPr>
              <w:t>œuvre connexes;</w:t>
            </w:r>
          </w:p>
          <w:p w:rsidR="009C7E1C" w:rsidRPr="006C28E7" w:rsidRDefault="009C7E1C" w:rsidP="009C7E1C">
            <w:pPr>
              <w:widowControl/>
              <w:spacing w:before="60" w:after="60"/>
              <w:ind w:left="720" w:hanging="360"/>
              <w:rPr>
                <w:rFonts w:cs="Arial"/>
                <w:sz w:val="22"/>
                <w:szCs w:val="22"/>
                <w:lang w:eastAsia="en-US"/>
              </w:rPr>
            </w:pPr>
          </w:p>
        </w:tc>
        <w:tc>
          <w:tcPr>
            <w:tcW w:w="3402" w:type="dxa"/>
            <w:tcBorders>
              <w:top w:val="single" w:sz="4" w:space="0" w:color="auto"/>
              <w:left w:val="single" w:sz="4" w:space="0" w:color="auto"/>
              <w:bottom w:val="nil"/>
              <w:right w:val="single" w:sz="4" w:space="0" w:color="auto"/>
            </w:tcBorders>
            <w:hideMark/>
          </w:tcPr>
          <w:p w:rsidR="009C7E1C" w:rsidRPr="006C28E7" w:rsidRDefault="009C7E1C" w:rsidP="009C7E1C">
            <w:pPr>
              <w:widowControl/>
              <w:spacing w:before="60" w:after="60"/>
              <w:ind w:left="360" w:hanging="360"/>
              <w:rPr>
                <w:rFonts w:eastAsia="Calibri" w:cs="Arial"/>
                <w:b/>
                <w:i/>
                <w:sz w:val="22"/>
                <w:szCs w:val="22"/>
                <w:lang w:eastAsia="en-US"/>
              </w:rPr>
            </w:pPr>
            <w:r w:rsidRPr="006C28E7">
              <w:rPr>
                <w:rFonts w:ascii="Symbol" w:eastAsia="Calibri" w:hAnsi="Symbol"/>
                <w:b/>
                <w:i/>
                <w:sz w:val="22"/>
                <w:szCs w:val="22"/>
                <w:lang w:eastAsia="en-US"/>
              </w:rPr>
              <w:t></w:t>
            </w:r>
            <w:r w:rsidRPr="006C28E7">
              <w:rPr>
                <w:rFonts w:ascii="Symbol" w:eastAsia="Calibri" w:hAnsi="Symbol"/>
                <w:b/>
                <w:i/>
                <w:sz w:val="22"/>
                <w:szCs w:val="22"/>
                <w:lang w:eastAsia="en-US"/>
              </w:rPr>
              <w:tab/>
            </w:r>
            <w:r w:rsidRPr="006C28E7">
              <w:rPr>
                <w:rFonts w:eastAsia="Calibri"/>
                <w:b/>
                <w:i/>
                <w:sz w:val="22"/>
                <w:szCs w:val="22"/>
                <w:lang w:eastAsia="en-US"/>
              </w:rPr>
              <w:t>Bénéfices financiers nets provenant des régimes de responsabilité élargie des producteurs;</w:t>
            </w:r>
          </w:p>
          <w:p w:rsidR="009C7E1C" w:rsidRPr="006C28E7" w:rsidRDefault="009C7E1C" w:rsidP="009C7E1C">
            <w:pPr>
              <w:widowControl/>
              <w:spacing w:before="60" w:after="60"/>
              <w:ind w:left="360" w:hanging="360"/>
              <w:rPr>
                <w:rFonts w:eastAsia="Calibri" w:cs="Arial"/>
                <w:b/>
                <w:i/>
                <w:sz w:val="22"/>
                <w:szCs w:val="22"/>
                <w:lang w:eastAsia="en-US"/>
              </w:rPr>
            </w:pPr>
            <w:r w:rsidRPr="006C28E7">
              <w:rPr>
                <w:rFonts w:ascii="Symbol" w:eastAsia="Calibri" w:hAnsi="Symbol"/>
                <w:b/>
                <w:i/>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Autres recettes nettes provenant de la gestion de déchets, notamment des systèmes de recyclage;</w:t>
            </w:r>
          </w:p>
          <w:p w:rsidR="009C7E1C" w:rsidRPr="006C28E7" w:rsidRDefault="009C7E1C" w:rsidP="009C7E1C">
            <w:pPr>
              <w:widowControl/>
              <w:spacing w:before="60" w:after="60"/>
              <w:ind w:left="360" w:hanging="360"/>
              <w:rPr>
                <w:rFonts w:eastAsia="Calibri" w:cs="Arial"/>
                <w:b/>
                <w:i/>
                <w:sz w:val="22"/>
                <w:szCs w:val="22"/>
                <w:lang w:eastAsia="en-US"/>
              </w:rPr>
            </w:pPr>
            <w:r w:rsidRPr="006C28E7">
              <w:rPr>
                <w:rFonts w:ascii="Symbol" w:eastAsia="Calibri" w:hAnsi="Symbol"/>
                <w:b/>
                <w:i/>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Financement au titre du Fonds européen pour les affaires maritimes et la pêche (FEAMP);</w:t>
            </w:r>
          </w:p>
          <w:p w:rsidR="009C7E1C" w:rsidRPr="006C28E7" w:rsidRDefault="009C7E1C" w:rsidP="009C7E1C">
            <w:pPr>
              <w:widowControl/>
              <w:spacing w:before="60" w:after="60"/>
              <w:ind w:left="360" w:hanging="360"/>
              <w:rPr>
                <w:rFonts w:ascii="Symbol" w:hAnsi="Symbol" w:cs="Arial"/>
                <w:b/>
                <w:i/>
                <w:sz w:val="22"/>
                <w:szCs w:val="22"/>
                <w:lang w:eastAsia="en-US"/>
              </w:rPr>
            </w:pPr>
            <w:r w:rsidRPr="006C28E7">
              <w:rPr>
                <w:rFonts w:ascii="Symbol" w:eastAsia="Calibri" w:hAnsi="Symbol"/>
                <w:b/>
                <w:i/>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Autres financements ou subventions à la disposition des ports en matière de gestion de déchets et de pêche.</w:t>
            </w:r>
          </w:p>
        </w:tc>
      </w:tr>
      <w:tr w:rsidR="009C7E1C" w:rsidRPr="006C28E7" w:rsidTr="009C7E1C">
        <w:tc>
          <w:tcPr>
            <w:tcW w:w="3402" w:type="dxa"/>
            <w:tcBorders>
              <w:top w:val="nil"/>
              <w:left w:val="single" w:sz="4" w:space="0" w:color="auto"/>
              <w:bottom w:val="single" w:sz="4" w:space="0" w:color="auto"/>
              <w:right w:val="single" w:sz="4" w:space="0" w:color="auto"/>
            </w:tcBorders>
            <w:hideMark/>
          </w:tcPr>
          <w:p w:rsidR="009C7E1C" w:rsidRPr="006C28E7" w:rsidRDefault="009C7E1C" w:rsidP="009C7E1C">
            <w:pPr>
              <w:pageBreakBefore/>
              <w:widowControl/>
              <w:spacing w:before="60" w:after="60"/>
              <w:ind w:left="714" w:hanging="357"/>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Préparation au réemploi, au recyclage ou à l</w:t>
            </w:r>
            <w:r w:rsidR="00D43184">
              <w:rPr>
                <w:rFonts w:eastAsia="Calibri"/>
                <w:b/>
                <w:bCs/>
                <w:i/>
                <w:iCs/>
                <w:sz w:val="22"/>
                <w:szCs w:val="22"/>
                <w:lang w:eastAsia="en-US"/>
              </w:rPr>
              <w:t>’</w:t>
            </w:r>
            <w:r w:rsidRPr="006C28E7">
              <w:rPr>
                <w:rFonts w:eastAsia="Calibri"/>
                <w:b/>
                <w:bCs/>
                <w:i/>
                <w:iCs/>
                <w:sz w:val="22"/>
                <w:szCs w:val="22"/>
                <w:lang w:eastAsia="en-US"/>
              </w:rPr>
              <w:t>élimination des déchets des navires, y compris la collecte sélective des déchets;</w:t>
            </w:r>
          </w:p>
          <w:p w:rsidR="009C7E1C" w:rsidRPr="006C28E7" w:rsidRDefault="009C7E1C" w:rsidP="009C7E1C">
            <w:pPr>
              <w:pageBreakBefore/>
              <w:widowControl/>
              <w:spacing w:before="60" w:after="60"/>
              <w:ind w:left="714" w:hanging="357"/>
              <w:rPr>
                <w:rFonts w:ascii="Symbol" w:hAnsi="Symbol"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Administration: facturation, délivrance des reçus de dépôt des déchets aux navires, déclarations.</w:t>
            </w:r>
          </w:p>
        </w:tc>
        <w:tc>
          <w:tcPr>
            <w:tcW w:w="3402" w:type="dxa"/>
            <w:tcBorders>
              <w:top w:val="nil"/>
              <w:left w:val="single" w:sz="4" w:space="0" w:color="auto"/>
              <w:bottom w:val="single" w:sz="4" w:space="0" w:color="auto"/>
              <w:right w:val="single" w:sz="4" w:space="0" w:color="auto"/>
            </w:tcBorders>
            <w:hideMark/>
          </w:tcPr>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Organisation de procédures de passation de marchés publics pour la fourniture d</w:t>
            </w:r>
            <w:r w:rsidR="00D43184">
              <w:rPr>
                <w:rFonts w:eastAsia="Calibri"/>
                <w:b/>
                <w:bCs/>
                <w:i/>
                <w:iCs/>
                <w:sz w:val="22"/>
                <w:szCs w:val="22"/>
                <w:lang w:eastAsia="en-US"/>
              </w:rPr>
              <w:t>’</w:t>
            </w:r>
            <w:r w:rsidRPr="006C28E7">
              <w:rPr>
                <w:rFonts w:eastAsia="Calibri"/>
                <w:b/>
                <w:bCs/>
                <w:i/>
                <w:iCs/>
                <w:sz w:val="22"/>
                <w:szCs w:val="22"/>
                <w:lang w:eastAsia="en-US"/>
              </w:rPr>
              <w:t>installations de réception portuaires, et délivrance des autorisations nécessaires pour la fourniture d</w:t>
            </w:r>
            <w:r w:rsidR="00D43184">
              <w:rPr>
                <w:rFonts w:eastAsia="Calibri"/>
                <w:b/>
                <w:bCs/>
                <w:i/>
                <w:iCs/>
                <w:sz w:val="22"/>
                <w:szCs w:val="22"/>
                <w:lang w:eastAsia="en-US"/>
              </w:rPr>
              <w:t>’</w:t>
            </w:r>
            <w:r w:rsidRPr="006C28E7">
              <w:rPr>
                <w:rFonts w:eastAsia="Calibri"/>
                <w:b/>
                <w:bCs/>
                <w:i/>
                <w:iCs/>
                <w:sz w:val="22"/>
                <w:szCs w:val="22"/>
                <w:lang w:eastAsia="en-US"/>
              </w:rPr>
              <w:t>installations de réception portuaires dans les ports;</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Communication d</w:t>
            </w:r>
            <w:r w:rsidR="00D43184">
              <w:rPr>
                <w:rFonts w:eastAsia="Calibri"/>
                <w:b/>
                <w:bCs/>
                <w:i/>
                <w:iCs/>
                <w:sz w:val="22"/>
                <w:szCs w:val="22"/>
                <w:lang w:eastAsia="en-US"/>
              </w:rPr>
              <w:t>’</w:t>
            </w:r>
            <w:r w:rsidRPr="006C28E7">
              <w:rPr>
                <w:rFonts w:eastAsia="Calibri"/>
                <w:b/>
                <w:bCs/>
                <w:i/>
                <w:iCs/>
                <w:sz w:val="22"/>
                <w:szCs w:val="22"/>
                <w:lang w:eastAsia="en-US"/>
              </w:rPr>
              <w:t>informations aux utilisateurs du port en distribuant des brochures, en plaçant une signalisation et des affiches dans le port ou en publiant les informations sur le site internet du port, et communication électronique des informations requises à l</w:t>
            </w:r>
            <w:r w:rsidR="00D43184">
              <w:rPr>
                <w:rFonts w:eastAsia="Calibri"/>
                <w:b/>
                <w:bCs/>
                <w:i/>
                <w:iCs/>
                <w:sz w:val="22"/>
                <w:szCs w:val="22"/>
                <w:lang w:eastAsia="en-US"/>
              </w:rPr>
              <w:t>’</w:t>
            </w:r>
            <w:r w:rsidRPr="006C28E7">
              <w:rPr>
                <w:rFonts w:eastAsia="Calibri"/>
                <w:b/>
                <w:bCs/>
                <w:i/>
                <w:iCs/>
                <w:sz w:val="22"/>
                <w:szCs w:val="22"/>
                <w:lang w:eastAsia="en-US"/>
              </w:rPr>
              <w:t>article 5</w:t>
            </w:r>
            <w:r w:rsidRPr="006C28E7">
              <w:rPr>
                <w:rFonts w:eastAsia="Calibri"/>
                <w:b/>
                <w:bCs/>
                <w:sz w:val="22"/>
                <w:szCs w:val="22"/>
                <w:lang w:eastAsia="en-US"/>
              </w:rPr>
              <w:t>;</w:t>
            </w:r>
          </w:p>
          <w:p w:rsidR="009C7E1C" w:rsidRPr="006C28E7" w:rsidRDefault="009C7E1C" w:rsidP="009C7E1C">
            <w:pPr>
              <w:widowControl/>
              <w:spacing w:before="60" w:after="60"/>
              <w:ind w:left="720" w:hanging="360"/>
              <w:rPr>
                <w:rFonts w:cs="Arial"/>
                <w:sz w:val="22"/>
                <w:szCs w:val="22"/>
                <w:lang w:eastAsia="en-US"/>
              </w:rPr>
            </w:pPr>
            <w:r w:rsidRPr="006C28E7">
              <w:rPr>
                <w:rFonts w:ascii="Symbol" w:eastAsia="Calibri" w:hAnsi="Symbol"/>
                <w:b/>
                <w:i/>
                <w:color w:val="000000"/>
                <w:sz w:val="22"/>
                <w:szCs w:val="22"/>
                <w:lang w:eastAsia="en-US"/>
              </w:rPr>
              <w:t></w:t>
            </w:r>
            <w:r w:rsidRPr="006C28E7">
              <w:rPr>
                <w:rFonts w:ascii="Symbol" w:eastAsia="Calibri" w:hAnsi="Symbol"/>
                <w:b/>
                <w:i/>
                <w:sz w:val="22"/>
                <w:szCs w:val="22"/>
                <w:lang w:eastAsia="en-US"/>
              </w:rPr>
              <w:tab/>
            </w:r>
            <w:r w:rsidRPr="006C28E7">
              <w:rPr>
                <w:rFonts w:eastAsia="Calibri"/>
                <w:b/>
                <w:bCs/>
                <w:i/>
                <w:iCs/>
                <w:sz w:val="22"/>
                <w:szCs w:val="22"/>
                <w:lang w:eastAsia="en-US"/>
              </w:rPr>
              <w:t>Gestion des systèmes de gestion de déchets:</w:t>
            </w:r>
            <w:r w:rsidRPr="006C28E7">
              <w:rPr>
                <w:rFonts w:eastAsia="Calibri"/>
                <w:b/>
                <w:i/>
                <w:color w:val="000000"/>
                <w:sz w:val="22"/>
                <w:szCs w:val="22"/>
                <w:lang w:eastAsia="en-US"/>
              </w:rPr>
              <w:t xml:space="preserve"> régimes de responsabilité élargie des producteurs, recyclage, demande d</w:t>
            </w:r>
            <w:r w:rsidR="00D43184">
              <w:rPr>
                <w:rFonts w:eastAsia="Calibri"/>
                <w:b/>
                <w:i/>
                <w:color w:val="000000"/>
                <w:sz w:val="22"/>
                <w:szCs w:val="22"/>
                <w:lang w:eastAsia="en-US"/>
              </w:rPr>
              <w:t>’</w:t>
            </w:r>
            <w:r w:rsidRPr="006C28E7">
              <w:rPr>
                <w:rFonts w:eastAsia="Calibri"/>
                <w:b/>
                <w:i/>
                <w:color w:val="000000"/>
                <w:sz w:val="22"/>
                <w:szCs w:val="22"/>
                <w:lang w:eastAsia="en-US"/>
              </w:rPr>
              <w:t>utilisation et mise en œuvre de fonds nationaux/régionaux;</w:t>
            </w:r>
          </w:p>
          <w:p w:rsidR="009C7E1C" w:rsidRPr="006C28E7" w:rsidRDefault="009C7E1C" w:rsidP="009C7E1C">
            <w:pPr>
              <w:widowControl/>
              <w:spacing w:before="60" w:after="60"/>
              <w:ind w:left="720" w:hanging="360"/>
              <w:rPr>
                <w:rFonts w:ascii="Symbol" w:hAnsi="Symbol" w:cs="Arial"/>
                <w:sz w:val="22"/>
                <w:szCs w:val="22"/>
                <w:lang w:eastAsia="en-US"/>
              </w:rPr>
            </w:pPr>
            <w:r w:rsidRPr="006C28E7">
              <w:rPr>
                <w:rFonts w:ascii="Symbol" w:eastAsia="Calibri" w:hAnsi="Symbol"/>
                <w:sz w:val="22"/>
                <w:szCs w:val="22"/>
                <w:lang w:eastAsia="en-US"/>
              </w:rPr>
              <w:t></w:t>
            </w:r>
            <w:r w:rsidRPr="006C28E7">
              <w:rPr>
                <w:rFonts w:ascii="Symbol" w:eastAsia="Calibri" w:hAnsi="Symbol"/>
                <w:b/>
                <w:i/>
                <w:sz w:val="22"/>
                <w:szCs w:val="22"/>
                <w:lang w:eastAsia="en-US"/>
              </w:rPr>
              <w:tab/>
            </w:r>
            <w:r w:rsidRPr="006C28E7">
              <w:rPr>
                <w:rFonts w:eastAsia="Calibri"/>
                <w:sz w:val="22"/>
                <w:szCs w:val="22"/>
                <w:lang w:eastAsia="en-US"/>
              </w:rPr>
              <w:t>Autres coûts administratifs: coûts de suivi et de communication électronique des exemptions requises à l</w:t>
            </w:r>
            <w:r w:rsidR="00D43184">
              <w:rPr>
                <w:rFonts w:eastAsia="Calibri"/>
                <w:sz w:val="22"/>
                <w:szCs w:val="22"/>
                <w:lang w:eastAsia="en-US"/>
              </w:rPr>
              <w:t>’</w:t>
            </w:r>
            <w:r w:rsidRPr="006C28E7">
              <w:rPr>
                <w:rFonts w:eastAsia="Calibri"/>
                <w:sz w:val="22"/>
                <w:szCs w:val="22"/>
                <w:lang w:eastAsia="en-US"/>
              </w:rPr>
              <w:t>article 9.</w:t>
            </w:r>
          </w:p>
        </w:tc>
        <w:tc>
          <w:tcPr>
            <w:tcW w:w="3402" w:type="dxa"/>
            <w:tcBorders>
              <w:top w:val="nil"/>
              <w:left w:val="single" w:sz="4" w:space="0" w:color="auto"/>
              <w:bottom w:val="single" w:sz="4" w:space="0" w:color="auto"/>
              <w:right w:val="single" w:sz="4" w:space="0" w:color="auto"/>
            </w:tcBorders>
          </w:tcPr>
          <w:p w:rsidR="009C7E1C" w:rsidRPr="006C28E7" w:rsidRDefault="009C7E1C" w:rsidP="009C7E1C">
            <w:pPr>
              <w:widowControl/>
              <w:spacing w:before="60" w:after="60"/>
              <w:ind w:left="360" w:hanging="360"/>
              <w:rPr>
                <w:rFonts w:ascii="Symbol" w:eastAsia="Calibri" w:hAnsi="Symbol" w:cs="Arial"/>
                <w:b/>
                <w:i/>
                <w:sz w:val="22"/>
                <w:szCs w:val="22"/>
                <w:lang w:eastAsia="en-US"/>
              </w:rPr>
            </w:pPr>
          </w:p>
        </w:tc>
      </w:tr>
    </w:tbl>
    <w:p w:rsidR="009C7E1C" w:rsidRPr="006C28E7" w:rsidRDefault="009C7E1C" w:rsidP="009C7E1C">
      <w:pPr>
        <w:widowControl/>
        <w:spacing w:line="360" w:lineRule="auto"/>
        <w:rPr>
          <w:rFonts w:cs="Arial"/>
          <w:szCs w:val="22"/>
          <w:lang w:eastAsia="en-US"/>
        </w:rPr>
      </w:pPr>
    </w:p>
    <w:p w:rsidR="009C7E1C" w:rsidRPr="006C28E7" w:rsidRDefault="009C7E1C" w:rsidP="009C7E1C">
      <w:pPr>
        <w:widowControl/>
        <w:spacing w:after="200" w:line="276" w:lineRule="auto"/>
        <w:rPr>
          <w:rFonts w:cs="Arial"/>
          <w:szCs w:val="22"/>
          <w:lang w:eastAsia="en-US"/>
        </w:rPr>
      </w:pPr>
      <w:r w:rsidRPr="006C28E7">
        <w:rPr>
          <w:rFonts w:eastAsia="Calibri"/>
          <w:szCs w:val="22"/>
          <w:lang w:eastAsia="en-US"/>
        </w:rPr>
        <w:br w:type="page"/>
      </w:r>
    </w:p>
    <w:p w:rsidR="009C7E1C" w:rsidRPr="006C28E7" w:rsidRDefault="009C7E1C" w:rsidP="009C7E1C">
      <w:pPr>
        <w:widowControl/>
        <w:autoSpaceDE w:val="0"/>
        <w:autoSpaceDN w:val="0"/>
        <w:adjustRightInd w:val="0"/>
        <w:spacing w:before="200" w:after="120" w:line="360" w:lineRule="auto"/>
        <w:jc w:val="center"/>
        <w:rPr>
          <w:b/>
          <w:szCs w:val="22"/>
          <w:u w:val="single"/>
          <w:lang w:eastAsia="en-US"/>
        </w:rPr>
      </w:pPr>
      <w:r w:rsidRPr="006C28E7">
        <w:rPr>
          <w:rFonts w:eastAsia="Calibri"/>
          <w:b/>
          <w:szCs w:val="22"/>
          <w:u w:val="single"/>
          <w:lang w:eastAsia="en-US"/>
        </w:rPr>
        <w:t>ANNEXE 5</w:t>
      </w:r>
    </w:p>
    <w:p w:rsidR="009C7E1C" w:rsidRPr="006C28E7" w:rsidRDefault="009C7E1C" w:rsidP="009C7E1C">
      <w:pPr>
        <w:widowControl/>
        <w:autoSpaceDE w:val="0"/>
        <w:autoSpaceDN w:val="0"/>
        <w:adjustRightInd w:val="0"/>
        <w:spacing w:before="200" w:after="120" w:line="360" w:lineRule="auto"/>
        <w:jc w:val="center"/>
        <w:rPr>
          <w:sz w:val="16"/>
          <w:szCs w:val="16"/>
          <w:lang w:eastAsia="en-US"/>
        </w:rPr>
      </w:pPr>
      <w:r w:rsidRPr="006C28E7">
        <w:rPr>
          <w:rFonts w:eastAsia="Calibri"/>
          <w:b/>
          <w:bCs/>
          <w:szCs w:val="24"/>
          <w:lang w:eastAsia="en-US"/>
        </w:rPr>
        <w:br/>
        <w:t>CERTIFICAT D</w:t>
      </w:r>
      <w:r w:rsidR="00D43184">
        <w:rPr>
          <w:rFonts w:eastAsia="Calibri"/>
          <w:b/>
          <w:bCs/>
          <w:szCs w:val="24"/>
          <w:lang w:eastAsia="en-US"/>
        </w:rPr>
        <w:t>’</w:t>
      </w:r>
      <w:r w:rsidRPr="006C28E7">
        <w:rPr>
          <w:rFonts w:eastAsia="Calibri"/>
          <w:b/>
          <w:bCs/>
          <w:szCs w:val="24"/>
          <w:lang w:eastAsia="en-US"/>
        </w:rPr>
        <w:t>EXEMPTION EN VERTU DE L</w:t>
      </w:r>
      <w:r w:rsidR="00D43184">
        <w:rPr>
          <w:rFonts w:eastAsia="Calibri"/>
          <w:b/>
          <w:bCs/>
          <w:szCs w:val="24"/>
          <w:lang w:eastAsia="en-US"/>
        </w:rPr>
        <w:t>’</w:t>
      </w:r>
      <w:r w:rsidRPr="006C28E7">
        <w:rPr>
          <w:rFonts w:eastAsia="Calibri"/>
          <w:b/>
          <w:bCs/>
          <w:szCs w:val="24"/>
          <w:lang w:eastAsia="en-US"/>
        </w:rPr>
        <w:t xml:space="preserve">ARTICLE 9 </w:t>
      </w:r>
      <w:r w:rsidRPr="006C28E7">
        <w:rPr>
          <w:rFonts w:eastAsia="Calibri"/>
          <w:b/>
          <w:bCs/>
          <w:szCs w:val="24"/>
          <w:lang w:eastAsia="en-US"/>
        </w:rPr>
        <w:br/>
        <w:t>EN CE QUI CONCERNE LES EXIGENCES DE L</w:t>
      </w:r>
      <w:r w:rsidR="00D43184">
        <w:rPr>
          <w:rFonts w:eastAsia="Calibri"/>
          <w:b/>
          <w:bCs/>
          <w:szCs w:val="24"/>
          <w:lang w:eastAsia="en-US"/>
        </w:rPr>
        <w:t>’</w:t>
      </w:r>
      <w:r w:rsidRPr="006C28E7">
        <w:rPr>
          <w:rFonts w:eastAsia="Calibri"/>
          <w:b/>
          <w:bCs/>
          <w:szCs w:val="24"/>
          <w:lang w:eastAsia="en-US"/>
        </w:rPr>
        <w:t xml:space="preserve">ARTICLES 6, </w:t>
      </w:r>
      <w:r w:rsidRPr="006C28E7">
        <w:rPr>
          <w:rFonts w:eastAsia="Calibri"/>
          <w:b/>
          <w:bCs/>
          <w:szCs w:val="24"/>
          <w:lang w:eastAsia="en-US"/>
        </w:rPr>
        <w:br/>
        <w:t>DE L</w:t>
      </w:r>
      <w:r w:rsidR="00D43184">
        <w:rPr>
          <w:rFonts w:eastAsia="Calibri"/>
          <w:b/>
          <w:bCs/>
          <w:szCs w:val="24"/>
          <w:lang w:eastAsia="en-US"/>
        </w:rPr>
        <w:t>’</w:t>
      </w:r>
      <w:r w:rsidRPr="006C28E7">
        <w:rPr>
          <w:rFonts w:eastAsia="Calibri"/>
          <w:b/>
          <w:bCs/>
          <w:szCs w:val="24"/>
          <w:lang w:eastAsia="en-US"/>
        </w:rPr>
        <w:t>ARTICLE 7, PARAGRAPHE 1, ET DE L</w:t>
      </w:r>
      <w:r w:rsidR="00D43184">
        <w:rPr>
          <w:rFonts w:eastAsia="Calibri"/>
          <w:b/>
          <w:bCs/>
          <w:szCs w:val="24"/>
          <w:lang w:eastAsia="en-US"/>
        </w:rPr>
        <w:t>’</w:t>
      </w:r>
      <w:r w:rsidRPr="006C28E7">
        <w:rPr>
          <w:rFonts w:eastAsia="Calibri"/>
          <w:b/>
          <w:bCs/>
          <w:szCs w:val="24"/>
          <w:lang w:eastAsia="en-US"/>
        </w:rPr>
        <w:t>ARTICLE 8 DE LA DIRECTIVE (UE) 2019/XX▌</w:t>
      </w:r>
      <w:r w:rsidRPr="006C28E7">
        <w:rPr>
          <w:rFonts w:eastAsia="Calibri"/>
          <w:b/>
          <w:bCs/>
          <w:szCs w:val="24"/>
          <w:vertAlign w:val="superscript"/>
          <w:lang w:eastAsia="en-US"/>
        </w:rPr>
        <w:footnoteReference w:customMarkFollows="1" w:id="34"/>
        <w:sym w:font="Symbol" w:char="F02B"/>
      </w:r>
      <w:r w:rsidRPr="006C28E7">
        <w:rPr>
          <w:rFonts w:eastAsia="Calibri"/>
          <w:b/>
          <w:bCs/>
          <w:szCs w:val="24"/>
          <w:lang w:eastAsia="en-US"/>
        </w:rPr>
        <w:br/>
        <w:t>DANS LE[S] PORT[S] DE [</w:t>
      </w:r>
      <w:r w:rsidRPr="006C28E7">
        <w:rPr>
          <w:rFonts w:eastAsia="Calibri"/>
          <w:b/>
          <w:bCs/>
          <w:i/>
          <w:iCs/>
          <w:szCs w:val="24"/>
          <w:lang w:eastAsia="en-US"/>
        </w:rPr>
        <w:t>INSÉRER LE NOM DU/DES PORTS</w:t>
      </w:r>
      <w:r w:rsidRPr="006C28E7">
        <w:rPr>
          <w:rFonts w:eastAsia="Calibri"/>
          <w:b/>
          <w:bCs/>
          <w:szCs w:val="24"/>
          <w:lang w:eastAsia="en-US"/>
        </w:rPr>
        <w:t>]</w:t>
      </w:r>
      <w:r w:rsidRPr="006C28E7">
        <w:rPr>
          <w:rFonts w:eastAsia="Calibri"/>
          <w:b/>
          <w:bCs/>
          <w:szCs w:val="24"/>
          <w:lang w:eastAsia="en-US"/>
        </w:rPr>
        <w:br/>
        <w:t>[EN][AU][AUX] [</w:t>
      </w:r>
      <w:r w:rsidRPr="006C28E7">
        <w:rPr>
          <w:rFonts w:eastAsia="Calibri"/>
          <w:b/>
          <w:bCs/>
          <w:i/>
          <w:iCs/>
          <w:szCs w:val="24"/>
          <w:lang w:eastAsia="en-US"/>
        </w:rPr>
        <w:t>INSÉRER L</w:t>
      </w:r>
      <w:r w:rsidR="00D43184">
        <w:rPr>
          <w:rFonts w:eastAsia="Calibri"/>
          <w:b/>
          <w:bCs/>
          <w:i/>
          <w:iCs/>
          <w:szCs w:val="24"/>
          <w:lang w:eastAsia="en-US"/>
        </w:rPr>
        <w:t>’</w:t>
      </w:r>
      <w:r w:rsidRPr="006C28E7">
        <w:rPr>
          <w:rFonts w:eastAsia="Calibri"/>
          <w:b/>
          <w:bCs/>
          <w:i/>
          <w:iCs/>
          <w:szCs w:val="24"/>
          <w:lang w:eastAsia="en-US"/>
        </w:rPr>
        <w:t>ÉTAT MEMBRE</w:t>
      </w:r>
      <w:r w:rsidRPr="006C28E7">
        <w:rPr>
          <w:rFonts w:eastAsia="Calibri"/>
          <w:b/>
          <w:bCs/>
          <w:szCs w:val="24"/>
          <w:lang w:eastAsia="en-US"/>
        </w:rPr>
        <w:t>]</w:t>
      </w:r>
      <w:r w:rsidRPr="006C28E7">
        <w:rPr>
          <w:rFonts w:eastAsia="Calibri"/>
          <w:szCs w:val="24"/>
          <w:lang w:eastAsia="en-US"/>
        </w:rPr>
        <w:t xml:space="preserve"> </w:t>
      </w:r>
      <w:r w:rsidRPr="006C28E7">
        <w:rPr>
          <w:rFonts w:cs="Symbol"/>
          <w:i/>
          <w:color w:val="000000"/>
          <w:szCs w:val="24"/>
          <w:vertAlign w:val="superscript"/>
        </w:rPr>
        <w:footnoteReference w:id="35"/>
      </w:r>
    </w:p>
    <w:p w:rsidR="009C7E1C" w:rsidRPr="006C28E7" w:rsidRDefault="009C7E1C" w:rsidP="009C7E1C">
      <w:pPr>
        <w:widowControl/>
        <w:autoSpaceDE w:val="0"/>
        <w:autoSpaceDN w:val="0"/>
        <w:adjustRightInd w:val="0"/>
        <w:spacing w:before="200" w:after="120" w:line="360" w:lineRule="auto"/>
        <w:jc w:val="center"/>
        <w:rPr>
          <w:b/>
          <w:i/>
          <w:szCs w:val="24"/>
        </w:rPr>
      </w:pPr>
    </w:p>
    <w:p w:rsidR="009C7E1C" w:rsidRPr="006C28E7" w:rsidRDefault="009C7E1C" w:rsidP="009C7E1C">
      <w:pPr>
        <w:widowControl/>
        <w:tabs>
          <w:tab w:val="left" w:pos="0"/>
          <w:tab w:val="left" w:pos="2410"/>
          <w:tab w:val="left" w:pos="5212"/>
          <w:tab w:val="left" w:pos="7371"/>
        </w:tabs>
        <w:spacing w:before="60" w:after="60" w:line="360" w:lineRule="auto"/>
        <w:rPr>
          <w:rFonts w:cs="Arial"/>
          <w:szCs w:val="24"/>
          <w:lang w:eastAsia="en-US"/>
        </w:rPr>
      </w:pPr>
      <w:r w:rsidRPr="006C28E7">
        <w:rPr>
          <w:rFonts w:eastAsia="Calibri"/>
          <w:b/>
          <w:szCs w:val="24"/>
          <w:lang w:eastAsia="en-US"/>
        </w:rPr>
        <w:t>Nom du navire Numéro ou lettres distinctifs</w:t>
      </w:r>
      <w:r w:rsidRPr="006C28E7">
        <w:rPr>
          <w:rFonts w:eastAsia="Calibri"/>
          <w:b/>
          <w:szCs w:val="24"/>
          <w:lang w:eastAsia="en-US"/>
        </w:rPr>
        <w:tab/>
        <w:t>État du pavillon</w:t>
      </w:r>
    </w:p>
    <w:p w:rsidR="009C7E1C" w:rsidRPr="006C28E7" w:rsidRDefault="009C7E1C" w:rsidP="009C7E1C">
      <w:pPr>
        <w:widowControl/>
        <w:tabs>
          <w:tab w:val="left" w:pos="0"/>
          <w:tab w:val="left" w:pos="2410"/>
          <w:tab w:val="left" w:pos="5212"/>
          <w:tab w:val="left" w:pos="7371"/>
        </w:tabs>
        <w:spacing w:before="60" w:after="60" w:line="300" w:lineRule="auto"/>
        <w:rPr>
          <w:rFonts w:cs="Arial"/>
          <w:b/>
          <w:szCs w:val="24"/>
          <w:lang w:eastAsia="en-US"/>
        </w:rPr>
      </w:pPr>
      <w:r w:rsidRPr="006C28E7">
        <w:rPr>
          <w:rFonts w:eastAsia="Calibri"/>
          <w:szCs w:val="22"/>
          <w:lang w:eastAsia="en-US"/>
        </w:rPr>
        <w:t>[</w:t>
      </w:r>
      <w:r w:rsidRPr="006C28E7">
        <w:rPr>
          <w:rFonts w:eastAsia="Calibri"/>
          <w:i/>
          <w:szCs w:val="22"/>
          <w:lang w:eastAsia="en-US"/>
        </w:rPr>
        <w:t>insérer le nom du navire</w:t>
      </w:r>
      <w:r w:rsidRPr="006C28E7">
        <w:rPr>
          <w:rFonts w:eastAsia="Calibri"/>
          <w:szCs w:val="22"/>
          <w:lang w:eastAsia="en-US"/>
        </w:rPr>
        <w:t>] [</w:t>
      </w:r>
      <w:r w:rsidRPr="006C28E7">
        <w:rPr>
          <w:rFonts w:eastAsia="Calibri"/>
          <w:i/>
          <w:szCs w:val="22"/>
          <w:lang w:eastAsia="en-US"/>
        </w:rPr>
        <w:t>insérer le numéro OMI</w:t>
      </w:r>
      <w:r w:rsidRPr="006C28E7">
        <w:rPr>
          <w:rFonts w:eastAsia="Calibri"/>
          <w:szCs w:val="22"/>
          <w:lang w:eastAsia="en-US"/>
        </w:rPr>
        <w:t>]</w:t>
      </w:r>
      <w:r w:rsidRPr="006C28E7">
        <w:rPr>
          <w:rFonts w:eastAsia="Calibri"/>
          <w:b/>
          <w:szCs w:val="24"/>
          <w:lang w:eastAsia="en-US"/>
        </w:rPr>
        <w:tab/>
      </w:r>
      <w:r w:rsidRPr="006C28E7">
        <w:rPr>
          <w:rFonts w:eastAsia="Calibri"/>
          <w:szCs w:val="24"/>
          <w:lang w:eastAsia="en-US"/>
        </w:rPr>
        <w:t>[</w:t>
      </w:r>
      <w:r w:rsidRPr="006C28E7">
        <w:rPr>
          <w:rFonts w:eastAsia="Calibri"/>
          <w:i/>
          <w:szCs w:val="24"/>
          <w:lang w:eastAsia="en-US"/>
        </w:rPr>
        <w:t>insérer le nom de l</w:t>
      </w:r>
      <w:r w:rsidR="00D43184">
        <w:rPr>
          <w:rFonts w:eastAsia="Calibri"/>
          <w:i/>
          <w:szCs w:val="24"/>
          <w:lang w:eastAsia="en-US"/>
        </w:rPr>
        <w:t>’</w:t>
      </w:r>
      <w:r w:rsidRPr="006C28E7">
        <w:rPr>
          <w:rFonts w:eastAsia="Calibri"/>
          <w:i/>
          <w:szCs w:val="24"/>
          <w:lang w:eastAsia="en-US"/>
        </w:rPr>
        <w:t>État du pavillon</w:t>
      </w:r>
      <w:r w:rsidRPr="006C28E7">
        <w:rPr>
          <w:rFonts w:eastAsia="Calibri"/>
          <w:szCs w:val="24"/>
          <w:lang w:eastAsia="en-US"/>
        </w:rPr>
        <w:t>]</w:t>
      </w:r>
    </w:p>
    <w:p w:rsidR="009C7E1C" w:rsidRPr="006C28E7" w:rsidRDefault="009C7E1C" w:rsidP="009C7E1C">
      <w:pPr>
        <w:widowControl/>
        <w:tabs>
          <w:tab w:val="left" w:pos="0"/>
          <w:tab w:val="left" w:pos="2410"/>
          <w:tab w:val="left" w:pos="5212"/>
          <w:tab w:val="left" w:pos="7371"/>
        </w:tabs>
        <w:spacing w:before="60" w:after="60" w:line="300" w:lineRule="auto"/>
        <w:rPr>
          <w:rFonts w:cs="Arial"/>
          <w:b/>
          <w:szCs w:val="24"/>
          <w:lang w:eastAsia="en-US"/>
        </w:rPr>
      </w:pPr>
      <w:r w:rsidRPr="006C28E7">
        <w:rPr>
          <w:rFonts w:eastAsia="Calibri"/>
          <w:b/>
          <w:szCs w:val="24"/>
          <w:lang w:eastAsia="en-US"/>
        </w:rPr>
        <w:tab/>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r w:rsidRPr="006C28E7">
        <w:rPr>
          <w:rFonts w:eastAsia="Calibri"/>
          <w:szCs w:val="22"/>
          <w:lang w:eastAsia="en-US"/>
        </w:rPr>
        <w:t xml:space="preserve">effectue des services réguliers qui comportent des escales portuaires fréquentes et régulières dans le(s) port(s) suivant(s) situé(s) [en][au][aux] </w:t>
      </w:r>
      <w:r w:rsidRPr="006C28E7">
        <w:rPr>
          <w:rFonts w:eastAsia="Calibri"/>
          <w:i/>
          <w:szCs w:val="22"/>
          <w:lang w:eastAsia="en-US"/>
        </w:rPr>
        <w:t>[insérer le nom de l</w:t>
      </w:r>
      <w:r w:rsidR="00D43184">
        <w:rPr>
          <w:rFonts w:eastAsia="Calibri"/>
          <w:i/>
          <w:szCs w:val="22"/>
          <w:lang w:eastAsia="en-US"/>
        </w:rPr>
        <w:t>’</w:t>
      </w:r>
      <w:r w:rsidRPr="006C28E7">
        <w:rPr>
          <w:rFonts w:eastAsia="Calibri"/>
          <w:i/>
          <w:szCs w:val="22"/>
          <w:lang w:eastAsia="en-US"/>
        </w:rPr>
        <w:t>État membre]</w:t>
      </w:r>
      <w:r w:rsidRPr="006C28E7">
        <w:rPr>
          <w:rFonts w:eastAsia="Calibri"/>
          <w:szCs w:val="22"/>
          <w:lang w:eastAsia="en-US"/>
        </w:rPr>
        <w:t xml:space="preserve"> conformément à un horaire ou un itinéraire prédéterminé:</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 ]</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et fait escale dans ces ports au moins une fois par quinzaine:</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 ]</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et a prévu des mesures pour garantir le paiement des redevances et le dépôt des déchets au port ou auprès d</w:t>
      </w:r>
      <w:r w:rsidR="00D43184">
        <w:rPr>
          <w:rFonts w:eastAsia="Calibri"/>
          <w:szCs w:val="22"/>
          <w:lang w:eastAsia="en-US"/>
        </w:rPr>
        <w:t>’</w:t>
      </w:r>
      <w:r w:rsidRPr="006C28E7">
        <w:rPr>
          <w:rFonts w:eastAsia="Calibri"/>
          <w:szCs w:val="22"/>
          <w:lang w:eastAsia="en-US"/>
        </w:rPr>
        <w:t>une tierce partie dans le port:</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 ]</w:t>
      </w:r>
    </w:p>
    <w:p w:rsidR="009C7E1C" w:rsidRPr="006C28E7" w:rsidRDefault="009C7E1C" w:rsidP="009C7E1C">
      <w:pPr>
        <w:widowControl/>
        <w:spacing w:after="200" w:line="276" w:lineRule="auto"/>
        <w:rPr>
          <w:rFonts w:cs="Arial"/>
          <w:szCs w:val="24"/>
          <w:lang w:eastAsia="en-US"/>
        </w:rPr>
      </w:pPr>
      <w:r w:rsidRPr="006C28E7">
        <w:rPr>
          <w:rFonts w:eastAsia="Calibri"/>
          <w:szCs w:val="22"/>
          <w:lang w:eastAsia="en-US"/>
        </w:rPr>
        <w:br w:type="page"/>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r w:rsidRPr="006C28E7">
        <w:rPr>
          <w:rFonts w:eastAsia="Calibri"/>
          <w:szCs w:val="22"/>
          <w:lang w:eastAsia="en-US"/>
        </w:rPr>
        <w:t>et est donc exempté, conformément à [</w:t>
      </w:r>
      <w:r w:rsidRPr="006C28E7">
        <w:rPr>
          <w:rFonts w:eastAsia="Calibri"/>
          <w:i/>
          <w:iCs/>
          <w:szCs w:val="22"/>
          <w:lang w:eastAsia="en-US"/>
        </w:rPr>
        <w:t>insérer la disposition pertinente dans la législation nationale du pays</w:t>
      </w:r>
      <w:r w:rsidRPr="006C28E7">
        <w:rPr>
          <w:rFonts w:eastAsia="Calibri"/>
          <w:szCs w:val="22"/>
          <w:lang w:eastAsia="en-US"/>
        </w:rPr>
        <w:t xml:space="preserve">], </w:t>
      </w:r>
      <w:r w:rsidRPr="006C28E7">
        <w:rPr>
          <w:rFonts w:eastAsia="Calibri"/>
          <w:b/>
          <w:i/>
          <w:color w:val="000000"/>
          <w:szCs w:val="24"/>
          <w:lang w:eastAsia="en-US"/>
        </w:rPr>
        <w:t>des exigences relatives:</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r w:rsidRPr="006C28E7">
        <w:rPr>
          <w:rFonts w:eastAsia="Calibri"/>
          <w:b/>
          <w:i/>
          <w:color w:val="000000"/>
          <w:szCs w:val="24"/>
          <w:lang w:eastAsia="en-US"/>
        </w:rPr>
        <w:sym w:font="Times New Roman" w:char="F0FF"/>
      </w:r>
      <w:r w:rsidRPr="006C28E7">
        <w:rPr>
          <w:rFonts w:eastAsia="Calibri"/>
          <w:b/>
          <w:i/>
          <w:color w:val="000000"/>
          <w:szCs w:val="24"/>
          <w:lang w:eastAsia="en-US"/>
        </w:rPr>
        <w:tab/>
        <w:t>au dépôt obligatoire des déchets des navires,</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r w:rsidRPr="006C28E7">
        <w:rPr>
          <w:rFonts w:eastAsia="Calibri"/>
          <w:b/>
          <w:i/>
          <w:color w:val="000000"/>
          <w:szCs w:val="24"/>
          <w:lang w:eastAsia="en-US"/>
        </w:rPr>
        <w:sym w:font="Times New Roman" w:char="F0FF"/>
      </w:r>
      <w:r w:rsidRPr="006C28E7">
        <w:rPr>
          <w:rFonts w:eastAsia="Calibri"/>
          <w:b/>
          <w:i/>
          <w:color w:val="000000"/>
          <w:szCs w:val="24"/>
          <w:lang w:eastAsia="en-US"/>
        </w:rPr>
        <w:tab/>
        <w:t>à la notification préalable des déchets, et</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b/>
          <w:i/>
          <w:color w:val="000000"/>
          <w:szCs w:val="24"/>
          <w:lang w:eastAsia="en-US"/>
        </w:rPr>
      </w:pPr>
      <w:r w:rsidRPr="006C28E7">
        <w:rPr>
          <w:rFonts w:eastAsia="Calibri"/>
          <w:b/>
          <w:i/>
          <w:color w:val="000000"/>
          <w:szCs w:val="24"/>
          <w:lang w:eastAsia="en-US"/>
        </w:rPr>
        <w:sym w:font="Times New Roman" w:char="F0FF"/>
      </w:r>
      <w:r w:rsidRPr="006C28E7">
        <w:rPr>
          <w:rFonts w:eastAsia="Calibri"/>
          <w:b/>
          <w:i/>
          <w:color w:val="000000"/>
          <w:szCs w:val="24"/>
          <w:lang w:eastAsia="en-US"/>
        </w:rPr>
        <w:tab/>
        <w:t>au paiement de la redevance obligatoire, au(x) port(s) suivant(s):</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60" w:lineRule="auto"/>
        <w:rPr>
          <w:rFonts w:cs="Arial"/>
          <w:szCs w:val="24"/>
          <w:lang w:eastAsia="en-US"/>
        </w:rPr>
      </w:pPr>
      <w:r w:rsidRPr="006C28E7">
        <w:rPr>
          <w:rFonts w:eastAsia="Calibri"/>
          <w:szCs w:val="22"/>
          <w:lang w:eastAsia="en-US"/>
        </w:rPr>
        <w:t>Le présent certificat est valable jusqu</w:t>
      </w:r>
      <w:r w:rsidR="00D43184">
        <w:rPr>
          <w:rFonts w:eastAsia="Calibri"/>
          <w:szCs w:val="22"/>
          <w:lang w:eastAsia="en-US"/>
        </w:rPr>
        <w:t>’</w:t>
      </w:r>
      <w:r w:rsidRPr="006C28E7">
        <w:rPr>
          <w:rFonts w:eastAsia="Calibri"/>
          <w:szCs w:val="22"/>
          <w:lang w:eastAsia="en-US"/>
        </w:rPr>
        <w:t>au [</w:t>
      </w:r>
      <w:r w:rsidRPr="006C28E7">
        <w:rPr>
          <w:rFonts w:eastAsia="Calibri"/>
          <w:i/>
          <w:szCs w:val="24"/>
          <w:lang w:eastAsia="en-US"/>
        </w:rPr>
        <w:t>insérer la date</w:t>
      </w:r>
      <w:r w:rsidRPr="006C28E7">
        <w:rPr>
          <w:rFonts w:eastAsia="Calibri"/>
          <w:szCs w:val="22"/>
          <w:lang w:eastAsia="en-US"/>
        </w:rPr>
        <w:t>], sauf modification avant cette date des motifs de délivrance du certificat.</w:t>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r w:rsidRPr="006C28E7">
        <w:rPr>
          <w:rFonts w:eastAsia="Calibri"/>
          <w:szCs w:val="22"/>
          <w:lang w:eastAsia="en-US"/>
        </w:rPr>
        <w:t>Lieu et date</w:t>
      </w:r>
      <w:r w:rsidRPr="006C28E7">
        <w:rPr>
          <w:rFonts w:eastAsia="Calibri"/>
          <w:b/>
          <w:szCs w:val="24"/>
          <w:lang w:eastAsia="en-US"/>
        </w:rPr>
        <w:tab/>
      </w:r>
    </w:p>
    <w:p w:rsidR="009C7E1C" w:rsidRPr="006C28E7" w:rsidRDefault="009C7E1C" w:rsidP="009C7E1C">
      <w:pPr>
        <w:widowControl/>
        <w:tabs>
          <w:tab w:val="left" w:pos="0"/>
          <w:tab w:val="left" w:pos="1303"/>
          <w:tab w:val="left" w:pos="2606"/>
          <w:tab w:val="left" w:pos="3909"/>
          <w:tab w:val="left" w:pos="5212"/>
          <w:tab w:val="left" w:pos="6516"/>
          <w:tab w:val="left" w:pos="7819"/>
        </w:tabs>
        <w:spacing w:before="60" w:after="60" w:line="300" w:lineRule="auto"/>
        <w:rPr>
          <w:rFonts w:cs="Arial"/>
          <w:szCs w:val="24"/>
          <w:lang w:eastAsia="en-US"/>
        </w:rPr>
      </w:pPr>
    </w:p>
    <w:p w:rsidR="009C7E1C" w:rsidRPr="006C28E7" w:rsidRDefault="009C7E1C" w:rsidP="009C7E1C">
      <w:pPr>
        <w:widowControl/>
        <w:tabs>
          <w:tab w:val="left" w:pos="0"/>
          <w:tab w:val="left" w:pos="5670"/>
        </w:tabs>
        <w:spacing w:before="60" w:after="60" w:line="300" w:lineRule="auto"/>
        <w:rPr>
          <w:rFonts w:cs="Arial"/>
          <w:szCs w:val="24"/>
          <w:lang w:eastAsia="en-US"/>
        </w:rPr>
      </w:pPr>
      <w:r w:rsidRPr="006C28E7">
        <w:rPr>
          <w:rFonts w:eastAsia="Calibri"/>
          <w:szCs w:val="22"/>
          <w:lang w:eastAsia="en-US"/>
        </w:rPr>
        <w:tab/>
        <w:t>……………………………………</w:t>
      </w:r>
    </w:p>
    <w:p w:rsidR="009C7E1C" w:rsidRPr="006C28E7" w:rsidRDefault="009C7E1C" w:rsidP="009C7E1C">
      <w:pPr>
        <w:widowControl/>
        <w:tabs>
          <w:tab w:val="left" w:pos="6379"/>
        </w:tabs>
        <w:spacing w:before="60" w:after="60" w:line="300" w:lineRule="auto"/>
        <w:rPr>
          <w:rFonts w:cs="Arial"/>
          <w:szCs w:val="24"/>
          <w:lang w:eastAsia="en-US"/>
        </w:rPr>
      </w:pPr>
      <w:r w:rsidRPr="006C28E7">
        <w:rPr>
          <w:rFonts w:eastAsia="Calibri"/>
          <w:szCs w:val="22"/>
          <w:lang w:eastAsia="en-US"/>
        </w:rPr>
        <w:tab/>
        <w:t xml:space="preserve">Nom </w:t>
      </w:r>
      <w:r w:rsidRPr="006C28E7">
        <w:rPr>
          <w:rFonts w:eastAsia="Calibri"/>
          <w:szCs w:val="22"/>
          <w:lang w:eastAsia="en-US"/>
        </w:rPr>
        <w:br/>
      </w:r>
      <w:r w:rsidRPr="006C28E7">
        <w:rPr>
          <w:rFonts w:eastAsia="Calibri"/>
          <w:szCs w:val="22"/>
          <w:lang w:eastAsia="en-US"/>
        </w:rPr>
        <w:tab/>
        <w:t>Titre</w:t>
      </w:r>
    </w:p>
    <w:p w:rsidR="006C0168" w:rsidRPr="006C28E7" w:rsidRDefault="006C0168" w:rsidP="006C0168">
      <w:pPr>
        <w:pStyle w:val="Normal12Centre"/>
        <w:rPr>
          <w:noProof w:val="0"/>
        </w:rPr>
      </w:pPr>
    </w:p>
    <w:p w:rsidR="00AE46A3" w:rsidRPr="006C28E7" w:rsidRDefault="00AE46A3" w:rsidP="00AE46A3">
      <w:pPr>
        <w:pStyle w:val="Olang"/>
      </w:pPr>
      <w:r w:rsidRPr="006C28E7">
        <w:t xml:space="preserve">Or. </w:t>
      </w:r>
      <w:r w:rsidRPr="006C28E7">
        <w:rPr>
          <w:rStyle w:val="HideTWBExt"/>
          <w:noProof w:val="0"/>
        </w:rPr>
        <w:t>&lt;Original&gt;</w:t>
      </w:r>
      <w:r w:rsidR="00BE4672" w:rsidRPr="006C28E7">
        <w:rPr>
          <w:rStyle w:val="HideTWBInt"/>
        </w:rPr>
        <w:t>{EN}</w:t>
      </w:r>
      <w:r w:rsidR="00BE4672" w:rsidRPr="006C28E7">
        <w:t>en</w:t>
      </w:r>
      <w:r w:rsidRPr="006C28E7">
        <w:rPr>
          <w:rStyle w:val="HideTWBExt"/>
          <w:noProof w:val="0"/>
        </w:rPr>
        <w:t>&lt;/Original&gt;</w:t>
      </w:r>
    </w:p>
    <w:p w:rsidR="0004541F" w:rsidRPr="006C28E7" w:rsidRDefault="0004541F">
      <w:r w:rsidRPr="006C28E7">
        <w:rPr>
          <w:rStyle w:val="HideTWBExt"/>
          <w:noProof w:val="0"/>
        </w:rPr>
        <w:t>&lt;/Amend&gt;</w:t>
      </w:r>
    </w:p>
    <w:sectPr w:rsidR="0004541F" w:rsidRPr="006C28E7" w:rsidSect="00907D6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2D" w:rsidRPr="006C28E7" w:rsidRDefault="00B3232D">
      <w:r w:rsidRPr="006C28E7">
        <w:separator/>
      </w:r>
    </w:p>
  </w:endnote>
  <w:endnote w:type="continuationSeparator" w:id="0">
    <w:p w:rsidR="00B3232D" w:rsidRPr="006C28E7" w:rsidRDefault="00B3232D">
      <w:r w:rsidRPr="006C28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4" w:rsidRDefault="00020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CF" w:rsidRPr="006E1AA5" w:rsidRDefault="00337ACF" w:rsidP="00337ACF">
    <w:pPr>
      <w:pStyle w:val="Footer"/>
      <w:rPr>
        <w:lang w:val="de-DE"/>
      </w:rPr>
    </w:pPr>
    <w:r w:rsidRPr="006E1AA5">
      <w:rPr>
        <w:rStyle w:val="HideTWBExt"/>
        <w:noProof w:val="0"/>
        <w:lang w:val="de-DE"/>
      </w:rPr>
      <w:t>&lt;PathFdR&gt;</w:t>
    </w:r>
    <w:r w:rsidR="006C28E7" w:rsidRPr="006E1AA5">
      <w:rPr>
        <w:lang w:val="de-DE"/>
      </w:rPr>
      <w:t>AM\1179166FR.docx</w:t>
    </w:r>
    <w:r w:rsidRPr="006E1AA5">
      <w:rPr>
        <w:rStyle w:val="HideTWBExt"/>
        <w:noProof w:val="0"/>
        <w:lang w:val="de-DE"/>
      </w:rPr>
      <w:t>&lt;/PathFdR&gt;</w:t>
    </w:r>
    <w:r w:rsidRPr="006E1AA5">
      <w:rPr>
        <w:lang w:val="de-DE"/>
      </w:rPr>
      <w:tab/>
    </w:r>
    <w:r w:rsidRPr="006C28E7">
      <w:fldChar w:fldCharType="begin"/>
    </w:r>
    <w:r w:rsidRPr="006E1AA5">
      <w:rPr>
        <w:lang w:val="de-DE"/>
      </w:rPr>
      <w:instrText xml:space="preserve"> PAGE  \* MERGEFORMAT </w:instrText>
    </w:r>
    <w:r w:rsidRPr="006C28E7">
      <w:fldChar w:fldCharType="separate"/>
    </w:r>
    <w:r w:rsidR="00D43184">
      <w:rPr>
        <w:noProof/>
        <w:lang w:val="de-DE"/>
      </w:rPr>
      <w:t>3</w:t>
    </w:r>
    <w:r w:rsidRPr="006C28E7">
      <w:fldChar w:fldCharType="end"/>
    </w:r>
    <w:r w:rsidRPr="006E1AA5">
      <w:rPr>
        <w:lang w:val="de-DE"/>
      </w:rPr>
      <w:t>/</w:t>
    </w:r>
    <w:r w:rsidR="006E1AA5">
      <w:rPr>
        <w:noProof/>
      </w:rPr>
      <w:fldChar w:fldCharType="begin"/>
    </w:r>
    <w:r w:rsidR="006E1AA5" w:rsidRPr="006E1AA5">
      <w:rPr>
        <w:noProof/>
        <w:lang w:val="de-DE"/>
      </w:rPr>
      <w:instrText xml:space="preserve"> NUMPAGES  \* MERGEFORMAT </w:instrText>
    </w:r>
    <w:r w:rsidR="006E1AA5">
      <w:rPr>
        <w:noProof/>
      </w:rPr>
      <w:fldChar w:fldCharType="separate"/>
    </w:r>
    <w:r w:rsidR="00D43184">
      <w:rPr>
        <w:noProof/>
        <w:lang w:val="de-DE"/>
      </w:rPr>
      <w:t>68</w:t>
    </w:r>
    <w:r w:rsidR="006E1AA5">
      <w:rPr>
        <w:noProof/>
      </w:rPr>
      <w:fldChar w:fldCharType="end"/>
    </w:r>
    <w:r w:rsidRPr="006E1AA5">
      <w:rPr>
        <w:lang w:val="de-DE"/>
      </w:rPr>
      <w:tab/>
      <w:t>PE</w:t>
    </w:r>
    <w:r w:rsidRPr="006E1AA5">
      <w:rPr>
        <w:rStyle w:val="HideTWBExt"/>
        <w:noProof w:val="0"/>
        <w:lang w:val="de-DE"/>
      </w:rPr>
      <w:t>&lt;NoPE&gt;</w:t>
    </w:r>
    <w:r w:rsidRPr="006E1AA5">
      <w:rPr>
        <w:lang w:val="de-DE"/>
      </w:rPr>
      <w:t>635.378</w:t>
    </w:r>
    <w:r w:rsidRPr="006E1AA5">
      <w:rPr>
        <w:rStyle w:val="HideTWBExt"/>
        <w:noProof w:val="0"/>
        <w:lang w:val="de-DE"/>
      </w:rPr>
      <w:t>&lt;/NoPE&gt;&lt;Version&gt;</w:t>
    </w:r>
    <w:r w:rsidRPr="006E1AA5">
      <w:rPr>
        <w:lang w:val="de-DE"/>
      </w:rPr>
      <w:t>v01-00</w:t>
    </w:r>
    <w:r w:rsidRPr="006E1AA5">
      <w:rPr>
        <w:rStyle w:val="HideTWBExt"/>
        <w:noProof w:val="0"/>
        <w:lang w:val="de-DE"/>
      </w:rPr>
      <w:t>&lt;/Version&gt;</w:t>
    </w:r>
  </w:p>
  <w:p w:rsidR="00337ACF" w:rsidRPr="006C28E7" w:rsidRDefault="00337ACF" w:rsidP="00337ACF">
    <w:pPr>
      <w:pStyle w:val="Footer2"/>
      <w:tabs>
        <w:tab w:val="center" w:pos="4535"/>
      </w:tabs>
    </w:pPr>
    <w:r w:rsidRPr="006C28E7">
      <w:t>FR</w:t>
    </w:r>
    <w:r w:rsidRPr="006C28E7">
      <w:tab/>
    </w:r>
    <w:r w:rsidRPr="006C28E7">
      <w:rPr>
        <w:b w:val="0"/>
        <w:i/>
        <w:color w:val="C0C0C0"/>
        <w:sz w:val="22"/>
      </w:rPr>
      <w:t>Unie dans la diversité</w:t>
    </w:r>
    <w:r w:rsidRPr="006C28E7">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4" w:rsidRDefault="000207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5" w:rsidRDefault="009C2C35">
    <w:pPr>
      <w:pStyle w:val="Footer"/>
    </w:pPr>
  </w:p>
  <w:p w:rsidR="009C7E1C" w:rsidRDefault="009C7E1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CF" w:rsidRPr="000207F4" w:rsidRDefault="00337ACF" w:rsidP="00337ACF">
    <w:pPr>
      <w:pStyle w:val="Footer"/>
      <w:rPr>
        <w:lang w:val="de-DE"/>
      </w:rPr>
    </w:pPr>
    <w:r w:rsidRPr="000207F4">
      <w:rPr>
        <w:rStyle w:val="HideTWBExt"/>
        <w:lang w:val="de-DE"/>
      </w:rPr>
      <w:t>&lt;PathFdR&gt;</w:t>
    </w:r>
    <w:r w:rsidR="006C28E7" w:rsidRPr="000207F4">
      <w:rPr>
        <w:lang w:val="de-DE"/>
      </w:rPr>
      <w:t>AM\1179166FR.docx</w:t>
    </w:r>
    <w:r w:rsidRPr="000207F4">
      <w:rPr>
        <w:rStyle w:val="HideTWBExt"/>
        <w:lang w:val="de-DE"/>
      </w:rPr>
      <w:t>&lt;/PathFdR&gt;</w:t>
    </w:r>
    <w:r w:rsidRPr="000207F4">
      <w:rPr>
        <w:lang w:val="de-DE"/>
      </w:rPr>
      <w:tab/>
    </w:r>
    <w:r>
      <w:fldChar w:fldCharType="begin"/>
    </w:r>
    <w:r w:rsidRPr="000207F4">
      <w:rPr>
        <w:lang w:val="de-DE"/>
      </w:rPr>
      <w:instrText xml:space="preserve"> PAGE  \* MERGEFORMAT </w:instrText>
    </w:r>
    <w:r>
      <w:fldChar w:fldCharType="separate"/>
    </w:r>
    <w:r w:rsidR="00D43184">
      <w:rPr>
        <w:noProof/>
        <w:lang w:val="de-DE"/>
      </w:rPr>
      <w:t>68</w:t>
    </w:r>
    <w:r>
      <w:fldChar w:fldCharType="end"/>
    </w:r>
    <w:r w:rsidRPr="000207F4">
      <w:rPr>
        <w:lang w:val="de-DE"/>
      </w:rPr>
      <w:t>/</w:t>
    </w:r>
    <w:r>
      <w:fldChar w:fldCharType="begin"/>
    </w:r>
    <w:r w:rsidRPr="000207F4">
      <w:rPr>
        <w:lang w:val="de-DE"/>
      </w:rPr>
      <w:instrText xml:space="preserve"> NUMPAGES  \* MERGEFORMAT </w:instrText>
    </w:r>
    <w:r>
      <w:fldChar w:fldCharType="separate"/>
    </w:r>
    <w:r w:rsidR="00D43184">
      <w:rPr>
        <w:noProof/>
        <w:lang w:val="de-DE"/>
      </w:rPr>
      <w:t>68</w:t>
    </w:r>
    <w:r>
      <w:fldChar w:fldCharType="end"/>
    </w:r>
    <w:r w:rsidRPr="000207F4">
      <w:rPr>
        <w:lang w:val="de-DE"/>
      </w:rPr>
      <w:tab/>
      <w:t>PE</w:t>
    </w:r>
    <w:r w:rsidRPr="000207F4">
      <w:rPr>
        <w:rStyle w:val="HideTWBExt"/>
        <w:lang w:val="de-DE"/>
      </w:rPr>
      <w:t>&lt;NoPE&gt;</w:t>
    </w:r>
    <w:r w:rsidRPr="000207F4">
      <w:rPr>
        <w:lang w:val="de-DE"/>
      </w:rPr>
      <w:t>635.378</w:t>
    </w:r>
    <w:r w:rsidRPr="000207F4">
      <w:rPr>
        <w:rStyle w:val="HideTWBExt"/>
        <w:lang w:val="de-DE"/>
      </w:rPr>
      <w:t>&lt;/NoPE&gt;&lt;Version&gt;</w:t>
    </w:r>
    <w:r w:rsidRPr="000207F4">
      <w:rPr>
        <w:lang w:val="de-DE"/>
      </w:rPr>
      <w:t>v01-00</w:t>
    </w:r>
    <w:r w:rsidRPr="000207F4">
      <w:rPr>
        <w:rStyle w:val="HideTWBExt"/>
        <w:lang w:val="de-DE"/>
      </w:rPr>
      <w:t>&lt;/Version&gt;</w:t>
    </w:r>
  </w:p>
  <w:p w:rsidR="009C7E1C" w:rsidRDefault="00337ACF" w:rsidP="00337ACF">
    <w:pPr>
      <w:pStyle w:val="Footer2"/>
      <w:tabs>
        <w:tab w:val="center" w:pos="4535"/>
      </w:tabs>
    </w:pPr>
    <w:r>
      <w:t>FR</w:t>
    </w:r>
    <w:r>
      <w:tab/>
    </w:r>
    <w:r w:rsidRPr="00337ACF">
      <w:rPr>
        <w:b w:val="0"/>
        <w:i/>
        <w:color w:val="C0C0C0"/>
        <w:sz w:val="22"/>
      </w:rPr>
      <w:t>Unie dans la diversité</w:t>
    </w:r>
    <w:r>
      <w:tab/>
      <w:t>FR</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5" w:rsidRDefault="009C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2D" w:rsidRPr="006C28E7" w:rsidRDefault="00B3232D">
      <w:r w:rsidRPr="006C28E7">
        <w:separator/>
      </w:r>
    </w:p>
  </w:footnote>
  <w:footnote w:type="continuationSeparator" w:id="0">
    <w:p w:rsidR="00B3232D" w:rsidRPr="006C28E7" w:rsidRDefault="00B3232D">
      <w:r w:rsidRPr="006C28E7">
        <w:continuationSeparator/>
      </w:r>
    </w:p>
  </w:footnote>
  <w:footnote w:id="1">
    <w:p w:rsidR="00B92ABC" w:rsidRPr="006C28E7" w:rsidRDefault="00B92ABC">
      <w:pPr>
        <w:pStyle w:val="FootnoteText"/>
      </w:pPr>
      <w:r w:rsidRPr="006C28E7">
        <w:rPr>
          <w:rStyle w:val="FootnoteReference"/>
        </w:rPr>
        <w:t>*</w:t>
      </w:r>
      <w:r w:rsidRPr="006C28E7">
        <w:t xml:space="preserve"> </w:t>
      </w:r>
      <w:r w:rsidR="00B3232D" w:rsidRPr="006C28E7">
        <w:rPr>
          <w:szCs w:val="22"/>
        </w:rPr>
        <w:t>Amendements: le texte nouveau ou modifié est signalé par des italiques gras; les suppressions sont signalées par le symbole ▌.</w:t>
      </w:r>
    </w:p>
  </w:footnote>
  <w:footnote w:id="2">
    <w:p w:rsidR="009C7E1C" w:rsidRPr="006E1AA5" w:rsidRDefault="009C7E1C" w:rsidP="009C7E1C">
      <w:pPr>
        <w:pStyle w:val="FootnoteText"/>
        <w:rPr>
          <w:rFonts w:eastAsia="Calibri"/>
          <w:lang w:val="da-DK"/>
        </w:rPr>
      </w:pPr>
      <w:r w:rsidRPr="006C28E7">
        <w:rPr>
          <w:b/>
          <w:vertAlign w:val="superscript"/>
        </w:rPr>
        <w:footnoteRef/>
      </w:r>
      <w:r w:rsidRPr="006E1AA5">
        <w:rPr>
          <w:lang w:val="da-DK"/>
        </w:rPr>
        <w:tab/>
        <w:t>JO C 283 du 10.8.2018, p. 61.</w:t>
      </w:r>
    </w:p>
  </w:footnote>
  <w:footnote w:id="3">
    <w:p w:rsidR="009C7E1C" w:rsidRPr="006E1AA5" w:rsidRDefault="009C7E1C" w:rsidP="009C7E1C">
      <w:pPr>
        <w:pStyle w:val="FootnoteText"/>
        <w:rPr>
          <w:lang w:val="da-DK"/>
        </w:rPr>
      </w:pPr>
      <w:r w:rsidRPr="006C28E7">
        <w:rPr>
          <w:b/>
          <w:vertAlign w:val="superscript"/>
        </w:rPr>
        <w:footnoteRef/>
      </w:r>
      <w:r w:rsidRPr="006E1AA5">
        <w:rPr>
          <w:lang w:val="da-DK"/>
        </w:rPr>
        <w:tab/>
        <w:t>JO C 461 du 21.12.2018, p. 220.</w:t>
      </w:r>
    </w:p>
  </w:footnote>
  <w:footnote w:id="4">
    <w:p w:rsidR="009C7E1C" w:rsidRPr="006C28E7" w:rsidRDefault="009C7E1C" w:rsidP="009C7E1C">
      <w:pPr>
        <w:pStyle w:val="FootnoteText"/>
      </w:pPr>
      <w:r w:rsidRPr="006C28E7">
        <w:rPr>
          <w:rStyle w:val="FootnoteReference"/>
        </w:rPr>
        <w:footnoteRef/>
      </w:r>
      <w:r w:rsidRPr="006C28E7">
        <w:t xml:space="preserve"> </w:t>
      </w:r>
      <w:r w:rsidRPr="006C28E7">
        <w:tab/>
        <w:t>Position du Parlement européen du … [(JO …)/(non encore parue au Journal officiel)] et décision du Conseil du ….</w:t>
      </w:r>
    </w:p>
  </w:footnote>
  <w:footnote w:id="5">
    <w:p w:rsidR="009C7E1C" w:rsidRPr="006C28E7" w:rsidRDefault="009C7E1C" w:rsidP="009C7E1C">
      <w:pPr>
        <w:pStyle w:val="FootnoteText"/>
      </w:pPr>
      <w:r w:rsidRPr="006C28E7">
        <w:rPr>
          <w:b/>
          <w:vertAlign w:val="superscript"/>
        </w:rPr>
        <w:footnoteRef/>
      </w:r>
      <w:r w:rsidRPr="006C28E7">
        <w:tab/>
        <w:t>Directive 2000/59/CE du Parlement européen et du Conseil du 27 novembre 2000 sur les installations de réception portuaires pour les déchets d'exploitation des navires et les résidus de cargaison (JO L 332 du 28.12.2000, p. 81).</w:t>
      </w:r>
    </w:p>
  </w:footnote>
  <w:footnote w:id="6">
    <w:p w:rsidR="009C7E1C" w:rsidRPr="006C28E7" w:rsidRDefault="009C7E1C" w:rsidP="009C7E1C">
      <w:pPr>
        <w:pStyle w:val="FootnoteText"/>
      </w:pPr>
      <w:r w:rsidRPr="006C28E7">
        <w:rPr>
          <w:b/>
          <w:vertAlign w:val="superscript"/>
        </w:rPr>
        <w:footnoteRef/>
      </w:r>
      <w:r w:rsidRPr="006C28E7">
        <w:tab/>
      </w:r>
      <w:r w:rsidRPr="006C28E7">
        <w:rPr>
          <w:b/>
          <w:bCs/>
          <w:i/>
          <w:iCs/>
        </w:rPr>
        <w:t>Directive 2000/60/CE du Parlement européen et du Conseil du 23 octobre 2000 établissant un cadre pour une politique communautaire dans le domaine de l'eau (JO L 327 du 22.12.2000, p. 1).</w:t>
      </w:r>
    </w:p>
  </w:footnote>
  <w:footnote w:id="7">
    <w:p w:rsidR="009C7E1C" w:rsidRPr="006C28E7" w:rsidRDefault="009C7E1C" w:rsidP="009C7E1C">
      <w:pPr>
        <w:pStyle w:val="FootnoteText"/>
      </w:pPr>
      <w:r w:rsidRPr="006C28E7">
        <w:rPr>
          <w:b/>
          <w:vertAlign w:val="superscript"/>
        </w:rPr>
        <w:footnoteRef/>
      </w:r>
      <w:r w:rsidRPr="006C28E7">
        <w:rPr>
          <w:b/>
          <w:bCs/>
          <w:i/>
          <w:iCs/>
        </w:rPr>
        <w:tab/>
        <w:t>Directive 2005/35/CE du Parlement européen et du Conseil du 7 septembre 2005 relative à la pollution causée par les navires et à l'introduction de sanctions, notamment pénales, en cas d'infractions de pollution (JO L 255 du 30.9.2005, p. 11).</w:t>
      </w:r>
    </w:p>
  </w:footnote>
  <w:footnote w:id="8">
    <w:p w:rsidR="009C7E1C" w:rsidRPr="006C28E7" w:rsidRDefault="009C7E1C" w:rsidP="009C7E1C">
      <w:pPr>
        <w:pStyle w:val="FootnoteText"/>
      </w:pPr>
      <w:r w:rsidRPr="006C28E7">
        <w:rPr>
          <w:b/>
          <w:vertAlign w:val="superscript"/>
        </w:rPr>
        <w:footnoteRef/>
      </w:r>
      <w:r w:rsidRPr="006C28E7">
        <w:tab/>
        <w:t>Directive 2008/56/CE du Parlement européen et du Conseil du 17 juin 2008 établissant un cadre d'action communautaire dans le domaine de la politique pour le milieu marin (directive-cadre "stratégie pour le milieu marin") (JO L 164 du 25.6.2008, p. 19).</w:t>
      </w:r>
    </w:p>
  </w:footnote>
  <w:footnote w:id="9">
    <w:p w:rsidR="009C7E1C" w:rsidRPr="006C28E7" w:rsidRDefault="009C7E1C" w:rsidP="009C7E1C">
      <w:pPr>
        <w:pStyle w:val="FootnoteText"/>
      </w:pPr>
      <w:r w:rsidRPr="006C28E7">
        <w:rPr>
          <w:b/>
          <w:vertAlign w:val="superscript"/>
        </w:rPr>
        <w:footnoteRef/>
      </w:r>
      <w:r w:rsidRPr="006C28E7">
        <w:tab/>
      </w:r>
      <w:r w:rsidRPr="006C28E7">
        <w:rPr>
          <w:b/>
          <w:bCs/>
          <w:i/>
          <w:iCs/>
        </w:rPr>
        <w:t>Directive 2008/98/CE du Parlement européen et du Conseil du 19 novembre 2008 relative aux déchets et abrogeant certaines directives (JO L 312 du 22.11.2008, p. 3).</w:t>
      </w:r>
    </w:p>
  </w:footnote>
  <w:footnote w:id="10">
    <w:p w:rsidR="009C7E1C" w:rsidRPr="006C28E7" w:rsidRDefault="009C7E1C" w:rsidP="009C7E1C">
      <w:pPr>
        <w:pStyle w:val="FootnoteText"/>
      </w:pPr>
      <w:r w:rsidRPr="006C28E7">
        <w:rPr>
          <w:b/>
          <w:vertAlign w:val="superscript"/>
        </w:rPr>
        <w:footnoteRef/>
      </w:r>
      <w:r w:rsidRPr="006C28E7">
        <w:tab/>
      </w:r>
      <w:r w:rsidRPr="006C28E7">
        <w:rPr>
          <w:b/>
          <w:bCs/>
          <w:i/>
          <w:iCs/>
        </w:rPr>
        <w:t>Règlement (CE) n° 1224/2009 du Conseil du 20 novembre 2009 instituant un régime de l'Union de contrôle afin d'assurer le respect des règles de la politique commune de la pêche, modifiant les règlements (CE) n° 847/96, (CE) n° 2371/2002, (CE) n° 811/2004, (CE) n° 768/2005, (CE) n° 2115/2005, (CE) n° 2166/2005, (CE) n° 388/2006, (CE) n° 509/2007, (CE) n° 676/2007, (CE) n° 1098/2007, (CE) n° 1300/2008, (CE) n° 1342/2008 et abrogeant les règlements (CEE) n° 2847/93, (CE) n° 1627/94 et (CE) n° 1966/2006 (JO L 343 du 22.12.2009, p. 1).</w:t>
      </w:r>
    </w:p>
  </w:footnote>
  <w:footnote w:id="11">
    <w:p w:rsidR="009C7E1C" w:rsidRPr="006C28E7" w:rsidRDefault="009C7E1C" w:rsidP="009C7E1C">
      <w:pPr>
        <w:pStyle w:val="FootnoteText"/>
      </w:pPr>
      <w:r w:rsidRPr="006C28E7">
        <w:rPr>
          <w:b/>
          <w:vertAlign w:val="superscript"/>
        </w:rPr>
        <w:footnoteRef/>
      </w:r>
      <w:r w:rsidRPr="006C28E7">
        <w:tab/>
        <w:t>Règlement (CE) n° 1069/2009 du Parlement européen et du Conseil du 21 octobre 2009 établissant des règles sanitaires applicables aux sous-produits animaux et produits dérivés non destinés à la consommation humaine et abrogeant le règlement (CE) n° 1774/2002 (règlement relatif aux sous-produits animaux) (JO L 300 du 14.11.2009, p. 1)</w:t>
      </w:r>
    </w:p>
    <w:p w:rsidR="009C7E1C" w:rsidRPr="006C28E7" w:rsidRDefault="009C7E1C" w:rsidP="009C7E1C">
      <w:pPr>
        <w:pStyle w:val="FootnoteText"/>
      </w:pPr>
      <w:r w:rsidRPr="006C28E7">
        <w:t>.</w:t>
      </w:r>
    </w:p>
  </w:footnote>
  <w:footnote w:id="12">
    <w:p w:rsidR="009C7E1C" w:rsidRPr="006C28E7" w:rsidRDefault="009C7E1C" w:rsidP="009C7E1C">
      <w:pPr>
        <w:pStyle w:val="FootnoteText"/>
        <w:rPr>
          <w:b/>
          <w:i/>
          <w:color w:val="000000"/>
        </w:rPr>
      </w:pPr>
      <w:r w:rsidRPr="006C28E7">
        <w:rPr>
          <w:rStyle w:val="FootnoteReference"/>
        </w:rPr>
        <w:footnoteRef/>
      </w:r>
      <w:r w:rsidRPr="006C28E7">
        <w:t xml:space="preserve"> </w:t>
      </w:r>
      <w:r w:rsidRPr="006C28E7">
        <w:tab/>
      </w:r>
      <w:r w:rsidRPr="006C28E7">
        <w:rPr>
          <w:bCs/>
          <w:iCs/>
          <w:color w:val="000000"/>
        </w:rPr>
        <w:t xml:space="preserve">Règlement (UE) n° 142/2011 de la Commission portant application du règlement (CE) n° 1069/2009 du Parlement européen et du Conseil établissant des règles sanitaires applicables aux sous-produits animaux et produits dérivés non destinés à la consommation humaine et portant application de la directive 97/78/CE du Conseil en ce qui concerne certains échantillons et articles exemptés des contrôles vétérinaires effectués aux frontières en vertu de cette directive </w:t>
      </w:r>
      <w:r w:rsidRPr="006C28E7">
        <w:rPr>
          <w:bCs/>
          <w:iCs/>
        </w:rPr>
        <w:t>(JO L 54 du 26.2.2011</w:t>
      </w:r>
      <w:r w:rsidRPr="006C28E7">
        <w:t>, p. 1).</w:t>
      </w:r>
    </w:p>
  </w:footnote>
  <w:footnote w:id="13">
    <w:p w:rsidR="009C7E1C" w:rsidRPr="006C28E7" w:rsidRDefault="009C7E1C" w:rsidP="009C7E1C">
      <w:pPr>
        <w:pStyle w:val="FootnoteText"/>
      </w:pPr>
      <w:r w:rsidRPr="006C28E7">
        <w:rPr>
          <w:b/>
          <w:vertAlign w:val="superscript"/>
        </w:rPr>
        <w:footnoteRef/>
      </w:r>
      <w:r w:rsidRPr="006C28E7">
        <w:tab/>
        <w:t>Règlement (UE) 2017/352 du Parlement européen et du Conseil du 15 février 2017 établissant un cadre pour la fourniture de services portuaires et des règles communes relatives à la transparence financière des ports (JO L 57 du 3.3.2017, p. 1).</w:t>
      </w:r>
    </w:p>
  </w:footnote>
  <w:footnote w:id="14">
    <w:p w:rsidR="009C7E1C" w:rsidRPr="006C28E7" w:rsidRDefault="009C7E1C" w:rsidP="009C7E1C">
      <w:pPr>
        <w:pStyle w:val="FootnoteText"/>
      </w:pPr>
      <w:r w:rsidRPr="006C28E7">
        <w:rPr>
          <w:rStyle w:val="FootnoteReference"/>
        </w:rPr>
        <w:footnoteRef/>
      </w:r>
      <w:r w:rsidRPr="006C28E7">
        <w:t xml:space="preserve"> </w:t>
      </w:r>
      <w:r w:rsidRPr="006C28E7">
        <w:tab/>
      </w:r>
      <w:r w:rsidRPr="006C28E7">
        <w:rPr>
          <w:rStyle w:val="DeltaViewInsertion"/>
        </w:rPr>
        <w:t>Directive 2002/59/CE ▌du Parlement européen et du Conseil du 27 juin 2002 relative à la mise en place d'un système communautaire de suivi du trafic des navires et d'information, et abrogeant la directive 93/75/CEE du Conseil (JO L 208 du 5.8.2002, p. 10).</w:t>
      </w:r>
    </w:p>
  </w:footnote>
  <w:footnote w:id="15">
    <w:p w:rsidR="009C7E1C" w:rsidRPr="006C28E7" w:rsidRDefault="009C7E1C" w:rsidP="009C7E1C">
      <w:pPr>
        <w:pStyle w:val="FootnoteText"/>
      </w:pPr>
      <w:r w:rsidRPr="006C28E7">
        <w:rPr>
          <w:rStyle w:val="FootnoteReference"/>
        </w:rPr>
        <w:footnoteRef/>
      </w:r>
      <w:r w:rsidRPr="006C28E7">
        <w:t xml:space="preserve"> </w:t>
      </w:r>
      <w:r w:rsidRPr="006C28E7">
        <w:tab/>
        <w:t>Directive 2009/16/CE du Parlement européen et du Conseil du 23 avril 2009 relative au contrôle par l'État du port (JO L 131 du 28.5.2009, p. 57).</w:t>
      </w:r>
    </w:p>
  </w:footnote>
  <w:footnote w:id="16">
    <w:p w:rsidR="009C7E1C" w:rsidRPr="006C28E7" w:rsidRDefault="009C7E1C" w:rsidP="009C7E1C">
      <w:pPr>
        <w:pStyle w:val="FootnoteText"/>
      </w:pPr>
      <w:r w:rsidRPr="006C28E7">
        <w:rPr>
          <w:b/>
          <w:vertAlign w:val="superscript"/>
        </w:rPr>
        <w:footnoteRef/>
      </w:r>
      <w:r w:rsidRPr="006C28E7">
        <w:tab/>
      </w:r>
      <w:r w:rsidRPr="006C28E7">
        <w:rPr>
          <w:b/>
          <w:bCs/>
          <w:i/>
          <w:iCs/>
        </w:rPr>
        <w:t>Directive 2010/65/UE du Parlement européen et du Conseil du 20 octobre 2010 concernant les formalités déclaratives applicables aux navires à l'entrée et/ou à la sortie des ports des États membres et abrogeant la directive 2002/6/CE (JO L 283 du 29.10.2010, p. 1).</w:t>
      </w:r>
    </w:p>
  </w:footnote>
  <w:footnote w:id="17">
    <w:p w:rsidR="009C7E1C" w:rsidRPr="006C28E7" w:rsidRDefault="009C7E1C" w:rsidP="009C7E1C">
      <w:pPr>
        <w:pStyle w:val="FootnoteText"/>
      </w:pPr>
      <w:r w:rsidRPr="006C28E7">
        <w:rPr>
          <w:b/>
          <w:vertAlign w:val="superscript"/>
        </w:rPr>
        <w:footnoteRef/>
      </w:r>
      <w:r w:rsidRPr="006C28E7">
        <w:tab/>
      </w:r>
      <w:r w:rsidRPr="006C28E7">
        <w:rPr>
          <w:b/>
          <w:bCs/>
          <w:i/>
          <w:iCs/>
        </w:rPr>
        <w:t>JO L 123 du 12.5.2016, p. 1.</w:t>
      </w:r>
    </w:p>
  </w:footnote>
  <w:footnote w:id="18">
    <w:p w:rsidR="009C7E1C" w:rsidRPr="006C28E7" w:rsidRDefault="009C7E1C" w:rsidP="009C7E1C">
      <w:pPr>
        <w:pStyle w:val="FootnoteText"/>
      </w:pPr>
      <w:r w:rsidRPr="006C28E7">
        <w:rPr>
          <w:b/>
          <w:vertAlign w:val="superscript"/>
        </w:rPr>
        <w:footnoteRef/>
      </w:r>
      <w:r w:rsidRPr="006C28E7">
        <w:tab/>
      </w:r>
      <w:r w:rsidRPr="006C28E7">
        <w:rPr>
          <w:b/>
          <w:bCs/>
          <w:i/>
          <w:iCs/>
        </w:rPr>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19">
    <w:p w:rsidR="009C7E1C" w:rsidRPr="006C28E7" w:rsidRDefault="009C7E1C" w:rsidP="009C7E1C">
      <w:pPr>
        <w:pStyle w:val="FootnoteText"/>
      </w:pPr>
      <w:r w:rsidRPr="006C28E7">
        <w:rPr>
          <w:b/>
          <w:vertAlign w:val="superscript"/>
        </w:rPr>
        <w:footnoteRef/>
      </w:r>
      <w:r w:rsidRPr="006C28E7">
        <w:rPr>
          <w:b/>
          <w:bCs/>
          <w:i/>
          <w:iCs/>
        </w:rPr>
        <w:tab/>
        <w:t>Règlement (UE) nº 651/2014 de la Commission du 17 juin 2014 déclarant certaines catégories d'aides compatibles avec le marché intérieur en application des articles 107 et 108 du traité (JO L 187 du 26.6.2014, p. 1).</w:t>
      </w:r>
    </w:p>
  </w:footnote>
  <w:footnote w:id="20">
    <w:p w:rsidR="009C7E1C" w:rsidRPr="006C28E7" w:rsidRDefault="009C7E1C" w:rsidP="009C7E1C">
      <w:pPr>
        <w:pStyle w:val="FootnoteText"/>
      </w:pPr>
      <w:r w:rsidRPr="006C28E7">
        <w:rPr>
          <w:b/>
          <w:vertAlign w:val="superscript"/>
        </w:rPr>
        <w:footnoteRef/>
      </w:r>
      <w:r w:rsidRPr="006C28E7">
        <w:tab/>
      </w:r>
      <w:r w:rsidRPr="006C28E7">
        <w:rPr>
          <w:b/>
          <w:bCs/>
          <w:i/>
          <w:iCs/>
        </w:rPr>
        <w:t>Règlement (CE) n° 994/98 du Conseil du 7 mai 1998 sur l'application des articles 107 et 108 du traité sur le fonctionnement de l'Union européenne à certaines catégories d'aides d'État horizontales (JO L 142 du 14.5.1998, p. 1).</w:t>
      </w:r>
    </w:p>
  </w:footnote>
  <w:footnote w:id="21">
    <w:p w:rsidR="009C7E1C" w:rsidRPr="006C28E7" w:rsidRDefault="009C7E1C" w:rsidP="009C7E1C">
      <w:pPr>
        <w:pStyle w:val="FootnoteText"/>
      </w:pPr>
      <w:r w:rsidRPr="006C28E7">
        <w:rPr>
          <w:b/>
          <w:vertAlign w:val="superscript"/>
        </w:rPr>
        <w:footnoteRef/>
      </w:r>
      <w:r w:rsidRPr="006C28E7">
        <w:tab/>
      </w:r>
      <w:r w:rsidRPr="006C28E7">
        <w:rPr>
          <w:b/>
          <w:bCs/>
          <w:i/>
          <w:iCs/>
        </w:rPr>
        <w:t>Directive 2006/66/CE du Parlement européen et du Conseil du 6 septembre 2006 relative aux piles et accumulateurs ainsi qu'aux déchets de piles et d'accumulateurs et abrogeant la directive 91/157/CEE (JO L 266 du 26.9.2006, p. 1).</w:t>
      </w:r>
    </w:p>
  </w:footnote>
  <w:footnote w:id="22">
    <w:p w:rsidR="009C7E1C" w:rsidRPr="006C28E7" w:rsidRDefault="009C7E1C" w:rsidP="009C7E1C">
      <w:pPr>
        <w:pStyle w:val="FootnoteText"/>
      </w:pPr>
      <w:r w:rsidRPr="006C28E7">
        <w:rPr>
          <w:b/>
          <w:vertAlign w:val="superscript"/>
        </w:rPr>
        <w:footnoteRef/>
      </w:r>
      <w:r w:rsidRPr="006C28E7">
        <w:tab/>
      </w:r>
      <w:r w:rsidRPr="006C28E7">
        <w:rPr>
          <w:b/>
          <w:bCs/>
          <w:i/>
          <w:iCs/>
        </w:rPr>
        <w:t>Directive 2012/19/UE du Parlement européen et du Conseil du 4 juillet 2012 relative aux déchets d'équipements électriques et électroniques (DEEE) (JO L 197 du 24.7.2012, p. 38).</w:t>
      </w:r>
    </w:p>
  </w:footnote>
  <w:footnote w:id="23">
    <w:p w:rsidR="009C7E1C" w:rsidRPr="006C28E7" w:rsidRDefault="009C7E1C" w:rsidP="009C7E1C">
      <w:pPr>
        <w:pStyle w:val="FootnoteText"/>
      </w:pPr>
      <w:r w:rsidRPr="006C28E7">
        <w:rPr>
          <w:b/>
          <w:vertAlign w:val="superscript"/>
        </w:rPr>
        <w:footnoteRef/>
      </w:r>
      <w:r w:rsidRPr="006C28E7">
        <w:tab/>
      </w:r>
      <w:r w:rsidRPr="006C28E7">
        <w:rPr>
          <w:b/>
          <w:bCs/>
          <w:i/>
          <w:iCs/>
        </w:rPr>
        <w:t>Règlement (CE) n° 2099/2002 du Parlement européen et du Conseil du 5 novembre 2002 instituant un comité pour la sécurité maritime et la prévention de la pollution par les navires (COSS) et modifiant les règlements en matière de sécurité maritime et de prévention de la pollution par les navires (JO L 324 du 29.11.2002, p. 1).</w:t>
      </w:r>
    </w:p>
  </w:footnote>
  <w:footnote w:id="24">
    <w:p w:rsidR="009C7E1C" w:rsidRPr="006C28E7" w:rsidRDefault="009C7E1C" w:rsidP="009C7E1C">
      <w:pPr>
        <w:pStyle w:val="FootnoteText"/>
      </w:pPr>
      <w:r w:rsidRPr="006C28E7">
        <w:rPr>
          <w:rStyle w:val="FootnoteReference"/>
        </w:rPr>
        <w:sym w:font="Symbol" w:char="F02A"/>
      </w:r>
      <w:r w:rsidRPr="006C28E7">
        <w:t xml:space="preserve"> </w:t>
      </w:r>
      <w:r w:rsidRPr="006C28E7">
        <w:tab/>
        <w:t>JO: veuillez insérer dans le texte le numéro, la date et les références de publication de la directive figurant dans le document PE-CONS 85/18 (2018/0012 (COD)).</w:t>
      </w:r>
    </w:p>
  </w:footnote>
  <w:footnote w:id="25">
    <w:p w:rsidR="009C7E1C" w:rsidRPr="006C28E7" w:rsidRDefault="009C7E1C" w:rsidP="009C7E1C">
      <w:pPr>
        <w:pStyle w:val="FootnoteText"/>
        <w:rPr>
          <w:b/>
          <w:i/>
        </w:rPr>
      </w:pPr>
      <w:r w:rsidRPr="006C28E7">
        <w:rPr>
          <w:rStyle w:val="FootnoteReference"/>
        </w:rPr>
        <w:footnoteRef/>
      </w:r>
      <w:r w:rsidRPr="006C28E7">
        <w:t xml:space="preserve"> </w:t>
      </w:r>
      <w:r w:rsidRPr="006C28E7">
        <w:tab/>
        <w:t>R</w:t>
      </w:r>
      <w:r w:rsidRPr="006C28E7">
        <w:rPr>
          <w:b/>
          <w:i/>
        </w:rPr>
        <w:t xml:space="preserve">èglement (UE) 2016/1625 du Parlement européen et du Conseil du 14 septembre 2016 </w:t>
      </w:r>
      <w:r w:rsidRPr="006C28E7">
        <w:rPr>
          <w:b/>
          <w:i/>
          <w:color w:val="000000"/>
          <w:szCs w:val="24"/>
        </w:rPr>
        <w:t xml:space="preserve">modifiant le règlement (CE) no 1406/2002 instituant une Agence européenne pour la sécurité maritime </w:t>
      </w:r>
      <w:r w:rsidRPr="006C28E7">
        <w:t>(JO L 251 du 16.9.2016, p. 77).</w:t>
      </w:r>
    </w:p>
  </w:footnote>
  <w:footnote w:id="26">
    <w:p w:rsidR="009C7E1C" w:rsidRPr="006C28E7" w:rsidRDefault="009C7E1C" w:rsidP="009C7E1C">
      <w:pPr>
        <w:pStyle w:val="Default"/>
        <w:ind w:left="567" w:hanging="567"/>
        <w:rPr>
          <w:lang w:val="fr-FR"/>
        </w:rPr>
      </w:pPr>
      <w:r w:rsidRPr="006C28E7">
        <w:rPr>
          <w:rStyle w:val="FootnoteReference"/>
          <w:lang w:val="fr-FR"/>
        </w:rPr>
        <w:footnoteRef/>
      </w:r>
      <w:r w:rsidRPr="006C28E7">
        <w:rPr>
          <w:lang w:val="fr-FR"/>
        </w:rPr>
        <w:t xml:space="preserve"> </w:t>
      </w:r>
      <w:r w:rsidRPr="006C28E7">
        <w:rPr>
          <w:lang w:val="fr-FR"/>
        </w:rPr>
        <w:tab/>
        <w:t>Règlement (CE) n° 1221/2009 du Parlement européen et du Conseil du 25 novembre 2009 concernant la participation volontaire des organisations à un système communautaire de management environnemental et d'audit (EMAS)</w:t>
      </w:r>
      <w:r w:rsidRPr="006C28E7">
        <w:rPr>
          <w:b/>
          <w:bCs/>
          <w:sz w:val="19"/>
          <w:szCs w:val="19"/>
          <w:lang w:val="fr-FR"/>
        </w:rPr>
        <w:t xml:space="preserve">, </w:t>
      </w:r>
      <w:r w:rsidRPr="006C28E7">
        <w:rPr>
          <w:lang w:val="fr-FR"/>
        </w:rPr>
        <w:t>abrogeant le règlement (CE) n° 761/2001 et les décisions de la Commission 2001/681/CE et 2006/193/CE (JO L 342 du 22.12.2009, p. 1).</w:t>
      </w:r>
    </w:p>
  </w:footnote>
  <w:footnote w:id="27">
    <w:p w:rsidR="009C7E1C" w:rsidRPr="006C28E7" w:rsidRDefault="009C7E1C" w:rsidP="009C7E1C">
      <w:pPr>
        <w:pStyle w:val="FootnoteText"/>
      </w:pPr>
      <w:r w:rsidRPr="006C28E7">
        <w:rPr>
          <w:rStyle w:val="FootnoteReference"/>
        </w:rPr>
        <w:sym w:font="Symbol" w:char="F02B"/>
      </w:r>
      <w:r w:rsidRPr="006C28E7">
        <w:t xml:space="preserve"> </w:t>
      </w:r>
      <w:r w:rsidRPr="006C28E7">
        <w:tab/>
        <w:t>JO: prière d'insérer le numéro de la présente directive.</w:t>
      </w:r>
    </w:p>
  </w:footnote>
  <w:footnote w:id="28">
    <w:p w:rsidR="009C7E1C" w:rsidRPr="006C28E7" w:rsidRDefault="009C7E1C" w:rsidP="009C7E1C">
      <w:pPr>
        <w:pStyle w:val="FootnoteText"/>
      </w:pPr>
      <w:r w:rsidRPr="006C28E7">
        <w:rPr>
          <w:b/>
          <w:vertAlign w:val="superscript"/>
        </w:rPr>
        <w:footnoteRef/>
      </w:r>
      <w:r w:rsidRPr="006C28E7">
        <w:tab/>
        <w:t>Indiquer la désignation officielle de transport des SLN concernés.</w:t>
      </w:r>
    </w:p>
  </w:footnote>
  <w:footnote w:id="29">
    <w:p w:rsidR="009C7E1C" w:rsidRPr="006C28E7" w:rsidRDefault="009C7E1C" w:rsidP="009C7E1C">
      <w:pPr>
        <w:pStyle w:val="FootnoteText"/>
      </w:pPr>
      <w:r w:rsidRPr="006C28E7">
        <w:rPr>
          <w:b/>
          <w:vertAlign w:val="superscript"/>
        </w:rPr>
        <w:footnoteRef/>
      </w:r>
      <w:r w:rsidRPr="006C28E7">
        <w:tab/>
      </w:r>
      <w:r w:rsidRPr="006C28E7">
        <w:rPr>
          <w:b/>
          <w:bCs/>
          <w:i/>
          <w:iCs/>
        </w:rPr>
        <w:t>Il peut s'agir d'estimations;</w:t>
      </w:r>
      <w:r w:rsidRPr="006C28E7">
        <w:rPr>
          <w:b/>
          <w:i/>
          <w:color w:val="000000"/>
        </w:rPr>
        <w:t xml:space="preserve"> indiquer la désignation officielle de transport des marchandises solides.</w:t>
      </w:r>
    </w:p>
  </w:footnote>
  <w:footnote w:id="30">
    <w:p w:rsidR="009C7E1C" w:rsidRPr="006C28E7" w:rsidRDefault="009C7E1C" w:rsidP="009C7E1C">
      <w:pPr>
        <w:pStyle w:val="FootnoteText"/>
      </w:pPr>
      <w:r w:rsidRPr="006C28E7">
        <w:rPr>
          <w:b/>
          <w:vertAlign w:val="superscript"/>
        </w:rPr>
        <w:footnoteRef/>
      </w:r>
      <w:r w:rsidRPr="006C28E7">
        <w:tab/>
      </w:r>
      <w:r w:rsidRPr="006C28E7">
        <w:rPr>
          <w:b/>
          <w:bCs/>
          <w:i/>
          <w:iCs/>
        </w:rPr>
        <w:t>Il peut s'agir d'estimations;</w:t>
      </w:r>
      <w:r w:rsidRPr="006C28E7">
        <w:rPr>
          <w:b/>
          <w:i/>
          <w:color w:val="000000"/>
        </w:rPr>
        <w:t xml:space="preserve"> indiquer la désignation officielle de transport des marchandises solides.</w:t>
      </w:r>
    </w:p>
  </w:footnote>
  <w:footnote w:id="31">
    <w:p w:rsidR="009C7E1C" w:rsidRPr="006C28E7" w:rsidRDefault="009C7E1C" w:rsidP="009C7E1C">
      <w:pPr>
        <w:pStyle w:val="FootnoteText"/>
      </w:pPr>
      <w:r w:rsidRPr="006C28E7">
        <w:rPr>
          <w:b/>
          <w:vertAlign w:val="superscript"/>
        </w:rPr>
        <w:footnoteRef/>
      </w:r>
      <w:r w:rsidRPr="006C28E7">
        <w:tab/>
      </w:r>
      <w:r w:rsidRPr="006C28E7">
        <w:rPr>
          <w:b/>
          <w:bCs/>
          <w:i/>
          <w:iCs/>
        </w:rPr>
        <w:t>Substances produites au cours des activités d'entretien normales à bord.</w:t>
      </w:r>
    </w:p>
  </w:footnote>
  <w:footnote w:id="32">
    <w:p w:rsidR="009C7E1C" w:rsidRPr="006C28E7" w:rsidRDefault="009C7E1C" w:rsidP="009C7E1C">
      <w:pPr>
        <w:pStyle w:val="FootnoteText"/>
      </w:pPr>
      <w:r w:rsidRPr="006C28E7">
        <w:rPr>
          <w:rStyle w:val="FootnoteReference"/>
        </w:rPr>
        <w:sym w:font="Symbol" w:char="F02B"/>
      </w:r>
      <w:r w:rsidRPr="006C28E7">
        <w:t xml:space="preserve"> </w:t>
      </w:r>
      <w:r w:rsidRPr="006C28E7">
        <w:tab/>
        <w:t>JO: prière d'insérer le numéro de la présente directive.</w:t>
      </w:r>
    </w:p>
  </w:footnote>
  <w:footnote w:id="33">
    <w:p w:rsidR="009C7E1C" w:rsidRPr="006C28E7" w:rsidRDefault="009C7E1C" w:rsidP="009C7E1C">
      <w:pPr>
        <w:pStyle w:val="FootnoteText"/>
      </w:pPr>
      <w:r w:rsidRPr="006C28E7">
        <w:rPr>
          <w:rStyle w:val="FootnoteReference"/>
        </w:rPr>
        <w:sym w:font="Symbol" w:char="F02B"/>
      </w:r>
      <w:r w:rsidRPr="006C28E7">
        <w:t xml:space="preserve"> </w:t>
      </w:r>
      <w:r w:rsidRPr="006C28E7">
        <w:tab/>
        <w:t>JO: prière d'insérer le numéro de la présente directive.</w:t>
      </w:r>
    </w:p>
  </w:footnote>
  <w:footnote w:id="34">
    <w:p w:rsidR="009C7E1C" w:rsidRPr="006C28E7" w:rsidRDefault="009C7E1C" w:rsidP="009C7E1C">
      <w:pPr>
        <w:pStyle w:val="FootnoteText"/>
      </w:pPr>
      <w:r w:rsidRPr="006C28E7">
        <w:rPr>
          <w:rStyle w:val="FootnoteReference"/>
        </w:rPr>
        <w:sym w:font="Symbol" w:char="F02B"/>
      </w:r>
      <w:r w:rsidRPr="006C28E7">
        <w:t xml:space="preserve"> </w:t>
      </w:r>
      <w:r w:rsidRPr="006C28E7">
        <w:tab/>
        <w:t>JO: prière d'insérer le numéro de la présente directive.</w:t>
      </w:r>
    </w:p>
  </w:footnote>
  <w:footnote w:id="35">
    <w:p w:rsidR="009C7E1C" w:rsidRPr="006C28E7" w:rsidRDefault="009C7E1C" w:rsidP="009C7E1C">
      <w:pPr>
        <w:pStyle w:val="FootnoteText"/>
      </w:pPr>
      <w:r w:rsidRPr="006C28E7">
        <w:rPr>
          <w:b/>
          <w:vertAlign w:val="superscript"/>
        </w:rPr>
        <w:footnoteRef/>
      </w:r>
      <w:r w:rsidRPr="006C28E7">
        <w:tab/>
        <w:t>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4" w:rsidRDefault="00020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4" w:rsidRDefault="00020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F4" w:rsidRDefault="000207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5" w:rsidRDefault="009C2C35">
    <w:pPr>
      <w:pStyle w:val="Header"/>
    </w:pPr>
  </w:p>
  <w:p w:rsidR="009C7E1C" w:rsidRDefault="009C7E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5" w:rsidRDefault="009C2C35">
    <w:pPr>
      <w:pStyle w:val="Header"/>
    </w:pPr>
  </w:p>
  <w:p w:rsidR="009C7E1C" w:rsidRDefault="009C7E1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35" w:rsidRDefault="009C2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F6CCF9A"/>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rFonts w:ascii="Times New Roman" w:hAnsi="Times New Roman"/>
        <w:i w:val="0"/>
        <w:iCs w:val="0"/>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15:restartNumberingAfterBreak="0">
    <w:nsid w:val="00000009"/>
    <w:multiLevelType w:val="multilevel"/>
    <w:tmpl w:val="C21A04A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0000000B"/>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C"/>
    <w:multiLevelType w:val="singleLevel"/>
    <w:tmpl w:val="9B4AFB48"/>
    <w:name w:val="Tiret 3"/>
    <w:lvl w:ilvl="0">
      <w:start w:val="1"/>
      <w:numFmt w:val="bullet"/>
      <w:pStyle w:val="Tiret3"/>
      <w:lvlText w:val="–"/>
      <w:lvlJc w:val="left"/>
      <w:pPr>
        <w:tabs>
          <w:tab w:val="num" w:pos="2551"/>
        </w:tabs>
        <w:ind w:left="2551" w:hanging="567"/>
      </w:pPr>
    </w:lvl>
  </w:abstractNum>
  <w:abstractNum w:abstractNumId="4" w15:restartNumberingAfterBreak="0">
    <w:nsid w:val="0000000D"/>
    <w:multiLevelType w:val="multilevel"/>
    <w:tmpl w:val="E98EA98A"/>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E"/>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0000000F"/>
    <w:multiLevelType w:val="singleLevel"/>
    <w:tmpl w:val="4128FCF8"/>
    <w:name w:val="Tiret 4"/>
    <w:lvl w:ilvl="0">
      <w:start w:val="1"/>
      <w:numFmt w:val="bullet"/>
      <w:pStyle w:val="Tiret4"/>
      <w:lvlText w:val="–"/>
      <w:lvlJc w:val="left"/>
      <w:pPr>
        <w:tabs>
          <w:tab w:val="num" w:pos="3118"/>
        </w:tabs>
        <w:ind w:left="3118" w:hanging="567"/>
      </w:pPr>
    </w:lvl>
  </w:abstractNum>
  <w:abstractNum w:abstractNumId="7" w15:restartNumberingAfterBreak="0">
    <w:nsid w:val="00000010"/>
    <w:multiLevelType w:val="singleLevel"/>
    <w:tmpl w:val="057A5296"/>
    <w:name w:val="Bullet 0"/>
    <w:lvl w:ilvl="0">
      <w:start w:val="1"/>
      <w:numFmt w:val="bullet"/>
      <w:pStyle w:val="Bullet0"/>
      <w:lvlText w:val=""/>
      <w:lvlJc w:val="left"/>
      <w:pPr>
        <w:tabs>
          <w:tab w:val="num" w:pos="850"/>
        </w:tabs>
        <w:ind w:left="850" w:hanging="850"/>
      </w:pPr>
      <w:rPr>
        <w:rFonts w:ascii="Symbol" w:hAnsi="Symbol"/>
      </w:rPr>
    </w:lvl>
  </w:abstractNum>
  <w:abstractNum w:abstractNumId="8" w15:restartNumberingAfterBreak="0">
    <w:nsid w:val="00000011"/>
    <w:multiLevelType w:val="singleLevel"/>
    <w:tmpl w:val="CB981644"/>
    <w:name w:val="Tiret 0"/>
    <w:lvl w:ilvl="0">
      <w:start w:val="1"/>
      <w:numFmt w:val="bullet"/>
      <w:pStyle w:val="Tiret0"/>
      <w:lvlText w:val="–"/>
      <w:lvlJc w:val="left"/>
      <w:pPr>
        <w:tabs>
          <w:tab w:val="num" w:pos="850"/>
        </w:tabs>
        <w:ind w:left="850" w:hanging="850"/>
      </w:pPr>
    </w:lvl>
  </w:abstractNum>
  <w:abstractNum w:abstractNumId="9" w15:restartNumberingAfterBreak="0">
    <w:nsid w:val="00000013"/>
    <w:multiLevelType w:val="singleLevel"/>
    <w:tmpl w:val="0AB28E9C"/>
    <w:name w:val="Tiret 2"/>
    <w:lvl w:ilvl="0">
      <w:start w:val="1"/>
      <w:numFmt w:val="bullet"/>
      <w:pStyle w:val="Tiret2"/>
      <w:lvlText w:val="–"/>
      <w:lvlJc w:val="left"/>
      <w:pPr>
        <w:tabs>
          <w:tab w:val="num" w:pos="1984"/>
        </w:tabs>
        <w:ind w:left="1984" w:hanging="567"/>
      </w:pPr>
    </w:lvl>
  </w:abstractNum>
  <w:abstractNum w:abstractNumId="10" w15:restartNumberingAfterBreak="0">
    <w:nsid w:val="00000014"/>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11"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15:restartNumberingAfterBreak="0">
    <w:nsid w:val="066B5A68"/>
    <w:multiLevelType w:val="singleLevel"/>
    <w:tmpl w:val="8B0853B0"/>
    <w:name w:val="Dash 1"/>
    <w:lvl w:ilvl="0">
      <w:start w:val="1"/>
      <w:numFmt w:val="bullet"/>
      <w:pStyle w:val="Dash1"/>
      <w:lvlText w:val="–"/>
      <w:lvlJc w:val="left"/>
      <w:pPr>
        <w:tabs>
          <w:tab w:val="num" w:pos="1134"/>
        </w:tabs>
        <w:ind w:left="1134" w:hanging="567"/>
      </w:pPr>
    </w:lvl>
  </w:abstractNum>
  <w:abstractNum w:abstractNumId="13" w15:restartNumberingAfterBreak="0">
    <w:nsid w:val="09C20093"/>
    <w:multiLevelType w:val="singleLevel"/>
    <w:tmpl w:val="05F6137C"/>
    <w:name w:val="Dash 4"/>
    <w:lvl w:ilvl="0">
      <w:start w:val="1"/>
      <w:numFmt w:val="bullet"/>
      <w:pStyle w:val="Dash4"/>
      <w:lvlText w:val="–"/>
      <w:lvlJc w:val="left"/>
      <w:pPr>
        <w:tabs>
          <w:tab w:val="num" w:pos="2835"/>
        </w:tabs>
        <w:ind w:left="2835" w:hanging="567"/>
      </w:pPr>
    </w:lvl>
  </w:abstractNum>
  <w:abstractNum w:abstractNumId="14" w15:restartNumberingAfterBreak="0">
    <w:nsid w:val="172B0495"/>
    <w:multiLevelType w:val="multilevel"/>
    <w:tmpl w:val="FED03EAA"/>
    <w:name w:val="Heading ABC"/>
    <w:lvl w:ilvl="0">
      <w:start w:val="1"/>
      <w:numFmt w:val="upperLetter"/>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C37B8"/>
    <w:multiLevelType w:val="singleLevel"/>
    <w:tmpl w:val="E17861E4"/>
    <w:name w:val="Bullet (2)"/>
    <w:lvl w:ilvl="0">
      <w:start w:val="1"/>
      <w:numFmt w:val="bullet"/>
      <w:pStyle w:val="Bullet2"/>
      <w:lvlText w:val=""/>
      <w:lvlJc w:val="left"/>
      <w:pPr>
        <w:tabs>
          <w:tab w:val="num" w:pos="1701"/>
        </w:tabs>
        <w:ind w:left="1701" w:hanging="567"/>
      </w:pPr>
      <w:rPr>
        <w:rFonts w:ascii="Symbol" w:hAnsi="Symbol"/>
      </w:rPr>
    </w:lvl>
  </w:abstractNum>
  <w:abstractNum w:abstractNumId="16" w15:restartNumberingAfterBreak="0">
    <w:nsid w:val="1FC73EED"/>
    <w:multiLevelType w:val="singleLevel"/>
    <w:tmpl w:val="109A6A02"/>
    <w:name w:val="Bullet (1)"/>
    <w:lvl w:ilvl="0">
      <w:start w:val="1"/>
      <w:numFmt w:val="bullet"/>
      <w:pStyle w:val="Bullet1"/>
      <w:lvlText w:val=""/>
      <w:lvlJc w:val="left"/>
      <w:pPr>
        <w:tabs>
          <w:tab w:val="num" w:pos="1134"/>
        </w:tabs>
        <w:ind w:left="1134" w:hanging="567"/>
      </w:pPr>
      <w:rPr>
        <w:rFonts w:ascii="Symbol" w:hAnsi="Symbol"/>
      </w:rPr>
    </w:lvl>
  </w:abstractNum>
  <w:abstractNum w:abstractNumId="17"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830AE8"/>
    <w:multiLevelType w:val="singleLevel"/>
    <w:tmpl w:val="C694AB9E"/>
    <w:name w:val="Bullet (0)"/>
    <w:lvl w:ilvl="0">
      <w:start w:val="1"/>
      <w:numFmt w:val="bullet"/>
      <w:pStyle w:val="Bullet"/>
      <w:lvlText w:val=""/>
      <w:lvlJc w:val="left"/>
      <w:pPr>
        <w:tabs>
          <w:tab w:val="num" w:pos="567"/>
        </w:tabs>
        <w:ind w:left="567" w:hanging="567"/>
      </w:pPr>
      <w:rPr>
        <w:rFonts w:ascii="Symbol" w:hAnsi="Symbol"/>
      </w:rPr>
    </w:lvl>
  </w:abstractNum>
  <w:abstractNum w:abstractNumId="20" w15:restartNumberingAfterBreak="0">
    <w:nsid w:val="57227889"/>
    <w:multiLevelType w:val="singleLevel"/>
    <w:tmpl w:val="B83C732C"/>
    <w:name w:val="Dash Equal 2"/>
    <w:lvl w:ilvl="0">
      <w:start w:val="1"/>
      <w:numFmt w:val="bullet"/>
      <w:pStyle w:val="DashEqual2"/>
      <w:lvlText w:val="="/>
      <w:lvlJc w:val="left"/>
      <w:pPr>
        <w:tabs>
          <w:tab w:val="num" w:pos="1701"/>
        </w:tabs>
        <w:ind w:left="1701" w:hanging="567"/>
      </w:pPr>
    </w:lvl>
  </w:abstractNum>
  <w:abstractNum w:abstractNumId="21" w15:restartNumberingAfterBreak="0">
    <w:nsid w:val="57CF7392"/>
    <w:multiLevelType w:val="multilevel"/>
    <w:tmpl w:val="8F703574"/>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60669B"/>
    <w:multiLevelType w:val="singleLevel"/>
    <w:tmpl w:val="A97ED7DE"/>
    <w:name w:val="Dash 3"/>
    <w:lvl w:ilvl="0">
      <w:start w:val="1"/>
      <w:numFmt w:val="bullet"/>
      <w:pStyle w:val="Dash3"/>
      <w:lvlText w:val="–"/>
      <w:lvlJc w:val="left"/>
      <w:pPr>
        <w:tabs>
          <w:tab w:val="num" w:pos="2268"/>
        </w:tabs>
        <w:ind w:left="2268" w:hanging="567"/>
      </w:pPr>
    </w:lvl>
  </w:abstractNum>
  <w:abstractNum w:abstractNumId="23" w15:restartNumberingAfterBreak="0">
    <w:nsid w:val="6774118E"/>
    <w:multiLevelType w:val="singleLevel"/>
    <w:tmpl w:val="5944F242"/>
    <w:name w:val="Dash Equal 4"/>
    <w:lvl w:ilvl="0">
      <w:start w:val="1"/>
      <w:numFmt w:val="bullet"/>
      <w:pStyle w:val="DashEqual4"/>
      <w:lvlText w:val="="/>
      <w:lvlJc w:val="left"/>
      <w:pPr>
        <w:tabs>
          <w:tab w:val="num" w:pos="2835"/>
        </w:tabs>
        <w:ind w:left="2835" w:hanging="567"/>
      </w:pPr>
    </w:lvl>
  </w:abstractNum>
  <w:abstractNum w:abstractNumId="24" w15:restartNumberingAfterBreak="0">
    <w:nsid w:val="69123630"/>
    <w:multiLevelType w:val="singleLevel"/>
    <w:tmpl w:val="1BE6CBF4"/>
    <w:name w:val="Bullet (3)"/>
    <w:lvl w:ilvl="0">
      <w:start w:val="1"/>
      <w:numFmt w:val="bullet"/>
      <w:pStyle w:val="Bullet3"/>
      <w:lvlText w:val=""/>
      <w:lvlJc w:val="left"/>
      <w:pPr>
        <w:tabs>
          <w:tab w:val="num" w:pos="2268"/>
        </w:tabs>
        <w:ind w:left="2268" w:hanging="567"/>
      </w:pPr>
      <w:rPr>
        <w:rFonts w:ascii="Symbol" w:hAnsi="Symbol"/>
      </w:rPr>
    </w:lvl>
  </w:abstractNum>
  <w:abstractNum w:abstractNumId="25" w15:restartNumberingAfterBreak="0">
    <w:nsid w:val="6D9D664B"/>
    <w:multiLevelType w:val="singleLevel"/>
    <w:tmpl w:val="11148DA2"/>
    <w:name w:val="Dash 0"/>
    <w:lvl w:ilvl="0">
      <w:start w:val="1"/>
      <w:numFmt w:val="bullet"/>
      <w:pStyle w:val="Dash"/>
      <w:lvlText w:val="–"/>
      <w:lvlJc w:val="left"/>
      <w:pPr>
        <w:tabs>
          <w:tab w:val="num" w:pos="567"/>
        </w:tabs>
        <w:ind w:left="567" w:hanging="567"/>
      </w:pPr>
    </w:lvl>
  </w:abstractNum>
  <w:abstractNum w:abstractNumId="26" w15:restartNumberingAfterBreak="0">
    <w:nsid w:val="6F642730"/>
    <w:multiLevelType w:val="singleLevel"/>
    <w:tmpl w:val="142C218E"/>
    <w:name w:val="Dash 2"/>
    <w:lvl w:ilvl="0">
      <w:start w:val="1"/>
      <w:numFmt w:val="bullet"/>
      <w:pStyle w:val="Dash2"/>
      <w:lvlText w:val="–"/>
      <w:lvlJc w:val="left"/>
      <w:pPr>
        <w:tabs>
          <w:tab w:val="num" w:pos="1701"/>
        </w:tabs>
        <w:ind w:left="1701" w:hanging="567"/>
      </w:pPr>
    </w:lvl>
  </w:abstractNum>
  <w:abstractNum w:abstractNumId="27" w15:restartNumberingAfterBreak="0">
    <w:nsid w:val="753F4BA1"/>
    <w:multiLevelType w:val="singleLevel"/>
    <w:tmpl w:val="E3B64B50"/>
    <w:name w:val="Dash Equal 3"/>
    <w:lvl w:ilvl="0">
      <w:start w:val="1"/>
      <w:numFmt w:val="bullet"/>
      <w:pStyle w:val="DashEqual3"/>
      <w:lvlText w:val="="/>
      <w:lvlJc w:val="left"/>
      <w:pPr>
        <w:tabs>
          <w:tab w:val="num" w:pos="2268"/>
        </w:tabs>
        <w:ind w:left="2268" w:hanging="567"/>
      </w:pPr>
    </w:lvl>
  </w:abstractNum>
  <w:abstractNum w:abstractNumId="28" w15:restartNumberingAfterBreak="0">
    <w:nsid w:val="78250856"/>
    <w:multiLevelType w:val="singleLevel"/>
    <w:tmpl w:val="70ACDB5C"/>
    <w:name w:val="Dash Equal 0"/>
    <w:lvl w:ilvl="0">
      <w:start w:val="1"/>
      <w:numFmt w:val="bullet"/>
      <w:pStyle w:val="DashEqual"/>
      <w:lvlText w:val="="/>
      <w:lvlJc w:val="left"/>
      <w:pPr>
        <w:tabs>
          <w:tab w:val="num" w:pos="567"/>
        </w:tabs>
        <w:ind w:left="567" w:hanging="567"/>
      </w:pPr>
    </w:lvl>
  </w:abstractNum>
  <w:abstractNum w:abstractNumId="29" w15:restartNumberingAfterBreak="0">
    <w:nsid w:val="79904CA0"/>
    <w:multiLevelType w:val="singleLevel"/>
    <w:tmpl w:val="54F47DCE"/>
    <w:name w:val="Bullet (4)"/>
    <w:lvl w:ilvl="0">
      <w:start w:val="1"/>
      <w:numFmt w:val="bullet"/>
      <w:pStyle w:val="Bullet4"/>
      <w:lvlText w:val=""/>
      <w:lvlJc w:val="left"/>
      <w:pPr>
        <w:tabs>
          <w:tab w:val="num" w:pos="2835"/>
        </w:tabs>
        <w:ind w:left="2835" w:hanging="567"/>
      </w:pPr>
      <w:rPr>
        <w:rFonts w:ascii="Symbol" w:hAnsi="Symbol"/>
      </w:rPr>
    </w:lvl>
  </w:abstractNum>
  <w:abstractNum w:abstractNumId="30" w15:restartNumberingAfterBreak="0">
    <w:nsid w:val="7ACF3A8A"/>
    <w:multiLevelType w:val="singleLevel"/>
    <w:tmpl w:val="0E484FE6"/>
    <w:name w:val="Dash Equal 1"/>
    <w:lvl w:ilvl="0">
      <w:start w:val="1"/>
      <w:numFmt w:val="bullet"/>
      <w:pStyle w:val="DashEqual1"/>
      <w:lvlText w:val="="/>
      <w:lvlJc w:val="left"/>
      <w:pPr>
        <w:tabs>
          <w:tab w:val="num" w:pos="1134"/>
        </w:tabs>
        <w:ind w:left="1134" w:hanging="567"/>
      </w:pPr>
    </w:lvl>
  </w:abstractNum>
  <w:num w:numId="1">
    <w:abstractNumId w:val="4"/>
  </w:num>
  <w:num w:numId="2">
    <w:abstractNumId w:val="8"/>
  </w:num>
  <w:num w:numId="3">
    <w:abstractNumId w:val="5"/>
  </w:num>
  <w:num w:numId="4">
    <w:abstractNumId w:val="9"/>
  </w:num>
  <w:num w:numId="5">
    <w:abstractNumId w:val="3"/>
  </w:num>
  <w:num w:numId="6">
    <w:abstractNumId w:val="6"/>
  </w:num>
  <w:num w:numId="7">
    <w:abstractNumId w:val="2"/>
  </w:num>
  <w:num w:numId="8">
    <w:abstractNumId w:val="1"/>
  </w:num>
  <w:num w:numId="9">
    <w:abstractNumId w:val="7"/>
  </w:num>
  <w:num w:numId="10">
    <w:abstractNumId w:val="10"/>
  </w:num>
  <w:num w:numId="11">
    <w:abstractNumId w:val="25"/>
  </w:num>
  <w:num w:numId="12">
    <w:abstractNumId w:val="12"/>
  </w:num>
  <w:num w:numId="13">
    <w:abstractNumId w:val="26"/>
  </w:num>
  <w:num w:numId="14">
    <w:abstractNumId w:val="22"/>
  </w:num>
  <w:num w:numId="15">
    <w:abstractNumId w:val="13"/>
  </w:num>
  <w:num w:numId="16">
    <w:abstractNumId w:val="28"/>
  </w:num>
  <w:num w:numId="17">
    <w:abstractNumId w:val="30"/>
  </w:num>
  <w:num w:numId="18">
    <w:abstractNumId w:val="20"/>
  </w:num>
  <w:num w:numId="19">
    <w:abstractNumId w:val="27"/>
  </w:num>
  <w:num w:numId="20">
    <w:abstractNumId w:val="23"/>
  </w:num>
  <w:num w:numId="21">
    <w:abstractNumId w:val="19"/>
  </w:num>
  <w:num w:numId="22">
    <w:abstractNumId w:val="16"/>
  </w:num>
  <w:num w:numId="23">
    <w:abstractNumId w:val="15"/>
  </w:num>
  <w:num w:numId="24">
    <w:abstractNumId w:val="24"/>
  </w:num>
  <w:num w:numId="25">
    <w:abstractNumId w:val="29"/>
  </w:num>
  <w:num w:numId="26">
    <w:abstractNumId w:val="11"/>
  </w:num>
  <w:num w:numId="27">
    <w:abstractNumId w:val="17"/>
  </w:num>
  <w:num w:numId="28">
    <w:abstractNumId w:val="14"/>
  </w:num>
  <w:num w:numId="29">
    <w:abstractNumId w:val="18"/>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DOCTYPEMNU" w:val=" 1"/>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2\fbidi \froman\fcharset238\fprq2 Times New Roman CE;}{\f313\fbidi \froman\fcharset204\fprq2 Times New Roman Cyr;}_x000d__x000a_{\f315\fbidi \froman\fcharset161\fprq2 Times New Roman Greek;}{\f316\fbidi \froman\fcharset162\fprq2 Times New Roman Tur;}{\f317\fbidi \froman\fcharset177\fprq2 Times New Roman (Hebrew);}{\f318\fbidi \froman\fcharset178\fprq2 Times New Roman (Arabic);}_x000d__x000a_{\f319\fbidi \froman\fcharset186\fprq2 Times New Roman Baltic;}{\f320\fbidi \froman\fcharset163\fprq2 Times New Roman (Vietnamese);}{\f322\fbidi \fswiss\fcharset238\fprq2 Arial CE;}{\f323\fbidi \fswiss\fcharset204\fprq2 Arial Cyr;}_x000d__x000a_{\f325\fbidi \fswiss\fcharset161\fprq2 Arial Greek;}{\f326\fbidi \fswiss\fcharset162\fprq2 Arial Tur;}{\f327\fbidi \fswiss\fcharset177\fprq2 Arial (Hebrew);}{\f328\fbidi \fswiss\fcharset178\fprq2 Arial (Arabic);}_x000d__x000a_{\f329\fbidi \fswiss\fcharset186\fprq2 Arial Baltic;}{\f330\fbidi \fswiss\fcharset163\fprq2 Arial (Vietnamese);}{\f652\fbidi \froman\fcharset238\fprq2 Cambria Math CE;}{\f653\fbidi \froman\fcharset204\fprq2 Cambria Math Cyr;}_x000d__x000a_{\f655\fbidi \froman\fcharset161\fprq2 Cambria Math Greek;}{\f656\fbidi \froman\fcharset162\fprq2 Cambria Math Tur;}{\f659\fbidi \froman\fcharset186\fprq2 Cambria Math Baltic;}{\f66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583930 HideTWBExt;}{\s16\ql \li0\ri0\nowidctlpar\wrapdefault\aspalpha\aspnum\faauto\adjustright\rin0\lin0\itap0 \rtlch\fcs1 \af0\afs20\alang1025 \ltrch\fcs0 _x000d__x000a_\b\fs24\lang2057\langfe2057\cgrid\langnp2057\langfenp2057 \sbasedon0 \snext16 \slink17 \spriority0 \styrsid9583930 NormalBold;}{\*\cs17 \additive \b\fs24 \slink16 \slocked \spriority0 \styrsid9583930 NormalBold Char;}}{\*\rsidtbl \rsid24658\rsid735077_x000d__x000a_\rsid2892074\rsid4666813\rsid6641733\rsid9583930\rsid9636012\rsid10451045\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5\dy3\hr16\min3}{\revtim\yr2018\mo5\dy3\hr16\min3}{\version1}{\edmins0}{\nofpages1}{\nofwords13}{\nofchars75}_x000d__x000a_{\*\company European Parliament}{\nofcharsws87}{\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583930\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045104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451045 \chftnsepc _x000d__x000a_\par }}{\*\aftnsep \ltrpar \pard\plain \ltrpar\ql \li0\ri0\widctlpar\wrapdefault\aspalpha\aspnum\faauto\adjustright\rin0\lin0\itap0 \rtlch\fcs1 \af0\afs20\alang1025 \ltrch\fcs0 \fs24\lang2057\langfe2057\cgrid\langnp2057\langfenp2057 {\rtlch\fcs1 \af0 _x000d__x000a_\ltrch\fcs0 \insrsid10451045 \chftnsep _x000d__x000a_\par }}{\*\aftnsepc \ltrpar \pard\plain \ltrpar\ql \li0\ri0\widctlpar\wrapdefault\aspalpha\aspnum\faauto\adjustright\rin0\lin0\itap0 \rtlch\fcs1 \af0\afs20\alang1025 \ltrch\fcs0 \fs24\lang2057\langfe2057\cgrid\langnp2057\langfenp2057 {\rtlch\fcs1 \af0 _x000d__x000a_\ltrch\fcs0 \insrsid10451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11421347 \rtlch\fcs1 \af0\afs20\alang1025 \ltrch\fcs0 \b\fs24\lang2057\langfe2057\cgrid\langnp2057\langfenp2057 {\rtlch\fcs1 \af0 \ltrch\fcs0 _x000d__x000a_\cs15\b0\v\f1\fs20\cf9\insrsid9583930\charrsid8869136 {\*\bkmkstart By}&lt;}{\rtlch\fcs1 \af0 \ltrch\fcs0 \cs15\b0\v\f1\fs20\cf9\insrsid9583930 By&gt;&lt;}{\rtlch\fcs1 \af0 \ltrch\fcs0 \cs15\b0\v\f1\fs20\cf9\insrsid9583930\charrsid8869136 Members&gt;}{\rtlch\fcs1 _x000d__x000a_\af0 \ltrch\fcs0 \insrsid9583930\charrsid8869136 [ZMEMBERS]}{\rtlch\fcs1 \af0 \ltrch\fcs0 \cs15\b0\v\f1\fs20\cf9\insrsid9583930\charrsid8869136 &lt;/Members&gt;}{\rtlch\fcs1 \af0 \ltrch\fcs0 \insrsid9583930\charrsid8869136 _x000d__x000a_\par }\pard\plain \ltrpar\ql \li0\ri0\widctlpar\wrapdefault\aspalpha\aspnum\faauto\adjustright\rin0\lin0\itap0\pararsid11421347 \rtlch\fcs1 \af0\afs20\alang1025 \ltrch\fcs0 \fs24\lang2057\langfe2057\cgrid\langnp2057\langfenp2057 {\rtlch\fcs1 \af0 \ltrch\fcs0 _x000d__x000a_\cs15\v\f1\fs20\cf9\insrsid9583930\charrsid8869136 &lt;AuNomDe&gt;&lt;OptDel&gt;}{\rtlch\fcs1 \af0 \ltrch\fcs0 \insrsid9583930\charrsid8869136 [ZONBEHALF]}{\rtlch\fcs1 \af0 \ltrch\fcs0 \cs15\v\f1\fs20\cf9\insrsid9583930\charrsid8869136 &lt;/OptDel&gt;&lt;/AuNomDe&gt;}{_x000d__x000a_\rtlch\fcs1 \af0 \ltrch\fcs0 \insrsid9583930\charrsid8869136 _x000d__x000a_\par }\pard \ltrpar\ql \li0\ri0\widctlpar\wrapdefault\aspalpha\aspnum\faauto\adjustright\rin0\lin0\itap0\pararsid16324206 {\rtlch\fcs1 \af0 \ltrch\fcs0 \cs15\v\f1\fs20\cf9\insrsid9583930\charrsid8471846 &lt;}{\rtlch\fcs1 \af0 \ltrch\fcs0 _x000d__x000a_\cs15\v\f1\fs20\cf9\insrsid9583930 /}{\rtlch\fcs1 \af0 \ltrch\fcs0 \cs15\v\f1\fs20\cf9\insrsid9583930\charrsid8471846 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37_x000d__x000a_6275e7e2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117"/>
    <w:docVar w:name="DOCDT" w:val="06/03/2019"/>
    <w:docVar w:name="DOCMNU" w:val=" 2"/>
    <w:docVar w:name="iNoAmend" w:val="117"/>
    <w:docVar w:name="InsideLoop" w:val="1"/>
    <w:docVar w:name="LastEditedSection" w:val=" 1"/>
    <w:docVar w:name="NRAKEY" w:val="0326"/>
    <w:docVar w:name="ONBEHALFKEY1" w:val="TRAN"/>
    <w:docVar w:name="ORLANGKEY" w:val="EN"/>
    <w:docVar w:name="RepeatBlock-Amend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3890085 HideTWBExt;}}{\*\rsidtbl \rsid24658\rsid358857\rsid735077\rsid787282\rsid948913\rsid2892074\rsid3622648\rsid3890085\rsid4666813\rsid5708216\rsid6641733\rsid7553164\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BOIGUES NAVARRO Josep}{\operator BOIGUES NAVARRO Josep}{\creatim\yr2019\mo3\dy11\hr9\min6}{\revtim\yr2019\mo3\dy11\hr9\min6}{\version1}_x000d__x000a_{\edmins0}{\nofpages1}{\nofwords0}{\nofchars7}{\*\company European Parliament}{\nofcharsws7}{\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890085\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948913 \chftnsep _x000d__x000a_\par }}{\*\ftnsepc \ltrpar \pard\plain \ltrpar\ql \li0\ri0\widctlpar\wrapdefault\aspalpha\aspnum\faauto\adjustright\rin0\lin0\itap0 \rtlch\fcs1 \af0\afs20\alang1025 \ltrch\fcs0 \fs24\lang2057\langfe2057\cgrid\langnp2057\langfenp2057 {\rtlch\fcs1 \af0 _x000d__x000a_\ltrch\fcs0 \insrsid948913 \chftnsepc _x000d__x000a_\par }}{\*\aftnsep \ltrpar \pard\plain \ltrpar\ql \li0\ri0\widctlpar\wrapdefault\aspalpha\aspnum\faauto\adjustright\rin0\lin0\itap0 \rtlch\fcs1 \af0\afs20\alang1025 \ltrch\fcs0 \fs24\lang2057\langfe2057\cgrid\langnp2057\langfenp2057 {\rtlch\fcs1 \af0 _x000d__x000a_\ltrch\fcs0 \insrsid948913 \chftnsep _x000d__x000a_\par }}{\*\aftnsepc \ltrpar \pard\plain \ltrpar\ql \li0\ri0\widctlpar\wrapdefault\aspalpha\aspnum\faauto\adjustright\rin0\lin0\itap0 \rtlch\fcs1 \af0\afs20\alang1025 \ltrch\fcs0 \fs24\lang2057\langfe2057\cgrid\langnp2057\langfenp2057 {\rtlch\fcs1 \af0 _x000d__x000a_\ltrch\fcs0 \insrsid94891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36\langfe2057\langnp1036\insrsid3890085\charrsid11739949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32_x000d__x000a_b551e1d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FR" w:val="{\rtf1\adeflang1025\ansi\ansicpg1252\uc1\adeff0\deff0\stshfdbch0\stshfloch0\stshfhich0\stshfbi0\deflang1036\deflangfe1036\themelang1036\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36\langfe1036\cgrid\langnp1036\langfenp1036 \snext11 \ssemihidden \spriority0 Normal Table;}{\*\cs15 \additive _x000d__x000a_\v\f1\fs20\cf9\lang1024\langfe1024\noproof \spriority0 \styrsid12652674 HideTWBExt;}{\*\cs16 \additive \v\cf15 \spriority0 \styrsid12652674 HideTWBInt;}{\s17\ql \li0\ri0\nowidctlpar\wrapdefault\aspalpha\aspnum\faauto\adjustright\rin0\lin0\itap0 _x000d__x000a_\rtlch\fcs1 \af0\afs20\alang1025 \ltrch\fcs0 \b\fs24\lang1036\langfe2057\cgrid\langnp1036\langfenp2057 \sbasedon0 \snext17 \slink18 \spriority0 \styrsid12652674 NormalBold;}{\*\cs18 \additive \b\fs24\lang0\langfe2057\langfenp2057 _x000d__x000a_\slink17 \slocked \spriority0 \styrsid12652674 NormalBold Char;}}{\*\rsidtbl \rsid24658\rsid358857\rsid735077\rsid787282\rsid2892074\rsid3622648\rsid4666813\rsid5708216\rsid6641733\rsid7553164\rsid8465581\rsid8681905\rsid8724649\rsid9636012\rsid9862312_x000d__x000a_\rsid11215221\rsid11370291\rsid11434737\rsid11607138\rsid11824949\rsid12154954\rsid12652674\rsid14424199\rsid15204470\rsid15285974\rsid15535219\rsid15950462\rsid16001775\rsid16324206\rsid16662270}{\mmathPr\mmathFont34\mbrkBin0\mbrkBinSub0\msmallFrac0_x000d__x000a_\mdispDef1\mlMargin0\mrMargin0\mdefJc1\mwrapIndent1440\mintLim0\mnaryLim1}{\info{\author BOIGUES NAVARRO Josep}{\operator BOIGUES NAVARRO Josep}{\creatim\yr2019\mo3\dy11\hr9\min7}{\revtim\yr2019\mo3\dy11\hr9\min7}{\version1}{\edmins0}{\nofpages1}_x000d__x000a_{\nofwords15}{\nofchars198}{\*\company European Parliament}{\nofcharsws201}{\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2652674\utinl \fet0{\*\wgrffmtfilter 013f}\ilfomacatclnup0{\*\template C:\\Users\\jboigues\\AppData\\Local\\Temp\\Blank1.dot}{\*\ftnsep \ltrpar \pard\plain \ltrpar_x000d__x000a_\ql \li0\ri0\widctlpar\wrapdefault\aspalpha\aspnum\faauto\adjustright\rin0\lin0\itap0 \rtlch\fcs1 \af0\afs20\alang1025 \ltrch\fcs0 \fs24\lang2057\langfe2057\cgrid\langnp2057\langfenp2057 {\rtlch\fcs1 \af0 \ltrch\fcs0 \insrsid16001775 \chftnsep _x000d__x000a_\par }}{\*\ftnsepc \ltrpar \pard\plain \ltrpar\ql \li0\ri0\widctlpar\wrapdefault\aspalpha\aspnum\faauto\adjustright\rin0\lin0\itap0 \rtlch\fcs1 \af0\afs20\alang1025 \ltrch\fcs0 \fs24\lang2057\langfe2057\cgrid\langnp2057\langfenp2057 {\rtlch\fcs1 \af0 _x000d__x000a_\ltrch\fcs0 \insrsid16001775 \chftnsepc _x000d__x000a_\par }}{\*\aftnsep \ltrpar \pard\plain \ltrpar\ql \li0\ri0\widctlpar\wrapdefault\aspalpha\aspnum\faauto\adjustright\rin0\lin0\itap0 \rtlch\fcs1 \af0\afs20\alang1025 \ltrch\fcs0 \fs24\lang2057\langfe2057\cgrid\langnp2057\langfenp2057 {\rtlch\fcs1 \af0 _x000d__x000a_\ltrch\fcs0 \insrsid16001775 \chftnsep _x000d__x000a_\par }}{\*\aftnsepc \ltrpar \pard\plain \ltrpar\ql \li0\ri0\widctlpar\wrapdefault\aspalpha\aspnum\faauto\adjustright\rin0\lin0\itap0 \rtlch\fcs1 \af0\afs20\alang1025 \ltrch\fcs0 \fs24\lang2057\langfe2057\cgrid\langnp2057\langfenp2057 {\rtlch\fcs1 \af0 _x000d__x000a_\ltrch\fcs0 \insrsid16001775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2652674 \rtlch\fcs1 \af0\afs20\alang1025 \ltrch\fcs0 \b\fs24\lang1036\langfe2057\cgrid\langnp1036\langfenp2057 {\rtlch\fcs1 \af0 \ltrch\fcs0 _x000d__x000a_\cs15\b0\v\f1\fs20\cf9\insrsid12652674\charrsid11739949 {\*\bkmkstart By}&lt;By&gt;&lt;Members&gt;}{\rtlch\fcs1 \af0 \ltrch\fcs0 \insrsid12652674\charrsid11739949 #}{\rtlch\fcs1 \af0 \ltrch\fcs0 \cs16\v\cf15\insrsid12652674\charrsid11739949 (MOD@InsideLoop(\'a7)}{_x000d__x000a_\rtlch\fcs1 \af0 \ltrch\fcs0 \insrsid12652674\charrsid11739949 ##}{\rtlch\fcs1 \af0 \ltrch\fcs0 \cs16\v\cf15\insrsid12652674\charrsid11739949 IF(FromTORIS = 'True')THEN([PRESMEMBERS])ELSE([TRADMEMBERS])}{\rtlch\fcs1 \af0 \ltrch\fcs0 _x000d__x000a_\insrsid12652674\charrsid11739949 #}{\rtlch\fcs1 \af0 \ltrch\fcs0 \cs15\b0\v\f1\fs20\cf9\insrsid12652674\charrsid11739949 &lt;/Members&gt;}{\rtlch\fcs1 \af0 \ltrch\fcs0 \insrsid12652674\charrsid11739949 _x000d__x000a_\par }\pard\plain \ltrpar\ql \li0\ri0\widctlpar\wrapdefault\aspalpha\aspnum\faauto\adjustright\rin0\lin0\itap0\pararsid12652674 \rtlch\fcs1 \af0\afs20\alang1025 \ltrch\fcs0 \fs24\lang2057\langfe2057\cgrid\langnp2057\langfenp2057 {\rtlch\fcs1 \af0 \ltrch\fcs0 _x000d__x000a_\cs15\v\f1\fs20\cf9\lang1036\langfe2057\langnp1036\insrsid12652674\charrsid11739949 &lt;AuNomDe&gt;&lt;OptDel&gt;}{\rtlch\fcs1 \af0 \ltrch\fcs0 \lang1036\langfe2057\langnp1036\insrsid12652674\charrsid11739949 #}{\rtlch\fcs1 \af0 \ltrch\fcs0 _x000d__x000a_\cs16\v\cf15\lang1036\langfe2057\langnp1036\insrsid12652674\charrsid11739949 IF(FromTORIS = 'True')THEN([PRESONBEHALF])ELSE([TRADONBEHALF])}{\rtlch\fcs1 \af0 \ltrch\fcs0 \lang1036\langfe2057\langnp1036\insrsid12652674\charrsid11739949 #}{\rtlch\fcs1 \af0 _x000d__x000a_\ltrch\fcs0 \cs15\v\f1\fs20\cf9\lang1036\langfe2057\langnp1036\insrsid12652674\charrsid11739949 &lt;/OptDel&gt;&lt;/AuNomDe&gt;}{\rtlch\fcs1 \af0 \ltrch\fcs0 \lang1036\langfe2057\langnp1036\insrsid12652674\charrsid11739949 _x000d__x000a_\par }{\rtlch\fcs1 \af0 \ltrch\fcs0 \cs15\v\f1\fs20\cf9\lang1036\langfe2057\langnp1036\insrsid12652674\charrsid11739949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74_x000d__x000a_af6fe1d7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Consolidated"/>
    <w:docVar w:name="strSubDir" w:val="1179"/>
    <w:docVar w:name="TITLEMNU" w:val=" 1"/>
    <w:docVar w:name="TVTMEMBERS1" w:val="Karima Delli"/>
    <w:docVar w:name="TXTLANGUE" w:val="FR"/>
    <w:docVar w:name="TXTLANGUEMIN" w:val="fr"/>
    <w:docVar w:name="TXTNRFIRSTAM" w:val="117"/>
    <w:docVar w:name="TXTNRPE" w:val="635.378"/>
    <w:docVar w:name="TXTPEorAP" w:val="PE"/>
    <w:docVar w:name="TXTROUTE" w:val="AM\1179166FR.docx"/>
    <w:docVar w:name="TXTVERSION" w:val="01-00"/>
  </w:docVars>
  <w:rsids>
    <w:rsidRoot w:val="00B3232D"/>
    <w:rsid w:val="000207F4"/>
    <w:rsid w:val="0004541F"/>
    <w:rsid w:val="000C7D90"/>
    <w:rsid w:val="000D08E3"/>
    <w:rsid w:val="000F508C"/>
    <w:rsid w:val="001A2045"/>
    <w:rsid w:val="001A71DA"/>
    <w:rsid w:val="001A7FD0"/>
    <w:rsid w:val="002B3AF1"/>
    <w:rsid w:val="00337ACF"/>
    <w:rsid w:val="0039336A"/>
    <w:rsid w:val="003B7E48"/>
    <w:rsid w:val="003E71B1"/>
    <w:rsid w:val="0042245F"/>
    <w:rsid w:val="00432C14"/>
    <w:rsid w:val="004731D6"/>
    <w:rsid w:val="00481E81"/>
    <w:rsid w:val="004959CE"/>
    <w:rsid w:val="00510280"/>
    <w:rsid w:val="00525DC0"/>
    <w:rsid w:val="005E6C7D"/>
    <w:rsid w:val="00623133"/>
    <w:rsid w:val="006339AB"/>
    <w:rsid w:val="00660F58"/>
    <w:rsid w:val="006A5C2D"/>
    <w:rsid w:val="006C0168"/>
    <w:rsid w:val="006C28E7"/>
    <w:rsid w:val="006E1AA5"/>
    <w:rsid w:val="00766A75"/>
    <w:rsid w:val="007A605C"/>
    <w:rsid w:val="00814526"/>
    <w:rsid w:val="0086033A"/>
    <w:rsid w:val="00874E6B"/>
    <w:rsid w:val="00875510"/>
    <w:rsid w:val="00892C85"/>
    <w:rsid w:val="00893ABA"/>
    <w:rsid w:val="008F566E"/>
    <w:rsid w:val="00905977"/>
    <w:rsid w:val="00907D63"/>
    <w:rsid w:val="00907F1D"/>
    <w:rsid w:val="0093649F"/>
    <w:rsid w:val="0097051C"/>
    <w:rsid w:val="009731C5"/>
    <w:rsid w:val="009A17A9"/>
    <w:rsid w:val="009C2C35"/>
    <w:rsid w:val="009C7E1C"/>
    <w:rsid w:val="00AD4980"/>
    <w:rsid w:val="00AE46A3"/>
    <w:rsid w:val="00B3232D"/>
    <w:rsid w:val="00B9229C"/>
    <w:rsid w:val="00B92ABC"/>
    <w:rsid w:val="00BD4891"/>
    <w:rsid w:val="00BE4672"/>
    <w:rsid w:val="00C2106C"/>
    <w:rsid w:val="00C23925"/>
    <w:rsid w:val="00C60300"/>
    <w:rsid w:val="00D13D6F"/>
    <w:rsid w:val="00D2771D"/>
    <w:rsid w:val="00D43184"/>
    <w:rsid w:val="00D926D4"/>
    <w:rsid w:val="00DE1D7F"/>
    <w:rsid w:val="00E32431"/>
    <w:rsid w:val="00E5087F"/>
    <w:rsid w:val="00E52E7D"/>
    <w:rsid w:val="00E71388"/>
    <w:rsid w:val="00E8102F"/>
    <w:rsid w:val="00EF563A"/>
    <w:rsid w:val="00F3017E"/>
    <w:rsid w:val="00FB235E"/>
    <w:rsid w:val="00FD68C2"/>
    <w:rsid w:val="00FF2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FE58AA-1A37-456A-A68E-45202B5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E8102F"/>
    <w:pPr>
      <w:tabs>
        <w:tab w:val="right" w:pos="9072"/>
      </w:tabs>
      <w:ind w:right="-284"/>
    </w:pPr>
    <w:rPr>
      <w:b/>
    </w:rPr>
  </w:style>
  <w:style w:type="paragraph" w:customStyle="1" w:styleId="Normal12">
    <w:name w:val="Normal12"/>
    <w:basedOn w:val="Normal"/>
    <w:pPr>
      <w:spacing w:after="240"/>
    </w:pPr>
  </w:style>
  <w:style w:type="paragraph" w:customStyle="1" w:styleId="Footer2">
    <w:name w:val="Footer2"/>
    <w:basedOn w:val="Normal"/>
    <w:rsid w:val="008F566E"/>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24b12aBoldItalic">
    <w:name w:val="Normal24b12aBoldItalic"/>
    <w:basedOn w:val="Normal12a12b"/>
    <w:rsid w:val="0093649F"/>
    <w:pPr>
      <w:spacing w:before="480"/>
    </w:pPr>
    <w:rPr>
      <w:b/>
      <w:i/>
      <w:szCs w:val="24"/>
    </w:rPr>
  </w:style>
  <w:style w:type="paragraph" w:customStyle="1" w:styleId="ZDateAM">
    <w:name w:val="ZDateAM"/>
    <w:basedOn w:val="Normal"/>
    <w:rsid w:val="00E8102F"/>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a12bKeep">
    <w:name w:val="Normal12a12bKeep"/>
    <w:basedOn w:val="Normal"/>
    <w:pPr>
      <w:keepNext/>
      <w:spacing w:before="240" w:after="240"/>
    </w:pPr>
  </w:style>
  <w:style w:type="paragraph" w:customStyle="1" w:styleId="Normal12Keep">
    <w:name w:val="Normal12Keep"/>
    <w:basedOn w:val="Normal12"/>
    <w:pPr>
      <w:keepNext/>
    </w:pPr>
  </w:style>
  <w:style w:type="paragraph" w:customStyle="1" w:styleId="NormalKeep">
    <w:name w:val="NormalKeep"/>
    <w:basedOn w:val="Normal"/>
    <w:pPr>
      <w:keepNext/>
    </w:pPr>
  </w:style>
  <w:style w:type="paragraph" w:customStyle="1" w:styleId="Normal12Hanging">
    <w:name w:val="Normal12Hanging"/>
    <w:basedOn w:val="Normal12"/>
    <w:pPr>
      <w:ind w:left="567" w:hanging="567"/>
    </w:pPr>
  </w:style>
  <w:style w:type="paragraph" w:customStyle="1" w:styleId="JustificationTitle">
    <w:name w:val="JustificationTitle"/>
    <w:basedOn w:val="Normal"/>
    <w:next w:val="Normal12"/>
    <w:rsid w:val="00F3017E"/>
    <w:pPr>
      <w:keepNext/>
      <w:spacing w:before="240" w:after="240"/>
      <w:jc w:val="center"/>
    </w:pPr>
    <w:rPr>
      <w:i/>
    </w:rPr>
  </w:style>
  <w:style w:type="character" w:customStyle="1" w:styleId="added">
    <w:name w:val="added"/>
    <w:rPr>
      <w:b/>
      <w:i/>
      <w:noProof w:val="0"/>
      <w:lang w:val="en-US"/>
    </w:rPr>
  </w:style>
  <w:style w:type="paragraph" w:customStyle="1" w:styleId="Justification">
    <w:name w:val="Justification"/>
    <w:basedOn w:val="Normal12"/>
    <w:rsid w:val="003B7E48"/>
    <w:rPr>
      <w:i/>
    </w:rPr>
  </w:style>
  <w:style w:type="paragraph" w:customStyle="1" w:styleId="Normal6">
    <w:name w:val="Normal6"/>
    <w:basedOn w:val="Normal"/>
    <w:link w:val="Normal6Char"/>
    <w:rsid w:val="00AE46A3"/>
    <w:pPr>
      <w:spacing w:after="120"/>
    </w:pPr>
    <w:rPr>
      <w:noProof/>
    </w:rPr>
  </w:style>
  <w:style w:type="paragraph" w:customStyle="1" w:styleId="CrossRef">
    <w:name w:val="CrossRef"/>
    <w:basedOn w:val="Normal"/>
    <w:rsid w:val="00AE46A3"/>
    <w:pPr>
      <w:keepNext/>
      <w:spacing w:before="240"/>
      <w:jc w:val="center"/>
    </w:pPr>
    <w:rPr>
      <w:i/>
    </w:rPr>
  </w:style>
  <w:style w:type="paragraph" w:customStyle="1" w:styleId="Normal12Italic">
    <w:name w:val="Normal12Italic"/>
    <w:basedOn w:val="Normal"/>
    <w:rsid w:val="00AE46A3"/>
    <w:pPr>
      <w:spacing w:after="240"/>
    </w:pPr>
    <w:rPr>
      <w:i/>
      <w:noProof/>
    </w:rPr>
  </w:style>
  <w:style w:type="character" w:customStyle="1" w:styleId="NormalBoldChar">
    <w:name w:val="NormalBold Char"/>
    <w:link w:val="NormalBold"/>
    <w:rsid w:val="00AE46A3"/>
    <w:rPr>
      <w:b/>
      <w:sz w:val="24"/>
      <w:lang w:val="en-GB" w:eastAsia="en-GB" w:bidi="ar-SA"/>
    </w:rPr>
  </w:style>
  <w:style w:type="character" w:customStyle="1" w:styleId="Normal6Char">
    <w:name w:val="Normal6 Char"/>
    <w:link w:val="Normal6"/>
    <w:rsid w:val="00AE46A3"/>
    <w:rPr>
      <w:noProof/>
      <w:sz w:val="24"/>
      <w:lang w:val="en-GB" w:eastAsia="en-GB" w:bidi="ar-SA"/>
    </w:rPr>
  </w:style>
  <w:style w:type="paragraph" w:customStyle="1" w:styleId="ColumnHeading">
    <w:name w:val="ColumnHeading"/>
    <w:basedOn w:val="Normal"/>
    <w:rsid w:val="00AE46A3"/>
    <w:pPr>
      <w:spacing w:after="240"/>
      <w:jc w:val="center"/>
    </w:pPr>
    <w:rPr>
      <w:u w:val="single"/>
    </w:rPr>
  </w:style>
  <w:style w:type="paragraph" w:customStyle="1" w:styleId="AMNumberTabs">
    <w:name w:val="AMNumberTabs"/>
    <w:basedOn w:val="Normal"/>
    <w:rsid w:val="00AE46A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aliases w:val="single space"/>
    <w:basedOn w:val="Normal"/>
    <w:link w:val="FootnoteTextChar"/>
    <w:uiPriority w:val="99"/>
    <w:rsid w:val="000C7D90"/>
    <w:pPr>
      <w:widowControl/>
    </w:pPr>
    <w:rPr>
      <w:sz w:val="22"/>
    </w:rPr>
  </w:style>
  <w:style w:type="paragraph" w:customStyle="1" w:styleId="Normal12Tab">
    <w:name w:val="Normal12Tab"/>
    <w:basedOn w:val="Normal"/>
    <w:rsid w:val="00C2106C"/>
    <w:pPr>
      <w:tabs>
        <w:tab w:val="left" w:pos="4536"/>
      </w:tabs>
      <w:spacing w:after="240"/>
    </w:pPr>
  </w:style>
  <w:style w:type="character" w:styleId="FootnoteReference">
    <w:name w:val="footnote reference"/>
    <w:aliases w:val="-E Fußnotenzeichen,BVI fnr,EN Footnote Reference,Exposant 3 Point,Footnote Reference Number,Footnote Reference/,Footnote Refernece,Footnote call,Footnote reference number,Footnote symbol,SUPERS,Times 10 Point,note TESI,number,stylish"/>
    <w:uiPriority w:val="99"/>
    <w:rsid w:val="004959CE"/>
    <w:rPr>
      <w:vertAlign w:val="superscript"/>
    </w:rPr>
  </w:style>
  <w:style w:type="paragraph" w:customStyle="1" w:styleId="AMClosing">
    <w:name w:val="AMClosing"/>
    <w:basedOn w:val="Normal"/>
    <w:rsid w:val="00FF2CB3"/>
    <w:pPr>
      <w:spacing w:before="480" w:after="720"/>
    </w:pPr>
  </w:style>
  <w:style w:type="paragraph" w:customStyle="1" w:styleId="ConsHeading">
    <w:name w:val="ConsHeading"/>
    <w:basedOn w:val="Normal12Centre"/>
    <w:rsid w:val="006339AB"/>
    <w:pPr>
      <w:spacing w:before="720"/>
    </w:pPr>
  </w:style>
  <w:style w:type="numbering" w:customStyle="1" w:styleId="NoList1">
    <w:name w:val="No List1"/>
    <w:next w:val="NoList"/>
    <w:uiPriority w:val="99"/>
    <w:semiHidden/>
    <w:unhideWhenUsed/>
    <w:rsid w:val="00BE4672"/>
  </w:style>
  <w:style w:type="character" w:customStyle="1" w:styleId="Heading1Char">
    <w:name w:val="Heading 1 Char"/>
    <w:link w:val="Heading1"/>
    <w:uiPriority w:val="9"/>
    <w:rsid w:val="00BE4672"/>
    <w:rPr>
      <w:rFonts w:ascii="Arial" w:hAnsi="Arial"/>
      <w:b/>
      <w:kern w:val="28"/>
      <w:sz w:val="28"/>
      <w:lang w:eastAsia="en-GB"/>
    </w:rPr>
  </w:style>
  <w:style w:type="character" w:customStyle="1" w:styleId="Heading2Char">
    <w:name w:val="Heading 2 Char"/>
    <w:link w:val="Heading2"/>
    <w:uiPriority w:val="9"/>
    <w:rsid w:val="00BE4672"/>
    <w:rPr>
      <w:rFonts w:ascii="Arial" w:hAnsi="Arial"/>
      <w:b/>
      <w:i/>
      <w:sz w:val="24"/>
      <w:lang w:eastAsia="en-GB"/>
    </w:rPr>
  </w:style>
  <w:style w:type="character" w:customStyle="1" w:styleId="Heading3Char">
    <w:name w:val="Heading 3 Char"/>
    <w:link w:val="Heading3"/>
    <w:uiPriority w:val="9"/>
    <w:rsid w:val="00BE4672"/>
    <w:rPr>
      <w:rFonts w:ascii="Arial" w:hAnsi="Arial"/>
      <w:sz w:val="24"/>
      <w:lang w:eastAsia="en-GB"/>
    </w:rPr>
  </w:style>
  <w:style w:type="character" w:customStyle="1" w:styleId="Heading4Char">
    <w:name w:val="Heading 4 Char"/>
    <w:link w:val="Heading4"/>
    <w:uiPriority w:val="9"/>
    <w:rsid w:val="00BE4672"/>
    <w:rPr>
      <w:rFonts w:ascii="Arial" w:hAnsi="Arial"/>
      <w:b/>
      <w:sz w:val="24"/>
      <w:lang w:eastAsia="en-GB"/>
    </w:rPr>
  </w:style>
  <w:style w:type="character" w:styleId="Hyperlink">
    <w:name w:val="Hyperlink"/>
    <w:uiPriority w:val="99"/>
    <w:rsid w:val="00BE4672"/>
    <w:rPr>
      <w:color w:val="0000FF"/>
      <w:u w:val="single"/>
      <w:shd w:val="clear" w:color="auto" w:fill="auto"/>
    </w:rPr>
  </w:style>
  <w:style w:type="paragraph" w:customStyle="1" w:styleId="Norma">
    <w:name w:val="Norma"/>
    <w:basedOn w:val="Point1letter"/>
    <w:uiPriority w:val="99"/>
    <w:rsid w:val="00BE4672"/>
    <w:pPr>
      <w:numPr>
        <w:ilvl w:val="0"/>
        <w:numId w:val="0"/>
      </w:numPr>
      <w:tabs>
        <w:tab w:val="clear" w:pos="1417"/>
      </w:tabs>
      <w:ind w:left="1417" w:hanging="567"/>
    </w:pPr>
  </w:style>
  <w:style w:type="paragraph" w:customStyle="1" w:styleId="NumPat">
    <w:name w:val="NumPat"/>
    <w:basedOn w:val="Text1"/>
    <w:uiPriority w:val="99"/>
    <w:rsid w:val="00BE4672"/>
  </w:style>
  <w:style w:type="paragraph" w:customStyle="1" w:styleId="Num">
    <w:name w:val="Num"/>
    <w:basedOn w:val="Text1"/>
    <w:uiPriority w:val="99"/>
    <w:rsid w:val="00BE4672"/>
  </w:style>
  <w:style w:type="paragraph" w:customStyle="1" w:styleId="BalloonText1">
    <w:name w:val="Balloon Text1"/>
    <w:basedOn w:val="Normal"/>
    <w:next w:val="BalloonText"/>
    <w:link w:val="BalloonTextChar"/>
    <w:uiPriority w:val="99"/>
    <w:rsid w:val="00BE4672"/>
    <w:pPr>
      <w:autoSpaceDE w:val="0"/>
      <w:autoSpaceDN w:val="0"/>
      <w:adjustRightInd w:val="0"/>
      <w:spacing w:line="360" w:lineRule="auto"/>
    </w:pPr>
    <w:rPr>
      <w:rFonts w:ascii="Tahoma" w:hAnsi="Tahoma" w:cs="Tahoma"/>
      <w:sz w:val="16"/>
      <w:szCs w:val="16"/>
      <w:lang w:val="en-GB"/>
    </w:rPr>
  </w:style>
  <w:style w:type="character" w:customStyle="1" w:styleId="BalloonTextChar">
    <w:name w:val="Balloon Text Char"/>
    <w:link w:val="BalloonText1"/>
    <w:uiPriority w:val="99"/>
    <w:rsid w:val="00BE4672"/>
    <w:rPr>
      <w:rFonts w:ascii="Tahoma" w:hAnsi="Tahoma" w:cs="Tahoma"/>
      <w:sz w:val="16"/>
      <w:szCs w:val="16"/>
      <w:lang w:val="en-GB" w:eastAsia="en-GB"/>
    </w:rPr>
  </w:style>
  <w:style w:type="paragraph" w:customStyle="1" w:styleId="Section1">
    <w:name w:val="Section 1"/>
    <w:basedOn w:val="Heading1"/>
    <w:uiPriority w:val="99"/>
    <w:rsid w:val="00BE4672"/>
    <w:pPr>
      <w:tabs>
        <w:tab w:val="left" w:pos="850"/>
        <w:tab w:val="num" w:pos="1440"/>
      </w:tabs>
      <w:autoSpaceDE w:val="0"/>
      <w:autoSpaceDN w:val="0"/>
      <w:adjustRightInd w:val="0"/>
      <w:spacing w:before="360" w:after="120" w:line="360" w:lineRule="auto"/>
      <w:ind w:left="1440" w:hanging="360"/>
    </w:pPr>
    <w:rPr>
      <w:rFonts w:ascii="Times New Roman" w:hAnsi="Times New Roman"/>
      <w:smallCaps/>
      <w:kern w:val="0"/>
      <w:sz w:val="24"/>
      <w:szCs w:val="28"/>
      <w:lang w:val="en-GB"/>
    </w:rPr>
  </w:style>
  <w:style w:type="paragraph" w:customStyle="1" w:styleId="ScetionTitle">
    <w:name w:val="Scetion Title"/>
    <w:basedOn w:val="ManualHeading1"/>
    <w:uiPriority w:val="99"/>
    <w:rsid w:val="00BE4672"/>
    <w:pPr>
      <w:jc w:val="center"/>
    </w:pPr>
  </w:style>
  <w:style w:type="paragraph" w:customStyle="1" w:styleId="LegalNumPar">
    <w:name w:val="LegalNumPar"/>
    <w:basedOn w:val="Normal"/>
    <w:uiPriority w:val="99"/>
    <w:rsid w:val="00BE4672"/>
    <w:pPr>
      <w:numPr>
        <w:numId w:val="1"/>
      </w:numPr>
      <w:tabs>
        <w:tab w:val="num" w:pos="360"/>
      </w:tabs>
      <w:autoSpaceDE w:val="0"/>
      <w:autoSpaceDN w:val="0"/>
      <w:adjustRightInd w:val="0"/>
      <w:spacing w:before="120" w:after="120" w:line="360" w:lineRule="auto"/>
      <w:ind w:left="360" w:hanging="360"/>
    </w:pPr>
    <w:rPr>
      <w:szCs w:val="22"/>
      <w:lang w:val="en-GB"/>
    </w:rPr>
  </w:style>
  <w:style w:type="paragraph" w:customStyle="1" w:styleId="LegalNumPar2">
    <w:name w:val="LegalNumPar2"/>
    <w:basedOn w:val="Normal"/>
    <w:uiPriority w:val="99"/>
    <w:rsid w:val="00BE4672"/>
    <w:pPr>
      <w:numPr>
        <w:ilvl w:val="1"/>
        <w:numId w:val="1"/>
      </w:numPr>
      <w:tabs>
        <w:tab w:val="num" w:pos="360"/>
      </w:tabs>
      <w:autoSpaceDE w:val="0"/>
      <w:autoSpaceDN w:val="0"/>
      <w:adjustRightInd w:val="0"/>
      <w:spacing w:before="120" w:after="120" w:line="360" w:lineRule="auto"/>
      <w:ind w:left="360" w:hanging="360"/>
    </w:pPr>
    <w:rPr>
      <w:szCs w:val="22"/>
      <w:lang w:val="en-GB"/>
    </w:rPr>
  </w:style>
  <w:style w:type="paragraph" w:customStyle="1" w:styleId="LegalNumPar3">
    <w:name w:val="LegalNumPar3"/>
    <w:basedOn w:val="Normal"/>
    <w:uiPriority w:val="99"/>
    <w:rsid w:val="00BE4672"/>
    <w:pPr>
      <w:numPr>
        <w:ilvl w:val="2"/>
        <w:numId w:val="1"/>
      </w:numPr>
      <w:tabs>
        <w:tab w:val="num" w:pos="360"/>
      </w:tabs>
      <w:autoSpaceDE w:val="0"/>
      <w:autoSpaceDN w:val="0"/>
      <w:adjustRightInd w:val="0"/>
      <w:spacing w:before="120" w:after="120" w:line="360" w:lineRule="auto"/>
      <w:ind w:left="360" w:hanging="360"/>
    </w:pPr>
    <w:rPr>
      <w:szCs w:val="22"/>
      <w:lang w:val="en-GB"/>
    </w:rPr>
  </w:style>
  <w:style w:type="paragraph" w:customStyle="1" w:styleId="Numpar">
    <w:name w:val="Num par"/>
    <w:basedOn w:val="Point1letter"/>
    <w:uiPriority w:val="99"/>
    <w:rsid w:val="00BE4672"/>
  </w:style>
  <w:style w:type="paragraph" w:customStyle="1" w:styleId="Point0number0">
    <w:name w:val="Point 0(number)"/>
    <w:basedOn w:val="Point1"/>
    <w:uiPriority w:val="99"/>
    <w:rsid w:val="00BE4672"/>
  </w:style>
  <w:style w:type="paragraph" w:customStyle="1" w:styleId="Ppoint0number">
    <w:name w:val="Ppoint 0 (number)"/>
    <w:basedOn w:val="Point1"/>
    <w:uiPriority w:val="99"/>
    <w:rsid w:val="00BE4672"/>
  </w:style>
  <w:style w:type="paragraph" w:customStyle="1" w:styleId="Bulet">
    <w:name w:val="Bulet"/>
    <w:basedOn w:val="ManualHeading2"/>
    <w:uiPriority w:val="99"/>
    <w:rsid w:val="00BE4672"/>
    <w:rPr>
      <w:rFonts w:eastAsia="Arial Unicode MS"/>
      <w:lang w:val="en-US"/>
    </w:rPr>
  </w:style>
  <w:style w:type="paragraph" w:customStyle="1" w:styleId="Caption1">
    <w:name w:val="Caption1"/>
    <w:basedOn w:val="Normal"/>
    <w:next w:val="Normal"/>
    <w:uiPriority w:val="35"/>
    <w:qFormat/>
    <w:rsid w:val="00BE4672"/>
    <w:pPr>
      <w:autoSpaceDE w:val="0"/>
      <w:autoSpaceDN w:val="0"/>
      <w:adjustRightInd w:val="0"/>
      <w:spacing w:after="200" w:line="360" w:lineRule="auto"/>
    </w:pPr>
    <w:rPr>
      <w:b/>
      <w:color w:val="4F81BD"/>
      <w:sz w:val="18"/>
      <w:szCs w:val="18"/>
      <w:lang w:val="en-GB"/>
    </w:rPr>
  </w:style>
  <w:style w:type="paragraph" w:customStyle="1" w:styleId="TableofFigures1">
    <w:name w:val="Table of Figures1"/>
    <w:basedOn w:val="Normal"/>
    <w:next w:val="Normal"/>
    <w:uiPriority w:val="99"/>
    <w:rsid w:val="00BE4672"/>
    <w:pPr>
      <w:autoSpaceDE w:val="0"/>
      <w:autoSpaceDN w:val="0"/>
      <w:adjustRightInd w:val="0"/>
      <w:spacing w:before="120" w:line="360" w:lineRule="auto"/>
    </w:pPr>
    <w:rPr>
      <w:szCs w:val="22"/>
      <w:lang w:val="en-GB"/>
    </w:rPr>
  </w:style>
  <w:style w:type="character" w:styleId="CommentReference">
    <w:name w:val="annotation reference"/>
    <w:uiPriority w:val="99"/>
    <w:rsid w:val="00BE4672"/>
    <w:rPr>
      <w:sz w:val="16"/>
      <w:szCs w:val="16"/>
    </w:rPr>
  </w:style>
  <w:style w:type="paragraph" w:customStyle="1" w:styleId="CommentText1">
    <w:name w:val="Comment Text1"/>
    <w:basedOn w:val="Normal"/>
    <w:next w:val="CommentText"/>
    <w:link w:val="CommentTextChar"/>
    <w:uiPriority w:val="99"/>
    <w:rsid w:val="00BE4672"/>
    <w:pPr>
      <w:autoSpaceDE w:val="0"/>
      <w:autoSpaceDN w:val="0"/>
      <w:adjustRightInd w:val="0"/>
      <w:spacing w:before="120" w:after="120" w:line="360" w:lineRule="auto"/>
    </w:pPr>
    <w:rPr>
      <w:sz w:val="20"/>
      <w:lang w:val="en-GB"/>
    </w:rPr>
  </w:style>
  <w:style w:type="character" w:customStyle="1" w:styleId="CommentTextChar">
    <w:name w:val="Comment Text Char"/>
    <w:link w:val="CommentText1"/>
    <w:uiPriority w:val="99"/>
    <w:rsid w:val="00BE4672"/>
    <w:rPr>
      <w:lang w:val="en-GB" w:eastAsia="en-GB"/>
    </w:rPr>
  </w:style>
  <w:style w:type="paragraph" w:styleId="CommentText">
    <w:name w:val="annotation text"/>
    <w:basedOn w:val="Normal"/>
    <w:link w:val="CommentTextChar1"/>
    <w:uiPriority w:val="99"/>
    <w:rsid w:val="00BE4672"/>
    <w:rPr>
      <w:sz w:val="20"/>
      <w:lang w:val="en-GB"/>
    </w:rPr>
  </w:style>
  <w:style w:type="character" w:customStyle="1" w:styleId="CommentTextChar1">
    <w:name w:val="Comment Text Char1"/>
    <w:basedOn w:val="DefaultParagraphFont"/>
    <w:link w:val="CommentText"/>
    <w:uiPriority w:val="99"/>
    <w:rsid w:val="00BE4672"/>
    <w:rPr>
      <w:lang w:val="en-GB" w:eastAsia="en-GB"/>
    </w:rPr>
  </w:style>
  <w:style w:type="paragraph" w:styleId="CommentSubject">
    <w:name w:val="annotation subject"/>
    <w:basedOn w:val="CommentText"/>
    <w:next w:val="CommentText"/>
    <w:link w:val="CommentSubjectChar"/>
    <w:uiPriority w:val="99"/>
    <w:rsid w:val="00BE4672"/>
    <w:pPr>
      <w:autoSpaceDE w:val="0"/>
      <w:autoSpaceDN w:val="0"/>
      <w:adjustRightInd w:val="0"/>
      <w:spacing w:before="120" w:after="120" w:line="360" w:lineRule="auto"/>
    </w:pPr>
    <w:rPr>
      <w:b/>
    </w:rPr>
  </w:style>
  <w:style w:type="character" w:customStyle="1" w:styleId="CommentSubjectChar">
    <w:name w:val="Comment Subject Char"/>
    <w:basedOn w:val="CommentTextChar1"/>
    <w:link w:val="CommentSubject"/>
    <w:uiPriority w:val="99"/>
    <w:rsid w:val="00BE4672"/>
    <w:rPr>
      <w:b/>
      <w:lang w:val="en-GB" w:eastAsia="en-GB"/>
    </w:rPr>
  </w:style>
  <w:style w:type="paragraph" w:customStyle="1" w:styleId="Numpar10">
    <w:name w:val="Num par1"/>
    <w:basedOn w:val="Numpar"/>
    <w:uiPriority w:val="99"/>
    <w:rsid w:val="00BE4672"/>
    <w:pPr>
      <w:numPr>
        <w:ilvl w:val="0"/>
        <w:numId w:val="0"/>
      </w:numPr>
      <w:tabs>
        <w:tab w:val="clear" w:pos="1417"/>
      </w:tabs>
    </w:pPr>
  </w:style>
  <w:style w:type="paragraph" w:customStyle="1" w:styleId="Point">
    <w:name w:val="Point"/>
    <w:basedOn w:val="NumPar1"/>
    <w:uiPriority w:val="99"/>
    <w:rsid w:val="00BE4672"/>
    <w:rPr>
      <w:i/>
    </w:rPr>
  </w:style>
  <w:style w:type="paragraph" w:customStyle="1" w:styleId="NumPar11">
    <w:name w:val="NumPar1"/>
    <w:basedOn w:val="Point1letter"/>
    <w:uiPriority w:val="99"/>
    <w:rsid w:val="00BE4672"/>
    <w:pPr>
      <w:numPr>
        <w:ilvl w:val="0"/>
        <w:numId w:val="0"/>
      </w:numPr>
      <w:tabs>
        <w:tab w:val="clear" w:pos="1417"/>
      </w:tabs>
      <w:ind w:left="1417" w:hanging="567"/>
    </w:pPr>
  </w:style>
  <w:style w:type="paragraph" w:customStyle="1" w:styleId="ListParagraph1">
    <w:name w:val="List Paragraph1"/>
    <w:basedOn w:val="Normal"/>
    <w:next w:val="ListParagraph"/>
    <w:uiPriority w:val="34"/>
    <w:qFormat/>
    <w:rsid w:val="00BE4672"/>
    <w:pPr>
      <w:autoSpaceDE w:val="0"/>
      <w:autoSpaceDN w:val="0"/>
      <w:adjustRightInd w:val="0"/>
      <w:spacing w:before="120" w:after="120" w:line="360" w:lineRule="auto"/>
      <w:ind w:left="720"/>
      <w:contextualSpacing/>
    </w:pPr>
    <w:rPr>
      <w:szCs w:val="22"/>
      <w:lang w:val="en-GB"/>
    </w:rPr>
  </w:style>
  <w:style w:type="paragraph" w:customStyle="1" w:styleId="Sous-titreobjet">
    <w:name w:val="Sous-titre objet"/>
    <w:basedOn w:val="Normal"/>
    <w:uiPriority w:val="99"/>
    <w:rsid w:val="00BE4672"/>
    <w:pPr>
      <w:autoSpaceDE w:val="0"/>
      <w:autoSpaceDN w:val="0"/>
      <w:adjustRightInd w:val="0"/>
      <w:spacing w:line="360" w:lineRule="auto"/>
      <w:jc w:val="center"/>
    </w:pPr>
    <w:rPr>
      <w:b/>
      <w:szCs w:val="22"/>
      <w:lang w:val="en-GB"/>
    </w:rPr>
  </w:style>
  <w:style w:type="paragraph" w:customStyle="1" w:styleId="Revision1">
    <w:name w:val="Revision1"/>
    <w:next w:val="Revision"/>
    <w:hidden/>
    <w:uiPriority w:val="99"/>
    <w:rsid w:val="00BE4672"/>
    <w:pPr>
      <w:widowControl w:val="0"/>
      <w:autoSpaceDE w:val="0"/>
      <w:autoSpaceDN w:val="0"/>
      <w:adjustRightInd w:val="0"/>
    </w:pPr>
    <w:rPr>
      <w:sz w:val="24"/>
      <w:szCs w:val="22"/>
      <w:lang w:val="en-GB" w:eastAsia="en-GB"/>
    </w:rPr>
  </w:style>
  <w:style w:type="character" w:styleId="Strong">
    <w:name w:val="Strong"/>
    <w:uiPriority w:val="22"/>
    <w:qFormat/>
    <w:rsid w:val="00BE4672"/>
    <w:rPr>
      <w:b/>
    </w:rPr>
  </w:style>
  <w:style w:type="paragraph" w:customStyle="1" w:styleId="Numpar12">
    <w:name w:val="Num par 1"/>
    <w:basedOn w:val="Numpar10"/>
    <w:uiPriority w:val="99"/>
    <w:rsid w:val="00BE4672"/>
  </w:style>
  <w:style w:type="paragraph" w:customStyle="1" w:styleId="SectionTitle">
    <w:name w:val="SectionTitle"/>
    <w:basedOn w:val="Normal"/>
    <w:next w:val="Heading1"/>
    <w:uiPriority w:val="99"/>
    <w:rsid w:val="00BE4672"/>
    <w:pPr>
      <w:keepNext/>
      <w:autoSpaceDE w:val="0"/>
      <w:autoSpaceDN w:val="0"/>
      <w:adjustRightInd w:val="0"/>
      <w:spacing w:before="120" w:after="360" w:line="360" w:lineRule="auto"/>
      <w:jc w:val="center"/>
    </w:pPr>
    <w:rPr>
      <w:b/>
      <w:smallCaps/>
      <w:sz w:val="28"/>
      <w:szCs w:val="22"/>
      <w:lang w:val="en-GB"/>
    </w:rPr>
  </w:style>
  <w:style w:type="paragraph" w:customStyle="1" w:styleId="TOCHeading1">
    <w:name w:val="TOC Heading1"/>
    <w:basedOn w:val="Normal"/>
    <w:next w:val="Normal"/>
    <w:uiPriority w:val="39"/>
    <w:qFormat/>
    <w:rsid w:val="00BE4672"/>
    <w:pPr>
      <w:autoSpaceDE w:val="0"/>
      <w:autoSpaceDN w:val="0"/>
      <w:adjustRightInd w:val="0"/>
      <w:spacing w:before="120" w:after="240" w:line="360" w:lineRule="auto"/>
      <w:jc w:val="center"/>
    </w:pPr>
    <w:rPr>
      <w:b/>
      <w:sz w:val="28"/>
      <w:szCs w:val="22"/>
      <w:lang w:val="en-GB"/>
    </w:rPr>
  </w:style>
  <w:style w:type="paragraph" w:customStyle="1" w:styleId="TOC11">
    <w:name w:val="TOC 11"/>
    <w:basedOn w:val="Normal"/>
    <w:next w:val="Normal"/>
    <w:uiPriority w:val="39"/>
    <w:rsid w:val="00BE4672"/>
    <w:pPr>
      <w:tabs>
        <w:tab w:val="right" w:leader="dot" w:pos="9071"/>
      </w:tabs>
      <w:autoSpaceDE w:val="0"/>
      <w:autoSpaceDN w:val="0"/>
      <w:adjustRightInd w:val="0"/>
      <w:spacing w:before="60" w:after="120" w:line="360" w:lineRule="auto"/>
      <w:ind w:left="850" w:hanging="850"/>
    </w:pPr>
    <w:rPr>
      <w:szCs w:val="22"/>
      <w:lang w:val="en-GB"/>
    </w:rPr>
  </w:style>
  <w:style w:type="paragraph" w:customStyle="1" w:styleId="TOC21">
    <w:name w:val="TOC 21"/>
    <w:basedOn w:val="Normal"/>
    <w:next w:val="Normal"/>
    <w:uiPriority w:val="39"/>
    <w:rsid w:val="00BE4672"/>
    <w:pPr>
      <w:tabs>
        <w:tab w:val="right" w:leader="dot" w:pos="9071"/>
      </w:tabs>
      <w:autoSpaceDE w:val="0"/>
      <w:autoSpaceDN w:val="0"/>
      <w:adjustRightInd w:val="0"/>
      <w:spacing w:before="60" w:after="120" w:line="360" w:lineRule="auto"/>
      <w:ind w:left="850" w:hanging="850"/>
    </w:pPr>
    <w:rPr>
      <w:szCs w:val="22"/>
      <w:lang w:val="en-GB"/>
    </w:rPr>
  </w:style>
  <w:style w:type="paragraph" w:customStyle="1" w:styleId="TOC31">
    <w:name w:val="TOC 31"/>
    <w:basedOn w:val="Normal"/>
    <w:next w:val="Normal"/>
    <w:uiPriority w:val="39"/>
    <w:rsid w:val="00BE4672"/>
    <w:pPr>
      <w:tabs>
        <w:tab w:val="right" w:leader="dot" w:pos="9071"/>
      </w:tabs>
      <w:autoSpaceDE w:val="0"/>
      <w:autoSpaceDN w:val="0"/>
      <w:adjustRightInd w:val="0"/>
      <w:spacing w:before="60" w:after="120" w:line="360" w:lineRule="auto"/>
      <w:ind w:left="850" w:hanging="850"/>
    </w:pPr>
    <w:rPr>
      <w:szCs w:val="22"/>
      <w:lang w:val="en-GB"/>
    </w:rPr>
  </w:style>
  <w:style w:type="paragraph" w:customStyle="1" w:styleId="TOC41">
    <w:name w:val="TOC 41"/>
    <w:basedOn w:val="Normal"/>
    <w:next w:val="Normal"/>
    <w:uiPriority w:val="39"/>
    <w:rsid w:val="00BE4672"/>
    <w:pPr>
      <w:tabs>
        <w:tab w:val="right" w:leader="dot" w:pos="9071"/>
      </w:tabs>
      <w:autoSpaceDE w:val="0"/>
      <w:autoSpaceDN w:val="0"/>
      <w:adjustRightInd w:val="0"/>
      <w:spacing w:before="60" w:after="120" w:line="360" w:lineRule="auto"/>
      <w:ind w:left="850" w:hanging="850"/>
    </w:pPr>
    <w:rPr>
      <w:szCs w:val="22"/>
      <w:lang w:val="en-GB"/>
    </w:rPr>
  </w:style>
  <w:style w:type="paragraph" w:customStyle="1" w:styleId="TOC51">
    <w:name w:val="TOC 51"/>
    <w:basedOn w:val="Normal"/>
    <w:next w:val="Normal"/>
    <w:uiPriority w:val="39"/>
    <w:rsid w:val="00BE4672"/>
    <w:pPr>
      <w:tabs>
        <w:tab w:val="right" w:leader="dot" w:pos="9071"/>
      </w:tabs>
      <w:autoSpaceDE w:val="0"/>
      <w:autoSpaceDN w:val="0"/>
      <w:adjustRightInd w:val="0"/>
      <w:spacing w:before="300" w:after="120" w:line="360" w:lineRule="auto"/>
    </w:pPr>
    <w:rPr>
      <w:szCs w:val="22"/>
      <w:lang w:val="en-GB"/>
    </w:rPr>
  </w:style>
  <w:style w:type="paragraph" w:customStyle="1" w:styleId="TOC61">
    <w:name w:val="TOC 61"/>
    <w:basedOn w:val="Normal"/>
    <w:next w:val="Normal"/>
    <w:uiPriority w:val="39"/>
    <w:rsid w:val="00BE4672"/>
    <w:pPr>
      <w:tabs>
        <w:tab w:val="right" w:leader="dot" w:pos="9071"/>
      </w:tabs>
      <w:autoSpaceDE w:val="0"/>
      <w:autoSpaceDN w:val="0"/>
      <w:adjustRightInd w:val="0"/>
      <w:spacing w:before="240" w:after="120" w:line="360" w:lineRule="auto"/>
    </w:pPr>
    <w:rPr>
      <w:szCs w:val="22"/>
      <w:lang w:val="en-GB"/>
    </w:rPr>
  </w:style>
  <w:style w:type="paragraph" w:customStyle="1" w:styleId="TOC71">
    <w:name w:val="TOC 71"/>
    <w:basedOn w:val="Normal"/>
    <w:next w:val="Normal"/>
    <w:uiPriority w:val="39"/>
    <w:rsid w:val="00BE4672"/>
    <w:pPr>
      <w:tabs>
        <w:tab w:val="right" w:leader="dot" w:pos="9071"/>
      </w:tabs>
      <w:autoSpaceDE w:val="0"/>
      <w:autoSpaceDN w:val="0"/>
      <w:adjustRightInd w:val="0"/>
      <w:spacing w:before="180" w:after="120" w:line="360" w:lineRule="auto"/>
    </w:pPr>
    <w:rPr>
      <w:szCs w:val="22"/>
      <w:lang w:val="en-GB"/>
    </w:rPr>
  </w:style>
  <w:style w:type="paragraph" w:customStyle="1" w:styleId="TOC81">
    <w:name w:val="TOC 81"/>
    <w:basedOn w:val="Normal"/>
    <w:next w:val="Normal"/>
    <w:uiPriority w:val="39"/>
    <w:rsid w:val="00BE4672"/>
    <w:pPr>
      <w:tabs>
        <w:tab w:val="right" w:leader="dot" w:pos="9071"/>
      </w:tabs>
      <w:autoSpaceDE w:val="0"/>
      <w:autoSpaceDN w:val="0"/>
      <w:adjustRightInd w:val="0"/>
      <w:spacing w:before="120" w:after="120" w:line="360" w:lineRule="auto"/>
    </w:pPr>
    <w:rPr>
      <w:szCs w:val="22"/>
      <w:lang w:val="en-GB"/>
    </w:rPr>
  </w:style>
  <w:style w:type="paragraph" w:customStyle="1" w:styleId="TOC91">
    <w:name w:val="TOC 91"/>
    <w:basedOn w:val="Normal"/>
    <w:next w:val="Normal"/>
    <w:uiPriority w:val="39"/>
    <w:rsid w:val="00BE4672"/>
    <w:pPr>
      <w:tabs>
        <w:tab w:val="right" w:leader="dot" w:pos="9071"/>
      </w:tabs>
      <w:autoSpaceDE w:val="0"/>
      <w:autoSpaceDN w:val="0"/>
      <w:adjustRightInd w:val="0"/>
      <w:spacing w:before="120" w:after="120" w:line="360" w:lineRule="auto"/>
    </w:pPr>
    <w:rPr>
      <w:szCs w:val="22"/>
      <w:lang w:val="en-GB"/>
    </w:rPr>
  </w:style>
  <w:style w:type="paragraph" w:customStyle="1" w:styleId="HeaderSensitivity">
    <w:name w:val="Header Sensitivity"/>
    <w:basedOn w:val="Normal"/>
    <w:uiPriority w:val="99"/>
    <w:rsid w:val="00BE4672"/>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113" w:right="113"/>
      <w:jc w:val="center"/>
    </w:pPr>
    <w:rPr>
      <w:b/>
      <w:sz w:val="32"/>
      <w:szCs w:val="22"/>
      <w:lang w:val="en-GB"/>
    </w:rPr>
  </w:style>
  <w:style w:type="paragraph" w:customStyle="1" w:styleId="FooterSensitivity">
    <w:name w:val="Footer Sensitivity"/>
    <w:basedOn w:val="Normal"/>
    <w:uiPriority w:val="99"/>
    <w:rsid w:val="00BE4672"/>
    <w:pPr>
      <w:pBdr>
        <w:top w:val="single" w:sz="4" w:space="1" w:color="auto"/>
        <w:left w:val="single" w:sz="4" w:space="4" w:color="auto"/>
        <w:bottom w:val="single" w:sz="4" w:space="1" w:color="auto"/>
        <w:right w:val="single" w:sz="4" w:space="4" w:color="auto"/>
      </w:pBdr>
      <w:autoSpaceDE w:val="0"/>
      <w:autoSpaceDN w:val="0"/>
      <w:adjustRightInd w:val="0"/>
      <w:spacing w:before="360" w:line="360" w:lineRule="auto"/>
      <w:ind w:left="113" w:right="113"/>
      <w:jc w:val="center"/>
    </w:pPr>
    <w:rPr>
      <w:b/>
      <w:sz w:val="32"/>
      <w:szCs w:val="22"/>
      <w:lang w:val="en-GB"/>
    </w:rPr>
  </w:style>
  <w:style w:type="paragraph" w:customStyle="1" w:styleId="NormalLeft">
    <w:name w:val="Normal Left"/>
    <w:basedOn w:val="Normal"/>
    <w:uiPriority w:val="99"/>
    <w:rsid w:val="00BE4672"/>
    <w:pPr>
      <w:autoSpaceDE w:val="0"/>
      <w:autoSpaceDN w:val="0"/>
      <w:adjustRightInd w:val="0"/>
      <w:spacing w:before="120" w:after="120" w:line="360" w:lineRule="auto"/>
    </w:pPr>
    <w:rPr>
      <w:szCs w:val="22"/>
      <w:lang w:val="en-GB"/>
    </w:rPr>
  </w:style>
  <w:style w:type="paragraph" w:customStyle="1" w:styleId="QuotedText">
    <w:name w:val="Quoted Text"/>
    <w:basedOn w:val="Normal"/>
    <w:uiPriority w:val="99"/>
    <w:rsid w:val="00BE4672"/>
    <w:pPr>
      <w:autoSpaceDE w:val="0"/>
      <w:autoSpaceDN w:val="0"/>
      <w:adjustRightInd w:val="0"/>
      <w:spacing w:before="120" w:after="120" w:line="360" w:lineRule="auto"/>
      <w:ind w:left="1417"/>
    </w:pPr>
    <w:rPr>
      <w:szCs w:val="22"/>
      <w:lang w:val="en-GB"/>
    </w:rPr>
  </w:style>
  <w:style w:type="paragraph" w:customStyle="1" w:styleId="Point0">
    <w:name w:val="Point 0"/>
    <w:basedOn w:val="Normal"/>
    <w:uiPriority w:val="99"/>
    <w:rsid w:val="00BE4672"/>
    <w:pPr>
      <w:autoSpaceDE w:val="0"/>
      <w:autoSpaceDN w:val="0"/>
      <w:adjustRightInd w:val="0"/>
      <w:spacing w:before="120" w:after="120" w:line="360" w:lineRule="auto"/>
      <w:ind w:left="850" w:hanging="850"/>
    </w:pPr>
    <w:rPr>
      <w:szCs w:val="22"/>
      <w:lang w:val="en-GB"/>
    </w:rPr>
  </w:style>
  <w:style w:type="paragraph" w:customStyle="1" w:styleId="Point1">
    <w:name w:val="Point 1"/>
    <w:basedOn w:val="Normal"/>
    <w:uiPriority w:val="99"/>
    <w:rsid w:val="00BE4672"/>
    <w:pPr>
      <w:autoSpaceDE w:val="0"/>
      <w:autoSpaceDN w:val="0"/>
      <w:adjustRightInd w:val="0"/>
      <w:spacing w:before="120" w:after="120" w:line="360" w:lineRule="auto"/>
      <w:ind w:left="1417" w:hanging="567"/>
    </w:pPr>
    <w:rPr>
      <w:szCs w:val="22"/>
      <w:lang w:val="en-GB"/>
    </w:rPr>
  </w:style>
  <w:style w:type="paragraph" w:customStyle="1" w:styleId="Point2">
    <w:name w:val="Point 2"/>
    <w:basedOn w:val="Normal"/>
    <w:uiPriority w:val="99"/>
    <w:rsid w:val="00BE4672"/>
    <w:pPr>
      <w:autoSpaceDE w:val="0"/>
      <w:autoSpaceDN w:val="0"/>
      <w:adjustRightInd w:val="0"/>
      <w:spacing w:before="120" w:after="120" w:line="360" w:lineRule="auto"/>
      <w:ind w:left="1984" w:hanging="567"/>
    </w:pPr>
    <w:rPr>
      <w:szCs w:val="22"/>
      <w:lang w:val="en-GB"/>
    </w:rPr>
  </w:style>
  <w:style w:type="paragraph" w:customStyle="1" w:styleId="Point3">
    <w:name w:val="Point 3"/>
    <w:basedOn w:val="Normal"/>
    <w:uiPriority w:val="99"/>
    <w:rsid w:val="00BE4672"/>
    <w:pPr>
      <w:autoSpaceDE w:val="0"/>
      <w:autoSpaceDN w:val="0"/>
      <w:adjustRightInd w:val="0"/>
      <w:spacing w:before="120" w:after="120" w:line="360" w:lineRule="auto"/>
      <w:ind w:left="2551" w:hanging="567"/>
    </w:pPr>
    <w:rPr>
      <w:szCs w:val="22"/>
      <w:lang w:val="en-GB"/>
    </w:rPr>
  </w:style>
  <w:style w:type="paragraph" w:customStyle="1" w:styleId="Point4">
    <w:name w:val="Point 4"/>
    <w:basedOn w:val="Normal"/>
    <w:uiPriority w:val="99"/>
    <w:rsid w:val="00BE4672"/>
    <w:pPr>
      <w:autoSpaceDE w:val="0"/>
      <w:autoSpaceDN w:val="0"/>
      <w:adjustRightInd w:val="0"/>
      <w:spacing w:before="120" w:after="120" w:line="360" w:lineRule="auto"/>
      <w:ind w:left="3118" w:hanging="567"/>
    </w:pPr>
    <w:rPr>
      <w:szCs w:val="22"/>
      <w:lang w:val="en-GB"/>
    </w:rPr>
  </w:style>
  <w:style w:type="paragraph" w:customStyle="1" w:styleId="Tiret0">
    <w:name w:val="Tiret 0"/>
    <w:basedOn w:val="Point0"/>
    <w:uiPriority w:val="99"/>
    <w:rsid w:val="00BE4672"/>
    <w:pPr>
      <w:numPr>
        <w:numId w:val="2"/>
      </w:numPr>
      <w:tabs>
        <w:tab w:val="num" w:pos="360"/>
        <w:tab w:val="left" w:pos="850"/>
      </w:tabs>
      <w:ind w:left="360" w:hanging="360"/>
    </w:pPr>
  </w:style>
  <w:style w:type="paragraph" w:customStyle="1" w:styleId="Tiret1">
    <w:name w:val="Tiret 1"/>
    <w:basedOn w:val="Point1"/>
    <w:uiPriority w:val="99"/>
    <w:rsid w:val="00BE4672"/>
    <w:pPr>
      <w:numPr>
        <w:numId w:val="3"/>
      </w:numPr>
      <w:tabs>
        <w:tab w:val="num" w:pos="720"/>
        <w:tab w:val="left" w:pos="1417"/>
      </w:tabs>
      <w:ind w:left="720" w:hanging="360"/>
    </w:pPr>
  </w:style>
  <w:style w:type="paragraph" w:customStyle="1" w:styleId="Tiret2">
    <w:name w:val="Tiret 2"/>
    <w:basedOn w:val="Point2"/>
    <w:uiPriority w:val="99"/>
    <w:rsid w:val="00BE4672"/>
    <w:pPr>
      <w:numPr>
        <w:numId w:val="4"/>
      </w:numPr>
      <w:tabs>
        <w:tab w:val="num" w:pos="720"/>
        <w:tab w:val="left" w:pos="1984"/>
      </w:tabs>
      <w:ind w:left="720" w:hanging="360"/>
    </w:pPr>
  </w:style>
  <w:style w:type="paragraph" w:customStyle="1" w:styleId="Tiret3">
    <w:name w:val="Tiret 3"/>
    <w:basedOn w:val="Point3"/>
    <w:uiPriority w:val="99"/>
    <w:rsid w:val="00BE4672"/>
    <w:pPr>
      <w:numPr>
        <w:numId w:val="5"/>
      </w:numPr>
      <w:tabs>
        <w:tab w:val="num" w:pos="1080"/>
        <w:tab w:val="left" w:pos="2551"/>
      </w:tabs>
      <w:ind w:left="1080" w:hanging="360"/>
    </w:pPr>
  </w:style>
  <w:style w:type="paragraph" w:customStyle="1" w:styleId="Tiret4">
    <w:name w:val="Tiret 4"/>
    <w:basedOn w:val="Point4"/>
    <w:uiPriority w:val="99"/>
    <w:rsid w:val="00BE4672"/>
    <w:pPr>
      <w:numPr>
        <w:numId w:val="6"/>
      </w:numPr>
      <w:tabs>
        <w:tab w:val="num" w:pos="1080"/>
        <w:tab w:val="left" w:pos="3118"/>
      </w:tabs>
      <w:ind w:left="1080" w:hanging="360"/>
    </w:pPr>
  </w:style>
  <w:style w:type="paragraph" w:customStyle="1" w:styleId="PointDouble0">
    <w:name w:val="PointDouble 0"/>
    <w:basedOn w:val="Normal"/>
    <w:uiPriority w:val="99"/>
    <w:rsid w:val="00BE4672"/>
    <w:pPr>
      <w:tabs>
        <w:tab w:val="left" w:pos="850"/>
      </w:tabs>
      <w:autoSpaceDE w:val="0"/>
      <w:autoSpaceDN w:val="0"/>
      <w:adjustRightInd w:val="0"/>
      <w:spacing w:before="120" w:after="120" w:line="360" w:lineRule="auto"/>
      <w:ind w:left="1417" w:hanging="1417"/>
    </w:pPr>
    <w:rPr>
      <w:szCs w:val="22"/>
      <w:lang w:val="en-GB"/>
    </w:rPr>
  </w:style>
  <w:style w:type="paragraph" w:customStyle="1" w:styleId="PointDouble1">
    <w:name w:val="PointDouble 1"/>
    <w:basedOn w:val="Normal"/>
    <w:uiPriority w:val="99"/>
    <w:rsid w:val="00BE4672"/>
    <w:pPr>
      <w:tabs>
        <w:tab w:val="left" w:pos="1417"/>
      </w:tabs>
      <w:autoSpaceDE w:val="0"/>
      <w:autoSpaceDN w:val="0"/>
      <w:adjustRightInd w:val="0"/>
      <w:spacing w:before="120" w:after="120" w:line="360" w:lineRule="auto"/>
      <w:ind w:left="1984" w:hanging="1134"/>
    </w:pPr>
    <w:rPr>
      <w:szCs w:val="22"/>
      <w:lang w:val="en-GB"/>
    </w:rPr>
  </w:style>
  <w:style w:type="paragraph" w:customStyle="1" w:styleId="PointDouble2">
    <w:name w:val="PointDouble 2"/>
    <w:basedOn w:val="Normal"/>
    <w:uiPriority w:val="99"/>
    <w:rsid w:val="00BE4672"/>
    <w:pPr>
      <w:tabs>
        <w:tab w:val="left" w:pos="1984"/>
      </w:tabs>
      <w:autoSpaceDE w:val="0"/>
      <w:autoSpaceDN w:val="0"/>
      <w:adjustRightInd w:val="0"/>
      <w:spacing w:before="120" w:after="120" w:line="360" w:lineRule="auto"/>
      <w:ind w:left="2551" w:hanging="1134"/>
    </w:pPr>
    <w:rPr>
      <w:szCs w:val="22"/>
      <w:lang w:val="en-GB"/>
    </w:rPr>
  </w:style>
  <w:style w:type="paragraph" w:customStyle="1" w:styleId="PointDouble3">
    <w:name w:val="PointDouble 3"/>
    <w:basedOn w:val="Normal"/>
    <w:uiPriority w:val="99"/>
    <w:rsid w:val="00BE4672"/>
    <w:pPr>
      <w:tabs>
        <w:tab w:val="left" w:pos="2551"/>
      </w:tabs>
      <w:autoSpaceDE w:val="0"/>
      <w:autoSpaceDN w:val="0"/>
      <w:adjustRightInd w:val="0"/>
      <w:spacing w:before="120" w:after="120" w:line="360" w:lineRule="auto"/>
      <w:ind w:left="3118" w:hanging="1134"/>
    </w:pPr>
    <w:rPr>
      <w:szCs w:val="22"/>
      <w:lang w:val="en-GB"/>
    </w:rPr>
  </w:style>
  <w:style w:type="paragraph" w:customStyle="1" w:styleId="PointDouble4">
    <w:name w:val="PointDouble 4"/>
    <w:basedOn w:val="Normal"/>
    <w:uiPriority w:val="99"/>
    <w:rsid w:val="00BE4672"/>
    <w:pPr>
      <w:tabs>
        <w:tab w:val="left" w:pos="3118"/>
      </w:tabs>
      <w:autoSpaceDE w:val="0"/>
      <w:autoSpaceDN w:val="0"/>
      <w:adjustRightInd w:val="0"/>
      <w:spacing w:before="120" w:after="120" w:line="360" w:lineRule="auto"/>
      <w:ind w:left="3685" w:hanging="1134"/>
    </w:pPr>
    <w:rPr>
      <w:szCs w:val="22"/>
      <w:lang w:val="en-GB"/>
    </w:rPr>
  </w:style>
  <w:style w:type="paragraph" w:customStyle="1" w:styleId="PointTriple0">
    <w:name w:val="PointTriple 0"/>
    <w:basedOn w:val="Normal"/>
    <w:uiPriority w:val="99"/>
    <w:rsid w:val="00BE4672"/>
    <w:pPr>
      <w:tabs>
        <w:tab w:val="left" w:pos="850"/>
        <w:tab w:val="left" w:pos="1417"/>
      </w:tabs>
      <w:autoSpaceDE w:val="0"/>
      <w:autoSpaceDN w:val="0"/>
      <w:adjustRightInd w:val="0"/>
      <w:spacing w:before="120" w:after="120" w:line="360" w:lineRule="auto"/>
      <w:ind w:left="1984" w:hanging="1984"/>
    </w:pPr>
    <w:rPr>
      <w:szCs w:val="22"/>
      <w:lang w:val="en-GB"/>
    </w:rPr>
  </w:style>
  <w:style w:type="paragraph" w:customStyle="1" w:styleId="PointTriple1">
    <w:name w:val="PointTriple 1"/>
    <w:basedOn w:val="Normal"/>
    <w:uiPriority w:val="99"/>
    <w:rsid w:val="00BE4672"/>
    <w:pPr>
      <w:tabs>
        <w:tab w:val="left" w:pos="1417"/>
        <w:tab w:val="left" w:pos="1984"/>
      </w:tabs>
      <w:autoSpaceDE w:val="0"/>
      <w:autoSpaceDN w:val="0"/>
      <w:adjustRightInd w:val="0"/>
      <w:spacing w:before="120" w:after="120" w:line="360" w:lineRule="auto"/>
      <w:ind w:left="2551" w:hanging="1701"/>
    </w:pPr>
    <w:rPr>
      <w:szCs w:val="22"/>
      <w:lang w:val="en-GB"/>
    </w:rPr>
  </w:style>
  <w:style w:type="paragraph" w:customStyle="1" w:styleId="PointTriple2">
    <w:name w:val="PointTriple 2"/>
    <w:basedOn w:val="Normal"/>
    <w:uiPriority w:val="99"/>
    <w:rsid w:val="00BE4672"/>
    <w:pPr>
      <w:tabs>
        <w:tab w:val="left" w:pos="1984"/>
        <w:tab w:val="left" w:pos="2551"/>
      </w:tabs>
      <w:autoSpaceDE w:val="0"/>
      <w:autoSpaceDN w:val="0"/>
      <w:adjustRightInd w:val="0"/>
      <w:spacing w:before="120" w:after="120" w:line="360" w:lineRule="auto"/>
      <w:ind w:left="3118" w:hanging="1701"/>
    </w:pPr>
    <w:rPr>
      <w:szCs w:val="22"/>
      <w:lang w:val="en-GB"/>
    </w:rPr>
  </w:style>
  <w:style w:type="paragraph" w:customStyle="1" w:styleId="PointTriple3">
    <w:name w:val="PointTriple 3"/>
    <w:basedOn w:val="Normal"/>
    <w:uiPriority w:val="99"/>
    <w:rsid w:val="00BE4672"/>
    <w:pPr>
      <w:tabs>
        <w:tab w:val="left" w:pos="2551"/>
        <w:tab w:val="left" w:pos="3118"/>
      </w:tabs>
      <w:autoSpaceDE w:val="0"/>
      <w:autoSpaceDN w:val="0"/>
      <w:adjustRightInd w:val="0"/>
      <w:spacing w:before="120" w:after="120" w:line="360" w:lineRule="auto"/>
      <w:ind w:left="3685" w:hanging="1701"/>
    </w:pPr>
    <w:rPr>
      <w:szCs w:val="22"/>
      <w:lang w:val="en-GB"/>
    </w:rPr>
  </w:style>
  <w:style w:type="paragraph" w:customStyle="1" w:styleId="PointTriple4">
    <w:name w:val="PointTriple 4"/>
    <w:basedOn w:val="Normal"/>
    <w:uiPriority w:val="99"/>
    <w:rsid w:val="00BE4672"/>
    <w:pPr>
      <w:tabs>
        <w:tab w:val="left" w:pos="3118"/>
        <w:tab w:val="left" w:pos="3685"/>
      </w:tabs>
      <w:autoSpaceDE w:val="0"/>
      <w:autoSpaceDN w:val="0"/>
      <w:adjustRightInd w:val="0"/>
      <w:spacing w:before="120" w:after="120" w:line="360" w:lineRule="auto"/>
      <w:ind w:left="4252" w:hanging="1701"/>
    </w:pPr>
    <w:rPr>
      <w:szCs w:val="22"/>
      <w:lang w:val="en-GB"/>
    </w:rPr>
  </w:style>
  <w:style w:type="paragraph" w:customStyle="1" w:styleId="NumPar1">
    <w:name w:val="NumPar 1"/>
    <w:basedOn w:val="Normal"/>
    <w:next w:val="Text1"/>
    <w:uiPriority w:val="99"/>
    <w:rsid w:val="00BE4672"/>
    <w:pPr>
      <w:numPr>
        <w:numId w:val="7"/>
      </w:numPr>
      <w:tabs>
        <w:tab w:val="left" w:pos="850"/>
        <w:tab w:val="num" w:pos="1440"/>
      </w:tabs>
      <w:autoSpaceDE w:val="0"/>
      <w:autoSpaceDN w:val="0"/>
      <w:adjustRightInd w:val="0"/>
      <w:spacing w:before="120" w:after="120" w:line="360" w:lineRule="auto"/>
      <w:ind w:left="1440" w:hanging="360"/>
    </w:pPr>
    <w:rPr>
      <w:szCs w:val="22"/>
      <w:lang w:val="en-GB"/>
    </w:rPr>
  </w:style>
  <w:style w:type="paragraph" w:customStyle="1" w:styleId="NumPar2">
    <w:name w:val="NumPar 2"/>
    <w:basedOn w:val="Normal"/>
    <w:next w:val="Text1"/>
    <w:uiPriority w:val="99"/>
    <w:rsid w:val="00BE4672"/>
    <w:pPr>
      <w:numPr>
        <w:ilvl w:val="1"/>
        <w:numId w:val="7"/>
      </w:numPr>
      <w:tabs>
        <w:tab w:val="left" w:pos="850"/>
        <w:tab w:val="num" w:pos="1440"/>
      </w:tabs>
      <w:autoSpaceDE w:val="0"/>
      <w:autoSpaceDN w:val="0"/>
      <w:adjustRightInd w:val="0"/>
      <w:spacing w:before="120" w:after="120" w:line="360" w:lineRule="auto"/>
      <w:ind w:left="1440" w:hanging="360"/>
    </w:pPr>
    <w:rPr>
      <w:szCs w:val="22"/>
      <w:lang w:val="en-GB"/>
    </w:rPr>
  </w:style>
  <w:style w:type="paragraph" w:customStyle="1" w:styleId="NumPar3">
    <w:name w:val="NumPar 3"/>
    <w:basedOn w:val="Normal"/>
    <w:next w:val="Text1"/>
    <w:uiPriority w:val="99"/>
    <w:rsid w:val="00BE4672"/>
    <w:pPr>
      <w:numPr>
        <w:ilvl w:val="2"/>
        <w:numId w:val="7"/>
      </w:numPr>
      <w:tabs>
        <w:tab w:val="left" w:pos="850"/>
        <w:tab w:val="num" w:pos="1440"/>
      </w:tabs>
      <w:autoSpaceDE w:val="0"/>
      <w:autoSpaceDN w:val="0"/>
      <w:adjustRightInd w:val="0"/>
      <w:spacing w:before="120" w:after="120" w:line="360" w:lineRule="auto"/>
      <w:ind w:left="1440" w:hanging="360"/>
    </w:pPr>
    <w:rPr>
      <w:szCs w:val="22"/>
      <w:lang w:val="en-GB"/>
    </w:rPr>
  </w:style>
  <w:style w:type="paragraph" w:customStyle="1" w:styleId="NumPar4">
    <w:name w:val="NumPar 4"/>
    <w:basedOn w:val="Normal"/>
    <w:next w:val="Text1"/>
    <w:uiPriority w:val="99"/>
    <w:rsid w:val="00BE4672"/>
    <w:pPr>
      <w:numPr>
        <w:ilvl w:val="3"/>
        <w:numId w:val="7"/>
      </w:numPr>
      <w:tabs>
        <w:tab w:val="left" w:pos="850"/>
        <w:tab w:val="num" w:pos="1440"/>
      </w:tabs>
      <w:autoSpaceDE w:val="0"/>
      <w:autoSpaceDN w:val="0"/>
      <w:adjustRightInd w:val="0"/>
      <w:spacing w:before="120" w:after="120" w:line="360" w:lineRule="auto"/>
      <w:ind w:left="1440" w:hanging="360"/>
    </w:pPr>
    <w:rPr>
      <w:szCs w:val="22"/>
      <w:lang w:val="en-GB"/>
    </w:rPr>
  </w:style>
  <w:style w:type="paragraph" w:customStyle="1" w:styleId="ManualNumPar1">
    <w:name w:val="Manual NumPar 1"/>
    <w:basedOn w:val="Normal"/>
    <w:next w:val="Text1"/>
    <w:uiPriority w:val="99"/>
    <w:rsid w:val="00BE4672"/>
    <w:pPr>
      <w:autoSpaceDE w:val="0"/>
      <w:autoSpaceDN w:val="0"/>
      <w:adjustRightInd w:val="0"/>
      <w:spacing w:before="120" w:after="120" w:line="360" w:lineRule="auto"/>
      <w:ind w:left="850" w:hanging="850"/>
    </w:pPr>
    <w:rPr>
      <w:szCs w:val="22"/>
      <w:lang w:val="en-GB"/>
    </w:rPr>
  </w:style>
  <w:style w:type="paragraph" w:customStyle="1" w:styleId="ManualNumPar2">
    <w:name w:val="Manual NumPar 2"/>
    <w:basedOn w:val="Normal"/>
    <w:next w:val="Text1"/>
    <w:uiPriority w:val="99"/>
    <w:rsid w:val="00BE4672"/>
    <w:pPr>
      <w:autoSpaceDE w:val="0"/>
      <w:autoSpaceDN w:val="0"/>
      <w:adjustRightInd w:val="0"/>
      <w:spacing w:before="120" w:after="120" w:line="360" w:lineRule="auto"/>
      <w:ind w:left="850" w:hanging="850"/>
    </w:pPr>
    <w:rPr>
      <w:szCs w:val="22"/>
      <w:lang w:val="en-GB"/>
    </w:rPr>
  </w:style>
  <w:style w:type="paragraph" w:customStyle="1" w:styleId="ManualNumPar3">
    <w:name w:val="Manual NumPar 3"/>
    <w:basedOn w:val="Normal"/>
    <w:next w:val="Text1"/>
    <w:uiPriority w:val="99"/>
    <w:rsid w:val="00BE4672"/>
    <w:pPr>
      <w:autoSpaceDE w:val="0"/>
      <w:autoSpaceDN w:val="0"/>
      <w:adjustRightInd w:val="0"/>
      <w:spacing w:before="120" w:after="120" w:line="360" w:lineRule="auto"/>
      <w:ind w:left="850" w:hanging="850"/>
    </w:pPr>
    <w:rPr>
      <w:szCs w:val="22"/>
      <w:lang w:val="en-GB"/>
    </w:rPr>
  </w:style>
  <w:style w:type="paragraph" w:customStyle="1" w:styleId="ManualNumPar4">
    <w:name w:val="Manual NumPar 4"/>
    <w:basedOn w:val="Normal"/>
    <w:next w:val="Text1"/>
    <w:uiPriority w:val="99"/>
    <w:rsid w:val="00BE4672"/>
    <w:pPr>
      <w:autoSpaceDE w:val="0"/>
      <w:autoSpaceDN w:val="0"/>
      <w:adjustRightInd w:val="0"/>
      <w:spacing w:before="120" w:after="120" w:line="360" w:lineRule="auto"/>
      <w:ind w:left="850" w:hanging="850"/>
    </w:pPr>
    <w:rPr>
      <w:szCs w:val="22"/>
      <w:lang w:val="en-GB"/>
    </w:rPr>
  </w:style>
  <w:style w:type="paragraph" w:customStyle="1" w:styleId="QuotedNumPar">
    <w:name w:val="Quoted NumPar"/>
    <w:basedOn w:val="Normal"/>
    <w:uiPriority w:val="99"/>
    <w:rsid w:val="00BE4672"/>
    <w:pPr>
      <w:autoSpaceDE w:val="0"/>
      <w:autoSpaceDN w:val="0"/>
      <w:adjustRightInd w:val="0"/>
      <w:spacing w:before="120" w:after="120" w:line="360" w:lineRule="auto"/>
      <w:ind w:left="1417" w:hanging="567"/>
    </w:pPr>
    <w:rPr>
      <w:szCs w:val="22"/>
      <w:lang w:val="en-GB"/>
    </w:rPr>
  </w:style>
  <w:style w:type="paragraph" w:customStyle="1" w:styleId="ManualHeading1">
    <w:name w:val="Manual Heading 1"/>
    <w:basedOn w:val="Normal"/>
    <w:next w:val="Text1"/>
    <w:uiPriority w:val="99"/>
    <w:rsid w:val="00BE4672"/>
    <w:pPr>
      <w:keepNext/>
      <w:tabs>
        <w:tab w:val="left" w:pos="850"/>
      </w:tabs>
      <w:autoSpaceDE w:val="0"/>
      <w:autoSpaceDN w:val="0"/>
      <w:adjustRightInd w:val="0"/>
      <w:spacing w:before="360" w:after="120" w:line="360" w:lineRule="auto"/>
      <w:ind w:left="850" w:hanging="850"/>
      <w:outlineLvl w:val="0"/>
    </w:pPr>
    <w:rPr>
      <w:b/>
      <w:smallCaps/>
      <w:szCs w:val="22"/>
      <w:lang w:val="en-GB"/>
    </w:rPr>
  </w:style>
  <w:style w:type="paragraph" w:customStyle="1" w:styleId="ManualHeading2">
    <w:name w:val="Manual Heading 2"/>
    <w:basedOn w:val="Normal"/>
    <w:next w:val="Text1"/>
    <w:uiPriority w:val="99"/>
    <w:rsid w:val="00BE4672"/>
    <w:pPr>
      <w:keepNext/>
      <w:tabs>
        <w:tab w:val="left" w:pos="850"/>
      </w:tabs>
      <w:autoSpaceDE w:val="0"/>
      <w:autoSpaceDN w:val="0"/>
      <w:adjustRightInd w:val="0"/>
      <w:spacing w:before="120" w:after="120" w:line="360" w:lineRule="auto"/>
      <w:ind w:left="850" w:hanging="850"/>
      <w:outlineLvl w:val="1"/>
    </w:pPr>
    <w:rPr>
      <w:b/>
      <w:szCs w:val="22"/>
      <w:lang w:val="en-GB"/>
    </w:rPr>
  </w:style>
  <w:style w:type="paragraph" w:customStyle="1" w:styleId="ManualHeading3">
    <w:name w:val="Manual Heading 3"/>
    <w:basedOn w:val="Normal"/>
    <w:next w:val="Text1"/>
    <w:uiPriority w:val="99"/>
    <w:rsid w:val="00BE4672"/>
    <w:pPr>
      <w:keepNext/>
      <w:tabs>
        <w:tab w:val="left" w:pos="850"/>
      </w:tabs>
      <w:autoSpaceDE w:val="0"/>
      <w:autoSpaceDN w:val="0"/>
      <w:adjustRightInd w:val="0"/>
      <w:spacing w:before="120" w:after="120" w:line="360" w:lineRule="auto"/>
      <w:ind w:left="850" w:hanging="850"/>
      <w:outlineLvl w:val="2"/>
    </w:pPr>
    <w:rPr>
      <w:i/>
      <w:szCs w:val="22"/>
      <w:lang w:val="en-GB"/>
    </w:rPr>
  </w:style>
  <w:style w:type="paragraph" w:customStyle="1" w:styleId="ManualHeading4">
    <w:name w:val="Manual Heading 4"/>
    <w:basedOn w:val="Normal"/>
    <w:next w:val="Text1"/>
    <w:uiPriority w:val="99"/>
    <w:rsid w:val="00BE4672"/>
    <w:pPr>
      <w:keepNext/>
      <w:tabs>
        <w:tab w:val="left" w:pos="850"/>
      </w:tabs>
      <w:autoSpaceDE w:val="0"/>
      <w:autoSpaceDN w:val="0"/>
      <w:adjustRightInd w:val="0"/>
      <w:spacing w:before="120" w:after="120" w:line="360" w:lineRule="auto"/>
      <w:ind w:left="850" w:hanging="850"/>
      <w:outlineLvl w:val="3"/>
    </w:pPr>
    <w:rPr>
      <w:szCs w:val="22"/>
      <w:lang w:val="en-GB"/>
    </w:rPr>
  </w:style>
  <w:style w:type="paragraph" w:customStyle="1" w:styleId="ChapterTitle">
    <w:name w:val="ChapterTitle"/>
    <w:basedOn w:val="Normal"/>
    <w:next w:val="Normal"/>
    <w:uiPriority w:val="99"/>
    <w:rsid w:val="00BE4672"/>
    <w:pPr>
      <w:keepNext/>
      <w:autoSpaceDE w:val="0"/>
      <w:autoSpaceDN w:val="0"/>
      <w:adjustRightInd w:val="0"/>
      <w:spacing w:before="120" w:after="360" w:line="360" w:lineRule="auto"/>
      <w:jc w:val="center"/>
    </w:pPr>
    <w:rPr>
      <w:b/>
      <w:sz w:val="32"/>
      <w:szCs w:val="22"/>
      <w:lang w:val="en-GB"/>
    </w:rPr>
  </w:style>
  <w:style w:type="paragraph" w:customStyle="1" w:styleId="PartTitle">
    <w:name w:val="PartTitle"/>
    <w:basedOn w:val="Normal"/>
    <w:next w:val="ChapterTitle"/>
    <w:uiPriority w:val="99"/>
    <w:rsid w:val="00BE4672"/>
    <w:pPr>
      <w:keepNext/>
      <w:pageBreakBefore/>
      <w:autoSpaceDE w:val="0"/>
      <w:autoSpaceDN w:val="0"/>
      <w:adjustRightInd w:val="0"/>
      <w:spacing w:before="120" w:after="360" w:line="360" w:lineRule="auto"/>
      <w:jc w:val="center"/>
    </w:pPr>
    <w:rPr>
      <w:b/>
      <w:sz w:val="36"/>
      <w:szCs w:val="22"/>
      <w:lang w:val="en-GB"/>
    </w:rPr>
  </w:style>
  <w:style w:type="paragraph" w:customStyle="1" w:styleId="SectionTitle0">
    <w:name w:val="SectionTitle_0"/>
    <w:basedOn w:val="Normal"/>
    <w:next w:val="Heading1"/>
    <w:uiPriority w:val="99"/>
    <w:rsid w:val="00BE4672"/>
    <w:pPr>
      <w:keepNext/>
      <w:autoSpaceDE w:val="0"/>
      <w:autoSpaceDN w:val="0"/>
      <w:adjustRightInd w:val="0"/>
      <w:spacing w:before="120" w:after="360" w:line="360" w:lineRule="auto"/>
      <w:jc w:val="center"/>
    </w:pPr>
    <w:rPr>
      <w:b/>
      <w:smallCaps/>
      <w:sz w:val="28"/>
      <w:szCs w:val="22"/>
      <w:lang w:val="en-GB"/>
    </w:rPr>
  </w:style>
  <w:style w:type="paragraph" w:customStyle="1" w:styleId="TableTitle">
    <w:name w:val="Table Title"/>
    <w:basedOn w:val="Normal"/>
    <w:next w:val="Normal"/>
    <w:uiPriority w:val="99"/>
    <w:rsid w:val="00BE4672"/>
    <w:pPr>
      <w:autoSpaceDE w:val="0"/>
      <w:autoSpaceDN w:val="0"/>
      <w:adjustRightInd w:val="0"/>
      <w:spacing w:before="120" w:after="120" w:line="360" w:lineRule="auto"/>
      <w:jc w:val="center"/>
    </w:pPr>
    <w:rPr>
      <w:b/>
      <w:szCs w:val="22"/>
      <w:lang w:val="en-GB"/>
    </w:rPr>
  </w:style>
  <w:style w:type="character" w:customStyle="1" w:styleId="Marker2">
    <w:name w:val="Marker2"/>
    <w:rsid w:val="00BE4672"/>
    <w:rPr>
      <w:color w:val="FF0000"/>
      <w:shd w:val="clear" w:color="auto" w:fill="auto"/>
    </w:rPr>
  </w:style>
  <w:style w:type="paragraph" w:customStyle="1" w:styleId="Point0number">
    <w:name w:val="Point 0 (number)"/>
    <w:basedOn w:val="Normal"/>
    <w:uiPriority w:val="99"/>
    <w:rsid w:val="00BE4672"/>
    <w:pPr>
      <w:numPr>
        <w:numId w:val="8"/>
      </w:numPr>
      <w:tabs>
        <w:tab w:val="left" w:pos="850"/>
        <w:tab w:val="num" w:pos="1800"/>
      </w:tabs>
      <w:autoSpaceDE w:val="0"/>
      <w:autoSpaceDN w:val="0"/>
      <w:adjustRightInd w:val="0"/>
      <w:spacing w:before="120" w:after="120" w:line="360" w:lineRule="auto"/>
      <w:ind w:left="1800" w:hanging="360"/>
    </w:pPr>
    <w:rPr>
      <w:szCs w:val="22"/>
      <w:lang w:val="en-GB"/>
    </w:rPr>
  </w:style>
  <w:style w:type="paragraph" w:customStyle="1" w:styleId="Point1number">
    <w:name w:val="Point 1 (number)"/>
    <w:basedOn w:val="Normal"/>
    <w:uiPriority w:val="99"/>
    <w:rsid w:val="00BE4672"/>
    <w:pPr>
      <w:numPr>
        <w:ilvl w:val="2"/>
        <w:numId w:val="8"/>
      </w:numPr>
      <w:tabs>
        <w:tab w:val="left" w:pos="1417"/>
        <w:tab w:val="num" w:pos="1800"/>
      </w:tabs>
      <w:autoSpaceDE w:val="0"/>
      <w:autoSpaceDN w:val="0"/>
      <w:adjustRightInd w:val="0"/>
      <w:spacing w:before="120" w:after="120" w:line="360" w:lineRule="auto"/>
      <w:ind w:left="1800" w:hanging="360"/>
    </w:pPr>
    <w:rPr>
      <w:szCs w:val="22"/>
      <w:lang w:val="en-GB"/>
    </w:rPr>
  </w:style>
  <w:style w:type="paragraph" w:customStyle="1" w:styleId="Point2number">
    <w:name w:val="Point 2 (number)"/>
    <w:basedOn w:val="Normal"/>
    <w:uiPriority w:val="99"/>
    <w:rsid w:val="00BE4672"/>
    <w:pPr>
      <w:numPr>
        <w:ilvl w:val="4"/>
        <w:numId w:val="8"/>
      </w:numPr>
      <w:tabs>
        <w:tab w:val="num" w:pos="1800"/>
        <w:tab w:val="left" w:pos="1984"/>
      </w:tabs>
      <w:autoSpaceDE w:val="0"/>
      <w:autoSpaceDN w:val="0"/>
      <w:adjustRightInd w:val="0"/>
      <w:spacing w:before="120" w:after="120" w:line="360" w:lineRule="auto"/>
      <w:ind w:left="1800" w:hanging="360"/>
    </w:pPr>
    <w:rPr>
      <w:szCs w:val="22"/>
      <w:lang w:val="en-GB"/>
    </w:rPr>
  </w:style>
  <w:style w:type="paragraph" w:customStyle="1" w:styleId="Point3number">
    <w:name w:val="Point 3 (number)"/>
    <w:basedOn w:val="Normal"/>
    <w:uiPriority w:val="99"/>
    <w:rsid w:val="00BE4672"/>
    <w:pPr>
      <w:numPr>
        <w:ilvl w:val="6"/>
        <w:numId w:val="8"/>
      </w:numPr>
      <w:tabs>
        <w:tab w:val="num" w:pos="1800"/>
        <w:tab w:val="left" w:pos="2551"/>
      </w:tabs>
      <w:autoSpaceDE w:val="0"/>
      <w:autoSpaceDN w:val="0"/>
      <w:adjustRightInd w:val="0"/>
      <w:spacing w:before="120" w:after="120" w:line="360" w:lineRule="auto"/>
      <w:ind w:left="1800" w:hanging="360"/>
    </w:pPr>
    <w:rPr>
      <w:szCs w:val="22"/>
      <w:lang w:val="en-GB"/>
    </w:rPr>
  </w:style>
  <w:style w:type="paragraph" w:customStyle="1" w:styleId="Point0letter">
    <w:name w:val="Point 0 (letter)"/>
    <w:basedOn w:val="Normal"/>
    <w:uiPriority w:val="99"/>
    <w:rsid w:val="00BE4672"/>
    <w:pPr>
      <w:numPr>
        <w:ilvl w:val="1"/>
        <w:numId w:val="8"/>
      </w:numPr>
      <w:tabs>
        <w:tab w:val="left" w:pos="850"/>
        <w:tab w:val="num" w:pos="1800"/>
      </w:tabs>
      <w:autoSpaceDE w:val="0"/>
      <w:autoSpaceDN w:val="0"/>
      <w:adjustRightInd w:val="0"/>
      <w:spacing w:before="120" w:after="120" w:line="360" w:lineRule="auto"/>
      <w:ind w:left="1800" w:hanging="360"/>
    </w:pPr>
    <w:rPr>
      <w:szCs w:val="22"/>
      <w:lang w:val="en-GB"/>
    </w:rPr>
  </w:style>
  <w:style w:type="paragraph" w:customStyle="1" w:styleId="Point1letter">
    <w:name w:val="Point 1 (letter)"/>
    <w:basedOn w:val="Normal"/>
    <w:uiPriority w:val="99"/>
    <w:rsid w:val="00BE4672"/>
    <w:pPr>
      <w:numPr>
        <w:ilvl w:val="3"/>
        <w:numId w:val="8"/>
      </w:numPr>
      <w:tabs>
        <w:tab w:val="left" w:pos="1417"/>
        <w:tab w:val="num" w:pos="1800"/>
      </w:tabs>
      <w:autoSpaceDE w:val="0"/>
      <w:autoSpaceDN w:val="0"/>
      <w:adjustRightInd w:val="0"/>
      <w:spacing w:before="120" w:after="120" w:line="360" w:lineRule="auto"/>
      <w:ind w:left="1800" w:hanging="360"/>
    </w:pPr>
    <w:rPr>
      <w:szCs w:val="22"/>
      <w:lang w:val="en-GB"/>
    </w:rPr>
  </w:style>
  <w:style w:type="paragraph" w:customStyle="1" w:styleId="Point2letter">
    <w:name w:val="Point 2 (letter)"/>
    <w:basedOn w:val="Normal"/>
    <w:uiPriority w:val="99"/>
    <w:rsid w:val="00BE4672"/>
    <w:pPr>
      <w:numPr>
        <w:ilvl w:val="5"/>
        <w:numId w:val="8"/>
      </w:numPr>
      <w:tabs>
        <w:tab w:val="num" w:pos="1800"/>
        <w:tab w:val="left" w:pos="1984"/>
      </w:tabs>
      <w:autoSpaceDE w:val="0"/>
      <w:autoSpaceDN w:val="0"/>
      <w:adjustRightInd w:val="0"/>
      <w:spacing w:before="120" w:after="120" w:line="360" w:lineRule="auto"/>
      <w:ind w:left="1800" w:hanging="360"/>
    </w:pPr>
    <w:rPr>
      <w:szCs w:val="22"/>
      <w:lang w:val="en-GB"/>
    </w:rPr>
  </w:style>
  <w:style w:type="paragraph" w:customStyle="1" w:styleId="Point3letter">
    <w:name w:val="Point 3 (letter)"/>
    <w:basedOn w:val="Normal"/>
    <w:uiPriority w:val="99"/>
    <w:rsid w:val="00BE4672"/>
    <w:pPr>
      <w:numPr>
        <w:ilvl w:val="7"/>
        <w:numId w:val="8"/>
      </w:numPr>
      <w:tabs>
        <w:tab w:val="num" w:pos="1800"/>
        <w:tab w:val="left" w:pos="2551"/>
      </w:tabs>
      <w:autoSpaceDE w:val="0"/>
      <w:autoSpaceDN w:val="0"/>
      <w:adjustRightInd w:val="0"/>
      <w:spacing w:before="120" w:after="120" w:line="360" w:lineRule="auto"/>
      <w:ind w:left="1800" w:hanging="360"/>
    </w:pPr>
    <w:rPr>
      <w:szCs w:val="22"/>
      <w:lang w:val="en-GB"/>
    </w:rPr>
  </w:style>
  <w:style w:type="paragraph" w:customStyle="1" w:styleId="Point4letter">
    <w:name w:val="Point 4 (letter)"/>
    <w:basedOn w:val="Normal"/>
    <w:uiPriority w:val="99"/>
    <w:rsid w:val="00BE4672"/>
    <w:pPr>
      <w:numPr>
        <w:ilvl w:val="8"/>
        <w:numId w:val="8"/>
      </w:numPr>
      <w:tabs>
        <w:tab w:val="num" w:pos="1800"/>
        <w:tab w:val="left" w:pos="3118"/>
      </w:tabs>
      <w:autoSpaceDE w:val="0"/>
      <w:autoSpaceDN w:val="0"/>
      <w:adjustRightInd w:val="0"/>
      <w:spacing w:before="120" w:after="120" w:line="360" w:lineRule="auto"/>
      <w:ind w:left="1800" w:hanging="360"/>
    </w:pPr>
    <w:rPr>
      <w:szCs w:val="22"/>
      <w:lang w:val="en-GB"/>
    </w:rPr>
  </w:style>
  <w:style w:type="paragraph" w:customStyle="1" w:styleId="Bullet0">
    <w:name w:val="Bullet 0"/>
    <w:basedOn w:val="Normal"/>
    <w:uiPriority w:val="99"/>
    <w:rsid w:val="00BE4672"/>
    <w:pPr>
      <w:numPr>
        <w:numId w:val="9"/>
      </w:numPr>
      <w:tabs>
        <w:tab w:val="left" w:pos="850"/>
        <w:tab w:val="num" w:pos="1800"/>
      </w:tabs>
      <w:autoSpaceDE w:val="0"/>
      <w:autoSpaceDN w:val="0"/>
      <w:adjustRightInd w:val="0"/>
      <w:spacing w:before="120" w:after="120" w:line="360" w:lineRule="auto"/>
      <w:ind w:left="1800" w:hanging="360"/>
    </w:pPr>
    <w:rPr>
      <w:szCs w:val="22"/>
      <w:lang w:val="en-GB"/>
    </w:rPr>
  </w:style>
  <w:style w:type="paragraph" w:customStyle="1" w:styleId="Nomdelinstitution">
    <w:name w:val="Nom de l'institution"/>
    <w:basedOn w:val="Normal"/>
    <w:next w:val="Emission"/>
    <w:uiPriority w:val="99"/>
    <w:rsid w:val="00BE4672"/>
    <w:pPr>
      <w:autoSpaceDE w:val="0"/>
      <w:autoSpaceDN w:val="0"/>
      <w:adjustRightInd w:val="0"/>
      <w:spacing w:line="360" w:lineRule="auto"/>
    </w:pPr>
    <w:rPr>
      <w:rFonts w:ascii="Arial" w:hAnsi="Arial" w:cs="Arial"/>
      <w:szCs w:val="22"/>
      <w:lang w:val="en-GB"/>
    </w:rPr>
  </w:style>
  <w:style w:type="paragraph" w:customStyle="1" w:styleId="Emission">
    <w:name w:val="Emission"/>
    <w:basedOn w:val="Normal"/>
    <w:next w:val="Rfrenceinstitutionnelle"/>
    <w:uiPriority w:val="99"/>
    <w:rsid w:val="00BE4672"/>
    <w:pPr>
      <w:autoSpaceDE w:val="0"/>
      <w:autoSpaceDN w:val="0"/>
      <w:adjustRightInd w:val="0"/>
      <w:spacing w:line="360" w:lineRule="auto"/>
      <w:ind w:left="5103"/>
    </w:pPr>
    <w:rPr>
      <w:szCs w:val="22"/>
      <w:lang w:val="en-GB"/>
    </w:rPr>
  </w:style>
  <w:style w:type="paragraph" w:customStyle="1" w:styleId="Rfrenceinstitutionnelle">
    <w:name w:val="Référence institutionnelle"/>
    <w:basedOn w:val="Normal"/>
    <w:next w:val="Confidentialit"/>
    <w:uiPriority w:val="99"/>
    <w:rsid w:val="00BE4672"/>
    <w:pPr>
      <w:autoSpaceDE w:val="0"/>
      <w:autoSpaceDN w:val="0"/>
      <w:adjustRightInd w:val="0"/>
      <w:spacing w:after="240" w:line="360" w:lineRule="auto"/>
      <w:ind w:left="5103"/>
    </w:pPr>
    <w:rPr>
      <w:szCs w:val="22"/>
      <w:lang w:val="en-GB"/>
    </w:rPr>
  </w:style>
  <w:style w:type="paragraph" w:customStyle="1" w:styleId="Declassification">
    <w:name w:val="Declassification"/>
    <w:basedOn w:val="Normal"/>
    <w:next w:val="Normal"/>
    <w:uiPriority w:val="99"/>
    <w:rsid w:val="00BE4672"/>
    <w:pPr>
      <w:autoSpaceDE w:val="0"/>
      <w:autoSpaceDN w:val="0"/>
      <w:adjustRightInd w:val="0"/>
      <w:spacing w:line="360" w:lineRule="auto"/>
    </w:pPr>
    <w:rPr>
      <w:szCs w:val="22"/>
      <w:lang w:val="en-GB"/>
    </w:rPr>
  </w:style>
  <w:style w:type="paragraph" w:customStyle="1" w:styleId="Disclaimer">
    <w:name w:val="Disclaimer"/>
    <w:basedOn w:val="Normal"/>
    <w:uiPriority w:val="99"/>
    <w:rsid w:val="00BE4672"/>
    <w:pPr>
      <w:framePr w:w="8220" w:wrap="notBeside" w:hAnchor="margin" w:xAlign="center" w:y="10402"/>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before="120" w:after="120" w:line="360" w:lineRule="auto"/>
    </w:pPr>
    <w:rPr>
      <w:szCs w:val="22"/>
      <w:lang w:val="en-GB"/>
    </w:rPr>
  </w:style>
  <w:style w:type="paragraph" w:customStyle="1" w:styleId="Annexetitre">
    <w:name w:val="Annexe titre"/>
    <w:basedOn w:val="Normal"/>
    <w:next w:val="Normal"/>
    <w:uiPriority w:val="99"/>
    <w:rsid w:val="00BE4672"/>
    <w:pPr>
      <w:autoSpaceDE w:val="0"/>
      <w:autoSpaceDN w:val="0"/>
      <w:adjustRightInd w:val="0"/>
      <w:spacing w:before="120" w:after="120" w:line="360" w:lineRule="auto"/>
      <w:jc w:val="center"/>
    </w:pPr>
    <w:rPr>
      <w:b/>
      <w:szCs w:val="22"/>
      <w:u w:val="single"/>
      <w:lang w:val="en-GB"/>
    </w:rPr>
  </w:style>
  <w:style w:type="paragraph" w:customStyle="1" w:styleId="Applicationdirecte">
    <w:name w:val="Application directe"/>
    <w:basedOn w:val="Normal"/>
    <w:next w:val="Fait"/>
    <w:uiPriority w:val="99"/>
    <w:rsid w:val="00BE4672"/>
    <w:pPr>
      <w:autoSpaceDE w:val="0"/>
      <w:autoSpaceDN w:val="0"/>
      <w:adjustRightInd w:val="0"/>
      <w:spacing w:before="480" w:after="120" w:line="360" w:lineRule="auto"/>
    </w:pPr>
    <w:rPr>
      <w:szCs w:val="22"/>
      <w:lang w:val="en-GB"/>
    </w:rPr>
  </w:style>
  <w:style w:type="paragraph" w:customStyle="1" w:styleId="Avertissementtitre">
    <w:name w:val="Avertissement titre"/>
    <w:basedOn w:val="Normal"/>
    <w:next w:val="Normal"/>
    <w:uiPriority w:val="99"/>
    <w:rsid w:val="00BE4672"/>
    <w:pPr>
      <w:keepNext/>
      <w:autoSpaceDE w:val="0"/>
      <w:autoSpaceDN w:val="0"/>
      <w:adjustRightInd w:val="0"/>
      <w:spacing w:before="480" w:after="120" w:line="360" w:lineRule="auto"/>
    </w:pPr>
    <w:rPr>
      <w:szCs w:val="22"/>
      <w:u w:val="single"/>
      <w:lang w:val="en-GB"/>
    </w:rPr>
  </w:style>
  <w:style w:type="paragraph" w:customStyle="1" w:styleId="Confidence">
    <w:name w:val="Confidence"/>
    <w:basedOn w:val="Normal"/>
    <w:next w:val="Normal"/>
    <w:uiPriority w:val="99"/>
    <w:rsid w:val="00BE4672"/>
    <w:pPr>
      <w:autoSpaceDE w:val="0"/>
      <w:autoSpaceDN w:val="0"/>
      <w:adjustRightInd w:val="0"/>
      <w:spacing w:before="360" w:after="120" w:line="360" w:lineRule="auto"/>
      <w:jc w:val="center"/>
    </w:pPr>
    <w:rPr>
      <w:szCs w:val="22"/>
      <w:lang w:val="en-GB"/>
    </w:rPr>
  </w:style>
  <w:style w:type="paragraph" w:customStyle="1" w:styleId="Confidentialit">
    <w:name w:val="Confidentialité"/>
    <w:basedOn w:val="Normal"/>
    <w:next w:val="Normal"/>
    <w:uiPriority w:val="99"/>
    <w:rsid w:val="00BE4672"/>
    <w:pPr>
      <w:autoSpaceDE w:val="0"/>
      <w:autoSpaceDN w:val="0"/>
      <w:adjustRightInd w:val="0"/>
      <w:spacing w:before="240" w:after="240" w:line="360" w:lineRule="auto"/>
      <w:ind w:left="5103"/>
    </w:pPr>
    <w:rPr>
      <w:i/>
      <w:sz w:val="32"/>
      <w:szCs w:val="22"/>
      <w:lang w:val="en-GB"/>
    </w:rPr>
  </w:style>
  <w:style w:type="paragraph" w:customStyle="1" w:styleId="Considrant">
    <w:name w:val="Considérant"/>
    <w:basedOn w:val="Normal"/>
    <w:uiPriority w:val="99"/>
    <w:rsid w:val="00BE4672"/>
    <w:pPr>
      <w:numPr>
        <w:numId w:val="10"/>
      </w:numPr>
      <w:tabs>
        <w:tab w:val="num" w:pos="360"/>
        <w:tab w:val="left" w:pos="709"/>
      </w:tabs>
      <w:autoSpaceDE w:val="0"/>
      <w:autoSpaceDN w:val="0"/>
      <w:adjustRightInd w:val="0"/>
      <w:spacing w:before="120" w:after="120" w:line="360" w:lineRule="auto"/>
      <w:ind w:left="360" w:hanging="360"/>
    </w:pPr>
    <w:rPr>
      <w:szCs w:val="22"/>
      <w:lang w:val="en-GB"/>
    </w:rPr>
  </w:style>
  <w:style w:type="paragraph" w:customStyle="1" w:styleId="Datedadoption">
    <w:name w:val="Date d'adoption"/>
    <w:basedOn w:val="Normal"/>
    <w:next w:val="Titreobjet"/>
    <w:uiPriority w:val="99"/>
    <w:rsid w:val="00BE4672"/>
    <w:pPr>
      <w:autoSpaceDE w:val="0"/>
      <w:autoSpaceDN w:val="0"/>
      <w:adjustRightInd w:val="0"/>
      <w:spacing w:before="360" w:line="360" w:lineRule="auto"/>
      <w:jc w:val="center"/>
    </w:pPr>
    <w:rPr>
      <w:b/>
      <w:szCs w:val="22"/>
      <w:lang w:val="en-GB"/>
    </w:rPr>
  </w:style>
  <w:style w:type="paragraph" w:customStyle="1" w:styleId="Fait">
    <w:name w:val="Fait à"/>
    <w:basedOn w:val="Normal"/>
    <w:next w:val="Institutionquisigne"/>
    <w:uiPriority w:val="99"/>
    <w:rsid w:val="00BE4672"/>
    <w:pPr>
      <w:keepNext/>
      <w:autoSpaceDE w:val="0"/>
      <w:autoSpaceDN w:val="0"/>
      <w:adjustRightInd w:val="0"/>
      <w:spacing w:before="120" w:line="360" w:lineRule="auto"/>
    </w:pPr>
    <w:rPr>
      <w:szCs w:val="22"/>
      <w:lang w:val="en-GB"/>
    </w:rPr>
  </w:style>
  <w:style w:type="paragraph" w:customStyle="1" w:styleId="Formuledadoption">
    <w:name w:val="Formule d'adoption"/>
    <w:basedOn w:val="Normal"/>
    <w:next w:val="Titrearticle"/>
    <w:uiPriority w:val="99"/>
    <w:rsid w:val="00BE4672"/>
    <w:pPr>
      <w:keepNext/>
      <w:autoSpaceDE w:val="0"/>
      <w:autoSpaceDN w:val="0"/>
      <w:adjustRightInd w:val="0"/>
      <w:spacing w:before="120" w:after="120" w:line="360" w:lineRule="auto"/>
    </w:pPr>
    <w:rPr>
      <w:szCs w:val="22"/>
      <w:lang w:val="en-GB"/>
    </w:rPr>
  </w:style>
  <w:style w:type="paragraph" w:customStyle="1" w:styleId="Institutionquiagit">
    <w:name w:val="Institution qui agit"/>
    <w:basedOn w:val="Normal"/>
    <w:next w:val="Normal"/>
    <w:uiPriority w:val="99"/>
    <w:rsid w:val="00BE4672"/>
    <w:pPr>
      <w:keepNext/>
      <w:autoSpaceDE w:val="0"/>
      <w:autoSpaceDN w:val="0"/>
      <w:adjustRightInd w:val="0"/>
      <w:spacing w:before="600" w:after="120" w:line="360" w:lineRule="auto"/>
    </w:pPr>
    <w:rPr>
      <w:szCs w:val="22"/>
      <w:lang w:val="en-GB"/>
    </w:rPr>
  </w:style>
  <w:style w:type="paragraph" w:customStyle="1" w:styleId="Institutionquisigne">
    <w:name w:val="Institution qui signe"/>
    <w:basedOn w:val="Normal"/>
    <w:next w:val="Personnequisigne"/>
    <w:uiPriority w:val="99"/>
    <w:rsid w:val="00BE4672"/>
    <w:pPr>
      <w:keepNext/>
      <w:tabs>
        <w:tab w:val="left" w:pos="4252"/>
      </w:tabs>
      <w:autoSpaceDE w:val="0"/>
      <w:autoSpaceDN w:val="0"/>
      <w:adjustRightInd w:val="0"/>
      <w:spacing w:before="720" w:line="360" w:lineRule="auto"/>
    </w:pPr>
    <w:rPr>
      <w:i/>
      <w:szCs w:val="22"/>
      <w:lang w:val="en-GB"/>
    </w:rPr>
  </w:style>
  <w:style w:type="paragraph" w:customStyle="1" w:styleId="ManualConsidrant">
    <w:name w:val="Manual Considérant"/>
    <w:basedOn w:val="Normal"/>
    <w:uiPriority w:val="99"/>
    <w:rsid w:val="00BE4672"/>
    <w:pPr>
      <w:autoSpaceDE w:val="0"/>
      <w:autoSpaceDN w:val="0"/>
      <w:adjustRightInd w:val="0"/>
      <w:spacing w:before="120" w:after="120" w:line="360" w:lineRule="auto"/>
      <w:ind w:left="709" w:hanging="709"/>
    </w:pPr>
    <w:rPr>
      <w:szCs w:val="22"/>
      <w:lang w:val="en-GB"/>
    </w:rPr>
  </w:style>
  <w:style w:type="paragraph" w:customStyle="1" w:styleId="Personnequisigne">
    <w:name w:val="Personne qui signe"/>
    <w:basedOn w:val="Normal"/>
    <w:next w:val="Institutionquisigne"/>
    <w:uiPriority w:val="99"/>
    <w:rsid w:val="00BE4672"/>
    <w:pPr>
      <w:tabs>
        <w:tab w:val="left" w:pos="4252"/>
      </w:tabs>
      <w:autoSpaceDE w:val="0"/>
      <w:autoSpaceDN w:val="0"/>
      <w:adjustRightInd w:val="0"/>
      <w:spacing w:line="360" w:lineRule="auto"/>
    </w:pPr>
    <w:rPr>
      <w:i/>
      <w:szCs w:val="22"/>
      <w:lang w:val="en-GB"/>
    </w:rPr>
  </w:style>
  <w:style w:type="paragraph" w:customStyle="1" w:styleId="Rfrenceinterinstitutionnelle">
    <w:name w:val="Référence interinstitutionnelle"/>
    <w:basedOn w:val="Normal"/>
    <w:next w:val="Statut"/>
    <w:uiPriority w:val="99"/>
    <w:rsid w:val="00BE4672"/>
    <w:pPr>
      <w:autoSpaceDE w:val="0"/>
      <w:autoSpaceDN w:val="0"/>
      <w:adjustRightInd w:val="0"/>
      <w:spacing w:line="360" w:lineRule="auto"/>
      <w:ind w:left="5103"/>
    </w:pPr>
    <w:rPr>
      <w:szCs w:val="22"/>
      <w:lang w:val="en-GB"/>
    </w:rPr>
  </w:style>
  <w:style w:type="paragraph" w:customStyle="1" w:styleId="Statut">
    <w:name w:val="Statut"/>
    <w:basedOn w:val="Normal"/>
    <w:next w:val="Typedudocument"/>
    <w:uiPriority w:val="99"/>
    <w:rsid w:val="00BE4672"/>
    <w:pPr>
      <w:autoSpaceDE w:val="0"/>
      <w:autoSpaceDN w:val="0"/>
      <w:adjustRightInd w:val="0"/>
      <w:spacing w:before="360" w:line="360" w:lineRule="auto"/>
      <w:jc w:val="center"/>
    </w:pPr>
    <w:rPr>
      <w:szCs w:val="22"/>
      <w:lang w:val="en-GB"/>
    </w:rPr>
  </w:style>
  <w:style w:type="paragraph" w:customStyle="1" w:styleId="Titrearticle">
    <w:name w:val="Titre article"/>
    <w:basedOn w:val="Normal"/>
    <w:next w:val="Normal"/>
    <w:uiPriority w:val="99"/>
    <w:rsid w:val="00BE4672"/>
    <w:pPr>
      <w:keepNext/>
      <w:autoSpaceDE w:val="0"/>
      <w:autoSpaceDN w:val="0"/>
      <w:adjustRightInd w:val="0"/>
      <w:spacing w:before="360" w:after="120" w:line="360" w:lineRule="auto"/>
      <w:jc w:val="center"/>
    </w:pPr>
    <w:rPr>
      <w:i/>
      <w:szCs w:val="22"/>
      <w:lang w:val="en-GB"/>
    </w:rPr>
  </w:style>
  <w:style w:type="paragraph" w:customStyle="1" w:styleId="Titreobjet">
    <w:name w:val="Titre objet"/>
    <w:basedOn w:val="Normal"/>
    <w:next w:val="IntrtEEE"/>
    <w:uiPriority w:val="99"/>
    <w:rsid w:val="00BE4672"/>
    <w:pPr>
      <w:autoSpaceDE w:val="0"/>
      <w:autoSpaceDN w:val="0"/>
      <w:adjustRightInd w:val="0"/>
      <w:spacing w:before="360" w:after="360" w:line="360" w:lineRule="auto"/>
      <w:jc w:val="center"/>
    </w:pPr>
    <w:rPr>
      <w:b/>
      <w:szCs w:val="22"/>
      <w:lang w:val="en-GB"/>
    </w:rPr>
  </w:style>
  <w:style w:type="paragraph" w:customStyle="1" w:styleId="Typedudocument">
    <w:name w:val="Type du document"/>
    <w:basedOn w:val="Normal"/>
    <w:next w:val="Titreobjet"/>
    <w:uiPriority w:val="99"/>
    <w:rsid w:val="00BE4672"/>
    <w:pPr>
      <w:autoSpaceDE w:val="0"/>
      <w:autoSpaceDN w:val="0"/>
      <w:adjustRightInd w:val="0"/>
      <w:spacing w:before="360" w:line="360" w:lineRule="auto"/>
      <w:jc w:val="center"/>
    </w:pPr>
    <w:rPr>
      <w:b/>
      <w:szCs w:val="22"/>
      <w:lang w:val="en-GB"/>
    </w:rPr>
  </w:style>
  <w:style w:type="character" w:customStyle="1" w:styleId="Added0">
    <w:name w:val="Added"/>
    <w:rsid w:val="00BE4672"/>
    <w:rPr>
      <w:b/>
      <w:u w:val="single"/>
      <w:shd w:val="clear" w:color="auto" w:fill="auto"/>
    </w:rPr>
  </w:style>
  <w:style w:type="character" w:customStyle="1" w:styleId="Deleted">
    <w:name w:val="Deleted"/>
    <w:rsid w:val="00BE4672"/>
    <w:rPr>
      <w:strike/>
      <w:shd w:val="clear" w:color="auto" w:fill="auto"/>
    </w:rPr>
  </w:style>
  <w:style w:type="paragraph" w:customStyle="1" w:styleId="Address">
    <w:name w:val="Address"/>
    <w:basedOn w:val="Normal"/>
    <w:next w:val="Normal"/>
    <w:uiPriority w:val="99"/>
    <w:rsid w:val="00BE4672"/>
    <w:pPr>
      <w:keepLines/>
      <w:autoSpaceDE w:val="0"/>
      <w:autoSpaceDN w:val="0"/>
      <w:adjustRightInd w:val="0"/>
      <w:spacing w:before="120" w:after="120" w:line="360" w:lineRule="auto"/>
      <w:ind w:left="3402"/>
    </w:pPr>
    <w:rPr>
      <w:szCs w:val="22"/>
      <w:lang w:val="en-GB"/>
    </w:rPr>
  </w:style>
  <w:style w:type="paragraph" w:customStyle="1" w:styleId="Objetexterne">
    <w:name w:val="Objet externe"/>
    <w:basedOn w:val="Normal"/>
    <w:next w:val="Normal"/>
    <w:uiPriority w:val="99"/>
    <w:rsid w:val="00BE4672"/>
    <w:pPr>
      <w:autoSpaceDE w:val="0"/>
      <w:autoSpaceDN w:val="0"/>
      <w:adjustRightInd w:val="0"/>
      <w:spacing w:before="120" w:after="120" w:line="360" w:lineRule="auto"/>
    </w:pPr>
    <w:rPr>
      <w:i/>
      <w:caps/>
      <w:szCs w:val="22"/>
      <w:lang w:val="en-GB"/>
    </w:rPr>
  </w:style>
  <w:style w:type="paragraph" w:customStyle="1" w:styleId="IntrtEEE">
    <w:name w:val="Intérêt EEE"/>
    <w:basedOn w:val="Normal"/>
    <w:next w:val="Normal"/>
    <w:uiPriority w:val="99"/>
    <w:rsid w:val="00BE4672"/>
    <w:pPr>
      <w:autoSpaceDE w:val="0"/>
      <w:autoSpaceDN w:val="0"/>
      <w:adjustRightInd w:val="0"/>
      <w:spacing w:before="360" w:after="240" w:line="360" w:lineRule="auto"/>
      <w:jc w:val="center"/>
    </w:pPr>
    <w:rPr>
      <w:szCs w:val="22"/>
      <w:lang w:val="en-GB"/>
    </w:rPr>
  </w:style>
  <w:style w:type="paragraph" w:customStyle="1" w:styleId="HeaderCouncilLarge">
    <w:name w:val="Header Council Large"/>
    <w:basedOn w:val="Normal"/>
    <w:rsid w:val="00BE4672"/>
    <w:pPr>
      <w:autoSpaceDE w:val="0"/>
      <w:autoSpaceDN w:val="0"/>
      <w:adjustRightInd w:val="0"/>
      <w:spacing w:after="440" w:line="360" w:lineRule="auto"/>
      <w:ind w:left="-1134" w:right="-1134"/>
    </w:pPr>
    <w:rPr>
      <w:sz w:val="2"/>
      <w:szCs w:val="22"/>
      <w:lang w:val="en-GB"/>
    </w:rPr>
  </w:style>
  <w:style w:type="character" w:customStyle="1" w:styleId="TechnicalBlockChar">
    <w:name w:val="Technical Block Char"/>
    <w:rsid w:val="00BE4672"/>
    <w:rPr>
      <w:rFonts w:ascii="Times New Roman" w:hAnsi="Times New Roman" w:cs="Times New Roman"/>
      <w:sz w:val="24"/>
      <w:lang w:val="en-GB"/>
    </w:rPr>
  </w:style>
  <w:style w:type="character" w:customStyle="1" w:styleId="HeaderCouncilLargeChar">
    <w:name w:val="Header Council Large Char"/>
    <w:rsid w:val="00BE4672"/>
    <w:rPr>
      <w:rFonts w:ascii="Times New Roman" w:hAnsi="Times New Roman" w:cs="Times New Roman"/>
      <w:sz w:val="2"/>
      <w:lang w:val="en-GB"/>
    </w:rPr>
  </w:style>
  <w:style w:type="paragraph" w:customStyle="1" w:styleId="FooterText">
    <w:name w:val="Footer Text"/>
    <w:basedOn w:val="Normal"/>
    <w:uiPriority w:val="99"/>
    <w:rsid w:val="00BE4672"/>
    <w:pPr>
      <w:autoSpaceDE w:val="0"/>
      <w:autoSpaceDN w:val="0"/>
      <w:adjustRightInd w:val="0"/>
    </w:pPr>
    <w:rPr>
      <w:szCs w:val="24"/>
      <w:lang w:val="en-GB"/>
    </w:rPr>
  </w:style>
  <w:style w:type="character" w:styleId="PlaceholderText">
    <w:name w:val="Placeholder Text"/>
    <w:uiPriority w:val="99"/>
    <w:rsid w:val="00BE4672"/>
    <w:rPr>
      <w:color w:val="808080"/>
    </w:rPr>
  </w:style>
  <w:style w:type="table" w:customStyle="1" w:styleId="TableGrid1">
    <w:name w:val="Table Grid1"/>
    <w:basedOn w:val="TableNormal"/>
    <w:next w:val="TableGrid"/>
    <w:uiPriority w:val="39"/>
    <w:rsid w:val="00BE4672"/>
    <w:rPr>
      <w:rFonts w:ascii="Calibri" w:hAnsi="Calibri" w:cs="Arial"/>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ormalWeb1">
    <w:name w:val="Normal (Web)1"/>
    <w:basedOn w:val="Normal"/>
    <w:next w:val="NormalWeb"/>
    <w:uiPriority w:val="99"/>
    <w:rsid w:val="00BE4672"/>
    <w:pPr>
      <w:autoSpaceDE w:val="0"/>
      <w:autoSpaceDN w:val="0"/>
      <w:adjustRightInd w:val="0"/>
      <w:spacing w:after="150"/>
    </w:pPr>
    <w:rPr>
      <w:szCs w:val="24"/>
      <w:lang w:val="en-GB"/>
    </w:rPr>
  </w:style>
  <w:style w:type="paragraph" w:customStyle="1" w:styleId="Nromal">
    <w:name w:val="Nromal"/>
    <w:basedOn w:val="Institutionquiagit"/>
    <w:uiPriority w:val="99"/>
    <w:rsid w:val="00BE4672"/>
    <w:rPr>
      <w:noProof/>
      <w:lang w:val="en-US"/>
    </w:rPr>
  </w:style>
  <w:style w:type="character" w:customStyle="1" w:styleId="HeaderChar">
    <w:name w:val="Header Char"/>
    <w:link w:val="Header"/>
    <w:uiPriority w:val="99"/>
    <w:rsid w:val="00BE4672"/>
    <w:rPr>
      <w:sz w:val="24"/>
      <w:lang w:eastAsia="en-GB"/>
    </w:rPr>
  </w:style>
  <w:style w:type="character" w:customStyle="1" w:styleId="FooterChar">
    <w:name w:val="Footer Char"/>
    <w:link w:val="Footer"/>
    <w:uiPriority w:val="99"/>
    <w:rsid w:val="00BE4672"/>
    <w:rPr>
      <w:sz w:val="22"/>
      <w:lang w:eastAsia="en-GB"/>
    </w:rPr>
  </w:style>
  <w:style w:type="character" w:customStyle="1" w:styleId="FootnoteTextChar">
    <w:name w:val="Footnote Text Char"/>
    <w:aliases w:val="single space Char"/>
    <w:link w:val="FootnoteText"/>
    <w:uiPriority w:val="99"/>
    <w:rsid w:val="00BE4672"/>
    <w:rPr>
      <w:sz w:val="22"/>
      <w:lang w:eastAsia="en-GB"/>
    </w:rPr>
  </w:style>
  <w:style w:type="paragraph" w:customStyle="1" w:styleId="NormalCentered">
    <w:name w:val="Normal Centered"/>
    <w:basedOn w:val="Normal"/>
    <w:uiPriority w:val="99"/>
    <w:rsid w:val="00BE4672"/>
    <w:pPr>
      <w:autoSpaceDE w:val="0"/>
      <w:autoSpaceDN w:val="0"/>
      <w:adjustRightInd w:val="0"/>
      <w:spacing w:before="200" w:after="120" w:line="360" w:lineRule="auto"/>
      <w:jc w:val="center"/>
    </w:pPr>
    <w:rPr>
      <w:szCs w:val="22"/>
      <w:lang w:val="en-GB"/>
    </w:rPr>
  </w:style>
  <w:style w:type="paragraph" w:customStyle="1" w:styleId="NormalRight">
    <w:name w:val="Normal Right"/>
    <w:basedOn w:val="Normal"/>
    <w:uiPriority w:val="99"/>
    <w:rsid w:val="00BE4672"/>
    <w:pPr>
      <w:autoSpaceDE w:val="0"/>
      <w:autoSpaceDN w:val="0"/>
      <w:adjustRightInd w:val="0"/>
      <w:spacing w:before="200" w:after="120" w:line="360" w:lineRule="auto"/>
      <w:jc w:val="right"/>
    </w:pPr>
    <w:rPr>
      <w:szCs w:val="22"/>
      <w:lang w:val="en-GB"/>
    </w:rPr>
  </w:style>
  <w:style w:type="paragraph" w:customStyle="1" w:styleId="NormalJustified">
    <w:name w:val="Normal Justified"/>
    <w:basedOn w:val="Normal"/>
    <w:uiPriority w:val="99"/>
    <w:rsid w:val="00BE4672"/>
    <w:pPr>
      <w:autoSpaceDE w:val="0"/>
      <w:autoSpaceDN w:val="0"/>
      <w:adjustRightInd w:val="0"/>
      <w:spacing w:before="200" w:after="120" w:line="360" w:lineRule="auto"/>
      <w:jc w:val="both"/>
    </w:pPr>
    <w:rPr>
      <w:szCs w:val="22"/>
      <w:lang w:val="en-GB"/>
    </w:rPr>
  </w:style>
  <w:style w:type="paragraph" w:customStyle="1" w:styleId="HeaderLandscape">
    <w:name w:val="HeaderLandscape"/>
    <w:basedOn w:val="Normal"/>
    <w:uiPriority w:val="99"/>
    <w:rsid w:val="00BE4672"/>
    <w:pPr>
      <w:tabs>
        <w:tab w:val="right" w:pos="720"/>
      </w:tabs>
      <w:autoSpaceDE w:val="0"/>
      <w:autoSpaceDN w:val="0"/>
      <w:adjustRightInd w:val="0"/>
      <w:spacing w:before="120" w:after="120" w:line="360" w:lineRule="auto"/>
    </w:pPr>
    <w:rPr>
      <w:szCs w:val="22"/>
      <w:lang w:val="en-GB"/>
    </w:rPr>
  </w:style>
  <w:style w:type="paragraph" w:customStyle="1" w:styleId="FooterLandscape">
    <w:name w:val="FooterLandscape"/>
    <w:basedOn w:val="Normal"/>
    <w:uiPriority w:val="99"/>
    <w:rsid w:val="00BE4672"/>
    <w:pPr>
      <w:tabs>
        <w:tab w:val="center" w:pos="7285"/>
        <w:tab w:val="left" w:pos="8630"/>
      </w:tabs>
      <w:autoSpaceDE w:val="0"/>
      <w:autoSpaceDN w:val="0"/>
      <w:adjustRightInd w:val="0"/>
    </w:pPr>
    <w:rPr>
      <w:szCs w:val="22"/>
      <w:lang w:val="en-GB"/>
    </w:rPr>
  </w:style>
  <w:style w:type="paragraph" w:customStyle="1" w:styleId="HeaderCouncil">
    <w:name w:val="Header Council"/>
    <w:basedOn w:val="Normal"/>
    <w:uiPriority w:val="99"/>
    <w:rsid w:val="00BE4672"/>
    <w:pPr>
      <w:autoSpaceDE w:val="0"/>
      <w:autoSpaceDN w:val="0"/>
      <w:adjustRightInd w:val="0"/>
    </w:pPr>
    <w:rPr>
      <w:sz w:val="2"/>
      <w:szCs w:val="22"/>
      <w:lang w:val="en-GB"/>
    </w:rPr>
  </w:style>
  <w:style w:type="paragraph" w:customStyle="1" w:styleId="FooterCouncil">
    <w:name w:val="Footer Council"/>
    <w:basedOn w:val="Normal"/>
    <w:uiPriority w:val="99"/>
    <w:rsid w:val="00BE4672"/>
    <w:pPr>
      <w:autoSpaceDE w:val="0"/>
      <w:autoSpaceDN w:val="0"/>
      <w:adjustRightInd w:val="0"/>
    </w:pPr>
    <w:rPr>
      <w:sz w:val="2"/>
      <w:szCs w:val="22"/>
      <w:lang w:val="en-GB"/>
    </w:rPr>
  </w:style>
  <w:style w:type="paragraph" w:customStyle="1" w:styleId="TechnicalBlock">
    <w:name w:val="Technical Block"/>
    <w:basedOn w:val="Normal"/>
    <w:next w:val="Normal"/>
    <w:uiPriority w:val="99"/>
    <w:rsid w:val="00BE4672"/>
    <w:pPr>
      <w:autoSpaceDE w:val="0"/>
      <w:autoSpaceDN w:val="0"/>
      <w:adjustRightInd w:val="0"/>
      <w:spacing w:after="240"/>
      <w:jc w:val="center"/>
    </w:pPr>
    <w:rPr>
      <w:szCs w:val="22"/>
      <w:lang w:val="en-GB"/>
    </w:rPr>
  </w:style>
  <w:style w:type="paragraph" w:customStyle="1" w:styleId="FinalLine">
    <w:name w:val="Final Line"/>
    <w:basedOn w:val="Normal"/>
    <w:next w:val="Normal"/>
    <w:uiPriority w:val="99"/>
    <w:rsid w:val="00BE4672"/>
    <w:pPr>
      <w:pBdr>
        <w:bottom w:val="single" w:sz="4" w:space="0" w:color="000000"/>
      </w:pBdr>
      <w:autoSpaceDE w:val="0"/>
      <w:autoSpaceDN w:val="0"/>
      <w:adjustRightInd w:val="0"/>
      <w:spacing w:before="360" w:after="120" w:line="360" w:lineRule="auto"/>
      <w:ind w:left="3400" w:right="3400"/>
      <w:jc w:val="center"/>
    </w:pPr>
    <w:rPr>
      <w:b/>
      <w:szCs w:val="22"/>
      <w:lang w:val="en-GB"/>
    </w:rPr>
  </w:style>
  <w:style w:type="paragraph" w:customStyle="1" w:styleId="FinalLineLandscape">
    <w:name w:val="Final Line (Landscape)"/>
    <w:basedOn w:val="Normal"/>
    <w:next w:val="Normal"/>
    <w:uiPriority w:val="99"/>
    <w:rsid w:val="00BE4672"/>
    <w:pPr>
      <w:pBdr>
        <w:bottom w:val="single" w:sz="4" w:space="0" w:color="000000"/>
      </w:pBdr>
      <w:autoSpaceDE w:val="0"/>
      <w:autoSpaceDN w:val="0"/>
      <w:adjustRightInd w:val="0"/>
      <w:spacing w:before="360" w:after="120" w:line="360" w:lineRule="auto"/>
      <w:ind w:left="5868" w:right="5868"/>
      <w:jc w:val="center"/>
    </w:pPr>
    <w:rPr>
      <w:b/>
      <w:szCs w:val="22"/>
      <w:lang w:val="en-GB"/>
    </w:rPr>
  </w:style>
  <w:style w:type="paragraph" w:customStyle="1" w:styleId="Text1">
    <w:name w:val="Text 1"/>
    <w:basedOn w:val="Normal"/>
    <w:uiPriority w:val="99"/>
    <w:rsid w:val="00BE4672"/>
    <w:pPr>
      <w:autoSpaceDE w:val="0"/>
      <w:autoSpaceDN w:val="0"/>
      <w:adjustRightInd w:val="0"/>
      <w:spacing w:before="120" w:after="120" w:line="360" w:lineRule="auto"/>
      <w:ind w:left="567"/>
    </w:pPr>
    <w:rPr>
      <w:szCs w:val="22"/>
      <w:lang w:val="en-GB"/>
    </w:rPr>
  </w:style>
  <w:style w:type="paragraph" w:customStyle="1" w:styleId="Text2">
    <w:name w:val="Text 2"/>
    <w:basedOn w:val="Normal"/>
    <w:uiPriority w:val="99"/>
    <w:rsid w:val="00BE4672"/>
    <w:pPr>
      <w:autoSpaceDE w:val="0"/>
      <w:autoSpaceDN w:val="0"/>
      <w:adjustRightInd w:val="0"/>
      <w:spacing w:before="120" w:after="120" w:line="360" w:lineRule="auto"/>
      <w:ind w:left="1134"/>
    </w:pPr>
    <w:rPr>
      <w:szCs w:val="22"/>
      <w:lang w:val="en-GB"/>
    </w:rPr>
  </w:style>
  <w:style w:type="paragraph" w:customStyle="1" w:styleId="Text3">
    <w:name w:val="Text 3"/>
    <w:basedOn w:val="Normal"/>
    <w:uiPriority w:val="99"/>
    <w:rsid w:val="00BE4672"/>
    <w:pPr>
      <w:autoSpaceDE w:val="0"/>
      <w:autoSpaceDN w:val="0"/>
      <w:adjustRightInd w:val="0"/>
      <w:spacing w:before="120" w:after="120" w:line="360" w:lineRule="auto"/>
      <w:ind w:left="1701"/>
    </w:pPr>
    <w:rPr>
      <w:szCs w:val="22"/>
      <w:lang w:val="en-GB"/>
    </w:rPr>
  </w:style>
  <w:style w:type="paragraph" w:customStyle="1" w:styleId="Text4">
    <w:name w:val="Text 4"/>
    <w:basedOn w:val="Normal"/>
    <w:uiPriority w:val="99"/>
    <w:rsid w:val="00BE4672"/>
    <w:pPr>
      <w:autoSpaceDE w:val="0"/>
      <w:autoSpaceDN w:val="0"/>
      <w:adjustRightInd w:val="0"/>
      <w:spacing w:before="120" w:after="120" w:line="360" w:lineRule="auto"/>
      <w:ind w:left="2268"/>
    </w:pPr>
    <w:rPr>
      <w:szCs w:val="22"/>
      <w:lang w:val="en-GB"/>
    </w:rPr>
  </w:style>
  <w:style w:type="paragraph" w:customStyle="1" w:styleId="Text5">
    <w:name w:val="Text 5"/>
    <w:basedOn w:val="Normal"/>
    <w:uiPriority w:val="99"/>
    <w:rsid w:val="00BE4672"/>
    <w:pPr>
      <w:autoSpaceDE w:val="0"/>
      <w:autoSpaceDN w:val="0"/>
      <w:adjustRightInd w:val="0"/>
      <w:spacing w:before="120" w:after="120" w:line="360" w:lineRule="auto"/>
      <w:ind w:left="2835"/>
    </w:pPr>
    <w:rPr>
      <w:szCs w:val="22"/>
      <w:lang w:val="en-GB"/>
    </w:rPr>
  </w:style>
  <w:style w:type="paragraph" w:customStyle="1" w:styleId="Text6">
    <w:name w:val="Text 6"/>
    <w:basedOn w:val="Normal"/>
    <w:uiPriority w:val="99"/>
    <w:rsid w:val="00BE4672"/>
    <w:pPr>
      <w:autoSpaceDE w:val="0"/>
      <w:autoSpaceDN w:val="0"/>
      <w:adjustRightInd w:val="0"/>
      <w:spacing w:before="120" w:after="120" w:line="360" w:lineRule="auto"/>
      <w:ind w:left="3402"/>
    </w:pPr>
    <w:rPr>
      <w:szCs w:val="22"/>
      <w:lang w:val="en-GB"/>
    </w:rPr>
  </w:style>
  <w:style w:type="paragraph" w:customStyle="1" w:styleId="PointManual">
    <w:name w:val="Point Manual"/>
    <w:basedOn w:val="Normal"/>
    <w:uiPriority w:val="99"/>
    <w:rsid w:val="00BE4672"/>
    <w:pPr>
      <w:autoSpaceDE w:val="0"/>
      <w:autoSpaceDN w:val="0"/>
      <w:adjustRightInd w:val="0"/>
      <w:spacing w:before="120" w:after="120" w:line="360" w:lineRule="auto"/>
      <w:ind w:left="567" w:hanging="567"/>
    </w:pPr>
    <w:rPr>
      <w:szCs w:val="22"/>
      <w:lang w:val="en-GB"/>
    </w:rPr>
  </w:style>
  <w:style w:type="paragraph" w:customStyle="1" w:styleId="PointManual1">
    <w:name w:val="Point Manual (1)"/>
    <w:basedOn w:val="Normal"/>
    <w:uiPriority w:val="99"/>
    <w:rsid w:val="00BE4672"/>
    <w:pPr>
      <w:autoSpaceDE w:val="0"/>
      <w:autoSpaceDN w:val="0"/>
      <w:adjustRightInd w:val="0"/>
      <w:spacing w:before="120" w:after="120" w:line="360" w:lineRule="auto"/>
      <w:ind w:left="1134" w:hanging="567"/>
    </w:pPr>
    <w:rPr>
      <w:szCs w:val="22"/>
      <w:lang w:val="en-GB"/>
    </w:rPr>
  </w:style>
  <w:style w:type="paragraph" w:customStyle="1" w:styleId="PointManual2">
    <w:name w:val="Point Manual (2)"/>
    <w:basedOn w:val="Normal"/>
    <w:uiPriority w:val="99"/>
    <w:rsid w:val="00BE4672"/>
    <w:pPr>
      <w:autoSpaceDE w:val="0"/>
      <w:autoSpaceDN w:val="0"/>
      <w:adjustRightInd w:val="0"/>
      <w:spacing w:before="120" w:after="120" w:line="360" w:lineRule="auto"/>
      <w:ind w:left="1701" w:hanging="567"/>
    </w:pPr>
    <w:rPr>
      <w:szCs w:val="22"/>
      <w:lang w:val="en-GB"/>
    </w:rPr>
  </w:style>
  <w:style w:type="paragraph" w:customStyle="1" w:styleId="PointManual3">
    <w:name w:val="Point Manual (3)"/>
    <w:basedOn w:val="Normal"/>
    <w:uiPriority w:val="99"/>
    <w:rsid w:val="00BE4672"/>
    <w:pPr>
      <w:autoSpaceDE w:val="0"/>
      <w:autoSpaceDN w:val="0"/>
      <w:adjustRightInd w:val="0"/>
      <w:spacing w:before="120" w:after="120" w:line="360" w:lineRule="auto"/>
      <w:ind w:left="2268" w:hanging="567"/>
    </w:pPr>
    <w:rPr>
      <w:szCs w:val="22"/>
      <w:lang w:val="en-GB"/>
    </w:rPr>
  </w:style>
  <w:style w:type="paragraph" w:customStyle="1" w:styleId="PointManual4">
    <w:name w:val="Point Manual (4)"/>
    <w:basedOn w:val="Normal"/>
    <w:uiPriority w:val="99"/>
    <w:rsid w:val="00BE4672"/>
    <w:pPr>
      <w:autoSpaceDE w:val="0"/>
      <w:autoSpaceDN w:val="0"/>
      <w:adjustRightInd w:val="0"/>
      <w:spacing w:before="120" w:after="120" w:line="360" w:lineRule="auto"/>
      <w:ind w:left="2835" w:hanging="567"/>
    </w:pPr>
    <w:rPr>
      <w:szCs w:val="22"/>
      <w:lang w:val="en-GB"/>
    </w:rPr>
  </w:style>
  <w:style w:type="paragraph" w:customStyle="1" w:styleId="PointDoubleManual">
    <w:name w:val="Point Double Manual"/>
    <w:basedOn w:val="Normal"/>
    <w:uiPriority w:val="99"/>
    <w:rsid w:val="00BE4672"/>
    <w:pPr>
      <w:tabs>
        <w:tab w:val="left" w:pos="567"/>
      </w:tabs>
      <w:autoSpaceDE w:val="0"/>
      <w:autoSpaceDN w:val="0"/>
      <w:adjustRightInd w:val="0"/>
      <w:spacing w:before="120" w:after="120" w:line="360" w:lineRule="auto"/>
      <w:ind w:left="1134" w:hanging="1134"/>
    </w:pPr>
    <w:rPr>
      <w:szCs w:val="22"/>
      <w:lang w:val="en-GB"/>
    </w:rPr>
  </w:style>
  <w:style w:type="paragraph" w:customStyle="1" w:styleId="PointDoubleManual1">
    <w:name w:val="Point Double Manual (1)"/>
    <w:basedOn w:val="Normal"/>
    <w:uiPriority w:val="99"/>
    <w:rsid w:val="00BE4672"/>
    <w:pPr>
      <w:tabs>
        <w:tab w:val="left" w:pos="1134"/>
      </w:tabs>
      <w:autoSpaceDE w:val="0"/>
      <w:autoSpaceDN w:val="0"/>
      <w:adjustRightInd w:val="0"/>
      <w:spacing w:before="120" w:after="120" w:line="360" w:lineRule="auto"/>
      <w:ind w:left="1701" w:hanging="1134"/>
    </w:pPr>
    <w:rPr>
      <w:szCs w:val="22"/>
      <w:lang w:val="en-GB"/>
    </w:rPr>
  </w:style>
  <w:style w:type="paragraph" w:customStyle="1" w:styleId="PointDoubleManual2">
    <w:name w:val="Point Double Manual (2)"/>
    <w:basedOn w:val="Normal"/>
    <w:uiPriority w:val="99"/>
    <w:rsid w:val="00BE4672"/>
    <w:pPr>
      <w:tabs>
        <w:tab w:val="left" w:pos="1701"/>
      </w:tabs>
      <w:autoSpaceDE w:val="0"/>
      <w:autoSpaceDN w:val="0"/>
      <w:adjustRightInd w:val="0"/>
      <w:spacing w:before="120" w:after="120" w:line="360" w:lineRule="auto"/>
      <w:ind w:left="2268" w:hanging="1134"/>
    </w:pPr>
    <w:rPr>
      <w:szCs w:val="22"/>
      <w:lang w:val="en-GB"/>
    </w:rPr>
  </w:style>
  <w:style w:type="paragraph" w:customStyle="1" w:styleId="PointDoubleManual3">
    <w:name w:val="Point Double Manual (3)"/>
    <w:basedOn w:val="Normal"/>
    <w:uiPriority w:val="99"/>
    <w:rsid w:val="00BE4672"/>
    <w:pPr>
      <w:tabs>
        <w:tab w:val="left" w:pos="2268"/>
      </w:tabs>
      <w:autoSpaceDE w:val="0"/>
      <w:autoSpaceDN w:val="0"/>
      <w:adjustRightInd w:val="0"/>
      <w:spacing w:before="120" w:after="120" w:line="360" w:lineRule="auto"/>
      <w:ind w:left="2835" w:hanging="1134"/>
    </w:pPr>
    <w:rPr>
      <w:szCs w:val="22"/>
      <w:lang w:val="en-GB"/>
    </w:rPr>
  </w:style>
  <w:style w:type="paragraph" w:customStyle="1" w:styleId="PointDoubleManual4">
    <w:name w:val="Point Double Manual (4)"/>
    <w:basedOn w:val="Normal"/>
    <w:uiPriority w:val="99"/>
    <w:rsid w:val="00BE4672"/>
    <w:pPr>
      <w:tabs>
        <w:tab w:val="left" w:pos="2835"/>
      </w:tabs>
      <w:autoSpaceDE w:val="0"/>
      <w:autoSpaceDN w:val="0"/>
      <w:adjustRightInd w:val="0"/>
      <w:spacing w:before="120" w:after="120" w:line="360" w:lineRule="auto"/>
      <w:ind w:left="3402" w:hanging="1134"/>
    </w:pPr>
    <w:rPr>
      <w:szCs w:val="22"/>
      <w:lang w:val="en-GB"/>
    </w:rPr>
  </w:style>
  <w:style w:type="paragraph" w:customStyle="1" w:styleId="Pointabc">
    <w:name w:val="Point abc"/>
    <w:basedOn w:val="Normal"/>
    <w:uiPriority w:val="99"/>
    <w:rsid w:val="00BE4672"/>
    <w:pPr>
      <w:numPr>
        <w:ilvl w:val="1"/>
        <w:numId w:val="26"/>
      </w:numPr>
      <w:tabs>
        <w:tab w:val="left" w:pos="567"/>
        <w:tab w:val="num" w:pos="850"/>
      </w:tabs>
      <w:autoSpaceDE w:val="0"/>
      <w:autoSpaceDN w:val="0"/>
      <w:adjustRightInd w:val="0"/>
      <w:spacing w:before="120" w:after="120" w:line="360" w:lineRule="auto"/>
      <w:ind w:left="850" w:hanging="850"/>
    </w:pPr>
    <w:rPr>
      <w:szCs w:val="22"/>
      <w:lang w:val="en-GB"/>
    </w:rPr>
  </w:style>
  <w:style w:type="paragraph" w:customStyle="1" w:styleId="Pointabc1">
    <w:name w:val="Point abc (1)"/>
    <w:basedOn w:val="Normal"/>
    <w:uiPriority w:val="99"/>
    <w:rsid w:val="00BE4672"/>
    <w:pPr>
      <w:numPr>
        <w:ilvl w:val="3"/>
        <w:numId w:val="26"/>
      </w:numPr>
      <w:tabs>
        <w:tab w:val="num" w:pos="850"/>
        <w:tab w:val="left" w:pos="1134"/>
      </w:tabs>
      <w:autoSpaceDE w:val="0"/>
      <w:autoSpaceDN w:val="0"/>
      <w:adjustRightInd w:val="0"/>
      <w:spacing w:before="120" w:after="120" w:line="360" w:lineRule="auto"/>
      <w:ind w:left="850" w:hanging="850"/>
    </w:pPr>
    <w:rPr>
      <w:szCs w:val="22"/>
      <w:lang w:val="en-GB"/>
    </w:rPr>
  </w:style>
  <w:style w:type="paragraph" w:customStyle="1" w:styleId="Pointabc2">
    <w:name w:val="Point abc (2)"/>
    <w:basedOn w:val="Normal"/>
    <w:uiPriority w:val="99"/>
    <w:rsid w:val="00BE4672"/>
    <w:pPr>
      <w:numPr>
        <w:ilvl w:val="5"/>
        <w:numId w:val="26"/>
      </w:numPr>
      <w:tabs>
        <w:tab w:val="left" w:pos="1701"/>
      </w:tabs>
      <w:autoSpaceDE w:val="0"/>
      <w:autoSpaceDN w:val="0"/>
      <w:adjustRightInd w:val="0"/>
      <w:spacing w:before="120" w:after="120" w:line="360" w:lineRule="auto"/>
      <w:ind w:left="2160" w:hanging="360"/>
    </w:pPr>
    <w:rPr>
      <w:szCs w:val="22"/>
      <w:lang w:val="en-GB"/>
    </w:rPr>
  </w:style>
  <w:style w:type="paragraph" w:customStyle="1" w:styleId="Pointabc3">
    <w:name w:val="Point abc (3)"/>
    <w:basedOn w:val="Normal"/>
    <w:uiPriority w:val="99"/>
    <w:rsid w:val="00BE4672"/>
    <w:pPr>
      <w:numPr>
        <w:ilvl w:val="7"/>
        <w:numId w:val="26"/>
      </w:numPr>
      <w:tabs>
        <w:tab w:val="left" w:pos="2268"/>
      </w:tabs>
      <w:autoSpaceDE w:val="0"/>
      <w:autoSpaceDN w:val="0"/>
      <w:adjustRightInd w:val="0"/>
      <w:spacing w:before="120" w:after="120" w:line="360" w:lineRule="auto"/>
      <w:ind w:left="2880" w:hanging="360"/>
    </w:pPr>
    <w:rPr>
      <w:szCs w:val="22"/>
      <w:lang w:val="en-GB"/>
    </w:rPr>
  </w:style>
  <w:style w:type="paragraph" w:customStyle="1" w:styleId="Pointabc4">
    <w:name w:val="Point abc (4)"/>
    <w:basedOn w:val="Normal"/>
    <w:uiPriority w:val="99"/>
    <w:rsid w:val="00BE4672"/>
    <w:pPr>
      <w:numPr>
        <w:ilvl w:val="8"/>
        <w:numId w:val="26"/>
      </w:numPr>
      <w:tabs>
        <w:tab w:val="left" w:pos="2835"/>
      </w:tabs>
      <w:autoSpaceDE w:val="0"/>
      <w:autoSpaceDN w:val="0"/>
      <w:adjustRightInd w:val="0"/>
      <w:spacing w:before="120" w:after="120" w:line="360" w:lineRule="auto"/>
      <w:ind w:left="3240" w:hanging="360"/>
    </w:pPr>
    <w:rPr>
      <w:szCs w:val="22"/>
      <w:lang w:val="en-GB"/>
    </w:rPr>
  </w:style>
  <w:style w:type="paragraph" w:customStyle="1" w:styleId="Point123">
    <w:name w:val="Point 123"/>
    <w:basedOn w:val="Normal"/>
    <w:uiPriority w:val="99"/>
    <w:rsid w:val="00BE4672"/>
    <w:pPr>
      <w:numPr>
        <w:numId w:val="26"/>
      </w:numPr>
      <w:tabs>
        <w:tab w:val="left" w:pos="567"/>
        <w:tab w:val="num" w:pos="850"/>
      </w:tabs>
      <w:autoSpaceDE w:val="0"/>
      <w:autoSpaceDN w:val="0"/>
      <w:adjustRightInd w:val="0"/>
      <w:spacing w:before="120" w:after="120" w:line="360" w:lineRule="auto"/>
      <w:ind w:left="850" w:hanging="850"/>
    </w:pPr>
    <w:rPr>
      <w:szCs w:val="22"/>
      <w:lang w:val="en-GB"/>
    </w:rPr>
  </w:style>
  <w:style w:type="paragraph" w:customStyle="1" w:styleId="Point1231">
    <w:name w:val="Point 123 (1)"/>
    <w:basedOn w:val="Normal"/>
    <w:uiPriority w:val="99"/>
    <w:rsid w:val="00BE4672"/>
    <w:pPr>
      <w:numPr>
        <w:ilvl w:val="2"/>
        <w:numId w:val="26"/>
      </w:numPr>
      <w:tabs>
        <w:tab w:val="num" w:pos="850"/>
        <w:tab w:val="left" w:pos="1134"/>
      </w:tabs>
      <w:autoSpaceDE w:val="0"/>
      <w:autoSpaceDN w:val="0"/>
      <w:adjustRightInd w:val="0"/>
      <w:spacing w:before="120" w:after="120" w:line="360" w:lineRule="auto"/>
      <w:ind w:left="850" w:hanging="850"/>
    </w:pPr>
    <w:rPr>
      <w:szCs w:val="22"/>
      <w:lang w:val="en-GB"/>
    </w:rPr>
  </w:style>
  <w:style w:type="paragraph" w:customStyle="1" w:styleId="Point1232">
    <w:name w:val="Point 123 (2)"/>
    <w:basedOn w:val="Normal"/>
    <w:uiPriority w:val="99"/>
    <w:rsid w:val="00BE4672"/>
    <w:pPr>
      <w:numPr>
        <w:ilvl w:val="4"/>
        <w:numId w:val="26"/>
      </w:numPr>
      <w:tabs>
        <w:tab w:val="left" w:pos="1701"/>
      </w:tabs>
      <w:autoSpaceDE w:val="0"/>
      <w:autoSpaceDN w:val="0"/>
      <w:adjustRightInd w:val="0"/>
      <w:spacing w:before="120" w:after="120" w:line="360" w:lineRule="auto"/>
      <w:ind w:left="1800" w:hanging="360"/>
    </w:pPr>
    <w:rPr>
      <w:szCs w:val="22"/>
      <w:lang w:val="en-GB"/>
    </w:rPr>
  </w:style>
  <w:style w:type="paragraph" w:customStyle="1" w:styleId="Point1233">
    <w:name w:val="Point 123 (3)"/>
    <w:basedOn w:val="Normal"/>
    <w:uiPriority w:val="99"/>
    <w:rsid w:val="00BE4672"/>
    <w:pPr>
      <w:numPr>
        <w:ilvl w:val="6"/>
        <w:numId w:val="26"/>
      </w:numPr>
      <w:tabs>
        <w:tab w:val="left" w:pos="2268"/>
      </w:tabs>
      <w:autoSpaceDE w:val="0"/>
      <w:autoSpaceDN w:val="0"/>
      <w:adjustRightInd w:val="0"/>
      <w:spacing w:before="120" w:after="120" w:line="360" w:lineRule="auto"/>
      <w:ind w:left="2520" w:hanging="360"/>
    </w:pPr>
    <w:rPr>
      <w:szCs w:val="22"/>
      <w:lang w:val="en-GB"/>
    </w:rPr>
  </w:style>
  <w:style w:type="paragraph" w:customStyle="1" w:styleId="Pointivx">
    <w:name w:val="Point ivx"/>
    <w:basedOn w:val="Normal"/>
    <w:uiPriority w:val="99"/>
    <w:rsid w:val="00BE4672"/>
    <w:pPr>
      <w:numPr>
        <w:numId w:val="27"/>
      </w:numPr>
      <w:tabs>
        <w:tab w:val="left" w:pos="567"/>
        <w:tab w:val="num" w:pos="850"/>
      </w:tabs>
      <w:autoSpaceDE w:val="0"/>
      <w:autoSpaceDN w:val="0"/>
      <w:adjustRightInd w:val="0"/>
      <w:spacing w:before="120" w:after="120" w:line="360" w:lineRule="auto"/>
      <w:ind w:left="850" w:hanging="850"/>
    </w:pPr>
    <w:rPr>
      <w:szCs w:val="22"/>
      <w:lang w:val="en-GB"/>
    </w:rPr>
  </w:style>
  <w:style w:type="paragraph" w:customStyle="1" w:styleId="Pointivx1">
    <w:name w:val="Point ivx (1)"/>
    <w:basedOn w:val="Normal"/>
    <w:uiPriority w:val="99"/>
    <w:rsid w:val="00BE4672"/>
    <w:pPr>
      <w:numPr>
        <w:ilvl w:val="1"/>
        <w:numId w:val="27"/>
      </w:numPr>
      <w:tabs>
        <w:tab w:val="num" w:pos="850"/>
        <w:tab w:val="left" w:pos="1134"/>
      </w:tabs>
      <w:autoSpaceDE w:val="0"/>
      <w:autoSpaceDN w:val="0"/>
      <w:adjustRightInd w:val="0"/>
      <w:spacing w:before="120" w:after="120" w:line="360" w:lineRule="auto"/>
      <w:ind w:left="850" w:hanging="850"/>
    </w:pPr>
    <w:rPr>
      <w:szCs w:val="22"/>
      <w:lang w:val="en-GB"/>
    </w:rPr>
  </w:style>
  <w:style w:type="paragraph" w:customStyle="1" w:styleId="Pointivx2">
    <w:name w:val="Point ivx (2)"/>
    <w:basedOn w:val="Normal"/>
    <w:uiPriority w:val="99"/>
    <w:rsid w:val="00BE4672"/>
    <w:pPr>
      <w:numPr>
        <w:ilvl w:val="2"/>
        <w:numId w:val="27"/>
      </w:numPr>
      <w:tabs>
        <w:tab w:val="num" w:pos="850"/>
        <w:tab w:val="left" w:pos="1701"/>
      </w:tabs>
      <w:autoSpaceDE w:val="0"/>
      <w:autoSpaceDN w:val="0"/>
      <w:adjustRightInd w:val="0"/>
      <w:spacing w:before="120" w:after="120" w:line="360" w:lineRule="auto"/>
      <w:ind w:left="850" w:hanging="850"/>
    </w:pPr>
    <w:rPr>
      <w:szCs w:val="22"/>
      <w:lang w:val="en-GB"/>
    </w:rPr>
  </w:style>
  <w:style w:type="paragraph" w:customStyle="1" w:styleId="Pointivx3">
    <w:name w:val="Point ivx (3)"/>
    <w:basedOn w:val="Normal"/>
    <w:uiPriority w:val="99"/>
    <w:rsid w:val="00BE4672"/>
    <w:pPr>
      <w:numPr>
        <w:ilvl w:val="3"/>
        <w:numId w:val="27"/>
      </w:numPr>
      <w:tabs>
        <w:tab w:val="num" w:pos="850"/>
        <w:tab w:val="left" w:pos="2268"/>
      </w:tabs>
      <w:autoSpaceDE w:val="0"/>
      <w:autoSpaceDN w:val="0"/>
      <w:adjustRightInd w:val="0"/>
      <w:spacing w:before="120" w:after="120" w:line="360" w:lineRule="auto"/>
      <w:ind w:left="850" w:hanging="850"/>
    </w:pPr>
    <w:rPr>
      <w:szCs w:val="22"/>
      <w:lang w:val="en-GB"/>
    </w:rPr>
  </w:style>
  <w:style w:type="paragraph" w:customStyle="1" w:styleId="Pointivx4">
    <w:name w:val="Point ivx (4)"/>
    <w:basedOn w:val="Normal"/>
    <w:uiPriority w:val="99"/>
    <w:rsid w:val="00BE4672"/>
    <w:pPr>
      <w:numPr>
        <w:ilvl w:val="4"/>
        <w:numId w:val="27"/>
      </w:numPr>
      <w:tabs>
        <w:tab w:val="left" w:pos="2835"/>
      </w:tabs>
      <w:autoSpaceDE w:val="0"/>
      <w:autoSpaceDN w:val="0"/>
      <w:adjustRightInd w:val="0"/>
      <w:spacing w:before="120" w:after="120" w:line="360" w:lineRule="auto"/>
      <w:ind w:left="1800" w:hanging="360"/>
    </w:pPr>
    <w:rPr>
      <w:szCs w:val="22"/>
      <w:lang w:val="en-GB"/>
    </w:rPr>
  </w:style>
  <w:style w:type="paragraph" w:customStyle="1" w:styleId="Bullet">
    <w:name w:val="Bullet"/>
    <w:basedOn w:val="Normal"/>
    <w:uiPriority w:val="99"/>
    <w:rsid w:val="00BE4672"/>
    <w:pPr>
      <w:numPr>
        <w:numId w:val="21"/>
      </w:numPr>
      <w:tabs>
        <w:tab w:val="left" w:pos="567"/>
        <w:tab w:val="num" w:pos="850"/>
      </w:tabs>
      <w:autoSpaceDE w:val="0"/>
      <w:autoSpaceDN w:val="0"/>
      <w:adjustRightInd w:val="0"/>
      <w:spacing w:before="120" w:after="120" w:line="360" w:lineRule="auto"/>
      <w:ind w:left="850" w:hanging="850"/>
    </w:pPr>
    <w:rPr>
      <w:szCs w:val="22"/>
      <w:lang w:val="en-GB"/>
    </w:rPr>
  </w:style>
  <w:style w:type="paragraph" w:customStyle="1" w:styleId="Bullet1">
    <w:name w:val="Bullet 1"/>
    <w:basedOn w:val="Normal"/>
    <w:uiPriority w:val="99"/>
    <w:rsid w:val="00BE4672"/>
    <w:pPr>
      <w:numPr>
        <w:numId w:val="22"/>
      </w:numPr>
      <w:tabs>
        <w:tab w:val="left" w:pos="1134"/>
        <w:tab w:val="num" w:pos="1417"/>
      </w:tabs>
      <w:autoSpaceDE w:val="0"/>
      <w:autoSpaceDN w:val="0"/>
      <w:adjustRightInd w:val="0"/>
      <w:spacing w:before="120" w:after="120" w:line="360" w:lineRule="auto"/>
      <w:ind w:left="1417"/>
    </w:pPr>
    <w:rPr>
      <w:szCs w:val="22"/>
      <w:lang w:val="en-GB"/>
    </w:rPr>
  </w:style>
  <w:style w:type="paragraph" w:customStyle="1" w:styleId="Bullet2">
    <w:name w:val="Bullet 2"/>
    <w:basedOn w:val="Normal"/>
    <w:uiPriority w:val="99"/>
    <w:rsid w:val="00BE4672"/>
    <w:pPr>
      <w:numPr>
        <w:numId w:val="23"/>
      </w:numPr>
      <w:tabs>
        <w:tab w:val="left" w:pos="1701"/>
        <w:tab w:val="num" w:pos="1984"/>
      </w:tabs>
      <w:autoSpaceDE w:val="0"/>
      <w:autoSpaceDN w:val="0"/>
      <w:adjustRightInd w:val="0"/>
      <w:spacing w:before="120" w:after="120" w:line="360" w:lineRule="auto"/>
      <w:ind w:left="1984"/>
    </w:pPr>
    <w:rPr>
      <w:szCs w:val="22"/>
      <w:lang w:val="en-GB"/>
    </w:rPr>
  </w:style>
  <w:style w:type="paragraph" w:customStyle="1" w:styleId="Bullet3">
    <w:name w:val="Bullet 3"/>
    <w:basedOn w:val="Normal"/>
    <w:uiPriority w:val="99"/>
    <w:rsid w:val="00BE4672"/>
    <w:pPr>
      <w:numPr>
        <w:numId w:val="24"/>
      </w:numPr>
      <w:tabs>
        <w:tab w:val="left" w:pos="2268"/>
        <w:tab w:val="num" w:pos="2551"/>
      </w:tabs>
      <w:autoSpaceDE w:val="0"/>
      <w:autoSpaceDN w:val="0"/>
      <w:adjustRightInd w:val="0"/>
      <w:spacing w:before="120" w:after="120" w:line="360" w:lineRule="auto"/>
      <w:ind w:left="2551"/>
    </w:pPr>
    <w:rPr>
      <w:szCs w:val="22"/>
      <w:lang w:val="en-GB"/>
    </w:rPr>
  </w:style>
  <w:style w:type="paragraph" w:customStyle="1" w:styleId="Bullet4">
    <w:name w:val="Bullet 4"/>
    <w:basedOn w:val="Normal"/>
    <w:uiPriority w:val="99"/>
    <w:rsid w:val="00BE4672"/>
    <w:pPr>
      <w:numPr>
        <w:numId w:val="25"/>
      </w:numPr>
      <w:tabs>
        <w:tab w:val="left" w:pos="2835"/>
        <w:tab w:val="num" w:pos="3118"/>
      </w:tabs>
      <w:autoSpaceDE w:val="0"/>
      <w:autoSpaceDN w:val="0"/>
      <w:adjustRightInd w:val="0"/>
      <w:spacing w:before="120" w:after="120" w:line="360" w:lineRule="auto"/>
      <w:ind w:left="3118"/>
    </w:pPr>
    <w:rPr>
      <w:szCs w:val="22"/>
      <w:lang w:val="en-GB"/>
    </w:rPr>
  </w:style>
  <w:style w:type="paragraph" w:customStyle="1" w:styleId="Dash">
    <w:name w:val="Dash"/>
    <w:basedOn w:val="Normal"/>
    <w:uiPriority w:val="99"/>
    <w:rsid w:val="00BE4672"/>
    <w:pPr>
      <w:numPr>
        <w:numId w:val="11"/>
      </w:numPr>
      <w:tabs>
        <w:tab w:val="left" w:pos="567"/>
      </w:tabs>
      <w:autoSpaceDE w:val="0"/>
      <w:autoSpaceDN w:val="0"/>
      <w:adjustRightInd w:val="0"/>
      <w:spacing w:before="120" w:after="120" w:line="360" w:lineRule="auto"/>
    </w:pPr>
    <w:rPr>
      <w:szCs w:val="22"/>
      <w:lang w:val="en-GB"/>
    </w:rPr>
  </w:style>
  <w:style w:type="paragraph" w:customStyle="1" w:styleId="Dash1">
    <w:name w:val="Dash 1"/>
    <w:basedOn w:val="Normal"/>
    <w:uiPriority w:val="99"/>
    <w:rsid w:val="00BE4672"/>
    <w:pPr>
      <w:numPr>
        <w:numId w:val="12"/>
      </w:numPr>
      <w:tabs>
        <w:tab w:val="left" w:pos="1134"/>
      </w:tabs>
      <w:autoSpaceDE w:val="0"/>
      <w:autoSpaceDN w:val="0"/>
      <w:adjustRightInd w:val="0"/>
      <w:spacing w:before="120" w:after="120" w:line="360" w:lineRule="auto"/>
    </w:pPr>
    <w:rPr>
      <w:szCs w:val="22"/>
      <w:lang w:val="en-GB"/>
    </w:rPr>
  </w:style>
  <w:style w:type="paragraph" w:customStyle="1" w:styleId="Dash2">
    <w:name w:val="Dash 2"/>
    <w:basedOn w:val="Normal"/>
    <w:uiPriority w:val="99"/>
    <w:rsid w:val="00BE4672"/>
    <w:pPr>
      <w:numPr>
        <w:numId w:val="13"/>
      </w:numPr>
      <w:tabs>
        <w:tab w:val="left" w:pos="1701"/>
      </w:tabs>
      <w:autoSpaceDE w:val="0"/>
      <w:autoSpaceDN w:val="0"/>
      <w:adjustRightInd w:val="0"/>
      <w:spacing w:before="120" w:after="120" w:line="360" w:lineRule="auto"/>
    </w:pPr>
    <w:rPr>
      <w:szCs w:val="22"/>
      <w:lang w:val="en-GB"/>
    </w:rPr>
  </w:style>
  <w:style w:type="paragraph" w:customStyle="1" w:styleId="Dash3">
    <w:name w:val="Dash 3"/>
    <w:basedOn w:val="Normal"/>
    <w:uiPriority w:val="99"/>
    <w:rsid w:val="00BE4672"/>
    <w:pPr>
      <w:numPr>
        <w:numId w:val="14"/>
      </w:numPr>
      <w:tabs>
        <w:tab w:val="left" w:pos="2268"/>
      </w:tabs>
      <w:autoSpaceDE w:val="0"/>
      <w:autoSpaceDN w:val="0"/>
      <w:adjustRightInd w:val="0"/>
      <w:spacing w:before="120" w:after="120" w:line="360" w:lineRule="auto"/>
    </w:pPr>
    <w:rPr>
      <w:szCs w:val="22"/>
      <w:lang w:val="en-GB"/>
    </w:rPr>
  </w:style>
  <w:style w:type="paragraph" w:customStyle="1" w:styleId="Dash4">
    <w:name w:val="Dash 4"/>
    <w:basedOn w:val="Normal"/>
    <w:uiPriority w:val="99"/>
    <w:rsid w:val="00BE4672"/>
    <w:pPr>
      <w:numPr>
        <w:numId w:val="15"/>
      </w:numPr>
      <w:tabs>
        <w:tab w:val="left" w:pos="2835"/>
      </w:tabs>
      <w:autoSpaceDE w:val="0"/>
      <w:autoSpaceDN w:val="0"/>
      <w:adjustRightInd w:val="0"/>
      <w:spacing w:before="120" w:after="120" w:line="360" w:lineRule="auto"/>
    </w:pPr>
    <w:rPr>
      <w:szCs w:val="22"/>
      <w:lang w:val="en-GB"/>
    </w:rPr>
  </w:style>
  <w:style w:type="paragraph" w:customStyle="1" w:styleId="DashEqual">
    <w:name w:val="Dash Equal"/>
    <w:basedOn w:val="Dash"/>
    <w:uiPriority w:val="99"/>
    <w:rsid w:val="00BE4672"/>
    <w:pPr>
      <w:numPr>
        <w:numId w:val="16"/>
      </w:numPr>
      <w:tabs>
        <w:tab w:val="left" w:pos="567"/>
        <w:tab w:val="num" w:pos="1440"/>
      </w:tabs>
      <w:ind w:left="1440" w:hanging="360"/>
    </w:pPr>
  </w:style>
  <w:style w:type="paragraph" w:customStyle="1" w:styleId="DashEqual1">
    <w:name w:val="Dash Equal 1"/>
    <w:basedOn w:val="Dash1"/>
    <w:uiPriority w:val="99"/>
    <w:rsid w:val="00BE4672"/>
    <w:pPr>
      <w:numPr>
        <w:numId w:val="17"/>
      </w:numPr>
      <w:tabs>
        <w:tab w:val="left" w:pos="1134"/>
        <w:tab w:val="num" w:pos="1440"/>
      </w:tabs>
      <w:ind w:left="1440" w:hanging="360"/>
    </w:pPr>
  </w:style>
  <w:style w:type="paragraph" w:customStyle="1" w:styleId="DashEqual2">
    <w:name w:val="Dash Equal 2"/>
    <w:basedOn w:val="Dash2"/>
    <w:uiPriority w:val="99"/>
    <w:rsid w:val="00BE4672"/>
    <w:pPr>
      <w:numPr>
        <w:numId w:val="18"/>
      </w:numPr>
      <w:tabs>
        <w:tab w:val="left" w:pos="1701"/>
        <w:tab w:val="num" w:pos="1800"/>
      </w:tabs>
      <w:ind w:left="1800" w:hanging="360"/>
    </w:pPr>
  </w:style>
  <w:style w:type="paragraph" w:customStyle="1" w:styleId="DashEqual3">
    <w:name w:val="Dash Equal 3"/>
    <w:basedOn w:val="Dash3"/>
    <w:uiPriority w:val="99"/>
    <w:rsid w:val="00BE4672"/>
    <w:pPr>
      <w:numPr>
        <w:numId w:val="19"/>
      </w:numPr>
      <w:tabs>
        <w:tab w:val="num" w:pos="1800"/>
        <w:tab w:val="left" w:pos="2268"/>
      </w:tabs>
      <w:ind w:left="1800" w:hanging="360"/>
    </w:pPr>
  </w:style>
  <w:style w:type="paragraph" w:customStyle="1" w:styleId="DashEqual4">
    <w:name w:val="Dash Equal 4"/>
    <w:basedOn w:val="Dash4"/>
    <w:uiPriority w:val="99"/>
    <w:rsid w:val="00BE4672"/>
    <w:pPr>
      <w:numPr>
        <w:numId w:val="20"/>
      </w:numPr>
      <w:tabs>
        <w:tab w:val="left" w:pos="2835"/>
      </w:tabs>
      <w:ind w:left="476" w:hanging="476"/>
    </w:pPr>
  </w:style>
  <w:style w:type="character" w:customStyle="1" w:styleId="Marker">
    <w:name w:val="Marker"/>
    <w:rsid w:val="00BE4672"/>
    <w:rPr>
      <w:color w:val="0000FF"/>
      <w:shd w:val="clear" w:color="auto" w:fill="auto"/>
    </w:rPr>
  </w:style>
  <w:style w:type="character" w:customStyle="1" w:styleId="Marker1">
    <w:name w:val="Marker1"/>
    <w:rsid w:val="00BE4672"/>
    <w:rPr>
      <w:color w:val="008000"/>
      <w:shd w:val="clear" w:color="auto" w:fill="auto"/>
    </w:rPr>
  </w:style>
  <w:style w:type="paragraph" w:customStyle="1" w:styleId="HeadingLeft">
    <w:name w:val="Heading Left"/>
    <w:basedOn w:val="Normal"/>
    <w:next w:val="Normal"/>
    <w:uiPriority w:val="99"/>
    <w:rsid w:val="00BE4672"/>
    <w:pPr>
      <w:autoSpaceDE w:val="0"/>
      <w:autoSpaceDN w:val="0"/>
      <w:adjustRightInd w:val="0"/>
      <w:spacing w:before="360" w:after="120" w:line="360" w:lineRule="auto"/>
      <w:outlineLvl w:val="0"/>
    </w:pPr>
    <w:rPr>
      <w:b/>
      <w:caps/>
      <w:szCs w:val="22"/>
      <w:u w:val="single"/>
      <w:lang w:val="en-GB"/>
    </w:rPr>
  </w:style>
  <w:style w:type="paragraph" w:customStyle="1" w:styleId="HeadingIVX">
    <w:name w:val="Heading IVX"/>
    <w:basedOn w:val="HeadingLeft"/>
    <w:next w:val="Normal"/>
    <w:uiPriority w:val="99"/>
    <w:rsid w:val="00BE4672"/>
    <w:pPr>
      <w:numPr>
        <w:numId w:val="30"/>
      </w:numPr>
      <w:tabs>
        <w:tab w:val="num" w:pos="360"/>
        <w:tab w:val="left" w:pos="567"/>
      </w:tabs>
      <w:ind w:left="0" w:firstLine="0"/>
    </w:pPr>
  </w:style>
  <w:style w:type="paragraph" w:customStyle="1" w:styleId="Heading123">
    <w:name w:val="Heading 123"/>
    <w:basedOn w:val="HeadingLeft"/>
    <w:next w:val="Normal"/>
    <w:uiPriority w:val="99"/>
    <w:rsid w:val="00BE4672"/>
    <w:pPr>
      <w:numPr>
        <w:numId w:val="29"/>
      </w:numPr>
      <w:tabs>
        <w:tab w:val="num" w:pos="360"/>
        <w:tab w:val="left" w:pos="567"/>
      </w:tabs>
      <w:ind w:left="0" w:firstLine="0"/>
    </w:pPr>
  </w:style>
  <w:style w:type="paragraph" w:customStyle="1" w:styleId="HeadingABC">
    <w:name w:val="Heading ABC"/>
    <w:basedOn w:val="HeadingLeft"/>
    <w:next w:val="Normal"/>
    <w:uiPriority w:val="99"/>
    <w:rsid w:val="00BE4672"/>
    <w:pPr>
      <w:numPr>
        <w:numId w:val="28"/>
      </w:numPr>
      <w:tabs>
        <w:tab w:val="num" w:pos="360"/>
        <w:tab w:val="left" w:pos="567"/>
      </w:tabs>
      <w:ind w:left="0" w:firstLine="0"/>
    </w:pPr>
  </w:style>
  <w:style w:type="paragraph" w:customStyle="1" w:styleId="HeadingCentered">
    <w:name w:val="Heading Centered"/>
    <w:basedOn w:val="HeadingLeft"/>
    <w:next w:val="Normal"/>
    <w:uiPriority w:val="99"/>
    <w:rsid w:val="00BE4672"/>
    <w:pPr>
      <w:jc w:val="center"/>
    </w:pPr>
  </w:style>
  <w:style w:type="paragraph" w:customStyle="1" w:styleId="Jardin">
    <w:name w:val="Jardin"/>
    <w:basedOn w:val="Normal"/>
    <w:uiPriority w:val="99"/>
    <w:rsid w:val="00BE4672"/>
    <w:pPr>
      <w:autoSpaceDE w:val="0"/>
      <w:autoSpaceDN w:val="0"/>
      <w:adjustRightInd w:val="0"/>
      <w:spacing w:before="200"/>
      <w:jc w:val="center"/>
    </w:pPr>
    <w:rPr>
      <w:szCs w:val="22"/>
      <w:lang w:val="en-GB"/>
    </w:rPr>
  </w:style>
  <w:style w:type="paragraph" w:customStyle="1" w:styleId="Amendment">
    <w:name w:val="Amendment"/>
    <w:basedOn w:val="Normal"/>
    <w:next w:val="Normal"/>
    <w:uiPriority w:val="99"/>
    <w:rsid w:val="00BE4672"/>
    <w:pPr>
      <w:autoSpaceDE w:val="0"/>
      <w:autoSpaceDN w:val="0"/>
      <w:adjustRightInd w:val="0"/>
      <w:spacing w:before="120" w:after="120" w:line="360" w:lineRule="auto"/>
    </w:pPr>
    <w:rPr>
      <w:i/>
      <w:szCs w:val="22"/>
      <w:u w:val="single"/>
      <w:lang w:val="en-GB"/>
    </w:rPr>
  </w:style>
  <w:style w:type="paragraph" w:customStyle="1" w:styleId="AmendmentList">
    <w:name w:val="Amendment List"/>
    <w:basedOn w:val="Normal"/>
    <w:uiPriority w:val="99"/>
    <w:rsid w:val="00BE4672"/>
    <w:pPr>
      <w:autoSpaceDE w:val="0"/>
      <w:autoSpaceDN w:val="0"/>
      <w:adjustRightInd w:val="0"/>
      <w:spacing w:before="120" w:after="120" w:line="360" w:lineRule="auto"/>
      <w:ind w:left="2268" w:hanging="2268"/>
    </w:pPr>
    <w:rPr>
      <w:szCs w:val="22"/>
      <w:lang w:val="en-GB"/>
    </w:rPr>
  </w:style>
  <w:style w:type="paragraph" w:customStyle="1" w:styleId="ReplyRE">
    <w:name w:val="Reply RE"/>
    <w:basedOn w:val="Normal"/>
    <w:next w:val="Normal"/>
    <w:uiPriority w:val="99"/>
    <w:rsid w:val="00BE4672"/>
    <w:pPr>
      <w:autoSpaceDE w:val="0"/>
      <w:autoSpaceDN w:val="0"/>
      <w:adjustRightInd w:val="0"/>
      <w:spacing w:before="120" w:after="480"/>
      <w:contextualSpacing/>
    </w:pPr>
    <w:rPr>
      <w:szCs w:val="22"/>
      <w:lang w:val="en-GB"/>
    </w:rPr>
  </w:style>
  <w:style w:type="paragraph" w:customStyle="1" w:styleId="ReplyBold">
    <w:name w:val="Reply Bold"/>
    <w:basedOn w:val="ReplyRE"/>
    <w:next w:val="Normal"/>
    <w:uiPriority w:val="99"/>
    <w:rsid w:val="00BE4672"/>
    <w:rPr>
      <w:b/>
    </w:rPr>
  </w:style>
  <w:style w:type="paragraph" w:customStyle="1" w:styleId="Annex">
    <w:name w:val="Annex"/>
    <w:basedOn w:val="Normal"/>
    <w:next w:val="Normal"/>
    <w:uiPriority w:val="99"/>
    <w:rsid w:val="00BE4672"/>
    <w:pPr>
      <w:autoSpaceDE w:val="0"/>
      <w:autoSpaceDN w:val="0"/>
      <w:adjustRightInd w:val="0"/>
      <w:spacing w:before="120" w:after="120" w:line="360" w:lineRule="auto"/>
      <w:jc w:val="right"/>
    </w:pPr>
    <w:rPr>
      <w:b/>
      <w:szCs w:val="22"/>
      <w:u w:val="single"/>
      <w:lang w:val="en-GB"/>
    </w:rPr>
  </w:style>
  <w:style w:type="paragraph" w:customStyle="1" w:styleId="Sign">
    <w:name w:val="Sign"/>
    <w:basedOn w:val="Normal"/>
    <w:uiPriority w:val="99"/>
    <w:rsid w:val="00BE4672"/>
    <w:pPr>
      <w:tabs>
        <w:tab w:val="center" w:pos="7087"/>
      </w:tabs>
      <w:autoSpaceDE w:val="0"/>
      <w:autoSpaceDN w:val="0"/>
      <w:adjustRightInd w:val="0"/>
      <w:spacing w:before="120" w:after="120" w:line="360" w:lineRule="auto"/>
      <w:contextualSpacing/>
    </w:pPr>
    <w:rPr>
      <w:szCs w:val="22"/>
      <w:lang w:val="en-GB"/>
    </w:rPr>
  </w:style>
  <w:style w:type="paragraph" w:customStyle="1" w:styleId="NotDeclassified">
    <w:name w:val="Not Declassified"/>
    <w:basedOn w:val="Normal"/>
    <w:next w:val="Normal"/>
    <w:uiPriority w:val="99"/>
    <w:qFormat/>
    <w:rsid w:val="00BE4672"/>
    <w:pPr>
      <w:autoSpaceDE w:val="0"/>
      <w:autoSpaceDN w:val="0"/>
      <w:adjustRightInd w:val="0"/>
      <w:spacing w:before="120" w:after="120" w:line="360" w:lineRule="auto"/>
    </w:pPr>
    <w:rPr>
      <w:b/>
      <w:szCs w:val="22"/>
      <w:shd w:val="clear" w:color="auto" w:fill="CCCCCC"/>
      <w:lang w:val="en-GB"/>
    </w:rPr>
  </w:style>
  <w:style w:type="character" w:customStyle="1" w:styleId="NotDeclassifiedCharacter">
    <w:name w:val="Not Declassified Character"/>
    <w:rsid w:val="00BE4672"/>
    <w:rPr>
      <w:rFonts w:ascii="Times New Roman" w:hAnsi="Times New Roman" w:cs="Times New Roman"/>
      <w:b/>
      <w:sz w:val="24"/>
      <w:shd w:val="clear" w:color="auto" w:fill="CCCCCC"/>
    </w:rPr>
  </w:style>
  <w:style w:type="paragraph" w:customStyle="1" w:styleId="NormalCompact">
    <w:name w:val="Normal Compact"/>
    <w:basedOn w:val="Normal"/>
    <w:next w:val="Normal"/>
    <w:uiPriority w:val="99"/>
    <w:rsid w:val="00BE4672"/>
    <w:pPr>
      <w:autoSpaceDE w:val="0"/>
      <w:autoSpaceDN w:val="0"/>
      <w:adjustRightInd w:val="0"/>
      <w:spacing w:before="120" w:after="120"/>
    </w:pPr>
    <w:rPr>
      <w:szCs w:val="22"/>
      <w:lang w:val="en-GB"/>
    </w:rPr>
  </w:style>
  <w:style w:type="paragraph" w:customStyle="1" w:styleId="Sous-titreobjetPagedecouverture">
    <w:name w:val="Sous-titre objet (Page de couverture)"/>
    <w:basedOn w:val="Sous-titreobjet"/>
    <w:uiPriority w:val="99"/>
    <w:rsid w:val="00BE4672"/>
    <w:pPr>
      <w:spacing w:line="240" w:lineRule="auto"/>
    </w:pPr>
    <w:rPr>
      <w:rFonts w:cs="Symbol"/>
    </w:rPr>
  </w:style>
  <w:style w:type="paragraph" w:customStyle="1" w:styleId="Langue">
    <w:name w:val="Langue"/>
    <w:basedOn w:val="Normal"/>
    <w:next w:val="Rfrenceinterne"/>
    <w:uiPriority w:val="99"/>
    <w:rsid w:val="00BE4672"/>
    <w:pPr>
      <w:framePr w:wrap="auto" w:vAnchor="page" w:hAnchor="text" w:xAlign="center" w:y="14742"/>
      <w:autoSpaceDE w:val="0"/>
      <w:autoSpaceDN w:val="0"/>
      <w:adjustRightInd w:val="0"/>
      <w:spacing w:after="600"/>
      <w:jc w:val="center"/>
    </w:pPr>
    <w:rPr>
      <w:rFonts w:cs="Symbol"/>
      <w:b/>
      <w:caps/>
      <w:szCs w:val="22"/>
      <w:lang w:val="en-GB"/>
    </w:rPr>
  </w:style>
  <w:style w:type="paragraph" w:customStyle="1" w:styleId="Pagedecouverture">
    <w:name w:val="Page de couverture"/>
    <w:basedOn w:val="Normal"/>
    <w:next w:val="Normal"/>
    <w:uiPriority w:val="99"/>
    <w:rsid w:val="00BE4672"/>
    <w:pPr>
      <w:autoSpaceDE w:val="0"/>
      <w:autoSpaceDN w:val="0"/>
      <w:adjustRightInd w:val="0"/>
      <w:jc w:val="both"/>
    </w:pPr>
    <w:rPr>
      <w:rFonts w:cs="Symbol"/>
      <w:szCs w:val="22"/>
      <w:lang w:val="en-GB"/>
    </w:rPr>
  </w:style>
  <w:style w:type="paragraph" w:customStyle="1" w:styleId="Annexetitreexpos">
    <w:name w:val="Annexe titre (exposé)"/>
    <w:basedOn w:val="Normal"/>
    <w:next w:val="Normal"/>
    <w:uiPriority w:val="99"/>
    <w:rsid w:val="00BE4672"/>
    <w:pPr>
      <w:autoSpaceDE w:val="0"/>
      <w:autoSpaceDN w:val="0"/>
      <w:adjustRightInd w:val="0"/>
      <w:spacing w:before="120" w:after="120"/>
      <w:jc w:val="center"/>
    </w:pPr>
    <w:rPr>
      <w:rFonts w:cs="Symbol"/>
      <w:b/>
      <w:szCs w:val="22"/>
      <w:u w:val="single"/>
      <w:lang w:val="en-GB"/>
    </w:rPr>
  </w:style>
  <w:style w:type="paragraph" w:customStyle="1" w:styleId="Annexetitrefichefinancire">
    <w:name w:val="Annexe titre (fiche financière)"/>
    <w:basedOn w:val="Normal"/>
    <w:next w:val="Normal"/>
    <w:uiPriority w:val="99"/>
    <w:rsid w:val="00BE4672"/>
    <w:pPr>
      <w:autoSpaceDE w:val="0"/>
      <w:autoSpaceDN w:val="0"/>
      <w:adjustRightInd w:val="0"/>
      <w:spacing w:before="120" w:after="120"/>
      <w:jc w:val="center"/>
    </w:pPr>
    <w:rPr>
      <w:rFonts w:cs="Symbol"/>
      <w:b/>
      <w:szCs w:val="22"/>
      <w:u w:val="single"/>
      <w:lang w:val="en-GB"/>
    </w:rPr>
  </w:style>
  <w:style w:type="paragraph" w:customStyle="1" w:styleId="Corrigendum">
    <w:name w:val="Corrigendum"/>
    <w:basedOn w:val="Normal"/>
    <w:next w:val="Normal"/>
    <w:uiPriority w:val="99"/>
    <w:rsid w:val="00BE4672"/>
    <w:pPr>
      <w:autoSpaceDE w:val="0"/>
      <w:autoSpaceDN w:val="0"/>
      <w:adjustRightInd w:val="0"/>
      <w:spacing w:after="240"/>
    </w:pPr>
    <w:rPr>
      <w:rFonts w:cs="Symbol"/>
      <w:szCs w:val="22"/>
      <w:lang w:val="en-GB"/>
    </w:rPr>
  </w:style>
  <w:style w:type="paragraph" w:customStyle="1" w:styleId="Exposdesmotifstitre">
    <w:name w:val="Exposé des motifs titre"/>
    <w:basedOn w:val="Normal"/>
    <w:next w:val="Normal"/>
    <w:uiPriority w:val="99"/>
    <w:rsid w:val="00BE4672"/>
    <w:pPr>
      <w:autoSpaceDE w:val="0"/>
      <w:autoSpaceDN w:val="0"/>
      <w:adjustRightInd w:val="0"/>
      <w:spacing w:before="120" w:after="120"/>
      <w:jc w:val="center"/>
    </w:pPr>
    <w:rPr>
      <w:rFonts w:cs="Symbol"/>
      <w:b/>
      <w:szCs w:val="22"/>
      <w:u w:val="single"/>
      <w:lang w:val="en-GB"/>
    </w:rPr>
  </w:style>
  <w:style w:type="paragraph" w:customStyle="1" w:styleId="Rfrenceinterne">
    <w:name w:val="Référence interne"/>
    <w:basedOn w:val="Normal"/>
    <w:next w:val="Rfrenceinterinstitutionnelle"/>
    <w:uiPriority w:val="99"/>
    <w:rsid w:val="00BE4672"/>
    <w:pPr>
      <w:autoSpaceDE w:val="0"/>
      <w:autoSpaceDN w:val="0"/>
      <w:adjustRightInd w:val="0"/>
      <w:ind w:left="5103"/>
    </w:pPr>
    <w:rPr>
      <w:rFonts w:cs="Symbol"/>
      <w:szCs w:val="22"/>
      <w:lang w:val="en-GB"/>
    </w:rPr>
  </w:style>
  <w:style w:type="paragraph" w:customStyle="1" w:styleId="Supertitre">
    <w:name w:val="Supertitre"/>
    <w:basedOn w:val="Normal"/>
    <w:next w:val="Normal"/>
    <w:uiPriority w:val="99"/>
    <w:rsid w:val="00BE4672"/>
    <w:pPr>
      <w:autoSpaceDE w:val="0"/>
      <w:autoSpaceDN w:val="0"/>
      <w:adjustRightInd w:val="0"/>
      <w:spacing w:after="600"/>
      <w:jc w:val="center"/>
    </w:pPr>
    <w:rPr>
      <w:rFonts w:cs="Symbol"/>
      <w:b/>
      <w:szCs w:val="22"/>
      <w:lang w:val="en-GB"/>
    </w:rPr>
  </w:style>
  <w:style w:type="paragraph" w:customStyle="1" w:styleId="Languesfaisantfoi">
    <w:name w:val="Langues faisant foi"/>
    <w:basedOn w:val="Normal"/>
    <w:next w:val="Normal"/>
    <w:uiPriority w:val="99"/>
    <w:rsid w:val="00BE4672"/>
    <w:pPr>
      <w:autoSpaceDE w:val="0"/>
      <w:autoSpaceDN w:val="0"/>
      <w:adjustRightInd w:val="0"/>
      <w:spacing w:before="360"/>
      <w:jc w:val="center"/>
    </w:pPr>
    <w:rPr>
      <w:rFonts w:cs="Symbol"/>
      <w:szCs w:val="22"/>
      <w:lang w:val="en-GB"/>
    </w:rPr>
  </w:style>
  <w:style w:type="paragraph" w:customStyle="1" w:styleId="Rfrencecroise">
    <w:name w:val="Référence croisée"/>
    <w:basedOn w:val="Normal"/>
    <w:uiPriority w:val="99"/>
    <w:rsid w:val="00BE4672"/>
    <w:pPr>
      <w:autoSpaceDE w:val="0"/>
      <w:autoSpaceDN w:val="0"/>
      <w:adjustRightInd w:val="0"/>
      <w:jc w:val="center"/>
    </w:pPr>
    <w:rPr>
      <w:rFonts w:cs="Symbol"/>
      <w:szCs w:val="22"/>
      <w:lang w:val="en-GB"/>
    </w:rPr>
  </w:style>
  <w:style w:type="paragraph" w:customStyle="1" w:styleId="Fichefinanciretitre">
    <w:name w:val="Fiche financière titre"/>
    <w:basedOn w:val="Normal"/>
    <w:next w:val="Normal"/>
    <w:uiPriority w:val="99"/>
    <w:rsid w:val="00BE4672"/>
    <w:pPr>
      <w:autoSpaceDE w:val="0"/>
      <w:autoSpaceDN w:val="0"/>
      <w:adjustRightInd w:val="0"/>
      <w:spacing w:before="120" w:after="120"/>
      <w:jc w:val="center"/>
    </w:pPr>
    <w:rPr>
      <w:rFonts w:cs="Symbol"/>
      <w:b/>
      <w:szCs w:val="22"/>
      <w:u w:val="single"/>
      <w:lang w:val="en-GB"/>
    </w:rPr>
  </w:style>
  <w:style w:type="paragraph" w:customStyle="1" w:styleId="DatedadoptionPagedecouverture">
    <w:name w:val="Date d'adoption (Page de couverture)"/>
    <w:basedOn w:val="Datedadoption"/>
    <w:next w:val="TitreobjetPagedecouverture"/>
    <w:uiPriority w:val="99"/>
    <w:rsid w:val="00BE4672"/>
    <w:pPr>
      <w:spacing w:line="240" w:lineRule="auto"/>
    </w:pPr>
    <w:rPr>
      <w:rFonts w:cs="Symbol"/>
    </w:rPr>
  </w:style>
  <w:style w:type="paragraph" w:customStyle="1" w:styleId="RfrenceinterinstitutionnellePagedecouverture">
    <w:name w:val="Référence interinstitutionnelle (Page de couverture)"/>
    <w:basedOn w:val="Rfrenceinterinstitutionnelle"/>
    <w:next w:val="Confidentialit"/>
    <w:uiPriority w:val="99"/>
    <w:rsid w:val="00BE4672"/>
    <w:pPr>
      <w:spacing w:line="240" w:lineRule="auto"/>
    </w:pPr>
    <w:rPr>
      <w:rFonts w:cs="Symbol"/>
    </w:rPr>
  </w:style>
  <w:style w:type="paragraph" w:customStyle="1" w:styleId="StatutPagedecouverture">
    <w:name w:val="Statut (Page de couverture)"/>
    <w:basedOn w:val="Statut"/>
    <w:next w:val="TypedudocumentPagedecouverture"/>
    <w:uiPriority w:val="99"/>
    <w:rsid w:val="00BE4672"/>
    <w:pPr>
      <w:spacing w:line="240" w:lineRule="auto"/>
    </w:pPr>
    <w:rPr>
      <w:rFonts w:cs="Symbol"/>
    </w:rPr>
  </w:style>
  <w:style w:type="paragraph" w:customStyle="1" w:styleId="TitreobjetPagedecouverture">
    <w:name w:val="Titre objet (Page de couverture)"/>
    <w:basedOn w:val="Titreobjet"/>
    <w:next w:val="IntrtEEEPagedecouverture"/>
    <w:uiPriority w:val="99"/>
    <w:rsid w:val="00BE4672"/>
    <w:pPr>
      <w:spacing w:line="240" w:lineRule="auto"/>
    </w:pPr>
    <w:rPr>
      <w:rFonts w:cs="Symbol"/>
    </w:rPr>
  </w:style>
  <w:style w:type="paragraph" w:customStyle="1" w:styleId="TypedudocumentPagedecouverture">
    <w:name w:val="Type du document (Page de couverture)"/>
    <w:basedOn w:val="Typedudocument"/>
    <w:next w:val="TitreobjetPagedecouverture"/>
    <w:uiPriority w:val="99"/>
    <w:rsid w:val="00BE4672"/>
    <w:pPr>
      <w:spacing w:line="240" w:lineRule="auto"/>
    </w:pPr>
    <w:rPr>
      <w:rFonts w:cs="Symbol"/>
    </w:rPr>
  </w:style>
  <w:style w:type="paragraph" w:customStyle="1" w:styleId="Volume">
    <w:name w:val="Volume"/>
    <w:basedOn w:val="Normal"/>
    <w:next w:val="Confidentialit"/>
    <w:uiPriority w:val="99"/>
    <w:rsid w:val="00BE4672"/>
    <w:pPr>
      <w:autoSpaceDE w:val="0"/>
      <w:autoSpaceDN w:val="0"/>
      <w:adjustRightInd w:val="0"/>
      <w:spacing w:after="240"/>
      <w:ind w:left="5103"/>
    </w:pPr>
    <w:rPr>
      <w:rFonts w:cs="Symbol"/>
      <w:szCs w:val="22"/>
      <w:lang w:val="en-GB"/>
    </w:rPr>
  </w:style>
  <w:style w:type="paragraph" w:customStyle="1" w:styleId="Accompagnant">
    <w:name w:val="Accompagnant"/>
    <w:basedOn w:val="Normal"/>
    <w:next w:val="Typeacteprincipal"/>
    <w:uiPriority w:val="99"/>
    <w:rsid w:val="00BE4672"/>
    <w:pPr>
      <w:autoSpaceDE w:val="0"/>
      <w:autoSpaceDN w:val="0"/>
      <w:adjustRightInd w:val="0"/>
      <w:spacing w:after="240"/>
      <w:jc w:val="center"/>
    </w:pPr>
    <w:rPr>
      <w:rFonts w:cs="Symbol"/>
      <w:b/>
      <w:i/>
      <w:szCs w:val="22"/>
      <w:lang w:val="en-GB"/>
    </w:rPr>
  </w:style>
  <w:style w:type="paragraph" w:customStyle="1" w:styleId="Typeacteprincipal">
    <w:name w:val="Type acte principal"/>
    <w:basedOn w:val="Normal"/>
    <w:next w:val="Objetacteprincipal"/>
    <w:uiPriority w:val="99"/>
    <w:rsid w:val="00BE4672"/>
    <w:pPr>
      <w:autoSpaceDE w:val="0"/>
      <w:autoSpaceDN w:val="0"/>
      <w:adjustRightInd w:val="0"/>
      <w:spacing w:after="240"/>
      <w:jc w:val="center"/>
    </w:pPr>
    <w:rPr>
      <w:rFonts w:cs="Symbol"/>
      <w:b/>
      <w:szCs w:val="22"/>
      <w:lang w:val="en-GB"/>
    </w:rPr>
  </w:style>
  <w:style w:type="paragraph" w:customStyle="1" w:styleId="Objetacteprincipal">
    <w:name w:val="Objet acte principal"/>
    <w:basedOn w:val="Normal"/>
    <w:next w:val="Titrearticle"/>
    <w:uiPriority w:val="99"/>
    <w:rsid w:val="00BE4672"/>
    <w:pPr>
      <w:autoSpaceDE w:val="0"/>
      <w:autoSpaceDN w:val="0"/>
      <w:adjustRightInd w:val="0"/>
      <w:spacing w:after="360"/>
      <w:jc w:val="center"/>
    </w:pPr>
    <w:rPr>
      <w:rFonts w:cs="Symbol"/>
      <w:b/>
      <w:szCs w:val="22"/>
      <w:lang w:val="en-GB"/>
    </w:rPr>
  </w:style>
  <w:style w:type="paragraph" w:customStyle="1" w:styleId="IntrtEEEPagedecouverture">
    <w:name w:val="Intérêt EEE (Page de couverture)"/>
    <w:basedOn w:val="IntrtEEE"/>
    <w:next w:val="Rfrencecroise"/>
    <w:uiPriority w:val="99"/>
    <w:rsid w:val="00BE4672"/>
    <w:pPr>
      <w:spacing w:line="240" w:lineRule="auto"/>
    </w:pPr>
    <w:rPr>
      <w:rFonts w:cs="Symbol"/>
    </w:rPr>
  </w:style>
  <w:style w:type="paragraph" w:customStyle="1" w:styleId="AccompagnantPagedecouverture">
    <w:name w:val="Accompagnant (Page de couverture)"/>
    <w:basedOn w:val="Accompagnant"/>
    <w:next w:val="TypeacteprincipalPagedecouverture"/>
    <w:uiPriority w:val="99"/>
    <w:rsid w:val="00BE4672"/>
  </w:style>
  <w:style w:type="paragraph" w:customStyle="1" w:styleId="TypeacteprincipalPagedecouverture">
    <w:name w:val="Type acte principal (Page de couverture)"/>
    <w:basedOn w:val="Typeacteprincipal"/>
    <w:next w:val="ObjetacteprincipalPagedecouverture"/>
    <w:uiPriority w:val="99"/>
    <w:rsid w:val="00BE4672"/>
  </w:style>
  <w:style w:type="paragraph" w:customStyle="1" w:styleId="ObjetacteprincipalPagedecouverture">
    <w:name w:val="Objet acte principal (Page de couverture)"/>
    <w:basedOn w:val="Objetacteprincipal"/>
    <w:next w:val="Rfrencecroise"/>
    <w:uiPriority w:val="99"/>
    <w:rsid w:val="00BE4672"/>
  </w:style>
  <w:style w:type="paragraph" w:customStyle="1" w:styleId="LanguesfaisantfoiPagedecouverture">
    <w:name w:val="Langues faisant foi (Page de couverture)"/>
    <w:basedOn w:val="Normal"/>
    <w:next w:val="Normal"/>
    <w:uiPriority w:val="99"/>
    <w:rsid w:val="00BE4672"/>
    <w:pPr>
      <w:autoSpaceDE w:val="0"/>
      <w:autoSpaceDN w:val="0"/>
      <w:adjustRightInd w:val="0"/>
      <w:spacing w:before="360"/>
      <w:jc w:val="center"/>
    </w:pPr>
    <w:rPr>
      <w:rFonts w:cs="Symbol"/>
      <w:szCs w:val="22"/>
      <w:lang w:val="en-GB"/>
    </w:rPr>
  </w:style>
  <w:style w:type="paragraph" w:customStyle="1" w:styleId="EntText">
    <w:name w:val="EntText"/>
    <w:basedOn w:val="Normal"/>
    <w:uiPriority w:val="99"/>
    <w:rsid w:val="00BE4672"/>
    <w:pPr>
      <w:autoSpaceDE w:val="0"/>
      <w:autoSpaceDN w:val="0"/>
      <w:adjustRightInd w:val="0"/>
      <w:spacing w:before="120" w:after="120" w:line="360" w:lineRule="auto"/>
    </w:pPr>
    <w:rPr>
      <w:rFonts w:cs="Symbol"/>
      <w:szCs w:val="22"/>
      <w:lang w:val="en-GB"/>
    </w:rPr>
  </w:style>
  <w:style w:type="paragraph" w:customStyle="1" w:styleId="Lignefinal">
    <w:name w:val="Ligne final"/>
    <w:basedOn w:val="Normal"/>
    <w:next w:val="Normal"/>
    <w:uiPriority w:val="99"/>
    <w:rsid w:val="00BE4672"/>
    <w:pPr>
      <w:pBdr>
        <w:bottom w:val="single" w:sz="4" w:space="0" w:color="211A2B"/>
      </w:pBdr>
      <w:autoSpaceDE w:val="0"/>
      <w:autoSpaceDN w:val="0"/>
      <w:adjustRightInd w:val="0"/>
      <w:spacing w:before="360" w:after="120" w:line="360" w:lineRule="auto"/>
      <w:ind w:left="3400" w:right="3400"/>
      <w:jc w:val="center"/>
    </w:pPr>
    <w:rPr>
      <w:rFonts w:cs="Symbol"/>
      <w:b/>
      <w:szCs w:val="22"/>
      <w:lang w:val="en-GB"/>
    </w:rPr>
  </w:style>
  <w:style w:type="paragraph" w:customStyle="1" w:styleId="pj">
    <w:name w:val="p.j."/>
    <w:basedOn w:val="Normal"/>
    <w:uiPriority w:val="99"/>
    <w:rsid w:val="00BE4672"/>
    <w:pPr>
      <w:autoSpaceDE w:val="0"/>
      <w:autoSpaceDN w:val="0"/>
      <w:adjustRightInd w:val="0"/>
      <w:spacing w:before="1200" w:after="120"/>
      <w:ind w:left="1440" w:hanging="1440"/>
    </w:pPr>
    <w:rPr>
      <w:rFonts w:cs="Symbol"/>
      <w:szCs w:val="22"/>
      <w:lang w:val="en-GB"/>
    </w:rPr>
  </w:style>
  <w:style w:type="character" w:customStyle="1" w:styleId="pjChar">
    <w:name w:val="p.j. Char"/>
    <w:rsid w:val="00BE4672"/>
    <w:rPr>
      <w:rFonts w:ascii="Times New Roman" w:hAnsi="Times New Roman" w:cs="Symbol"/>
      <w:sz w:val="24"/>
      <w:lang w:val="en-GB"/>
    </w:rPr>
  </w:style>
  <w:style w:type="character" w:customStyle="1" w:styleId="HeaderCouncilChar">
    <w:name w:val="Header Council Char"/>
    <w:rsid w:val="00BE4672"/>
    <w:rPr>
      <w:rFonts w:ascii="Times New Roman" w:hAnsi="Times New Roman" w:cs="Symbol"/>
      <w:sz w:val="2"/>
      <w:lang w:val="en-GB"/>
    </w:rPr>
  </w:style>
  <w:style w:type="character" w:customStyle="1" w:styleId="FooterCouncilChar">
    <w:name w:val="Footer Council Char"/>
    <w:rsid w:val="00BE4672"/>
    <w:rPr>
      <w:rFonts w:ascii="Times New Roman" w:hAnsi="Times New Roman" w:cs="Symbol"/>
      <w:sz w:val="2"/>
      <w:lang w:val="en-GB"/>
    </w:rPr>
  </w:style>
  <w:style w:type="paragraph" w:customStyle="1" w:styleId="DeltaViewTableHeading">
    <w:name w:val="DeltaView Table Heading"/>
    <w:basedOn w:val="Normal"/>
    <w:uiPriority w:val="99"/>
    <w:rsid w:val="00BE4672"/>
    <w:pPr>
      <w:widowControl/>
      <w:autoSpaceDE w:val="0"/>
      <w:autoSpaceDN w:val="0"/>
      <w:adjustRightInd w:val="0"/>
      <w:spacing w:after="120"/>
    </w:pPr>
    <w:rPr>
      <w:rFonts w:ascii="Arial" w:hAnsi="Arial" w:cs="Calibri"/>
      <w:b/>
      <w:szCs w:val="24"/>
      <w:lang w:val="en-US"/>
    </w:rPr>
  </w:style>
  <w:style w:type="paragraph" w:customStyle="1" w:styleId="DeltaViewTableBody">
    <w:name w:val="DeltaView Table Body"/>
    <w:basedOn w:val="Normal"/>
    <w:uiPriority w:val="99"/>
    <w:rsid w:val="00BE4672"/>
    <w:pPr>
      <w:widowControl/>
      <w:autoSpaceDE w:val="0"/>
      <w:autoSpaceDN w:val="0"/>
      <w:adjustRightInd w:val="0"/>
    </w:pPr>
    <w:rPr>
      <w:rFonts w:ascii="Arial" w:hAnsi="Arial" w:cs="Calibri"/>
      <w:szCs w:val="24"/>
      <w:lang w:val="en-US"/>
    </w:rPr>
  </w:style>
  <w:style w:type="paragraph" w:customStyle="1" w:styleId="DeltaViewAnnounce">
    <w:name w:val="DeltaView Announce"/>
    <w:uiPriority w:val="99"/>
    <w:rsid w:val="00BE4672"/>
    <w:pPr>
      <w:autoSpaceDE w:val="0"/>
      <w:autoSpaceDN w:val="0"/>
      <w:adjustRightInd w:val="0"/>
      <w:spacing w:before="100" w:beforeAutospacing="1" w:after="100" w:afterAutospacing="1"/>
    </w:pPr>
    <w:rPr>
      <w:rFonts w:ascii="Arial" w:hAnsi="Arial" w:cs="Calibri"/>
      <w:sz w:val="24"/>
      <w:szCs w:val="24"/>
      <w:lang w:val="en-GB" w:eastAsia="en-GB"/>
    </w:rPr>
  </w:style>
  <w:style w:type="paragraph" w:customStyle="1" w:styleId="BodyText1">
    <w:name w:val="Body Text1"/>
    <w:basedOn w:val="Normal"/>
    <w:next w:val="Num"/>
    <w:uiPriority w:val="99"/>
    <w:rsid w:val="00BE4672"/>
    <w:pPr>
      <w:widowControl/>
      <w:autoSpaceDE w:val="0"/>
      <w:autoSpaceDN w:val="0"/>
      <w:adjustRightInd w:val="0"/>
    </w:pPr>
    <w:rPr>
      <w:rFonts w:ascii="Calibri" w:hAnsi="Calibri" w:cs="Calibri"/>
      <w:sz w:val="18"/>
      <w:szCs w:val="24"/>
      <w:lang w:val="en-US"/>
    </w:rPr>
  </w:style>
  <w:style w:type="character" w:customStyle="1" w:styleId="BodyTextChar">
    <w:name w:val="Body Text Char"/>
    <w:link w:val="BodyText"/>
    <w:uiPriority w:val="99"/>
    <w:rsid w:val="00BE4672"/>
    <w:rPr>
      <w:rFonts w:ascii="Calibri" w:hAnsi="Calibri" w:cs="Calibri"/>
      <w:sz w:val="18"/>
      <w:szCs w:val="24"/>
    </w:rPr>
  </w:style>
  <w:style w:type="character" w:customStyle="1" w:styleId="DeltaViewInsertion">
    <w:name w:val="DeltaView Insertion"/>
    <w:uiPriority w:val="99"/>
    <w:rsid w:val="00BE4672"/>
    <w:rPr>
      <w:b/>
      <w:i/>
      <w:color w:val="000000"/>
    </w:rPr>
  </w:style>
  <w:style w:type="character" w:customStyle="1" w:styleId="DeltaViewDeletion">
    <w:name w:val="DeltaView Deletion"/>
    <w:uiPriority w:val="99"/>
    <w:rsid w:val="00BE4672"/>
    <w:rPr>
      <w:strike/>
      <w:color w:val="000000"/>
    </w:rPr>
  </w:style>
  <w:style w:type="character" w:customStyle="1" w:styleId="DeltaViewMoveSource">
    <w:name w:val="DeltaView Move Source"/>
    <w:uiPriority w:val="99"/>
    <w:rsid w:val="00BE4672"/>
    <w:rPr>
      <w:strike/>
      <w:color w:val="000000"/>
    </w:rPr>
  </w:style>
  <w:style w:type="character" w:customStyle="1" w:styleId="DeltaViewMoveDestination">
    <w:name w:val="DeltaView Move Destination"/>
    <w:uiPriority w:val="99"/>
    <w:rsid w:val="00BE4672"/>
    <w:rPr>
      <w:color w:val="000000"/>
      <w:u w:val="double"/>
    </w:rPr>
  </w:style>
  <w:style w:type="character" w:customStyle="1" w:styleId="DeltaViewChangeNumber">
    <w:name w:val="DeltaView Change Number"/>
    <w:uiPriority w:val="99"/>
    <w:rsid w:val="00BE4672"/>
    <w:rPr>
      <w:color w:val="000000"/>
      <w:vertAlign w:val="superscript"/>
    </w:rPr>
  </w:style>
  <w:style w:type="character" w:customStyle="1" w:styleId="DeltaViewDelimiter">
    <w:name w:val="DeltaView Delimiter"/>
    <w:uiPriority w:val="99"/>
    <w:rsid w:val="00BE4672"/>
  </w:style>
  <w:style w:type="paragraph" w:customStyle="1" w:styleId="DocumentMap1">
    <w:name w:val="Document Map1"/>
    <w:basedOn w:val="Normal"/>
    <w:next w:val="ScetionTitle"/>
    <w:uiPriority w:val="99"/>
    <w:rsid w:val="00BE4672"/>
    <w:pPr>
      <w:widowControl/>
      <w:shd w:val="clear" w:color="auto" w:fill="000080"/>
      <w:autoSpaceDE w:val="0"/>
      <w:autoSpaceDN w:val="0"/>
      <w:adjustRightInd w:val="0"/>
    </w:pPr>
    <w:rPr>
      <w:rFonts w:ascii="Tahoma" w:hAnsi="Tahoma" w:cs="Calibri"/>
      <w:szCs w:val="24"/>
      <w:lang w:val="en-US"/>
    </w:rPr>
  </w:style>
  <w:style w:type="character" w:customStyle="1" w:styleId="DocumentMapChar">
    <w:name w:val="Document Map Char"/>
    <w:link w:val="DocumentMap"/>
    <w:uiPriority w:val="99"/>
    <w:rsid w:val="00BE4672"/>
    <w:rPr>
      <w:rFonts w:ascii="Tahoma" w:hAnsi="Tahoma" w:cs="Calibri"/>
      <w:sz w:val="24"/>
      <w:szCs w:val="24"/>
    </w:rPr>
  </w:style>
  <w:style w:type="character" w:customStyle="1" w:styleId="DeltaViewFormatChange">
    <w:name w:val="DeltaView Format Change"/>
    <w:uiPriority w:val="99"/>
    <w:rsid w:val="00BE4672"/>
    <w:rPr>
      <w:color w:val="000000"/>
    </w:rPr>
  </w:style>
  <w:style w:type="character" w:customStyle="1" w:styleId="DeltaViewMovedDeletion">
    <w:name w:val="DeltaView Moved Deletion"/>
    <w:uiPriority w:val="99"/>
    <w:rsid w:val="00BE4672"/>
    <w:rPr>
      <w:strike/>
      <w:color w:val="C08080"/>
    </w:rPr>
  </w:style>
  <w:style w:type="character" w:customStyle="1" w:styleId="DeltaViewComment">
    <w:name w:val="DeltaView Comment"/>
    <w:uiPriority w:val="99"/>
    <w:rsid w:val="00BE4672"/>
    <w:rPr>
      <w:color w:val="000000"/>
    </w:rPr>
  </w:style>
  <w:style w:type="character" w:customStyle="1" w:styleId="DeltaViewStyleChangeText">
    <w:name w:val="DeltaView Style Change Text"/>
    <w:uiPriority w:val="99"/>
    <w:rsid w:val="00BE4672"/>
    <w:rPr>
      <w:color w:val="000000"/>
      <w:u w:val="double"/>
    </w:rPr>
  </w:style>
  <w:style w:type="character" w:customStyle="1" w:styleId="DeltaViewStyleChangeLabel">
    <w:name w:val="DeltaView Style Change Label"/>
    <w:uiPriority w:val="99"/>
    <w:rsid w:val="00BE4672"/>
    <w:rPr>
      <w:color w:val="000000"/>
    </w:rPr>
  </w:style>
  <w:style w:type="character" w:customStyle="1" w:styleId="DeltaViewInsertedComment">
    <w:name w:val="DeltaView Inserted Comment"/>
    <w:uiPriority w:val="99"/>
    <w:rsid w:val="00BE4672"/>
    <w:rPr>
      <w:color w:val="0000FF"/>
      <w:u w:val="double"/>
    </w:rPr>
  </w:style>
  <w:style w:type="character" w:customStyle="1" w:styleId="DeltaViewDeletedComment">
    <w:name w:val="DeltaView Deleted Comment"/>
    <w:uiPriority w:val="99"/>
    <w:rsid w:val="00BE4672"/>
    <w:rPr>
      <w:strike/>
      <w:color w:val="FF0000"/>
    </w:rPr>
  </w:style>
  <w:style w:type="paragraph" w:customStyle="1" w:styleId="CM4">
    <w:name w:val="CM4"/>
    <w:basedOn w:val="Normal"/>
    <w:next w:val="Normal"/>
    <w:uiPriority w:val="99"/>
    <w:rsid w:val="00BE4672"/>
    <w:pPr>
      <w:widowControl/>
      <w:autoSpaceDE w:val="0"/>
      <w:autoSpaceDN w:val="0"/>
      <w:adjustRightInd w:val="0"/>
    </w:pPr>
    <w:rPr>
      <w:rFonts w:ascii="EUAlbertina" w:eastAsia="Calibri" w:hAnsi="EUAlbertina" w:cs="Arial"/>
      <w:szCs w:val="24"/>
      <w:lang w:val="en-GB" w:eastAsia="en-US"/>
    </w:rPr>
  </w:style>
  <w:style w:type="paragraph" w:customStyle="1" w:styleId="CM1">
    <w:name w:val="CM1"/>
    <w:basedOn w:val="Normal"/>
    <w:next w:val="Normal"/>
    <w:uiPriority w:val="99"/>
    <w:rsid w:val="00BE4672"/>
    <w:pPr>
      <w:widowControl/>
      <w:autoSpaceDE w:val="0"/>
      <w:autoSpaceDN w:val="0"/>
      <w:adjustRightInd w:val="0"/>
      <w:spacing w:line="360" w:lineRule="auto"/>
    </w:pPr>
    <w:rPr>
      <w:rFonts w:ascii="EUAlbertina" w:hAnsi="EUAlbertina"/>
      <w:szCs w:val="24"/>
      <w:lang w:val="en-GB" w:eastAsia="en-US"/>
    </w:rPr>
  </w:style>
  <w:style w:type="paragraph" w:customStyle="1" w:styleId="CM3">
    <w:name w:val="CM3"/>
    <w:basedOn w:val="Normal"/>
    <w:next w:val="Normal"/>
    <w:uiPriority w:val="99"/>
    <w:rsid w:val="00BE4672"/>
    <w:pPr>
      <w:widowControl/>
      <w:autoSpaceDE w:val="0"/>
      <w:autoSpaceDN w:val="0"/>
      <w:adjustRightInd w:val="0"/>
      <w:spacing w:line="360" w:lineRule="auto"/>
    </w:pPr>
    <w:rPr>
      <w:rFonts w:ascii="EUAlbertina" w:hAnsi="EUAlbertina"/>
      <w:szCs w:val="24"/>
      <w:lang w:val="en-GB" w:eastAsia="en-US"/>
    </w:rPr>
  </w:style>
  <w:style w:type="paragraph" w:styleId="ListNumber">
    <w:name w:val="List Number"/>
    <w:basedOn w:val="Normal"/>
    <w:uiPriority w:val="99"/>
    <w:unhideWhenUsed/>
    <w:rsid w:val="00BE4672"/>
    <w:pPr>
      <w:widowControl/>
      <w:tabs>
        <w:tab w:val="num" w:pos="360"/>
      </w:tabs>
      <w:spacing w:before="120" w:after="120" w:line="360" w:lineRule="auto"/>
      <w:contextualSpacing/>
    </w:pPr>
    <w:rPr>
      <w:rFonts w:eastAsia="Calibri"/>
      <w:szCs w:val="22"/>
      <w:lang w:val="en-GB" w:eastAsia="en-US"/>
    </w:rPr>
  </w:style>
  <w:style w:type="character" w:customStyle="1" w:styleId="italic1">
    <w:name w:val="italic1"/>
    <w:rsid w:val="00BE4672"/>
    <w:rPr>
      <w:i/>
      <w:iCs/>
    </w:rPr>
  </w:style>
  <w:style w:type="character" w:customStyle="1" w:styleId="FollowedHyperlink1">
    <w:name w:val="FollowedHyperlink1"/>
    <w:uiPriority w:val="99"/>
    <w:semiHidden/>
    <w:unhideWhenUsed/>
    <w:rsid w:val="00BE4672"/>
    <w:rPr>
      <w:color w:val="800080"/>
      <w:u w:val="single"/>
    </w:rPr>
  </w:style>
  <w:style w:type="paragraph" w:styleId="BalloonText">
    <w:name w:val="Balloon Text"/>
    <w:basedOn w:val="Normal"/>
    <w:link w:val="BalloonTextChar1"/>
    <w:uiPriority w:val="99"/>
    <w:rsid w:val="00BE4672"/>
    <w:rPr>
      <w:rFonts w:ascii="Segoe UI" w:hAnsi="Segoe UI" w:cs="Segoe UI"/>
      <w:sz w:val="18"/>
      <w:szCs w:val="18"/>
      <w:lang w:val="en-GB"/>
    </w:rPr>
  </w:style>
  <w:style w:type="character" w:customStyle="1" w:styleId="BalloonTextChar1">
    <w:name w:val="Balloon Text Char1"/>
    <w:basedOn w:val="DefaultParagraphFont"/>
    <w:link w:val="BalloonText"/>
    <w:uiPriority w:val="99"/>
    <w:rsid w:val="00BE4672"/>
    <w:rPr>
      <w:rFonts w:ascii="Segoe UI" w:hAnsi="Segoe UI" w:cs="Segoe UI"/>
      <w:sz w:val="18"/>
      <w:szCs w:val="18"/>
      <w:lang w:val="en-GB" w:eastAsia="en-GB"/>
    </w:rPr>
  </w:style>
  <w:style w:type="paragraph" w:styleId="ListParagraph">
    <w:name w:val="List Paragraph"/>
    <w:basedOn w:val="Normal"/>
    <w:uiPriority w:val="34"/>
    <w:qFormat/>
    <w:rsid w:val="00BE4672"/>
    <w:pPr>
      <w:ind w:left="720"/>
    </w:pPr>
    <w:rPr>
      <w:lang w:val="en-GB"/>
    </w:rPr>
  </w:style>
  <w:style w:type="paragraph" w:styleId="Revision">
    <w:name w:val="Revision"/>
    <w:hidden/>
    <w:uiPriority w:val="99"/>
    <w:semiHidden/>
    <w:rsid w:val="00BE4672"/>
    <w:rPr>
      <w:sz w:val="24"/>
      <w:lang w:val="en-GB" w:eastAsia="en-GB"/>
    </w:rPr>
  </w:style>
  <w:style w:type="table" w:styleId="TableGrid">
    <w:name w:val="Table Grid"/>
    <w:basedOn w:val="TableNormal"/>
    <w:rsid w:val="00BE467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rsid w:val="00BE4672"/>
    <w:rPr>
      <w:szCs w:val="24"/>
      <w:lang w:val="en-GB"/>
    </w:rPr>
  </w:style>
  <w:style w:type="paragraph" w:styleId="BodyText">
    <w:name w:val="Body Text"/>
    <w:basedOn w:val="Normal"/>
    <w:link w:val="BodyTextChar"/>
    <w:uiPriority w:val="99"/>
    <w:rsid w:val="00BE4672"/>
    <w:pPr>
      <w:spacing w:after="120"/>
    </w:pPr>
    <w:rPr>
      <w:rFonts w:ascii="Calibri" w:hAnsi="Calibri" w:cs="Calibri"/>
      <w:sz w:val="18"/>
      <w:szCs w:val="24"/>
      <w:lang w:eastAsia="fr-FR"/>
    </w:rPr>
  </w:style>
  <w:style w:type="character" w:customStyle="1" w:styleId="BodyTextChar1">
    <w:name w:val="Body Text Char1"/>
    <w:basedOn w:val="DefaultParagraphFont"/>
    <w:uiPriority w:val="99"/>
    <w:rsid w:val="00BE4672"/>
    <w:rPr>
      <w:sz w:val="24"/>
      <w:lang w:eastAsia="en-GB"/>
    </w:rPr>
  </w:style>
  <w:style w:type="paragraph" w:styleId="DocumentMap">
    <w:name w:val="Document Map"/>
    <w:basedOn w:val="Normal"/>
    <w:link w:val="DocumentMapChar"/>
    <w:uiPriority w:val="99"/>
    <w:rsid w:val="00BE4672"/>
    <w:rPr>
      <w:rFonts w:ascii="Tahoma" w:hAnsi="Tahoma" w:cs="Calibri"/>
      <w:szCs w:val="24"/>
      <w:lang w:eastAsia="fr-FR"/>
    </w:rPr>
  </w:style>
  <w:style w:type="character" w:customStyle="1" w:styleId="DocumentMapChar1">
    <w:name w:val="Document Map Char1"/>
    <w:basedOn w:val="DefaultParagraphFont"/>
    <w:uiPriority w:val="99"/>
    <w:rsid w:val="00BE4672"/>
    <w:rPr>
      <w:rFonts w:ascii="Segoe UI" w:hAnsi="Segoe UI" w:cs="Segoe UI"/>
      <w:sz w:val="16"/>
      <w:szCs w:val="16"/>
      <w:lang w:eastAsia="en-GB"/>
    </w:rPr>
  </w:style>
  <w:style w:type="character" w:styleId="FollowedHyperlink">
    <w:name w:val="FollowedHyperlink"/>
    <w:basedOn w:val="DefaultParagraphFont"/>
    <w:uiPriority w:val="99"/>
    <w:rsid w:val="00BE4672"/>
    <w:rPr>
      <w:color w:val="954F72" w:themeColor="followedHyperlink"/>
      <w:u w:val="single"/>
    </w:rPr>
  </w:style>
  <w:style w:type="numbering" w:customStyle="1" w:styleId="NoList2">
    <w:name w:val="No List2"/>
    <w:next w:val="NoList"/>
    <w:uiPriority w:val="99"/>
    <w:semiHidden/>
    <w:unhideWhenUsed/>
    <w:rsid w:val="009C7E1C"/>
  </w:style>
  <w:style w:type="character" w:styleId="Emphasis">
    <w:name w:val="Emphasis"/>
    <w:uiPriority w:val="20"/>
    <w:qFormat/>
    <w:rsid w:val="009C7E1C"/>
    <w:rPr>
      <w:i/>
      <w:iCs w:val="0"/>
    </w:rPr>
  </w:style>
  <w:style w:type="paragraph" w:customStyle="1" w:styleId="msonormal0">
    <w:name w:val="msonormal"/>
    <w:basedOn w:val="Normal"/>
    <w:uiPriority w:val="99"/>
    <w:rsid w:val="009C7E1C"/>
    <w:pPr>
      <w:widowControl/>
      <w:spacing w:before="120" w:after="120" w:line="360" w:lineRule="auto"/>
    </w:pPr>
    <w:rPr>
      <w:rFonts w:eastAsia="Calibri"/>
      <w:szCs w:val="24"/>
      <w:lang w:eastAsia="en-US"/>
    </w:rPr>
  </w:style>
  <w:style w:type="paragraph" w:styleId="TOC1">
    <w:name w:val="toc 1"/>
    <w:basedOn w:val="Normal"/>
    <w:next w:val="Normal"/>
    <w:autoRedefine/>
    <w:uiPriority w:val="39"/>
    <w:unhideWhenUsed/>
    <w:rsid w:val="009C7E1C"/>
    <w:pPr>
      <w:tabs>
        <w:tab w:val="right" w:leader="dot" w:pos="9071"/>
      </w:tabs>
      <w:autoSpaceDE w:val="0"/>
      <w:autoSpaceDN w:val="0"/>
      <w:adjustRightInd w:val="0"/>
      <w:spacing w:before="60" w:after="120" w:line="360" w:lineRule="auto"/>
      <w:ind w:left="850" w:hanging="850"/>
    </w:pPr>
    <w:rPr>
      <w:szCs w:val="22"/>
    </w:rPr>
  </w:style>
  <w:style w:type="paragraph" w:styleId="TOC2">
    <w:name w:val="toc 2"/>
    <w:basedOn w:val="Normal"/>
    <w:next w:val="Normal"/>
    <w:autoRedefine/>
    <w:uiPriority w:val="39"/>
    <w:unhideWhenUsed/>
    <w:rsid w:val="009C7E1C"/>
    <w:pPr>
      <w:tabs>
        <w:tab w:val="right" w:leader="dot" w:pos="9071"/>
      </w:tabs>
      <w:autoSpaceDE w:val="0"/>
      <w:autoSpaceDN w:val="0"/>
      <w:adjustRightInd w:val="0"/>
      <w:spacing w:before="60" w:after="120" w:line="360" w:lineRule="auto"/>
      <w:ind w:left="850" w:hanging="850"/>
    </w:pPr>
    <w:rPr>
      <w:szCs w:val="22"/>
    </w:rPr>
  </w:style>
  <w:style w:type="paragraph" w:styleId="TOC3">
    <w:name w:val="toc 3"/>
    <w:basedOn w:val="Normal"/>
    <w:next w:val="Normal"/>
    <w:autoRedefine/>
    <w:uiPriority w:val="39"/>
    <w:unhideWhenUsed/>
    <w:rsid w:val="009C7E1C"/>
    <w:pPr>
      <w:tabs>
        <w:tab w:val="right" w:leader="dot" w:pos="9071"/>
      </w:tabs>
      <w:autoSpaceDE w:val="0"/>
      <w:autoSpaceDN w:val="0"/>
      <w:adjustRightInd w:val="0"/>
      <w:spacing w:before="60" w:after="120" w:line="360" w:lineRule="auto"/>
      <w:ind w:left="850" w:hanging="850"/>
    </w:pPr>
    <w:rPr>
      <w:szCs w:val="22"/>
    </w:rPr>
  </w:style>
  <w:style w:type="paragraph" w:styleId="TOC4">
    <w:name w:val="toc 4"/>
    <w:basedOn w:val="Normal"/>
    <w:next w:val="Normal"/>
    <w:autoRedefine/>
    <w:uiPriority w:val="39"/>
    <w:unhideWhenUsed/>
    <w:rsid w:val="009C7E1C"/>
    <w:pPr>
      <w:tabs>
        <w:tab w:val="right" w:leader="dot" w:pos="9071"/>
      </w:tabs>
      <w:autoSpaceDE w:val="0"/>
      <w:autoSpaceDN w:val="0"/>
      <w:adjustRightInd w:val="0"/>
      <w:spacing w:before="60" w:after="120" w:line="360" w:lineRule="auto"/>
      <w:ind w:left="850" w:hanging="850"/>
    </w:pPr>
    <w:rPr>
      <w:szCs w:val="22"/>
    </w:rPr>
  </w:style>
  <w:style w:type="paragraph" w:styleId="TOC5">
    <w:name w:val="toc 5"/>
    <w:basedOn w:val="Normal"/>
    <w:next w:val="Normal"/>
    <w:autoRedefine/>
    <w:uiPriority w:val="39"/>
    <w:unhideWhenUsed/>
    <w:rsid w:val="009C7E1C"/>
    <w:pPr>
      <w:tabs>
        <w:tab w:val="right" w:leader="dot" w:pos="9071"/>
      </w:tabs>
      <w:autoSpaceDE w:val="0"/>
      <w:autoSpaceDN w:val="0"/>
      <w:adjustRightInd w:val="0"/>
      <w:spacing w:before="300" w:after="120" w:line="360" w:lineRule="auto"/>
    </w:pPr>
    <w:rPr>
      <w:szCs w:val="22"/>
    </w:rPr>
  </w:style>
  <w:style w:type="paragraph" w:styleId="TOC6">
    <w:name w:val="toc 6"/>
    <w:basedOn w:val="Normal"/>
    <w:next w:val="Normal"/>
    <w:autoRedefine/>
    <w:uiPriority w:val="39"/>
    <w:unhideWhenUsed/>
    <w:rsid w:val="009C7E1C"/>
    <w:pPr>
      <w:tabs>
        <w:tab w:val="right" w:leader="dot" w:pos="9071"/>
      </w:tabs>
      <w:autoSpaceDE w:val="0"/>
      <w:autoSpaceDN w:val="0"/>
      <w:adjustRightInd w:val="0"/>
      <w:spacing w:before="240" w:after="120" w:line="360" w:lineRule="auto"/>
    </w:pPr>
    <w:rPr>
      <w:szCs w:val="22"/>
    </w:rPr>
  </w:style>
  <w:style w:type="paragraph" w:styleId="TOC7">
    <w:name w:val="toc 7"/>
    <w:basedOn w:val="Normal"/>
    <w:next w:val="Normal"/>
    <w:autoRedefine/>
    <w:uiPriority w:val="39"/>
    <w:unhideWhenUsed/>
    <w:rsid w:val="009C7E1C"/>
    <w:pPr>
      <w:tabs>
        <w:tab w:val="right" w:leader="dot" w:pos="9071"/>
      </w:tabs>
      <w:autoSpaceDE w:val="0"/>
      <w:autoSpaceDN w:val="0"/>
      <w:adjustRightInd w:val="0"/>
      <w:spacing w:before="180" w:after="120" w:line="360" w:lineRule="auto"/>
    </w:pPr>
    <w:rPr>
      <w:szCs w:val="22"/>
    </w:rPr>
  </w:style>
  <w:style w:type="paragraph" w:styleId="TOC8">
    <w:name w:val="toc 8"/>
    <w:basedOn w:val="Normal"/>
    <w:next w:val="Normal"/>
    <w:autoRedefine/>
    <w:uiPriority w:val="39"/>
    <w:unhideWhenUsed/>
    <w:rsid w:val="009C7E1C"/>
    <w:pPr>
      <w:tabs>
        <w:tab w:val="right" w:leader="dot" w:pos="9071"/>
      </w:tabs>
      <w:autoSpaceDE w:val="0"/>
      <w:autoSpaceDN w:val="0"/>
      <w:adjustRightInd w:val="0"/>
      <w:spacing w:before="120" w:after="120" w:line="360" w:lineRule="auto"/>
    </w:pPr>
    <w:rPr>
      <w:szCs w:val="22"/>
    </w:rPr>
  </w:style>
  <w:style w:type="paragraph" w:styleId="TOC9">
    <w:name w:val="toc 9"/>
    <w:basedOn w:val="Normal"/>
    <w:next w:val="Normal"/>
    <w:autoRedefine/>
    <w:uiPriority w:val="39"/>
    <w:unhideWhenUsed/>
    <w:rsid w:val="009C7E1C"/>
    <w:pPr>
      <w:tabs>
        <w:tab w:val="right" w:leader="dot" w:pos="9071"/>
      </w:tabs>
      <w:autoSpaceDE w:val="0"/>
      <w:autoSpaceDN w:val="0"/>
      <w:adjustRightInd w:val="0"/>
      <w:spacing w:before="120" w:after="120" w:line="360" w:lineRule="auto"/>
    </w:pPr>
    <w:rPr>
      <w:szCs w:val="22"/>
    </w:rPr>
  </w:style>
  <w:style w:type="paragraph" w:styleId="NormalIndent">
    <w:name w:val="Normal Indent"/>
    <w:basedOn w:val="Normal"/>
    <w:uiPriority w:val="99"/>
    <w:unhideWhenUsed/>
    <w:rsid w:val="009C7E1C"/>
    <w:pPr>
      <w:widowControl/>
      <w:spacing w:before="120" w:after="120" w:line="360" w:lineRule="auto"/>
      <w:ind w:left="720"/>
    </w:pPr>
    <w:rPr>
      <w:rFonts w:eastAsia="Calibri"/>
      <w:szCs w:val="22"/>
      <w:lang w:eastAsia="en-US"/>
    </w:rPr>
  </w:style>
  <w:style w:type="character" w:customStyle="1" w:styleId="FootnoteTextChar1">
    <w:name w:val="Footnote Text Char1"/>
    <w:aliases w:val="single space Char1"/>
    <w:uiPriority w:val="99"/>
    <w:semiHidden/>
    <w:rsid w:val="009C7E1C"/>
    <w:rPr>
      <w:rFonts w:eastAsia="Calibri"/>
      <w:lang w:eastAsia="en-US"/>
    </w:rPr>
  </w:style>
  <w:style w:type="paragraph" w:styleId="Caption">
    <w:name w:val="caption"/>
    <w:basedOn w:val="Normal"/>
    <w:next w:val="Normal"/>
    <w:uiPriority w:val="35"/>
    <w:semiHidden/>
    <w:unhideWhenUsed/>
    <w:qFormat/>
    <w:rsid w:val="009C7E1C"/>
    <w:pPr>
      <w:autoSpaceDE w:val="0"/>
      <w:autoSpaceDN w:val="0"/>
      <w:adjustRightInd w:val="0"/>
      <w:spacing w:after="200" w:line="360" w:lineRule="auto"/>
    </w:pPr>
    <w:rPr>
      <w:b/>
      <w:color w:val="4F81BD"/>
      <w:sz w:val="18"/>
      <w:szCs w:val="18"/>
    </w:rPr>
  </w:style>
  <w:style w:type="paragraph" w:styleId="TableofFigures">
    <w:name w:val="table of figures"/>
    <w:basedOn w:val="Normal"/>
    <w:next w:val="Normal"/>
    <w:uiPriority w:val="99"/>
    <w:unhideWhenUsed/>
    <w:rsid w:val="009C7E1C"/>
    <w:pPr>
      <w:autoSpaceDE w:val="0"/>
      <w:autoSpaceDN w:val="0"/>
      <w:adjustRightInd w:val="0"/>
      <w:spacing w:before="120" w:line="360" w:lineRule="auto"/>
    </w:pPr>
    <w:rPr>
      <w:szCs w:val="22"/>
    </w:rPr>
  </w:style>
  <w:style w:type="paragraph" w:styleId="EndnoteText">
    <w:name w:val="endnote text"/>
    <w:basedOn w:val="Normal"/>
    <w:link w:val="EndnoteTextChar"/>
    <w:uiPriority w:val="99"/>
    <w:unhideWhenUsed/>
    <w:rsid w:val="009C7E1C"/>
    <w:pPr>
      <w:widowControl/>
    </w:pPr>
    <w:rPr>
      <w:rFonts w:eastAsia="Calibri"/>
      <w:sz w:val="20"/>
      <w:lang w:eastAsia="en-US"/>
    </w:rPr>
  </w:style>
  <w:style w:type="character" w:customStyle="1" w:styleId="EndnoteTextChar">
    <w:name w:val="Endnote Text Char"/>
    <w:basedOn w:val="DefaultParagraphFont"/>
    <w:link w:val="EndnoteText"/>
    <w:uiPriority w:val="99"/>
    <w:rsid w:val="009C7E1C"/>
    <w:rPr>
      <w:rFonts w:eastAsia="Calibri"/>
      <w:lang w:eastAsia="en-US"/>
    </w:rPr>
  </w:style>
  <w:style w:type="paragraph" w:styleId="ListBullet">
    <w:name w:val="List Bullet"/>
    <w:basedOn w:val="Normal"/>
    <w:uiPriority w:val="99"/>
    <w:unhideWhenUsed/>
    <w:rsid w:val="009C7E1C"/>
    <w:pPr>
      <w:widowControl/>
      <w:tabs>
        <w:tab w:val="num" w:pos="360"/>
      </w:tabs>
      <w:spacing w:before="120" w:after="120" w:line="360" w:lineRule="auto"/>
      <w:ind w:left="360" w:hanging="360"/>
      <w:contextualSpacing/>
    </w:pPr>
    <w:rPr>
      <w:rFonts w:eastAsia="Calibri"/>
      <w:szCs w:val="22"/>
      <w:lang w:eastAsia="en-US"/>
    </w:rPr>
  </w:style>
  <w:style w:type="paragraph" w:styleId="ListBullet2">
    <w:name w:val="List Bullet 2"/>
    <w:basedOn w:val="Normal"/>
    <w:uiPriority w:val="99"/>
    <w:unhideWhenUsed/>
    <w:rsid w:val="009C7E1C"/>
    <w:pPr>
      <w:widowControl/>
      <w:tabs>
        <w:tab w:val="num" w:pos="643"/>
      </w:tabs>
      <w:spacing w:before="120" w:after="120" w:line="360" w:lineRule="auto"/>
      <w:ind w:left="643" w:hanging="360"/>
      <w:contextualSpacing/>
    </w:pPr>
    <w:rPr>
      <w:rFonts w:eastAsia="Calibri"/>
      <w:szCs w:val="22"/>
      <w:lang w:eastAsia="en-US"/>
    </w:rPr>
  </w:style>
  <w:style w:type="paragraph" w:styleId="ListBullet3">
    <w:name w:val="List Bullet 3"/>
    <w:basedOn w:val="Normal"/>
    <w:uiPriority w:val="99"/>
    <w:unhideWhenUsed/>
    <w:rsid w:val="009C7E1C"/>
    <w:pPr>
      <w:widowControl/>
      <w:tabs>
        <w:tab w:val="num" w:pos="926"/>
      </w:tabs>
      <w:spacing w:before="120" w:after="120" w:line="360" w:lineRule="auto"/>
      <w:ind w:left="926" w:hanging="360"/>
      <w:contextualSpacing/>
    </w:pPr>
    <w:rPr>
      <w:rFonts w:eastAsia="Calibri"/>
      <w:szCs w:val="22"/>
      <w:lang w:eastAsia="en-US"/>
    </w:rPr>
  </w:style>
  <w:style w:type="paragraph" w:styleId="ListBullet4">
    <w:name w:val="List Bullet 4"/>
    <w:basedOn w:val="Normal"/>
    <w:uiPriority w:val="99"/>
    <w:unhideWhenUsed/>
    <w:rsid w:val="009C7E1C"/>
    <w:pPr>
      <w:widowControl/>
      <w:tabs>
        <w:tab w:val="num" w:pos="1209"/>
      </w:tabs>
      <w:spacing w:before="120" w:after="120" w:line="360" w:lineRule="auto"/>
      <w:ind w:left="1209" w:hanging="360"/>
      <w:contextualSpacing/>
    </w:pPr>
    <w:rPr>
      <w:rFonts w:eastAsia="Calibri"/>
      <w:szCs w:val="22"/>
      <w:lang w:eastAsia="en-US"/>
    </w:rPr>
  </w:style>
  <w:style w:type="paragraph" w:styleId="ListNumber2">
    <w:name w:val="List Number 2"/>
    <w:basedOn w:val="Normal"/>
    <w:uiPriority w:val="99"/>
    <w:unhideWhenUsed/>
    <w:rsid w:val="009C7E1C"/>
    <w:pPr>
      <w:widowControl/>
      <w:tabs>
        <w:tab w:val="num" w:pos="643"/>
      </w:tabs>
      <w:spacing w:before="120" w:after="120" w:line="360" w:lineRule="auto"/>
      <w:ind w:left="643" w:hanging="360"/>
      <w:contextualSpacing/>
    </w:pPr>
    <w:rPr>
      <w:rFonts w:eastAsia="Calibri"/>
      <w:szCs w:val="22"/>
      <w:lang w:eastAsia="en-US"/>
    </w:rPr>
  </w:style>
  <w:style w:type="paragraph" w:styleId="ListNumber3">
    <w:name w:val="List Number 3"/>
    <w:basedOn w:val="Normal"/>
    <w:uiPriority w:val="99"/>
    <w:unhideWhenUsed/>
    <w:rsid w:val="009C7E1C"/>
    <w:pPr>
      <w:widowControl/>
      <w:tabs>
        <w:tab w:val="num" w:pos="926"/>
      </w:tabs>
      <w:spacing w:before="120" w:after="120" w:line="360" w:lineRule="auto"/>
      <w:ind w:left="926" w:hanging="360"/>
      <w:contextualSpacing/>
    </w:pPr>
    <w:rPr>
      <w:rFonts w:eastAsia="Calibri"/>
      <w:szCs w:val="22"/>
      <w:lang w:eastAsia="en-US"/>
    </w:rPr>
  </w:style>
  <w:style w:type="paragraph" w:styleId="ListNumber4">
    <w:name w:val="List Number 4"/>
    <w:basedOn w:val="Normal"/>
    <w:uiPriority w:val="99"/>
    <w:unhideWhenUsed/>
    <w:rsid w:val="009C7E1C"/>
    <w:pPr>
      <w:widowControl/>
      <w:tabs>
        <w:tab w:val="num" w:pos="850"/>
      </w:tabs>
      <w:spacing w:before="120" w:after="120" w:line="360" w:lineRule="auto"/>
      <w:ind w:left="850" w:hanging="850"/>
      <w:contextualSpacing/>
    </w:pPr>
    <w:rPr>
      <w:rFonts w:eastAsia="Calibri"/>
      <w:szCs w:val="22"/>
      <w:lang w:eastAsia="en-US"/>
    </w:rPr>
  </w:style>
  <w:style w:type="paragraph" w:styleId="PlainText">
    <w:name w:val="Plain Text"/>
    <w:basedOn w:val="Normal"/>
    <w:link w:val="PlainTextChar"/>
    <w:uiPriority w:val="99"/>
    <w:unhideWhenUsed/>
    <w:rsid w:val="009C7E1C"/>
    <w:pPr>
      <w:autoSpaceDE w:val="0"/>
      <w:autoSpaceDN w:val="0"/>
      <w:adjustRightInd w:val="0"/>
    </w:pPr>
    <w:rPr>
      <w:rFonts w:ascii="Calibri" w:hAnsi="Calibri" w:cs="Calibri"/>
      <w:sz w:val="22"/>
      <w:szCs w:val="22"/>
    </w:rPr>
  </w:style>
  <w:style w:type="character" w:customStyle="1" w:styleId="PlainTextChar">
    <w:name w:val="Plain Text Char"/>
    <w:basedOn w:val="DefaultParagraphFont"/>
    <w:link w:val="PlainText"/>
    <w:uiPriority w:val="99"/>
    <w:rsid w:val="009C7E1C"/>
    <w:rPr>
      <w:rFonts w:ascii="Calibri" w:hAnsi="Calibri" w:cs="Calibri"/>
      <w:sz w:val="22"/>
      <w:szCs w:val="22"/>
      <w:lang w:eastAsia="en-GB"/>
    </w:rPr>
  </w:style>
  <w:style w:type="paragraph" w:styleId="TOCHeading">
    <w:name w:val="TOC Heading"/>
    <w:basedOn w:val="Normal"/>
    <w:next w:val="Normal"/>
    <w:uiPriority w:val="39"/>
    <w:semiHidden/>
    <w:unhideWhenUsed/>
    <w:qFormat/>
    <w:rsid w:val="009C7E1C"/>
    <w:pPr>
      <w:autoSpaceDE w:val="0"/>
      <w:autoSpaceDN w:val="0"/>
      <w:adjustRightInd w:val="0"/>
      <w:spacing w:before="120" w:after="240" w:line="360" w:lineRule="auto"/>
      <w:jc w:val="center"/>
    </w:pPr>
    <w:rPr>
      <w:b/>
      <w:sz w:val="28"/>
      <w:szCs w:val="22"/>
    </w:rPr>
  </w:style>
  <w:style w:type="paragraph" w:customStyle="1" w:styleId="Heading11">
    <w:name w:val="Heading 11"/>
    <w:basedOn w:val="Normal"/>
    <w:next w:val="Normal"/>
    <w:uiPriority w:val="9"/>
    <w:qFormat/>
    <w:rsid w:val="009C7E1C"/>
    <w:pPr>
      <w:keepNext/>
      <w:keepLines/>
      <w:autoSpaceDE w:val="0"/>
      <w:autoSpaceDN w:val="0"/>
      <w:adjustRightInd w:val="0"/>
      <w:spacing w:before="480" w:line="360" w:lineRule="auto"/>
      <w:outlineLvl w:val="0"/>
    </w:pPr>
    <w:rPr>
      <w:rFonts w:ascii="Cambria" w:hAnsi="Cambria"/>
      <w:b/>
      <w:color w:val="365F91"/>
      <w:sz w:val="28"/>
      <w:szCs w:val="28"/>
    </w:rPr>
  </w:style>
  <w:style w:type="paragraph" w:customStyle="1" w:styleId="NormaI">
    <w:name w:val="NormaI"/>
    <w:basedOn w:val="Normal"/>
    <w:uiPriority w:val="99"/>
    <w:rsid w:val="009C7E1C"/>
    <w:pPr>
      <w:autoSpaceDE w:val="0"/>
      <w:autoSpaceDN w:val="0"/>
      <w:adjustRightInd w:val="0"/>
      <w:spacing w:before="120" w:after="120"/>
      <w:ind w:left="709"/>
      <w:jc w:val="both"/>
    </w:pPr>
    <w:rPr>
      <w:rFonts w:cs="Calibri"/>
      <w:szCs w:val="22"/>
    </w:rPr>
  </w:style>
  <w:style w:type="paragraph" w:customStyle="1" w:styleId="Annextitre">
    <w:name w:val="Annex titre"/>
    <w:basedOn w:val="Normal"/>
    <w:uiPriority w:val="99"/>
    <w:rsid w:val="009C7E1C"/>
    <w:pPr>
      <w:autoSpaceDE w:val="0"/>
      <w:autoSpaceDN w:val="0"/>
      <w:adjustRightInd w:val="0"/>
      <w:spacing w:before="120" w:after="120"/>
      <w:jc w:val="center"/>
    </w:pPr>
    <w:rPr>
      <w:rFonts w:cs="Calibri"/>
      <w:b/>
      <w:szCs w:val="22"/>
      <w:u w:val="single"/>
    </w:rPr>
  </w:style>
  <w:style w:type="paragraph" w:customStyle="1" w:styleId="Poinntmanual">
    <w:name w:val="Poinnt manual"/>
    <w:basedOn w:val="Normal"/>
    <w:uiPriority w:val="99"/>
    <w:rsid w:val="009C7E1C"/>
    <w:pPr>
      <w:autoSpaceDE w:val="0"/>
      <w:autoSpaceDN w:val="0"/>
      <w:adjustRightInd w:val="0"/>
      <w:spacing w:line="276" w:lineRule="auto"/>
      <w:ind w:left="464" w:hanging="464"/>
    </w:pPr>
    <w:rPr>
      <w:szCs w:val="22"/>
    </w:rPr>
  </w:style>
  <w:style w:type="paragraph" w:customStyle="1" w:styleId="PointManual20">
    <w:name w:val="Point Manual 2"/>
    <w:basedOn w:val="Normal"/>
    <w:uiPriority w:val="99"/>
    <w:rsid w:val="009C7E1C"/>
    <w:pPr>
      <w:autoSpaceDE w:val="0"/>
      <w:autoSpaceDN w:val="0"/>
      <w:adjustRightInd w:val="0"/>
      <w:spacing w:line="360" w:lineRule="auto"/>
    </w:pPr>
    <w:rPr>
      <w:szCs w:val="22"/>
    </w:rPr>
  </w:style>
  <w:style w:type="paragraph" w:customStyle="1" w:styleId="ListNumber1">
    <w:name w:val="List Number1"/>
    <w:basedOn w:val="Normal"/>
    <w:next w:val="ListNumber"/>
    <w:uiPriority w:val="99"/>
    <w:rsid w:val="009C7E1C"/>
    <w:pPr>
      <w:tabs>
        <w:tab w:val="num" w:pos="567"/>
        <w:tab w:val="left" w:pos="709"/>
      </w:tabs>
      <w:autoSpaceDE w:val="0"/>
      <w:autoSpaceDN w:val="0"/>
      <w:adjustRightInd w:val="0"/>
      <w:spacing w:before="120" w:after="120"/>
      <w:ind w:left="709" w:hanging="709"/>
      <w:jc w:val="both"/>
    </w:pPr>
    <w:rPr>
      <w:rFonts w:cs="Symbol"/>
      <w:szCs w:val="22"/>
    </w:rPr>
  </w:style>
  <w:style w:type="paragraph" w:customStyle="1" w:styleId="ListBullet1">
    <w:name w:val="List Bullet 1"/>
    <w:basedOn w:val="Normal"/>
    <w:uiPriority w:val="99"/>
    <w:rsid w:val="009C7E1C"/>
    <w:pPr>
      <w:tabs>
        <w:tab w:val="num" w:pos="567"/>
        <w:tab w:val="left" w:pos="1134"/>
      </w:tabs>
      <w:autoSpaceDE w:val="0"/>
      <w:autoSpaceDN w:val="0"/>
      <w:adjustRightInd w:val="0"/>
      <w:spacing w:before="120" w:after="120"/>
      <w:ind w:left="1134" w:hanging="283"/>
      <w:jc w:val="both"/>
    </w:pPr>
    <w:rPr>
      <w:rFonts w:cs="Symbol"/>
      <w:szCs w:val="22"/>
    </w:rPr>
  </w:style>
  <w:style w:type="paragraph" w:customStyle="1" w:styleId="ListDash1">
    <w:name w:val="List Dash 1"/>
    <w:basedOn w:val="Normal"/>
    <w:uiPriority w:val="99"/>
    <w:rsid w:val="009C7E1C"/>
    <w:pPr>
      <w:tabs>
        <w:tab w:val="left" w:pos="1134"/>
      </w:tabs>
      <w:autoSpaceDE w:val="0"/>
      <w:autoSpaceDN w:val="0"/>
      <w:adjustRightInd w:val="0"/>
      <w:spacing w:before="120" w:after="120"/>
      <w:ind w:left="1134" w:hanging="283"/>
      <w:jc w:val="both"/>
    </w:pPr>
    <w:rPr>
      <w:rFonts w:cs="Symbol"/>
      <w:szCs w:val="22"/>
    </w:rPr>
  </w:style>
  <w:style w:type="paragraph" w:customStyle="1" w:styleId="ListDash2">
    <w:name w:val="List Dash 2"/>
    <w:basedOn w:val="Normal"/>
    <w:uiPriority w:val="99"/>
    <w:rsid w:val="009C7E1C"/>
    <w:pPr>
      <w:tabs>
        <w:tab w:val="left" w:pos="1134"/>
        <w:tab w:val="num" w:pos="1701"/>
      </w:tabs>
      <w:autoSpaceDE w:val="0"/>
      <w:autoSpaceDN w:val="0"/>
      <w:adjustRightInd w:val="0"/>
      <w:spacing w:before="120" w:after="120"/>
      <w:ind w:left="1134" w:hanging="283"/>
      <w:jc w:val="both"/>
    </w:pPr>
    <w:rPr>
      <w:rFonts w:cs="Symbol"/>
      <w:szCs w:val="22"/>
    </w:rPr>
  </w:style>
  <w:style w:type="paragraph" w:customStyle="1" w:styleId="ListNumberLevel2">
    <w:name w:val="List Number (Level 2)"/>
    <w:basedOn w:val="Normal"/>
    <w:uiPriority w:val="99"/>
    <w:rsid w:val="009C7E1C"/>
    <w:pPr>
      <w:tabs>
        <w:tab w:val="num" w:pos="567"/>
        <w:tab w:val="left" w:pos="1417"/>
      </w:tabs>
      <w:autoSpaceDE w:val="0"/>
      <w:autoSpaceDN w:val="0"/>
      <w:adjustRightInd w:val="0"/>
      <w:spacing w:before="120" w:after="120"/>
      <w:ind w:left="1417" w:hanging="708"/>
      <w:jc w:val="both"/>
    </w:pPr>
    <w:rPr>
      <w:rFonts w:cs="Symbol"/>
      <w:szCs w:val="22"/>
    </w:rPr>
  </w:style>
  <w:style w:type="paragraph" w:customStyle="1" w:styleId="ListNumberLevel3">
    <w:name w:val="List Number (Level 3)"/>
    <w:basedOn w:val="Normal"/>
    <w:uiPriority w:val="99"/>
    <w:rsid w:val="009C7E1C"/>
    <w:pPr>
      <w:tabs>
        <w:tab w:val="num" w:pos="567"/>
      </w:tabs>
      <w:autoSpaceDE w:val="0"/>
      <w:autoSpaceDN w:val="0"/>
      <w:adjustRightInd w:val="0"/>
      <w:spacing w:before="120" w:after="120"/>
      <w:ind w:left="2520" w:hanging="360"/>
      <w:jc w:val="both"/>
    </w:pPr>
    <w:rPr>
      <w:rFonts w:cs="Symbol"/>
      <w:szCs w:val="22"/>
    </w:rPr>
  </w:style>
  <w:style w:type="paragraph" w:customStyle="1" w:styleId="ListNumberLevel4">
    <w:name w:val="List Number (Level 4)"/>
    <w:basedOn w:val="Normal"/>
    <w:uiPriority w:val="99"/>
    <w:rsid w:val="009C7E1C"/>
    <w:pPr>
      <w:tabs>
        <w:tab w:val="num" w:pos="2268"/>
      </w:tabs>
      <w:autoSpaceDE w:val="0"/>
      <w:autoSpaceDN w:val="0"/>
      <w:adjustRightInd w:val="0"/>
      <w:spacing w:before="120" w:after="120"/>
      <w:ind w:left="2846" w:hanging="360"/>
      <w:jc w:val="both"/>
    </w:pPr>
    <w:rPr>
      <w:rFonts w:cs="Symbol"/>
      <w:szCs w:val="22"/>
    </w:rPr>
  </w:style>
  <w:style w:type="paragraph" w:customStyle="1" w:styleId="ListBullet10">
    <w:name w:val="List Bullet1"/>
    <w:basedOn w:val="Normal"/>
    <w:next w:val="ListBullet"/>
    <w:uiPriority w:val="99"/>
    <w:rsid w:val="009C7E1C"/>
    <w:pPr>
      <w:tabs>
        <w:tab w:val="left" w:pos="283"/>
        <w:tab w:val="num" w:pos="2268"/>
      </w:tabs>
      <w:autoSpaceDE w:val="0"/>
      <w:autoSpaceDN w:val="0"/>
      <w:adjustRightInd w:val="0"/>
      <w:spacing w:before="120" w:after="120"/>
      <w:ind w:left="283" w:hanging="283"/>
      <w:jc w:val="both"/>
    </w:pPr>
    <w:rPr>
      <w:rFonts w:cs="Symbol"/>
      <w:szCs w:val="22"/>
    </w:rPr>
  </w:style>
  <w:style w:type="paragraph" w:customStyle="1" w:styleId="ListBullet21">
    <w:name w:val="List Bullet 21"/>
    <w:basedOn w:val="Normal"/>
    <w:next w:val="ListBullet2"/>
    <w:uiPriority w:val="99"/>
    <w:rsid w:val="009C7E1C"/>
    <w:pPr>
      <w:tabs>
        <w:tab w:val="left" w:pos="1134"/>
        <w:tab w:val="num" w:pos="2835"/>
      </w:tabs>
      <w:autoSpaceDE w:val="0"/>
      <w:autoSpaceDN w:val="0"/>
      <w:adjustRightInd w:val="0"/>
      <w:spacing w:before="120" w:after="120"/>
      <w:ind w:left="1134" w:hanging="283"/>
      <w:jc w:val="both"/>
    </w:pPr>
    <w:rPr>
      <w:rFonts w:cs="Symbol"/>
      <w:szCs w:val="22"/>
    </w:rPr>
  </w:style>
  <w:style w:type="paragraph" w:customStyle="1" w:styleId="ListBullet31">
    <w:name w:val="List Bullet 31"/>
    <w:basedOn w:val="Normal"/>
    <w:next w:val="ListBullet3"/>
    <w:uiPriority w:val="99"/>
    <w:rsid w:val="009C7E1C"/>
    <w:pPr>
      <w:tabs>
        <w:tab w:val="num" w:pos="567"/>
        <w:tab w:val="left" w:pos="926"/>
      </w:tabs>
      <w:autoSpaceDE w:val="0"/>
      <w:autoSpaceDN w:val="0"/>
      <w:adjustRightInd w:val="0"/>
      <w:spacing w:before="120" w:after="120"/>
      <w:ind w:left="926" w:hanging="567"/>
      <w:contextualSpacing/>
      <w:jc w:val="both"/>
    </w:pPr>
    <w:rPr>
      <w:rFonts w:cs="Symbol"/>
      <w:szCs w:val="22"/>
    </w:rPr>
  </w:style>
  <w:style w:type="paragraph" w:customStyle="1" w:styleId="ListBullet41">
    <w:name w:val="List Bullet 41"/>
    <w:basedOn w:val="Normal"/>
    <w:next w:val="ListBullet4"/>
    <w:uiPriority w:val="99"/>
    <w:rsid w:val="009C7E1C"/>
    <w:pPr>
      <w:tabs>
        <w:tab w:val="num" w:pos="1134"/>
        <w:tab w:val="left" w:pos="1209"/>
      </w:tabs>
      <w:autoSpaceDE w:val="0"/>
      <w:autoSpaceDN w:val="0"/>
      <w:adjustRightInd w:val="0"/>
      <w:spacing w:before="120" w:after="120"/>
      <w:ind w:left="1209" w:hanging="567"/>
      <w:jc w:val="both"/>
    </w:pPr>
    <w:rPr>
      <w:rFonts w:cs="Symbol"/>
      <w:szCs w:val="22"/>
    </w:rPr>
  </w:style>
  <w:style w:type="paragraph" w:customStyle="1" w:styleId="ListNumber21">
    <w:name w:val="List Number 21"/>
    <w:basedOn w:val="Normal"/>
    <w:next w:val="ListNumber2"/>
    <w:uiPriority w:val="99"/>
    <w:rsid w:val="009C7E1C"/>
    <w:pPr>
      <w:tabs>
        <w:tab w:val="num" w:pos="567"/>
        <w:tab w:val="left" w:pos="643"/>
      </w:tabs>
      <w:autoSpaceDE w:val="0"/>
      <w:autoSpaceDN w:val="0"/>
      <w:adjustRightInd w:val="0"/>
      <w:spacing w:before="120" w:after="120"/>
      <w:ind w:left="643" w:hanging="360"/>
      <w:contextualSpacing/>
      <w:jc w:val="both"/>
    </w:pPr>
    <w:rPr>
      <w:rFonts w:cs="Symbol"/>
      <w:szCs w:val="22"/>
    </w:rPr>
  </w:style>
  <w:style w:type="paragraph" w:customStyle="1" w:styleId="ListNumber31">
    <w:name w:val="List Number 31"/>
    <w:basedOn w:val="Normal"/>
    <w:next w:val="ListNumber3"/>
    <w:uiPriority w:val="99"/>
    <w:rsid w:val="009C7E1C"/>
    <w:pPr>
      <w:tabs>
        <w:tab w:val="left" w:pos="926"/>
        <w:tab w:val="num" w:pos="1134"/>
      </w:tabs>
      <w:autoSpaceDE w:val="0"/>
      <w:autoSpaceDN w:val="0"/>
      <w:adjustRightInd w:val="0"/>
      <w:spacing w:before="120" w:after="120"/>
      <w:ind w:left="926" w:hanging="360"/>
      <w:contextualSpacing/>
      <w:jc w:val="both"/>
    </w:pPr>
    <w:rPr>
      <w:rFonts w:cs="Symbol"/>
      <w:szCs w:val="22"/>
    </w:rPr>
  </w:style>
  <w:style w:type="paragraph" w:customStyle="1" w:styleId="ListNumber41">
    <w:name w:val="List Number 41"/>
    <w:basedOn w:val="Normal"/>
    <w:next w:val="ListNumber4"/>
    <w:uiPriority w:val="99"/>
    <w:rsid w:val="009C7E1C"/>
    <w:pPr>
      <w:tabs>
        <w:tab w:val="left" w:pos="1209"/>
        <w:tab w:val="num" w:pos="1701"/>
      </w:tabs>
      <w:autoSpaceDE w:val="0"/>
      <w:autoSpaceDN w:val="0"/>
      <w:adjustRightInd w:val="0"/>
      <w:spacing w:before="120" w:after="120"/>
      <w:ind w:left="1209" w:hanging="360"/>
      <w:contextualSpacing/>
      <w:jc w:val="both"/>
    </w:pPr>
    <w:rPr>
      <w:rFonts w:cs="Symbol"/>
      <w:szCs w:val="22"/>
    </w:rPr>
  </w:style>
  <w:style w:type="paragraph" w:customStyle="1" w:styleId="CommentSubject1">
    <w:name w:val="Comment Subject1"/>
    <w:basedOn w:val="CommentText"/>
    <w:next w:val="CommentText"/>
    <w:uiPriority w:val="99"/>
    <w:rsid w:val="009C7E1C"/>
    <w:pPr>
      <w:autoSpaceDE w:val="0"/>
      <w:autoSpaceDN w:val="0"/>
      <w:adjustRightInd w:val="0"/>
      <w:spacing w:before="120" w:after="120"/>
      <w:jc w:val="both"/>
    </w:pPr>
    <w:rPr>
      <w:rFonts w:cs="Symbol"/>
      <w:b/>
      <w:lang w:val="fr-FR"/>
    </w:rPr>
  </w:style>
  <w:style w:type="paragraph" w:customStyle="1" w:styleId="ti-art2">
    <w:name w:val="ti-art2"/>
    <w:basedOn w:val="Normal"/>
    <w:uiPriority w:val="99"/>
    <w:rsid w:val="009C7E1C"/>
    <w:pPr>
      <w:autoSpaceDE w:val="0"/>
      <w:autoSpaceDN w:val="0"/>
      <w:adjustRightInd w:val="0"/>
      <w:spacing w:before="360" w:after="120" w:line="312" w:lineRule="atLeast"/>
      <w:jc w:val="center"/>
    </w:pPr>
    <w:rPr>
      <w:rFonts w:cs="Symbol"/>
      <w:i/>
      <w:szCs w:val="24"/>
    </w:rPr>
  </w:style>
  <w:style w:type="paragraph" w:customStyle="1" w:styleId="sti-art2">
    <w:name w:val="sti-art2"/>
    <w:basedOn w:val="Normal"/>
    <w:uiPriority w:val="99"/>
    <w:rsid w:val="009C7E1C"/>
    <w:pPr>
      <w:autoSpaceDE w:val="0"/>
      <w:autoSpaceDN w:val="0"/>
      <w:adjustRightInd w:val="0"/>
      <w:spacing w:before="60" w:after="120" w:line="312" w:lineRule="atLeast"/>
      <w:jc w:val="center"/>
    </w:pPr>
    <w:rPr>
      <w:rFonts w:cs="Symbol"/>
      <w:b/>
      <w:szCs w:val="24"/>
    </w:rPr>
  </w:style>
  <w:style w:type="paragraph" w:customStyle="1" w:styleId="normal2">
    <w:name w:val="normal2"/>
    <w:basedOn w:val="Normal"/>
    <w:uiPriority w:val="99"/>
    <w:rsid w:val="009C7E1C"/>
    <w:pPr>
      <w:autoSpaceDE w:val="0"/>
      <w:autoSpaceDN w:val="0"/>
      <w:adjustRightInd w:val="0"/>
      <w:spacing w:before="120" w:after="360" w:line="312" w:lineRule="atLeast"/>
      <w:jc w:val="center"/>
    </w:pPr>
    <w:rPr>
      <w:rFonts w:cs="Symbol"/>
      <w:b/>
      <w:szCs w:val="24"/>
    </w:rPr>
  </w:style>
  <w:style w:type="paragraph" w:customStyle="1" w:styleId="Footnotenumber">
    <w:name w:val="Footnote number"/>
    <w:aliases w:val="fr"/>
    <w:basedOn w:val="Normal"/>
    <w:uiPriority w:val="99"/>
    <w:rsid w:val="009C7E1C"/>
    <w:pPr>
      <w:autoSpaceDE w:val="0"/>
      <w:autoSpaceDN w:val="0"/>
      <w:adjustRightInd w:val="0"/>
      <w:spacing w:after="160" w:line="240" w:lineRule="exact"/>
    </w:pPr>
    <w:rPr>
      <w:rFonts w:ascii="Calibri" w:hAnsi="Calibri" w:cs="Cambria"/>
      <w:sz w:val="22"/>
      <w:szCs w:val="22"/>
      <w:vertAlign w:val="superscript"/>
    </w:rPr>
  </w:style>
  <w:style w:type="paragraph" w:customStyle="1" w:styleId="NormalIndent1">
    <w:name w:val="Normal Indent1"/>
    <w:basedOn w:val="Normal"/>
    <w:next w:val="NormalIndent"/>
    <w:uiPriority w:val="99"/>
    <w:rsid w:val="009C7E1C"/>
    <w:pPr>
      <w:autoSpaceDE w:val="0"/>
      <w:autoSpaceDN w:val="0"/>
      <w:adjustRightInd w:val="0"/>
      <w:spacing w:before="120" w:after="120"/>
      <w:ind w:left="850"/>
      <w:jc w:val="both"/>
    </w:pPr>
    <w:rPr>
      <w:rFonts w:cs="Symbol"/>
      <w:szCs w:val="22"/>
    </w:rPr>
  </w:style>
  <w:style w:type="paragraph" w:customStyle="1" w:styleId="Default">
    <w:name w:val="Default"/>
    <w:uiPriority w:val="99"/>
    <w:rsid w:val="009C7E1C"/>
    <w:pPr>
      <w:autoSpaceDE w:val="0"/>
      <w:autoSpaceDN w:val="0"/>
      <w:adjustRightInd w:val="0"/>
    </w:pPr>
    <w:rPr>
      <w:rFonts w:eastAsia="Calibri"/>
      <w:color w:val="000000"/>
      <w:sz w:val="24"/>
      <w:szCs w:val="24"/>
      <w:lang w:val="en-GB" w:eastAsia="en-US"/>
    </w:rPr>
  </w:style>
  <w:style w:type="character" w:styleId="EndnoteReference">
    <w:name w:val="endnote reference"/>
    <w:uiPriority w:val="99"/>
    <w:unhideWhenUsed/>
    <w:rsid w:val="009C7E1C"/>
    <w:rPr>
      <w:vertAlign w:val="superscript"/>
    </w:rPr>
  </w:style>
  <w:style w:type="character" w:customStyle="1" w:styleId="highlight">
    <w:name w:val="highlight"/>
    <w:rsid w:val="009C7E1C"/>
  </w:style>
  <w:style w:type="character" w:customStyle="1" w:styleId="Heading1Char1">
    <w:name w:val="Heading 1 Char1"/>
    <w:uiPriority w:val="9"/>
    <w:rsid w:val="009C7E1C"/>
    <w:rPr>
      <w:rFonts w:ascii="Cambria" w:eastAsia="Times New Roman" w:hAnsi="Cambria" w:cs="Times New Roman" w:hint="default"/>
      <w:color w:val="365F91"/>
      <w:sz w:val="32"/>
      <w:szCs w:val="32"/>
      <w:lang w:val="fr-FR"/>
    </w:rPr>
  </w:style>
  <w:style w:type="character" w:customStyle="1" w:styleId="CommentSubjectChar1">
    <w:name w:val="Comment Subject Char1"/>
    <w:uiPriority w:val="99"/>
    <w:semiHidden/>
    <w:rsid w:val="009C7E1C"/>
    <w:rPr>
      <w:rFonts w:eastAsia="Calibri"/>
      <w:b/>
      <w:bCs/>
      <w:lang w:val="en-GB" w:eastAsia="en-US"/>
    </w:rPr>
  </w:style>
  <w:style w:type="character" w:customStyle="1" w:styleId="superscript">
    <w:name w:val="superscript"/>
    <w:rsid w:val="009C7E1C"/>
    <w:rPr>
      <w:sz w:val="17"/>
      <w:szCs w:val="17"/>
      <w:vertAlign w:val="superscript"/>
    </w:rPr>
  </w:style>
  <w:style w:type="table" w:customStyle="1" w:styleId="TableGrid2">
    <w:name w:val="Table Grid2"/>
    <w:basedOn w:val="TableNormal"/>
    <w:next w:val="TableGrid"/>
    <w:uiPriority w:val="59"/>
    <w:rsid w:val="009C7E1C"/>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21">
    <w:name w:val="Table Grid21"/>
    <w:basedOn w:val="TableNormal"/>
    <w:uiPriority w:val="59"/>
    <w:rsid w:val="009C7E1C"/>
    <w:rPr>
      <w:rFonts w:ascii="Calibri" w:hAnsi="Calibri" w:cs="Arial"/>
      <w:sz w:val="22"/>
      <w:szCs w:val="22"/>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132">
      <w:bodyDiv w:val="1"/>
      <w:marLeft w:val="0"/>
      <w:marRight w:val="0"/>
      <w:marTop w:val="0"/>
      <w:marBottom w:val="0"/>
      <w:divBdr>
        <w:top w:val="none" w:sz="0" w:space="0" w:color="auto"/>
        <w:left w:val="none" w:sz="0" w:space="0" w:color="auto"/>
        <w:bottom w:val="none" w:sz="0" w:space="0" w:color="auto"/>
        <w:right w:val="none" w:sz="0" w:space="0" w:color="auto"/>
      </w:divBdr>
    </w:div>
    <w:div w:id="10949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13587</Words>
  <Characters>75175</Characters>
  <Application>Microsoft Office Word</Application>
  <DocSecurity>0</DocSecurity>
  <Lines>626</Lines>
  <Paragraphs>177</Paragraphs>
  <ScaleCrop>false</ScaleCrop>
  <HeadingPairs>
    <vt:vector size="2" baseType="variant">
      <vt:variant>
        <vt:lpstr>Title</vt:lpstr>
      </vt:variant>
      <vt:variant>
        <vt:i4>1</vt:i4>
      </vt:variant>
    </vt:vector>
  </HeadingPairs>
  <TitlesOfParts>
    <vt:vector size="1" baseType="lpstr">
      <vt:lpstr>AM_Ple_LegConsolidated</vt:lpstr>
    </vt:vector>
  </TitlesOfParts>
  <Company/>
  <LinksUpToDate>false</LinksUpToDate>
  <CharactersWithSpaces>88585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AM_Ple_LegConsolidated</dc:title>
  <dc:subject/>
  <dc:creator>BOIGUES NAVARRO Josep</dc:creator>
  <cp:keywords/>
  <dc:description/>
  <cp:lastModifiedBy>GIUDICELLI Anne-Marie Véronique</cp:lastModifiedBy>
  <cp:revision>2</cp:revision>
  <cp:lastPrinted>2004-11-28T11:03:00Z</cp:lastPrinted>
  <dcterms:created xsi:type="dcterms:W3CDTF">2019-03-11T15:30:00Z</dcterms:created>
  <dcterms:modified xsi:type="dcterms:W3CDTF">2019-03-11T15:30:00Z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9.5.1 Build [20181101]</vt:lpwstr>
  </property>
  <property fmtid="{D5CDD505-2E9C-101B-9397-08002B2CF9AE}" pid="4" name="LastEdited with">
    <vt:lpwstr>9.5.1 Build [20181101]</vt:lpwstr>
  </property>
  <property fmtid="{D5CDD505-2E9C-101B-9397-08002B2CF9AE}" pid="5" name="&lt;FdR&gt;">
    <vt:lpwstr>1179166</vt:lpwstr>
  </property>
  <property fmtid="{D5CDD505-2E9C-101B-9397-08002B2CF9AE}" pid="6" name="&lt;Type&gt;">
    <vt:lpwstr>AM</vt:lpwstr>
  </property>
  <property fmtid="{D5CDD505-2E9C-101B-9397-08002B2CF9AE}" pid="7" name="&lt;ModelCod&gt;">
    <vt:lpwstr>\\eiciLUXpr1\pdocep$\DocEP\DOCS\General\AM\AM_Leg\AM_Ple_Leg\AM_Ple_LegConsolidated.dot(06/02/2019 07:45:43)</vt:lpwstr>
  </property>
  <property fmtid="{D5CDD505-2E9C-101B-9397-08002B2CF9AE}" pid="8" name="&lt;ModelTra&gt;">
    <vt:lpwstr>\\eiciLUXpr1\pdocep$\DocEP\TRANSFIL\FR\AM_Ple_LegConsolidated.FR(08/02/2019 11:50:11)</vt:lpwstr>
  </property>
  <property fmtid="{D5CDD505-2E9C-101B-9397-08002B2CF9AE}" pid="9" name="&lt;Model&gt;">
    <vt:lpwstr>AM_Ple_LegConsolidated</vt:lpwstr>
  </property>
  <property fmtid="{D5CDD505-2E9C-101B-9397-08002B2CF9AE}" pid="10" name="FooterPath">
    <vt:lpwstr>AM\1179166FR.docx</vt:lpwstr>
  </property>
  <property fmtid="{D5CDD505-2E9C-101B-9397-08002B2CF9AE}" pid="11" name="PE number">
    <vt:lpwstr>635.378</vt:lpwstr>
  </property>
  <property fmtid="{D5CDD505-2E9C-101B-9397-08002B2CF9AE}" pid="12" name="Bookout">
    <vt:lpwstr>OK - 2019/03/11 16:30</vt:lpwstr>
  </property>
  <property fmtid="{D5CDD505-2E9C-101B-9397-08002B2CF9AE}" pid="13" name="SubscribeElise">
    <vt:lpwstr/>
  </property>
</Properties>
</file>