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142BDC" w:rsidRDefault="004D5738">
      <w:pPr>
        <w:pStyle w:val="Interstitial1"/>
      </w:pPr>
      <w:r w:rsidRPr="00142BDC">
        <w:rPr>
          <w:rStyle w:val="HideTWBExt"/>
        </w:rPr>
        <w:t>&lt;RepeatBlock-Amend&gt;&lt;Amend&gt;&lt;Date&gt;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1</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1</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1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1.</w:t>
            </w:r>
            <w:r w:rsidRPr="00142BDC">
              <w:rPr>
                <w:color w:val="auto"/>
              </w:rPr>
              <w:tab/>
              <w:t>katsoo, että sopimus on kahdenvälisesti ja maailmanlaajuisesti strategisen tärkeä</w:t>
            </w:r>
            <w:r w:rsidRPr="00142BDC">
              <w:rPr>
                <w:b/>
                <w:i/>
                <w:color w:val="auto"/>
              </w:rPr>
              <w:t xml:space="preserve"> ja</w:t>
            </w:r>
            <w:r w:rsidRPr="00142BDC">
              <w:rPr>
                <w:color w:val="auto"/>
              </w:rPr>
              <w:t xml:space="preserve"> </w:t>
            </w:r>
            <w:r w:rsidRPr="00142BDC">
              <w:rPr>
                <w:b/>
                <w:i/>
                <w:color w:val="auto"/>
              </w:rPr>
              <w:t>että</w:t>
            </w:r>
            <w:r w:rsidRPr="00142BDC">
              <w:rPr>
                <w:color w:val="auto"/>
              </w:rPr>
              <w:t xml:space="preserve"> </w:t>
            </w:r>
            <w:r w:rsidRPr="00142BDC">
              <w:rPr>
                <w:b/>
                <w:i/>
                <w:color w:val="auto"/>
              </w:rPr>
              <w:t>se antaa oikea-aikaisen signaalin avoimen, oikeudenmukaisen ja arvoihin ja sääntöihin perustuvan kaupan tueksi</w:t>
            </w:r>
            <w:r w:rsidRPr="00142BDC">
              <w:rPr>
                <w:color w:val="auto"/>
              </w:rPr>
              <w:t xml:space="preserve"> </w:t>
            </w:r>
            <w:r w:rsidRPr="00142BDC">
              <w:rPr>
                <w:b/>
                <w:i/>
                <w:color w:val="auto"/>
              </w:rPr>
              <w:t>ja</w:t>
            </w:r>
            <w:r w:rsidRPr="00142BDC">
              <w:rPr>
                <w:color w:val="auto"/>
              </w:rPr>
              <w:t xml:space="preserve"> </w:t>
            </w:r>
            <w:r w:rsidRPr="00142BDC">
              <w:rPr>
                <w:b/>
                <w:i/>
                <w:color w:val="auto"/>
              </w:rPr>
              <w:t>samalla edistää tiukkoja normeja erityisesti ympäristöä, elintarviketurvallisuutta, kuluttajansuojaa sekä työntekijöiden oikeuksia koskevissa kysymyksissä nyt, kun kansainväliseen järjestykseen kohdistuu vakavia protektionistisia haasteita; varoittaa</w:t>
            </w:r>
            <w:r w:rsidRPr="00142BDC">
              <w:rPr>
                <w:color w:val="auto"/>
              </w:rPr>
              <w:t xml:space="preserve">, </w:t>
            </w:r>
            <w:r w:rsidRPr="00142BDC">
              <w:rPr>
                <w:b/>
                <w:i/>
                <w:color w:val="auto"/>
              </w:rPr>
              <w:t>että</w:t>
            </w:r>
            <w:r w:rsidRPr="00142BDC">
              <w:rPr>
                <w:color w:val="auto"/>
              </w:rPr>
              <w:t xml:space="preserve"> </w:t>
            </w:r>
            <w:r w:rsidRPr="00142BDC">
              <w:rPr>
                <w:b/>
                <w:i/>
                <w:color w:val="auto"/>
              </w:rPr>
              <w:t>tällainen protektionismi ei ole vaihtoehto</w:t>
            </w:r>
            <w:r w:rsidRPr="00142BDC">
              <w:rPr>
                <w:color w:val="auto"/>
              </w:rPr>
              <w:t xml:space="preserve"> </w:t>
            </w:r>
            <w:r w:rsidRPr="00142BDC">
              <w:rPr>
                <w:b/>
                <w:i/>
                <w:color w:val="auto"/>
              </w:rPr>
              <w:t>ja että</w:t>
            </w:r>
            <w:r w:rsidRPr="00142BDC">
              <w:rPr>
                <w:color w:val="auto"/>
              </w:rPr>
              <w:t xml:space="preserve"> </w:t>
            </w:r>
            <w:r w:rsidRPr="00142BDC">
              <w:rPr>
                <w:b/>
                <w:i/>
                <w:color w:val="auto"/>
              </w:rPr>
              <w:t>kauppapolitiikan nykyisen tilanteen jatkuminen ei ole enää perusteltavissa</w:t>
            </w:r>
            <w:r w:rsidRPr="00142BDC">
              <w:rPr>
                <w:color w:val="auto"/>
              </w:rPr>
              <w:t>;</w:t>
            </w:r>
          </w:p>
        </w:tc>
        <w:tc>
          <w:tcPr>
            <w:tcW w:w="4876" w:type="dxa"/>
          </w:tcPr>
          <w:p w:rsidR="00106937" w:rsidRPr="00142BDC" w:rsidRDefault="004D5738">
            <w:pPr>
              <w:pStyle w:val="Normal6"/>
              <w:rPr>
                <w:color w:val="auto"/>
              </w:rPr>
            </w:pPr>
            <w:r w:rsidRPr="00142BDC">
              <w:rPr>
                <w:color w:val="auto"/>
              </w:rPr>
              <w:t>1.</w:t>
            </w:r>
            <w:r w:rsidRPr="00142BDC">
              <w:rPr>
                <w:color w:val="auto"/>
              </w:rPr>
              <w:tab/>
              <w:t>katsoo, että sopimus on kahdenvälisesti ja maailmanlaajuisesti strategisen tärkeä</w:t>
            </w:r>
            <w:r w:rsidRPr="00142BDC">
              <w:rPr>
                <w:b/>
                <w:i/>
                <w:color w:val="auto"/>
              </w:rPr>
              <w:t>; toteaa kuitenkin,</w:t>
            </w:r>
            <w:r w:rsidRPr="00142BDC">
              <w:rPr>
                <w:color w:val="auto"/>
              </w:rPr>
              <w:t xml:space="preserve"> </w:t>
            </w:r>
            <w:r w:rsidRPr="00142BDC">
              <w:rPr>
                <w:b/>
                <w:i/>
                <w:color w:val="auto"/>
              </w:rPr>
              <w:t>että</w:t>
            </w:r>
            <w:r w:rsidRPr="00142BDC">
              <w:rPr>
                <w:color w:val="auto"/>
              </w:rPr>
              <w:t xml:space="preserve"> </w:t>
            </w:r>
            <w:r w:rsidRPr="00142BDC">
              <w:rPr>
                <w:b/>
                <w:i/>
                <w:color w:val="auto"/>
              </w:rPr>
              <w:t>nykyisessä tilanteessa, jossa on toteutettava kiireesti YK:n kestävän kehityksen toimintaohjelma Agenda 2030</w:t>
            </w:r>
            <w:r w:rsidRPr="00142BDC">
              <w:rPr>
                <w:color w:val="auto"/>
              </w:rPr>
              <w:t xml:space="preserve"> </w:t>
            </w:r>
            <w:r w:rsidRPr="00142BDC">
              <w:rPr>
                <w:b/>
                <w:i/>
                <w:color w:val="auto"/>
              </w:rPr>
              <w:t>ja</w:t>
            </w:r>
            <w:r w:rsidRPr="00142BDC">
              <w:rPr>
                <w:color w:val="auto"/>
              </w:rPr>
              <w:t xml:space="preserve"> </w:t>
            </w:r>
            <w:r w:rsidRPr="00142BDC">
              <w:rPr>
                <w:b/>
                <w:i/>
                <w:color w:val="auto"/>
              </w:rPr>
              <w:t>jossa protektionismi lisääntyy ja kansalaiset ovat oikeutetusti huolestuneita globalisaation epäoikeudenmukaisuudesta, tilanteen säilyminen ennallaan kauppapolitiikan alalla on kestämätön ajatus;</w:t>
            </w:r>
            <w:r w:rsidRPr="00142BDC">
              <w:rPr>
                <w:color w:val="auto"/>
              </w:rPr>
              <w:t xml:space="preserve"> </w:t>
            </w:r>
            <w:r w:rsidRPr="00142BDC">
              <w:rPr>
                <w:b/>
                <w:i/>
                <w:color w:val="auto"/>
              </w:rPr>
              <w:t>pitää valitettavana, että komissio aliarvioi tätä haastetta, ja katsoo, että tämä vapaakauppasopimus on EU:lle hukattu mahdollisuus suunnata asianmukaisesti uudelleen kauppapolitiikkaansa;</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rsidSect="00142BDC">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2</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2</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8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8.</w:t>
            </w:r>
            <w:r w:rsidRPr="00142BDC">
              <w:rPr>
                <w:color w:val="auto"/>
              </w:rPr>
              <w:tab/>
            </w:r>
            <w:r w:rsidRPr="00142BDC">
              <w:rPr>
                <w:b/>
                <w:i/>
                <w:color w:val="auto"/>
              </w:rPr>
              <w:t>korostaa</w:t>
            </w:r>
            <w:r w:rsidRPr="00142BDC">
              <w:rPr>
                <w:color w:val="auto"/>
              </w:rPr>
              <w:t xml:space="preserve">, </w:t>
            </w:r>
            <w:r w:rsidRPr="00142BDC">
              <w:rPr>
                <w:b/>
                <w:i/>
                <w:color w:val="auto"/>
              </w:rPr>
              <w:t>että</w:t>
            </w:r>
            <w:r w:rsidRPr="00142BDC">
              <w:rPr>
                <w:color w:val="auto"/>
              </w:rPr>
              <w:t xml:space="preserve"> </w:t>
            </w:r>
            <w:r w:rsidRPr="00142BDC">
              <w:rPr>
                <w:b/>
                <w:i/>
                <w:color w:val="auto"/>
              </w:rPr>
              <w:t>sopimuksessa edistetään parhaita käytäntöjä turvallisten ja korkealaatuisten elintarvikkeiden ja tuotteiden tarjoamiseksi kuluttajille; painottaa</w:t>
            </w:r>
            <w:r w:rsidRPr="00142BDC">
              <w:rPr>
                <w:color w:val="auto"/>
              </w:rPr>
              <w:t xml:space="preserve">, </w:t>
            </w:r>
            <w:r w:rsidRPr="00142BDC">
              <w:rPr>
                <w:b/>
                <w:i/>
                <w:color w:val="auto"/>
              </w:rPr>
              <w:t>että mikään sopimuksessa ei estä soveltamasta unionissa Euroopan unionin toiminnasta tehdyssä sopimuksessa vahvistettua</w:t>
            </w:r>
            <w:r w:rsidRPr="00142BDC">
              <w:rPr>
                <w:color w:val="auto"/>
              </w:rPr>
              <w:t xml:space="preserve"> </w:t>
            </w:r>
            <w:r w:rsidRPr="00142BDC">
              <w:rPr>
                <w:b/>
                <w:i/>
                <w:color w:val="auto"/>
              </w:rPr>
              <w:t>ennalta varautumisen</w:t>
            </w:r>
            <w:r w:rsidRPr="00142BDC">
              <w:rPr>
                <w:color w:val="auto"/>
              </w:rPr>
              <w:t xml:space="preserve"> </w:t>
            </w:r>
            <w:r w:rsidRPr="00142BDC">
              <w:rPr>
                <w:b/>
                <w:i/>
                <w:color w:val="auto"/>
              </w:rPr>
              <w:t>periaatetta; suhtautuu myönteisesti siihen, että sopimuksessa viitataan selkeästi ennalta varautumisen periaatteeseen;</w:t>
            </w:r>
            <w:r w:rsidRPr="00142BDC">
              <w:rPr>
                <w:color w:val="auto"/>
              </w:rPr>
              <w:t xml:space="preserve"> </w:t>
            </w:r>
            <w:r w:rsidRPr="00142BDC">
              <w:rPr>
                <w:b/>
                <w:i/>
                <w:color w:val="auto"/>
              </w:rPr>
              <w:t>painottaa</w:t>
            </w:r>
            <w:r w:rsidRPr="00142BDC">
              <w:rPr>
                <w:color w:val="auto"/>
              </w:rPr>
              <w:t xml:space="preserve">, </w:t>
            </w:r>
            <w:r w:rsidRPr="00142BDC">
              <w:rPr>
                <w:b/>
                <w:i/>
                <w:color w:val="auto"/>
              </w:rPr>
              <w:t>että</w:t>
            </w:r>
            <w:r w:rsidRPr="00142BDC">
              <w:rPr>
                <w:color w:val="auto"/>
              </w:rPr>
              <w:t xml:space="preserve"> </w:t>
            </w:r>
            <w:r w:rsidRPr="00142BDC">
              <w:rPr>
                <w:b/>
                <w:i/>
                <w:color w:val="auto"/>
              </w:rPr>
              <w:t>sopimuksella</w:t>
            </w:r>
            <w:r w:rsidRPr="00142BDC">
              <w:rPr>
                <w:color w:val="auto"/>
              </w:rPr>
              <w:t xml:space="preserve"> </w:t>
            </w:r>
            <w:r w:rsidRPr="00142BDC">
              <w:rPr>
                <w:b/>
                <w:i/>
                <w:color w:val="auto"/>
              </w:rPr>
              <w:t>ei</w:t>
            </w:r>
            <w:r w:rsidRPr="00142BDC">
              <w:rPr>
                <w:color w:val="auto"/>
              </w:rPr>
              <w:t xml:space="preserve"> </w:t>
            </w:r>
            <w:r w:rsidRPr="00142BDC">
              <w:rPr>
                <w:b/>
                <w:i/>
                <w:color w:val="auto"/>
              </w:rPr>
              <w:t>pidä missään oloissa vaarantaa täsmällisiä</w:t>
            </w:r>
            <w:r w:rsidRPr="00142BDC">
              <w:rPr>
                <w:color w:val="auto"/>
              </w:rPr>
              <w:t xml:space="preserve">, </w:t>
            </w:r>
            <w:r w:rsidRPr="00142BDC">
              <w:rPr>
                <w:b/>
                <w:i/>
                <w:color w:val="auto"/>
              </w:rPr>
              <w:t>ymmärrettäviä ja</w:t>
            </w:r>
            <w:r w:rsidRPr="00142BDC">
              <w:rPr>
                <w:color w:val="auto"/>
              </w:rPr>
              <w:t xml:space="preserve"> </w:t>
            </w:r>
            <w:r w:rsidRPr="00142BDC">
              <w:rPr>
                <w:b/>
                <w:i/>
                <w:color w:val="auto"/>
              </w:rPr>
              <w:t>EU:n</w:t>
            </w:r>
            <w:r w:rsidRPr="00142BDC">
              <w:rPr>
                <w:color w:val="auto"/>
              </w:rPr>
              <w:t xml:space="preserve"> </w:t>
            </w:r>
            <w:r w:rsidRPr="00142BDC">
              <w:rPr>
                <w:b/>
                <w:i/>
                <w:color w:val="auto"/>
              </w:rPr>
              <w:t>sääntöjen mukaisia elintarvikemerkintöjä</w:t>
            </w:r>
            <w:r w:rsidRPr="00142BDC">
              <w:rPr>
                <w:color w:val="auto"/>
              </w:rPr>
              <w:t>; kehottaa molempia osapuolia korostamaan sopimuksen täytäntöönpanossa kuluttajansuojaa, kuluttajien hyvinvointia ja elintarviketurvallisuutta ja kehottaa komissiota sisällyttämään kaikkiin tuleviin EU:n kauppasopimuksiin erityisiä ja tiukkoja kuluttajansuojamääräyksiä;</w:t>
            </w:r>
          </w:p>
        </w:tc>
        <w:tc>
          <w:tcPr>
            <w:tcW w:w="4876" w:type="dxa"/>
          </w:tcPr>
          <w:p w:rsidR="00106937" w:rsidRPr="00142BDC" w:rsidRDefault="004D5738">
            <w:pPr>
              <w:pStyle w:val="Normal6"/>
              <w:rPr>
                <w:color w:val="auto"/>
              </w:rPr>
            </w:pPr>
            <w:r w:rsidRPr="00142BDC">
              <w:rPr>
                <w:color w:val="auto"/>
              </w:rPr>
              <w:t>8.</w:t>
            </w:r>
            <w:r w:rsidRPr="00142BDC">
              <w:rPr>
                <w:color w:val="auto"/>
              </w:rPr>
              <w:tab/>
            </w:r>
            <w:r w:rsidRPr="00142BDC">
              <w:rPr>
                <w:b/>
                <w:i/>
                <w:color w:val="auto"/>
              </w:rPr>
              <w:t>muistuttaa</w:t>
            </w:r>
            <w:r w:rsidRPr="00142BDC">
              <w:rPr>
                <w:color w:val="auto"/>
              </w:rPr>
              <w:t xml:space="preserve">, </w:t>
            </w:r>
            <w:r w:rsidRPr="00142BDC">
              <w:rPr>
                <w:b/>
                <w:i/>
                <w:color w:val="auto"/>
              </w:rPr>
              <w:t>että</w:t>
            </w:r>
            <w:r w:rsidRPr="00142BDC">
              <w:rPr>
                <w:color w:val="auto"/>
              </w:rPr>
              <w:t xml:space="preserve"> </w:t>
            </w:r>
            <w:r w:rsidRPr="00142BDC">
              <w:rPr>
                <w:b/>
                <w:i/>
                <w:color w:val="auto"/>
              </w:rPr>
              <w:t>vaikka ennalta varautumisen periaate on kirjattu unionin perussopimuksiin, sitä ei ole suojattu riittävästi</w:t>
            </w:r>
            <w:r w:rsidRPr="00142BDC">
              <w:rPr>
                <w:color w:val="auto"/>
              </w:rPr>
              <w:t xml:space="preserve">, </w:t>
            </w:r>
            <w:r w:rsidRPr="00142BDC">
              <w:rPr>
                <w:b/>
                <w:i/>
                <w:color w:val="auto"/>
              </w:rPr>
              <w:t>koska nykyiset monenväliset ja kahdenväliset kauppasopimukset eivät anna sille täyttä oikeudellista tunnustusta; muistuttaa lisäksi, että EU on jo hävinnyt kaksi</w:t>
            </w:r>
            <w:r w:rsidRPr="00142BDC">
              <w:rPr>
                <w:color w:val="auto"/>
              </w:rPr>
              <w:t xml:space="preserve"> </w:t>
            </w:r>
            <w:r w:rsidRPr="00142BDC">
              <w:rPr>
                <w:b/>
                <w:i/>
                <w:color w:val="auto"/>
              </w:rPr>
              <w:t>ennalta varautumisen</w:t>
            </w:r>
            <w:r w:rsidRPr="00142BDC">
              <w:rPr>
                <w:color w:val="auto"/>
              </w:rPr>
              <w:t xml:space="preserve"> </w:t>
            </w:r>
            <w:r w:rsidRPr="00142BDC">
              <w:rPr>
                <w:b/>
                <w:i/>
                <w:color w:val="auto"/>
              </w:rPr>
              <w:t xml:space="preserve">periaatteeseen perustuvaa oikeuskiistaa WTO:ssa </w:t>
            </w:r>
            <w:r w:rsidRPr="00142BDC">
              <w:rPr>
                <w:rStyle w:val="SupBoldItalic"/>
                <w:color w:val="auto"/>
              </w:rPr>
              <w:t>1a</w:t>
            </w:r>
            <w:r w:rsidRPr="00142BDC">
              <w:rPr>
                <w:color w:val="auto"/>
              </w:rPr>
              <w:t xml:space="preserve">, </w:t>
            </w:r>
            <w:r w:rsidRPr="00142BDC">
              <w:rPr>
                <w:b/>
                <w:i/>
                <w:color w:val="auto"/>
              </w:rPr>
              <w:t>ja on huolestunut tulevista sääntelytoimista pidättymistä koskevasta riskistä</w:t>
            </w:r>
            <w:r w:rsidRPr="00142BDC">
              <w:rPr>
                <w:color w:val="auto"/>
              </w:rPr>
              <w:t>;</w:t>
            </w:r>
            <w:r w:rsidRPr="00142BDC">
              <w:rPr>
                <w:b/>
                <w:i/>
                <w:color w:val="auto"/>
              </w:rPr>
              <w:t xml:space="preserve"> pitää valitettavana</w:t>
            </w:r>
            <w:r w:rsidRPr="00142BDC">
              <w:rPr>
                <w:color w:val="auto"/>
              </w:rPr>
              <w:t xml:space="preserve">, </w:t>
            </w:r>
            <w:r w:rsidRPr="00142BDC">
              <w:rPr>
                <w:b/>
                <w:i/>
                <w:color w:val="auto"/>
              </w:rPr>
              <w:t>että</w:t>
            </w:r>
            <w:r w:rsidRPr="00142BDC">
              <w:rPr>
                <w:color w:val="auto"/>
              </w:rPr>
              <w:t xml:space="preserve"> </w:t>
            </w:r>
            <w:r w:rsidRPr="00142BDC">
              <w:rPr>
                <w:b/>
                <w:i/>
                <w:color w:val="auto"/>
              </w:rPr>
              <w:t>komissio</w:t>
            </w:r>
            <w:r w:rsidRPr="00142BDC">
              <w:rPr>
                <w:color w:val="auto"/>
              </w:rPr>
              <w:t xml:space="preserve"> </w:t>
            </w:r>
            <w:r w:rsidRPr="00142BDC">
              <w:rPr>
                <w:b/>
                <w:i/>
                <w:color w:val="auto"/>
              </w:rPr>
              <w:t>ei</w:t>
            </w:r>
            <w:r w:rsidRPr="00142BDC">
              <w:rPr>
                <w:color w:val="auto"/>
              </w:rPr>
              <w:t xml:space="preserve"> </w:t>
            </w:r>
            <w:r w:rsidRPr="00142BDC">
              <w:rPr>
                <w:b/>
                <w:i/>
                <w:color w:val="auto"/>
              </w:rPr>
              <w:t>ole laatinut asianmukaisia suojelunormeja ennalta varautumisen periaatetta varten talouskumppanuussopimuksessa, ja korostaa</w:t>
            </w:r>
            <w:r w:rsidRPr="00142BDC">
              <w:rPr>
                <w:color w:val="auto"/>
              </w:rPr>
              <w:t xml:space="preserve">, </w:t>
            </w:r>
            <w:r w:rsidRPr="00142BDC">
              <w:rPr>
                <w:b/>
                <w:i/>
                <w:color w:val="auto"/>
              </w:rPr>
              <w:t>että tämän olisi oltava</w:t>
            </w:r>
            <w:r w:rsidRPr="00142BDC">
              <w:rPr>
                <w:color w:val="auto"/>
              </w:rPr>
              <w:t xml:space="preserve"> </w:t>
            </w:r>
            <w:r w:rsidRPr="00142BDC">
              <w:rPr>
                <w:b/>
                <w:i/>
                <w:color w:val="auto"/>
              </w:rPr>
              <w:t>EU:n</w:t>
            </w:r>
            <w:r w:rsidRPr="00142BDC">
              <w:rPr>
                <w:color w:val="auto"/>
              </w:rPr>
              <w:t xml:space="preserve"> </w:t>
            </w:r>
            <w:r w:rsidRPr="00142BDC">
              <w:rPr>
                <w:b/>
                <w:i/>
                <w:color w:val="auto"/>
              </w:rPr>
              <w:t>keskeinen vahva etu kaikissa nykyisissä ja tulevissa kauppaneuvotteluissa</w:t>
            </w:r>
            <w:r w:rsidRPr="00142BDC">
              <w:rPr>
                <w:color w:val="auto"/>
              </w:rPr>
              <w:t>; kehottaa molempia osapuolia korostamaan sopimuksen täytäntöönpanossa kuluttajansuojaa, kuluttajien hyvinvointia ja elintarviketurvallisuutta ja kehottaa komissiota sisällyttämään kaikkiin tuleviin EU:n kauppasopimuksiin erityisiä ja tiukkoja kuluttajansuojamääräyksiä;</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color w:val="auto"/>
              </w:rPr>
              <w:t>_________________</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b/>
                <w:i/>
                <w:color w:val="auto"/>
                <w:vertAlign w:val="superscript"/>
              </w:rPr>
              <w:t>1 a</w:t>
            </w:r>
            <w:r w:rsidR="00C44773">
              <w:rPr>
                <w:b/>
                <w:i/>
                <w:color w:val="auto"/>
                <w:vertAlign w:val="superscript"/>
              </w:rPr>
              <w:t xml:space="preserve"> </w:t>
            </w:r>
            <w:r w:rsidRPr="00142BDC">
              <w:rPr>
                <w:b/>
                <w:i/>
                <w:color w:val="auto"/>
              </w:rPr>
              <w:t>Euroopan yhteisöt – bioteknologian tuotteiden hyväksymistä ja markkinoille saattamista koskevat toimet DS291, Euroopan yhteisöt – hormonit DS26.</w:t>
            </w:r>
          </w:p>
        </w:tc>
      </w:tr>
    </w:tbl>
    <w:p w:rsidR="00106937" w:rsidRPr="00142BDC" w:rsidRDefault="004D5738" w:rsidP="00905D00">
      <w:pPr>
        <w:pStyle w:val="Olang"/>
      </w:pPr>
      <w:r w:rsidRPr="00142BDC">
        <w:rPr>
          <w:color w:val="auto"/>
        </w:rPr>
        <w:lastRenderedPageBreak/>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3</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3</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9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9.</w:t>
            </w:r>
            <w:r w:rsidRPr="00142BDC">
              <w:rPr>
                <w:color w:val="auto"/>
              </w:rPr>
              <w:tab/>
              <w:t xml:space="preserve">korostaa, että molemmat osapuolet ovat sitoutuneet turvaamaan korkean ympäristön- ja työsuojelun tason ja että näitä korkeatasoisia normeja ei tulisi pitää kaupan esteinä, ja toteaa samalla, että sopimuksessa myös ilmaistaan selvästi, että työ- ja ympäristönormeja ei saa alentaa tai väljentää kaupan ja sijoitusten edistämiseksi; palauttaa mieliin YK:n kestävän kehityksen toimintaohjelman Agenda 2030 kestävän kehityksen tavoitteen 5; pitää myönteisenä, että sekä Japani että EU ovat liittyneet kauppaa ja naisten taloudellista voimaannuttamista koskevaan Buenos Airesin julkilausumaan, ja kehottaa molempia osapuolia vahvistamaan voimakkaasti tämän sopimuksen yhteydessä sitoumuksia, jotka koskevat sukupuolta ja kauppaa, myös oikeutta samaan palkkaan; </w:t>
            </w:r>
            <w:r w:rsidRPr="00142BDC">
              <w:rPr>
                <w:b/>
                <w:i/>
                <w:color w:val="auto"/>
              </w:rPr>
              <w:t>odottaa</w:t>
            </w:r>
            <w:r w:rsidRPr="00142BDC">
              <w:rPr>
                <w:color w:val="auto"/>
              </w:rPr>
              <w:t xml:space="preserve">, </w:t>
            </w:r>
            <w:r w:rsidRPr="00142BDC">
              <w:rPr>
                <w:b/>
                <w:i/>
                <w:color w:val="auto"/>
              </w:rPr>
              <w:t>että</w:t>
            </w:r>
            <w:r w:rsidRPr="00142BDC">
              <w:rPr>
                <w:color w:val="auto"/>
              </w:rPr>
              <w:t xml:space="preserve"> </w:t>
            </w:r>
            <w:r w:rsidRPr="00142BDC">
              <w:rPr>
                <w:b/>
                <w:i/>
                <w:color w:val="auto"/>
              </w:rPr>
              <w:t>EU ja Japani toteuttavat kaikki tarvittavat toimet kestävän kehityksen tavoitteiden</w:t>
            </w:r>
            <w:r w:rsidRPr="00142BDC">
              <w:rPr>
                <w:color w:val="auto"/>
              </w:rPr>
              <w:t xml:space="preserve"> </w:t>
            </w:r>
            <w:r w:rsidRPr="00142BDC">
              <w:rPr>
                <w:b/>
                <w:i/>
                <w:color w:val="auto"/>
              </w:rPr>
              <w:t>täytäntöön</w:t>
            </w:r>
            <w:r w:rsidRPr="00142BDC">
              <w:rPr>
                <w:color w:val="auto"/>
              </w:rPr>
              <w:t xml:space="preserve"> </w:t>
            </w:r>
            <w:r w:rsidRPr="00142BDC">
              <w:rPr>
                <w:b/>
                <w:i/>
                <w:color w:val="auto"/>
              </w:rPr>
              <w:t>panemiseksi kaikissa toimissaan, myös tämän sopimuksen avulla</w:t>
            </w:r>
            <w:r w:rsidRPr="00142BDC">
              <w:rPr>
                <w:color w:val="auto"/>
              </w:rPr>
              <w:t xml:space="preserve">; pyytää komissiota </w:t>
            </w:r>
            <w:r w:rsidRPr="00142BDC">
              <w:rPr>
                <w:b/>
                <w:i/>
                <w:color w:val="auto"/>
              </w:rPr>
              <w:t>tekemään</w:t>
            </w:r>
            <w:r w:rsidRPr="00142BDC">
              <w:rPr>
                <w:color w:val="auto"/>
              </w:rPr>
              <w:t xml:space="preserve"> jälkiarvioinnin </w:t>
            </w:r>
            <w:r w:rsidRPr="00142BDC">
              <w:rPr>
                <w:b/>
                <w:i/>
                <w:color w:val="auto"/>
              </w:rPr>
              <w:t>sopimuksen</w:t>
            </w:r>
            <w:r w:rsidRPr="00142BDC">
              <w:rPr>
                <w:color w:val="auto"/>
              </w:rPr>
              <w:t xml:space="preserve"> täytäntöönpanon </w:t>
            </w:r>
            <w:r w:rsidRPr="00142BDC">
              <w:rPr>
                <w:b/>
                <w:i/>
                <w:color w:val="auto"/>
              </w:rPr>
              <w:t>kestävään kehitykseen kohdistuvista vaikutuksista</w:t>
            </w:r>
            <w:r w:rsidRPr="00142BDC">
              <w:rPr>
                <w:color w:val="auto"/>
              </w:rPr>
              <w:t>;</w:t>
            </w:r>
          </w:p>
        </w:tc>
        <w:tc>
          <w:tcPr>
            <w:tcW w:w="4876" w:type="dxa"/>
          </w:tcPr>
          <w:p w:rsidR="00106937" w:rsidRPr="00142BDC" w:rsidRDefault="004D5738">
            <w:pPr>
              <w:pStyle w:val="Normal6"/>
              <w:rPr>
                <w:color w:val="auto"/>
              </w:rPr>
            </w:pPr>
            <w:r w:rsidRPr="00142BDC">
              <w:rPr>
                <w:color w:val="auto"/>
              </w:rPr>
              <w:t>9.</w:t>
            </w:r>
            <w:r w:rsidRPr="00142BDC">
              <w:rPr>
                <w:color w:val="auto"/>
              </w:rPr>
              <w:tab/>
              <w:t xml:space="preserve">korostaa, että molemmat osapuolet ovat sitoutuneet turvaamaan korkean ympäristön- ja työsuojelun tason ja että näitä korkeatasoisia normeja ei tulisi pitää kaupan esteinä, ja toteaa samalla, että sopimuksessa myös ilmaistaan selvästi, että työ- ja ympäristönormeja ei saa alentaa tai väljentää kaupan ja sijoitusten edistämiseksi; palauttaa mieliin YK:n kestävän kehityksen toimintaohjelman Agenda 2030 kestävän kehityksen tavoitteen 5; pitää myönteisenä, että sekä Japani että EU ovat liittyneet kauppaa ja naisten taloudellista voimaannuttamista koskevaan Buenos Airesin julkilausumaan, ja kehottaa molempia osapuolia vahvistamaan voimakkaasti tämän sopimuksen yhteydessä sitoumuksia, jotka koskevat sukupuolta ja kauppaa, myös oikeutta samaan palkkaan; </w:t>
            </w:r>
            <w:r w:rsidRPr="00142BDC">
              <w:rPr>
                <w:b/>
                <w:i/>
                <w:color w:val="auto"/>
              </w:rPr>
              <w:t>katsoo</w:t>
            </w:r>
            <w:r w:rsidRPr="00142BDC">
              <w:rPr>
                <w:color w:val="auto"/>
              </w:rPr>
              <w:t xml:space="preserve">, </w:t>
            </w:r>
            <w:r w:rsidRPr="00142BDC">
              <w:rPr>
                <w:b/>
                <w:i/>
                <w:color w:val="auto"/>
              </w:rPr>
              <w:t>että</w:t>
            </w:r>
            <w:r w:rsidRPr="00142BDC">
              <w:rPr>
                <w:color w:val="auto"/>
              </w:rPr>
              <w:t xml:space="preserve"> </w:t>
            </w:r>
            <w:r w:rsidRPr="00142BDC">
              <w:rPr>
                <w:b/>
                <w:i/>
                <w:color w:val="auto"/>
              </w:rPr>
              <w:t>vapaakauppasopimusten ei pitäisi olla itsetarkoitus vaan pikemminkin keino saavuttaa ja panna</w:t>
            </w:r>
            <w:r w:rsidRPr="00142BDC">
              <w:rPr>
                <w:color w:val="auto"/>
              </w:rPr>
              <w:t xml:space="preserve"> </w:t>
            </w:r>
            <w:r w:rsidRPr="00142BDC">
              <w:rPr>
                <w:b/>
                <w:i/>
                <w:color w:val="auto"/>
              </w:rPr>
              <w:t>täytäntöön</w:t>
            </w:r>
            <w:r w:rsidRPr="00142BDC">
              <w:rPr>
                <w:color w:val="auto"/>
              </w:rPr>
              <w:t xml:space="preserve"> </w:t>
            </w:r>
            <w:r w:rsidRPr="00142BDC">
              <w:rPr>
                <w:b/>
                <w:i/>
                <w:color w:val="auto"/>
              </w:rPr>
              <w:t>kestävän kehityksen tavoitteet ja Pariisin sopimus</w:t>
            </w:r>
            <w:r w:rsidRPr="00142BDC">
              <w:rPr>
                <w:color w:val="auto"/>
              </w:rPr>
              <w:t xml:space="preserve">; pyytää komissiota </w:t>
            </w:r>
            <w:r w:rsidRPr="00142BDC">
              <w:rPr>
                <w:b/>
                <w:i/>
                <w:color w:val="auto"/>
              </w:rPr>
              <w:t>toteuttamaan kestävään kehitykseen kohdistuvien vaikutusten</w:t>
            </w:r>
            <w:r w:rsidRPr="00142BDC">
              <w:rPr>
                <w:color w:val="auto"/>
              </w:rPr>
              <w:t xml:space="preserve"> jälkiarvioinnin </w:t>
            </w:r>
            <w:r w:rsidRPr="00142BDC">
              <w:rPr>
                <w:b/>
                <w:i/>
                <w:color w:val="auto"/>
              </w:rPr>
              <w:t>kolme vuotta vapaakauppasopimuksen</w:t>
            </w:r>
            <w:r w:rsidRPr="00142BDC">
              <w:rPr>
                <w:color w:val="auto"/>
              </w:rPr>
              <w:t xml:space="preserve"> täytäntöönpanon </w:t>
            </w:r>
            <w:r w:rsidRPr="00142BDC">
              <w:rPr>
                <w:b/>
                <w:i/>
                <w:color w:val="auto"/>
              </w:rPr>
              <w:t xml:space="preserve">alkamisen jälkeen ja sen jälkeen säännöllisesti, jotta voidaan varmistaa, että talouskumppanuussopimus on kestävän kehityksen tavoitteiden </w:t>
            </w:r>
            <w:r w:rsidRPr="00142BDC">
              <w:rPr>
                <w:b/>
                <w:i/>
                <w:color w:val="auto"/>
              </w:rPr>
              <w:lastRenderedPageBreak/>
              <w:t>mukainen</w:t>
            </w:r>
            <w:r w:rsidRPr="00142BDC">
              <w:rPr>
                <w:color w:val="auto"/>
              </w:rPr>
              <w:t>;</w:t>
            </w:r>
          </w:p>
        </w:tc>
      </w:tr>
    </w:tbl>
    <w:p w:rsidR="00106937" w:rsidRPr="00142BDC" w:rsidRDefault="004D5738" w:rsidP="00905D00">
      <w:pPr>
        <w:pStyle w:val="Olang"/>
      </w:pPr>
      <w:r w:rsidRPr="00142BDC">
        <w:rPr>
          <w:color w:val="auto"/>
        </w:rPr>
        <w:lastRenderedPageBreak/>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4</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4</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10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10.</w:t>
            </w:r>
            <w:r w:rsidRPr="00142BDC">
              <w:rPr>
                <w:color w:val="auto"/>
              </w:rPr>
              <w:tab/>
              <w:t xml:space="preserve">panee tyytyväisenä merkille sitoutumisen ilmastonmuutoksen torjumisesta tehdyn Pariisin sopimuksen ja muiden monenvälisten ympäristösopimusten tehokkaaseen täytäntöönpanoon sekä sitoutumisen kestävään metsänhoitoon (myös laittoman puunkorjuun torjumiseen) ja kalastukseen (laittoman, ilmoittamattoman ja sääntelemättömän kalastuksen torjunta); korostaa, että EU:n lainsäädäntöä ja standardeja sovelletaan edelleen EU:n markkinoille tuotaviin tuotteisiin ja että erityisesti EU:n puutavara-asetuksessa (asetus (EU) N:o 995/2010) kielletään laittoman puutavaran saattaminen EU:n markkinoille ja säädetään pakollisesta due diligence -järjestelmästä; kehottaa molempia osapuolia </w:t>
            </w:r>
            <w:r w:rsidRPr="00142BDC">
              <w:rPr>
                <w:b/>
                <w:i/>
                <w:color w:val="auto"/>
              </w:rPr>
              <w:t>tekemään tiivistä yhteistyötä kestävän kehityksen luvun puitteissa, jotta voidaan vaihtaa parhaita käytäntöjä</w:t>
            </w:r>
            <w:r w:rsidRPr="00142BDC">
              <w:rPr>
                <w:color w:val="auto"/>
              </w:rPr>
              <w:t xml:space="preserve"> </w:t>
            </w:r>
            <w:r w:rsidRPr="00142BDC">
              <w:rPr>
                <w:b/>
                <w:i/>
                <w:color w:val="auto"/>
              </w:rPr>
              <w:t>ja</w:t>
            </w:r>
            <w:r w:rsidRPr="00142BDC">
              <w:rPr>
                <w:color w:val="auto"/>
              </w:rPr>
              <w:t xml:space="preserve"> </w:t>
            </w:r>
            <w:r w:rsidRPr="00142BDC">
              <w:rPr>
                <w:b/>
                <w:i/>
                <w:color w:val="auto"/>
              </w:rPr>
              <w:t>tehostaa lainsäädännön täytäntöönpanoa näissä asioissa myös siltä osin</w:t>
            </w:r>
            <w:r w:rsidRPr="00142BDC">
              <w:rPr>
                <w:color w:val="auto"/>
              </w:rPr>
              <w:t xml:space="preserve">, </w:t>
            </w:r>
            <w:r w:rsidRPr="00142BDC">
              <w:rPr>
                <w:b/>
                <w:i/>
                <w:color w:val="auto"/>
              </w:rPr>
              <w:t>kun on kyse tehokkaimmista keinoista laittoman puunkorjuun torjumiseksi ja erityisen huomion kiinnittämisestä laittomasti hakatun puun EU:sta Japaniin viennin estämiseen</w:t>
            </w:r>
            <w:r w:rsidRPr="00142BDC">
              <w:rPr>
                <w:color w:val="auto"/>
              </w:rPr>
              <w:t>;</w:t>
            </w:r>
          </w:p>
        </w:tc>
        <w:tc>
          <w:tcPr>
            <w:tcW w:w="4876" w:type="dxa"/>
          </w:tcPr>
          <w:p w:rsidR="00106937" w:rsidRPr="00142BDC" w:rsidRDefault="004D5738">
            <w:pPr>
              <w:pStyle w:val="Normal6"/>
              <w:rPr>
                <w:color w:val="auto"/>
              </w:rPr>
            </w:pPr>
            <w:r w:rsidRPr="00142BDC">
              <w:rPr>
                <w:color w:val="auto"/>
              </w:rPr>
              <w:t>10.</w:t>
            </w:r>
            <w:r w:rsidRPr="00142BDC">
              <w:rPr>
                <w:color w:val="auto"/>
              </w:rPr>
              <w:tab/>
              <w:t xml:space="preserve">panee tyytyväisenä merkille sitoutumisen ilmastonmuutoksen torjumisesta tehdyn Pariisin sopimuksen ja muiden monenvälisten ympäristösopimusten tehokkaaseen täytäntöönpanoon sekä sitoutumisen kestävään metsänhoitoon (myös laittoman puunkorjuun torjumiseen) ja kalastukseen (laittoman, ilmoittamattoman ja sääntelemättömän kalastuksen torjunta); korostaa, että EU:n lainsäädäntöä ja standardeja sovelletaan edelleen EU:n markkinoille tuotaviin tuotteisiin ja että erityisesti EU:n puutavara-asetuksessa (asetus (EU) N:o 995/2010) kielletään laittoman puutavaran saattaminen EU:n markkinoille ja säädetään pakollisesta due diligence -järjestelmästä; kehottaa molempia osapuolia </w:t>
            </w:r>
            <w:r w:rsidRPr="00142BDC">
              <w:rPr>
                <w:b/>
                <w:i/>
                <w:color w:val="auto"/>
              </w:rPr>
              <w:t>aloittamaan välittömästi tiiviin yhteistyön kestävää kehitystä koskevan luvun puitteissa</w:t>
            </w:r>
            <w:r w:rsidRPr="00142BDC">
              <w:rPr>
                <w:color w:val="auto"/>
              </w:rPr>
              <w:t xml:space="preserve"> </w:t>
            </w:r>
            <w:r w:rsidRPr="00142BDC">
              <w:rPr>
                <w:b/>
                <w:i/>
                <w:color w:val="auto"/>
              </w:rPr>
              <w:t>ja</w:t>
            </w:r>
            <w:r w:rsidRPr="00142BDC">
              <w:rPr>
                <w:color w:val="auto"/>
              </w:rPr>
              <w:t xml:space="preserve"> </w:t>
            </w:r>
            <w:r w:rsidRPr="00142BDC">
              <w:rPr>
                <w:b/>
                <w:i/>
                <w:color w:val="auto"/>
              </w:rPr>
              <w:t>pyrkimään siihen</w:t>
            </w:r>
            <w:r w:rsidRPr="00142BDC">
              <w:rPr>
                <w:color w:val="auto"/>
              </w:rPr>
              <w:t xml:space="preserve">, </w:t>
            </w:r>
            <w:r w:rsidRPr="00142BDC">
              <w:rPr>
                <w:b/>
                <w:i/>
                <w:color w:val="auto"/>
              </w:rPr>
              <w:t>että Japani hyväksyy puutavara-asetusta vastaavan lainsäädännön viipymättä; pitää valitettavana, että komissio päätti olla pyytämättä valaanpyynnin lopettamista neuvottelujen yhteydessä</w:t>
            </w:r>
            <w:r w:rsidRPr="00142BDC">
              <w:rPr>
                <w:color w:val="auto"/>
              </w:rPr>
              <w:t>;</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18"/>
          <w:footerReference w:type="default" r:id="rId19"/>
          <w:footerReference w:type="first" r:id="rId20"/>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5</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5</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13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13.</w:t>
            </w:r>
            <w:r w:rsidRPr="00142BDC">
              <w:rPr>
                <w:color w:val="auto"/>
              </w:rPr>
              <w:tab/>
              <w:t xml:space="preserve">muistuttaa, että unionin tuomioistuin totesi EU:n ja Singaporen välisestä vapaakauppasopimuksesta antamansa lausunnon 2/15 161 kohdassa, että kauppaa ja kestävää kehitystä koskevat luvut vaikuttavat suoraan ja välittömästi kauppaan ja että kestävää kehitystä koskevien määräysten rikkominen mahdollistaa sen, että toinen osapuoli lakkauttaa tai keskeyttää tämän sopimuksen muissa määräyksissä määrätyn kaupan vapauttamisen; </w:t>
            </w:r>
            <w:r w:rsidRPr="00142BDC">
              <w:rPr>
                <w:b/>
                <w:i/>
                <w:color w:val="auto"/>
              </w:rPr>
              <w:t>panee tyytyväisenä merkille, että kauppaa ja kestävää kehitystä koskevaan lukuun on sisällytetty tarkastelulauseke, ja kehottaa molempia osapuolia hyödyntämään tätä lauseketta oikea-aikaisesti sitoumusten noudattamiseksi ja työ- ja ympäristömääräysten täytäntöönpanon ja vaikuttavuuden vahvistamiseksi ja harkitsemaan erilaisten täytäntöönpanon valvontamenetelmien joukossa viimeisenä keinona seuraamuksiin perustuvaa menettelyä; kehottaa molempia osapuolia olemaan odottamatta tarkastelulausekkeen käyttöönottoa ryhtyäkseen vaikuttavaa täytäntöönpanoa edistäviin toimiin, jotta varmistetaan, että tämä talouskumppanuussopimus on etupainotteinen sopimus, jossa annetaan mahdollisimman korkeatasoinen suoja;</w:t>
            </w:r>
            <w:r w:rsidRPr="00142BDC">
              <w:rPr>
                <w:color w:val="auto"/>
              </w:rPr>
              <w:t xml:space="preserve"> kehottaa komissiota</w:t>
            </w:r>
            <w:r w:rsidRPr="00142BDC">
              <w:rPr>
                <w:b/>
                <w:i/>
                <w:color w:val="auto"/>
              </w:rPr>
              <w:t xml:space="preserve"> seuraamaan kauppaa </w:t>
            </w:r>
            <w:r w:rsidRPr="00142BDC">
              <w:rPr>
                <w:b/>
                <w:i/>
                <w:color w:val="auto"/>
              </w:rPr>
              <w:lastRenderedPageBreak/>
              <w:t>ja kestävää kehitystä koskevassa luvussa tehtyjä</w:t>
            </w:r>
            <w:r w:rsidRPr="00142BDC">
              <w:rPr>
                <w:color w:val="auto"/>
              </w:rPr>
              <w:t xml:space="preserve"> sitoumuksia </w:t>
            </w:r>
            <w:r w:rsidRPr="00142BDC">
              <w:rPr>
                <w:b/>
                <w:i/>
                <w:color w:val="auto"/>
              </w:rPr>
              <w:t>ja tekemään yhteistyötä Japanin kanssa niiden täytäntöönpanossa komission kauppaa ja kestävää kehitystä koskevan 15-kohtaisen epävirallisen asiakirjan pohjalta</w:t>
            </w:r>
            <w:r w:rsidRPr="00142BDC">
              <w:rPr>
                <w:color w:val="auto"/>
              </w:rPr>
              <w:t>;</w:t>
            </w:r>
          </w:p>
        </w:tc>
        <w:tc>
          <w:tcPr>
            <w:tcW w:w="4876" w:type="dxa"/>
          </w:tcPr>
          <w:p w:rsidR="00106937" w:rsidRPr="00142BDC" w:rsidRDefault="004D5738">
            <w:pPr>
              <w:pStyle w:val="Normal6"/>
              <w:rPr>
                <w:color w:val="auto"/>
              </w:rPr>
            </w:pPr>
            <w:r w:rsidRPr="00142BDC">
              <w:rPr>
                <w:color w:val="auto"/>
              </w:rPr>
              <w:lastRenderedPageBreak/>
              <w:t>13.</w:t>
            </w:r>
            <w:r w:rsidRPr="00142BDC">
              <w:rPr>
                <w:color w:val="auto"/>
              </w:rPr>
              <w:tab/>
            </w:r>
            <w:r w:rsidRPr="00142BDC">
              <w:rPr>
                <w:b/>
                <w:i/>
                <w:color w:val="auto"/>
              </w:rPr>
              <w:t>muistuttaa, että kauppaa ja kestävää kehitystä koskevien lukujen tarkoituksena on varmistaa, että kauppasopimukset ovat keino saavuttaa kestävän kehityksen tavoitteet, ja katsoo, että tällaisten lukujen, kuten kaikkien muidenkin vapaakauppasopimuksen osien, on oltava täysin täytäntöönpanokelpoisia, jotta ne eivät ole ristiriidassa tämän tavoitteen kanssa;</w:t>
            </w:r>
            <w:r w:rsidRPr="00142BDC">
              <w:rPr>
                <w:color w:val="auto"/>
              </w:rPr>
              <w:t xml:space="preserve"> muistuttaa, että</w:t>
            </w:r>
            <w:r w:rsidRPr="00142BDC">
              <w:rPr>
                <w:b/>
                <w:i/>
                <w:color w:val="auto"/>
              </w:rPr>
              <w:t xml:space="preserve"> </w:t>
            </w:r>
            <w:r w:rsidRPr="00142BDC">
              <w:rPr>
                <w:color w:val="auto"/>
              </w:rPr>
              <w:t>unionin tuomioistuin totesi EU:n ja Singaporen välisestä vapaakauppasopimuksesta antamansa lausunnon 2/15 161 kohdassa, että kauppaa ja kestävää kehitystä koskevat luvut vaikuttavat suoraan ja välittömästi kauppaan ja että kestävää kehitystä koskevien määräysten rikkominen mahdollistaa sen, että toinen osapuoli lakkauttaa tai keskeyttää tämän sopimuksen muissa määräyksissä määrätyn kaupan vapauttamisen; kehottaa komissiota</w:t>
            </w:r>
            <w:r w:rsidRPr="00142BDC">
              <w:rPr>
                <w:b/>
                <w:i/>
                <w:color w:val="auto"/>
              </w:rPr>
              <w:t xml:space="preserve"> aktivoimaan välittömästi talouskumppanuussopimuksen</w:t>
            </w:r>
            <w:r w:rsidRPr="00142BDC">
              <w:rPr>
                <w:color w:val="auto"/>
              </w:rPr>
              <w:t xml:space="preserve"> </w:t>
            </w:r>
            <w:r w:rsidRPr="00142BDC">
              <w:rPr>
                <w:b/>
                <w:i/>
                <w:color w:val="auto"/>
              </w:rPr>
              <w:t>kauppaa ja kestävää kehitystä</w:t>
            </w:r>
            <w:r w:rsidRPr="00142BDC">
              <w:rPr>
                <w:color w:val="auto"/>
              </w:rPr>
              <w:t xml:space="preserve"> </w:t>
            </w:r>
            <w:r w:rsidRPr="00142BDC">
              <w:rPr>
                <w:b/>
                <w:i/>
                <w:color w:val="auto"/>
              </w:rPr>
              <w:t>koskevan luvun tarkistuslausekkeen sekä tarkastelemaan uudelleen kaikkia vapaakauppasopimuksia koskevaa yleistä lähestymistapaansa</w:t>
            </w:r>
            <w:r w:rsidRPr="00142BDC">
              <w:rPr>
                <w:color w:val="auto"/>
              </w:rPr>
              <w:t xml:space="preserve">, </w:t>
            </w:r>
            <w:r w:rsidRPr="00142BDC">
              <w:rPr>
                <w:b/>
                <w:i/>
                <w:color w:val="auto"/>
              </w:rPr>
              <w:t>jotta</w:t>
            </w:r>
            <w:r w:rsidRPr="00142BDC">
              <w:rPr>
                <w:color w:val="auto"/>
              </w:rPr>
              <w:t xml:space="preserve"> </w:t>
            </w:r>
            <w:r w:rsidRPr="00142BDC">
              <w:rPr>
                <w:b/>
                <w:i/>
                <w:color w:val="auto"/>
              </w:rPr>
              <w:t>voidaan ottaa käyttöön</w:t>
            </w:r>
            <w:r w:rsidRPr="00142BDC">
              <w:rPr>
                <w:color w:val="auto"/>
              </w:rPr>
              <w:t xml:space="preserve"> </w:t>
            </w:r>
            <w:r w:rsidRPr="00142BDC">
              <w:rPr>
                <w:b/>
                <w:i/>
                <w:color w:val="auto"/>
              </w:rPr>
              <w:t>kauppaetuuksien keskeyttäminen tai muunlaisia seuraamuksia tapauksissa, joissa</w:t>
            </w:r>
            <w:r w:rsidRPr="00142BDC">
              <w:rPr>
                <w:color w:val="auto"/>
              </w:rPr>
              <w:t xml:space="preserve"> </w:t>
            </w:r>
            <w:r w:rsidRPr="00142BDC">
              <w:rPr>
                <w:color w:val="auto"/>
              </w:rPr>
              <w:lastRenderedPageBreak/>
              <w:t xml:space="preserve">sitoumuksia </w:t>
            </w:r>
            <w:r w:rsidRPr="00142BDC">
              <w:rPr>
                <w:b/>
                <w:i/>
                <w:color w:val="auto"/>
              </w:rPr>
              <w:t>on rikottu</w:t>
            </w:r>
            <w:r w:rsidRPr="00142BDC">
              <w:rPr>
                <w:color w:val="auto"/>
              </w:rPr>
              <w:t>;</w:t>
            </w:r>
          </w:p>
        </w:tc>
      </w:tr>
    </w:tbl>
    <w:p w:rsidR="00106937" w:rsidRPr="00142BDC" w:rsidRDefault="004D5738" w:rsidP="00905D00">
      <w:pPr>
        <w:pStyle w:val="Olang"/>
      </w:pPr>
      <w:r w:rsidRPr="00142BDC">
        <w:rPr>
          <w:color w:val="auto"/>
        </w:rPr>
        <w:lastRenderedPageBreak/>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21"/>
          <w:footerReference w:type="default" r:id="rId22"/>
          <w:footerReference w:type="first" r:id="rId23"/>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6</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6</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14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14.</w:t>
            </w:r>
            <w:r w:rsidRPr="00142BDC">
              <w:rPr>
                <w:color w:val="auto"/>
              </w:rPr>
              <w:tab/>
              <w:t xml:space="preserve">korostaa, että </w:t>
            </w:r>
            <w:r w:rsidRPr="00142BDC">
              <w:rPr>
                <w:b/>
                <w:i/>
                <w:color w:val="auto"/>
              </w:rPr>
              <w:t>talouskumppanuussopimuksessa vahvistetaan</w:t>
            </w:r>
            <w:r w:rsidRPr="00142BDC">
              <w:rPr>
                <w:color w:val="auto"/>
              </w:rPr>
              <w:t xml:space="preserve"> jäsenvaltioiden viranomaisten</w:t>
            </w:r>
            <w:r w:rsidRPr="00142BDC">
              <w:rPr>
                <w:b/>
                <w:i/>
                <w:color w:val="auto"/>
              </w:rPr>
              <w:t xml:space="preserve"> täysi</w:t>
            </w:r>
            <w:r w:rsidRPr="00142BDC">
              <w:rPr>
                <w:color w:val="auto"/>
              </w:rPr>
              <w:t xml:space="preserve"> oikeus määritellä, tarjota ja säännellä julkisia palveluja paikallisella, alueellisella tai kansallisella tasolla</w:t>
            </w:r>
            <w:r w:rsidRPr="00142BDC">
              <w:rPr>
                <w:b/>
                <w:i/>
                <w:color w:val="auto"/>
              </w:rPr>
              <w:t xml:space="preserve"> ja</w:t>
            </w:r>
            <w:r w:rsidRPr="00142BDC">
              <w:rPr>
                <w:color w:val="auto"/>
              </w:rPr>
              <w:t xml:space="preserve"> että</w:t>
            </w:r>
            <w:r w:rsidRPr="00142BDC">
              <w:rPr>
                <w:b/>
                <w:i/>
                <w:color w:val="auto"/>
              </w:rPr>
              <w:t xml:space="preserve"> sopimuksessa esitetty</w:t>
            </w:r>
            <w:r w:rsidRPr="00142BDC">
              <w:rPr>
                <w:color w:val="auto"/>
              </w:rPr>
              <w:t xml:space="preserve"> negatiivinen luettelo </w:t>
            </w:r>
            <w:r w:rsidRPr="00142BDC">
              <w:rPr>
                <w:b/>
                <w:i/>
                <w:color w:val="auto"/>
              </w:rPr>
              <w:t>ei estä hallituksia tuomasta yksityistettyjä palveluja takaisin julkiselle sektorille tai kehittämästä vapaasti uusia yleishyödyllisiä palveluja; katsoo,</w:t>
            </w:r>
            <w:r w:rsidRPr="00142BDC">
              <w:rPr>
                <w:color w:val="auto"/>
              </w:rPr>
              <w:t xml:space="preserve"> </w:t>
            </w:r>
            <w:r w:rsidRPr="00142BDC">
              <w:rPr>
                <w:b/>
                <w:i/>
                <w:color w:val="auto"/>
              </w:rPr>
              <w:t>että</w:t>
            </w:r>
            <w:r w:rsidRPr="00142BDC">
              <w:rPr>
                <w:color w:val="auto"/>
              </w:rPr>
              <w:t xml:space="preserve"> </w:t>
            </w:r>
            <w:r w:rsidRPr="00142BDC">
              <w:rPr>
                <w:b/>
                <w:i/>
                <w:color w:val="auto"/>
              </w:rPr>
              <w:t>positiiviseen luetteloon perustuvan lähestymistavan käyttö, kuten WTO:n palvelukaupan yleissopimuksessa (GATS), on periaatteessa aina parempi vaihtoehto</w:t>
            </w:r>
            <w:r w:rsidRPr="00142BDC">
              <w:rPr>
                <w:color w:val="auto"/>
              </w:rPr>
              <w:t xml:space="preserve">; </w:t>
            </w:r>
            <w:r w:rsidRPr="00142BDC">
              <w:rPr>
                <w:b/>
                <w:i/>
                <w:color w:val="auto"/>
              </w:rPr>
              <w:t>panee merkille, että molemmat osapuolet ovat sitoutuneet talouskumppanuussopimuksessa suojelemaan julkista vesihuoltoa osana yleistä julkista palvelua koskevaa poikkeusta;</w:t>
            </w:r>
          </w:p>
        </w:tc>
        <w:tc>
          <w:tcPr>
            <w:tcW w:w="4876" w:type="dxa"/>
          </w:tcPr>
          <w:p w:rsidR="00106937" w:rsidRPr="00142BDC" w:rsidRDefault="004D5738">
            <w:pPr>
              <w:pStyle w:val="Normal6"/>
              <w:rPr>
                <w:color w:val="auto"/>
              </w:rPr>
            </w:pPr>
            <w:r w:rsidRPr="00142BDC">
              <w:rPr>
                <w:color w:val="auto"/>
              </w:rPr>
              <w:t>14.</w:t>
            </w:r>
            <w:r w:rsidRPr="00142BDC">
              <w:rPr>
                <w:color w:val="auto"/>
              </w:rPr>
              <w:tab/>
              <w:t xml:space="preserve">korostaa, että </w:t>
            </w:r>
            <w:r w:rsidRPr="00142BDC">
              <w:rPr>
                <w:b/>
                <w:i/>
                <w:color w:val="auto"/>
              </w:rPr>
              <w:t>vapaakauppasopimuksissa olisi säilytettävä</w:t>
            </w:r>
            <w:r w:rsidRPr="00142BDC">
              <w:rPr>
                <w:color w:val="auto"/>
              </w:rPr>
              <w:t xml:space="preserve"> jäsenvaltioiden viranomaisten oikeus määritellä, tarjota ja säännellä julkisia palveluja paikallisella, alueellisella tai kansallisella tasolla</w:t>
            </w:r>
            <w:r w:rsidRPr="00142BDC">
              <w:rPr>
                <w:b/>
                <w:i/>
                <w:color w:val="auto"/>
              </w:rPr>
              <w:t>; katsoo,</w:t>
            </w:r>
            <w:r w:rsidRPr="00142BDC">
              <w:rPr>
                <w:color w:val="auto"/>
              </w:rPr>
              <w:t xml:space="preserve"> että negatiivinen luettelo </w:t>
            </w:r>
            <w:r w:rsidRPr="00142BDC">
              <w:rPr>
                <w:b/>
                <w:i/>
                <w:color w:val="auto"/>
              </w:rPr>
              <w:t>rajoittaa oikeutta säännellä, koska se edellyttää, että kansallinen viranomainen määrittää neuvottelujen aikana kaikki tulevat sääntelytarpeet ja</w:t>
            </w:r>
            <w:r w:rsidRPr="00142BDC">
              <w:rPr>
                <w:color w:val="auto"/>
              </w:rPr>
              <w:t xml:space="preserve"> </w:t>
            </w:r>
            <w:r w:rsidRPr="00142BDC">
              <w:rPr>
                <w:b/>
                <w:i/>
                <w:color w:val="auto"/>
              </w:rPr>
              <w:t>että</w:t>
            </w:r>
            <w:r w:rsidRPr="00142BDC">
              <w:rPr>
                <w:color w:val="auto"/>
              </w:rPr>
              <w:t xml:space="preserve"> </w:t>
            </w:r>
            <w:r w:rsidRPr="00142BDC">
              <w:rPr>
                <w:b/>
                <w:i/>
                <w:color w:val="auto"/>
              </w:rPr>
              <w:t>salpalausekkeissa ja täytäntöönpanokielloissa kielletään periaatteessa paluu vähemmän suotuisille vapauttamisen tasoille</w:t>
            </w:r>
            <w:r w:rsidRPr="00142BDC">
              <w:rPr>
                <w:color w:val="auto"/>
              </w:rPr>
              <w:t>;</w:t>
            </w:r>
            <w:r w:rsidRPr="00142BDC">
              <w:rPr>
                <w:b/>
                <w:i/>
                <w:color w:val="auto"/>
              </w:rPr>
              <w:t xml:space="preserve"> pyytää komissiota palaamaan positiiviseen luetteloon perustuvaan lähestymistapaan kaikissa nykyisissä ja tulevissa neuvotteluissa</w:t>
            </w:r>
            <w:r w:rsidRPr="00142BDC">
              <w:rPr>
                <w:color w:val="auto"/>
              </w:rPr>
              <w:t>;</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24"/>
          <w:footerReference w:type="default" r:id="rId25"/>
          <w:footerReference w:type="first" r:id="rId26"/>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7</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7</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14 a kohta (uusi)</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b/>
                <w:i/>
                <w:color w:val="auto"/>
              </w:rPr>
              <w:t>14 a.</w:t>
            </w:r>
            <w:r w:rsidRPr="00142BDC">
              <w:rPr>
                <w:color w:val="auto"/>
              </w:rPr>
              <w:tab/>
            </w:r>
            <w:r w:rsidRPr="00142BDC">
              <w:rPr>
                <w:b/>
                <w:i/>
                <w:color w:val="auto"/>
              </w:rPr>
              <w:t>katsoo, että nykyinen ”julkisten palvelujen” lauseke ei tarjoa täysimääräistä ja riittävää suojaa julkisten palvelujen sääntelyä koskevalle oikeudelle, kuten parlamentti on jo todennut aiemmissa päätöslauselmissa</w:t>
            </w:r>
            <w:r w:rsidRPr="00142BDC">
              <w:rPr>
                <w:rStyle w:val="SupBoldItalic"/>
                <w:color w:val="auto"/>
              </w:rPr>
              <w:t>1b</w:t>
            </w:r>
            <w:r w:rsidRPr="00142BDC">
              <w:rPr>
                <w:b/>
                <w:i/>
                <w:color w:val="auto"/>
              </w:rPr>
              <w:t>; kehottaa komissiota harkitsemaan lähestymistapansa tarkistamista, jotta yleishyödylliset palvelut ja yleistä taloudellista etua koskevat palvelut jätetään kaikkien vapaakauppasopimusten ulkopuolelle sellaisen ”julkisia palveluja” koskevan lausekkeen perusteella, joka perustuu nimenomaisesti EU:n perussopimusten periaatteisiin;</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color w:val="auto"/>
              </w:rPr>
              <w:t>_________________</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b/>
                <w:i/>
                <w:color w:val="auto"/>
                <w:vertAlign w:val="superscript"/>
              </w:rPr>
              <w:t>1 b</w:t>
            </w:r>
            <w:r w:rsidR="00C44773">
              <w:rPr>
                <w:b/>
                <w:i/>
                <w:color w:val="auto"/>
                <w:vertAlign w:val="superscript"/>
              </w:rPr>
              <w:t xml:space="preserve"> </w:t>
            </w:r>
            <w:r w:rsidRPr="00142BDC">
              <w:rPr>
                <w:b/>
                <w:i/>
                <w:color w:val="auto"/>
              </w:rPr>
              <w:t xml:space="preserve">Euroopan parlamentin päätöslauselma 3. helmikuuta 2016, johon sisältyvät Euroopan parlamentin suositukset komissiolle palvelukauppasopimusta (TiSA) koskeviin neuvotteluihin (2015/2233(INI)), P8_TA(2016)0041. </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27"/>
          <w:footerReference w:type="default" r:id="rId28"/>
          <w:footerReference w:type="first" r:id="rId29"/>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8</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8</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17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17.</w:t>
            </w:r>
            <w:r w:rsidRPr="00142BDC">
              <w:rPr>
                <w:color w:val="auto"/>
              </w:rPr>
              <w:tab/>
              <w:t xml:space="preserve">korostaa, että sopimuksessa </w:t>
            </w:r>
            <w:r w:rsidRPr="00142BDC">
              <w:rPr>
                <w:b/>
                <w:i/>
                <w:color w:val="auto"/>
              </w:rPr>
              <w:t>säilytetään</w:t>
            </w:r>
            <w:r w:rsidRPr="00142BDC">
              <w:rPr>
                <w:color w:val="auto"/>
              </w:rPr>
              <w:t xml:space="preserve"> valtioiden oikeus säännellä rahoitus- ja pankkialaa vakautta ja valvontaa koskevien syiden vuoksi;</w:t>
            </w:r>
            <w:r w:rsidRPr="00142BDC">
              <w:rPr>
                <w:b/>
                <w:i/>
                <w:color w:val="auto"/>
              </w:rPr>
              <w:t xml:space="preserve"> kehottaa molempia osapuolia käyttämään</w:t>
            </w:r>
            <w:r w:rsidRPr="00142BDC">
              <w:rPr>
                <w:color w:val="auto"/>
              </w:rPr>
              <w:t xml:space="preserve"> rahoitusalan </w:t>
            </w:r>
            <w:r w:rsidRPr="00142BDC">
              <w:rPr>
                <w:b/>
                <w:i/>
                <w:color w:val="auto"/>
              </w:rPr>
              <w:t>sääntelyfoorumia maailmanlaajuisen rahoitusjärjestelmän parantamiseksi</w:t>
            </w:r>
            <w:r w:rsidRPr="00142BDC">
              <w:rPr>
                <w:color w:val="auto"/>
              </w:rPr>
              <w:t>;</w:t>
            </w:r>
          </w:p>
        </w:tc>
        <w:tc>
          <w:tcPr>
            <w:tcW w:w="4876" w:type="dxa"/>
          </w:tcPr>
          <w:p w:rsidR="00106937" w:rsidRPr="00142BDC" w:rsidRDefault="004D5738">
            <w:pPr>
              <w:pStyle w:val="Normal6"/>
              <w:rPr>
                <w:color w:val="auto"/>
              </w:rPr>
            </w:pPr>
            <w:r w:rsidRPr="00142BDC">
              <w:rPr>
                <w:color w:val="auto"/>
              </w:rPr>
              <w:t>17.</w:t>
            </w:r>
            <w:r w:rsidRPr="00142BDC">
              <w:rPr>
                <w:color w:val="auto"/>
              </w:rPr>
              <w:tab/>
              <w:t xml:space="preserve">korostaa, että sopimuksessa </w:t>
            </w:r>
            <w:r w:rsidRPr="00142BDC">
              <w:rPr>
                <w:b/>
                <w:i/>
                <w:color w:val="auto"/>
              </w:rPr>
              <w:t>olisi säilytettävä</w:t>
            </w:r>
            <w:r w:rsidRPr="00142BDC">
              <w:rPr>
                <w:color w:val="auto"/>
              </w:rPr>
              <w:t xml:space="preserve"> valtioiden oikeus säännellä rahoitus- ja pankkialaa vakautta ja valvontaa koskevien syiden vuoksi</w:t>
            </w:r>
            <w:r w:rsidRPr="00142BDC">
              <w:rPr>
                <w:b/>
                <w:i/>
                <w:color w:val="auto"/>
              </w:rPr>
              <w:t>, ja muistuttaa, että rahoituspalveluja koskevan luvun säännökset perustuvat jo vuonna 1995 tehtyyn GATS-sopimukseen</w:t>
            </w:r>
            <w:r w:rsidRPr="00142BDC">
              <w:rPr>
                <w:color w:val="auto"/>
              </w:rPr>
              <w:t>;</w:t>
            </w:r>
            <w:r w:rsidRPr="00142BDC">
              <w:rPr>
                <w:b/>
                <w:i/>
                <w:color w:val="auto"/>
              </w:rPr>
              <w:t xml:space="preserve"> toteaa huolestuneena, että EU on sisällyttänyt rahoituskriisiin johtaneet rahoitustuotteet vapautettavien palvelujen luetteloon (eli luottoriskinvaihtosopimukset, omaisuusvakuudelliset arvopaperit ja johdannaiset, kuten futuurit ja optiot);</w:t>
            </w:r>
            <w:r w:rsidRPr="00142BDC">
              <w:rPr>
                <w:color w:val="auto"/>
              </w:rPr>
              <w:t xml:space="preserve"> </w:t>
            </w:r>
            <w:r w:rsidRPr="00142BDC">
              <w:rPr>
                <w:b/>
                <w:i/>
                <w:color w:val="auto"/>
              </w:rPr>
              <w:t>pitää valitettavana, että tässä vapaakauppasopimuksessa ei ole hyödynnetty tilaisuutta saattaa rahoituspalvelujen kaupan vapauttamista kriisin jälkeisen sääntelymallin mukaiseksi käyttämällä rahoituspalvelujen positiivista luetteloa, mitä myös parlamentti suosittelee sen PANA-valiokunnan tekemän työn välityksellä</w:t>
            </w:r>
            <w:r w:rsidRPr="00142BDC">
              <w:rPr>
                <w:rStyle w:val="SupBoldItalic"/>
                <w:color w:val="auto"/>
              </w:rPr>
              <w:t>1c</w:t>
            </w:r>
            <w:r w:rsidRPr="00142BDC">
              <w:rPr>
                <w:b/>
                <w:i/>
                <w:color w:val="auto"/>
              </w:rPr>
              <w:t>; pitää valitettavana uusia rahoituspalveluja koskevan hyvin kunnianhimoisen säännöksen sisällyttämistä, jolla vahvistetaan aikomus jatkaa rahoitusalan vapauttamista ja laajentamista, mikä on ristiriidassa kriisin jälkeisen lähestymistavan kanssa, jossa pyritään enemmänkin rajoittamaan rahoitusalan innovointia;</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color w:val="auto"/>
              </w:rPr>
              <w:t>_________________</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b/>
                <w:i/>
                <w:color w:val="auto"/>
                <w:vertAlign w:val="superscript"/>
              </w:rPr>
              <w:t>1 c</w:t>
            </w:r>
            <w:r w:rsidR="00C44773">
              <w:rPr>
                <w:b/>
                <w:i/>
                <w:color w:val="auto"/>
                <w:vertAlign w:val="superscript"/>
              </w:rPr>
              <w:t xml:space="preserve"> </w:t>
            </w:r>
            <w:r w:rsidRPr="00142BDC">
              <w:rPr>
                <w:b/>
                <w:i/>
                <w:color w:val="auto"/>
              </w:rPr>
              <w:t xml:space="preserve">Euroopan parlamentin suositus neuvostolle ja komissiolle 13. joulukuuta 2017 rahanpesua, veronkiertoa ja veropetoksia käsittelevän tutkinnan johdosta (2016/3044(RSP), P8_TA-PROV(2017)0491 </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30"/>
          <w:footerReference w:type="default" r:id="rId31"/>
          <w:footerReference w:type="first" r:id="rId32"/>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9</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9</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19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19.</w:t>
            </w:r>
            <w:r w:rsidRPr="00142BDC">
              <w:rPr>
                <w:color w:val="auto"/>
              </w:rPr>
              <w:tab/>
              <w:t xml:space="preserve">korostaa, että sääntely-yhteistyö on vapaaehtoista ja että </w:t>
            </w:r>
            <w:r w:rsidRPr="00142BDC">
              <w:rPr>
                <w:b/>
                <w:i/>
                <w:color w:val="auto"/>
              </w:rPr>
              <w:t>se</w:t>
            </w:r>
            <w:r w:rsidRPr="00142BDC">
              <w:rPr>
                <w:color w:val="auto"/>
              </w:rPr>
              <w:t xml:space="preserve"> ei missään tapauksessa </w:t>
            </w:r>
            <w:r w:rsidRPr="00142BDC">
              <w:rPr>
                <w:b/>
                <w:i/>
                <w:color w:val="auto"/>
              </w:rPr>
              <w:t>rajoita</w:t>
            </w:r>
            <w:r w:rsidRPr="00142BDC">
              <w:rPr>
                <w:color w:val="auto"/>
              </w:rPr>
              <w:t xml:space="preserve"> oikeutta säännellä; muistuttaa, että vastaavat säännökset on pantava täytäntöön lainsäädäntövallan käyttäjien oikeuksia täysimääräisesti kunnioittaen; </w:t>
            </w:r>
            <w:r w:rsidRPr="00142BDC">
              <w:rPr>
                <w:b/>
                <w:i/>
                <w:color w:val="auto"/>
              </w:rPr>
              <w:t>on</w:t>
            </w:r>
            <w:r w:rsidRPr="00142BDC">
              <w:rPr>
                <w:color w:val="auto"/>
              </w:rPr>
              <w:t xml:space="preserve"> </w:t>
            </w:r>
            <w:r w:rsidRPr="00142BDC">
              <w:rPr>
                <w:b/>
                <w:i/>
                <w:color w:val="auto"/>
              </w:rPr>
              <w:t>tyytyväinen siihen</w:t>
            </w:r>
            <w:r w:rsidRPr="00142BDC">
              <w:rPr>
                <w:color w:val="auto"/>
              </w:rPr>
              <w:t xml:space="preserve">, </w:t>
            </w:r>
            <w:r w:rsidRPr="00142BDC">
              <w:rPr>
                <w:b/>
                <w:i/>
                <w:color w:val="auto"/>
              </w:rPr>
              <w:t>että</w:t>
            </w:r>
            <w:r w:rsidRPr="00142BDC">
              <w:rPr>
                <w:color w:val="auto"/>
              </w:rPr>
              <w:t xml:space="preserve"> </w:t>
            </w:r>
            <w:r w:rsidRPr="00142BDC">
              <w:rPr>
                <w:b/>
                <w:i/>
                <w:color w:val="auto"/>
              </w:rPr>
              <w:t>sääntely-yhteistyötä koskevassa luvussa selvästi todetaan</w:t>
            </w:r>
            <w:r w:rsidRPr="00142BDC">
              <w:rPr>
                <w:color w:val="auto"/>
              </w:rPr>
              <w:t>, että SEUT-sopimuksessa vahvistettuja periaatteita, kuten ennalta varautumisen periaatetta, on noudatettava täysimääräisesti;</w:t>
            </w:r>
          </w:p>
        </w:tc>
        <w:tc>
          <w:tcPr>
            <w:tcW w:w="4876" w:type="dxa"/>
          </w:tcPr>
          <w:p w:rsidR="00106937" w:rsidRPr="00142BDC" w:rsidRDefault="004D5738" w:rsidP="00C44773">
            <w:pPr>
              <w:pStyle w:val="Normal6"/>
              <w:rPr>
                <w:color w:val="auto"/>
              </w:rPr>
            </w:pPr>
            <w:r w:rsidRPr="00142BDC">
              <w:rPr>
                <w:color w:val="auto"/>
              </w:rPr>
              <w:t>19.</w:t>
            </w:r>
            <w:r w:rsidRPr="00142BDC">
              <w:rPr>
                <w:color w:val="auto"/>
              </w:rPr>
              <w:tab/>
              <w:t xml:space="preserve">korostaa, että sääntely-yhteistyö on vapaaehtoista ja että </w:t>
            </w:r>
            <w:r w:rsidRPr="00142BDC">
              <w:rPr>
                <w:b/>
                <w:i/>
                <w:color w:val="auto"/>
              </w:rPr>
              <w:t>sen</w:t>
            </w:r>
            <w:r w:rsidRPr="00142BDC">
              <w:rPr>
                <w:color w:val="auto"/>
              </w:rPr>
              <w:t xml:space="preserve"> ei missään tapauksessa </w:t>
            </w:r>
            <w:r w:rsidRPr="00142BDC">
              <w:rPr>
                <w:b/>
                <w:i/>
                <w:color w:val="auto"/>
              </w:rPr>
              <w:t>pitäisi rajoittaa</w:t>
            </w:r>
            <w:r w:rsidRPr="00142BDC">
              <w:rPr>
                <w:color w:val="auto"/>
              </w:rPr>
              <w:t xml:space="preserve"> oikeutta säännellä; muistuttaa, että vastaavat säännökset on pantava täytäntöön lainsäädäntövallan käyttäjien oikeuksia täysimääräisesti kunnioittaen; </w:t>
            </w:r>
            <w:r w:rsidRPr="00142BDC">
              <w:rPr>
                <w:b/>
                <w:i/>
                <w:color w:val="auto"/>
              </w:rPr>
              <w:t>korostaa sääntely-yhteistyötä koskevassa luvussa olevaa säännöstä, jonka mukaan sääntelytoimet eivät saa muodostaa peiteltyä kaupan estettä, minkä vuoksi on</w:t>
            </w:r>
            <w:r w:rsidRPr="00142BDC">
              <w:rPr>
                <w:color w:val="auto"/>
              </w:rPr>
              <w:t xml:space="preserve"> </w:t>
            </w:r>
            <w:r w:rsidRPr="00142BDC">
              <w:rPr>
                <w:b/>
                <w:i/>
                <w:color w:val="auto"/>
              </w:rPr>
              <w:t>punnittava ja tasapainotettava sitä, mikä on yhtäältä oikeasuhteista ja tarpeellista ja mikä voi toisaalta olla oikeutettu politiikan tavoite; on huolestunut siitä, että vapaakauppasopimusten kehyksessä tehtyyn sääntely-yhteistyöhön liittyy riski siitä, että yleisen edun sääntelyn ja kaupan esteiden poistamisen välinen herkkä tasapaino kallistuu jälkimmäisen puoleen; pitää valitettavana, että</w:t>
            </w:r>
            <w:r w:rsidRPr="00142BDC">
              <w:rPr>
                <w:color w:val="auto"/>
              </w:rPr>
              <w:t xml:space="preserve"> </w:t>
            </w:r>
            <w:r w:rsidRPr="00142BDC">
              <w:rPr>
                <w:b/>
                <w:i/>
                <w:color w:val="auto"/>
              </w:rPr>
              <w:t xml:space="preserve">lukujen säännöksiä, joiden mukaan </w:t>
            </w:r>
            <w:r w:rsidRPr="00142BDC">
              <w:rPr>
                <w:color w:val="auto"/>
              </w:rPr>
              <w:t>SEUT</w:t>
            </w:r>
            <w:r w:rsidR="00C44773">
              <w:rPr>
                <w:color w:val="auto"/>
              </w:rPr>
              <w:noBreakHyphen/>
            </w:r>
            <w:bookmarkStart w:id="0" w:name="_GoBack"/>
            <w:bookmarkEnd w:id="0"/>
            <w:r w:rsidRPr="00142BDC">
              <w:rPr>
                <w:color w:val="auto"/>
              </w:rPr>
              <w:t>sopimuksessa vahvistettuja periaatteita, kuten ennalta varautumisen periaatetta, on noudatettava täysimääräisesti,</w:t>
            </w:r>
            <w:r w:rsidRPr="00142BDC">
              <w:rPr>
                <w:b/>
                <w:i/>
                <w:color w:val="auto"/>
              </w:rPr>
              <w:t xml:space="preserve"> sovelletaan vain sääntely-yhteistyöhön, vaikka kriittisimmät määräykset ovat terveys- ja kasvinsuojelutoimenpiteitä (SPS) ja kaupan teknisiä esteitä (TBT) koskevissa luvuissa;</w:t>
            </w:r>
          </w:p>
        </w:tc>
      </w:tr>
    </w:tbl>
    <w:p w:rsidR="00106937" w:rsidRPr="00142BDC" w:rsidRDefault="004D5738" w:rsidP="00905D00">
      <w:pPr>
        <w:pStyle w:val="Olang"/>
      </w:pPr>
      <w:r w:rsidRPr="00142BDC">
        <w:rPr>
          <w:color w:val="auto"/>
        </w:rPr>
        <w:lastRenderedPageBreak/>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33"/>
          <w:footerReference w:type="default" r:id="rId34"/>
          <w:footerReference w:type="first" r:id="rId35"/>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lastRenderedPageBreak/>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10</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10</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20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20.</w:t>
            </w:r>
            <w:r w:rsidRPr="00142BDC">
              <w:rPr>
                <w:color w:val="auto"/>
              </w:rPr>
              <w:tab/>
              <w:t xml:space="preserve">vaatii avoimuutta sääntely-yhteistyökomitean toimintaan ja kaikkien sidosryhmien, erityisesti ammattiyhdistysten ja kansalaisjärjestöjen, riittävää osallistumista, mitä olisi pidettävä ennakkoedellytyksenä, jotta voidaan edelleen lisätä yleisön luottamusta sopimusta ja sen vaikutuksia kohtaan; painottaa, että parlamentille olisi tiedotettava </w:t>
            </w:r>
            <w:r w:rsidRPr="00142BDC">
              <w:rPr>
                <w:b/>
                <w:i/>
                <w:color w:val="auto"/>
              </w:rPr>
              <w:t>säännöllisesti</w:t>
            </w:r>
            <w:r w:rsidRPr="00142BDC">
              <w:rPr>
                <w:color w:val="auto"/>
              </w:rPr>
              <w:t xml:space="preserve"> päätöksistä, joita tehdään sääntely-yhteistyökomiteassa;</w:t>
            </w:r>
          </w:p>
        </w:tc>
        <w:tc>
          <w:tcPr>
            <w:tcW w:w="4876" w:type="dxa"/>
          </w:tcPr>
          <w:p w:rsidR="00106937" w:rsidRPr="00142BDC" w:rsidRDefault="004D5738">
            <w:pPr>
              <w:pStyle w:val="Normal6"/>
              <w:rPr>
                <w:color w:val="auto"/>
              </w:rPr>
            </w:pPr>
            <w:r w:rsidRPr="00142BDC">
              <w:rPr>
                <w:color w:val="auto"/>
              </w:rPr>
              <w:t>20.</w:t>
            </w:r>
            <w:r w:rsidRPr="00142BDC">
              <w:rPr>
                <w:color w:val="auto"/>
              </w:rPr>
              <w:tab/>
              <w:t xml:space="preserve">vaatii avoimuutta sääntely-yhteistyökomitean toimintaan ja kaikkien sidosryhmien, erityisesti ammattiyhdistysten ja kansalaisjärjestöjen, riittävää osallistumista, mitä olisi pidettävä ennakkoedellytyksenä, jotta voidaan edelleen lisätä yleisön luottamusta sopimusta ja sen vaikutuksia kohtaan; painottaa, että parlamentille olisi tiedotettava </w:t>
            </w:r>
            <w:r w:rsidRPr="00142BDC">
              <w:rPr>
                <w:b/>
                <w:i/>
                <w:color w:val="auto"/>
              </w:rPr>
              <w:t>järjestelmällisesti</w:t>
            </w:r>
            <w:r w:rsidRPr="00142BDC">
              <w:rPr>
                <w:color w:val="auto"/>
              </w:rPr>
              <w:t xml:space="preserve"> päätöksistä, joita tehdään sääntely-yhteistyökomiteassa</w:t>
            </w:r>
            <w:r w:rsidRPr="00142BDC">
              <w:rPr>
                <w:b/>
                <w:i/>
                <w:color w:val="auto"/>
              </w:rPr>
              <w:t>, sekä ennen jokaista talouskumppanuussopimusten sääntely-yhteistyöfoorumin kokousta ja niiden jälkeen</w:t>
            </w:r>
            <w:r w:rsidRPr="00142BDC">
              <w:rPr>
                <w:color w:val="auto"/>
              </w:rPr>
              <w:t>;</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36"/>
          <w:footerReference w:type="default" r:id="rId37"/>
          <w:footerReference w:type="first" r:id="rId38"/>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11</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11</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21 kohta</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4D5738">
            <w:pPr>
              <w:pStyle w:val="Normal6"/>
              <w:rPr>
                <w:color w:val="auto"/>
              </w:rPr>
            </w:pPr>
            <w:r w:rsidRPr="00142BDC">
              <w:rPr>
                <w:color w:val="auto"/>
              </w:rPr>
              <w:t>21.</w:t>
            </w:r>
            <w:r w:rsidRPr="00142BDC">
              <w:rPr>
                <w:color w:val="auto"/>
              </w:rPr>
              <w:tab/>
              <w:t xml:space="preserve">panee merkille, että neuvottelut erillisestä investointisopimuksesta jatkuvat, </w:t>
            </w:r>
            <w:r w:rsidRPr="00142BDC">
              <w:rPr>
                <w:b/>
                <w:i/>
                <w:color w:val="auto"/>
              </w:rPr>
              <w:t>mitä parlamentti aikoo seurata tiiviisti;</w:t>
            </w:r>
            <w:r w:rsidRPr="00142BDC">
              <w:rPr>
                <w:color w:val="auto"/>
              </w:rPr>
              <w:t xml:space="preserve"> </w:t>
            </w:r>
            <w:r w:rsidRPr="00142BDC">
              <w:rPr>
                <w:b/>
                <w:i/>
                <w:color w:val="auto"/>
              </w:rPr>
              <w:t>panee merkille</w:t>
            </w:r>
            <w:r w:rsidRPr="00142BDC">
              <w:rPr>
                <w:color w:val="auto"/>
              </w:rPr>
              <w:t xml:space="preserve">, </w:t>
            </w:r>
            <w:r w:rsidRPr="00142BDC">
              <w:rPr>
                <w:b/>
                <w:i/>
                <w:color w:val="auto"/>
              </w:rPr>
              <w:t>että komissio on ottanut käyttöön investointituomioistuinjärjestelmän muiden kumppaneiden kanssa tehdyissä sopimuksissa monenvälisen investointituomioistuimen perustamista odotettaessa</w:t>
            </w:r>
            <w:r w:rsidRPr="00142BDC">
              <w:rPr>
                <w:color w:val="auto"/>
              </w:rPr>
              <w:t>;</w:t>
            </w:r>
            <w:r w:rsidRPr="00142BDC">
              <w:rPr>
                <w:b/>
                <w:i/>
                <w:color w:val="auto"/>
              </w:rPr>
              <w:t xml:space="preserve"> toistaa</w:t>
            </w:r>
            <w:r w:rsidRPr="00142BDC">
              <w:rPr>
                <w:color w:val="auto"/>
              </w:rPr>
              <w:t xml:space="preserve">, </w:t>
            </w:r>
            <w:r w:rsidRPr="00142BDC">
              <w:rPr>
                <w:b/>
                <w:i/>
                <w:color w:val="auto"/>
              </w:rPr>
              <w:t>että</w:t>
            </w:r>
            <w:r w:rsidRPr="00142BDC">
              <w:rPr>
                <w:color w:val="auto"/>
              </w:rPr>
              <w:t xml:space="preserve"> </w:t>
            </w:r>
            <w:r w:rsidRPr="00142BDC">
              <w:rPr>
                <w:b/>
                <w:i/>
                <w:color w:val="auto"/>
              </w:rPr>
              <w:t>vanha, yksityisen sijoittajan ja valtion välinen riitojenratkaisumekanismi ei ole hyväksyttävissä</w:t>
            </w:r>
            <w:r w:rsidRPr="00142BDC">
              <w:rPr>
                <w:color w:val="auto"/>
              </w:rPr>
              <w:t xml:space="preserve"> </w:t>
            </w:r>
            <w:r w:rsidRPr="00142BDC">
              <w:rPr>
                <w:b/>
                <w:i/>
                <w:color w:val="auto"/>
              </w:rPr>
              <w:t>ja</w:t>
            </w:r>
            <w:r w:rsidRPr="00142BDC">
              <w:rPr>
                <w:color w:val="auto"/>
              </w:rPr>
              <w:t xml:space="preserve"> </w:t>
            </w:r>
            <w:r w:rsidRPr="00142BDC">
              <w:rPr>
                <w:b/>
                <w:i/>
                <w:color w:val="auto"/>
              </w:rPr>
              <w:t>että siihen palaamiseen ei ole annettu valtuuksia</w:t>
            </w:r>
            <w:r w:rsidRPr="00142BDC">
              <w:rPr>
                <w:color w:val="auto"/>
              </w:rPr>
              <w:t>;</w:t>
            </w:r>
          </w:p>
        </w:tc>
        <w:tc>
          <w:tcPr>
            <w:tcW w:w="4876" w:type="dxa"/>
          </w:tcPr>
          <w:p w:rsidR="00106937" w:rsidRPr="00142BDC" w:rsidRDefault="004D5738">
            <w:pPr>
              <w:pStyle w:val="Normal6"/>
              <w:rPr>
                <w:color w:val="auto"/>
              </w:rPr>
            </w:pPr>
            <w:r w:rsidRPr="00142BDC">
              <w:rPr>
                <w:color w:val="auto"/>
              </w:rPr>
              <w:t>21.</w:t>
            </w:r>
            <w:r w:rsidRPr="00142BDC">
              <w:rPr>
                <w:color w:val="auto"/>
              </w:rPr>
              <w:tab/>
              <w:t>panee merkille, että neuvottelut erillisestä investointisopimuksesta jatkuvat</w:t>
            </w:r>
            <w:r w:rsidRPr="00142BDC">
              <w:rPr>
                <w:b/>
                <w:i/>
                <w:color w:val="auto"/>
              </w:rPr>
              <w:t>;</w:t>
            </w:r>
            <w:r w:rsidRPr="00142BDC">
              <w:rPr>
                <w:color w:val="auto"/>
              </w:rPr>
              <w:t xml:space="preserve"> </w:t>
            </w:r>
            <w:r w:rsidRPr="00142BDC">
              <w:rPr>
                <w:b/>
                <w:i/>
                <w:color w:val="auto"/>
              </w:rPr>
              <w:t>panee merkille</w:t>
            </w:r>
            <w:r w:rsidRPr="00142BDC">
              <w:rPr>
                <w:color w:val="auto"/>
              </w:rPr>
              <w:t xml:space="preserve">, </w:t>
            </w:r>
            <w:r w:rsidRPr="00142BDC">
              <w:rPr>
                <w:b/>
                <w:i/>
                <w:color w:val="auto"/>
              </w:rPr>
              <w:t>että investointituomioistuinjärjestelmällä jatketaan korkeaa investointisuojan tasoa ilman vastaavia sijoittajien velvoitteita niiden aineellisten sijoittajien oikeuksien pohjalta</w:t>
            </w:r>
            <w:r w:rsidRPr="00142BDC">
              <w:rPr>
                <w:color w:val="auto"/>
              </w:rPr>
              <w:t xml:space="preserve">, </w:t>
            </w:r>
            <w:r w:rsidRPr="00142BDC">
              <w:rPr>
                <w:b/>
                <w:i/>
                <w:color w:val="auto"/>
              </w:rPr>
              <w:t>jotka järjestelmällisesti heikentävät osapuolten oikeutta säännellä oikeutettuja julkisen politiikan tavoitteita ja pyrkiä saavuttamaan ne</w:t>
            </w:r>
            <w:r w:rsidRPr="00142BDC">
              <w:rPr>
                <w:color w:val="auto"/>
              </w:rPr>
              <w:t>;</w:t>
            </w:r>
            <w:r w:rsidRPr="00142BDC">
              <w:rPr>
                <w:b/>
                <w:i/>
                <w:color w:val="auto"/>
              </w:rPr>
              <w:t xml:space="preserve"> painottaa</w:t>
            </w:r>
            <w:r w:rsidRPr="00142BDC">
              <w:rPr>
                <w:color w:val="auto"/>
              </w:rPr>
              <w:t xml:space="preserve">, </w:t>
            </w:r>
            <w:r w:rsidRPr="00142BDC">
              <w:rPr>
                <w:b/>
                <w:i/>
                <w:color w:val="auto"/>
              </w:rPr>
              <w:t>että</w:t>
            </w:r>
            <w:r w:rsidRPr="00142BDC">
              <w:rPr>
                <w:color w:val="auto"/>
              </w:rPr>
              <w:t xml:space="preserve"> </w:t>
            </w:r>
            <w:r w:rsidRPr="00142BDC">
              <w:rPr>
                <w:b/>
                <w:i/>
                <w:color w:val="auto"/>
              </w:rPr>
              <w:t>investointituomioistuinjärjestelmällä ei onnistuta uudistamaan ulkomaisten investointien suojaamisen kaikkein ongelmallisimpia aineellisia säännöksiä, erityisesti ’epäsuoraa pakkolunastusta’, ’luottamuksensuojaa’</w:t>
            </w:r>
            <w:r w:rsidRPr="00142BDC">
              <w:rPr>
                <w:color w:val="auto"/>
              </w:rPr>
              <w:t xml:space="preserve"> </w:t>
            </w:r>
            <w:r w:rsidRPr="00142BDC">
              <w:rPr>
                <w:b/>
                <w:i/>
                <w:color w:val="auto"/>
              </w:rPr>
              <w:t>ja</w:t>
            </w:r>
            <w:r w:rsidRPr="00142BDC">
              <w:rPr>
                <w:color w:val="auto"/>
              </w:rPr>
              <w:t xml:space="preserve"> </w:t>
            </w:r>
            <w:r w:rsidRPr="00142BDC">
              <w:rPr>
                <w:b/>
                <w:i/>
                <w:color w:val="auto"/>
              </w:rPr>
              <w:t>’oikeudenmukaista ja tasapuolista kohtelua’ koskevien periaatteiden osalta</w:t>
            </w:r>
            <w:r w:rsidRPr="00142BDC">
              <w:rPr>
                <w:color w:val="auto"/>
              </w:rPr>
              <w:t>;</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39"/>
          <w:footerReference w:type="default" r:id="rId40"/>
          <w:footerReference w:type="first" r:id="rId41"/>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12</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12</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21 a kohta (uusi)</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b/>
                <w:i/>
                <w:color w:val="auto"/>
              </w:rPr>
              <w:t>21 a.</w:t>
            </w:r>
            <w:r w:rsidRPr="00142BDC">
              <w:rPr>
                <w:color w:val="auto"/>
              </w:rPr>
              <w:tab/>
            </w:r>
            <w:r w:rsidRPr="00142BDC">
              <w:rPr>
                <w:b/>
                <w:i/>
                <w:color w:val="auto"/>
              </w:rPr>
              <w:t>kehottaa komissiota lopettamaan investointisuojasopimuksesta käytävät neuvottelut;</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rPr>
          <w:color w:val="auto"/>
        </w:rPr>
        <w:sectPr w:rsidR="00106937" w:rsidRPr="00142BDC">
          <w:footerReference w:type="even" r:id="rId42"/>
          <w:footerReference w:type="default" r:id="rId43"/>
          <w:footerReference w:type="first" r:id="rId44"/>
          <w:pgSz w:w="11906" w:h="16838"/>
          <w:pgMar w:top="1134" w:right="1417" w:bottom="1417" w:left="1417" w:header="1134" w:footer="567" w:gutter="0"/>
          <w:cols w:space="708"/>
          <w:docGrid w:linePitch="360"/>
        </w:sectPr>
      </w:pPr>
      <w:r w:rsidRPr="00142BDC">
        <w:rPr>
          <w:rStyle w:val="HideTWBExt"/>
        </w:rPr>
        <w:t>&lt;/Amend&gt;</w:t>
      </w:r>
    </w:p>
    <w:p w:rsidR="00106937" w:rsidRPr="00142BDC" w:rsidRDefault="004D5738">
      <w:pPr>
        <w:pStyle w:val="Interstitial1"/>
      </w:pPr>
      <w:r w:rsidRPr="00142BDC">
        <w:rPr>
          <w:rStyle w:val="HideTWBExt"/>
        </w:rPr>
        <w:t>&lt;Amend&gt;&lt;Date&gt;</w:t>
      </w:r>
      <w:r w:rsidRPr="00142BDC">
        <w:rPr>
          <w:rStyle w:val="HideTWBInt"/>
          <w:color w:val="auto"/>
        </w:rPr>
        <w:t>{05/12/2018}</w:t>
      </w:r>
      <w:r w:rsidRPr="00142BDC">
        <w:rPr>
          <w:color w:val="auto"/>
        </w:rPr>
        <w:t>5.12.2018</w:t>
      </w:r>
      <w:r w:rsidRPr="00142BDC">
        <w:rPr>
          <w:rStyle w:val="HideTWBExt"/>
        </w:rPr>
        <w:t>&lt;/Date&gt;</w:t>
      </w:r>
      <w:r w:rsidRPr="00142BDC">
        <w:rPr>
          <w:color w:val="auto"/>
        </w:rPr>
        <w:tab/>
      </w:r>
      <w:r w:rsidRPr="00142BDC">
        <w:rPr>
          <w:rStyle w:val="HideTWBExt"/>
        </w:rPr>
        <w:t>&lt;ANo&gt;</w:t>
      </w:r>
      <w:r w:rsidRPr="00142BDC">
        <w:rPr>
          <w:color w:val="auto"/>
        </w:rPr>
        <w:t>A8-0367</w:t>
      </w:r>
      <w:r w:rsidRPr="00142BDC">
        <w:rPr>
          <w:rStyle w:val="HideTWBExt"/>
        </w:rPr>
        <w:t>&lt;/ANo&gt;</w:t>
      </w:r>
      <w:r w:rsidRPr="00142BDC">
        <w:rPr>
          <w:color w:val="auto"/>
        </w:rPr>
        <w:t>/</w:t>
      </w:r>
      <w:r w:rsidRPr="00142BDC">
        <w:rPr>
          <w:rStyle w:val="HideTWBExt"/>
        </w:rPr>
        <w:t>&lt;NumAm&gt;</w:t>
      </w:r>
      <w:r w:rsidRPr="00142BDC">
        <w:rPr>
          <w:color w:val="auto"/>
        </w:rPr>
        <w:t>13</w:t>
      </w:r>
      <w:r w:rsidRPr="00142BDC">
        <w:rPr>
          <w:rStyle w:val="HideTWBExt"/>
        </w:rPr>
        <w:t>&lt;/NumAm&gt;</w:t>
      </w:r>
    </w:p>
    <w:p w:rsidR="00106937" w:rsidRPr="00142BDC" w:rsidRDefault="004D5738">
      <w:pPr>
        <w:pStyle w:val="AMNumberTabs"/>
      </w:pPr>
      <w:r w:rsidRPr="00142BDC">
        <w:rPr>
          <w:color w:val="auto"/>
        </w:rPr>
        <w:t>Tarkistus</w:t>
      </w:r>
      <w:r w:rsidRPr="00142BDC">
        <w:rPr>
          <w:color w:val="auto"/>
        </w:rPr>
        <w:tab/>
      </w:r>
      <w:r w:rsidRPr="00142BDC">
        <w:rPr>
          <w:color w:val="auto"/>
        </w:rPr>
        <w:tab/>
      </w:r>
      <w:r w:rsidRPr="00142BDC">
        <w:rPr>
          <w:rStyle w:val="HideTWBExt"/>
        </w:rPr>
        <w:t>&lt;NumAm&gt;</w:t>
      </w:r>
      <w:r w:rsidRPr="00142BDC">
        <w:rPr>
          <w:color w:val="auto"/>
        </w:rPr>
        <w:t>13</w:t>
      </w:r>
      <w:r w:rsidRPr="00142BDC">
        <w:rPr>
          <w:rStyle w:val="HideTWBExt"/>
        </w:rPr>
        <w:t>&lt;/NumAm&gt;</w:t>
      </w:r>
    </w:p>
    <w:p w:rsidR="00106937" w:rsidRPr="00142BDC" w:rsidRDefault="004D5738">
      <w:pPr>
        <w:pStyle w:val="NormalBold"/>
      </w:pPr>
      <w:r w:rsidRPr="00142BDC">
        <w:rPr>
          <w:rStyle w:val="HideTWBExt"/>
        </w:rPr>
        <w:t>&lt;RepeatBlock-By&gt;&lt;Members&gt;</w:t>
      </w:r>
      <w:r w:rsidRPr="00142BDC">
        <w:rPr>
          <w:color w:val="auto"/>
        </w:rPr>
        <w:t>Klaus Buchner, Yannick Jadot</w:t>
      </w:r>
      <w:r w:rsidRPr="00142BDC">
        <w:rPr>
          <w:rStyle w:val="HideTWBExt"/>
        </w:rPr>
        <w:t>&lt;/Members&gt;</w:t>
      </w:r>
    </w:p>
    <w:p w:rsidR="00106937" w:rsidRPr="00142BDC" w:rsidRDefault="004D5738">
      <w:r w:rsidRPr="00142BDC">
        <w:rPr>
          <w:rStyle w:val="HideTWBExt"/>
        </w:rPr>
        <w:t>&lt;AuNomDe&gt;</w:t>
      </w:r>
      <w:r w:rsidRPr="00142BDC">
        <w:rPr>
          <w:rStyle w:val="HideTWBInt"/>
          <w:color w:val="auto"/>
        </w:rPr>
        <w:t>{Verts/ALE}</w:t>
      </w:r>
      <w:r w:rsidRPr="00142BDC">
        <w:t>Verts/ALE-ryhmän puolesta</w:t>
      </w:r>
      <w:r w:rsidRPr="00142BDC">
        <w:rPr>
          <w:rStyle w:val="HideTWBExt"/>
        </w:rPr>
        <w:t>&lt;/AuNomDe&gt;</w:t>
      </w:r>
    </w:p>
    <w:p w:rsidR="00106937" w:rsidRPr="00142BDC" w:rsidRDefault="004D5738">
      <w:r w:rsidRPr="00142BDC">
        <w:rPr>
          <w:rStyle w:val="HideTWBExt"/>
        </w:rPr>
        <w:t>&lt;/RepeatBlock-By&gt;</w:t>
      </w:r>
    </w:p>
    <w:p w:rsidR="00106937" w:rsidRPr="00142BDC" w:rsidRDefault="004D5738">
      <w:pPr>
        <w:pStyle w:val="ProjRap"/>
      </w:pPr>
      <w:r w:rsidRPr="00142BDC">
        <w:rPr>
          <w:rStyle w:val="HideTWBExt"/>
        </w:rPr>
        <w:t>&lt;TitreType&gt;</w:t>
      </w:r>
      <w:r w:rsidRPr="00142BDC">
        <w:t>Mietintö</w:t>
      </w:r>
      <w:r w:rsidRPr="00142BDC">
        <w:rPr>
          <w:rStyle w:val="HideTWBExt"/>
        </w:rPr>
        <w:t>&lt;/TitreType&gt;</w:t>
      </w:r>
      <w:r w:rsidRPr="00142BDC">
        <w:tab/>
        <w:t>A8-0367/2018</w:t>
      </w:r>
    </w:p>
    <w:p w:rsidR="00106937" w:rsidRPr="00142BDC" w:rsidRDefault="004D5738">
      <w:pPr>
        <w:pStyle w:val="NormalBold"/>
      </w:pPr>
      <w:r w:rsidRPr="00142BDC">
        <w:rPr>
          <w:rStyle w:val="HideTWBExt"/>
        </w:rPr>
        <w:t>&lt;Rapporteur&gt;</w:t>
      </w:r>
      <w:r w:rsidRPr="00142BDC">
        <w:rPr>
          <w:color w:val="auto"/>
        </w:rPr>
        <w:t>Pedro Silva Pereira</w:t>
      </w:r>
      <w:r w:rsidRPr="00142BDC">
        <w:rPr>
          <w:rStyle w:val="HideTWBExt"/>
        </w:rPr>
        <w:t>&lt;/Rapporteur&gt;</w:t>
      </w:r>
    </w:p>
    <w:p w:rsidR="00106937" w:rsidRPr="00142BDC" w:rsidRDefault="004D5738">
      <w:pPr>
        <w:pStyle w:val="Normal12"/>
      </w:pPr>
      <w:r w:rsidRPr="00142BDC">
        <w:rPr>
          <w:rStyle w:val="HideTWBExt"/>
        </w:rPr>
        <w:t>&lt;Titre&gt;</w:t>
      </w:r>
      <w:r w:rsidRPr="00142BDC">
        <w:t>EU:n ja Japanin välinen talouskumppanuussopimus (päätöslauselma)</w:t>
      </w:r>
      <w:r w:rsidRPr="00142BDC">
        <w:rPr>
          <w:rStyle w:val="HideTWBExt"/>
        </w:rPr>
        <w:t>&lt;/Titre&gt;</w:t>
      </w:r>
    </w:p>
    <w:p w:rsidR="00106937" w:rsidRPr="00142BDC" w:rsidRDefault="004D5738">
      <w:pPr>
        <w:pStyle w:val="Normal12"/>
      </w:pPr>
      <w:r w:rsidRPr="00142BDC">
        <w:rPr>
          <w:rStyle w:val="HideTWBExt"/>
        </w:rPr>
        <w:t>&lt;DocRef&gt;</w:t>
      </w:r>
      <w:r w:rsidRPr="00142BDC">
        <w:rPr>
          <w:color w:val="auto"/>
        </w:rPr>
        <w:t>2018/0091M(NLE)</w:t>
      </w:r>
      <w:r w:rsidRPr="00142BDC">
        <w:rPr>
          <w:rStyle w:val="HideTWBExt"/>
        </w:rPr>
        <w:t>&lt;/DocRef&gt;</w:t>
      </w:r>
    </w:p>
    <w:p w:rsidR="00106937" w:rsidRPr="00142BDC" w:rsidRDefault="00106937">
      <w:pPr>
        <w:pStyle w:val="Normal12"/>
      </w:pPr>
    </w:p>
    <w:p w:rsidR="00106937" w:rsidRPr="00142BDC" w:rsidRDefault="004D5738">
      <w:pPr>
        <w:pStyle w:val="NormalBold"/>
      </w:pPr>
      <w:r w:rsidRPr="00142BDC">
        <w:rPr>
          <w:rStyle w:val="HideTWBExt"/>
        </w:rPr>
        <w:t>&lt;DocAmend&gt;</w:t>
      </w:r>
      <w:r w:rsidRPr="00142BDC">
        <w:rPr>
          <w:color w:val="auto"/>
        </w:rPr>
        <w:t>Päätöslauselmaesitys</w:t>
      </w:r>
      <w:r w:rsidRPr="00142BDC">
        <w:rPr>
          <w:rStyle w:val="HideTWBExt"/>
        </w:rPr>
        <w:t>&lt;/DocAmend&gt;</w:t>
      </w:r>
    </w:p>
    <w:p w:rsidR="00106937" w:rsidRPr="00142BDC" w:rsidRDefault="004D5738">
      <w:pPr>
        <w:pStyle w:val="NormalBold"/>
      </w:pPr>
      <w:r w:rsidRPr="00142BDC">
        <w:rPr>
          <w:rStyle w:val="HideTWBExt"/>
        </w:rPr>
        <w:t>&lt;Article&gt;</w:t>
      </w:r>
      <w:r w:rsidRPr="00142BDC">
        <w:rPr>
          <w:color w:val="auto"/>
        </w:rPr>
        <w:t>25 a kohta (uusi)</w:t>
      </w:r>
      <w:r w:rsidRPr="00142BD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37" w:rsidRPr="00142BDC">
        <w:trPr>
          <w:trHeight w:hRule="exact" w:val="240"/>
          <w:jc w:val="center"/>
        </w:trPr>
        <w:tc>
          <w:tcPr>
            <w:tcW w:w="9752" w:type="dxa"/>
            <w:gridSpan w:val="2"/>
          </w:tcPr>
          <w:p w:rsidR="00106937" w:rsidRPr="00142BDC" w:rsidRDefault="00106937"/>
        </w:tc>
      </w:tr>
      <w:tr w:rsidR="00106937" w:rsidRPr="00142BDC">
        <w:trPr>
          <w:trHeight w:val="240"/>
          <w:jc w:val="center"/>
        </w:trPr>
        <w:tc>
          <w:tcPr>
            <w:tcW w:w="4876" w:type="dxa"/>
          </w:tcPr>
          <w:p w:rsidR="00106937" w:rsidRPr="00142BDC" w:rsidRDefault="004D5738">
            <w:pPr>
              <w:pStyle w:val="ColumnHeading"/>
              <w:rPr>
                <w:color w:val="auto"/>
              </w:rPr>
            </w:pPr>
            <w:r w:rsidRPr="00142BDC">
              <w:rPr>
                <w:color w:val="auto"/>
              </w:rPr>
              <w:t>Päätöslauselmaesitys</w:t>
            </w:r>
          </w:p>
        </w:tc>
        <w:tc>
          <w:tcPr>
            <w:tcW w:w="4876" w:type="dxa"/>
          </w:tcPr>
          <w:p w:rsidR="00106937" w:rsidRPr="00142BDC" w:rsidRDefault="004D5738">
            <w:pPr>
              <w:pStyle w:val="ColumnHeading"/>
              <w:rPr>
                <w:color w:val="auto"/>
              </w:rPr>
            </w:pPr>
            <w:r w:rsidRPr="00142BDC">
              <w:rPr>
                <w:color w:val="auto"/>
              </w:rPr>
              <w:t>Tarkistus</w:t>
            </w:r>
          </w:p>
        </w:tc>
      </w:tr>
      <w:tr w:rsidR="00106937" w:rsidRPr="00142BDC">
        <w:trPr>
          <w:jc w:val="center"/>
        </w:trPr>
        <w:tc>
          <w:tcPr>
            <w:tcW w:w="4876" w:type="dxa"/>
          </w:tcPr>
          <w:p w:rsidR="00106937" w:rsidRPr="00142BDC" w:rsidRDefault="00106937">
            <w:pPr>
              <w:pStyle w:val="Normal6"/>
              <w:rPr>
                <w:color w:val="auto"/>
              </w:rPr>
            </w:pPr>
          </w:p>
        </w:tc>
        <w:tc>
          <w:tcPr>
            <w:tcW w:w="4876" w:type="dxa"/>
          </w:tcPr>
          <w:p w:rsidR="00106937" w:rsidRPr="00142BDC" w:rsidRDefault="004D5738">
            <w:pPr>
              <w:pStyle w:val="Normal6"/>
              <w:rPr>
                <w:color w:val="auto"/>
              </w:rPr>
            </w:pPr>
            <w:r w:rsidRPr="00142BDC">
              <w:rPr>
                <w:b/>
                <w:i/>
                <w:color w:val="auto"/>
              </w:rPr>
              <w:t>25 a.</w:t>
            </w:r>
            <w:r w:rsidRPr="00142BDC">
              <w:rPr>
                <w:color w:val="auto"/>
              </w:rPr>
              <w:tab/>
            </w:r>
            <w:r w:rsidRPr="00142BDC">
              <w:rPr>
                <w:b/>
                <w:i/>
                <w:color w:val="auto"/>
              </w:rPr>
              <w:t>panee merkille parannukset, jotka koskevat avoimuutta, oikeutta tutustua asiakirjoihin ja kansalaisyhteiskunnan osallistumista kauppaneuvotteluihin, joita on käyty nykyisen vaalikauden aikana; pyytää, että kaikki Euroopan parlamentin jäsenet saavat järjestelmällisesti käyttöönsä konsolidoidut neuvottelutekstit, ja kehottaa komissiota vaatimaan aina ja asettamaan etusijalle kyseisten asiakirjojen julkistamisen ja julkaisemisen kaikissa neuvotteluissa;</w:t>
            </w:r>
          </w:p>
        </w:tc>
      </w:tr>
    </w:tbl>
    <w:p w:rsidR="00106937" w:rsidRPr="00142BDC" w:rsidRDefault="004D5738" w:rsidP="00905D00">
      <w:pPr>
        <w:pStyle w:val="Olang"/>
      </w:pPr>
      <w:r w:rsidRPr="00142BDC">
        <w:rPr>
          <w:color w:val="auto"/>
        </w:rPr>
        <w:t xml:space="preserve">Or. </w:t>
      </w:r>
      <w:r w:rsidRPr="00142BDC">
        <w:rPr>
          <w:rStyle w:val="HideTWBExt"/>
        </w:rPr>
        <w:t>&lt;Original&gt;</w:t>
      </w:r>
      <w:r w:rsidRPr="00142BDC">
        <w:rPr>
          <w:rStyle w:val="HideTWBInt"/>
        </w:rPr>
        <w:t>{EN}</w:t>
      </w:r>
      <w:r w:rsidRPr="00142BDC">
        <w:rPr>
          <w:color w:val="auto"/>
        </w:rPr>
        <w:t>en</w:t>
      </w:r>
      <w:r w:rsidRPr="00142BDC">
        <w:rPr>
          <w:rStyle w:val="HideTWBExt"/>
        </w:rPr>
        <w:t>&lt;/Original&gt;</w:t>
      </w:r>
    </w:p>
    <w:p w:rsidR="00106937" w:rsidRPr="00142BDC" w:rsidRDefault="004D5738">
      <w:pPr>
        <w:pStyle w:val="Olang"/>
      </w:pPr>
      <w:r w:rsidRPr="00142BDC">
        <w:rPr>
          <w:rStyle w:val="HideTWBExt"/>
        </w:rPr>
        <w:t>&lt;/Amend&gt;&lt;/RepeatBlock-Amend&gt;</w:t>
      </w:r>
    </w:p>
    <w:sectPr w:rsidR="00106937" w:rsidRPr="00142BDC">
      <w:footerReference w:type="even" r:id="rId45"/>
      <w:footerReference w:type="default" r:id="rId46"/>
      <w:footerReference w:type="first" r:id="rId47"/>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42" w:rsidRPr="00142BDC" w:rsidRDefault="004D5738">
      <w:r w:rsidRPr="00142BDC">
        <w:separator/>
      </w:r>
    </w:p>
  </w:endnote>
  <w:endnote w:type="continuationSeparator" w:id="0">
    <w:p w:rsidR="00150C42" w:rsidRPr="00142BDC" w:rsidRDefault="004D5738">
      <w:r w:rsidRPr="00142B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Pr="00142BDC" w:rsidRDefault="004D5738">
    <w:pPr>
      <w:pStyle w:val="Footer"/>
    </w:pPr>
    <w:r w:rsidRPr="00142BDC">
      <w:rPr>
        <w:rStyle w:val="HideTWBExt"/>
      </w:rPr>
      <w:t>&lt;PathFdR&gt;</w:t>
    </w:r>
    <w:r w:rsidRPr="00142BDC">
      <w:t>AM\P8_AMA(2018)0367(001-013)EN.docx</w:t>
    </w:r>
    <w:r w:rsidRPr="00142BDC">
      <w:rPr>
        <w:rStyle w:val="HideTWBExt"/>
      </w:rPr>
      <w:t>&lt;/PathFdR&gt;</w:t>
    </w:r>
    <w:r w:rsidRPr="00142BDC">
      <w:tab/>
    </w:r>
    <w:r w:rsidRPr="00142BDC">
      <w:tab/>
      <w:t>PE</w:t>
    </w:r>
    <w:r w:rsidRPr="00142BDC">
      <w:rPr>
        <w:rStyle w:val="HideTWBExt"/>
      </w:rPr>
      <w:t>&lt;NoPE&gt;</w:t>
    </w:r>
    <w:r w:rsidRPr="00142BDC">
      <w:t>631.563</w:t>
    </w:r>
    <w:r w:rsidRPr="00142BDC">
      <w:rPr>
        <w:rStyle w:val="HideTWBExt"/>
      </w:rPr>
      <w:t>&lt;/NoPE&gt;&lt;Version&gt;</w:t>
    </w:r>
    <w:r w:rsidRPr="00142BDC">
      <w:t>v01-00</w:t>
    </w:r>
    <w:r w:rsidRPr="00142BDC">
      <w:rPr>
        <w:rStyle w:val="HideTWBExt"/>
      </w:rPr>
      <w:t>&lt;/Version&gt;</w:t>
    </w:r>
  </w:p>
  <w:p w:rsidR="00106937" w:rsidRPr="00142BDC" w:rsidRDefault="004D5738">
    <w:pPr>
      <w:pStyle w:val="Footer2"/>
    </w:pPr>
    <w:r w:rsidRPr="00142BDC">
      <w:t>EN</w:t>
    </w:r>
    <w:r w:rsidRPr="00142BDC">
      <w:tab/>
    </w:r>
    <w:r w:rsidRPr="00142BDC">
      <w:rPr>
        <w:rStyle w:val="Footer2Middle"/>
      </w:rPr>
      <w:t>United in diversity</w:t>
    </w:r>
    <w:r w:rsidRPr="00142BDC">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142BDC" w:rsidRDefault="00142BDC" w:rsidP="00142BDC">
    <w:pPr>
      <w:pStyle w:val="Footer"/>
    </w:pPr>
    <w:r w:rsidRPr="00142BDC">
      <w:rPr>
        <w:rStyle w:val="HideTWBExt"/>
      </w:rPr>
      <w:t>&lt;PathFdR&gt;</w:t>
    </w:r>
    <w:r w:rsidRPr="00142BDC">
      <w:t>AM\1171346FI.docx</w:t>
    </w:r>
    <w:r w:rsidRPr="00142BDC">
      <w:rPr>
        <w:rStyle w:val="HideTWBExt"/>
      </w:rPr>
      <w:t>&lt;/PathFdR&gt;</w:t>
    </w:r>
    <w:r w:rsidRPr="00142BDC">
      <w:tab/>
    </w:r>
    <w:r w:rsidRPr="00142BDC">
      <w:tab/>
      <w:t>PE</w:t>
    </w:r>
    <w:r w:rsidRPr="00142BDC">
      <w:rPr>
        <w:rStyle w:val="HideTWBExt"/>
      </w:rPr>
      <w:t>&lt;NoPE&gt;</w:t>
    </w:r>
    <w:r w:rsidRPr="00142BDC">
      <w:t>631.563</w:t>
    </w:r>
    <w:r w:rsidRPr="00142BDC">
      <w:rPr>
        <w:rStyle w:val="HideTWBExt"/>
      </w:rPr>
      <w:t>&lt;/NoPE&gt;&lt;Version&gt;</w:t>
    </w:r>
    <w:r w:rsidRPr="00142BDC">
      <w:t>v01-00</w:t>
    </w:r>
    <w:r w:rsidRPr="00142BDC">
      <w:rPr>
        <w:rStyle w:val="HideTWBExt"/>
      </w:rPr>
      <w:t>&lt;/Version&gt;</w:t>
    </w:r>
  </w:p>
  <w:p w:rsidR="00106937" w:rsidRPr="00142BDC" w:rsidRDefault="00142BDC" w:rsidP="00142BDC">
    <w:pPr>
      <w:pStyle w:val="Footer2"/>
      <w:tabs>
        <w:tab w:val="center" w:pos="4535"/>
      </w:tabs>
    </w:pPr>
    <w:r w:rsidRPr="00142BDC">
      <w:t>FI</w:t>
    </w:r>
    <w:r w:rsidRPr="00142BDC">
      <w:tab/>
    </w:r>
    <w:r w:rsidRPr="00142BDC">
      <w:rPr>
        <w:b w:val="0"/>
        <w:i/>
        <w:color w:val="C0C0C0"/>
        <w:sz w:val="22"/>
      </w:rPr>
      <w:t>Moninaisuudessaan yhtenäinen</w:t>
    </w:r>
    <w:r w:rsidRPr="00142BDC">
      <w:tab/>
      <w:t>FI</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Pr="00142BDC" w:rsidRDefault="004D5738">
    <w:pPr>
      <w:pStyle w:val="Footer"/>
    </w:pPr>
    <w:r w:rsidRPr="00142BDC">
      <w:rPr>
        <w:rStyle w:val="HideTWBExt"/>
      </w:rPr>
      <w:t>&lt;PathFdR&gt;</w:t>
    </w:r>
    <w:r w:rsidRPr="00142BDC">
      <w:t>AM\P8_AMA(2018)0367(001-013)EN.docx</w:t>
    </w:r>
    <w:r w:rsidRPr="00142BDC">
      <w:rPr>
        <w:rStyle w:val="HideTWBExt"/>
      </w:rPr>
      <w:t>&lt;/PathFdR&gt;</w:t>
    </w:r>
    <w:r w:rsidRPr="00142BDC">
      <w:tab/>
    </w:r>
    <w:r w:rsidRPr="00142BDC">
      <w:tab/>
      <w:t>PE</w:t>
    </w:r>
    <w:r w:rsidRPr="00142BDC">
      <w:rPr>
        <w:rStyle w:val="HideTWBExt"/>
      </w:rPr>
      <w:t>&lt;NoPE&gt;</w:t>
    </w:r>
    <w:r w:rsidRPr="00142BDC">
      <w:t>631.563</w:t>
    </w:r>
    <w:r w:rsidRPr="00142BDC">
      <w:rPr>
        <w:rStyle w:val="HideTWBExt"/>
      </w:rPr>
      <w:t>&lt;/NoPE&gt;&lt;Version&gt;</w:t>
    </w:r>
    <w:r w:rsidRPr="00142BDC">
      <w:t>v01-00</w:t>
    </w:r>
    <w:r w:rsidRPr="00142BDC">
      <w:rPr>
        <w:rStyle w:val="HideTWBExt"/>
      </w:rPr>
      <w:t>&lt;/Version&gt;</w:t>
    </w:r>
  </w:p>
  <w:p w:rsidR="00106937" w:rsidRPr="00142BDC" w:rsidRDefault="004D5738">
    <w:pPr>
      <w:pStyle w:val="Footer2"/>
    </w:pPr>
    <w:r w:rsidRPr="00142BDC">
      <w:t>EN</w:t>
    </w:r>
    <w:r w:rsidRPr="00142BDC">
      <w:tab/>
    </w:r>
    <w:r w:rsidRPr="00142BDC">
      <w:rPr>
        <w:rStyle w:val="Footer2Middle"/>
      </w:rPr>
      <w:t>United in diversity</w:t>
    </w:r>
    <w:r w:rsidRPr="00142BDC">
      <w:tab/>
      <w:t>EN</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C" w:rsidRPr="00C44773" w:rsidRDefault="00142BDC" w:rsidP="00142BDC">
    <w:pPr>
      <w:pStyle w:val="Footer"/>
      <w:rPr>
        <w:lang w:val="de-DE"/>
      </w:rPr>
    </w:pPr>
    <w:r w:rsidRPr="00C44773">
      <w:rPr>
        <w:rStyle w:val="HideTWBExt"/>
        <w:lang w:val="de-DE"/>
      </w:rPr>
      <w:t>&lt;PathFdR&gt;</w:t>
    </w:r>
    <w:r w:rsidRPr="00C44773">
      <w:rPr>
        <w:lang w:val="de-DE"/>
      </w:rPr>
      <w:t>AM\1171346FI.docx</w:t>
    </w:r>
    <w:r w:rsidRPr="00C44773">
      <w:rPr>
        <w:rStyle w:val="HideTWBExt"/>
        <w:lang w:val="de-DE"/>
      </w:rPr>
      <w:t>&lt;/PathFdR&gt;</w:t>
    </w:r>
    <w:r w:rsidRPr="00C44773">
      <w:rPr>
        <w:lang w:val="de-DE"/>
      </w:rPr>
      <w:tab/>
    </w:r>
    <w:r w:rsidRPr="00C44773">
      <w:rPr>
        <w:lang w:val="de-DE"/>
      </w:rPr>
      <w:tab/>
      <w:t>PE</w:t>
    </w:r>
    <w:r w:rsidRPr="00C44773">
      <w:rPr>
        <w:rStyle w:val="HideTWBExt"/>
        <w:lang w:val="de-DE"/>
      </w:rPr>
      <w:t>&lt;NoPE&gt;</w:t>
    </w:r>
    <w:r w:rsidRPr="00C44773">
      <w:rPr>
        <w:lang w:val="de-DE"/>
      </w:rPr>
      <w:t>631.563</w:t>
    </w:r>
    <w:r w:rsidRPr="00C44773">
      <w:rPr>
        <w:rStyle w:val="HideTWBExt"/>
        <w:lang w:val="de-DE"/>
      </w:rPr>
      <w:t>&lt;/NoPE&gt;&lt;Version&gt;</w:t>
    </w:r>
    <w:r w:rsidRPr="00C44773">
      <w:rPr>
        <w:lang w:val="de-DE"/>
      </w:rPr>
      <w:t>v01-00</w:t>
    </w:r>
    <w:r w:rsidRPr="00C44773">
      <w:rPr>
        <w:rStyle w:val="HideTWBExt"/>
        <w:lang w:val="de-DE"/>
      </w:rPr>
      <w:t>&lt;/Version&gt;</w:t>
    </w:r>
  </w:p>
  <w:p w:rsidR="00106937" w:rsidRDefault="00142BDC" w:rsidP="00142BDC">
    <w:pPr>
      <w:pStyle w:val="Footer2"/>
      <w:tabs>
        <w:tab w:val="center" w:pos="4535"/>
      </w:tabs>
    </w:pPr>
    <w:r>
      <w:t>FI</w:t>
    </w:r>
    <w:r>
      <w:tab/>
    </w:r>
    <w:r w:rsidRPr="00142BDC">
      <w:rPr>
        <w:b w:val="0"/>
        <w:i/>
        <w:color w:val="C0C0C0"/>
        <w:sz w:val="22"/>
      </w:rPr>
      <w:t>Moninaisuudessaan yhtenäinen</w:t>
    </w:r>
    <w:r>
      <w:tab/>
      <w:t>FI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7" w:rsidRDefault="004D5738">
    <w:pPr>
      <w:pStyle w:val="Footer"/>
    </w:pPr>
    <w:r>
      <w:rPr>
        <w:rStyle w:val="HideTWBExt"/>
      </w:rPr>
      <w:t>&lt;PathFdR&gt;</w:t>
    </w:r>
    <w:r>
      <w:t>AM\P8_AMA(2018)0367(001-013)EN.docx</w:t>
    </w:r>
    <w:r>
      <w:rPr>
        <w:rStyle w:val="HideTWBExt"/>
      </w:rPr>
      <w:t>&lt;/PathFdR&gt;</w:t>
    </w:r>
    <w:r>
      <w:tab/>
    </w:r>
    <w:r>
      <w:tab/>
      <w:t>PE</w:t>
    </w:r>
    <w:r>
      <w:rPr>
        <w:rStyle w:val="HideTWBExt"/>
      </w:rPr>
      <w:t>&lt;NoPE&gt;</w:t>
    </w:r>
    <w:r>
      <w:t>631.563</w:t>
    </w:r>
    <w:r>
      <w:rPr>
        <w:rStyle w:val="HideTWBExt"/>
      </w:rPr>
      <w:t>&lt;/NoPE&gt;&lt;Version&gt;</w:t>
    </w:r>
    <w:r>
      <w:t>v01-00</w:t>
    </w:r>
    <w:r>
      <w:rPr>
        <w:rStyle w:val="HideTWBExt"/>
      </w:rPr>
      <w:t>&lt;/Version&gt;</w:t>
    </w:r>
  </w:p>
  <w:p w:rsidR="00106937" w:rsidRDefault="004D5738">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42" w:rsidRPr="00142BDC" w:rsidRDefault="004D5738">
      <w:r w:rsidRPr="00142BDC">
        <w:separator/>
      </w:r>
    </w:p>
  </w:footnote>
  <w:footnote w:type="continuationSeparator" w:id="0">
    <w:p w:rsidR="00150C42" w:rsidRPr="00142BDC" w:rsidRDefault="004D5738">
      <w:r w:rsidRPr="00142BD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73" w:rsidRDefault="00C44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73" w:rsidRDefault="00C44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73" w:rsidRDefault="00C44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NonLegReport"/>
    <w:docVar w:name="TXTLANGUE" w:val="FI"/>
    <w:docVar w:name="TXTLANGUEMIN" w:val="fi"/>
    <w:docVar w:name="TXTNRPE" w:val="631.563"/>
    <w:docVar w:name="TXTPEorAP" w:val="PE"/>
    <w:docVar w:name="TXTROUTE" w:val="AM\1171346FI.docx"/>
    <w:docVar w:name="TXTVERSION" w:val="01-00"/>
  </w:docVars>
  <w:rsids>
    <w:rsidRoot w:val="00106937"/>
    <w:rsid w:val="000B4B16"/>
    <w:rsid w:val="00106937"/>
    <w:rsid w:val="00142BDC"/>
    <w:rsid w:val="00150C42"/>
    <w:rsid w:val="0039229E"/>
    <w:rsid w:val="004D5738"/>
    <w:rsid w:val="00531551"/>
    <w:rsid w:val="00905D00"/>
    <w:rsid w:val="00BE2F8B"/>
    <w:rsid w:val="00C44773"/>
    <w:rsid w:val="00ED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17B7F"/>
  <w15:docId w15:val="{B1F40B8F-E32A-4999-8906-D7D2C28A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webSettings" Target="webSetting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2254</Words>
  <Characters>23675</Characters>
  <Application>Microsoft Office Word</Application>
  <DocSecurity>0</DocSecurity>
  <Lines>910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KORTEMAA Kristina</cp:lastModifiedBy>
  <cp:revision>2</cp:revision>
  <dcterms:created xsi:type="dcterms:W3CDTF">2018-12-07T15:01:00Z</dcterms:created>
  <dcterms:modified xsi:type="dcterms:W3CDTF">2018-12-07T15:01:00Z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1171346</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20181205-150415-062462-981220</vt:lpwstr>
  </property>
  <property fmtid="{D5CDD505-2E9C-101B-9397-08002B2CF9AE}" pid="6" name="FooterPath">
    <vt:lpwstr>AM\1171346FI.docx</vt:lpwstr>
  </property>
  <property fmtid="{D5CDD505-2E9C-101B-9397-08002B2CF9AE}" pid="7" name="PE Number">
    <vt:lpwstr>631.563</vt:lpwstr>
  </property>
  <property fmtid="{D5CDD505-2E9C-101B-9397-08002B2CF9AE}" pid="8" name="UID">
    <vt:lpwstr>eu.europa.europarl-DIN1-2018-0000147855_01.00-en-01.00_text-xml</vt:lpwstr>
  </property>
  <property fmtid="{D5CDD505-2E9C-101B-9397-08002B2CF9AE}" pid="9" name="SDLStudio">
    <vt:lpwstr/>
  </property>
  <property fmtid="{D5CDD505-2E9C-101B-9397-08002B2CF9AE}" pid="10" name="&lt;Extension&gt;">
    <vt:lpwstr>FI</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- 2018/12/07 16:01</vt:lpwstr>
  </property>
</Properties>
</file>