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E2" w:rsidRDefault="009B49E2" w:rsidP="009B49E2">
      <w:pPr>
        <w:tabs>
          <w:tab w:val="right" w:pos="9184"/>
        </w:tabs>
      </w:pPr>
    </w:p>
    <w:p w:rsidR="009B49E2" w:rsidRDefault="009B49E2" w:rsidP="009B49E2">
      <w:pPr>
        <w:tabs>
          <w:tab w:val="right" w:pos="9184"/>
        </w:tabs>
      </w:pPr>
    </w:p>
    <w:p w:rsidR="009B49E2" w:rsidRDefault="009B49E2" w:rsidP="009B49E2">
      <w:pPr>
        <w:tabs>
          <w:tab w:val="right" w:pos="9184"/>
        </w:tabs>
      </w:pPr>
    </w:p>
    <w:p w:rsidR="009B49E2" w:rsidRDefault="009B49E2" w:rsidP="009B49E2">
      <w:pPr>
        <w:tabs>
          <w:tab w:val="right" w:pos="9184"/>
        </w:tabs>
      </w:pPr>
    </w:p>
    <w:p w:rsidR="009B49E2" w:rsidRPr="003A07D2" w:rsidRDefault="009B49E2" w:rsidP="009B49E2">
      <w:pPr>
        <w:tabs>
          <w:tab w:val="right" w:pos="9184"/>
        </w:tabs>
      </w:pPr>
      <w:r w:rsidRPr="003A07D2">
        <w:rPr>
          <w:rStyle w:val="HideTWBExt"/>
        </w:rPr>
        <w:t>&lt;Date&gt;</w:t>
      </w:r>
      <w:r w:rsidRPr="003A07D2">
        <w:t>19.3.2019</w:t>
      </w:r>
      <w:r w:rsidRPr="003A07D2">
        <w:rPr>
          <w:rStyle w:val="HideTWBExt"/>
        </w:rPr>
        <w:t>&lt;/Date&gt;</w:t>
      </w:r>
      <w:r w:rsidRPr="003A07D2">
        <w:tab/>
        <w:t xml:space="preserve">A8-0381/ </w:t>
      </w:r>
      <w:r w:rsidRPr="003A07D2">
        <w:rPr>
          <w:rStyle w:val="HideTWBExt"/>
        </w:rPr>
        <w:t>&lt;NumOfAM&gt;</w:t>
      </w:r>
      <w:r w:rsidRPr="003A07D2">
        <w:t>001-019</w:t>
      </w:r>
      <w:bookmarkStart w:id="0" w:name="_GoBack"/>
      <w:bookmarkEnd w:id="0"/>
      <w:r w:rsidRPr="003A07D2">
        <w:rPr>
          <w:rStyle w:val="HideTWBExt"/>
        </w:rPr>
        <w:t>&lt;/NumOfAM&gt;</w:t>
      </w:r>
    </w:p>
    <w:p w:rsidR="009B49E2" w:rsidRPr="003A07D2" w:rsidRDefault="009B49E2" w:rsidP="009B49E2">
      <w:pPr>
        <w:tabs>
          <w:tab w:val="right" w:pos="9184"/>
        </w:tabs>
      </w:pPr>
    </w:p>
    <w:p w:rsidR="009B49E2" w:rsidRPr="003A07D2" w:rsidRDefault="009B49E2" w:rsidP="009B49E2">
      <w:pPr>
        <w:tabs>
          <w:tab w:val="right" w:pos="9184"/>
        </w:tabs>
      </w:pPr>
    </w:p>
    <w:p w:rsidR="009B49E2" w:rsidRPr="003A07D2" w:rsidRDefault="009B49E2" w:rsidP="009B49E2">
      <w:pPr>
        <w:tabs>
          <w:tab w:val="right" w:pos="9184"/>
        </w:tabs>
      </w:pPr>
      <w:r w:rsidRPr="003A07D2">
        <w:rPr>
          <w:b/>
        </w:rPr>
        <w:t xml:space="preserve">ÄNDERUNGSANTRÄGE 001-019 </w:t>
      </w:r>
    </w:p>
    <w:p w:rsidR="009B49E2" w:rsidRPr="003A07D2" w:rsidRDefault="009B49E2" w:rsidP="009B49E2">
      <w:pPr>
        <w:tabs>
          <w:tab w:val="right" w:pos="9184"/>
        </w:tabs>
      </w:pPr>
      <w:r w:rsidRPr="003A07D2">
        <w:t xml:space="preserve">vom </w:t>
      </w:r>
      <w:r w:rsidRPr="003A07D2">
        <w:rPr>
          <w:rStyle w:val="HideTWBExt"/>
        </w:rPr>
        <w:t>&lt;Committee&gt;</w:t>
      </w:r>
      <w:r w:rsidRPr="003A07D2">
        <w:t>Fischereiausschuss</w:t>
      </w:r>
      <w:r w:rsidRPr="003A07D2">
        <w:rPr>
          <w:rStyle w:val="HideTWBExt"/>
        </w:rPr>
        <w:t>&lt;/Committee&gt;</w:t>
      </w:r>
    </w:p>
    <w:p w:rsidR="009B49E2" w:rsidRPr="003A07D2" w:rsidRDefault="009B49E2" w:rsidP="009B49E2">
      <w:pPr>
        <w:tabs>
          <w:tab w:val="right" w:pos="9184"/>
        </w:tabs>
      </w:pPr>
    </w:p>
    <w:p w:rsidR="009B49E2" w:rsidRPr="003A07D2" w:rsidRDefault="009B49E2" w:rsidP="009B49E2">
      <w:pPr>
        <w:tabs>
          <w:tab w:val="right" w:pos="9184"/>
        </w:tabs>
        <w:rPr>
          <w:b/>
        </w:rPr>
      </w:pPr>
      <w:r w:rsidRPr="003A07D2">
        <w:rPr>
          <w:b/>
        </w:rPr>
        <w:t>Bericht</w:t>
      </w:r>
    </w:p>
    <w:p w:rsidR="009B49E2" w:rsidRPr="003A07D2" w:rsidRDefault="009B49E2" w:rsidP="009B49E2">
      <w:pPr>
        <w:tabs>
          <w:tab w:val="right" w:pos="9184"/>
        </w:tabs>
        <w:rPr>
          <w:b/>
        </w:rPr>
      </w:pPr>
      <w:r w:rsidRPr="003A07D2">
        <w:rPr>
          <w:rStyle w:val="HideTWBExt"/>
        </w:rPr>
        <w:t>&lt;Chairman&gt;</w:t>
      </w:r>
      <w:r w:rsidRPr="003A07D2">
        <w:rPr>
          <w:b/>
        </w:rPr>
        <w:t>Linnéa Engström</w:t>
      </w:r>
      <w:r w:rsidRPr="003A07D2">
        <w:rPr>
          <w:rStyle w:val="HideTWBExt"/>
        </w:rPr>
        <w:t>&lt;/Chairman&gt;</w:t>
      </w:r>
      <w:r w:rsidRPr="003A07D2">
        <w:rPr>
          <w:b/>
        </w:rPr>
        <w:tab/>
      </w:r>
      <w:r w:rsidRPr="003A07D2">
        <w:rPr>
          <w:rStyle w:val="HideTWBExt"/>
        </w:rPr>
        <w:t>&lt;A5Nr&gt;</w:t>
      </w:r>
      <w:r w:rsidRPr="003A07D2">
        <w:rPr>
          <w:b/>
        </w:rPr>
        <w:t>A8-0381/2018</w:t>
      </w:r>
      <w:r w:rsidRPr="003A07D2">
        <w:rPr>
          <w:rStyle w:val="HideTWBExt"/>
        </w:rPr>
        <w:t>&lt;/A5Nr&gt;</w:t>
      </w:r>
    </w:p>
    <w:p w:rsidR="009B49E2" w:rsidRPr="003A07D2" w:rsidRDefault="009B49E2" w:rsidP="009B49E2">
      <w:pPr>
        <w:tabs>
          <w:tab w:val="right" w:pos="9184"/>
        </w:tabs>
      </w:pPr>
      <w:r w:rsidRPr="003A07D2">
        <w:rPr>
          <w:rStyle w:val="HideTWBExt"/>
        </w:rPr>
        <w:t>&lt;ShortTitel&gt;</w:t>
      </w:r>
      <w:r w:rsidRPr="003A07D2">
        <w:t>Fischerei im Übereinkommensgebiet der GFCM (Allgemeine Kommission für die Fischerei im Mittelmeer)</w:t>
      </w:r>
      <w:r w:rsidRPr="003A07D2">
        <w:rPr>
          <w:rStyle w:val="HideTWBExt"/>
        </w:rPr>
        <w:t>&lt;/ShortTitel&gt;</w:t>
      </w:r>
    </w:p>
    <w:p w:rsidR="009B49E2" w:rsidRPr="003A07D2" w:rsidRDefault="009B49E2" w:rsidP="009B49E2">
      <w:pPr>
        <w:tabs>
          <w:tab w:val="right" w:pos="9184"/>
        </w:tabs>
      </w:pPr>
    </w:p>
    <w:p w:rsidR="009B49E2" w:rsidRPr="003A07D2" w:rsidRDefault="009B49E2" w:rsidP="009B49E2">
      <w:pPr>
        <w:tabs>
          <w:tab w:val="right" w:pos="9184"/>
        </w:tabs>
      </w:pPr>
      <w:r w:rsidRPr="003A07D2">
        <w:rPr>
          <w:rStyle w:val="HideTWBExt"/>
        </w:rPr>
        <w:t>&lt;Procedure&gt;</w:t>
      </w:r>
      <w:r w:rsidRPr="003A07D2">
        <w:t>Vorschlag für eine Verordnung</w:t>
      </w:r>
      <w:r w:rsidRPr="003A07D2">
        <w:rPr>
          <w:rStyle w:val="HideTWBExt"/>
        </w:rPr>
        <w:t>&lt;/Procedure&gt;</w:t>
      </w:r>
      <w:r w:rsidRPr="003A07D2">
        <w:t xml:space="preserve"> </w:t>
      </w:r>
      <w:r w:rsidRPr="003A07D2">
        <w:rPr>
          <w:rStyle w:val="HideTWBExt"/>
        </w:rPr>
        <w:t>&lt;ReferenceNo&gt;</w:t>
      </w:r>
      <w:r w:rsidRPr="003A07D2">
        <w:t>(COM(2018)0143 – C8-0123/2018 – 2018/0069(COD))</w:t>
      </w:r>
      <w:r w:rsidRPr="003A07D2">
        <w:rPr>
          <w:rStyle w:val="HideTWBExt"/>
        </w:rPr>
        <w:t>&lt;/ReferenceNo&gt;</w:t>
      </w:r>
    </w:p>
    <w:p w:rsidR="009B49E2" w:rsidRPr="003A07D2" w:rsidRDefault="009B49E2" w:rsidP="009B49E2">
      <w:pPr>
        <w:tabs>
          <w:tab w:val="right" w:pos="9184"/>
        </w:tabs>
      </w:pPr>
    </w:p>
    <w:p w:rsidR="009B49E2" w:rsidRPr="003A07D2" w:rsidRDefault="009B49E2" w:rsidP="009B49E2">
      <w:pPr>
        <w:tabs>
          <w:tab w:val="right" w:pos="9184"/>
        </w:tabs>
      </w:pPr>
    </w:p>
    <w:p w:rsidR="009B49E2" w:rsidRPr="003A07D2" w:rsidRDefault="009B49E2" w:rsidP="009B49E2">
      <w:pPr>
        <w:tabs>
          <w:tab w:val="right" w:pos="9184"/>
        </w:tabs>
      </w:pPr>
    </w:p>
    <w:p w:rsidR="009B49E2" w:rsidRPr="003A07D2" w:rsidRDefault="009B49E2" w:rsidP="009B49E2">
      <w:pPr>
        <w:tabs>
          <w:tab w:val="right" w:pos="9184"/>
        </w:tabs>
        <w:jc w:val="center"/>
      </w:pPr>
      <w:r w:rsidRPr="003A07D2">
        <w:t>_____________________________________________________________</w:t>
      </w:r>
    </w:p>
    <w:p w:rsidR="009B49E2" w:rsidRPr="003A07D2" w:rsidRDefault="009B49E2" w:rsidP="009B49E2">
      <w:pPr>
        <w:tabs>
          <w:tab w:val="right" w:pos="9184"/>
        </w:tabs>
        <w:jc w:val="center"/>
      </w:pPr>
    </w:p>
    <w:p w:rsidR="00833D10" w:rsidRPr="003A07D2" w:rsidRDefault="00833D10" w:rsidP="009B49E2">
      <w:pPr>
        <w:pStyle w:val="AMNumberTabs"/>
      </w:pPr>
      <w:r w:rsidRPr="003A07D2">
        <w:t>Änderungsantrag</w:t>
      </w:r>
      <w:r w:rsidRPr="003A07D2">
        <w:tab/>
      </w:r>
      <w:r w:rsidRPr="003A07D2">
        <w:tab/>
        <w:t>1</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Erwägung 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pPr>
            <w:r w:rsidRPr="003A07D2">
              <w:rPr>
                <w:b/>
                <w:i/>
              </w:rPr>
              <w:t>(1a)</w:t>
            </w:r>
            <w:r w:rsidRPr="003A07D2">
              <w:tab/>
            </w:r>
            <w:r w:rsidRPr="003A07D2">
              <w:rPr>
                <w:b/>
                <w:i/>
              </w:rPr>
              <w:t>Eines der Ziele der Gemeinsamen Fischereipolitik (GFP) ist gemäß der Verordnung (EU) Nr. 1380/2013 des Europäischen Parlaments und des Rates</w:t>
            </w:r>
            <w:r w:rsidRPr="003A07D2">
              <w:rPr>
                <w:b/>
                <w:i/>
                <w:vertAlign w:val="superscript"/>
              </w:rPr>
              <w:t>1a</w:t>
            </w:r>
            <w:r w:rsidRPr="003A07D2">
              <w:rPr>
                <w:b/>
                <w:i/>
              </w:rPr>
              <w:t xml:space="preserve"> die Nutzung der lebenden biologischen Meeresressourcen unter langfristig nachhaltigen wirtschaftlichen, ökologischen und sozialen Bedingungen.</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rPr>
                <w:b/>
                <w:i/>
              </w:rPr>
            </w:pPr>
            <w:r w:rsidRPr="003A07D2">
              <w:rPr>
                <w:b/>
                <w:i/>
              </w:rPr>
              <w:t>______________</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rPr>
                <w:b/>
                <w:i/>
              </w:rPr>
            </w:pPr>
            <w:r w:rsidRPr="003A07D2">
              <w:rPr>
                <w:b/>
                <w:i/>
                <w:vertAlign w:val="superscript"/>
              </w:rPr>
              <w:t>1a</w:t>
            </w:r>
            <w:r w:rsidRPr="003A07D2">
              <w:rPr>
                <w:b/>
                <w:i/>
              </w:rPr>
              <w:t xml:space="preserve"> Verordnung (EU) Nr. 1380/2013 des Europäischen Parlaments und des Rates vom 11. Dezember 2013 über die Gemeinsame Fischereipolitik und zur Änderung der Verordnungen (EG) Nr. 1954/2003 und (EG) Nr. 1224/2009 des Rates sowie zur Aufhebung der Verordnungen (EG) Nr. 2371/2002 und (EG) Nr. 639/2004 des Rates und des Beschlusses 2004/585/EG des Rates (ABl. </w:t>
            </w:r>
            <w:r w:rsidRPr="003A07D2">
              <w:rPr>
                <w:b/>
                <w:i/>
              </w:rPr>
              <w:lastRenderedPageBreak/>
              <w:t>L 354 vom 28.12.2013, S. 22).</w:t>
            </w:r>
          </w:p>
        </w:tc>
      </w:tr>
    </w:tbl>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2</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keepNext/>
      </w:pPr>
      <w:r w:rsidRPr="003A07D2">
        <w:t>Artikel 1 – Absatz 1 – Nummer -1 (neu)</w:t>
      </w:r>
    </w:p>
    <w:p w:rsidR="00833D10" w:rsidRPr="003A07D2" w:rsidRDefault="00833D10" w:rsidP="00833D10">
      <w:pPr>
        <w:keepNext/>
      </w:pPr>
      <w:r w:rsidRPr="003A07D2">
        <w:t>Verordnung (EU) Nr. 1343/2011</w:t>
      </w:r>
    </w:p>
    <w:p w:rsidR="00833D10" w:rsidRPr="003A07D2" w:rsidRDefault="00833D10" w:rsidP="00833D10">
      <w:r w:rsidRPr="003A07D2">
        <w:t>Artikel 2 – Absatz 1 – Unterabsatz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Derzeitiger Wortlaut</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rPr>
                <w:b/>
                <w:bCs/>
                <w:i/>
                <w:iCs/>
              </w:rPr>
            </w:pPr>
          </w:p>
        </w:tc>
        <w:tc>
          <w:tcPr>
            <w:tcW w:w="4876" w:type="dxa"/>
          </w:tcPr>
          <w:p w:rsidR="00833D10" w:rsidRPr="003A07D2" w:rsidRDefault="00833D10" w:rsidP="00402BAE">
            <w:pPr>
              <w:pStyle w:val="Normal6"/>
              <w:rPr>
                <w:b/>
                <w:bCs/>
                <w:i/>
                <w:iCs/>
                <w:szCs w:val="24"/>
              </w:rPr>
            </w:pPr>
            <w:r w:rsidRPr="003A07D2">
              <w:rPr>
                <w:b/>
                <w:bCs/>
                <w:i/>
                <w:iCs/>
              </w:rPr>
              <w:t>(-1)</w:t>
            </w:r>
            <w:r w:rsidRPr="003A07D2">
              <w:rPr>
                <w:b/>
                <w:bCs/>
                <w:i/>
                <w:iCs/>
              </w:rPr>
              <w:tab/>
              <w:t>Artikel 2 Absatz 1 Unterabsatz 1 erhält folgende Fassung:</w:t>
            </w:r>
          </w:p>
        </w:tc>
      </w:tr>
      <w:tr w:rsidR="00833D10" w:rsidRPr="003A07D2" w:rsidTr="00402BAE">
        <w:trPr>
          <w:jc w:val="center"/>
        </w:trPr>
        <w:tc>
          <w:tcPr>
            <w:tcW w:w="4876" w:type="dxa"/>
          </w:tcPr>
          <w:p w:rsidR="00833D10" w:rsidRPr="003A07D2" w:rsidRDefault="00833D10" w:rsidP="00402BAE">
            <w:pPr>
              <w:pStyle w:val="Normal6"/>
            </w:pPr>
            <w:r w:rsidRPr="003A07D2">
              <w:t>Diese Verordnung gilt für alle gewerblichen Fischerei- und Aquakulturtätigkeiten, die von Fischereifahrzeugen der EU und Staatsangehörigen der Mitgliedstaaten im GFCM-Übereinkommensgebiet betrieben werden.</w:t>
            </w:r>
          </w:p>
        </w:tc>
        <w:tc>
          <w:tcPr>
            <w:tcW w:w="4876" w:type="dxa"/>
          </w:tcPr>
          <w:p w:rsidR="00833D10" w:rsidRPr="003A07D2" w:rsidRDefault="00833D10" w:rsidP="00402BAE">
            <w:pPr>
              <w:pStyle w:val="Normal6"/>
            </w:pPr>
            <w:r w:rsidRPr="003A07D2">
              <w:t>Diese Verordnung gilt für alle gewerblichen Fischerei- und Aquakulturtätigkeiten</w:t>
            </w:r>
            <w:r w:rsidRPr="003A07D2">
              <w:rPr>
                <w:b/>
                <w:i/>
              </w:rPr>
              <w:t xml:space="preserve"> sowie, wenn dies in dieser Verordnung eigens vorgesehen ist, für Freizeitfischereitätigkeiten</w:t>
            </w:r>
            <w:r w:rsidRPr="003A07D2">
              <w:t xml:space="preserve">, die von Fischereifahrzeugen der EU und Staatsangehörigen der Mitgliedstaaten im GFCM-Übereinkommensgebiet betrieben werden. </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Durch Artikel 2 Absatz 1 der GFCM-Verordnung wird der Geltungsbereich der Verordnung auf die gewerbliche Fischerei beschränkt. Der vorliegende Vorschlag enthält jedoch mehrere Bestimmungen, die sich auf die Freizeitfischerei beziehen (Artikel 10c, 16n und 22h sowie Anhang VI Nummer 6). Es wäre daher angemessen, den Geltungsbereich in Artikel 2 Absatz 1 entsprechend abzuändern.</w:t>
      </w:r>
    </w:p>
    <w:p w:rsidR="00833D10" w:rsidRPr="003A07D2" w:rsidRDefault="00833D10" w:rsidP="00833D10"/>
    <w:p w:rsidR="00833D10" w:rsidRPr="003A07D2" w:rsidRDefault="00833D10" w:rsidP="00833D10">
      <w:pPr>
        <w:pStyle w:val="AMNumberTabs"/>
      </w:pPr>
      <w:r w:rsidRPr="003A07D2">
        <w:t>Änderungsantrag</w:t>
      </w:r>
      <w:r w:rsidRPr="003A07D2">
        <w:tab/>
      </w:r>
      <w:r w:rsidRPr="003A07D2">
        <w:tab/>
        <w:t>3</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Artikel 1 – Absatz 1 – Nummer 1 – Buchstabe b</w:t>
      </w:r>
    </w:p>
    <w:p w:rsidR="00833D10" w:rsidRPr="003A07D2" w:rsidRDefault="00833D10" w:rsidP="00833D10">
      <w:r w:rsidRPr="003A07D2">
        <w:t>Verordnung (EU) Nr. 1343/2011</w:t>
      </w:r>
    </w:p>
    <w:p w:rsidR="00833D10" w:rsidRPr="003A07D2" w:rsidRDefault="00833D10" w:rsidP="00833D10">
      <w:r w:rsidRPr="003A07D2">
        <w:t>Artikel 3 – Buchstabe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(e)</w:t>
            </w:r>
            <w:r w:rsidRPr="003A07D2">
              <w:tab/>
              <w:t xml:space="preserve">„Pufferzone“ bezeichnet eine Zone, die rund um ein Fischereisperrgebiet </w:t>
            </w:r>
            <w:r w:rsidRPr="003A07D2">
              <w:rPr>
                <w:b/>
                <w:i/>
              </w:rPr>
              <w:t>einrichtet wird</w:t>
            </w:r>
            <w:r w:rsidRPr="003A07D2">
              <w:t xml:space="preserve">, um versehentlichen Zugang dazu zu </w:t>
            </w:r>
            <w:r w:rsidRPr="003A07D2">
              <w:rPr>
                <w:b/>
                <w:i/>
              </w:rPr>
              <w:t>vermeiden</w:t>
            </w:r>
            <w:r w:rsidRPr="003A07D2">
              <w:t>;</w:t>
            </w:r>
          </w:p>
        </w:tc>
        <w:tc>
          <w:tcPr>
            <w:tcW w:w="4876" w:type="dxa"/>
          </w:tcPr>
          <w:p w:rsidR="00833D10" w:rsidRPr="003A07D2" w:rsidRDefault="00833D10" w:rsidP="00402BAE">
            <w:pPr>
              <w:pStyle w:val="Normal6"/>
            </w:pPr>
            <w:r w:rsidRPr="003A07D2">
              <w:t>(e)</w:t>
            </w:r>
            <w:r w:rsidRPr="003A07D2">
              <w:tab/>
              <w:t xml:space="preserve">„Pufferzone“ bezeichnet eine Zone, die rund um ein Fischereisperrgebiet </w:t>
            </w:r>
            <w:r w:rsidRPr="003A07D2">
              <w:rPr>
                <w:b/>
                <w:i/>
              </w:rPr>
              <w:t>liegt</w:t>
            </w:r>
            <w:r w:rsidRPr="003A07D2">
              <w:t xml:space="preserve">, um versehentlichen Zugang dazu zu </w:t>
            </w:r>
            <w:r w:rsidRPr="003A07D2">
              <w:rPr>
                <w:b/>
                <w:i/>
              </w:rPr>
              <w:t>verhindern, wodurch das umschlossene Gebiet besser geschützt wird</w:t>
            </w:r>
            <w:r w:rsidRPr="003A07D2">
              <w:t>;</w:t>
            </w:r>
          </w:p>
        </w:tc>
      </w:tr>
    </w:tbl>
    <w:p w:rsidR="00833D10" w:rsidRPr="003A07D2" w:rsidRDefault="00833D10" w:rsidP="00833D10"/>
    <w:p w:rsidR="00833D10" w:rsidRPr="003A07D2" w:rsidRDefault="00833D10" w:rsidP="00833D10">
      <w:pPr>
        <w:pStyle w:val="AMNumberTabs"/>
      </w:pPr>
      <w:r w:rsidRPr="003A07D2">
        <w:lastRenderedPageBreak/>
        <w:t>Änderungsantrag</w:t>
      </w:r>
      <w:r w:rsidRPr="003A07D2">
        <w:tab/>
      </w:r>
      <w:r w:rsidRPr="003A07D2">
        <w:tab/>
        <w:t>4</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Artikel 1 – Absatz 1 – Nummer 1 – Buchstabe b</w:t>
      </w:r>
    </w:p>
    <w:p w:rsidR="00833D10" w:rsidRPr="003A07D2" w:rsidRDefault="00833D10" w:rsidP="00833D10">
      <w:r w:rsidRPr="003A07D2">
        <w:t>Verordnung (EU) Nr. 1343/2011</w:t>
      </w:r>
    </w:p>
    <w:p w:rsidR="00833D10" w:rsidRPr="003A07D2" w:rsidRDefault="00833D10" w:rsidP="00833D10">
      <w:r w:rsidRPr="003A07D2">
        <w:t>Artikel 3 – Buchstabe f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pPr>
            <w:r w:rsidRPr="003A07D2">
              <w:rPr>
                <w:b/>
                <w:i/>
              </w:rPr>
              <w:t>(fa)</w:t>
            </w:r>
            <w:r w:rsidRPr="003A07D2">
              <w:tab/>
            </w:r>
            <w:r w:rsidRPr="003A07D2">
              <w:rPr>
                <w:b/>
                <w:i/>
              </w:rPr>
              <w:t>„Schiff der Freizeitfischerei“ bezeichnet ein Schiff jeder Art mit einer Rumpflänge von mindestens 2,5 m und beliebiger Antriebsart, das für Sport- oder Freizeitzwecke bestimmt ist und nicht für den Handel eingesetzt wird;</w:t>
            </w:r>
          </w:p>
        </w:tc>
      </w:tr>
    </w:tbl>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5</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2</w:t>
      </w:r>
    </w:p>
    <w:p w:rsidR="00833D10" w:rsidRPr="003A07D2" w:rsidRDefault="00833D10" w:rsidP="00833D10">
      <w:pPr>
        <w:keepNext/>
      </w:pPr>
      <w:r w:rsidRPr="003A07D2">
        <w:t>Verordnung (EU) Nr. 1343/2011</w:t>
      </w:r>
    </w:p>
    <w:p w:rsidR="00833D10" w:rsidRPr="003A07D2" w:rsidRDefault="00833D10" w:rsidP="00833D10">
      <w:r w:rsidRPr="003A07D2">
        <w:t>Artikel 10a – Nummer 3 – Spiegelstrich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w:t>
            </w:r>
            <w:r w:rsidRPr="003A07D2">
              <w:tab/>
            </w:r>
            <w:r w:rsidRPr="003A07D2">
              <w:rPr>
                <w:b/>
                <w:i/>
              </w:rPr>
              <w:t>36</w:t>
            </w:r>
            <w:r w:rsidRPr="003A07D2">
              <w:t>° 59,344′ N, 15° 26,062′ E</w:t>
            </w:r>
          </w:p>
        </w:tc>
        <w:tc>
          <w:tcPr>
            <w:tcW w:w="4876" w:type="dxa"/>
          </w:tcPr>
          <w:p w:rsidR="00833D10" w:rsidRPr="003A07D2" w:rsidRDefault="00833D10" w:rsidP="00402BAE">
            <w:pPr>
              <w:pStyle w:val="Normal6"/>
              <w:rPr>
                <w:szCs w:val="24"/>
              </w:rPr>
            </w:pPr>
            <w:r w:rsidRPr="003A07D2">
              <w:rPr>
                <w:szCs w:val="24"/>
              </w:rPr>
              <w:t>–</w:t>
            </w:r>
            <w:r w:rsidRPr="003A07D2">
              <w:rPr>
                <w:szCs w:val="24"/>
              </w:rPr>
              <w:tab/>
            </w:r>
            <w:r w:rsidRPr="003A07D2">
              <w:rPr>
                <w:b/>
                <w:i/>
                <w:szCs w:val="24"/>
              </w:rPr>
              <w:t>35</w:t>
            </w:r>
            <w:r w:rsidRPr="003A07D2">
              <w:rPr>
                <w:szCs w:val="24"/>
              </w:rPr>
              <w:t>° 59,344′ N, 15° 26,062′ E</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Im Einklang mit der Empfehlung 40/2016/4 der GFCM (Anhang 2).</w:t>
      </w:r>
    </w:p>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6</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2</w:t>
      </w:r>
    </w:p>
    <w:p w:rsidR="00833D10" w:rsidRPr="003A07D2" w:rsidRDefault="00833D10" w:rsidP="00833D10">
      <w:pPr>
        <w:keepNext/>
      </w:pPr>
      <w:r w:rsidRPr="003A07D2">
        <w:t>Verordnung (EU) Nr. 1343/2011</w:t>
      </w:r>
    </w:p>
    <w:p w:rsidR="00833D10" w:rsidRPr="003A07D2" w:rsidRDefault="00833D10" w:rsidP="00833D10">
      <w:r w:rsidRPr="003A07D2">
        <w:t>Artikel 10a – Nummer 3 – Spiegelstrich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w:t>
            </w:r>
            <w:r w:rsidRPr="003A07D2">
              <w:tab/>
            </w:r>
            <w:r w:rsidRPr="003A07D2">
              <w:rPr>
                <w:b/>
                <w:i/>
              </w:rPr>
              <w:t>36</w:t>
            </w:r>
            <w:r w:rsidRPr="003A07D2">
              <w:t>° 59,344′ N, 15° 13,338′ E</w:t>
            </w:r>
            <w:r w:rsidRPr="003A07D2">
              <w:rPr>
                <w:b/>
                <w:i/>
              </w:rPr>
              <w:t>.</w:t>
            </w:r>
          </w:p>
        </w:tc>
        <w:tc>
          <w:tcPr>
            <w:tcW w:w="4876" w:type="dxa"/>
          </w:tcPr>
          <w:p w:rsidR="00833D10" w:rsidRPr="003A07D2" w:rsidRDefault="00833D10" w:rsidP="00402BAE">
            <w:pPr>
              <w:pStyle w:val="Normal6"/>
              <w:rPr>
                <w:szCs w:val="24"/>
              </w:rPr>
            </w:pPr>
            <w:r w:rsidRPr="003A07D2">
              <w:t>–</w:t>
            </w:r>
            <w:r w:rsidRPr="003A07D2">
              <w:tab/>
            </w:r>
            <w:r w:rsidRPr="003A07D2">
              <w:rPr>
                <w:b/>
                <w:i/>
              </w:rPr>
              <w:t>35</w:t>
            </w:r>
            <w:r w:rsidRPr="003A07D2">
              <w:t>° 59,344′ N, 15° 13,338′ E</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Im Einklang mit der Empfehlung 40/2016/4 der GFCM (Anhang 2).</w:t>
      </w:r>
    </w:p>
    <w:p w:rsidR="00833D10" w:rsidRPr="003A07D2" w:rsidRDefault="00833D10" w:rsidP="00833D10"/>
    <w:p w:rsidR="00833D10" w:rsidRPr="003A07D2" w:rsidRDefault="00833D10" w:rsidP="00833D10">
      <w:pPr>
        <w:pStyle w:val="AMNumberTabs"/>
        <w:keepNext/>
      </w:pPr>
      <w:r w:rsidRPr="003A07D2">
        <w:lastRenderedPageBreak/>
        <w:t>Änderungsantrag</w:t>
      </w:r>
      <w:r w:rsidRPr="003A07D2">
        <w:tab/>
      </w:r>
      <w:r w:rsidRPr="003A07D2">
        <w:tab/>
        <w:t>7</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3</w:t>
      </w:r>
    </w:p>
    <w:p w:rsidR="00833D10" w:rsidRPr="003A07D2" w:rsidRDefault="00833D10" w:rsidP="00833D10">
      <w:pPr>
        <w:keepNext/>
      </w:pPr>
      <w:r w:rsidRPr="003A07D2">
        <w:t>Verordnung (EU) Nr. 1343/2011</w:t>
      </w:r>
    </w:p>
    <w:p w:rsidR="00833D10" w:rsidRPr="003A07D2" w:rsidRDefault="00833D10" w:rsidP="00833D10">
      <w:r w:rsidRPr="003A07D2">
        <w:t>Artikel 10b – Absatz 3 – Spiegelstrich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w:t>
            </w:r>
            <w:r w:rsidRPr="003A07D2">
              <w:tab/>
            </w:r>
            <w:r w:rsidRPr="003A07D2">
              <w:rPr>
                <w:b/>
                <w:i/>
              </w:rPr>
              <w:t>36</w:t>
            </w:r>
            <w:r w:rsidRPr="003A07D2">
              <w:t>° 58,342′ N, 15° 27,294′ E</w:t>
            </w:r>
          </w:p>
        </w:tc>
        <w:tc>
          <w:tcPr>
            <w:tcW w:w="4876" w:type="dxa"/>
          </w:tcPr>
          <w:p w:rsidR="00833D10" w:rsidRPr="003A07D2" w:rsidRDefault="00833D10" w:rsidP="00402BAE">
            <w:pPr>
              <w:pStyle w:val="Normal6"/>
              <w:rPr>
                <w:szCs w:val="24"/>
              </w:rPr>
            </w:pPr>
            <w:r w:rsidRPr="003A07D2">
              <w:t>–</w:t>
            </w:r>
            <w:r w:rsidRPr="003A07D2">
              <w:tab/>
            </w:r>
            <w:r w:rsidRPr="003A07D2">
              <w:rPr>
                <w:b/>
                <w:i/>
              </w:rPr>
              <w:t>35</w:t>
            </w:r>
            <w:r w:rsidRPr="003A07D2">
              <w:t>° 58,342′ N, 15° 27,294′ E</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Im Einklang mit der Empfehlung 40/2016/4 der GFCM (Anhang 2).</w:t>
      </w:r>
    </w:p>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8</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3</w:t>
      </w:r>
    </w:p>
    <w:p w:rsidR="00833D10" w:rsidRPr="003A07D2" w:rsidRDefault="00833D10" w:rsidP="00833D10">
      <w:pPr>
        <w:keepNext/>
      </w:pPr>
      <w:r w:rsidRPr="003A07D2">
        <w:t>Verordnung (EU) Nr. 1343/2011</w:t>
      </w:r>
    </w:p>
    <w:p w:rsidR="00833D10" w:rsidRPr="003A07D2" w:rsidRDefault="00833D10" w:rsidP="00833D10">
      <w:r w:rsidRPr="003A07D2">
        <w:t>Artikel 10b – Absatz 3 – Spiegelstrich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w:t>
            </w:r>
            <w:r w:rsidRPr="003A07D2">
              <w:tab/>
            </w:r>
            <w:r w:rsidRPr="003A07D2">
              <w:rPr>
                <w:b/>
                <w:i/>
              </w:rPr>
              <w:t>36</w:t>
            </w:r>
            <w:r w:rsidRPr="003A07D2">
              <w:t>° 58,342′ N, 15° 12,106′ E</w:t>
            </w:r>
          </w:p>
        </w:tc>
        <w:tc>
          <w:tcPr>
            <w:tcW w:w="4876" w:type="dxa"/>
          </w:tcPr>
          <w:p w:rsidR="00833D10" w:rsidRPr="003A07D2" w:rsidRDefault="00833D10" w:rsidP="00402BAE">
            <w:pPr>
              <w:pStyle w:val="Normal6"/>
              <w:rPr>
                <w:szCs w:val="24"/>
              </w:rPr>
            </w:pPr>
            <w:r w:rsidRPr="003A07D2">
              <w:t>–</w:t>
            </w:r>
            <w:r w:rsidRPr="003A07D2">
              <w:tab/>
            </w:r>
            <w:r w:rsidRPr="003A07D2">
              <w:rPr>
                <w:b/>
                <w:i/>
              </w:rPr>
              <w:t>35</w:t>
            </w:r>
            <w:r w:rsidRPr="003A07D2">
              <w:t>° 58,342′ N, 15° 12,106′ E</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Im Einklang mit der Empfehlung 40/2016/4 der GFCM (Anhang 2).</w:t>
      </w:r>
    </w:p>
    <w:p w:rsidR="00833D10" w:rsidRPr="003A07D2" w:rsidRDefault="00833D10" w:rsidP="00833D10"/>
    <w:p w:rsidR="00833D10" w:rsidRPr="003A07D2" w:rsidRDefault="00833D10" w:rsidP="00833D10">
      <w:pPr>
        <w:pStyle w:val="AMNumberTabs"/>
      </w:pPr>
      <w:r w:rsidRPr="003A07D2">
        <w:t>Änderungsantrag</w:t>
      </w:r>
      <w:r w:rsidRPr="003A07D2">
        <w:tab/>
      </w:r>
      <w:r w:rsidRPr="003A07D2">
        <w:tab/>
        <w:t>9</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Artikel 1 – Absatz 1 – Nummer 3</w:t>
      </w:r>
    </w:p>
    <w:p w:rsidR="00833D10" w:rsidRPr="003A07D2" w:rsidRDefault="00833D10" w:rsidP="00833D10">
      <w:r w:rsidRPr="003A07D2">
        <w:t>Verordnung (EU) Nr. 1343/2011</w:t>
      </w:r>
    </w:p>
    <w:p w:rsidR="00833D10" w:rsidRPr="003A07D2" w:rsidRDefault="00833D10" w:rsidP="00833D10">
      <w:r w:rsidRPr="003A07D2">
        <w:t>Artikel 10d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1.</w:t>
            </w:r>
            <w:r w:rsidRPr="003A07D2">
              <w:tab/>
              <w:t xml:space="preserve">Unbeschadet der Absätze 2 und 3 des Artikels 10c sind kommerzielle Fischereitätigkeiten mit Stellnetzen, Grundschleppnetzen, Grundlangleinen und Fischfallen in dem in den betreffenden Absätzen genannten Gebiet nur zulässig, wenn das Schiff über eine besondere Erlaubnis verfügt und nachgewiesen werden kann, dass es in der Vergangenheit </w:t>
            </w:r>
            <w:r w:rsidRPr="003A07D2">
              <w:lastRenderedPageBreak/>
              <w:t>in den betreffenden Gebieten Fischereitätigkeiten ausgeübt hat.</w:t>
            </w:r>
          </w:p>
        </w:tc>
        <w:tc>
          <w:tcPr>
            <w:tcW w:w="4876" w:type="dxa"/>
          </w:tcPr>
          <w:p w:rsidR="00833D10" w:rsidRPr="003A07D2" w:rsidRDefault="00833D10" w:rsidP="00402BAE">
            <w:pPr>
              <w:pStyle w:val="Normal6"/>
            </w:pPr>
            <w:r w:rsidRPr="003A07D2">
              <w:lastRenderedPageBreak/>
              <w:t>1.</w:t>
            </w:r>
            <w:r w:rsidRPr="003A07D2">
              <w:tab/>
              <w:t xml:space="preserve">Unbeschadet der Absätze 2 und 3 des Artikels 10c sind kommerzielle Fischereitätigkeiten mit Stellnetzen, Grundschleppnetzen, Grundlangleinen und Fischfallen in dem in den betreffenden Absätzen genannten Gebiet nur zulässig, wenn das Schiff über eine besondere </w:t>
            </w:r>
            <w:r w:rsidRPr="003A07D2">
              <w:rPr>
                <w:b/>
                <w:i/>
              </w:rPr>
              <w:t>nationale</w:t>
            </w:r>
            <w:r w:rsidRPr="003A07D2">
              <w:t xml:space="preserve"> Erlaubnis verfügt und nachgewiesen werden kann, dass es in der </w:t>
            </w:r>
            <w:r w:rsidRPr="003A07D2">
              <w:lastRenderedPageBreak/>
              <w:t>Vergangenheit in den betreffenden Gebieten Fischereitätigkeiten ausgeübt hat.</w:t>
            </w:r>
          </w:p>
        </w:tc>
      </w:tr>
    </w:tbl>
    <w:p w:rsidR="00833D10" w:rsidRPr="003A07D2" w:rsidRDefault="00833D10" w:rsidP="00833D10">
      <w:pPr>
        <w:pStyle w:val="JustificationTitle"/>
      </w:pPr>
      <w:r w:rsidRPr="003A07D2">
        <w:lastRenderedPageBreak/>
        <w:t>Begründung</w:t>
      </w:r>
    </w:p>
    <w:p w:rsidR="00833D10" w:rsidRPr="003A07D2" w:rsidRDefault="00833D10" w:rsidP="00833D10">
      <w:pPr>
        <w:pStyle w:val="Normal12Italic"/>
      </w:pPr>
      <w:r w:rsidRPr="003A07D2">
        <w:t>Hiermit soll die Herkunft der besonderen Erlaubnis klargestellt werden, die in Absatz 3 näher erläutert ist.</w:t>
      </w:r>
    </w:p>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10</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3</w:t>
      </w:r>
    </w:p>
    <w:p w:rsidR="00833D10" w:rsidRPr="003A07D2" w:rsidRDefault="00833D10" w:rsidP="00833D10">
      <w:pPr>
        <w:keepNext/>
      </w:pPr>
      <w:r w:rsidRPr="003A07D2">
        <w:t>Verordnung (EU) Nr. 1343/2011</w:t>
      </w:r>
    </w:p>
    <w:p w:rsidR="00833D10" w:rsidRPr="003A07D2" w:rsidRDefault="00833D10" w:rsidP="00833D10">
      <w:r w:rsidRPr="003A07D2">
        <w:t>Artikel 10d – Absatz 1 a (neu)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rPr>
                <w:szCs w:val="24"/>
              </w:rPr>
            </w:pPr>
            <w:r w:rsidRPr="003A07D2">
              <w:rPr>
                <w:b/>
                <w:i/>
              </w:rPr>
              <w:t>1a.</w:t>
            </w:r>
            <w:r w:rsidRPr="003A07D2">
              <w:rPr>
                <w:b/>
                <w:i/>
              </w:rPr>
              <w:tab/>
              <w:t>In dem in Artikel 10c Absatz 2 genannten Gebiet dürfen zugelassene Schiffe nicht mehr als zwei Fangtage pro Woche fischen. Zugelassene Schiffe, die Scherbrett-Hosennetze verwenden, dürfen nicht mehr als einen Fangtag pro Woche fischen.</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Im Einklang mit der Empfehlung 41/2017/3 der GFCM (Ziffern 8 und 9).</w:t>
      </w:r>
    </w:p>
    <w:p w:rsidR="00833D10" w:rsidRPr="003A07D2" w:rsidRDefault="00833D10" w:rsidP="00833D10"/>
    <w:p w:rsidR="00833D10" w:rsidRPr="003A07D2" w:rsidRDefault="00833D10" w:rsidP="00833D10">
      <w:pPr>
        <w:pStyle w:val="AMNumberTabs"/>
      </w:pPr>
      <w:r w:rsidRPr="003A07D2">
        <w:t>Änderungsantrag</w:t>
      </w:r>
      <w:r w:rsidRPr="003A07D2">
        <w:tab/>
      </w:r>
      <w:r w:rsidRPr="003A07D2">
        <w:tab/>
        <w:t>11</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Artikel 1 – Absatz 1 – Nummer 3</w:t>
      </w:r>
    </w:p>
    <w:p w:rsidR="00833D10" w:rsidRPr="003A07D2" w:rsidRDefault="00833D10" w:rsidP="00833D10">
      <w:r w:rsidRPr="003A07D2">
        <w:t>Verordnung (EU) Nr. 1343/2011</w:t>
      </w:r>
    </w:p>
    <w:p w:rsidR="00833D10" w:rsidRPr="003A07D2" w:rsidRDefault="00833D10" w:rsidP="00833D10">
      <w:r w:rsidRPr="003A07D2">
        <w:t>Artikel 10d – Absatz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7.</w:t>
            </w:r>
            <w:r w:rsidRPr="003A07D2">
              <w:tab/>
              <w:t>Fischereifahrzeuge mit Stellnetzen, Grundschleppnetzen, Grundlangleinen und Fischfallen ohne Fangerlaubnis dürfen das Fischereisperrgebiet durchfahren sofern sie einen direkten Kurs mit einer konstanten Geschwindigkeit von mindestens sieben Knoten einschlagen und ein aktives VMS oder AIS an Bord mitführen.</w:t>
            </w:r>
          </w:p>
        </w:tc>
        <w:tc>
          <w:tcPr>
            <w:tcW w:w="4876" w:type="dxa"/>
          </w:tcPr>
          <w:p w:rsidR="00833D10" w:rsidRPr="003A07D2" w:rsidRDefault="00833D10" w:rsidP="00402BAE">
            <w:pPr>
              <w:pStyle w:val="Normal6"/>
            </w:pPr>
            <w:r w:rsidRPr="003A07D2">
              <w:rPr>
                <w:b/>
                <w:i/>
              </w:rPr>
              <w:t>7.</w:t>
            </w:r>
            <w:r w:rsidRPr="003A07D2">
              <w:tab/>
              <w:t>Fischereifahrzeuge mit Stellnetzen, Grundschleppnetzen, Grundlangleinen und Fischfallen ohne Fangerlaubnis dürfen das Fischereisperrgebiet durchfahren</w:t>
            </w:r>
            <w:r w:rsidRPr="003A07D2">
              <w:rPr>
                <w:b/>
                <w:i/>
              </w:rPr>
              <w:t>,</w:t>
            </w:r>
            <w:r w:rsidRPr="003A07D2">
              <w:t xml:space="preserve"> sofern sie einen direkten Kurs mit einer konstanten Geschwindigkeit von mindestens sieben Knoten einschlagen und ein aktives VMS oder AIS an Bord mitführen</w:t>
            </w:r>
            <w:r w:rsidRPr="003A07D2">
              <w:rPr>
                <w:b/>
                <w:i/>
              </w:rPr>
              <w:t xml:space="preserve"> und sofern sie keinerlei Fischereitätigkeiten ausüben</w:t>
            </w:r>
            <w:r w:rsidRPr="003A07D2">
              <w:t>.</w:t>
            </w:r>
          </w:p>
        </w:tc>
      </w:tr>
    </w:tbl>
    <w:p w:rsidR="00833D10" w:rsidRPr="003A07D2" w:rsidRDefault="00833D10" w:rsidP="00833D10">
      <w:pPr>
        <w:pStyle w:val="JustificationTitle"/>
      </w:pPr>
      <w:r w:rsidRPr="003A07D2">
        <w:lastRenderedPageBreak/>
        <w:t>Begründung</w:t>
      </w:r>
    </w:p>
    <w:p w:rsidR="00833D10" w:rsidRPr="003A07D2" w:rsidRDefault="00833D10" w:rsidP="00833D10">
      <w:pPr>
        <w:pStyle w:val="Normal12Italic"/>
      </w:pPr>
      <w:r w:rsidRPr="003A07D2">
        <w:t>Hiermit soll klargestellt werden, dass Fischereifahrzeuge ohne Fangerlaubnis ein Sperrgebiet nur durchfahren dürfen, wenn sie auch bei direktem Kurs und konstanter Geschwindigkeit keinerlei Fischereitätigkeiten ausüben.</w:t>
      </w:r>
    </w:p>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12</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4</w:t>
      </w:r>
    </w:p>
    <w:p w:rsidR="00833D10" w:rsidRPr="003A07D2" w:rsidRDefault="00833D10" w:rsidP="00833D10">
      <w:pPr>
        <w:keepNext/>
      </w:pPr>
      <w:r w:rsidRPr="003A07D2">
        <w:t>Verordnung (EU) Nr. 1343/2011</w:t>
      </w:r>
    </w:p>
    <w:p w:rsidR="00833D10" w:rsidRPr="003A07D2" w:rsidRDefault="00833D10" w:rsidP="00833D10">
      <w:r w:rsidRPr="003A07D2">
        <w:t>Artikel 14a – Absatz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1.</w:t>
            </w:r>
            <w:r w:rsidRPr="003A07D2">
              <w:tab/>
            </w:r>
            <w:r w:rsidRPr="003A07D2">
              <w:rPr>
                <w:b/>
                <w:i/>
              </w:rPr>
              <w:t>In der Zeit</w:t>
            </w:r>
            <w:r w:rsidRPr="003A07D2">
              <w:t xml:space="preserve"> von April bis Juni jeden Jahres </w:t>
            </w:r>
            <w:r w:rsidRPr="003A07D2">
              <w:rPr>
                <w:b/>
                <w:i/>
              </w:rPr>
              <w:t>richten die betroffenen Mitgliedstaaten</w:t>
            </w:r>
            <w:r w:rsidRPr="003A07D2">
              <w:t xml:space="preserve"> eine Schonzeit von mindestens zwei Monaten</w:t>
            </w:r>
            <w:r w:rsidRPr="003A07D2">
              <w:rPr>
                <w:b/>
                <w:i/>
              </w:rPr>
              <w:t xml:space="preserve"> im Schwarzen Meer</w:t>
            </w:r>
            <w:r w:rsidRPr="003A07D2">
              <w:t xml:space="preserve"> ein.</w:t>
            </w:r>
          </w:p>
        </w:tc>
        <w:tc>
          <w:tcPr>
            <w:tcW w:w="4876" w:type="dxa"/>
          </w:tcPr>
          <w:p w:rsidR="00833D10" w:rsidRPr="003A07D2" w:rsidRDefault="00833D10" w:rsidP="00402BAE">
            <w:pPr>
              <w:pStyle w:val="Normal6"/>
              <w:rPr>
                <w:szCs w:val="24"/>
              </w:rPr>
            </w:pPr>
            <w:r w:rsidRPr="003A07D2">
              <w:rPr>
                <w:b/>
                <w:i/>
              </w:rPr>
              <w:t>1.</w:t>
            </w:r>
            <w:r w:rsidRPr="003A07D2">
              <w:tab/>
            </w:r>
            <w:r w:rsidRPr="003A07D2">
              <w:rPr>
                <w:b/>
                <w:i/>
              </w:rPr>
              <w:t>Die betroffenen Mitgliedstaaten richten</w:t>
            </w:r>
            <w:r w:rsidRPr="003A07D2">
              <w:t xml:space="preserve"> von April bis Juni jeden Jahres </w:t>
            </w:r>
            <w:r w:rsidRPr="003A07D2">
              <w:rPr>
                <w:b/>
                <w:i/>
              </w:rPr>
              <w:t>während der Laichzeit von Steinbutt</w:t>
            </w:r>
            <w:r w:rsidRPr="003A07D2">
              <w:t xml:space="preserve"> eine Schonzeit von mindestens zwei Monaten ein.</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Im Einklang mit der Empfehlung 41/2017/4 der GFCM (Ziffer 19).</w:t>
      </w:r>
    </w:p>
    <w:p w:rsidR="00833D10" w:rsidRPr="003A07D2" w:rsidRDefault="00833D10" w:rsidP="00833D10"/>
    <w:p w:rsidR="00833D10" w:rsidRPr="003A07D2" w:rsidRDefault="00833D10" w:rsidP="00833D10">
      <w:pPr>
        <w:pStyle w:val="AMNumberTabs"/>
      </w:pPr>
      <w:r w:rsidRPr="003A07D2">
        <w:t>Änderungsantrag</w:t>
      </w:r>
      <w:r w:rsidRPr="003A07D2">
        <w:tab/>
      </w:r>
      <w:r w:rsidRPr="003A07D2">
        <w:tab/>
        <w:t>13</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Artikel 1 – Absatz 1 – Nummer 6</w:t>
      </w:r>
    </w:p>
    <w:p w:rsidR="00833D10" w:rsidRPr="003A07D2" w:rsidRDefault="00833D10" w:rsidP="00833D10">
      <w:r w:rsidRPr="003A07D2">
        <w:t>Verordnung (EU) Nr. 1343/2011</w:t>
      </w:r>
    </w:p>
    <w:p w:rsidR="00833D10" w:rsidRPr="003A07D2" w:rsidRDefault="00833D10" w:rsidP="00833D10">
      <w:r w:rsidRPr="003A07D2">
        <w:t>Artikel 16m</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 xml:space="preserve">Jeder Mitgliedstaat </w:t>
            </w:r>
            <w:r w:rsidRPr="003A07D2">
              <w:rPr>
                <w:b/>
                <w:i/>
              </w:rPr>
              <w:t>kann</w:t>
            </w:r>
            <w:r w:rsidRPr="003A07D2">
              <w:t xml:space="preserve"> für das Mittelmeer ein System der individuellen täglichen und/oder jährlichen Erntebeschränkungen für Rote Koralle </w:t>
            </w:r>
            <w:r w:rsidRPr="003A07D2">
              <w:rPr>
                <w:b/>
                <w:i/>
              </w:rPr>
              <w:t>einführen</w:t>
            </w:r>
            <w:r w:rsidRPr="003A07D2">
              <w:t>.</w:t>
            </w:r>
          </w:p>
        </w:tc>
        <w:tc>
          <w:tcPr>
            <w:tcW w:w="4876" w:type="dxa"/>
          </w:tcPr>
          <w:p w:rsidR="00833D10" w:rsidRPr="003A07D2" w:rsidRDefault="00833D10" w:rsidP="00402BAE">
            <w:pPr>
              <w:pStyle w:val="Normal6"/>
            </w:pPr>
            <w:r w:rsidRPr="003A07D2">
              <w:t xml:space="preserve">Jeder Mitgliedstaat </w:t>
            </w:r>
            <w:r w:rsidRPr="003A07D2">
              <w:rPr>
                <w:b/>
                <w:i/>
              </w:rPr>
              <w:t>führt</w:t>
            </w:r>
            <w:r w:rsidRPr="003A07D2">
              <w:t xml:space="preserve"> für das Mittelmeer ein System der individuellen täglichen und/oder jährlichen Erntebeschränkungen für Rote Koralle </w:t>
            </w:r>
            <w:r w:rsidRPr="003A07D2">
              <w:rPr>
                <w:b/>
                <w:i/>
              </w:rPr>
              <w:t>ein</w:t>
            </w:r>
            <w:r w:rsidRPr="003A07D2">
              <w:t>.</w:t>
            </w:r>
          </w:p>
        </w:tc>
      </w:tr>
    </w:tbl>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14</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8</w:t>
      </w:r>
    </w:p>
    <w:p w:rsidR="00833D10" w:rsidRPr="003A07D2" w:rsidRDefault="00833D10" w:rsidP="00833D10">
      <w:pPr>
        <w:keepNext/>
      </w:pPr>
      <w:r w:rsidRPr="003A07D2">
        <w:t>Verordnung (EU) Nr. 1343/2011</w:t>
      </w:r>
    </w:p>
    <w:p w:rsidR="00833D10" w:rsidRPr="003A07D2" w:rsidRDefault="00833D10" w:rsidP="00833D10">
      <w:r w:rsidRPr="003A07D2">
        <w:t>Artikel 22i – Absatz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1.</w:t>
            </w:r>
            <w:r w:rsidRPr="003A07D2">
              <w:tab/>
              <w:t xml:space="preserve">Die Mitgliedstaaten erstellen ein Register der Fischereifahrzeuge, die im Alboran-Meer gefangene Mengen an Roter Fleckbrasse an Bord mitführen oder anlanden dürfen, </w:t>
            </w:r>
            <w:r w:rsidRPr="003A07D2">
              <w:rPr>
                <w:b/>
                <w:i/>
              </w:rPr>
              <w:t>welche</w:t>
            </w:r>
            <w:r w:rsidRPr="003A07D2">
              <w:t xml:space="preserve"> mehr als 20 % des Fangs in Lebendgewicht nach der Sortierung je Tide ausmachen.</w:t>
            </w:r>
          </w:p>
        </w:tc>
        <w:tc>
          <w:tcPr>
            <w:tcW w:w="4876" w:type="dxa"/>
          </w:tcPr>
          <w:p w:rsidR="00833D10" w:rsidRPr="003A07D2" w:rsidRDefault="00833D10" w:rsidP="00402BAE">
            <w:pPr>
              <w:pStyle w:val="Normal6"/>
              <w:rPr>
                <w:szCs w:val="24"/>
              </w:rPr>
            </w:pPr>
            <w:r w:rsidRPr="003A07D2">
              <w:rPr>
                <w:b/>
                <w:i/>
              </w:rPr>
              <w:t>1.</w:t>
            </w:r>
            <w:r w:rsidRPr="003A07D2">
              <w:tab/>
              <w:t xml:space="preserve">Die Mitgliedstaaten erstellen ein Register der Fischereifahrzeuge, die im Alboran-Meer gefangene Mengen an Roter Fleckbrasse an Bord mitführen oder anlanden dürfen, </w:t>
            </w:r>
            <w:r w:rsidRPr="003A07D2">
              <w:rPr>
                <w:b/>
                <w:i/>
              </w:rPr>
              <w:t>die</w:t>
            </w:r>
            <w:r w:rsidRPr="003A07D2">
              <w:t xml:space="preserve"> mehr als 20 % des Fangs in Lebendgewicht nach der Sortierung je Tide ausmachen. </w:t>
            </w:r>
            <w:r w:rsidRPr="003A07D2">
              <w:rPr>
                <w:b/>
                <w:i/>
              </w:rPr>
              <w:t>Dieses Register wird geführt und aktualisiert.</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Im Einklang mit der Empfehlung 41/2017/2 der GFCM (Ziffer 12).</w:t>
      </w:r>
    </w:p>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15</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8</w:t>
      </w:r>
    </w:p>
    <w:p w:rsidR="00833D10" w:rsidRPr="003A07D2" w:rsidRDefault="00833D10" w:rsidP="00833D10">
      <w:pPr>
        <w:keepNext/>
      </w:pPr>
      <w:r w:rsidRPr="003A07D2">
        <w:t>Verordnung (EU) Nr. 1343/2011</w:t>
      </w:r>
    </w:p>
    <w:p w:rsidR="00833D10" w:rsidRPr="003A07D2" w:rsidRDefault="00833D10" w:rsidP="00833D10">
      <w:r w:rsidRPr="003A07D2">
        <w:t>Artikel 22k a (neu)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jc w:val="center"/>
              <w:rPr>
                <w:szCs w:val="24"/>
              </w:rPr>
            </w:pPr>
            <w:r w:rsidRPr="003A07D2">
              <w:rPr>
                <w:b/>
                <w:i/>
              </w:rPr>
              <w:t>Artikel 22ka</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jc w:val="center"/>
            </w:pPr>
            <w:r w:rsidRPr="003A07D2">
              <w:rPr>
                <w:b/>
                <w:i/>
              </w:rPr>
              <w:t>Zeitliche Schließung im Golf von Gabès</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pPr>
            <w:r w:rsidRPr="003A07D2">
              <w:rPr>
                <w:b/>
                <w:i/>
              </w:rPr>
              <w:t>Vom 1. Juli bis zum 31. September jeden Jahres ist zwischen der Küste und den 200-Meter-Isobathen des GSA 14 (Golf von Gabès) gemäß Anhang I die Fischerei mit Grundschleppnetzen verboten.</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Dies steht in Einklang mit der Empfehlung GFCM/40/2016/4, Ziffer 12. Die GFP befasst sich auch mit Fangtätigkeiten von Fischereifahrzeugen der Union außerhalb der Unionsgewässer (GFP-Verordnung, Artikel 1 Absatz 2 Buchstabe c). Die GFCM-Verordnung gilt entsprechend für alle gewerblichen Fischereitätigkeiten, die von Fischereifahrzeugen der EU und Staatsangehörigen der Mitgliedstaaten im gesamten GFCM-Übereinkommensgebiet betrieben werden (Artikel 2 Absatz 1). Wenn also Fischereifahrzeuge der Union in diesen Gewässern fischen, muss die EU die entsprechende Empfehlung auch für diesen Teil durchführen.</w:t>
      </w:r>
    </w:p>
    <w:p w:rsidR="00833D10" w:rsidRPr="003A07D2" w:rsidRDefault="00833D10" w:rsidP="00833D10"/>
    <w:p w:rsidR="00833D10" w:rsidRPr="003A07D2" w:rsidRDefault="00833D10" w:rsidP="00833D10">
      <w:pPr>
        <w:pStyle w:val="AMNumberTabs"/>
        <w:keepNext/>
      </w:pPr>
      <w:r w:rsidRPr="003A07D2">
        <w:t>Änderungsantrag</w:t>
      </w:r>
      <w:r w:rsidRPr="003A07D2">
        <w:tab/>
      </w:r>
      <w:r w:rsidRPr="003A07D2">
        <w:tab/>
        <w:t>16</w:t>
      </w:r>
    </w:p>
    <w:p w:rsidR="00833D10" w:rsidRPr="003A07D2" w:rsidRDefault="00833D10" w:rsidP="00833D10">
      <w:pPr>
        <w:pStyle w:val="NormalBold12b"/>
        <w:keepNext/>
      </w:pPr>
      <w:r w:rsidRPr="003A07D2">
        <w:t>Vorschlag für eine Verordnung</w:t>
      </w:r>
    </w:p>
    <w:p w:rsidR="00833D10" w:rsidRPr="003A07D2" w:rsidRDefault="00833D10" w:rsidP="00833D10">
      <w:pPr>
        <w:pStyle w:val="NormalBold"/>
      </w:pPr>
      <w:r w:rsidRPr="003A07D2">
        <w:t>Artikel 1 – Absatz 1 – Nummer 8</w:t>
      </w:r>
    </w:p>
    <w:p w:rsidR="00833D10" w:rsidRPr="003A07D2" w:rsidRDefault="00833D10" w:rsidP="00833D10">
      <w:pPr>
        <w:keepNext/>
      </w:pPr>
      <w:r w:rsidRPr="003A07D2">
        <w:t>Verordnung (EU) Nr. 1343/2011</w:t>
      </w:r>
    </w:p>
    <w:p w:rsidR="00833D10" w:rsidRPr="003A07D2" w:rsidRDefault="00833D10" w:rsidP="00833D10">
      <w:r w:rsidRPr="003A07D2">
        <w:t>Artikel 22k b (neu)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3D10" w:rsidRPr="003A07D2" w:rsidTr="00402BAE">
        <w:trPr>
          <w:jc w:val="center"/>
        </w:trPr>
        <w:tc>
          <w:tcPr>
            <w:tcW w:w="9752" w:type="dxa"/>
            <w:gridSpan w:val="2"/>
          </w:tcPr>
          <w:p w:rsidR="00833D10" w:rsidRPr="003A07D2" w:rsidRDefault="00833D10" w:rsidP="00402BAE">
            <w:pPr>
              <w:keepNext/>
            </w:pPr>
          </w:p>
        </w:tc>
      </w:tr>
      <w:tr w:rsidR="00833D10" w:rsidRPr="003A07D2" w:rsidTr="00402BAE">
        <w:trPr>
          <w:jc w:val="center"/>
        </w:trPr>
        <w:tc>
          <w:tcPr>
            <w:tcW w:w="4876" w:type="dxa"/>
          </w:tcPr>
          <w:p w:rsidR="00833D10" w:rsidRPr="003A07D2" w:rsidRDefault="00833D10" w:rsidP="00402BAE">
            <w:pPr>
              <w:pStyle w:val="ColumnHeading"/>
              <w:keepNext/>
            </w:pPr>
            <w:r w:rsidRPr="003A07D2">
              <w:t>Vorschlag der Kommission</w:t>
            </w:r>
          </w:p>
        </w:tc>
        <w:tc>
          <w:tcPr>
            <w:tcW w:w="4876" w:type="dxa"/>
          </w:tcPr>
          <w:p w:rsidR="00833D10" w:rsidRPr="003A07D2" w:rsidRDefault="00833D10" w:rsidP="00402BAE">
            <w:pPr>
              <w:pStyle w:val="ColumnHeading"/>
              <w:keepNext/>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jc w:val="center"/>
              <w:rPr>
                <w:szCs w:val="24"/>
              </w:rPr>
            </w:pPr>
            <w:r w:rsidRPr="003A07D2">
              <w:rPr>
                <w:b/>
                <w:i/>
              </w:rPr>
              <w:t>Artikel 22kb</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jc w:val="center"/>
            </w:pPr>
            <w:r w:rsidRPr="003A07D2">
              <w:rPr>
                <w:b/>
                <w:i/>
              </w:rPr>
              <w:t>Bezeichnete Häfen</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pPr>
            <w:r w:rsidRPr="003A07D2">
              <w:rPr>
                <w:b/>
                <w:i/>
              </w:rPr>
              <w:t>1.</w:t>
            </w:r>
            <w:r w:rsidRPr="003A07D2">
              <w:rPr>
                <w:b/>
                <w:i/>
              </w:rPr>
              <w:tab/>
              <w:t>Jeder Mitgliedstaat bezeichnet Anlandehäfen, in denen in Übereinstimmung mit Artikel 43 Absatz 5 der Verordnung (EG) Nr. 1224/2009 Anlandungen von Europäischem Seehecht und Rosa Geißelgarnele aus der Straße von Sizilien erfolgen können. Die Mitgliedstaaten übermitteln dem GFCM-Sekretariat und der Kommission spätestens zum 30. November 2018 die Liste der bezeichneten Häfen. Das GFCM-Sekretariat und die Kommission werden unverzüglich über Änderungen unterrichtet, die zu einem späteren Zeitpunkt vorgenommen werden.</w:t>
            </w:r>
          </w:p>
        </w:tc>
      </w:tr>
      <w:tr w:rsidR="00833D10" w:rsidRPr="003A07D2" w:rsidTr="00402BAE">
        <w:trPr>
          <w:jc w:val="center"/>
        </w:trPr>
        <w:tc>
          <w:tcPr>
            <w:tcW w:w="4876" w:type="dxa"/>
          </w:tcPr>
          <w:p w:rsidR="00833D10" w:rsidRPr="003A07D2" w:rsidRDefault="00833D10" w:rsidP="00402BAE">
            <w:pPr>
              <w:pStyle w:val="Normal6"/>
            </w:pPr>
          </w:p>
        </w:tc>
        <w:tc>
          <w:tcPr>
            <w:tcW w:w="4876" w:type="dxa"/>
          </w:tcPr>
          <w:p w:rsidR="00833D10" w:rsidRPr="003A07D2" w:rsidRDefault="00833D10" w:rsidP="00402BAE">
            <w:pPr>
              <w:pStyle w:val="Normal6"/>
            </w:pPr>
            <w:r w:rsidRPr="003A07D2">
              <w:rPr>
                <w:b/>
                <w:i/>
              </w:rPr>
              <w:t>2.</w:t>
            </w:r>
            <w:r w:rsidRPr="003A07D2">
              <w:rPr>
                <w:b/>
                <w:i/>
              </w:rPr>
              <w:tab/>
              <w:t>Es ist verboten, Europäischen Seehecht und Rosa Geißelgarnele, die in der Straße von Sizilien gefangen wurden, an anderen Stellen als den von den Mitgliedstaaten bezeichneten Anlandehäfen anzulanden oder von Fischereifahrzeugen umzuladen.</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Im Einklang mit Teil V der Empfehlung GFCM/40/2016/4.</w:t>
      </w:r>
    </w:p>
    <w:p w:rsidR="00833D10" w:rsidRPr="003A07D2" w:rsidRDefault="00833D10" w:rsidP="00833D10"/>
    <w:p w:rsidR="00833D10" w:rsidRPr="003A07D2" w:rsidRDefault="00833D10" w:rsidP="00833D10">
      <w:pPr>
        <w:pStyle w:val="AMNumberTabs"/>
      </w:pPr>
      <w:r w:rsidRPr="003A07D2">
        <w:t>Änderungsantrag</w:t>
      </w:r>
      <w:r w:rsidRPr="003A07D2">
        <w:tab/>
      </w:r>
      <w:r w:rsidRPr="003A07D2">
        <w:tab/>
        <w:t>17</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Artikel 1 – Absatz 1 – Nummer 8</w:t>
      </w:r>
    </w:p>
    <w:p w:rsidR="00833D10" w:rsidRPr="003A07D2" w:rsidRDefault="00833D10" w:rsidP="00833D10">
      <w:r w:rsidRPr="003A07D2">
        <w:t>Verordnung (EU) Nr. 1343/2011</w:t>
      </w:r>
    </w:p>
    <w:p w:rsidR="00833D10" w:rsidRPr="003A07D2" w:rsidRDefault="00833D10" w:rsidP="00833D10">
      <w:r w:rsidRPr="003A07D2">
        <w:t>Artikel 22n – Absatz 1 – Nummer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(c)</w:t>
            </w:r>
            <w:r w:rsidRPr="003A07D2">
              <w:tab/>
              <w:t>der Betrieb ohne ein Schiffsüberwachungssystem.</w:t>
            </w:r>
          </w:p>
        </w:tc>
        <w:tc>
          <w:tcPr>
            <w:tcW w:w="4876" w:type="dxa"/>
          </w:tcPr>
          <w:p w:rsidR="00833D10" w:rsidRPr="003A07D2" w:rsidRDefault="00833D10" w:rsidP="00402BAE">
            <w:pPr>
              <w:pStyle w:val="Normal6"/>
            </w:pPr>
            <w:r w:rsidRPr="003A07D2">
              <w:t>(c)</w:t>
            </w:r>
            <w:r w:rsidRPr="003A07D2">
              <w:tab/>
            </w:r>
            <w:r w:rsidRPr="003A07D2">
              <w:rPr>
                <w:b/>
                <w:i/>
              </w:rPr>
              <w:t xml:space="preserve">bei Schiffen mit einer Länge über alles vom mehr als 12 m </w:t>
            </w:r>
            <w:r w:rsidRPr="003A07D2">
              <w:t>der Betrieb ohne ein Schiffsüberwachungssystem</w:t>
            </w:r>
            <w:r w:rsidRPr="003A07D2">
              <w:rPr>
                <w:b/>
                <w:i/>
              </w:rPr>
              <w:t xml:space="preserve"> oder ein anderes Geolokalisierungssystem, über das die Kontrollbehörden die Tätigkeiten verfolgen können</w:t>
            </w:r>
            <w:r w:rsidRPr="003A07D2">
              <w:t>.</w:t>
            </w:r>
          </w:p>
        </w:tc>
      </w:tr>
    </w:tbl>
    <w:p w:rsidR="00833D10" w:rsidRPr="003A07D2" w:rsidRDefault="00833D10" w:rsidP="00833D10">
      <w:pPr>
        <w:pStyle w:val="JustificationTitle"/>
      </w:pPr>
      <w:r w:rsidRPr="003A07D2">
        <w:t>Begründung</w:t>
      </w:r>
    </w:p>
    <w:p w:rsidR="00833D10" w:rsidRPr="003A07D2" w:rsidRDefault="00833D10" w:rsidP="00833D10">
      <w:pPr>
        <w:pStyle w:val="Normal12Italic"/>
      </w:pPr>
      <w:r w:rsidRPr="003A07D2">
        <w:t>Artikel 22i („Fanggenehmigungen und Fangtätigkeiten“) Absatz 4 sieht vor, dass alle Schiffe mit einer Länge von mehr als 12 Metern „mit einem Schiffsüberwachungssystem (VMS) oder einem anderen Geolokalisierungssystem ausgestattet“ sein müssen, um eine Fangerlaubnis zu erhalten. In Artikel 22n wird festgelegt, dass der Betrieb ohne ein Schiffsüberwachungssystem als Verstoß dagegen gilt. Die Möglichkeit der Ausstattung mit einem anderen System ist dort nicht vorgesehen.</w:t>
      </w:r>
    </w:p>
    <w:p w:rsidR="00833D10" w:rsidRPr="003A07D2" w:rsidRDefault="00833D10" w:rsidP="00833D10"/>
    <w:p w:rsidR="00833D10" w:rsidRPr="003A07D2" w:rsidRDefault="00833D10" w:rsidP="00833D10">
      <w:pPr>
        <w:pStyle w:val="AMNumberTabs"/>
      </w:pPr>
      <w:r w:rsidRPr="003A07D2">
        <w:t>Änderungsantrag</w:t>
      </w:r>
      <w:r w:rsidRPr="003A07D2">
        <w:tab/>
      </w:r>
      <w:r w:rsidRPr="003A07D2">
        <w:tab/>
        <w:t>18</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Artikel 1 – Absatz 1 – Nummer 8</w:t>
      </w:r>
    </w:p>
    <w:p w:rsidR="00833D10" w:rsidRPr="003A07D2" w:rsidRDefault="00833D10" w:rsidP="00833D10">
      <w:r w:rsidRPr="003A07D2">
        <w:t>Verordnung (EU) Nr. 1343/2011</w:t>
      </w:r>
    </w:p>
    <w:p w:rsidR="00833D10" w:rsidRPr="003A07D2" w:rsidRDefault="00833D10" w:rsidP="00833D10">
      <w:r w:rsidRPr="003A07D2">
        <w:t>Artikel 22o – Absatz 1</w:t>
      </w:r>
    </w:p>
    <w:p w:rsidR="00833D10" w:rsidRPr="003A07D2" w:rsidRDefault="00833D10" w:rsidP="00833D10"/>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3A07D2" w:rsidTr="00402BAE">
        <w:trPr>
          <w:jc w:val="center"/>
        </w:trPr>
        <w:tc>
          <w:tcPr>
            <w:tcW w:w="4876" w:type="dxa"/>
          </w:tcPr>
          <w:p w:rsidR="00833D10" w:rsidRPr="003A07D2" w:rsidRDefault="00833D10" w:rsidP="00402BAE">
            <w:pPr>
              <w:pStyle w:val="Normal6"/>
            </w:pPr>
            <w:r w:rsidRPr="003A07D2">
              <w:t>1.</w:t>
            </w:r>
            <w:r w:rsidRPr="003A07D2">
              <w:tab/>
              <w:t>Die Mitgliedstaaten übermitteln der Kommission bis zum 30.</w:t>
            </w:r>
            <w:r w:rsidRPr="003A07D2">
              <w:rPr>
                <w:b/>
                <w:i/>
              </w:rPr>
              <w:t xml:space="preserve"> November</w:t>
            </w:r>
            <w:r w:rsidRPr="003A07D2">
              <w:t xml:space="preserve"> jeden Jahres über den üblichen elektronischen Datenträger eine aktualisierte Liste der Schiffe, die im Schwarzen Meer (geografisches Untergebiet 29 der GFCM gemäß Anhang I) mit am Boden verankerten Kiemennetzen Steinbutt befischen dürfen.</w:t>
            </w:r>
          </w:p>
        </w:tc>
        <w:tc>
          <w:tcPr>
            <w:tcW w:w="4876" w:type="dxa"/>
          </w:tcPr>
          <w:p w:rsidR="00833D10" w:rsidRPr="003A07D2" w:rsidRDefault="00833D10" w:rsidP="00402BAE">
            <w:pPr>
              <w:pStyle w:val="Normal6"/>
            </w:pPr>
            <w:r w:rsidRPr="003A07D2">
              <w:t>1.</w:t>
            </w:r>
            <w:r w:rsidRPr="003A07D2">
              <w:tab/>
              <w:t>Die Mitgliedstaaten übermitteln der Kommission bis zum 30.</w:t>
            </w:r>
            <w:r w:rsidRPr="003A07D2">
              <w:rPr>
                <w:b/>
                <w:i/>
              </w:rPr>
              <w:t> Dezember</w:t>
            </w:r>
            <w:r w:rsidRPr="003A07D2">
              <w:t xml:space="preserve"> jeden Jahres über den üblichen elektronischen Datenträger eine aktualisierte Liste der Schiffe, die im Schwarzen Meer (geografisches Untergebiet 29 der GFCM gemäß Anhang I) mit am Boden verankerten Kiemennetzen Steinbutt befischen dürfen</w:t>
            </w:r>
            <w:r w:rsidRPr="003A07D2">
              <w:rPr>
                <w:b/>
                <w:i/>
              </w:rPr>
              <w:t>, sofern an dieser Liste Änderungen vorgenommen wurden</w:t>
            </w:r>
            <w:r w:rsidRPr="003A07D2">
              <w:t>.</w:t>
            </w:r>
          </w:p>
        </w:tc>
      </w:tr>
    </w:tbl>
    <w:p w:rsidR="00833D10" w:rsidRPr="003A07D2" w:rsidRDefault="00833D10" w:rsidP="00833D10"/>
    <w:p w:rsidR="00833D10" w:rsidRPr="003A07D2" w:rsidRDefault="00833D10" w:rsidP="00833D10">
      <w:pPr>
        <w:pStyle w:val="AMNumberTabs"/>
      </w:pPr>
      <w:r w:rsidRPr="003A07D2">
        <w:t>Änderungsantrag</w:t>
      </w:r>
      <w:r w:rsidRPr="003A07D2">
        <w:tab/>
      </w:r>
      <w:r w:rsidRPr="003A07D2">
        <w:tab/>
        <w:t>19</w:t>
      </w:r>
    </w:p>
    <w:p w:rsidR="00833D10" w:rsidRPr="003A07D2" w:rsidRDefault="00833D10" w:rsidP="00833D10">
      <w:pPr>
        <w:pStyle w:val="NormalBold12b"/>
      </w:pPr>
      <w:r w:rsidRPr="003A07D2">
        <w:t>Vorschlag für eine Verordnung</w:t>
      </w:r>
    </w:p>
    <w:p w:rsidR="00833D10" w:rsidRPr="003A07D2" w:rsidRDefault="00833D10" w:rsidP="00833D10">
      <w:pPr>
        <w:pStyle w:val="NormalBold"/>
      </w:pPr>
      <w:r w:rsidRPr="003A07D2">
        <w:t>Artikel 1 – Absatz 1 – Nummer 8</w:t>
      </w:r>
    </w:p>
    <w:p w:rsidR="00833D10" w:rsidRPr="003A07D2" w:rsidRDefault="00833D10" w:rsidP="00833D10">
      <w:r w:rsidRPr="003A07D2">
        <w:t>Verordnung (EU) Nr. 1343/2011</w:t>
      </w:r>
    </w:p>
    <w:p w:rsidR="00833D10" w:rsidRPr="003A07D2" w:rsidRDefault="00833D10" w:rsidP="00833D10">
      <w:r w:rsidRPr="003A07D2">
        <w:t>Artikel 22p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3D10" w:rsidRPr="003A07D2" w:rsidTr="00402BAE">
        <w:trPr>
          <w:trHeight w:hRule="exact" w:val="240"/>
          <w:jc w:val="center"/>
        </w:trPr>
        <w:tc>
          <w:tcPr>
            <w:tcW w:w="9752" w:type="dxa"/>
            <w:gridSpan w:val="2"/>
          </w:tcPr>
          <w:p w:rsidR="00833D10" w:rsidRPr="003A07D2" w:rsidRDefault="00833D10" w:rsidP="00402BAE"/>
        </w:tc>
      </w:tr>
      <w:tr w:rsidR="00833D10" w:rsidRPr="003A07D2" w:rsidTr="00402BAE">
        <w:trPr>
          <w:trHeight w:val="240"/>
          <w:jc w:val="center"/>
        </w:trPr>
        <w:tc>
          <w:tcPr>
            <w:tcW w:w="4876" w:type="dxa"/>
          </w:tcPr>
          <w:p w:rsidR="00833D10" w:rsidRPr="003A07D2" w:rsidRDefault="00833D10" w:rsidP="00402BAE">
            <w:pPr>
              <w:pStyle w:val="ColumnHeading"/>
            </w:pPr>
            <w:r w:rsidRPr="003A07D2">
              <w:t>Vorschlag der Kommission</w:t>
            </w:r>
          </w:p>
        </w:tc>
        <w:tc>
          <w:tcPr>
            <w:tcW w:w="4876" w:type="dxa"/>
          </w:tcPr>
          <w:p w:rsidR="00833D10" w:rsidRPr="003A07D2" w:rsidRDefault="00833D10" w:rsidP="00402BAE">
            <w:pPr>
              <w:pStyle w:val="ColumnHeading"/>
            </w:pPr>
            <w:r w:rsidRPr="003A07D2">
              <w:t>Geänderter Text</w:t>
            </w:r>
          </w:p>
        </w:tc>
      </w:tr>
      <w:tr w:rsidR="00833D10" w:rsidRPr="009B49E2" w:rsidTr="00402BAE">
        <w:trPr>
          <w:jc w:val="center"/>
        </w:trPr>
        <w:tc>
          <w:tcPr>
            <w:tcW w:w="4876" w:type="dxa"/>
          </w:tcPr>
          <w:p w:rsidR="00833D10" w:rsidRPr="003A07D2" w:rsidRDefault="00833D10" w:rsidP="00402BAE">
            <w:pPr>
              <w:pStyle w:val="Normal6"/>
            </w:pPr>
          </w:p>
        </w:tc>
        <w:tc>
          <w:tcPr>
            <w:tcW w:w="4876" w:type="dxa"/>
          </w:tcPr>
          <w:p w:rsidR="00833D10" w:rsidRPr="009B49E2" w:rsidRDefault="00833D10" w:rsidP="00402BAE">
            <w:pPr>
              <w:pStyle w:val="Normal6"/>
            </w:pPr>
            <w:r w:rsidRPr="003A07D2">
              <w:rPr>
                <w:b/>
                <w:i/>
              </w:rPr>
              <w:t>2a.</w:t>
            </w:r>
            <w:r w:rsidRPr="003A07D2">
              <w:tab/>
            </w:r>
            <w:r w:rsidRPr="003A07D2">
              <w:rPr>
                <w:b/>
                <w:i/>
              </w:rPr>
              <w:t>Die nationalen Pläne sind den Fischereiverbänden in allen Einzelheiten mitzuteilen und für alle Fischer öffentlich zugänglich zu machen.</w:t>
            </w:r>
          </w:p>
        </w:tc>
      </w:tr>
    </w:tbl>
    <w:p w:rsidR="00833D10" w:rsidRPr="009B49E2" w:rsidRDefault="00833D10" w:rsidP="00833D10"/>
    <w:p w:rsidR="00833D10" w:rsidRPr="009B49E2" w:rsidRDefault="00833D10" w:rsidP="00833D10"/>
    <w:p w:rsidR="00833D10" w:rsidRPr="009B49E2" w:rsidRDefault="00833D10" w:rsidP="00833D10"/>
    <w:p w:rsidR="00833D10" w:rsidRPr="009B49E2" w:rsidRDefault="00833D10" w:rsidP="00833D10"/>
    <w:p w:rsidR="00E365E1" w:rsidRPr="009B49E2" w:rsidRDefault="00E365E1" w:rsidP="00833D10">
      <w:bookmarkStart w:id="1" w:name="TextBodyEnd"/>
      <w:bookmarkEnd w:id="1"/>
    </w:p>
    <w:sectPr w:rsidR="00E365E1" w:rsidRPr="009B49E2" w:rsidSect="00F0143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AE" w:rsidRPr="00F01431" w:rsidRDefault="00933FAE">
      <w:r w:rsidRPr="00F01431">
        <w:separator/>
      </w:r>
    </w:p>
  </w:endnote>
  <w:endnote w:type="continuationSeparator" w:id="0">
    <w:p w:rsidR="00933FAE" w:rsidRPr="00F01431" w:rsidRDefault="00933FAE">
      <w:r w:rsidRPr="00F014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E2" w:rsidRDefault="009B4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31" w:rsidRDefault="00F01431" w:rsidP="009B49E2">
    <w:pPr>
      <w:pStyle w:val="Footer"/>
      <w:tabs>
        <w:tab w:val="clear" w:pos="9639"/>
        <w:tab w:val="right" w:pos="9184"/>
      </w:tabs>
    </w:pPr>
  </w:p>
  <w:p w:rsidR="009B49E2" w:rsidRDefault="009B49E2" w:rsidP="009B49E2">
    <w:pPr>
      <w:pStyle w:val="Footer"/>
      <w:pBdr>
        <w:top w:val="single" w:sz="2" w:space="1" w:color="000000"/>
      </w:pBdr>
      <w:tabs>
        <w:tab w:val="clear" w:pos="9639"/>
        <w:tab w:val="right" w:pos="9184"/>
      </w:tabs>
    </w:pPr>
    <w:r>
      <w:tab/>
    </w:r>
    <w:r w:rsidRPr="009B49E2">
      <w:rPr>
        <w:rStyle w:val="HideTWBExt"/>
      </w:rPr>
      <w:t>&lt;NuPE&gt;</w:t>
    </w:r>
    <w:r>
      <w:t>PE635.488</w:t>
    </w:r>
    <w:r w:rsidRPr="009B49E2">
      <w:rPr>
        <w:rStyle w:val="HideTWBExt"/>
      </w:rPr>
      <w:t>&lt;/NuPE&gt;</w:t>
    </w:r>
    <w:r>
      <w:t xml:space="preserve">/ </w:t>
    </w:r>
    <w:r>
      <w:fldChar w:fldCharType="begin"/>
    </w:r>
    <w:r>
      <w:instrText xml:space="preserve"> PAGE  \* MERGEFORMAT </w:instrText>
    </w:r>
    <w:r>
      <w:fldChar w:fldCharType="separate"/>
    </w:r>
    <w:r w:rsidR="003A07D2">
      <w:rPr>
        <w:noProof/>
      </w:rPr>
      <w:t>1</w:t>
    </w:r>
    <w:r>
      <w:fldChar w:fldCharType="end"/>
    </w:r>
  </w:p>
  <w:p w:rsidR="009B49E2" w:rsidRPr="009B49E2" w:rsidRDefault="009B49E2" w:rsidP="009B49E2">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E2" w:rsidRDefault="009B4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AE" w:rsidRPr="00F01431" w:rsidRDefault="00933FAE">
      <w:r w:rsidRPr="00F01431">
        <w:separator/>
      </w:r>
    </w:p>
  </w:footnote>
  <w:footnote w:type="continuationSeparator" w:id="0">
    <w:p w:rsidR="00933FAE" w:rsidRPr="00F01431" w:rsidRDefault="00933FAE">
      <w:r w:rsidRPr="00F014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E2" w:rsidRDefault="009B4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E2" w:rsidRDefault="009B4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E2" w:rsidRDefault="009B4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81/2018"/>
    <w:docVar w:name="dvlangue" w:val="DE"/>
    <w:docVar w:name="dvnumam" w:val="19"/>
    <w:docVar w:name="dvpe" w:val="623.935"/>
    <w:docVar w:name="dvrapporteur" w:val="Berichterstatterin: "/>
    <w:docVar w:name="dvtitre" w:val="Legislative Entschließung des Europäischen Parlaments vom XX. XXX 2018 über den Vorschlag für eine Verordnung des Europäischen Parlaments und des Rates zur Änderung der Verordnung (EU) Nr. 1343/2011 über Vorschriften für die Fischerei im Übereinkommensgebiet der GFCM (Allgemeine Kommission für die Fischerei im Mittelmeer)(COM(2018)0143 – C8-0123/2018 – 2018/0069(COD))"/>
    <w:docVar w:name="TA_Comm_A5Nr" w:val="A8-0381/2018"/>
    <w:docVar w:name="TA_Comm_Langue" w:val="DE"/>
    <w:docVar w:name="TA_Comm_NrAM" w:val="001-019"/>
    <w:docVar w:name="TA_Type" w:val="TA_COMM"/>
  </w:docVars>
  <w:rsids>
    <w:rsidRoot w:val="00933FAE"/>
    <w:rsid w:val="00002272"/>
    <w:rsid w:val="000677B9"/>
    <w:rsid w:val="000E7DD9"/>
    <w:rsid w:val="0010095E"/>
    <w:rsid w:val="00125B37"/>
    <w:rsid w:val="00182E6D"/>
    <w:rsid w:val="002767FF"/>
    <w:rsid w:val="002B5493"/>
    <w:rsid w:val="00361C00"/>
    <w:rsid w:val="00395FA1"/>
    <w:rsid w:val="003A07D2"/>
    <w:rsid w:val="003E15D4"/>
    <w:rsid w:val="00411CCE"/>
    <w:rsid w:val="0041666E"/>
    <w:rsid w:val="00421060"/>
    <w:rsid w:val="00494A28"/>
    <w:rsid w:val="0050519A"/>
    <w:rsid w:val="005072A1"/>
    <w:rsid w:val="00514517"/>
    <w:rsid w:val="005E288B"/>
    <w:rsid w:val="006037C0"/>
    <w:rsid w:val="00680577"/>
    <w:rsid w:val="006F74FA"/>
    <w:rsid w:val="00731ADD"/>
    <w:rsid w:val="00734777"/>
    <w:rsid w:val="00751A4A"/>
    <w:rsid w:val="00756632"/>
    <w:rsid w:val="007D1690"/>
    <w:rsid w:val="00833D10"/>
    <w:rsid w:val="00865F67"/>
    <w:rsid w:val="00881A7B"/>
    <w:rsid w:val="008840E5"/>
    <w:rsid w:val="008C2AC6"/>
    <w:rsid w:val="00933FAE"/>
    <w:rsid w:val="009509D8"/>
    <w:rsid w:val="00981893"/>
    <w:rsid w:val="009B49E2"/>
    <w:rsid w:val="00A4678D"/>
    <w:rsid w:val="00AF3B82"/>
    <w:rsid w:val="00B558F0"/>
    <w:rsid w:val="00BC0E7C"/>
    <w:rsid w:val="00BD7BD8"/>
    <w:rsid w:val="00C05BFE"/>
    <w:rsid w:val="00C23CD4"/>
    <w:rsid w:val="00C941CB"/>
    <w:rsid w:val="00C942DC"/>
    <w:rsid w:val="00CC2357"/>
    <w:rsid w:val="00D058B8"/>
    <w:rsid w:val="00D834A0"/>
    <w:rsid w:val="00D91E21"/>
    <w:rsid w:val="00DD4528"/>
    <w:rsid w:val="00DE23D7"/>
    <w:rsid w:val="00E365E1"/>
    <w:rsid w:val="00ED4235"/>
    <w:rsid w:val="00F01431"/>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215B6F-E703-4BF0-B384-FA015E5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833D10"/>
    <w:rPr>
      <w:sz w:val="24"/>
      <w:lang w:val="de-D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833D10"/>
    <w:rPr>
      <w:b/>
      <w:sz w:val="24"/>
      <w:lang w:val="de-DE"/>
    </w:rPr>
  </w:style>
  <w:style w:type="paragraph" w:customStyle="1" w:styleId="Normal12Italic">
    <w:name w:val="Normal12Italic"/>
    <w:basedOn w:val="Normal"/>
    <w:rsid w:val="00833D10"/>
    <w:pPr>
      <w:spacing w:before="240"/>
    </w:pPr>
    <w:rPr>
      <w:i/>
    </w:rPr>
  </w:style>
  <w:style w:type="paragraph" w:customStyle="1" w:styleId="JustificationTitle">
    <w:name w:val="JustificationTitle"/>
    <w:basedOn w:val="Normal"/>
    <w:next w:val="Normal12"/>
    <w:rsid w:val="00833D10"/>
    <w:pPr>
      <w:keepNext/>
      <w:spacing w:before="240"/>
      <w:jc w:val="center"/>
    </w:pPr>
    <w:rPr>
      <w:i/>
    </w:rPr>
  </w:style>
  <w:style w:type="paragraph" w:customStyle="1" w:styleId="ColumnHeading">
    <w:name w:val="ColumnHeading"/>
    <w:basedOn w:val="Normal"/>
    <w:rsid w:val="00833D10"/>
    <w:pPr>
      <w:spacing w:after="240"/>
      <w:jc w:val="center"/>
    </w:pPr>
    <w:rPr>
      <w:i/>
    </w:rPr>
  </w:style>
  <w:style w:type="paragraph" w:customStyle="1" w:styleId="AMNumberTabs">
    <w:name w:val="AMNumberTabs"/>
    <w:basedOn w:val="Normal"/>
    <w:rsid w:val="00833D1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33D10"/>
    <w:pPr>
      <w:spacing w:before="240"/>
    </w:pPr>
    <w:rPr>
      <w:b/>
    </w:rPr>
  </w:style>
  <w:style w:type="paragraph" w:styleId="BalloonText">
    <w:name w:val="Balloon Text"/>
    <w:basedOn w:val="Normal"/>
    <w:link w:val="BalloonTextChar"/>
    <w:rsid w:val="005E288B"/>
    <w:rPr>
      <w:rFonts w:ascii="Segoe UI" w:hAnsi="Segoe UI" w:cs="Segoe UI"/>
      <w:sz w:val="18"/>
      <w:szCs w:val="18"/>
    </w:rPr>
  </w:style>
  <w:style w:type="character" w:customStyle="1" w:styleId="BalloonTextChar">
    <w:name w:val="Balloon Text Char"/>
    <w:basedOn w:val="DefaultParagraphFont"/>
    <w:link w:val="BalloonText"/>
    <w:rsid w:val="005E288B"/>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1854</Words>
  <Characters>11706</Characters>
  <Application>Microsoft Office Word</Application>
  <DocSecurity>0</DocSecurity>
  <Lines>487</Lines>
  <Paragraphs>242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FOISSY Elfriede</cp:lastModifiedBy>
  <cp:revision>2</cp:revision>
  <cp:lastPrinted>2004-11-19T15:42:00Z</cp:lastPrinted>
  <dcterms:created xsi:type="dcterms:W3CDTF">2019-03-19T17:41:00Z</dcterms:created>
  <dcterms:modified xsi:type="dcterms:W3CDTF">2019-03-19T17:41:00Z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A8-0381/2018</vt:lpwstr>
  </property>
  <property fmtid="{D5CDD505-2E9C-101B-9397-08002B2CF9AE}" pid="4" name="&lt;Type&gt;">
    <vt:lpwstr>RR</vt:lpwstr>
  </property>
</Properties>
</file>