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7C" w:rsidRDefault="000C6D7C" w:rsidP="000C6D7C">
      <w:pPr>
        <w:tabs>
          <w:tab w:val="right" w:pos="9184"/>
        </w:tabs>
      </w:pPr>
    </w:p>
    <w:p w:rsidR="000C6D7C" w:rsidRDefault="000C6D7C" w:rsidP="000C6D7C">
      <w:pPr>
        <w:tabs>
          <w:tab w:val="right" w:pos="9184"/>
        </w:tabs>
      </w:pPr>
    </w:p>
    <w:p w:rsidR="000C6D7C" w:rsidRDefault="000C6D7C" w:rsidP="000C6D7C">
      <w:pPr>
        <w:tabs>
          <w:tab w:val="right" w:pos="9184"/>
        </w:tabs>
      </w:pPr>
    </w:p>
    <w:p w:rsidR="000C6D7C" w:rsidRDefault="000C6D7C" w:rsidP="000C6D7C">
      <w:pPr>
        <w:tabs>
          <w:tab w:val="right" w:pos="9184"/>
        </w:tabs>
      </w:pPr>
    </w:p>
    <w:p w:rsidR="000C6D7C" w:rsidRDefault="000C6D7C" w:rsidP="000C6D7C">
      <w:pPr>
        <w:tabs>
          <w:tab w:val="right" w:pos="9184"/>
        </w:tabs>
      </w:pPr>
      <w:r w:rsidRPr="000C6D7C">
        <w:rPr>
          <w:rStyle w:val="HideTWBExt"/>
        </w:rPr>
        <w:t>&lt;Date&gt;</w:t>
      </w:r>
      <w:r>
        <w:t>11.1.2019</w:t>
      </w:r>
      <w:r w:rsidRPr="000C6D7C">
        <w:rPr>
          <w:rStyle w:val="HideTWBExt"/>
        </w:rPr>
        <w:t>&lt;/Date&gt;</w:t>
      </w:r>
      <w:r>
        <w:tab/>
        <w:t xml:space="preserve">A8-0406/ </w:t>
      </w:r>
      <w:r w:rsidRPr="000C6D7C">
        <w:rPr>
          <w:rStyle w:val="HideTWBExt"/>
        </w:rPr>
        <w:t>&lt;NumOfAM&gt;</w:t>
      </w:r>
      <w:r>
        <w:t>001-030</w:t>
      </w:r>
      <w:bookmarkStart w:id="0" w:name="_GoBack"/>
      <w:bookmarkEnd w:id="0"/>
      <w:r w:rsidRPr="000C6D7C">
        <w:rPr>
          <w:rStyle w:val="HideTWBExt"/>
        </w:rPr>
        <w:t>&lt;/NumOfAM&gt;</w:t>
      </w:r>
    </w:p>
    <w:p w:rsidR="000C6D7C" w:rsidRDefault="000C6D7C" w:rsidP="000C6D7C">
      <w:pPr>
        <w:tabs>
          <w:tab w:val="right" w:pos="9184"/>
        </w:tabs>
      </w:pPr>
    </w:p>
    <w:p w:rsidR="000C6D7C" w:rsidRDefault="000C6D7C" w:rsidP="000C6D7C">
      <w:pPr>
        <w:tabs>
          <w:tab w:val="right" w:pos="9184"/>
        </w:tabs>
      </w:pPr>
    </w:p>
    <w:p w:rsidR="000C6D7C" w:rsidRDefault="000C6D7C" w:rsidP="000C6D7C">
      <w:pPr>
        <w:tabs>
          <w:tab w:val="right" w:pos="9184"/>
        </w:tabs>
      </w:pPr>
      <w:r>
        <w:rPr>
          <w:b/>
        </w:rPr>
        <w:t xml:space="preserve">ИЗМЕНЕНИЯ 001-030 </w:t>
      </w:r>
    </w:p>
    <w:p w:rsidR="000C6D7C" w:rsidRDefault="00142286" w:rsidP="000C6D7C">
      <w:pPr>
        <w:tabs>
          <w:tab w:val="right" w:pos="9184"/>
        </w:tabs>
      </w:pPr>
      <w:r>
        <w:t>внесени</w:t>
      </w:r>
      <w:r w:rsidR="000C6D7C">
        <w:t xml:space="preserve"> от </w:t>
      </w:r>
      <w:r w:rsidR="000C6D7C" w:rsidRPr="000C6D7C">
        <w:rPr>
          <w:rStyle w:val="HideTWBExt"/>
        </w:rPr>
        <w:t>&lt;Committee&gt;</w:t>
      </w:r>
      <w:r w:rsidR="000C6D7C">
        <w:t>Комисия</w:t>
      </w:r>
      <w:r>
        <w:t>та</w:t>
      </w:r>
      <w:r w:rsidR="000C6D7C">
        <w:t xml:space="preserve"> по промишленост, изследвания и енергетика</w:t>
      </w:r>
      <w:r w:rsidR="000C6D7C" w:rsidRPr="000C6D7C">
        <w:rPr>
          <w:rStyle w:val="HideTWBExt"/>
        </w:rPr>
        <w:t>&lt;/Committee&gt;</w:t>
      </w:r>
    </w:p>
    <w:p w:rsidR="000C6D7C" w:rsidRDefault="000C6D7C" w:rsidP="000C6D7C">
      <w:pPr>
        <w:tabs>
          <w:tab w:val="right" w:pos="9184"/>
        </w:tabs>
      </w:pPr>
    </w:p>
    <w:p w:rsidR="000C6D7C" w:rsidRDefault="000C6D7C" w:rsidP="000C6D7C">
      <w:pPr>
        <w:tabs>
          <w:tab w:val="right" w:pos="9184"/>
        </w:tabs>
        <w:rPr>
          <w:b/>
        </w:rPr>
      </w:pPr>
      <w:r>
        <w:rPr>
          <w:b/>
        </w:rPr>
        <w:t>Доклад</w:t>
      </w:r>
    </w:p>
    <w:p w:rsidR="000C6D7C" w:rsidRDefault="000C6D7C" w:rsidP="000C6D7C">
      <w:pPr>
        <w:tabs>
          <w:tab w:val="right" w:pos="9184"/>
        </w:tabs>
        <w:rPr>
          <w:b/>
        </w:rPr>
      </w:pPr>
      <w:r w:rsidRPr="000C6D7C">
        <w:rPr>
          <w:rStyle w:val="HideTWBExt"/>
        </w:rPr>
        <w:t>&lt;Chairman&gt;</w:t>
      </w:r>
      <w:r>
        <w:rPr>
          <w:b/>
        </w:rPr>
        <w:t>Миапетра Кумпула-Натри</w:t>
      </w:r>
      <w:r w:rsidRPr="000C6D7C">
        <w:rPr>
          <w:rStyle w:val="HideTWBExt"/>
        </w:rPr>
        <w:t>&lt;/Chairman&gt;</w:t>
      </w:r>
      <w:r>
        <w:rPr>
          <w:b/>
        </w:rPr>
        <w:tab/>
      </w:r>
      <w:r w:rsidRPr="000C6D7C">
        <w:rPr>
          <w:rStyle w:val="HideTWBExt"/>
        </w:rPr>
        <w:t>&lt;A5Nr&gt;</w:t>
      </w:r>
      <w:r>
        <w:rPr>
          <w:b/>
        </w:rPr>
        <w:t>A8-0406/2018</w:t>
      </w:r>
      <w:r w:rsidRPr="000C6D7C">
        <w:rPr>
          <w:rStyle w:val="HideTWBExt"/>
        </w:rPr>
        <w:t>&lt;/A5Nr&gt;</w:t>
      </w:r>
    </w:p>
    <w:p w:rsidR="000C6D7C" w:rsidRDefault="000C6D7C" w:rsidP="000C6D7C">
      <w:pPr>
        <w:tabs>
          <w:tab w:val="right" w:pos="9184"/>
        </w:tabs>
      </w:pPr>
      <w:r w:rsidRPr="000C6D7C">
        <w:rPr>
          <w:rStyle w:val="HideTWBExt"/>
        </w:rPr>
        <w:t>&lt;ShortTitel&gt;</w:t>
      </w:r>
      <w:r>
        <w:t>Програма за научни изследвания и обучение на Европейската общност за атомна енергия за периода 2021—2025 г.</w:t>
      </w:r>
      <w:r w:rsidRPr="000C6D7C">
        <w:rPr>
          <w:rStyle w:val="HideTWBExt"/>
        </w:rPr>
        <w:t>&lt;/ShortTitel&gt;</w:t>
      </w:r>
    </w:p>
    <w:p w:rsidR="000C6D7C" w:rsidRDefault="000C6D7C" w:rsidP="000C6D7C">
      <w:pPr>
        <w:tabs>
          <w:tab w:val="right" w:pos="9184"/>
        </w:tabs>
      </w:pPr>
    </w:p>
    <w:p w:rsidR="000C6D7C" w:rsidRDefault="000C6D7C" w:rsidP="000C6D7C">
      <w:pPr>
        <w:tabs>
          <w:tab w:val="right" w:pos="9184"/>
        </w:tabs>
      </w:pPr>
      <w:r w:rsidRPr="000C6D7C">
        <w:rPr>
          <w:rStyle w:val="HideTWBExt"/>
        </w:rPr>
        <w:t>&lt;Procedure&gt;</w:t>
      </w:r>
      <w:r>
        <w:t>Предложение за регламент</w:t>
      </w:r>
      <w:r w:rsidRPr="000C6D7C">
        <w:rPr>
          <w:rStyle w:val="HideTWBExt"/>
        </w:rPr>
        <w:t>&lt;/Procedure&gt;</w:t>
      </w:r>
      <w:r>
        <w:t xml:space="preserve"> </w:t>
      </w:r>
      <w:r w:rsidRPr="000C6D7C">
        <w:rPr>
          <w:rStyle w:val="HideTWBExt"/>
        </w:rPr>
        <w:t>&lt;ReferenceNo&gt;</w:t>
      </w:r>
      <w:r>
        <w:t>(COM(2018)0437 – C8-0380/2018 – 2018/0226(NLE))</w:t>
      </w:r>
      <w:r w:rsidRPr="000C6D7C">
        <w:rPr>
          <w:rStyle w:val="HideTWBExt"/>
        </w:rPr>
        <w:t>&lt;/ReferenceNo&gt;</w:t>
      </w:r>
    </w:p>
    <w:p w:rsidR="000C6D7C" w:rsidRDefault="000C6D7C" w:rsidP="000C6D7C">
      <w:pPr>
        <w:tabs>
          <w:tab w:val="right" w:pos="9184"/>
        </w:tabs>
      </w:pPr>
    </w:p>
    <w:p w:rsidR="000C6D7C" w:rsidRDefault="000C6D7C" w:rsidP="000C6D7C">
      <w:pPr>
        <w:tabs>
          <w:tab w:val="right" w:pos="9184"/>
        </w:tabs>
      </w:pPr>
    </w:p>
    <w:p w:rsidR="000C6D7C" w:rsidRDefault="000C6D7C" w:rsidP="000C6D7C">
      <w:pPr>
        <w:tabs>
          <w:tab w:val="right" w:pos="9184"/>
        </w:tabs>
      </w:pPr>
    </w:p>
    <w:p w:rsidR="000C6D7C" w:rsidRDefault="000C6D7C" w:rsidP="000C6D7C">
      <w:pPr>
        <w:tabs>
          <w:tab w:val="right" w:pos="9184"/>
        </w:tabs>
        <w:jc w:val="center"/>
      </w:pPr>
      <w:r>
        <w:t>_____________________________________________________________</w:t>
      </w:r>
    </w:p>
    <w:p w:rsidR="000C6D7C" w:rsidRDefault="000C6D7C" w:rsidP="000C6D7C">
      <w:pPr>
        <w:tabs>
          <w:tab w:val="right" w:pos="9184"/>
        </w:tabs>
        <w:jc w:val="center"/>
      </w:pPr>
    </w:p>
    <w:p w:rsidR="000974D8" w:rsidRPr="000C6D7C" w:rsidRDefault="000974D8" w:rsidP="000C6D7C">
      <w:pPr>
        <w:pStyle w:val="AMNumberTabs"/>
      </w:pPr>
      <w:r w:rsidRPr="000C6D7C">
        <w:t>Изменение</w:t>
      </w:r>
      <w:r w:rsidRPr="000C6D7C">
        <w:tab/>
      </w:r>
      <w:r w:rsidRPr="000C6D7C">
        <w:tab/>
        <w:t>1</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Съображение 1a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p>
        </w:tc>
        <w:tc>
          <w:tcPr>
            <w:tcW w:w="4876" w:type="dxa"/>
            <w:hideMark/>
          </w:tcPr>
          <w:p w:rsidR="000974D8" w:rsidRPr="000C6D7C" w:rsidRDefault="000974D8" w:rsidP="00490CF7">
            <w:pPr>
              <w:pStyle w:val="Normal6"/>
              <w:rPr>
                <w:szCs w:val="24"/>
              </w:rPr>
            </w:pPr>
            <w:r w:rsidRPr="000C6D7C">
              <w:rPr>
                <w:b/>
                <w:i/>
              </w:rPr>
              <w:t>(1a)</w:t>
            </w:r>
            <w:r w:rsidRPr="000C6D7C">
              <w:rPr>
                <w:b/>
                <w:i/>
              </w:rPr>
              <w:tab/>
              <w:t xml:space="preserve">Европейският парламент следва да бъде консултиран на всички съответни </w:t>
            </w:r>
            <w:r w:rsidR="00490CF7" w:rsidRPr="000C6D7C">
              <w:rPr>
                <w:b/>
                <w:i/>
              </w:rPr>
              <w:t xml:space="preserve">етапи </w:t>
            </w:r>
            <w:r w:rsidRPr="000C6D7C">
              <w:rPr>
                <w:b/>
                <w:i/>
              </w:rPr>
              <w:t xml:space="preserve">по време на изпълнението и оценката на Програмата. Съветът отправи запитване към Европейския парламент </w:t>
            </w:r>
            <w:r w:rsidR="00490CF7" w:rsidRPr="000C6D7C">
              <w:rPr>
                <w:b/>
                <w:i/>
              </w:rPr>
              <w:t>за становището</w:t>
            </w:r>
            <w:r w:rsidRPr="000C6D7C">
              <w:rPr>
                <w:b/>
                <w:i/>
              </w:rPr>
              <w:t xml:space="preserve"> му </w:t>
            </w:r>
            <w:r w:rsidR="00490CF7" w:rsidRPr="000C6D7C">
              <w:rPr>
                <w:b/>
                <w:i/>
              </w:rPr>
              <w:t xml:space="preserve">по </w:t>
            </w:r>
            <w:r w:rsidRPr="000C6D7C">
              <w:rPr>
                <w:b/>
                <w:i/>
              </w:rPr>
              <w:t>програмата за научни изследвания и обучение на Европейската общност за атомна енергия за периода 2021 </w:t>
            </w:r>
            <w:r w:rsidR="00FB45C1" w:rsidRPr="000C6D7C">
              <w:rPr>
                <w:b/>
                <w:i/>
              </w:rPr>
              <w:t>—</w:t>
            </w:r>
            <w:r w:rsidRPr="000C6D7C">
              <w:rPr>
                <w:b/>
                <w:i/>
              </w:rPr>
              <w:t xml:space="preserve"> 2025 г. </w:t>
            </w:r>
            <w:r w:rsidR="00490CF7" w:rsidRPr="000C6D7C">
              <w:rPr>
                <w:b/>
                <w:i/>
              </w:rPr>
              <w:t>Т</w:t>
            </w:r>
            <w:r w:rsidRPr="000C6D7C">
              <w:rPr>
                <w:b/>
                <w:i/>
              </w:rPr>
              <w:t xml:space="preserve">ъй като обикновената законодателна процедура не се прилага съгласно Договора за създаване на Европейската общност за атомна енергия, Европейският парламент не се счита за равнопоставен със Съвета при приемането на законодателство, свързано с атомната енергия. </w:t>
            </w:r>
            <w:r w:rsidR="00490CF7" w:rsidRPr="000C6D7C">
              <w:rPr>
                <w:b/>
                <w:i/>
              </w:rPr>
              <w:t>Предвид</w:t>
            </w:r>
            <w:r w:rsidRPr="000C6D7C">
              <w:rPr>
                <w:b/>
                <w:i/>
              </w:rPr>
              <w:t xml:space="preserve"> </w:t>
            </w:r>
            <w:r w:rsidRPr="000C6D7C">
              <w:rPr>
                <w:b/>
                <w:i/>
              </w:rPr>
              <w:lastRenderedPageBreak/>
              <w:t xml:space="preserve">ролята на Европейския парламент на съзаконодател по бюджетните въпроси и с цел да се гарантира последователното разработване и изпълнение на рамковата програма на Съюза за научни изследвания и иновации, програмата на Евратом за </w:t>
            </w:r>
            <w:r w:rsidR="00490CF7" w:rsidRPr="000C6D7C">
              <w:rPr>
                <w:b/>
                <w:i/>
              </w:rPr>
              <w:t xml:space="preserve">научни </w:t>
            </w:r>
            <w:r w:rsidRPr="000C6D7C">
              <w:rPr>
                <w:b/>
                <w:i/>
              </w:rPr>
              <w:t>изследвания и обучение също следва да бъде приемана посредством обикновената законодателна процедура.</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Съображение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(2)</w:t>
            </w:r>
            <w:r w:rsidRPr="000C6D7C">
              <w:tab/>
              <w:t xml:space="preserve">Ядрените изследвания могат да </w:t>
            </w:r>
            <w:r w:rsidRPr="000C6D7C">
              <w:rPr>
                <w:b/>
                <w:i/>
              </w:rPr>
              <w:t>допринасят</w:t>
            </w:r>
            <w:r w:rsidRPr="000C6D7C">
              <w:t xml:space="preserve"> за социалното благополучие</w:t>
            </w:r>
            <w:r w:rsidRPr="000C6D7C">
              <w:rPr>
                <w:b/>
                <w:i/>
              </w:rPr>
              <w:t>,</w:t>
            </w:r>
            <w:r w:rsidRPr="000C6D7C">
              <w:t xml:space="preserve"> икономическото благоденствие</w:t>
            </w:r>
            <w:r w:rsidRPr="000C6D7C">
              <w:rPr>
                <w:b/>
                <w:i/>
              </w:rPr>
              <w:t xml:space="preserve"> и екологичната устойчивост</w:t>
            </w:r>
            <w:r w:rsidRPr="000C6D7C">
              <w:t xml:space="preserve"> чрез подобряване на ядрената безопасност, сигурността и радиационната защита. Научните изследвания в областта на радиационната защита са довели до подобрения в областта на медицинските технологии, от които много граждани имат полза, и тези научни изследвания днес могат да доведат до подобрения в други сектори, като например промишлеността, селското стопанство, околната среда и сигурността. Еднакво важен е и </w:t>
            </w:r>
            <w:r w:rsidRPr="000C6D7C">
              <w:rPr>
                <w:b/>
                <w:i/>
              </w:rPr>
              <w:t>потенциалният принос</w:t>
            </w:r>
            <w:r w:rsidRPr="000C6D7C">
              <w:t xml:space="preserve"> на ядрените изследвания за дългосрочната декарбонизация на енергийната система по безопасен, ефикасен и сигурен начин.</w:t>
            </w:r>
          </w:p>
        </w:tc>
        <w:tc>
          <w:tcPr>
            <w:tcW w:w="4876" w:type="dxa"/>
          </w:tcPr>
          <w:p w:rsidR="000974D8" w:rsidRPr="000C6D7C" w:rsidRDefault="000974D8" w:rsidP="00490CF7">
            <w:pPr>
              <w:pStyle w:val="Normal6"/>
              <w:rPr>
                <w:szCs w:val="24"/>
              </w:rPr>
            </w:pPr>
            <w:r w:rsidRPr="000C6D7C">
              <w:t>(2)</w:t>
            </w:r>
            <w:r w:rsidRPr="000C6D7C">
              <w:tab/>
              <w:t>Ядрените изследвания могат да допринесат за социалното благополучие</w:t>
            </w:r>
            <w:r w:rsidRPr="000C6D7C">
              <w:rPr>
                <w:b/>
                <w:i/>
              </w:rPr>
              <w:t xml:space="preserve"> и</w:t>
            </w:r>
            <w:r w:rsidRPr="000C6D7C">
              <w:t xml:space="preserve"> икономическото благоденствие чрез подобряване на ядрената безопасност, сигурността и радиационната защита. </w:t>
            </w:r>
            <w:r w:rsidRPr="000C6D7C">
              <w:rPr>
                <w:b/>
                <w:i/>
              </w:rPr>
              <w:t xml:space="preserve">Ядрените изследвания имат важен принос за екологичната устойчивост и борбата с изменението на климата чрез намаляване на зависимостта на Съюза от вноса на енергия, </w:t>
            </w:r>
            <w:r w:rsidR="00490CF7" w:rsidRPr="000C6D7C">
              <w:rPr>
                <w:b/>
                <w:i/>
              </w:rPr>
              <w:t>а</w:t>
            </w:r>
            <w:r w:rsidR="00490CF7" w:rsidRPr="000C6D7C">
              <w:t xml:space="preserve"> </w:t>
            </w:r>
            <w:r w:rsidRPr="000C6D7C">
              <w:t>научните изследвания в областта на радиационната защита са довели до подобрения в областта на медицинските технологии, от които много граждани имат полза, и тези научни изследвания днес могат да доведат до подобрения в други сектори, като например промишлеността, селското стопанство, околната среда и сигурността. Еднакво важен е и приносът на ядрените изследвания за дългосрочната декарбонизация на енергийната система по безопасен, ефикасен и сигурен начин.</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3</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Съображение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(4)</w:t>
            </w:r>
            <w:r w:rsidRPr="000C6D7C">
              <w:tab/>
              <w:t xml:space="preserve">В доклада на Комисията относно междинната оценка на програмата на Евратом за научни изследвания и обучение за периода 2014—2018 г. (COM(2017) 697 final) се предвижда набор от ръководни принципи за Програмата. Те включват: да продължи подкрепата за </w:t>
            </w:r>
            <w:r w:rsidRPr="000C6D7C">
              <w:rPr>
                <w:b/>
                <w:i/>
              </w:rPr>
              <w:t>научните</w:t>
            </w:r>
            <w:r w:rsidRPr="000C6D7C">
              <w:t xml:space="preserve"> изследвания</w:t>
            </w:r>
            <w:r w:rsidRPr="000C6D7C">
              <w:rPr>
                <w:b/>
                <w:i/>
              </w:rPr>
              <w:t xml:space="preserve"> в ядрената област</w:t>
            </w:r>
            <w:r w:rsidRPr="000C6D7C">
              <w:t xml:space="preserve">, с акцент върху ядрената безопасност, гаранции и сигурност, управлението на </w:t>
            </w:r>
            <w:r w:rsidRPr="000C6D7C">
              <w:rPr>
                <w:b/>
                <w:i/>
              </w:rPr>
              <w:t>отпадъците</w:t>
            </w:r>
            <w:r w:rsidRPr="000C6D7C">
              <w:t>, радиационната защита и разработките в термоядрената област; допълнително да се подобрява, съвместно с бенефициерите, организацията и управлението на европейските съвместни програми в ядрената област; да се продължат и засилят действията на Евратом в областта на образованието и обучението за развиване на съответни умения, които са в основата на всички аспекти на ядрената безопасност и сигурност и на радиационната защита; да се използват допълнително полезните взаимодействия между програмата на Евратом и други тематични области от Рамковата програма на Съюза; и да се използват допълнително полезните взаимодействия между преките и непреките действия по програмата на Евратом.</w:t>
            </w:r>
          </w:p>
        </w:tc>
        <w:tc>
          <w:tcPr>
            <w:tcW w:w="4876" w:type="dxa"/>
            <w:hideMark/>
          </w:tcPr>
          <w:p w:rsidR="000974D8" w:rsidRPr="000C6D7C" w:rsidRDefault="000974D8" w:rsidP="00D744CC">
            <w:pPr>
              <w:pStyle w:val="Normal6"/>
              <w:rPr>
                <w:szCs w:val="24"/>
              </w:rPr>
            </w:pPr>
            <w:r w:rsidRPr="000C6D7C">
              <w:t>(4)</w:t>
            </w:r>
            <w:r w:rsidRPr="000C6D7C">
              <w:tab/>
              <w:t xml:space="preserve">В доклада на Комисията относно междинната оценка на програмата на Евратом за научни изследвания и обучение за периода 2014 – 2018 г. (COM(2017) 697 final) се предвижда набор от ръководни принципи за Програмата. Те включват: да продължи подкрепата за </w:t>
            </w:r>
            <w:r w:rsidRPr="000C6D7C">
              <w:rPr>
                <w:b/>
                <w:i/>
              </w:rPr>
              <w:t>ядрените</w:t>
            </w:r>
            <w:r w:rsidRPr="000C6D7C">
              <w:t xml:space="preserve"> изследвания, с акцент върху ядрената безопасност, </w:t>
            </w:r>
            <w:r w:rsidRPr="000C6D7C">
              <w:rPr>
                <w:b/>
                <w:i/>
              </w:rPr>
              <w:t>резултати</w:t>
            </w:r>
            <w:r w:rsidR="00490CF7" w:rsidRPr="000C6D7C">
              <w:rPr>
                <w:b/>
                <w:i/>
              </w:rPr>
              <w:t>те</w:t>
            </w:r>
            <w:r w:rsidRPr="000C6D7C">
              <w:rPr>
                <w:b/>
                <w:i/>
              </w:rPr>
              <w:t xml:space="preserve">, </w:t>
            </w:r>
            <w:r w:rsidRPr="000C6D7C">
              <w:t>гаранции</w:t>
            </w:r>
            <w:r w:rsidR="00490CF7" w:rsidRPr="000C6D7C">
              <w:t>те</w:t>
            </w:r>
            <w:r w:rsidRPr="000C6D7C">
              <w:t xml:space="preserve"> и сигурност</w:t>
            </w:r>
            <w:r w:rsidR="00490CF7" w:rsidRPr="000C6D7C">
              <w:t>та</w:t>
            </w:r>
            <w:r w:rsidRPr="000C6D7C">
              <w:t xml:space="preserve">, управлението на </w:t>
            </w:r>
            <w:r w:rsidRPr="000C6D7C">
              <w:rPr>
                <w:b/>
                <w:i/>
              </w:rPr>
              <w:t xml:space="preserve">радиоактивните </w:t>
            </w:r>
            <w:r w:rsidRPr="000C6D7C">
              <w:t>отпадъци, радиационната защита и разработките в термоядрената област; допълнително да се подобрява, съвместно с бенефициерите, организацията и управлението на европейските съвместни програми в ядрената област; да се продължат и засилят действията на Евратом в областта на образованието и обучението за развиване на съответни умения, които са в основата на всички аспекти на ядрената безопасност и сигурност и на радиационната защита</w:t>
            </w:r>
            <w:r w:rsidRPr="000C6D7C">
              <w:rPr>
                <w:b/>
                <w:i/>
              </w:rPr>
              <w:t xml:space="preserve"> с цел гарантиране на високо ниво на уменията, по-специално при новото поколение инженери</w:t>
            </w:r>
            <w:r w:rsidRPr="000C6D7C">
              <w:t>; да се използват допълнително полезните взаимодействия между програмата на Евратом и други тематични области от Рамковата програма на Съюза; и да се използват допълнително полезните взаимодействия между преките и непреките действия по</w:t>
            </w:r>
            <w:r w:rsidRPr="000C6D7C">
              <w:rPr>
                <w:b/>
                <w:i/>
              </w:rPr>
              <w:t xml:space="preserve"> </w:t>
            </w:r>
            <w:r w:rsidRPr="000C6D7C">
              <w:t>програмата на Евратом</w:t>
            </w:r>
            <w:r w:rsidRPr="000C6D7C">
              <w:rPr>
                <w:b/>
                <w:i/>
              </w:rPr>
              <w:t>, което помага да се гарантира</w:t>
            </w:r>
            <w:r w:rsidR="00490CF7" w:rsidRPr="000C6D7C">
              <w:rPr>
                <w:b/>
                <w:i/>
              </w:rPr>
              <w:t>т</w:t>
            </w:r>
            <w:r w:rsidRPr="000C6D7C">
              <w:rPr>
                <w:b/>
                <w:i/>
              </w:rPr>
              <w:t xml:space="preserve"> съгласуваност</w:t>
            </w:r>
            <w:r w:rsidR="00490CF7" w:rsidRPr="000C6D7C">
              <w:rPr>
                <w:b/>
                <w:i/>
              </w:rPr>
              <w:t>та</w:t>
            </w:r>
            <w:r w:rsidRPr="000C6D7C">
              <w:rPr>
                <w:b/>
                <w:i/>
              </w:rPr>
              <w:t xml:space="preserve"> и ефективност</w:t>
            </w:r>
            <w:r w:rsidR="00490CF7" w:rsidRPr="000C6D7C">
              <w:rPr>
                <w:b/>
                <w:i/>
              </w:rPr>
              <w:t>та</w:t>
            </w:r>
            <w:r w:rsidRPr="000C6D7C">
              <w:rPr>
                <w:b/>
                <w:i/>
              </w:rPr>
              <w:t xml:space="preserve"> в рамките на</w:t>
            </w:r>
            <w:r w:rsidRPr="000C6D7C">
              <w:t xml:space="preserve"> </w:t>
            </w:r>
            <w:r w:rsidRPr="000C6D7C">
              <w:rPr>
                <w:b/>
                <w:i/>
              </w:rPr>
              <w:t>програмата на Евратом</w:t>
            </w:r>
            <w:r w:rsidRPr="000C6D7C">
              <w:t>.</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4</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Съображение 4 a (ново)</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p>
        </w:tc>
        <w:tc>
          <w:tcPr>
            <w:tcW w:w="4876" w:type="dxa"/>
          </w:tcPr>
          <w:p w:rsidR="000974D8" w:rsidRPr="000C6D7C" w:rsidRDefault="000974D8" w:rsidP="00D744CC">
            <w:pPr>
              <w:pStyle w:val="Normal6"/>
              <w:rPr>
                <w:szCs w:val="24"/>
              </w:rPr>
            </w:pPr>
            <w:r w:rsidRPr="000C6D7C">
              <w:rPr>
                <w:b/>
                <w:i/>
              </w:rPr>
              <w:t>(4a)</w:t>
            </w:r>
            <w:r w:rsidRPr="000C6D7C">
              <w:rPr>
                <w:b/>
                <w:i/>
              </w:rPr>
              <w:tab/>
              <w:t>Проектите на Евратом за управление на отпадъци допринасят за по-добро разбиране на въпросите за управлението на радиоактивни отпадъци в Съюза, като например безопасност на бъдещите съоръжения за геоложко погребване, кондициониране на радиоактивни отпадъци и дългосрочно поведение на обработеното гориво в депо за отпадъци.</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5</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Съображение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(5)</w:t>
            </w:r>
            <w:r w:rsidRPr="000C6D7C">
              <w:tab/>
              <w:t>Концепцията за програмата и нейното разработване са на фона на необходимостта за създаване на критична маса от подкрепяни дейности. Това се постига чрез установяване на ограничен брой специфични цели, съсредоточени върху безопасното използване на ядреното делене за производство на енергия и за цели, различни от производството на енергия, чрез поддържане и развиване на необходимите експертни знания, чрез насърчаване на енергията от термоядрен синтез и чрез подкрепа на политиката на Съюза в областта на ядрената безопасност, ядрените гаранции и сигурност</w:t>
            </w:r>
            <w:r w:rsidRPr="000C6D7C">
              <w:rPr>
                <w:b/>
                <w:i/>
              </w:rPr>
              <w:t>.</w:t>
            </w:r>
          </w:p>
        </w:tc>
        <w:tc>
          <w:tcPr>
            <w:tcW w:w="4876" w:type="dxa"/>
          </w:tcPr>
          <w:p w:rsidR="000974D8" w:rsidRPr="000C6D7C" w:rsidRDefault="000974D8" w:rsidP="00C00E33">
            <w:pPr>
              <w:pStyle w:val="Normal6"/>
              <w:rPr>
                <w:szCs w:val="24"/>
              </w:rPr>
            </w:pPr>
            <w:r w:rsidRPr="000C6D7C">
              <w:t>(5)</w:t>
            </w:r>
            <w:r w:rsidRPr="000C6D7C">
              <w:tab/>
              <w:t>Концепцията за програмата и нейното разработване са на фона на необходимостта за създаване на критична маса от подкрепяни дейности. Това се постига чрез установяване на ограничен брой специфични цели, съсредоточени върху безопасното използване на ядреното делене за производство на енергия и за цели, различни от производството на енергия, чрез поддържане и развиване на необходимите експертни знания, чрез насърчаване на енергията от термоядрен синтез и чрез подкрепа на политиката на Съюза в областта на ядрената безопасност, ядрените гаранции и сигурност</w:t>
            </w:r>
            <w:r w:rsidRPr="000C6D7C">
              <w:rPr>
                <w:b/>
                <w:i/>
              </w:rPr>
              <w:t>, включително развитието на познанията за безопасно</w:t>
            </w:r>
            <w:r w:rsidR="00F94FBB" w:rsidRPr="000C6D7C">
              <w:rPr>
                <w:b/>
                <w:i/>
              </w:rPr>
              <w:t>то</w:t>
            </w:r>
            <w:r w:rsidRPr="000C6D7C">
              <w:rPr>
                <w:b/>
                <w:i/>
              </w:rPr>
              <w:t xml:space="preserve">, ефективно и разходоефективно извеждане от експлоатация на инсталации, които достигат края на експлоатационния си срок – област, в която </w:t>
            </w:r>
            <w:r w:rsidR="00C00E33" w:rsidRPr="000C6D7C">
              <w:rPr>
                <w:b/>
                <w:i/>
              </w:rPr>
              <w:t xml:space="preserve">мерките </w:t>
            </w:r>
            <w:r w:rsidRPr="000C6D7C">
              <w:rPr>
                <w:b/>
                <w:i/>
              </w:rPr>
              <w:t>и инвестициите изостават</w:t>
            </w:r>
            <w:r w:rsidR="00FB45C1" w:rsidRPr="000C6D7C">
              <w:rPr>
                <w:b/>
                <w:i/>
              </w:rPr>
              <w:t>.</w:t>
            </w:r>
          </w:p>
        </w:tc>
      </w:tr>
    </w:tbl>
    <w:p w:rsidR="000974D8" w:rsidRPr="000C6D7C" w:rsidRDefault="000974D8" w:rsidP="000974D8"/>
    <w:p w:rsidR="000974D8" w:rsidRPr="000C6D7C" w:rsidRDefault="000974D8" w:rsidP="000974D8">
      <w:pPr>
        <w:pStyle w:val="AMNumberTabs"/>
        <w:keepNext/>
      </w:pPr>
      <w:r w:rsidRPr="000C6D7C">
        <w:lastRenderedPageBreak/>
        <w:t>Изменение</w:t>
      </w:r>
      <w:r w:rsidRPr="000C6D7C">
        <w:tab/>
      </w:r>
      <w:r w:rsidRPr="000C6D7C">
        <w:tab/>
        <w:t>6</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Съображение 5 a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p>
        </w:tc>
        <w:tc>
          <w:tcPr>
            <w:tcW w:w="4876" w:type="dxa"/>
            <w:hideMark/>
          </w:tcPr>
          <w:p w:rsidR="000974D8" w:rsidRPr="000C6D7C" w:rsidRDefault="000974D8" w:rsidP="00D744CC">
            <w:pPr>
              <w:pStyle w:val="Normal6"/>
              <w:rPr>
                <w:szCs w:val="24"/>
              </w:rPr>
            </w:pPr>
            <w:r w:rsidRPr="000C6D7C">
              <w:rPr>
                <w:b/>
                <w:i/>
              </w:rPr>
              <w:t>(5a)</w:t>
            </w:r>
            <w:r w:rsidRPr="000C6D7C">
              <w:tab/>
            </w:r>
            <w:r w:rsidRPr="000C6D7C">
              <w:rPr>
                <w:b/>
                <w:i/>
              </w:rPr>
              <w:t>Програмата е елемент от решаващо значение за усилията на Съюза да поддържа и засилва лидерска позиция от гледна точка на науката и промишлеността в областта на енергийните технологии. Научните изследвания в областта на ядреното делене следва да продължат да представляват неразделна част от програмата на Евратом, за да се подпомогне безопасната експлоатация на съществуващите ядрени мощности и да се улесни декарбонизацията на електроенергийната система.</w:t>
            </w:r>
          </w:p>
        </w:tc>
      </w:tr>
    </w:tbl>
    <w:p w:rsidR="000974D8" w:rsidRPr="000C6D7C" w:rsidRDefault="000974D8" w:rsidP="000974D8">
      <w:pPr>
        <w:rPr>
          <w:szCs w:val="24"/>
        </w:rPr>
      </w:pPr>
    </w:p>
    <w:p w:rsidR="000974D8" w:rsidRPr="000C6D7C" w:rsidRDefault="000974D8" w:rsidP="000974D8">
      <w:pPr>
        <w:pStyle w:val="AMNumberTabs"/>
        <w:keepNext/>
      </w:pPr>
      <w:r w:rsidRPr="000C6D7C">
        <w:t>Изменение</w:t>
      </w:r>
      <w:r w:rsidRPr="000C6D7C">
        <w:tab/>
      </w:r>
      <w:r w:rsidRPr="000C6D7C">
        <w:tab/>
        <w:t>7</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Съображение 5 б (ново)</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p>
        </w:tc>
        <w:tc>
          <w:tcPr>
            <w:tcW w:w="4876" w:type="dxa"/>
          </w:tcPr>
          <w:p w:rsidR="000974D8" w:rsidRPr="000C6D7C" w:rsidRDefault="000974D8" w:rsidP="00AE58F3">
            <w:pPr>
              <w:pStyle w:val="Normal6"/>
              <w:rPr>
                <w:szCs w:val="24"/>
              </w:rPr>
            </w:pPr>
            <w:r w:rsidRPr="000C6D7C">
              <w:rPr>
                <w:b/>
                <w:i/>
              </w:rPr>
              <w:t>(5б)</w:t>
            </w:r>
            <w:r w:rsidRPr="000C6D7C">
              <w:rPr>
                <w:b/>
                <w:i/>
              </w:rPr>
              <w:tab/>
              <w:t>Безопасното и сигурно използване на ядрената енергия и приложенията на йонизиращите лъчения, различни от производството на енергия, включително ядрена</w:t>
            </w:r>
            <w:r w:rsidR="00C00E33" w:rsidRPr="000C6D7C">
              <w:rPr>
                <w:b/>
                <w:i/>
              </w:rPr>
              <w:t>та</w:t>
            </w:r>
            <w:r w:rsidRPr="000C6D7C">
              <w:rPr>
                <w:b/>
                <w:i/>
              </w:rPr>
              <w:t xml:space="preserve"> безопасност и извеждане</w:t>
            </w:r>
            <w:r w:rsidR="00C00E33" w:rsidRPr="000C6D7C">
              <w:rPr>
                <w:b/>
                <w:i/>
              </w:rPr>
              <w:t>то</w:t>
            </w:r>
            <w:r w:rsidRPr="000C6D7C">
              <w:rPr>
                <w:b/>
                <w:i/>
              </w:rPr>
              <w:t xml:space="preserve"> от експлоатация на ядрени съоръжения, следва да се подпомагат чрез структурни трансгранични проверки и</w:t>
            </w:r>
            <w:r w:rsidR="00AE58F3" w:rsidRPr="000C6D7C">
              <w:rPr>
                <w:b/>
                <w:i/>
              </w:rPr>
              <w:t>обмен</w:t>
            </w:r>
            <w:r w:rsidRPr="000C6D7C">
              <w:rPr>
                <w:b/>
                <w:i/>
              </w:rPr>
              <w:t xml:space="preserve"> на знания и най-добри практики във връзка с безопасността на реакторните системи и горивните цикли, които се използват понастоящем, особено в случай на ядрени съоръжения, разположени в близост до една или повече граници между държави членки.</w:t>
            </w:r>
          </w:p>
        </w:tc>
      </w:tr>
    </w:tbl>
    <w:p w:rsidR="000974D8" w:rsidRPr="000C6D7C" w:rsidRDefault="000974D8" w:rsidP="000974D8"/>
    <w:p w:rsidR="000974D8" w:rsidRPr="000C6D7C" w:rsidRDefault="000974D8" w:rsidP="000974D8">
      <w:pPr>
        <w:pStyle w:val="AMNumberTabs"/>
        <w:keepNext/>
      </w:pPr>
      <w:r w:rsidRPr="000C6D7C">
        <w:lastRenderedPageBreak/>
        <w:t>Изменение</w:t>
      </w:r>
      <w:r w:rsidRPr="000C6D7C">
        <w:tab/>
      </w:r>
      <w:r w:rsidRPr="000C6D7C">
        <w:tab/>
        <w:t>8</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Съображение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(7)</w:t>
            </w:r>
            <w:r w:rsidRPr="000C6D7C">
              <w:tab/>
              <w:t>Като подкрепя ядрените изследвания, Програмата следва да допринесе за постигането на целите на Рамковата програма за научни изследвания и иновации „Хоризонт Европа“ („Хоризонт Европа“), създадена с Регламент (ЕС) № […] на Европейския парламент и на Съвета</w:t>
            </w:r>
            <w:r w:rsidRPr="000C6D7C">
              <w:rPr>
                <w:vertAlign w:val="superscript"/>
              </w:rPr>
              <w:t>20</w:t>
            </w:r>
            <w:r w:rsidRPr="000C6D7C">
              <w:t>, и следва да улесни изпълнението на стратегията „Европа 2030“, както и да укрепи европейското научноизследователско пространство.</w:t>
            </w:r>
          </w:p>
        </w:tc>
        <w:tc>
          <w:tcPr>
            <w:tcW w:w="4876" w:type="dxa"/>
            <w:hideMark/>
          </w:tcPr>
          <w:p w:rsidR="000974D8" w:rsidRPr="000C6D7C" w:rsidRDefault="000974D8" w:rsidP="00D744CC">
            <w:pPr>
              <w:pStyle w:val="Normal6"/>
              <w:rPr>
                <w:szCs w:val="24"/>
              </w:rPr>
            </w:pPr>
            <w:r w:rsidRPr="000C6D7C">
              <w:t>(7)</w:t>
            </w:r>
            <w:r w:rsidRPr="000C6D7C">
              <w:tab/>
              <w:t>Като подкрепя ядрените изследвания, Програмата следва да допринесе за постигането на целите на Рамковата програма за научни изследвания и иновации „Хоризонт Европа“ („Хоризонт Европа“), създадена с Регламент (ЕС) № […] на Европейския парламент и на Съвета</w:t>
            </w:r>
            <w:r w:rsidRPr="000C6D7C">
              <w:rPr>
                <w:vertAlign w:val="superscript"/>
              </w:rPr>
              <w:t>20</w:t>
            </w:r>
            <w:r w:rsidRPr="000C6D7C">
              <w:t>,</w:t>
            </w:r>
            <w:r w:rsidRPr="000C6D7C">
              <w:rPr>
                <w:b/>
                <w:i/>
              </w:rPr>
              <w:t xml:space="preserve"> по-специално като насърчава високи постижения и отворена наука,</w:t>
            </w:r>
            <w:r w:rsidRPr="000C6D7C">
              <w:t xml:space="preserve"> и следва да улесни изпълнението на стратегията „Европа 2030“, както и да укрепи европейското научноизследователско пространство.</w:t>
            </w:r>
          </w:p>
        </w:tc>
      </w:tr>
      <w:tr w:rsidR="000974D8" w:rsidRPr="000C6D7C" w:rsidTr="00D744CC">
        <w:trPr>
          <w:jc w:val="center"/>
        </w:trPr>
        <w:tc>
          <w:tcPr>
            <w:tcW w:w="4876" w:type="dxa"/>
            <w:hideMark/>
          </w:tcPr>
          <w:p w:rsidR="000974D8" w:rsidRPr="000C6D7C" w:rsidRDefault="000974D8" w:rsidP="00D744CC">
            <w:pPr>
              <w:pStyle w:val="Normal6"/>
            </w:pPr>
            <w:r w:rsidRPr="000C6D7C">
              <w:t>__________________</w:t>
            </w:r>
          </w:p>
        </w:tc>
        <w:tc>
          <w:tcPr>
            <w:tcW w:w="4876" w:type="dxa"/>
            <w:hideMark/>
          </w:tcPr>
          <w:p w:rsidR="000974D8" w:rsidRPr="000C6D7C" w:rsidRDefault="000974D8" w:rsidP="00D744CC">
            <w:pPr>
              <w:pStyle w:val="Normal6"/>
              <w:rPr>
                <w:szCs w:val="24"/>
              </w:rPr>
            </w:pPr>
            <w:r w:rsidRPr="000C6D7C">
              <w:t>__________________</w:t>
            </w:r>
          </w:p>
        </w:tc>
      </w:tr>
      <w:tr w:rsidR="000974D8" w:rsidRPr="000C6D7C" w:rsidTr="00D744CC">
        <w:trPr>
          <w:jc w:val="center"/>
        </w:trPr>
        <w:tc>
          <w:tcPr>
            <w:tcW w:w="4876" w:type="dxa"/>
            <w:hideMark/>
          </w:tcPr>
          <w:p w:rsidR="000974D8" w:rsidRPr="000C6D7C" w:rsidRDefault="000974D8" w:rsidP="00D744CC">
            <w:pPr>
              <w:pStyle w:val="Normal6"/>
            </w:pPr>
            <w:r w:rsidRPr="000C6D7C">
              <w:rPr>
                <w:vertAlign w:val="superscript"/>
              </w:rPr>
              <w:t>20</w:t>
            </w:r>
            <w:r w:rsidRPr="000C6D7C">
              <w:t xml:space="preserve"> Регламент (ЕС) № […] на Европейския парламент и на Съвета за създаване на РП 9 на ЕС — Рамкова програма за научни изследвания и иновации (2021—2027 г.) и за отмяна на Регламент (ЕС) № 1291/2013 (OВ L…).</w:t>
            </w:r>
          </w:p>
        </w:tc>
        <w:tc>
          <w:tcPr>
            <w:tcW w:w="4876" w:type="dxa"/>
            <w:hideMark/>
          </w:tcPr>
          <w:p w:rsidR="000974D8" w:rsidRPr="000C6D7C" w:rsidRDefault="000974D8" w:rsidP="00D744CC">
            <w:pPr>
              <w:pStyle w:val="Normal6"/>
              <w:rPr>
                <w:szCs w:val="24"/>
              </w:rPr>
            </w:pPr>
            <w:r w:rsidRPr="000C6D7C">
              <w:rPr>
                <w:vertAlign w:val="superscript"/>
              </w:rPr>
              <w:t>20</w:t>
            </w:r>
            <w:r w:rsidRPr="000C6D7C">
              <w:t xml:space="preserve"> Регламент (ЕС) № […] на Европейския парламент и на Съвета за създаване на РП 9 на ЕС – Рамкова програма за научни изследвания и иновации (2021 – 2027 г.) и за отмяна на Регламент (ЕС) № 1291/2013 (OВ L…).</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9</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Съображение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(8)</w:t>
            </w:r>
            <w:r w:rsidRPr="000C6D7C">
              <w:tab/>
              <w:t xml:space="preserve">При Програмата следва да се търсят полезни взаимодействия с „Хоризонт Европа“ и други програми на Съюза — от разработването и стратегическото им планиране през подбора на проекти, управлението, комуникацията, разпространението и използването на резултатите до мониторинга, одитирането и управлението. За да се избегнат припокривания и дублиране и да се повиши ефектът на ливъридж от </w:t>
            </w:r>
            <w:r w:rsidRPr="000C6D7C">
              <w:lastRenderedPageBreak/>
              <w:t>финансирането от ЕС, към дейности по „Хоризонт Европа“ може да се извършват прехвърляния от други програми на Съюза. В такива случаи те ще следват правилата на „Хоризонт Европа“.</w:t>
            </w:r>
          </w:p>
        </w:tc>
        <w:tc>
          <w:tcPr>
            <w:tcW w:w="4876" w:type="dxa"/>
            <w:hideMark/>
          </w:tcPr>
          <w:p w:rsidR="000974D8" w:rsidRPr="000C6D7C" w:rsidRDefault="000974D8" w:rsidP="00D744CC">
            <w:pPr>
              <w:pStyle w:val="Normal6"/>
              <w:rPr>
                <w:szCs w:val="24"/>
              </w:rPr>
            </w:pPr>
            <w:r w:rsidRPr="000C6D7C">
              <w:lastRenderedPageBreak/>
              <w:t>(8)</w:t>
            </w:r>
            <w:r w:rsidRPr="000C6D7C">
              <w:tab/>
              <w:t xml:space="preserve">При Програмата следва да се търсят полезни взаимодействия </w:t>
            </w:r>
            <w:r w:rsidRPr="000C6D7C">
              <w:rPr>
                <w:b/>
                <w:i/>
              </w:rPr>
              <w:t xml:space="preserve">и по-висока степен на съответствие </w:t>
            </w:r>
            <w:r w:rsidRPr="000C6D7C">
              <w:t>с „Хоризонт Европа“ и други програми на Съюза – от разработването и стратегическото им планиране през подбора на проекти, управлението, комуникацията, разпространението и използването на резултатите до мониторинга, одитирането и управлението</w:t>
            </w:r>
            <w:r w:rsidRPr="000C6D7C">
              <w:rPr>
                <w:b/>
                <w:i/>
              </w:rPr>
              <w:t xml:space="preserve">. От жизненоважно значение е да се запазят ключовите </w:t>
            </w:r>
            <w:r w:rsidRPr="000C6D7C">
              <w:rPr>
                <w:b/>
                <w:i/>
              </w:rPr>
              <w:lastRenderedPageBreak/>
              <w:t>принципи на високи постижения и отворена наука в рамките на всички програми</w:t>
            </w:r>
            <w:r w:rsidRPr="000C6D7C">
              <w:t>. За да се избегнат припокривания и дублиране и да се повиши ефектът на ливъридж от финансирането от ЕС, към дейности по „Хоризонт Европа“ може да се извършват прехвърляния от други програми на Съюза. В такива случаи те ще следват правилата на „Хоризонт Европа“.</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10</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Съображение 17 a (ново)</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p>
        </w:tc>
        <w:tc>
          <w:tcPr>
            <w:tcW w:w="4876" w:type="dxa"/>
          </w:tcPr>
          <w:p w:rsidR="000974D8" w:rsidRPr="000C6D7C" w:rsidRDefault="000974D8" w:rsidP="00D744CC">
            <w:pPr>
              <w:pStyle w:val="Normal6"/>
              <w:rPr>
                <w:szCs w:val="24"/>
              </w:rPr>
            </w:pPr>
            <w:r w:rsidRPr="000C6D7C">
              <w:rPr>
                <w:b/>
                <w:i/>
              </w:rPr>
              <w:t>(17a)</w:t>
            </w:r>
            <w:r w:rsidRPr="000C6D7C">
              <w:rPr>
                <w:b/>
                <w:i/>
              </w:rPr>
              <w:tab/>
              <w:t xml:space="preserve">Съвместният изследователски център осигурява подпомагане за стандартизацията, свободния достъп за учените от Съюза до отделните ядрени съоръжения и </w:t>
            </w:r>
            <w:r w:rsidR="001C7D57" w:rsidRPr="000C6D7C">
              <w:rPr>
                <w:b/>
                <w:i/>
              </w:rPr>
              <w:t xml:space="preserve">обучителните </w:t>
            </w:r>
            <w:r w:rsidRPr="000C6D7C">
              <w:rPr>
                <w:b/>
                <w:i/>
              </w:rPr>
              <w:t>дейности в областта на ядрените гаранции, ядрената криминалистика или извеждането от експлоатация.</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11</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Член 3 – параграф 1 – буква 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б)</w:t>
            </w:r>
            <w:r w:rsidRPr="000C6D7C">
              <w:tab/>
              <w:t xml:space="preserve">да даде </w:t>
            </w:r>
            <w:r w:rsidRPr="000C6D7C">
              <w:rPr>
                <w:b/>
                <w:i/>
              </w:rPr>
              <w:t xml:space="preserve">потенциален </w:t>
            </w:r>
            <w:r w:rsidRPr="000C6D7C">
              <w:t>принос за дългосрочната декарбонизация в енергийната система по един безопасен, ефикасен и сигурен начин.</w:t>
            </w:r>
          </w:p>
        </w:tc>
        <w:tc>
          <w:tcPr>
            <w:tcW w:w="4876" w:type="dxa"/>
          </w:tcPr>
          <w:p w:rsidR="000974D8" w:rsidRPr="000C6D7C" w:rsidRDefault="000974D8" w:rsidP="00D744CC">
            <w:pPr>
              <w:pStyle w:val="Normal6"/>
              <w:rPr>
                <w:szCs w:val="24"/>
              </w:rPr>
            </w:pPr>
            <w:r w:rsidRPr="000C6D7C">
              <w:t>б)</w:t>
            </w:r>
            <w:r w:rsidRPr="000C6D7C">
              <w:tab/>
              <w:t>да даде принос за дългосрочната декарбонизация в енергийната система по един безопасен, ефикасен и сигурен начин.</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12</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Член 3 – параграф 2 – буква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a)</w:t>
            </w:r>
            <w:r w:rsidRPr="000C6D7C">
              <w:tab/>
              <w:t xml:space="preserve">подобряване на безопасното </w:t>
            </w:r>
            <w:r w:rsidRPr="000C6D7C">
              <w:rPr>
                <w:b/>
                <w:i/>
              </w:rPr>
              <w:t>и</w:t>
            </w:r>
            <w:r w:rsidRPr="000C6D7C">
              <w:t xml:space="preserve"> сигурно използване на ядрената енергия и</w:t>
            </w:r>
            <w:r w:rsidRPr="000C6D7C">
              <w:rPr>
                <w:b/>
                <w:i/>
              </w:rPr>
              <w:t xml:space="preserve"> на</w:t>
            </w:r>
            <w:r w:rsidRPr="000C6D7C">
              <w:t xml:space="preserve"> приложенията на йонизиращите лъчения, различни от производството на енергия, включително ядрена безопасност, сигурност, гаранции, радиационна защита</w:t>
            </w:r>
            <w:r w:rsidRPr="000C6D7C">
              <w:rPr>
                <w:b/>
                <w:i/>
              </w:rPr>
              <w:t>,</w:t>
            </w:r>
            <w:r w:rsidRPr="000C6D7C">
              <w:t xml:space="preserve"> безопасно управление на отработеното гориво и</w:t>
            </w:r>
            <w:r w:rsidRPr="000C6D7C">
              <w:rPr>
                <w:b/>
                <w:i/>
              </w:rPr>
              <w:t xml:space="preserve"> на</w:t>
            </w:r>
            <w:r w:rsidRPr="000C6D7C">
              <w:t xml:space="preserve"> радиоактивните отпадъци и извеждане от експлоатация;</w:t>
            </w:r>
          </w:p>
        </w:tc>
        <w:tc>
          <w:tcPr>
            <w:tcW w:w="4876" w:type="dxa"/>
          </w:tcPr>
          <w:p w:rsidR="000974D8" w:rsidRPr="000C6D7C" w:rsidRDefault="000974D8" w:rsidP="00D744CC">
            <w:pPr>
              <w:pStyle w:val="Normal6"/>
              <w:rPr>
                <w:szCs w:val="24"/>
              </w:rPr>
            </w:pPr>
            <w:r w:rsidRPr="000C6D7C">
              <w:t>a)</w:t>
            </w:r>
            <w:r w:rsidRPr="000C6D7C">
              <w:tab/>
              <w:t>подобряване на безопасното</w:t>
            </w:r>
            <w:r w:rsidRPr="000C6D7C">
              <w:rPr>
                <w:b/>
                <w:i/>
              </w:rPr>
              <w:t xml:space="preserve">, </w:t>
            </w:r>
            <w:r w:rsidRPr="000C6D7C">
              <w:t xml:space="preserve">сигурно </w:t>
            </w:r>
            <w:r w:rsidRPr="000C6D7C">
              <w:rPr>
                <w:b/>
                <w:i/>
              </w:rPr>
              <w:t>и</w:t>
            </w:r>
            <w:r w:rsidRPr="000C6D7C">
              <w:t xml:space="preserve"> </w:t>
            </w:r>
            <w:r w:rsidRPr="000C6D7C">
              <w:rPr>
                <w:b/>
                <w:i/>
              </w:rPr>
              <w:t>ефикасно</w:t>
            </w:r>
            <w:r w:rsidRPr="000C6D7C">
              <w:t xml:space="preserve"> използване на ядрената енергия и приложенията на йонизиращите лъчения, различни от производството на енергия, включително ядрена безопасност, сигурност, гаранции, радиационна защита</w:t>
            </w:r>
            <w:r w:rsidRPr="000C6D7C">
              <w:rPr>
                <w:b/>
                <w:i/>
              </w:rPr>
              <w:t xml:space="preserve"> и</w:t>
            </w:r>
            <w:r w:rsidRPr="000C6D7C">
              <w:t xml:space="preserve"> безопасно управление на отработеното гориво и радиоактивните отпадъци и извеждане от експлоатация;</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13</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Член 3 – параграф 2 – буква г</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г)</w:t>
            </w:r>
            <w:r w:rsidRPr="000C6D7C">
              <w:tab/>
              <w:t>подкрепа на политиката на Общността в областта на ядрената безопасност, гаранции и сигурност.</w:t>
            </w:r>
          </w:p>
        </w:tc>
        <w:tc>
          <w:tcPr>
            <w:tcW w:w="4876" w:type="dxa"/>
          </w:tcPr>
          <w:p w:rsidR="000974D8" w:rsidRPr="000C6D7C" w:rsidRDefault="000974D8" w:rsidP="001C7D57">
            <w:pPr>
              <w:pStyle w:val="Normal6"/>
              <w:rPr>
                <w:szCs w:val="24"/>
              </w:rPr>
            </w:pPr>
            <w:r w:rsidRPr="000C6D7C">
              <w:t>г)</w:t>
            </w:r>
            <w:r w:rsidRPr="000C6D7C">
              <w:tab/>
              <w:t>подкрепа на политиката на Общността в областта на ядрената безопасност, гаранции и сигурност</w:t>
            </w:r>
            <w:r w:rsidRPr="000C6D7C">
              <w:rPr>
                <w:b/>
                <w:i/>
              </w:rPr>
              <w:t xml:space="preserve">, включително развитието на </w:t>
            </w:r>
            <w:r w:rsidR="001C7D57" w:rsidRPr="000C6D7C">
              <w:rPr>
                <w:b/>
                <w:i/>
              </w:rPr>
              <w:t>познанията</w:t>
            </w:r>
            <w:r w:rsidRPr="000C6D7C">
              <w:rPr>
                <w:b/>
                <w:i/>
              </w:rPr>
              <w:t xml:space="preserve"> </w:t>
            </w:r>
            <w:r w:rsidR="001C7D57" w:rsidRPr="000C6D7C">
              <w:rPr>
                <w:b/>
                <w:i/>
              </w:rPr>
              <w:t xml:space="preserve">за </w:t>
            </w:r>
            <w:r w:rsidRPr="000C6D7C">
              <w:rPr>
                <w:b/>
                <w:i/>
              </w:rPr>
              <w:t xml:space="preserve">безопасното, ефективно и разходоефективно извеждане от експлоатация на инсталации, които достигат </w:t>
            </w:r>
            <w:r w:rsidR="001C7D57" w:rsidRPr="000C6D7C">
              <w:rPr>
                <w:b/>
                <w:i/>
              </w:rPr>
              <w:t>края на експлоатационния си срок</w:t>
            </w:r>
            <w:r w:rsidRPr="000C6D7C">
              <w:t xml:space="preserve">. </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14</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4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1.</w:t>
            </w:r>
            <w:r w:rsidRPr="000C6D7C">
              <w:tab/>
              <w:t>Финансовият пакет за изпълнение на Програмата е 1 675 000 000 </w:t>
            </w:r>
            <w:r w:rsidRPr="000C6D7C">
              <w:rPr>
                <w:b/>
                <w:i/>
              </w:rPr>
              <w:t>евро</w:t>
            </w:r>
            <w:r w:rsidRPr="000C6D7C">
              <w:t xml:space="preserve"> по текущи цени.</w:t>
            </w:r>
          </w:p>
        </w:tc>
        <w:tc>
          <w:tcPr>
            <w:tcW w:w="4876" w:type="dxa"/>
            <w:hideMark/>
          </w:tcPr>
          <w:p w:rsidR="000974D8" w:rsidRPr="000C6D7C" w:rsidRDefault="000974D8" w:rsidP="00D744CC">
            <w:pPr>
              <w:pStyle w:val="Normal6"/>
              <w:rPr>
                <w:szCs w:val="24"/>
              </w:rPr>
            </w:pPr>
            <w:r w:rsidRPr="000C6D7C">
              <w:t>1.</w:t>
            </w:r>
            <w:r w:rsidRPr="000C6D7C">
              <w:tab/>
              <w:t>Финансовият пакет за изпълнение на Програмата е 1 </w:t>
            </w:r>
            <w:r w:rsidRPr="000C6D7C">
              <w:rPr>
                <w:b/>
                <w:i/>
              </w:rPr>
              <w:t>516 000 000 EUR по цени за 2018 г. (</w:t>
            </w:r>
            <w:r w:rsidRPr="000C6D7C">
              <w:t>1 675 000 000 EUR по текущи цени</w:t>
            </w:r>
            <w:r w:rsidRPr="000C6D7C">
              <w:rPr>
                <w:b/>
                <w:i/>
              </w:rPr>
              <w:t>)</w:t>
            </w:r>
            <w:r w:rsidRPr="000C6D7C">
              <w:t>.</w:t>
            </w:r>
          </w:p>
        </w:tc>
      </w:tr>
    </w:tbl>
    <w:p w:rsidR="000974D8" w:rsidRPr="000C6D7C" w:rsidRDefault="000974D8" w:rsidP="000974D8"/>
    <w:p w:rsidR="000974D8" w:rsidRPr="000C6D7C" w:rsidRDefault="000974D8" w:rsidP="000974D8">
      <w:pPr>
        <w:rPr>
          <w:szCs w:val="24"/>
        </w:rPr>
      </w:pPr>
    </w:p>
    <w:p w:rsidR="000974D8" w:rsidRPr="000C6D7C" w:rsidRDefault="000974D8" w:rsidP="000974D8">
      <w:pPr>
        <w:pStyle w:val="AMNumberTabs"/>
        <w:keepNext/>
      </w:pPr>
      <w:r w:rsidRPr="000C6D7C">
        <w:t>Изменение</w:t>
      </w:r>
      <w:r w:rsidRPr="000C6D7C">
        <w:tab/>
      </w:r>
      <w:r w:rsidRPr="000C6D7C">
        <w:tab/>
        <w:t>15</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4 – параграф 2 – алинея 1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rPr>
                <w:b/>
                <w:i/>
              </w:rPr>
              <w:t>Индикативното разпределение</w:t>
            </w:r>
            <w:r w:rsidRPr="000C6D7C">
              <w:t xml:space="preserve"> на сумата, посочена в параграф 1, е:</w:t>
            </w:r>
          </w:p>
        </w:tc>
        <w:tc>
          <w:tcPr>
            <w:tcW w:w="4876" w:type="dxa"/>
            <w:hideMark/>
          </w:tcPr>
          <w:p w:rsidR="000974D8" w:rsidRPr="000C6D7C" w:rsidRDefault="000974D8" w:rsidP="00D744CC">
            <w:pPr>
              <w:pStyle w:val="Normal6"/>
              <w:rPr>
                <w:szCs w:val="24"/>
              </w:rPr>
            </w:pPr>
            <w:r w:rsidRPr="000C6D7C">
              <w:rPr>
                <w:b/>
                <w:i/>
              </w:rPr>
              <w:t>Разпределението</w:t>
            </w:r>
            <w:r w:rsidRPr="000C6D7C">
              <w:t xml:space="preserve"> на сумата, посочена в параграф 1, е:</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16</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4 – параграф 2 – алинея 1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a)</w:t>
            </w:r>
            <w:r w:rsidRPr="000C6D7C">
              <w:tab/>
            </w:r>
            <w:r w:rsidRPr="000C6D7C">
              <w:rPr>
                <w:b/>
                <w:i/>
              </w:rPr>
              <w:t>724 563 000 евро</w:t>
            </w:r>
            <w:r w:rsidRPr="000C6D7C">
              <w:t xml:space="preserve"> за научни изследвания и разработки в областта на термоядрения синтез;</w:t>
            </w:r>
          </w:p>
        </w:tc>
        <w:tc>
          <w:tcPr>
            <w:tcW w:w="4876" w:type="dxa"/>
            <w:hideMark/>
          </w:tcPr>
          <w:p w:rsidR="000974D8" w:rsidRPr="000C6D7C" w:rsidRDefault="000974D8" w:rsidP="00D744CC">
            <w:pPr>
              <w:pStyle w:val="Normal6"/>
              <w:rPr>
                <w:szCs w:val="24"/>
              </w:rPr>
            </w:pPr>
            <w:r w:rsidRPr="000C6D7C">
              <w:t>a)</w:t>
            </w:r>
            <w:r w:rsidRPr="000C6D7C">
              <w:tab/>
            </w:r>
            <w:r w:rsidRPr="000C6D7C">
              <w:rPr>
                <w:b/>
                <w:i/>
              </w:rPr>
              <w:t>43</w:t>
            </w:r>
            <w:r w:rsidR="004354B9" w:rsidRPr="000C6D7C">
              <w:rPr>
                <w:b/>
                <w:i/>
              </w:rPr>
              <w:t> </w:t>
            </w:r>
            <w:r w:rsidRPr="000C6D7C">
              <w:rPr>
                <w:b/>
                <w:i/>
              </w:rPr>
              <w:t>%</w:t>
            </w:r>
            <w:r w:rsidRPr="000C6D7C">
              <w:t xml:space="preserve"> за научни изследвания и разработки в областта на термоядрения синтез;</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17</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4 – параграф 2 – алинея 1 – буква 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б)</w:t>
            </w:r>
            <w:r w:rsidRPr="000C6D7C">
              <w:tab/>
            </w:r>
            <w:r w:rsidRPr="000C6D7C">
              <w:rPr>
                <w:b/>
                <w:i/>
              </w:rPr>
              <w:t>330 930 000 евро</w:t>
            </w:r>
            <w:r w:rsidRPr="000C6D7C">
              <w:t xml:space="preserve"> в областта на ядреното делене, безопасността и радиационната защита;</w:t>
            </w:r>
          </w:p>
        </w:tc>
        <w:tc>
          <w:tcPr>
            <w:tcW w:w="4876" w:type="dxa"/>
            <w:hideMark/>
          </w:tcPr>
          <w:p w:rsidR="000974D8" w:rsidRPr="000C6D7C" w:rsidRDefault="000974D8" w:rsidP="00D744CC">
            <w:pPr>
              <w:pStyle w:val="Normal6"/>
              <w:rPr>
                <w:szCs w:val="24"/>
              </w:rPr>
            </w:pPr>
            <w:r w:rsidRPr="000C6D7C">
              <w:t>б)</w:t>
            </w:r>
            <w:r w:rsidRPr="000C6D7C">
              <w:tab/>
            </w:r>
            <w:r w:rsidRPr="000C6D7C">
              <w:rPr>
                <w:b/>
                <w:i/>
              </w:rPr>
              <w:t>25</w:t>
            </w:r>
            <w:r w:rsidR="004354B9" w:rsidRPr="000C6D7C">
              <w:rPr>
                <w:b/>
                <w:i/>
              </w:rPr>
              <w:t> </w:t>
            </w:r>
            <w:r w:rsidRPr="000C6D7C">
              <w:rPr>
                <w:b/>
                <w:i/>
              </w:rPr>
              <w:t>%</w:t>
            </w:r>
            <w:r w:rsidRPr="000C6D7C">
              <w:t xml:space="preserve"> в областта на ядреното делене, безопасността и радиационната защита;</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18</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4 – параграф 2 – алинея 1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в)</w:t>
            </w:r>
            <w:r w:rsidRPr="000C6D7C">
              <w:tab/>
            </w:r>
            <w:r w:rsidRPr="000C6D7C">
              <w:rPr>
                <w:b/>
                <w:i/>
              </w:rPr>
              <w:t>619 507 000 евро</w:t>
            </w:r>
            <w:r w:rsidRPr="000C6D7C">
              <w:t xml:space="preserve"> за преки действия, предприети от Съвместния изследователски център.</w:t>
            </w:r>
          </w:p>
        </w:tc>
        <w:tc>
          <w:tcPr>
            <w:tcW w:w="4876" w:type="dxa"/>
            <w:hideMark/>
          </w:tcPr>
          <w:p w:rsidR="000974D8" w:rsidRPr="000C6D7C" w:rsidRDefault="000974D8" w:rsidP="00D744CC">
            <w:pPr>
              <w:pStyle w:val="Normal6"/>
              <w:rPr>
                <w:szCs w:val="24"/>
              </w:rPr>
            </w:pPr>
            <w:r w:rsidRPr="000C6D7C">
              <w:t>в)</w:t>
            </w:r>
            <w:r w:rsidRPr="000C6D7C">
              <w:tab/>
            </w:r>
            <w:r w:rsidRPr="000C6D7C">
              <w:rPr>
                <w:b/>
                <w:i/>
              </w:rPr>
              <w:t>32</w:t>
            </w:r>
            <w:r w:rsidR="004354B9" w:rsidRPr="000C6D7C">
              <w:rPr>
                <w:b/>
                <w:i/>
              </w:rPr>
              <w:t> </w:t>
            </w:r>
            <w:r w:rsidRPr="000C6D7C">
              <w:rPr>
                <w:b/>
                <w:i/>
              </w:rPr>
              <w:t>%</w:t>
            </w:r>
            <w:r w:rsidRPr="000C6D7C">
              <w:t xml:space="preserve"> за преки действия, предприети от Съвместния изследователски център.</w:t>
            </w:r>
          </w:p>
        </w:tc>
      </w:tr>
    </w:tbl>
    <w:p w:rsidR="000974D8" w:rsidRPr="000C6D7C" w:rsidRDefault="000974D8" w:rsidP="000974D8"/>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19</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4 – параграф 2 – алинея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 xml:space="preserve">В рамките на годишната бюджетна процедура Комисията </w:t>
            </w:r>
            <w:r w:rsidRPr="000C6D7C">
              <w:rPr>
                <w:b/>
                <w:i/>
              </w:rPr>
              <w:t xml:space="preserve">не </w:t>
            </w:r>
            <w:r w:rsidRPr="000C6D7C">
              <w:t xml:space="preserve">може да се отклонява от </w:t>
            </w:r>
            <w:r w:rsidRPr="000C6D7C">
              <w:rPr>
                <w:b/>
                <w:i/>
              </w:rPr>
              <w:t>сумата</w:t>
            </w:r>
            <w:r w:rsidRPr="000C6D7C">
              <w:t xml:space="preserve">, </w:t>
            </w:r>
            <w:r w:rsidRPr="000C6D7C">
              <w:rPr>
                <w:b/>
                <w:i/>
              </w:rPr>
              <w:t>посочена</w:t>
            </w:r>
            <w:r w:rsidRPr="000C6D7C">
              <w:t xml:space="preserve"> в параграф</w:t>
            </w:r>
            <w:r w:rsidRPr="000C6D7C">
              <w:rPr>
                <w:b/>
                <w:i/>
              </w:rPr>
              <w:t xml:space="preserve"> </w:t>
            </w:r>
            <w:r w:rsidRPr="000C6D7C">
              <w:t xml:space="preserve">2, </w:t>
            </w:r>
            <w:r w:rsidRPr="000C6D7C">
              <w:rPr>
                <w:b/>
                <w:i/>
              </w:rPr>
              <w:t>буква в)</w:t>
            </w:r>
            <w:r w:rsidRPr="000C6D7C">
              <w:t xml:space="preserve"> от настоящия член.</w:t>
            </w:r>
          </w:p>
        </w:tc>
        <w:tc>
          <w:tcPr>
            <w:tcW w:w="4876" w:type="dxa"/>
            <w:hideMark/>
          </w:tcPr>
          <w:p w:rsidR="000974D8" w:rsidRPr="000C6D7C" w:rsidRDefault="000974D8" w:rsidP="004354B9">
            <w:pPr>
              <w:pStyle w:val="Normal6"/>
              <w:rPr>
                <w:szCs w:val="24"/>
              </w:rPr>
            </w:pPr>
            <w:r w:rsidRPr="000C6D7C">
              <w:t xml:space="preserve">В рамките на годишната бюджетна процедура Комисията може да се отклонява </w:t>
            </w:r>
            <w:r w:rsidR="004354B9" w:rsidRPr="000C6D7C">
              <w:rPr>
                <w:b/>
                <w:i/>
              </w:rPr>
              <w:t xml:space="preserve">с максимум 10 % </w:t>
            </w:r>
            <w:r w:rsidRPr="000C6D7C">
              <w:t xml:space="preserve">от </w:t>
            </w:r>
            <w:r w:rsidRPr="000C6D7C">
              <w:rPr>
                <w:b/>
                <w:i/>
              </w:rPr>
              <w:t>сумите</w:t>
            </w:r>
            <w:r w:rsidRPr="000C6D7C">
              <w:t xml:space="preserve">, </w:t>
            </w:r>
            <w:r w:rsidRPr="000C6D7C">
              <w:rPr>
                <w:b/>
                <w:i/>
              </w:rPr>
              <w:t>посочени</w:t>
            </w:r>
            <w:r w:rsidRPr="000C6D7C">
              <w:t xml:space="preserve"> в параграф</w:t>
            </w:r>
            <w:r w:rsidRPr="000C6D7C">
              <w:rPr>
                <w:b/>
                <w:i/>
              </w:rPr>
              <w:t> </w:t>
            </w:r>
            <w:r w:rsidRPr="000C6D7C">
              <w:t xml:space="preserve">2, </w:t>
            </w:r>
            <w:r w:rsidRPr="000C6D7C">
              <w:rPr>
                <w:b/>
                <w:i/>
              </w:rPr>
              <w:t>първа алинея</w:t>
            </w:r>
            <w:r w:rsidRPr="000C6D7C">
              <w:t xml:space="preserve"> от настоящия член.</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20</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Член 5 – параграф 1 – алинея 1 – буква в – тире 3 а (ново)</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p>
        </w:tc>
        <w:tc>
          <w:tcPr>
            <w:tcW w:w="4876" w:type="dxa"/>
          </w:tcPr>
          <w:p w:rsidR="000974D8" w:rsidRPr="000C6D7C" w:rsidRDefault="000974D8" w:rsidP="00D744CC">
            <w:pPr>
              <w:pStyle w:val="Normal6"/>
              <w:rPr>
                <w:szCs w:val="24"/>
              </w:rPr>
            </w:pPr>
            <w:r w:rsidRPr="000C6D7C">
              <w:rPr>
                <w:b/>
                <w:i/>
              </w:rPr>
              <w:t>–</w:t>
            </w:r>
            <w:r w:rsidRPr="000C6D7C">
              <w:rPr>
                <w:b/>
                <w:i/>
              </w:rPr>
              <w:tab/>
              <w:t>да зачитат принципите на правовата държава;</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21</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Член 13 – параграф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(1)</w:t>
            </w:r>
            <w:r w:rsidRPr="000C6D7C">
              <w:tab/>
              <w:t xml:space="preserve">Получателите на финансиране от Програмата посочват неговия произход и </w:t>
            </w:r>
            <w:r w:rsidRPr="000C6D7C">
              <w:rPr>
                <w:b/>
                <w:i/>
              </w:rPr>
              <w:t>гарантират видимостта</w:t>
            </w:r>
            <w:r w:rsidRPr="000C6D7C">
              <w:t xml:space="preserve"> на финансирането </w:t>
            </w:r>
            <w:r w:rsidRPr="000C6D7C">
              <w:rPr>
                <w:b/>
                <w:i/>
              </w:rPr>
              <w:t>от Общността</w:t>
            </w:r>
            <w:r w:rsidRPr="000C6D7C">
              <w:t xml:space="preserve"> (по-специално когато популяризират действията и резултатите от тях), като предоставят съгласувана, ефективна и пропорционална целева информация на различни видове публика, включително медиите и обществеността.</w:t>
            </w:r>
          </w:p>
        </w:tc>
        <w:tc>
          <w:tcPr>
            <w:tcW w:w="4876" w:type="dxa"/>
          </w:tcPr>
          <w:p w:rsidR="000974D8" w:rsidRPr="000C6D7C" w:rsidRDefault="000974D8" w:rsidP="00D744CC">
            <w:pPr>
              <w:pStyle w:val="Normal6"/>
              <w:rPr>
                <w:szCs w:val="24"/>
              </w:rPr>
            </w:pPr>
            <w:r w:rsidRPr="000C6D7C">
              <w:t>(1)</w:t>
            </w:r>
            <w:r w:rsidRPr="000C6D7C">
              <w:tab/>
              <w:t xml:space="preserve">Получателите на финансиране от Програмата посочват неговия произход и </w:t>
            </w:r>
            <w:r w:rsidRPr="000C6D7C">
              <w:rPr>
                <w:b/>
                <w:i/>
              </w:rPr>
              <w:t>посочват произхода</w:t>
            </w:r>
            <w:r w:rsidRPr="000C6D7C">
              <w:t xml:space="preserve"> на финансирането </w:t>
            </w:r>
            <w:r w:rsidRPr="000C6D7C">
              <w:rPr>
                <w:b/>
                <w:i/>
              </w:rPr>
              <w:t>на Съюза, за да гарантират неговата видимост</w:t>
            </w:r>
            <w:r w:rsidRPr="000C6D7C">
              <w:t xml:space="preserve"> (по-специално когато популяризират действията и резултатите от тях), като предоставят съгласувана, ефективна и пропорционална целева информация на различни видове публика, включително медиите и обществеността.</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22</w:t>
      </w:r>
    </w:p>
    <w:p w:rsidR="000974D8" w:rsidRPr="000C6D7C" w:rsidRDefault="000974D8" w:rsidP="000974D8">
      <w:pPr>
        <w:pStyle w:val="NormalBold12b"/>
      </w:pPr>
      <w:r w:rsidRPr="000C6D7C">
        <w:t>Предложение за регламент</w:t>
      </w:r>
    </w:p>
    <w:p w:rsidR="000974D8" w:rsidRPr="000C6D7C" w:rsidRDefault="000974D8" w:rsidP="000974D8">
      <w:pPr>
        <w:pStyle w:val="NormalBold"/>
      </w:pPr>
      <w:r w:rsidRPr="000C6D7C">
        <w:t>Член 13 – параграф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tcPr>
          <w:p w:rsidR="000974D8" w:rsidRPr="000C6D7C" w:rsidRDefault="000974D8" w:rsidP="00D744CC">
            <w:pPr>
              <w:pStyle w:val="ColumnHeading"/>
              <w:keepNext/>
            </w:pPr>
            <w:r w:rsidRPr="000C6D7C">
              <w:t>Текст, предложен от Комисията</w:t>
            </w:r>
          </w:p>
        </w:tc>
        <w:tc>
          <w:tcPr>
            <w:tcW w:w="4876" w:type="dxa"/>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tcPr>
          <w:p w:rsidR="000974D8" w:rsidRPr="000C6D7C" w:rsidRDefault="000974D8" w:rsidP="00D744CC">
            <w:pPr>
              <w:pStyle w:val="Normal6"/>
            </w:pPr>
            <w:r w:rsidRPr="000C6D7C">
              <w:t>(2)</w:t>
            </w:r>
            <w:r w:rsidRPr="000C6D7C">
              <w:tab/>
              <w:t>Комисията осъществява информационни и комуникационни дейности по отношение на Програмата и нейните действия и резултати. Финансовите ресурси, разпределени на Програмата, допринасят също така за институционалната комуникация на политическите приоритети на Общността, доколкото те са свързани с целите, посочени в член 3.</w:t>
            </w:r>
          </w:p>
        </w:tc>
        <w:tc>
          <w:tcPr>
            <w:tcW w:w="4876" w:type="dxa"/>
          </w:tcPr>
          <w:p w:rsidR="000974D8" w:rsidRPr="000C6D7C" w:rsidRDefault="000974D8" w:rsidP="00D744CC">
            <w:pPr>
              <w:pStyle w:val="Normal6"/>
              <w:rPr>
                <w:szCs w:val="24"/>
              </w:rPr>
            </w:pPr>
            <w:r w:rsidRPr="000C6D7C">
              <w:t>(2)</w:t>
            </w:r>
            <w:r w:rsidRPr="000C6D7C">
              <w:tab/>
              <w:t>Комисията осъществява информационни и комуникационни дейности по отношение на Програмата и нейните действия и резултати</w:t>
            </w:r>
            <w:r w:rsidRPr="000C6D7C">
              <w:rPr>
                <w:b/>
                <w:i/>
              </w:rPr>
              <w:t>, предназначени както за специалисти</w:t>
            </w:r>
            <w:r w:rsidR="004354B9" w:rsidRPr="000C6D7C">
              <w:rPr>
                <w:b/>
                <w:i/>
              </w:rPr>
              <w:t>те</w:t>
            </w:r>
            <w:r w:rsidRPr="000C6D7C">
              <w:rPr>
                <w:b/>
                <w:i/>
              </w:rPr>
              <w:t>, така и за широката общественост</w:t>
            </w:r>
            <w:r w:rsidRPr="000C6D7C">
              <w:t>. Финансовите ресурси, разпределени на Програмата, допринасят също така за институционалната комуникация на политическите приоритети на Общността, доколкото те са свързани с целите, посочени в член 3.</w:t>
            </w:r>
          </w:p>
        </w:tc>
      </w:tr>
    </w:tbl>
    <w:p w:rsidR="000974D8" w:rsidRPr="000C6D7C" w:rsidRDefault="000974D8" w:rsidP="000974D8"/>
    <w:p w:rsidR="000974D8" w:rsidRPr="000C6D7C" w:rsidRDefault="000974D8" w:rsidP="000974D8">
      <w:pPr>
        <w:rPr>
          <w:szCs w:val="24"/>
        </w:rPr>
      </w:pPr>
    </w:p>
    <w:p w:rsidR="000974D8" w:rsidRPr="000C6D7C" w:rsidRDefault="000974D8" w:rsidP="000974D8">
      <w:pPr>
        <w:pStyle w:val="AMNumberTabs"/>
        <w:keepNext/>
      </w:pPr>
      <w:r w:rsidRPr="000C6D7C">
        <w:t>Изменение</w:t>
      </w:r>
      <w:r w:rsidRPr="000C6D7C">
        <w:tab/>
      </w:r>
      <w:r w:rsidRPr="000C6D7C">
        <w:tab/>
        <w:t>23</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14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1.</w:t>
            </w:r>
            <w:r w:rsidRPr="000C6D7C">
              <w:tab/>
              <w:t xml:space="preserve">Оценките се извършват </w:t>
            </w:r>
            <w:r w:rsidRPr="000C6D7C">
              <w:rPr>
                <w:b/>
                <w:i/>
              </w:rPr>
              <w:t xml:space="preserve">своевременно, </w:t>
            </w:r>
            <w:r w:rsidRPr="000C6D7C">
              <w:t>така че да може да се използват в процеса на вземане на решения относно програмата, нейния приемник, както и други инициативи, относими към научните изследвания и иновациите.</w:t>
            </w:r>
          </w:p>
        </w:tc>
        <w:tc>
          <w:tcPr>
            <w:tcW w:w="4876" w:type="dxa"/>
            <w:hideMark/>
          </w:tcPr>
          <w:p w:rsidR="000974D8" w:rsidRPr="000C6D7C" w:rsidRDefault="000974D8" w:rsidP="00D744CC">
            <w:pPr>
              <w:pStyle w:val="Normal6"/>
              <w:rPr>
                <w:szCs w:val="24"/>
              </w:rPr>
            </w:pPr>
            <w:r w:rsidRPr="000C6D7C">
              <w:t>1.</w:t>
            </w:r>
            <w:r w:rsidRPr="000C6D7C">
              <w:tab/>
              <w:t xml:space="preserve">Оценките се извършват </w:t>
            </w:r>
            <w:r w:rsidRPr="000C6D7C">
              <w:rPr>
                <w:b/>
                <w:i/>
              </w:rPr>
              <w:t xml:space="preserve">на всеки две години, </w:t>
            </w:r>
            <w:r w:rsidRPr="000C6D7C">
              <w:t>така че да може да се използват в процеса на вземане на решения относно програмата, нейния приемник, както и други инициативи, относими към научните изследвания и иновациите.</w:t>
            </w:r>
          </w:p>
        </w:tc>
      </w:tr>
    </w:tbl>
    <w:p w:rsidR="000974D8" w:rsidRPr="000C6D7C" w:rsidRDefault="000974D8" w:rsidP="000974D8"/>
    <w:p w:rsidR="000974D8" w:rsidRPr="000C6D7C" w:rsidRDefault="000974D8" w:rsidP="000974D8">
      <w:pPr>
        <w:rPr>
          <w:szCs w:val="24"/>
        </w:rPr>
      </w:pPr>
    </w:p>
    <w:p w:rsidR="000974D8" w:rsidRPr="000C6D7C" w:rsidRDefault="000974D8" w:rsidP="000974D8">
      <w:pPr>
        <w:pStyle w:val="AMNumberTabs"/>
        <w:keepNext/>
      </w:pPr>
      <w:r w:rsidRPr="000C6D7C">
        <w:t>Изменение</w:t>
      </w:r>
      <w:r w:rsidRPr="000C6D7C">
        <w:tab/>
      </w:r>
      <w:r w:rsidRPr="000C6D7C">
        <w:tab/>
        <w:t>24</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14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2.</w:t>
            </w:r>
            <w:r w:rsidRPr="000C6D7C">
              <w:tab/>
            </w:r>
            <w:r w:rsidRPr="000C6D7C">
              <w:rPr>
                <w:b/>
                <w:i/>
              </w:rPr>
              <w:t>Междинната</w:t>
            </w:r>
            <w:r w:rsidRPr="000C6D7C">
              <w:t xml:space="preserve"> оценка на Програмата се извършва, след като за изпълнението на Програмата се натрупа достатъчно информация, но не по-късно от </w:t>
            </w:r>
            <w:r w:rsidRPr="000C6D7C">
              <w:rPr>
                <w:b/>
                <w:i/>
              </w:rPr>
              <w:t>три</w:t>
            </w:r>
            <w:r w:rsidRPr="000C6D7C">
              <w:t xml:space="preserve"> години след започване на </w:t>
            </w:r>
            <w:r w:rsidRPr="000C6D7C">
              <w:rPr>
                <w:b/>
                <w:i/>
              </w:rPr>
              <w:t>осъществяването</w:t>
            </w:r>
            <w:r w:rsidRPr="000C6D7C">
              <w:t xml:space="preserve"> на програмата. Тя включва оценка на дългосрочното въздействие на предходни програми на Евратом и служи като основа за адаптиране на осъществяването на програмата, когато е целесъобразно.</w:t>
            </w:r>
          </w:p>
        </w:tc>
        <w:tc>
          <w:tcPr>
            <w:tcW w:w="4876" w:type="dxa"/>
            <w:hideMark/>
          </w:tcPr>
          <w:p w:rsidR="000974D8" w:rsidRPr="000C6D7C" w:rsidRDefault="000974D8" w:rsidP="00AE58F3">
            <w:pPr>
              <w:pStyle w:val="Normal6"/>
              <w:rPr>
                <w:szCs w:val="24"/>
              </w:rPr>
            </w:pPr>
            <w:r w:rsidRPr="000C6D7C">
              <w:t>2.</w:t>
            </w:r>
            <w:r w:rsidRPr="000C6D7C">
              <w:tab/>
            </w:r>
            <w:r w:rsidRPr="000C6D7C">
              <w:rPr>
                <w:b/>
                <w:i/>
              </w:rPr>
              <w:t>Първата</w:t>
            </w:r>
            <w:r w:rsidRPr="000C6D7C">
              <w:t xml:space="preserve"> оценка на програмата се извършва, след като за изпълнението на програмата се натрупа достатъчно информация, но не по-късно от </w:t>
            </w:r>
            <w:r w:rsidRPr="000C6D7C">
              <w:rPr>
                <w:b/>
                <w:i/>
              </w:rPr>
              <w:t>две</w:t>
            </w:r>
            <w:r w:rsidRPr="000C6D7C">
              <w:t xml:space="preserve"> години след започване на </w:t>
            </w:r>
            <w:r w:rsidRPr="000C6D7C">
              <w:rPr>
                <w:b/>
                <w:i/>
              </w:rPr>
              <w:t>изпълнението</w:t>
            </w:r>
            <w:r w:rsidRPr="000C6D7C">
              <w:t xml:space="preserve"> на програмата. Тя включва оценка на дългосрочното въздействие на предходни програми на Евратом и служи като основа за адаптиране на</w:t>
            </w:r>
            <w:r w:rsidRPr="000C6D7C">
              <w:rPr>
                <w:b/>
                <w:i/>
              </w:rPr>
              <w:t xml:space="preserve"> разширяването и</w:t>
            </w:r>
            <w:r w:rsidRPr="000C6D7C">
              <w:t xml:space="preserve"> </w:t>
            </w:r>
            <w:r w:rsidR="00AE58F3" w:rsidRPr="000C6D7C">
              <w:rPr>
                <w:b/>
                <w:i/>
              </w:rPr>
              <w:t>изпълнението</w:t>
            </w:r>
            <w:r w:rsidR="00AE58F3" w:rsidRPr="000C6D7C">
              <w:t xml:space="preserve"> </w:t>
            </w:r>
            <w:r w:rsidRPr="000C6D7C">
              <w:t>на програмата, когато е целесъобразно.</w:t>
            </w:r>
          </w:p>
        </w:tc>
      </w:tr>
    </w:tbl>
    <w:p w:rsidR="000974D8" w:rsidRPr="000C6D7C" w:rsidRDefault="000974D8" w:rsidP="000974D8"/>
    <w:p w:rsidR="000974D8" w:rsidRPr="000C6D7C" w:rsidRDefault="000974D8" w:rsidP="000974D8">
      <w:pPr>
        <w:rPr>
          <w:szCs w:val="24"/>
        </w:rPr>
      </w:pPr>
    </w:p>
    <w:p w:rsidR="000974D8" w:rsidRPr="000C6D7C" w:rsidRDefault="000974D8" w:rsidP="000974D8">
      <w:pPr>
        <w:pStyle w:val="AMNumberTabs"/>
        <w:keepNext/>
      </w:pPr>
      <w:r w:rsidRPr="000C6D7C">
        <w:t>Изменение</w:t>
      </w:r>
      <w:r w:rsidRPr="000C6D7C">
        <w:tab/>
      </w:r>
      <w:r w:rsidRPr="000C6D7C">
        <w:tab/>
        <w:t>25</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Член 14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3.</w:t>
            </w:r>
            <w:r w:rsidRPr="000C6D7C">
              <w:tab/>
              <w:t xml:space="preserve">В края на осъществяването на програмата, но не по-късно от </w:t>
            </w:r>
            <w:r w:rsidRPr="000C6D7C">
              <w:rPr>
                <w:b/>
                <w:i/>
              </w:rPr>
              <w:t>четири</w:t>
            </w:r>
            <w:r w:rsidRPr="000C6D7C">
              <w:t xml:space="preserve"> години след края на периода, посочен в член 1, Комисията извършва окончателна оценка на Програмата. Тя включва оценка на дългосрочното въздействие на предходни програми.</w:t>
            </w:r>
          </w:p>
        </w:tc>
        <w:tc>
          <w:tcPr>
            <w:tcW w:w="4876" w:type="dxa"/>
            <w:hideMark/>
          </w:tcPr>
          <w:p w:rsidR="000974D8" w:rsidRPr="000C6D7C" w:rsidRDefault="000974D8" w:rsidP="00D744CC">
            <w:pPr>
              <w:pStyle w:val="Normal6"/>
              <w:rPr>
                <w:szCs w:val="24"/>
              </w:rPr>
            </w:pPr>
            <w:r w:rsidRPr="000C6D7C">
              <w:t>3.</w:t>
            </w:r>
            <w:r w:rsidRPr="000C6D7C">
              <w:tab/>
              <w:t xml:space="preserve">В края на осъществяването на Програмата, но не по-късно от </w:t>
            </w:r>
            <w:r w:rsidRPr="000C6D7C">
              <w:rPr>
                <w:b/>
                <w:i/>
              </w:rPr>
              <w:t>две</w:t>
            </w:r>
            <w:r w:rsidRPr="000C6D7C">
              <w:t xml:space="preserve"> години след края на периода, посочен в член 1, Комисията извършва окончателна оценка на Програмата. Тя включва оценка на дългосрочното въздействие на предходни програми.</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26</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Приложение I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 xml:space="preserve">За постигане на специфичните цели Програмата ще подкрепя хоризонталните дейности, които осигуряват полезното взаимодействие на усилията в научноизследователската област за решаването на общите предизвикателства. Подходящи взаимовръзки и интерфейси, например съвместни покани за представяне на предложения, ще бъдат осигурени по линия на програма „Хоризонт Европа“. Свързаните научноизследователски и иновационни дейности могат да се възползват също и от финансова подкрепа, предоставяна по линия на фондовете по Регламент […Регламент за общите разпоредби], доколкото </w:t>
            </w:r>
            <w:r w:rsidRPr="000C6D7C">
              <w:rPr>
                <w:b/>
                <w:i/>
              </w:rPr>
              <w:t>това е</w:t>
            </w:r>
            <w:r w:rsidRPr="000C6D7C">
              <w:t xml:space="preserve"> в съответствие с целите и разпоредбите на тези фондове.</w:t>
            </w:r>
          </w:p>
        </w:tc>
        <w:tc>
          <w:tcPr>
            <w:tcW w:w="4876" w:type="dxa"/>
            <w:hideMark/>
          </w:tcPr>
          <w:p w:rsidR="000974D8" w:rsidRPr="000C6D7C" w:rsidRDefault="000974D8" w:rsidP="00D744CC">
            <w:pPr>
              <w:pStyle w:val="Normal6"/>
              <w:rPr>
                <w:szCs w:val="24"/>
              </w:rPr>
            </w:pPr>
            <w:r w:rsidRPr="000C6D7C">
              <w:t>За постигане на специфичните цели Програмата ще подкрепя хоризонталните дейности, които осигуряват полезното взаимодействие на усилията в научноизследователската област за решаването на общите предизвикателства. Подходящи взаимовръзки и интерфейси, например съвместни покани за представяне на предложения, ще бъдат осигурени по линия на програма „Хоризонт Европа“. Свързаните научноизследователски и иновационни дейности могат да се възползват също и от финансова подкрепа, предоставяна по линия на фондовете по Регламент […Регламент за общите разпоредби]</w:t>
            </w:r>
            <w:r w:rsidRPr="000C6D7C">
              <w:rPr>
                <w:b/>
                <w:i/>
              </w:rPr>
              <w:t xml:space="preserve"> или други програми и финансови инструменти на Съюза</w:t>
            </w:r>
            <w:r w:rsidRPr="000C6D7C">
              <w:t xml:space="preserve">, доколкото </w:t>
            </w:r>
            <w:r w:rsidRPr="000C6D7C">
              <w:rPr>
                <w:b/>
                <w:i/>
              </w:rPr>
              <w:t>те са</w:t>
            </w:r>
            <w:r w:rsidRPr="000C6D7C">
              <w:t xml:space="preserve"> в съответствие с целите и разпоредбите на тези фондове</w:t>
            </w:r>
            <w:r w:rsidRPr="000C6D7C">
              <w:rPr>
                <w:b/>
                <w:i/>
              </w:rPr>
              <w:t>, програми и инструменти</w:t>
            </w:r>
            <w:r w:rsidRPr="000C6D7C">
              <w:t>.</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27</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Приложение I – параграф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Приоритетите на работните програми следва да се определят от Комисията въз основа на нейните политически приоритети, информация, предоставяна от националните публични органи и заинтересованите страни в областта на ядрените научни изследвания, обединени в органи или структури, като например европейски технологични платформи, сдружения, инициативи и технически форуми за ядрени системи и безопасност, управление на радиоактивни отпадъци, отработено ядрено гориво и радиационна защита/риск при ниска доза, ядрени гаранции и сигурност, научни изследвания в областта на термоядрения синтез или всяка относима организация или форум на заинтересовани страни</w:t>
            </w:r>
            <w:r w:rsidRPr="000C6D7C">
              <w:rPr>
                <w:b/>
                <w:i/>
              </w:rPr>
              <w:t xml:space="preserve"> в ядрената област</w:t>
            </w:r>
            <w:r w:rsidRPr="000C6D7C">
              <w:t>.</w:t>
            </w:r>
          </w:p>
        </w:tc>
        <w:tc>
          <w:tcPr>
            <w:tcW w:w="4876" w:type="dxa"/>
            <w:hideMark/>
          </w:tcPr>
          <w:p w:rsidR="000974D8" w:rsidRPr="000C6D7C" w:rsidRDefault="000974D8" w:rsidP="00D744CC">
            <w:pPr>
              <w:pStyle w:val="Normal6"/>
              <w:rPr>
                <w:szCs w:val="24"/>
              </w:rPr>
            </w:pPr>
            <w:r w:rsidRPr="000C6D7C">
              <w:t xml:space="preserve">Приоритетите на работните програми следва да се определят от Комисията въз основа на нейните политически приоритети, информация, предоставяна от националните публични органи и заинтересованите страни в областта на ядрените научни изследвания, обединени в органи или структури, като например европейски технологични платформи, сдружения, инициативи и технически форуми за </w:t>
            </w:r>
            <w:r w:rsidRPr="000C6D7C">
              <w:rPr>
                <w:b/>
                <w:i/>
              </w:rPr>
              <w:t xml:space="preserve">настоящи и бъдещи </w:t>
            </w:r>
            <w:r w:rsidRPr="000C6D7C">
              <w:t xml:space="preserve">ядрени системи и безопасност, управление на радиоактивни отпадъци, отработено ядрено гориво и радиационна защита/риск при ниска доза, ядрени гаранции и сигурност, научни изследвания в областта на термоядрения синтез или всяка относима организация или форум на </w:t>
            </w:r>
            <w:r w:rsidRPr="000C6D7C">
              <w:rPr>
                <w:b/>
                <w:i/>
              </w:rPr>
              <w:t xml:space="preserve">съответните </w:t>
            </w:r>
            <w:r w:rsidRPr="000C6D7C">
              <w:t>заинтересовани страни.</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28</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Приложение I – параграф 5 – буква a – точка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(1)</w:t>
            </w:r>
            <w:r w:rsidRPr="000C6D7C">
              <w:tab/>
              <w:t>Ядрена безопасност: безопасност на реакторни системи и ядрени горивни цикли, които се използват в Общността, или, доколкото е необходимо, за поддържане на богат експертен опит в областта на ядрената безопасност в Общността, на тези видове реактори и ядрени горивни цикли, които биха могли да се използват в бъдеще, като се обърне изключително внимание на аспектите на безопасността, включително на всички аспекти на ядрения горивен цикъл, като отделяне и трансмутация.</w:t>
            </w:r>
          </w:p>
        </w:tc>
        <w:tc>
          <w:tcPr>
            <w:tcW w:w="4876" w:type="dxa"/>
            <w:hideMark/>
          </w:tcPr>
          <w:p w:rsidR="000974D8" w:rsidRPr="000C6D7C" w:rsidRDefault="000974D8" w:rsidP="00AD4E4D">
            <w:pPr>
              <w:pStyle w:val="Normal6"/>
              <w:rPr>
                <w:szCs w:val="24"/>
              </w:rPr>
            </w:pPr>
            <w:r w:rsidRPr="000C6D7C">
              <w:t>(1)</w:t>
            </w:r>
            <w:r w:rsidRPr="000C6D7C">
              <w:tab/>
              <w:t xml:space="preserve">Ядрена безопасност: безопасност на реакторни системи и ядрени горивни цикли, които се използват в Общността, или, доколкото е необходимо, за поддържане </w:t>
            </w:r>
            <w:r w:rsidRPr="000C6D7C">
              <w:rPr>
                <w:b/>
                <w:i/>
              </w:rPr>
              <w:t xml:space="preserve">и </w:t>
            </w:r>
            <w:r w:rsidR="00AE58F3" w:rsidRPr="000C6D7C">
              <w:rPr>
                <w:b/>
                <w:i/>
              </w:rPr>
              <w:t xml:space="preserve">натрупване </w:t>
            </w:r>
            <w:r w:rsidRPr="000C6D7C">
              <w:t xml:space="preserve">на богат експертен опит в областта на ядрената безопасност в Общността, на тези видове реактори и ядрени горивни цикли, които биха могли да се използват в бъдеще, като се обърне изключително внимание на аспектите на безопасността, включително на всички аспекти на ядрения горивен цикъл, като отделяне и трансмутация. </w:t>
            </w:r>
            <w:r w:rsidRPr="000C6D7C">
              <w:rPr>
                <w:b/>
                <w:i/>
              </w:rPr>
              <w:t>Подкрепа за обмена на информация и най-добри практики</w:t>
            </w:r>
            <w:r w:rsidR="00AD4E4D" w:rsidRPr="000C6D7C">
              <w:rPr>
                <w:b/>
                <w:i/>
              </w:rPr>
              <w:t xml:space="preserve"> във връзка с</w:t>
            </w:r>
            <w:r w:rsidRPr="000C6D7C">
              <w:rPr>
                <w:b/>
                <w:i/>
              </w:rPr>
              <w:t xml:space="preserve"> безопасността на реакторните системи и използваните понастоящем горивни цикли, особено в случай на ядрени съоръжения, разположени в близост до една или повече граници между държави членки.</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29</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Приложение I – параграф 5 – буква a – точка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(3)</w:t>
            </w:r>
            <w:r w:rsidRPr="000C6D7C">
              <w:tab/>
              <w:t>Извеждане от експлоатация: научни изследвания за разработването и оценката на технологиите за извеждане от експлоатация и възстановяване на околната среда на територията на ядрени съоръжения; подкрепа за обмен на най-добри практики и познания по отношение на извеждането от експлоатация.</w:t>
            </w:r>
          </w:p>
        </w:tc>
        <w:tc>
          <w:tcPr>
            <w:tcW w:w="4876" w:type="dxa"/>
            <w:hideMark/>
          </w:tcPr>
          <w:p w:rsidR="000974D8" w:rsidRPr="000C6D7C" w:rsidRDefault="000974D8" w:rsidP="00AD4E4D">
            <w:pPr>
              <w:pStyle w:val="Normal6"/>
              <w:rPr>
                <w:szCs w:val="24"/>
              </w:rPr>
            </w:pPr>
            <w:r w:rsidRPr="000C6D7C">
              <w:t>(3)</w:t>
            </w:r>
            <w:r w:rsidRPr="000C6D7C">
              <w:tab/>
              <w:t xml:space="preserve">Извеждане от експлоатация: научни изследвания за разработването и оценката на технологиите за извеждане от експлоатация и възстановяване на околната среда на територията на ядрени съоръжения; подкрепа за обмен на най-добри практики и познания </w:t>
            </w:r>
            <w:r w:rsidR="00AD4E4D" w:rsidRPr="000C6D7C">
              <w:t>във връзка с</w:t>
            </w:r>
            <w:r w:rsidRPr="000C6D7C">
              <w:t xml:space="preserve"> извеждането от експлоатация</w:t>
            </w:r>
            <w:r w:rsidRPr="000C6D7C">
              <w:rPr>
                <w:b/>
                <w:i/>
              </w:rPr>
              <w:t>, включително обмен на знания в случай на ядрени съоръжения, разположени в близост до една или повече граници между държави членки и посредством обединяване на ресурси и персонал в центрове за високи постижения</w:t>
            </w:r>
            <w:r w:rsidRPr="000C6D7C">
              <w:t>.</w:t>
            </w:r>
          </w:p>
        </w:tc>
      </w:tr>
    </w:tbl>
    <w:p w:rsidR="000974D8" w:rsidRPr="000C6D7C" w:rsidRDefault="000974D8" w:rsidP="000974D8"/>
    <w:p w:rsidR="000974D8" w:rsidRPr="000C6D7C" w:rsidRDefault="000974D8" w:rsidP="000974D8">
      <w:pPr>
        <w:pStyle w:val="AMNumberTabs"/>
        <w:keepNext/>
      </w:pPr>
      <w:r w:rsidRPr="000C6D7C">
        <w:t>Изменение</w:t>
      </w:r>
      <w:r w:rsidRPr="000C6D7C">
        <w:tab/>
      </w:r>
      <w:r w:rsidRPr="000C6D7C">
        <w:tab/>
        <w:t>30</w:t>
      </w:r>
    </w:p>
    <w:p w:rsidR="000974D8" w:rsidRPr="000C6D7C" w:rsidRDefault="000974D8" w:rsidP="000974D8">
      <w:pPr>
        <w:pStyle w:val="NormalBold12b"/>
        <w:keepNext/>
      </w:pPr>
      <w:r w:rsidRPr="000C6D7C">
        <w:t>Предложение за регламент</w:t>
      </w:r>
    </w:p>
    <w:p w:rsidR="000974D8" w:rsidRPr="000C6D7C" w:rsidRDefault="000974D8" w:rsidP="000974D8">
      <w:pPr>
        <w:pStyle w:val="NormalBold"/>
      </w:pPr>
      <w:r w:rsidRPr="000C6D7C">
        <w:t>Приложение II – подзаглавие 4 – таблица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74D8" w:rsidRPr="000C6D7C" w:rsidTr="00D744CC">
        <w:trPr>
          <w:jc w:val="center"/>
        </w:trPr>
        <w:tc>
          <w:tcPr>
            <w:tcW w:w="9752" w:type="dxa"/>
            <w:gridSpan w:val="2"/>
          </w:tcPr>
          <w:p w:rsidR="000974D8" w:rsidRPr="000C6D7C" w:rsidRDefault="000974D8" w:rsidP="00D744CC">
            <w:pPr>
              <w:keepNext/>
            </w:pPr>
          </w:p>
        </w:tc>
      </w:tr>
      <w:tr w:rsidR="000974D8" w:rsidRPr="000C6D7C" w:rsidTr="00D744CC">
        <w:trPr>
          <w:jc w:val="center"/>
        </w:trPr>
        <w:tc>
          <w:tcPr>
            <w:tcW w:w="4876" w:type="dxa"/>
            <w:hideMark/>
          </w:tcPr>
          <w:p w:rsidR="000974D8" w:rsidRPr="000C6D7C" w:rsidRDefault="000974D8" w:rsidP="00D744CC">
            <w:pPr>
              <w:pStyle w:val="ColumnHeading"/>
              <w:keepNext/>
            </w:pPr>
            <w:r w:rsidRPr="000C6D7C">
              <w:t>Текст, предложен от Комисията</w:t>
            </w:r>
          </w:p>
        </w:tc>
        <w:tc>
          <w:tcPr>
            <w:tcW w:w="4876" w:type="dxa"/>
            <w:hideMark/>
          </w:tcPr>
          <w:p w:rsidR="000974D8" w:rsidRPr="000C6D7C" w:rsidRDefault="000974D8" w:rsidP="00D744CC">
            <w:pPr>
              <w:pStyle w:val="ColumnHeading"/>
              <w:keepNext/>
            </w:pPr>
            <w:r w:rsidRPr="000C6D7C">
              <w:t>Изменение</w:t>
            </w:r>
          </w:p>
        </w:tc>
      </w:tr>
      <w:tr w:rsidR="000974D8" w:rsidRPr="000C6D7C" w:rsidTr="00D744CC">
        <w:trPr>
          <w:jc w:val="center"/>
        </w:trPr>
        <w:tc>
          <w:tcPr>
            <w:tcW w:w="4876" w:type="dxa"/>
            <w:hideMark/>
          </w:tcPr>
          <w:p w:rsidR="000974D8" w:rsidRPr="000C6D7C" w:rsidRDefault="000974D8" w:rsidP="00D744CC">
            <w:pPr>
              <w:pStyle w:val="Normal6"/>
            </w:pPr>
            <w:r w:rsidRPr="000C6D7C">
              <w:t>Показатели за пътищата на въздействие в сферата на иновациите</w:t>
            </w:r>
          </w:p>
        </w:tc>
        <w:tc>
          <w:tcPr>
            <w:tcW w:w="4876" w:type="dxa"/>
            <w:hideMark/>
          </w:tcPr>
          <w:p w:rsidR="000974D8" w:rsidRPr="000C6D7C" w:rsidRDefault="000974D8" w:rsidP="00D744CC">
            <w:pPr>
              <w:pStyle w:val="Normal6"/>
              <w:rPr>
                <w:szCs w:val="24"/>
              </w:rPr>
            </w:pPr>
            <w:r w:rsidRPr="000C6D7C">
              <w:t>Показатели за пътищата на въздействие в сферата на иновациите</w:t>
            </w:r>
          </w:p>
        </w:tc>
      </w:tr>
      <w:tr w:rsidR="000974D8" w:rsidRPr="000C6D7C" w:rsidTr="00D744CC">
        <w:trPr>
          <w:jc w:val="center"/>
        </w:trPr>
        <w:tc>
          <w:tcPr>
            <w:tcW w:w="4876" w:type="dxa"/>
          </w:tcPr>
          <w:p w:rsidR="000974D8" w:rsidRPr="000C6D7C" w:rsidRDefault="000974D8" w:rsidP="00D744CC">
            <w:pPr>
              <w:pStyle w:val="Normal6"/>
            </w:pPr>
            <w:r w:rsidRPr="000C6D7C">
              <w:t>Напредък на ЕС към 3% от БВП вследствие на програмата на Евратом</w:t>
            </w:r>
          </w:p>
        </w:tc>
        <w:tc>
          <w:tcPr>
            <w:tcW w:w="4876" w:type="dxa"/>
          </w:tcPr>
          <w:p w:rsidR="000974D8" w:rsidRPr="000C6D7C" w:rsidRDefault="000974D8" w:rsidP="00D744CC">
            <w:pPr>
              <w:pStyle w:val="Normal6"/>
            </w:pPr>
            <w:r w:rsidRPr="000C6D7C">
              <w:t xml:space="preserve">Напредък на ЕС към </w:t>
            </w:r>
            <w:r w:rsidRPr="000C6D7C">
              <w:rPr>
                <w:b/>
                <w:i/>
              </w:rPr>
              <w:t xml:space="preserve">целта за разходи за научноизследователска и развойна дейност в размер на </w:t>
            </w:r>
            <w:r w:rsidRPr="000C6D7C">
              <w:t>3</w:t>
            </w:r>
            <w:r w:rsidR="00AD4E4D" w:rsidRPr="000C6D7C">
              <w:t> </w:t>
            </w:r>
            <w:r w:rsidRPr="000C6D7C">
              <w:t>% от БВП вследствие на програмата на Евратом</w:t>
            </w:r>
          </w:p>
        </w:tc>
      </w:tr>
    </w:tbl>
    <w:p w:rsidR="000974D8" w:rsidRPr="000C6D7C" w:rsidRDefault="000974D8" w:rsidP="000974D8">
      <w:pPr>
        <w:rPr>
          <w:szCs w:val="24"/>
        </w:rPr>
      </w:pPr>
    </w:p>
    <w:p w:rsidR="000974D8" w:rsidRPr="000C6D7C" w:rsidRDefault="000974D8" w:rsidP="000974D8"/>
    <w:p w:rsidR="000974D8" w:rsidRPr="000C6D7C" w:rsidRDefault="000974D8" w:rsidP="000974D8"/>
    <w:p w:rsidR="00E365E1" w:rsidRPr="000C6D7C" w:rsidRDefault="00E365E1" w:rsidP="000974D8">
      <w:bookmarkStart w:id="1" w:name="TextBodyEnd"/>
      <w:bookmarkEnd w:id="1"/>
    </w:p>
    <w:sectPr w:rsidR="00E365E1" w:rsidRPr="000C6D7C" w:rsidSect="007A598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F3" w:rsidRPr="007A5983" w:rsidRDefault="00EB25F3">
      <w:r w:rsidRPr="007A5983">
        <w:separator/>
      </w:r>
    </w:p>
  </w:endnote>
  <w:endnote w:type="continuationSeparator" w:id="0">
    <w:p w:rsidR="00EB25F3" w:rsidRPr="007A5983" w:rsidRDefault="00EB25F3">
      <w:r w:rsidRPr="007A59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7C" w:rsidRDefault="000C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83" w:rsidRDefault="007A5983" w:rsidP="000C6D7C">
    <w:pPr>
      <w:pStyle w:val="Footer"/>
      <w:tabs>
        <w:tab w:val="clear" w:pos="9639"/>
        <w:tab w:val="right" w:pos="9184"/>
      </w:tabs>
    </w:pPr>
  </w:p>
  <w:p w:rsidR="000C6D7C" w:rsidRDefault="000C6D7C" w:rsidP="000C6D7C">
    <w:pPr>
      <w:pStyle w:val="Footer"/>
      <w:pBdr>
        <w:top w:val="single" w:sz="2" w:space="1" w:color="000000"/>
      </w:pBdr>
      <w:tabs>
        <w:tab w:val="clear" w:pos="9639"/>
        <w:tab w:val="right" w:pos="9184"/>
      </w:tabs>
    </w:pPr>
    <w:r>
      <w:tab/>
    </w:r>
    <w:r w:rsidRPr="000C6D7C">
      <w:rPr>
        <w:rStyle w:val="HideTWBExt"/>
      </w:rPr>
      <w:t>&lt;NuPE&gt;</w:t>
    </w:r>
    <w:r>
      <w:t>PE631.623</w:t>
    </w:r>
    <w:r w:rsidRPr="000C6D7C">
      <w:rPr>
        <w:rStyle w:val="HideTWBExt"/>
      </w:rPr>
      <w:t>&lt;/NuPE&gt;</w:t>
    </w:r>
    <w:r>
      <w:t xml:space="preserve">/ </w:t>
    </w:r>
    <w:r>
      <w:fldChar w:fldCharType="begin"/>
    </w:r>
    <w:r>
      <w:instrText xml:space="preserve"> PAGE  \* MERGEFORMAT </w:instrText>
    </w:r>
    <w:r>
      <w:fldChar w:fldCharType="separate"/>
    </w:r>
    <w:r w:rsidR="00142286">
      <w:rPr>
        <w:noProof/>
      </w:rPr>
      <w:t>1</w:t>
    </w:r>
    <w:r>
      <w:fldChar w:fldCharType="end"/>
    </w:r>
  </w:p>
  <w:p w:rsidR="000C6D7C" w:rsidRPr="000C6D7C" w:rsidRDefault="000C6D7C" w:rsidP="000C6D7C">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7C" w:rsidRDefault="000C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F3" w:rsidRPr="007A5983" w:rsidRDefault="00EB25F3">
      <w:r w:rsidRPr="007A5983">
        <w:separator/>
      </w:r>
    </w:p>
  </w:footnote>
  <w:footnote w:type="continuationSeparator" w:id="0">
    <w:p w:rsidR="00EB25F3" w:rsidRPr="007A5983" w:rsidRDefault="00EB25F3">
      <w:r w:rsidRPr="007A59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7C" w:rsidRDefault="000C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7C" w:rsidRDefault="000C6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7C" w:rsidRDefault="000C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6/2018"/>
    <w:docVar w:name="dvlangue" w:val="BG"/>
    <w:docVar w:name="dvnumam" w:val="30"/>
    <w:docVar w:name="dvpe" w:val="627.733"/>
    <w:docVar w:name="dvrapporteur" w:val="Докладчик: "/>
    <w:docVar w:name="dvtitre" w:val="Законодателна резолюция на Европейския парламент от ... 2018 г. относно предложението за регламент на Съвета за създаване на Програма за научни изследвания и обучение на Европейската общност за атомна енергия за периода 2021 – 2025 г. в допълнение към Рамковата програма за научни изследвания и иновации „Хоризонт Европа“(COM(2018)0437 – C8-0380/2018 – 2018/0226(NLE))"/>
    <w:docVar w:name="TA_Comm_A5Nr" w:val="A8-0406/2018"/>
    <w:docVar w:name="TA_Comm_Langue" w:val="BG"/>
    <w:docVar w:name="TA_Comm_NrAM" w:val="001-030"/>
    <w:docVar w:name="TA_Type" w:val="TA_COMM"/>
  </w:docVars>
  <w:rsids>
    <w:rsidRoot w:val="00EB25F3"/>
    <w:rsid w:val="00002272"/>
    <w:rsid w:val="000677B9"/>
    <w:rsid w:val="000974D8"/>
    <w:rsid w:val="000C6D7C"/>
    <w:rsid w:val="000E7DD9"/>
    <w:rsid w:val="0010095E"/>
    <w:rsid w:val="00125B37"/>
    <w:rsid w:val="00142286"/>
    <w:rsid w:val="001C7D57"/>
    <w:rsid w:val="002767FF"/>
    <w:rsid w:val="002B5493"/>
    <w:rsid w:val="00361C00"/>
    <w:rsid w:val="00395FA1"/>
    <w:rsid w:val="003E15D4"/>
    <w:rsid w:val="00411CCE"/>
    <w:rsid w:val="0041666E"/>
    <w:rsid w:val="00421060"/>
    <w:rsid w:val="004354B9"/>
    <w:rsid w:val="00452FC2"/>
    <w:rsid w:val="00490CF7"/>
    <w:rsid w:val="00494A28"/>
    <w:rsid w:val="0050519A"/>
    <w:rsid w:val="005072A1"/>
    <w:rsid w:val="00514517"/>
    <w:rsid w:val="006037C0"/>
    <w:rsid w:val="00680577"/>
    <w:rsid w:val="006A07D0"/>
    <w:rsid w:val="006F74FA"/>
    <w:rsid w:val="00731ADD"/>
    <w:rsid w:val="00734777"/>
    <w:rsid w:val="00751A4A"/>
    <w:rsid w:val="00756632"/>
    <w:rsid w:val="007A5983"/>
    <w:rsid w:val="007D1690"/>
    <w:rsid w:val="00865F67"/>
    <w:rsid w:val="00881A7B"/>
    <w:rsid w:val="008840E5"/>
    <w:rsid w:val="008C2AC6"/>
    <w:rsid w:val="009509D8"/>
    <w:rsid w:val="00981893"/>
    <w:rsid w:val="00A4678D"/>
    <w:rsid w:val="00AD4E4D"/>
    <w:rsid w:val="00AE58F3"/>
    <w:rsid w:val="00AF3B82"/>
    <w:rsid w:val="00B558F0"/>
    <w:rsid w:val="00BD7BD8"/>
    <w:rsid w:val="00C00E33"/>
    <w:rsid w:val="00C05BFE"/>
    <w:rsid w:val="00C23CD4"/>
    <w:rsid w:val="00C941CB"/>
    <w:rsid w:val="00CC2357"/>
    <w:rsid w:val="00D058B8"/>
    <w:rsid w:val="00D834A0"/>
    <w:rsid w:val="00D91E21"/>
    <w:rsid w:val="00E365E1"/>
    <w:rsid w:val="00E96706"/>
    <w:rsid w:val="00EB25F3"/>
    <w:rsid w:val="00ED4235"/>
    <w:rsid w:val="00F04346"/>
    <w:rsid w:val="00F075DC"/>
    <w:rsid w:val="00F5134D"/>
    <w:rsid w:val="00F94FBB"/>
    <w:rsid w:val="00FB45C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F569"/>
  <w15:chartTrackingRefBased/>
  <w15:docId w15:val="{35D4733D-B759-44E2-BDE8-D51F3A7F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0974D8"/>
    <w:rPr>
      <w:sz w:val="24"/>
      <w:lang w:val="bg-BG"/>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0974D8"/>
    <w:rPr>
      <w:b/>
      <w:sz w:val="24"/>
      <w:lang w:val="bg-BG"/>
    </w:rPr>
  </w:style>
  <w:style w:type="paragraph" w:customStyle="1" w:styleId="ColumnHeading">
    <w:name w:val="ColumnHeading"/>
    <w:basedOn w:val="Normal"/>
    <w:rsid w:val="000974D8"/>
    <w:pPr>
      <w:spacing w:after="240"/>
      <w:jc w:val="center"/>
    </w:pPr>
    <w:rPr>
      <w:i/>
    </w:rPr>
  </w:style>
  <w:style w:type="paragraph" w:customStyle="1" w:styleId="AMNumberTabs">
    <w:name w:val="AMNumberTabs"/>
    <w:basedOn w:val="Normal"/>
    <w:rsid w:val="000974D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974D8"/>
    <w:pPr>
      <w:spacing w:before="240"/>
    </w:pPr>
    <w:rPr>
      <w:b/>
    </w:rPr>
  </w:style>
  <w:style w:type="paragraph" w:styleId="BalloonText">
    <w:name w:val="Balloon Text"/>
    <w:basedOn w:val="Normal"/>
    <w:link w:val="BalloonTextChar"/>
    <w:rsid w:val="00490CF7"/>
    <w:rPr>
      <w:rFonts w:ascii="Segoe UI" w:hAnsi="Segoe UI" w:cs="Segoe UI"/>
      <w:sz w:val="18"/>
      <w:szCs w:val="18"/>
    </w:rPr>
  </w:style>
  <w:style w:type="character" w:customStyle="1" w:styleId="BalloonTextChar">
    <w:name w:val="Balloon Text Char"/>
    <w:basedOn w:val="DefaultParagraphFont"/>
    <w:link w:val="BalloonText"/>
    <w:rsid w:val="00490CF7"/>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3400</Words>
  <Characters>21351</Characters>
  <Application>Microsoft Office Word</Application>
  <DocSecurity>0</DocSecurity>
  <Lines>928</Lines>
  <Paragraphs>257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European Parliament</dc:creator>
  <cp:keywords/>
  <cp:lastModifiedBy>European Parliament</cp:lastModifiedBy>
  <cp:revision>2</cp:revision>
  <cp:lastPrinted>2004-11-19T15:42:00Z</cp:lastPrinted>
  <dcterms:created xsi:type="dcterms:W3CDTF">2019-01-11T15:12:00Z</dcterms:created>
  <dcterms:modified xsi:type="dcterms:W3CDTF">2019-01-11T15:12:00Z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A8-0406/2018</vt:lpwstr>
  </property>
  <property fmtid="{D5CDD505-2E9C-101B-9397-08002B2CF9AE}" pid="4" name="&lt;Type&gt;">
    <vt:lpwstr>RR</vt:lpwstr>
  </property>
</Properties>
</file>