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7E" w:rsidRDefault="0075497E" w:rsidP="0075497E">
      <w:pPr>
        <w:tabs>
          <w:tab w:val="right" w:pos="9184"/>
        </w:tabs>
      </w:pPr>
      <w:bookmarkStart w:id="0" w:name="_GoBack"/>
      <w:bookmarkEnd w:id="0"/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  <w:r w:rsidRPr="0075497E">
        <w:rPr>
          <w:rStyle w:val="HideTWBExt"/>
        </w:rPr>
        <w:t>&lt;Date&gt;</w:t>
      </w:r>
      <w:r>
        <w:t>11.1.2019</w:t>
      </w:r>
      <w:r w:rsidRPr="0075497E">
        <w:rPr>
          <w:rStyle w:val="HideTWBExt"/>
        </w:rPr>
        <w:t>&lt;/Date&gt;</w:t>
      </w:r>
      <w:r>
        <w:tab/>
        <w:t xml:space="preserve">A8-0441/ </w:t>
      </w:r>
      <w:r w:rsidRPr="0075497E">
        <w:rPr>
          <w:rStyle w:val="HideTWBExt"/>
        </w:rPr>
        <w:t>&lt;NumOfAM&gt;</w:t>
      </w:r>
      <w:r>
        <w:t>001-015</w:t>
      </w:r>
      <w:r w:rsidRPr="0075497E">
        <w:rPr>
          <w:rStyle w:val="HideTWBExt"/>
        </w:rPr>
        <w:t>&lt;/NumOfAM&gt;</w:t>
      </w: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  <w:r>
        <w:rPr>
          <w:b/>
        </w:rPr>
        <w:t xml:space="preserve">AMANDMANI 001-015 </w:t>
      </w:r>
    </w:p>
    <w:p w:rsidR="0075497E" w:rsidRDefault="0075497E" w:rsidP="0075497E">
      <w:pPr>
        <w:tabs>
          <w:tab w:val="right" w:pos="9184"/>
        </w:tabs>
      </w:pPr>
      <w:r>
        <w:t xml:space="preserve">podnositelj </w:t>
      </w:r>
      <w:r w:rsidRPr="0075497E">
        <w:rPr>
          <w:rStyle w:val="HideTWBExt"/>
        </w:rPr>
        <w:t>&lt;Committee&gt;</w:t>
      </w:r>
      <w:r>
        <w:t>Odbor za industriju, istraživanje i energetiku</w:t>
      </w:r>
      <w:r w:rsidRPr="0075497E">
        <w:rPr>
          <w:rStyle w:val="HideTWBExt"/>
        </w:rPr>
        <w:t>&lt;/Committee&gt;</w:t>
      </w: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  <w:rPr>
          <w:b/>
        </w:rPr>
      </w:pPr>
      <w:r>
        <w:rPr>
          <w:b/>
        </w:rPr>
        <w:t>Izvješće</w:t>
      </w:r>
    </w:p>
    <w:p w:rsidR="0075497E" w:rsidRDefault="0075497E" w:rsidP="0075497E">
      <w:pPr>
        <w:tabs>
          <w:tab w:val="right" w:pos="9184"/>
        </w:tabs>
        <w:rPr>
          <w:b/>
        </w:rPr>
      </w:pPr>
      <w:r w:rsidRPr="0075497E">
        <w:rPr>
          <w:rStyle w:val="HideTWBExt"/>
        </w:rPr>
        <w:t>&lt;Chairman&gt;</w:t>
      </w:r>
      <w:r>
        <w:rPr>
          <w:b/>
        </w:rPr>
        <w:t>Peter Kouroumbashev</w:t>
      </w:r>
      <w:r w:rsidRPr="0075497E">
        <w:rPr>
          <w:rStyle w:val="HideTWBExt"/>
        </w:rPr>
        <w:t>&lt;/Chairman&gt;</w:t>
      </w:r>
      <w:r>
        <w:rPr>
          <w:b/>
        </w:rPr>
        <w:tab/>
      </w:r>
      <w:r w:rsidRPr="0075497E">
        <w:rPr>
          <w:rStyle w:val="HideTWBExt"/>
        </w:rPr>
        <w:t>&lt;A5Nr&gt;</w:t>
      </w:r>
      <w:r>
        <w:rPr>
          <w:b/>
        </w:rPr>
        <w:t>A8-0441/2018</w:t>
      </w:r>
      <w:r w:rsidRPr="0075497E">
        <w:rPr>
          <w:rStyle w:val="HideTWBExt"/>
        </w:rPr>
        <w:t>&lt;/A5Nr&gt;</w:t>
      </w:r>
    </w:p>
    <w:p w:rsidR="0075497E" w:rsidRDefault="0075497E" w:rsidP="0075497E">
      <w:pPr>
        <w:tabs>
          <w:tab w:val="right" w:pos="9184"/>
        </w:tabs>
      </w:pPr>
      <w:r w:rsidRPr="0075497E">
        <w:rPr>
          <w:rStyle w:val="HideTWBExt"/>
        </w:rPr>
        <w:t>&lt;ShortTitel&gt;</w:t>
      </w:r>
      <w:r>
        <w:t>Uspostava namjenskog financijskog programa za razgradnju nuklearnih postrojenja i zbrinjavanje radioaktivnog otpada</w:t>
      </w:r>
      <w:r w:rsidRPr="0075497E">
        <w:rPr>
          <w:rStyle w:val="HideTWBExt"/>
        </w:rPr>
        <w:t>&lt;/ShortTitel&gt;</w:t>
      </w: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  <w:r w:rsidRPr="0075497E">
        <w:rPr>
          <w:rStyle w:val="HideTWBExt"/>
        </w:rPr>
        <w:t>&lt;Procedure&gt;</w:t>
      </w:r>
      <w:r>
        <w:t xml:space="preserve">Prijedlog uredbe </w:t>
      </w:r>
      <w:r w:rsidRPr="0075497E">
        <w:rPr>
          <w:rStyle w:val="HideTWBExt"/>
        </w:rPr>
        <w:t>&lt;/Procedure&gt;</w:t>
      </w:r>
      <w:r>
        <w:t xml:space="preserve"> </w:t>
      </w:r>
      <w:r w:rsidRPr="0075497E">
        <w:rPr>
          <w:rStyle w:val="HideTWBExt"/>
        </w:rPr>
        <w:t>&lt;ReferenceNo&gt;</w:t>
      </w:r>
      <w:r>
        <w:t>(COM(2018)0467 – C8-0314/2018 – 2018/0252(NLE))</w:t>
      </w:r>
      <w:r w:rsidRPr="0075497E">
        <w:rPr>
          <w:rStyle w:val="HideTWBExt"/>
        </w:rPr>
        <w:t>&lt;/ReferenceNo&gt;</w:t>
      </w: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</w:pPr>
    </w:p>
    <w:p w:rsidR="0075497E" w:rsidRDefault="0075497E" w:rsidP="0075497E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75497E" w:rsidRDefault="0075497E" w:rsidP="0075497E">
      <w:pPr>
        <w:tabs>
          <w:tab w:val="right" w:pos="9184"/>
        </w:tabs>
        <w:jc w:val="center"/>
      </w:pPr>
    </w:p>
    <w:p w:rsidR="00475348" w:rsidRPr="0075497E" w:rsidRDefault="00475348" w:rsidP="0075497E">
      <w:pPr>
        <w:pStyle w:val="AMNumberTabs"/>
      </w:pPr>
      <w:r w:rsidRPr="0075497E">
        <w:t>Amandman</w:t>
      </w:r>
      <w:r w:rsidRPr="0075497E">
        <w:tab/>
      </w:r>
      <w:r w:rsidRPr="0075497E">
        <w:tab/>
        <w:t>1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Uvodna izjava 2.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/>
        </w:tc>
      </w:tr>
      <w:tr w:rsidR="00475348" w:rsidRPr="0075497E" w:rsidTr="00F556A4">
        <w:trPr>
          <w:trHeight w:val="240"/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(2)</w:t>
            </w:r>
            <w:r w:rsidRPr="0075497E">
              <w:tab/>
              <w:t>Namjenski financijski program potrošnje još može donijeti dodatnu vrijednost Unije tako da postane mjerilo na razini Unije za sigurno rješavanje tehnoloških problema u razgradnji nuklearnih postrojenja i širenje znanja. Takvu bi financijsku pomoć trebalo pružati na temelju ex ante evaluacije kojom će se utvrditi konkretne potrebe i dokazati dodana vrijednost Unije u cilju potpore razgradnji nuklearnih postrojenja i zbrinjavanja radioaktivnog otpada.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(2)</w:t>
            </w:r>
            <w:r w:rsidRPr="0075497E">
              <w:tab/>
              <w:t xml:space="preserve">Namjenski financijski program potrošnje još može donijeti dodatnu vrijednost Unije tako da postane mjerilo na razini Unije za sigurno rješavanje tehnoloških problema u razgradnji nuklearnih postrojenja i širenje znanja. Takvu bi financijsku pomoć trebalo pružati na temelju ex ante evaluacije kojom će se utvrditi konkretne potrebe i dokazati dodana vrijednost Unije u cilju potpore razgradnji nuklearnih postrojenja i zbrinjavanja radioaktivnog otpada. </w:t>
            </w:r>
            <w:r w:rsidRPr="0075497E">
              <w:rPr>
                <w:b/>
                <w:i/>
              </w:rPr>
              <w:t>Ipak, tu financijsku pomoć ne bi trebalo smatrati presedanom za određivanje proračuna namijenjenog budućim aktivnostima razgradnje nuklearnih postrojenja na razini Unije.</w:t>
            </w:r>
            <w:r w:rsidRPr="0075497E">
              <w:t xml:space="preserve"> </w:t>
            </w:r>
            <w:r w:rsidRPr="0075497E">
              <w:rPr>
                <w:b/>
                <w:i/>
              </w:rPr>
              <w:t>Inicijativa za provedbu i financiranje razgradnje nuklearnih postrojenja treba u prvom redu ostati odgovornost država članica.</w:t>
            </w:r>
          </w:p>
        </w:tc>
      </w:tr>
    </w:tbl>
    <w:p w:rsidR="00475348" w:rsidRPr="0075497E" w:rsidRDefault="00475348" w:rsidP="00475348"/>
    <w:p w:rsidR="00475348" w:rsidRPr="0075497E" w:rsidRDefault="00475348" w:rsidP="00475348">
      <w:pPr>
        <w:pStyle w:val="AMNumberTabs"/>
        <w:keepNext/>
      </w:pPr>
      <w:r w:rsidRPr="0075497E">
        <w:lastRenderedPageBreak/>
        <w:t>Amandman</w:t>
      </w:r>
      <w:r w:rsidRPr="0075497E">
        <w:tab/>
      </w:r>
      <w:r w:rsidRPr="0075497E">
        <w:tab/>
        <w:t>2</w:t>
      </w:r>
    </w:p>
    <w:p w:rsidR="00475348" w:rsidRPr="0075497E" w:rsidRDefault="00475348" w:rsidP="00475348">
      <w:pPr>
        <w:pStyle w:val="NormalBold"/>
        <w:keepNext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Uvodna izjava 15.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(15)</w:t>
            </w:r>
            <w:r w:rsidRPr="0075497E">
              <w:tab/>
              <w:t xml:space="preserve">Programom bi se također trebalo </w:t>
            </w:r>
            <w:r w:rsidRPr="0075497E">
              <w:rPr>
                <w:b/>
                <w:i/>
              </w:rPr>
              <w:t>postići da se znanje o postupku razgradnje proširi Unijom</w:t>
            </w:r>
            <w:r w:rsidRPr="0075497E">
              <w:t xml:space="preserve"> jer takve mjere donose najveću dodanu vrijednost Unije i doprinose sigurnosti radnika i građana.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>(15)</w:t>
            </w:r>
            <w:r w:rsidRPr="0075497E">
              <w:tab/>
              <w:t>Programom bi se unutar Unije</w:t>
            </w:r>
            <w:r w:rsidRPr="0075497E">
              <w:rPr>
                <w:b/>
                <w:i/>
              </w:rPr>
              <w:t xml:space="preserve"> </w:t>
            </w:r>
            <w:r w:rsidRPr="0075497E">
              <w:t xml:space="preserve">također trebalo </w:t>
            </w:r>
            <w:r w:rsidRPr="0075497E">
              <w:rPr>
                <w:b/>
                <w:i/>
              </w:rPr>
              <w:t xml:space="preserve">osigurati širenje znanja te razmjena najboljih praksi i stečenih iskustava među državama članicama u pogledu </w:t>
            </w:r>
            <w:r w:rsidRPr="0075497E">
              <w:t>postupka razgradnje jer takve mjere donose najveću dodanu vrijednost Unije i doprinose sigurnosti radnika i građana</w:t>
            </w:r>
            <w:r w:rsidRPr="0075497E">
              <w:rPr>
                <w:b/>
                <w:i/>
              </w:rPr>
              <w:t>, kao i zaštiti okoliša</w:t>
            </w:r>
            <w:r w:rsidRPr="0075497E">
              <w:t>.</w:t>
            </w:r>
          </w:p>
        </w:tc>
      </w:tr>
    </w:tbl>
    <w:p w:rsidR="00475348" w:rsidRPr="0075497E" w:rsidRDefault="00475348" w:rsidP="00475348"/>
    <w:p w:rsidR="00475348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3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Uvodna izjava 15.a (nova)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rPr>
                <w:b/>
                <w:i/>
              </w:rPr>
              <w:t>(15.a)</w:t>
            </w:r>
            <w:r w:rsidRPr="0075497E">
              <w:rPr>
                <w:b/>
                <w:i/>
              </w:rPr>
              <w:tab/>
              <w:t>JRC bi trebao predvoditi posebnu inicijativu za strukturiranje prikupljanja, razvoja i širenja znanja u području razgradnje na razini Unije, bez isključivanja međunarodne suradnje. U okviru inicijative trebalo bi uzimati u obzir višedimenzionalne izazove, uključujući istraživanje i inovacije, standardizaciju, regulaciju, osposobljavanje i obrazovanje te industriju.</w:t>
            </w:r>
          </w:p>
        </w:tc>
      </w:tr>
    </w:tbl>
    <w:p w:rsidR="00475348" w:rsidRPr="0075497E" w:rsidRDefault="00475348" w:rsidP="00475348">
      <w:pPr>
        <w:rPr>
          <w:szCs w:val="24"/>
        </w:rPr>
      </w:pPr>
    </w:p>
    <w:p w:rsidR="001C2E03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4</w:t>
      </w:r>
    </w:p>
    <w:p w:rsidR="00475348" w:rsidRPr="0075497E" w:rsidRDefault="00475348" w:rsidP="00475348">
      <w:pPr>
        <w:pStyle w:val="NormalBold"/>
        <w:keepNext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Uvodna izjava 16.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(16)</w:t>
            </w:r>
            <w:r w:rsidRPr="0075497E">
              <w:tab/>
              <w:t xml:space="preserve">Kako bi postupak bio siguran i maksimalno učinkovit, nuklearna postrojenja obuhvaćena ovom Uredbom trebalo bi razgraditi oslanjajući se na najbolje dostupno tehničko znanje, vodeći pritom računa o vrsti i tehnološkim specifikacijama postrojenja koja se </w:t>
            </w:r>
            <w:r w:rsidRPr="0075497E">
              <w:lastRenderedPageBreak/>
              <w:t>razgrađuju, što je u skladu s najboljom međunarodnom praksom.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lastRenderedPageBreak/>
              <w:t>(16)</w:t>
            </w:r>
            <w:r w:rsidRPr="0075497E">
              <w:tab/>
              <w:t xml:space="preserve">Kako bi postupak bio siguran i maksimalno učinkovit, nuklearna postrojenja obuhvaćena ovom Uredbom trebalo bi razgraditi oslanjajući se na najbolje dostupno tehničko znanje, </w:t>
            </w:r>
            <w:r w:rsidRPr="0075497E">
              <w:rPr>
                <w:b/>
                <w:i/>
              </w:rPr>
              <w:t xml:space="preserve">uključujući </w:t>
            </w:r>
            <w:r w:rsidR="004F45CB" w:rsidRPr="0075497E">
              <w:rPr>
                <w:b/>
                <w:i/>
              </w:rPr>
              <w:t>tehničko</w:t>
            </w:r>
            <w:r w:rsidRPr="0075497E">
              <w:rPr>
                <w:b/>
                <w:i/>
              </w:rPr>
              <w:t xml:space="preserve"> znanje trećih zemalja, </w:t>
            </w:r>
            <w:r w:rsidRPr="0075497E">
              <w:t xml:space="preserve">vodeći pritom računa o vrsti i </w:t>
            </w:r>
            <w:r w:rsidRPr="0075497E">
              <w:lastRenderedPageBreak/>
              <w:t>tehnološkim specifikacijama postrojenja koja se razgrađuju, što je u skladu s najboljom međunarodnom praksom.</w:t>
            </w:r>
          </w:p>
        </w:tc>
      </w:tr>
    </w:tbl>
    <w:p w:rsidR="00475348" w:rsidRPr="0075497E" w:rsidRDefault="00475348" w:rsidP="00475348"/>
    <w:p w:rsidR="00096F93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5</w:t>
      </w:r>
    </w:p>
    <w:p w:rsidR="00475348" w:rsidRPr="0075497E" w:rsidRDefault="00475348" w:rsidP="00475348">
      <w:pPr>
        <w:pStyle w:val="NormalBold"/>
        <w:keepNext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Uvodna izjava 20.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(20)</w:t>
            </w:r>
            <w:r w:rsidRPr="0075497E">
              <w:tab/>
              <w:t>Djelovanja u okviru programa Kozloduj i Bohunice trebalo bi provoditi uz zajednički financijski doprinos Unije i Bugarske, odnosno Unije i Slovačke.</w:t>
            </w:r>
            <w:r w:rsidRPr="0075497E">
              <w:rPr>
                <w:b/>
                <w:i/>
              </w:rPr>
              <w:t xml:space="preserve"> </w:t>
            </w:r>
            <w:r w:rsidRPr="0075497E">
              <w:t xml:space="preserve">Trebalo bi utvrditi prag </w:t>
            </w:r>
            <w:r w:rsidRPr="0075497E">
              <w:rPr>
                <w:b/>
                <w:i/>
              </w:rPr>
              <w:t>maksimalnog</w:t>
            </w:r>
            <w:r w:rsidRPr="0075497E">
              <w:t xml:space="preserve"> sufinanciranja sredstvima Unije u skladu s praksom sufinanciranja koja je uspostavljena prethodnim programima.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>(20)</w:t>
            </w:r>
            <w:r w:rsidRPr="0075497E">
              <w:tab/>
              <w:t>Djelovanja u okviru programa Kozloduj i Bohunice trebalo bi provoditi uz zajednički financijski doprinos Unije, Bugarske, i Slovačke.</w:t>
            </w:r>
            <w:r w:rsidRPr="0075497E">
              <w:rPr>
                <w:b/>
                <w:i/>
              </w:rPr>
              <w:t xml:space="preserve"> </w:t>
            </w:r>
            <w:r w:rsidRPr="0075497E">
              <w:t xml:space="preserve">Trebalo bi utvrditi prag </w:t>
            </w:r>
            <w:r w:rsidRPr="0075497E">
              <w:rPr>
                <w:b/>
                <w:i/>
              </w:rPr>
              <w:t>minimalnog</w:t>
            </w:r>
            <w:r w:rsidRPr="0075497E">
              <w:t xml:space="preserve"> sufinanciranja sredstvima Unije u skladu s praksom sufinanciranja koja je uspostavljena prethodnim programima.</w:t>
            </w:r>
          </w:p>
        </w:tc>
      </w:tr>
    </w:tbl>
    <w:p w:rsidR="00475348" w:rsidRPr="0075497E" w:rsidRDefault="00475348" w:rsidP="00475348"/>
    <w:p w:rsidR="00475348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6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1. – stavak 1.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  <w:hideMark/>
          </w:tcPr>
          <w:p w:rsidR="00475348" w:rsidRPr="0075497E" w:rsidRDefault="00475348" w:rsidP="00F556A4">
            <w:pPr>
              <w:pStyle w:val="Normal6"/>
            </w:pPr>
            <w:r w:rsidRPr="0075497E">
              <w:t xml:space="preserve">Ovom se Uredbom utvrđuje namjenski financijski program za razgradnju nuklearnih postrojenja i zbrinjavanje radioaktivnog otpada (dalje u tekstu: „Program”) usmjeren na potrebe utvrđene s obzirom na trenutačno stanje. U razdoblju višegodišnjeg financijskog okvira 2021.–2027. </w:t>
            </w:r>
            <w:r w:rsidRPr="0075497E">
              <w:rPr>
                <w:b/>
                <w:i/>
              </w:rPr>
              <w:t>program</w:t>
            </w:r>
            <w:r w:rsidRPr="0075497E">
              <w:t xml:space="preserve"> će </w:t>
            </w:r>
            <w:r w:rsidRPr="0075497E">
              <w:rPr>
                <w:b/>
                <w:i/>
              </w:rPr>
              <w:t>biti</w:t>
            </w:r>
            <w:r w:rsidRPr="0075497E">
              <w:t xml:space="preserve"> potpora Bugarskoj i Slovačkoj da sigurno razgrade </w:t>
            </w:r>
            <w:r w:rsidRPr="0075497E">
              <w:rPr>
                <w:b/>
                <w:i/>
              </w:rPr>
              <w:t>svoju prvu generaciju nuklearnih reaktora</w:t>
            </w:r>
            <w:r w:rsidRPr="0075497E">
              <w:t xml:space="preserve"> te </w:t>
            </w:r>
            <w:r w:rsidRPr="0075497E">
              <w:rPr>
                <w:b/>
                <w:i/>
              </w:rPr>
              <w:t>provedbi</w:t>
            </w:r>
            <w:r w:rsidRPr="0075497E">
              <w:t xml:space="preserve"> razgradnje i zbrinjavanja radioaktivnog otpada </w:t>
            </w:r>
            <w:r w:rsidRPr="0075497E">
              <w:rPr>
                <w:b/>
                <w:i/>
              </w:rPr>
              <w:t xml:space="preserve">Komisijinih vlastitih </w:t>
            </w:r>
            <w:r w:rsidRPr="0075497E">
              <w:t>nuklearnih postrojenja na lokacijama Zajedničkog istraživačkog centra (JRC).</w:t>
            </w: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 xml:space="preserve">Ovom se Uredbom utvrđuje namjenski financijski program za razgradnju nuklearnih postrojenja i zbrinjavanje radioaktivnog otpada (dalje u tekstu: „Program”) usmjeren na potrebe utvrđene s obzirom na trenutačno stanje. U razdoblju višegodišnjeg financijskog okvira 2021.–2027. Programom će se pružati potpora Bugarskoj i Slovačkoj da sigurno razgrade </w:t>
            </w:r>
            <w:r w:rsidRPr="0075497E">
              <w:rPr>
                <w:b/>
                <w:i/>
              </w:rPr>
              <w:t>svoje nuklearne reaktore koji su preuranjeno zatvoreni,</w:t>
            </w:r>
            <w:r w:rsidRPr="0075497E">
              <w:t xml:space="preserve"> te podupirati provedbu razgradnje i zbrinjavanja radioaktivnog otpada nuklearnih postrojenja Komisije na lokacijama Zajedničkog istraživačkog centra (JRC)</w:t>
            </w:r>
            <w:r w:rsidRPr="0075497E">
              <w:rPr>
                <w:b/>
                <w:i/>
              </w:rPr>
              <w:t>, uz istodobnu zaštitu radnika, osobito od posljedica po zdravlje, i zaštitu građana i okoliša</w:t>
            </w:r>
            <w:r w:rsidRPr="0075497E">
              <w:t>.</w:t>
            </w:r>
          </w:p>
        </w:tc>
      </w:tr>
    </w:tbl>
    <w:p w:rsidR="00475348" w:rsidRPr="0075497E" w:rsidRDefault="00475348" w:rsidP="00475348">
      <w:pPr>
        <w:pStyle w:val="JustificationTitle"/>
      </w:pPr>
      <w:r w:rsidRPr="0075497E">
        <w:lastRenderedPageBreak/>
        <w:t>Obrazloženje</w:t>
      </w:r>
    </w:p>
    <w:p w:rsidR="001C2E03" w:rsidRPr="0075497E" w:rsidRDefault="00475348" w:rsidP="00475348">
      <w:pPr>
        <w:pStyle w:val="Normal12Italic"/>
      </w:pPr>
      <w:r w:rsidRPr="0075497E">
        <w:t>Preuranjeno zatvaranje reaktora i razgradnja koja je uslijedila nakon zatvaranja bila je politička obveza koju je Bugarska preuzela kao uvjet za pristupanje Europskoj uniji. Međutim, već su u razdoblju između 1991. i 2002. provedeni opširni programi modernizacije, osobito na jedinicama 3. i 4., za koje je bio predviđen veliki proračun. Cilj je bio poboljšati konstrukciju reaktora u skladu s povećanim razinama sigurnosti i tehnološkim razvojem.</w:t>
      </w:r>
    </w:p>
    <w:p w:rsidR="00475348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7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1. – stavak 2.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  <w:hideMark/>
          </w:tcPr>
          <w:p w:rsidR="00475348" w:rsidRPr="0075497E" w:rsidRDefault="00475348" w:rsidP="00F556A4">
            <w:pPr>
              <w:pStyle w:val="Normal6"/>
            </w:pPr>
            <w:r w:rsidRPr="0075497E">
              <w:t>Uredbom se utvrđuju ciljevi Programa, proračun za razdoblje 2021.–2027., vrste financiranja Europske zajednice za atomsku energiju (dalje u tekstu: „Zajednica”) i pravila tog financiranja.</w:t>
            </w: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>Uredbom se utvrđuju ciljevi Programa, ukupni proračun za razdoblje 2021. – 2027.</w:t>
            </w:r>
            <w:r w:rsidRPr="0075497E">
              <w:rPr>
                <w:b/>
                <w:i/>
              </w:rPr>
              <w:t>, uključujući točnu raspodjelu iznosa sredstava među trima programima</w:t>
            </w:r>
            <w:r w:rsidRPr="0075497E">
              <w:t>, vrste financiranja Europske zajednice za atomsku energiju (dalje u tekstu: „Zajednica”) i pravila tog financiranja.</w:t>
            </w:r>
          </w:p>
        </w:tc>
      </w:tr>
    </w:tbl>
    <w:p w:rsidR="00475348" w:rsidRPr="0075497E" w:rsidRDefault="00475348" w:rsidP="00475348">
      <w:pPr>
        <w:rPr>
          <w:szCs w:val="24"/>
        </w:rPr>
      </w:pPr>
    </w:p>
    <w:p w:rsidR="00475348" w:rsidRPr="0075497E" w:rsidRDefault="00475348" w:rsidP="00475348">
      <w:pPr>
        <w:pStyle w:val="AMNumberTabs"/>
      </w:pPr>
      <w:r w:rsidRPr="0075497E">
        <w:t>Amandman</w:t>
      </w:r>
      <w:r w:rsidRPr="0075497E">
        <w:tab/>
      </w:r>
      <w:r w:rsidRPr="0075497E">
        <w:tab/>
        <w:t>8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2. – stavak 1. – točka 2.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/>
        </w:tc>
      </w:tr>
      <w:tr w:rsidR="00475348" w:rsidRPr="0075497E" w:rsidTr="00F556A4">
        <w:trPr>
          <w:trHeight w:val="240"/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(2)</w:t>
            </w:r>
            <w:r w:rsidRPr="0075497E">
              <w:tab/>
              <w:t>„plan razgradnje” znači dokument koji sadržava detaljne informacije o predloženoj razgradnji i obuhvaća: odabranu strategiju razgradnje, vremenski raspored, vrstu i slijed aktivnosti razgradnje, primijenjenu strategiju zbrinjavanja otpada, uključujući odobrenje, predloženo krajnje stanje; skladištenje i odlaganje otpada nastalog tijekom razgradnje; datum početka i završetka razgradnje; procjenu troškova za završetak razgradnje te ciljeve, očekivane rezultate, ključne etape, ciljne datume i odgovarajuće ključne pokazatelje uspješnosti, uključujući pokazatelje koji se temelje na ostvarenoj vrijednosti. Plan sastavlja nositelj odobrenja za nuklearno postrojenje i odražava se u višegodišnjim programima rada za Program;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(2)</w:t>
            </w:r>
            <w:r w:rsidRPr="0075497E">
              <w:tab/>
              <w:t xml:space="preserve">„plan razgradnje” znači dokument koji sadržava detaljne informacije o predloženoj razgradnji i obuhvaća: odabranu strategiju razgradnje, vremenski raspored, vrstu i slijed aktivnosti razgradnje, primijenjenu strategiju zbrinjavanja otpada, uključujući odobrenje, </w:t>
            </w:r>
            <w:r w:rsidRPr="0075497E">
              <w:rPr>
                <w:b/>
                <w:i/>
              </w:rPr>
              <w:t>i program zaštite radnika;</w:t>
            </w:r>
            <w:r w:rsidRPr="0075497E">
              <w:t xml:space="preserve"> predloženo krajnje stanje; skladištenje i odlaganje otpada nastalog tijekom razgradnje; datum početka i završetka razgradnje; procjenu troškova za završetak razgradnje te ciljeve, očekivane rezultate, ključne etape, ciljne datume i odgovarajuće ključne pokazatelje uspješnosti, uključujući pokazatelje koji se temelje na ostvarenoj vrijednosti. Plan sastavlja nositelj odobrenja za nuklearno postrojenje i odražava se u višegodišnjim programima rada za Program;</w:t>
            </w:r>
          </w:p>
        </w:tc>
      </w:tr>
    </w:tbl>
    <w:p w:rsidR="00475348" w:rsidRPr="0075497E" w:rsidRDefault="00475348" w:rsidP="00475348"/>
    <w:p w:rsidR="00475348" w:rsidRPr="0075497E" w:rsidRDefault="00475348" w:rsidP="00475348">
      <w:pPr>
        <w:pStyle w:val="AMNumberTabs"/>
      </w:pPr>
      <w:r w:rsidRPr="0075497E">
        <w:t>Amandman</w:t>
      </w:r>
      <w:r w:rsidRPr="0075497E">
        <w:tab/>
      </w:r>
      <w:r w:rsidRPr="0075497E">
        <w:tab/>
        <w:t>9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2. – stavak 1. – točka 5.a (nova)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/>
        </w:tc>
      </w:tr>
      <w:tr w:rsidR="00475348" w:rsidRPr="0075497E" w:rsidTr="00F556A4">
        <w:trPr>
          <w:trHeight w:val="240"/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rPr>
                <w:b/>
                <w:i/>
              </w:rPr>
              <w:t>(5.a)</w:t>
            </w:r>
            <w:r w:rsidRPr="0075497E">
              <w:tab/>
            </w:r>
            <w:r w:rsidRPr="0075497E">
              <w:rPr>
                <w:b/>
                <w:i/>
              </w:rPr>
              <w:t>„treća zemlja” znači zemlja koja nije članica Unije;</w:t>
            </w:r>
          </w:p>
        </w:tc>
      </w:tr>
    </w:tbl>
    <w:p w:rsidR="00475348" w:rsidRPr="0075497E" w:rsidRDefault="00475348" w:rsidP="00475348"/>
    <w:p w:rsidR="00475348" w:rsidRPr="0075497E" w:rsidRDefault="00475348" w:rsidP="00475348">
      <w:pPr>
        <w:pStyle w:val="AMNumberTabs"/>
      </w:pPr>
      <w:r w:rsidRPr="0075497E">
        <w:t>Amandman</w:t>
      </w:r>
      <w:r w:rsidRPr="0075497E">
        <w:tab/>
      </w:r>
      <w:r w:rsidRPr="0075497E">
        <w:tab/>
        <w:t>10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3. – stavak 2. – podstavak 1.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/>
        </w:tc>
      </w:tr>
      <w:tr w:rsidR="00475348" w:rsidRPr="0075497E" w:rsidTr="00F556A4">
        <w:trPr>
          <w:trHeight w:val="240"/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 xml:space="preserve">Na temelju postojećih potreba za razdoblje 2021.–2027. Programom se, konkretno, nastoji pomoći Bugarskoj i Slovačkoj pri provedbi programa Kozloduj, odnosno Bohunice, osobito kad je riječ o radiološkoj sigurnosti, te poduprijeti program za razgradnju i zbrinjavanje otpada na lokacijama JRC-a, a istodobno osigurati da tako stečeno znanje </w:t>
            </w:r>
            <w:r w:rsidRPr="0075497E">
              <w:rPr>
                <w:b/>
                <w:i/>
              </w:rPr>
              <w:t>o razgradnji</w:t>
            </w:r>
            <w:r w:rsidRPr="0075497E">
              <w:t xml:space="preserve"> nuklearnih postrojenja </w:t>
            </w:r>
            <w:r w:rsidRPr="0075497E">
              <w:rPr>
                <w:b/>
                <w:i/>
              </w:rPr>
              <w:t>dobiju sve države članice EU-a</w:t>
            </w:r>
            <w:r w:rsidRPr="0075497E">
              <w:t>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 xml:space="preserve">Na temelju postojećih potreba za razdoblje 2021.–2027. Programom se, konkretno, nastoji pomoći Bugarskoj i Slovačkoj pri provedbi programa Kozloduj, odnosno Bohunice, osobito kad je riječ o radiološkoj sigurnosti, te poduprijeti program za razgradnju i zbrinjavanje otpada na lokacijama JRC-a, a istodobno osigurati da tako stečeno znanje </w:t>
            </w:r>
            <w:r w:rsidRPr="0075497E">
              <w:rPr>
                <w:b/>
                <w:i/>
              </w:rPr>
              <w:t>i najbolje prakse koji se tiču razgradnje</w:t>
            </w:r>
            <w:r w:rsidRPr="0075497E">
              <w:t xml:space="preserve"> nuklearnih postrojenja </w:t>
            </w:r>
            <w:r w:rsidRPr="0075497E">
              <w:rPr>
                <w:b/>
                <w:i/>
              </w:rPr>
              <w:t>te zbrinjavanja radioaktivnog otpada šire i razmjenjuju među svim državama članicama</w:t>
            </w:r>
            <w:r w:rsidRPr="0075497E">
              <w:t>.</w:t>
            </w:r>
          </w:p>
        </w:tc>
      </w:tr>
    </w:tbl>
    <w:p w:rsidR="00475348" w:rsidRPr="0075497E" w:rsidRDefault="00475348" w:rsidP="00475348"/>
    <w:p w:rsidR="00475348" w:rsidRPr="0075497E" w:rsidRDefault="00475348" w:rsidP="00475348">
      <w:pPr>
        <w:pStyle w:val="AMNumberTabs"/>
      </w:pPr>
      <w:r w:rsidRPr="0075497E">
        <w:t>Amandman</w:t>
      </w:r>
      <w:r w:rsidRPr="0075497E">
        <w:tab/>
      </w:r>
      <w:r w:rsidRPr="0075497E">
        <w:tab/>
        <w:t>11</w:t>
      </w:r>
    </w:p>
    <w:p w:rsidR="00475348" w:rsidRPr="0075497E" w:rsidRDefault="00475348" w:rsidP="00475348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3. – stavak 2. – podstavak 2. – točka c.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/>
        </w:tc>
      </w:tr>
      <w:tr w:rsidR="00475348" w:rsidRPr="0075497E" w:rsidTr="00F556A4">
        <w:trPr>
          <w:trHeight w:val="240"/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(c)</w:t>
            </w:r>
            <w:r w:rsidRPr="0075497E">
              <w:tab/>
              <w:t>uspostaviti veze i komunikaciju među dionicima Unije u području razgradnje nuklearnih postrojenja u cilju mogućih sinergija na razini Unije.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(c)</w:t>
            </w:r>
            <w:r w:rsidRPr="0075497E">
              <w:tab/>
              <w:t>uspostaviti veze i komunikaciju među dionicima Unije</w:t>
            </w:r>
            <w:r w:rsidRPr="0075497E">
              <w:rPr>
                <w:b/>
                <w:i/>
              </w:rPr>
              <w:t>, osobito u industriji,</w:t>
            </w:r>
            <w:r w:rsidRPr="0075497E">
              <w:t xml:space="preserve"> na području razgradnje nuklearnih postrojenja te </w:t>
            </w:r>
            <w:r w:rsidRPr="0075497E">
              <w:rPr>
                <w:b/>
                <w:i/>
              </w:rPr>
              <w:t>upravljanja i zbrinjavanja radioaktivnog otpada</w:t>
            </w:r>
            <w:r w:rsidRPr="0075497E">
              <w:t xml:space="preserve"> </w:t>
            </w:r>
            <w:r w:rsidRPr="0075497E">
              <w:rPr>
                <w:b/>
                <w:i/>
              </w:rPr>
              <w:t xml:space="preserve">kako bi se osiguralo širenje znanja i razmjena iskustava </w:t>
            </w:r>
            <w:r w:rsidRPr="0075497E">
              <w:t xml:space="preserve">na </w:t>
            </w:r>
            <w:r w:rsidRPr="0075497E">
              <w:rPr>
                <w:b/>
                <w:i/>
              </w:rPr>
              <w:t>svim relevantnim područjima, kao što su istraživanje i inovacije, regulacija, osposobljavanje te</w:t>
            </w:r>
            <w:r w:rsidRPr="0075497E">
              <w:t xml:space="preserve"> kako bi se na razini Unije razvile moguće sinergije.</w:t>
            </w:r>
          </w:p>
        </w:tc>
      </w:tr>
    </w:tbl>
    <w:p w:rsidR="00475348" w:rsidRPr="0075497E" w:rsidRDefault="00475348" w:rsidP="00475348"/>
    <w:p w:rsidR="00475348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12</w:t>
      </w:r>
    </w:p>
    <w:p w:rsidR="00475348" w:rsidRPr="0075497E" w:rsidRDefault="00475348" w:rsidP="001C2E03">
      <w:pPr>
        <w:pStyle w:val="NormalBold12b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4. – stavak 2. – uvodni dio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  <w:hideMark/>
          </w:tcPr>
          <w:p w:rsidR="00475348" w:rsidRPr="0075497E" w:rsidRDefault="00475348" w:rsidP="00F556A4">
            <w:pPr>
              <w:pStyle w:val="Normal6"/>
            </w:pPr>
            <w:r w:rsidRPr="0075497E">
              <w:t>2.</w:t>
            </w:r>
            <w:r w:rsidRPr="0075497E">
              <w:tab/>
            </w:r>
            <w:r w:rsidRPr="0075497E">
              <w:rPr>
                <w:b/>
                <w:i/>
              </w:rPr>
              <w:t xml:space="preserve">Indikativna </w:t>
            </w:r>
            <w:r w:rsidRPr="0075497E">
              <w:t>raspodjela iznosa iz stavka 1.:</w:t>
            </w:r>
          </w:p>
        </w:tc>
        <w:tc>
          <w:tcPr>
            <w:tcW w:w="4876" w:type="dxa"/>
            <w:hideMark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>2.</w:t>
            </w:r>
            <w:r w:rsidRPr="0075497E">
              <w:tab/>
              <w:t>Raspodjela iznosa iz stavka 1.:</w:t>
            </w:r>
          </w:p>
        </w:tc>
      </w:tr>
    </w:tbl>
    <w:p w:rsidR="00475348" w:rsidRPr="0075497E" w:rsidRDefault="00475348" w:rsidP="00475348"/>
    <w:p w:rsidR="001C2E03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13</w:t>
      </w:r>
    </w:p>
    <w:p w:rsidR="00475348" w:rsidRPr="0075497E" w:rsidRDefault="00475348" w:rsidP="00117BF9">
      <w:pPr>
        <w:pStyle w:val="NormalBold"/>
        <w:spacing w:before="240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Članak 7. – stavak 1.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Iz Programa se mogu financirati prihvatljivi troškovi djelovanja</w:t>
            </w:r>
            <w:r w:rsidRPr="0075497E">
              <w:rPr>
                <w:b/>
                <w:i/>
              </w:rPr>
              <w:t xml:space="preserve"> do najviše</w:t>
            </w:r>
            <w:r w:rsidRPr="0075497E">
              <w:t xml:space="preserve"> stope utvrđene u prilozima I. i II. </w:t>
            </w:r>
            <w:r w:rsidRPr="0075497E">
              <w:rPr>
                <w:b/>
                <w:i/>
              </w:rPr>
              <w:t>Najviša</w:t>
            </w:r>
            <w:r w:rsidRPr="0075497E">
              <w:t xml:space="preserve"> stopa sufinanciranja sredstvima Unije primjenjiva u okviru programa Kozloduj ili programa Bohunice ne smije biti </w:t>
            </w:r>
            <w:r w:rsidRPr="0075497E">
              <w:rPr>
                <w:b/>
                <w:i/>
              </w:rPr>
              <w:t>viša</w:t>
            </w:r>
            <w:r w:rsidRPr="0075497E">
              <w:t xml:space="preserve"> od 50 %. Preostalo sufinanciranje osigurava Bugarska odnosno Slovačka.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 xml:space="preserve">Iz Programa se mogu financirati prihvatljivi troškovi određene akcije utvrđeni u prilozima I. i II. </w:t>
            </w:r>
            <w:r w:rsidRPr="0075497E">
              <w:rPr>
                <w:b/>
                <w:i/>
              </w:rPr>
              <w:t>Najniža</w:t>
            </w:r>
            <w:r w:rsidRPr="0075497E">
              <w:t xml:space="preserve"> stopa sufinanciranja sredstvima Unije primjenjiva u okviru programa Kozloduj ili programa Bohunice ne smije biti manja od 50%. Preostalo sufinanciranje osigurava Bugarska odnosno Slovačka.</w:t>
            </w:r>
          </w:p>
        </w:tc>
      </w:tr>
    </w:tbl>
    <w:p w:rsidR="00475348" w:rsidRPr="0075497E" w:rsidRDefault="00475348" w:rsidP="00475348"/>
    <w:p w:rsidR="001C2E03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14</w:t>
      </w:r>
    </w:p>
    <w:p w:rsidR="00475348" w:rsidRPr="0075497E" w:rsidRDefault="00475348" w:rsidP="00117BF9">
      <w:pPr>
        <w:pStyle w:val="NormalBold"/>
        <w:spacing w:before="240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Prilog I. – točka 2.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2.</w:t>
            </w:r>
            <w:r w:rsidRPr="0075497E">
              <w:tab/>
              <w:t xml:space="preserve">Projekti i aktivnosti koji se financiraju u razdoblju 2021.–2027. podliježu </w:t>
            </w:r>
            <w:r w:rsidRPr="0075497E">
              <w:rPr>
                <w:b/>
                <w:i/>
              </w:rPr>
              <w:t>najvišoj</w:t>
            </w:r>
            <w:r w:rsidRPr="0075497E">
              <w:t xml:space="preserve"> stopi sufinanciranja </w:t>
            </w:r>
            <w:r w:rsidRPr="0075497E">
              <w:rPr>
                <w:b/>
                <w:i/>
              </w:rPr>
              <w:t>EU-a</w:t>
            </w:r>
            <w:r w:rsidRPr="0075497E">
              <w:t xml:space="preserve"> od 50</w:t>
            </w:r>
            <w:r w:rsidRPr="0075497E">
              <w:rPr>
                <w:b/>
                <w:i/>
              </w:rPr>
              <w:t> </w:t>
            </w:r>
            <w:r w:rsidRPr="0075497E">
              <w:t>%.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>2.</w:t>
            </w:r>
            <w:r w:rsidRPr="0075497E">
              <w:tab/>
              <w:t>Projekti i aktivnosti koji se financiraju u razdoblju 2021.</w:t>
            </w:r>
            <w:r w:rsidRPr="0075497E">
              <w:rPr>
                <w:b/>
                <w:i/>
              </w:rPr>
              <w:t xml:space="preserve"> </w:t>
            </w:r>
            <w:r w:rsidRPr="0075497E">
              <w:t>–</w:t>
            </w:r>
            <w:r w:rsidRPr="0075497E">
              <w:rPr>
                <w:b/>
                <w:i/>
              </w:rPr>
              <w:t xml:space="preserve"> </w:t>
            </w:r>
            <w:r w:rsidRPr="0075497E">
              <w:t xml:space="preserve">2027. podliježu </w:t>
            </w:r>
            <w:r w:rsidRPr="0075497E">
              <w:rPr>
                <w:b/>
                <w:i/>
              </w:rPr>
              <w:t>najnižoj</w:t>
            </w:r>
            <w:r w:rsidRPr="0075497E">
              <w:t xml:space="preserve"> stopi sufinanciranja </w:t>
            </w:r>
            <w:r w:rsidRPr="0075497E">
              <w:rPr>
                <w:b/>
                <w:i/>
              </w:rPr>
              <w:t>Unije</w:t>
            </w:r>
            <w:r w:rsidRPr="0075497E">
              <w:t xml:space="preserve"> od 50%.</w:t>
            </w:r>
          </w:p>
        </w:tc>
      </w:tr>
    </w:tbl>
    <w:p w:rsidR="00475348" w:rsidRPr="0075497E" w:rsidRDefault="00475348" w:rsidP="00475348"/>
    <w:p w:rsidR="001C2E03" w:rsidRPr="0075497E" w:rsidRDefault="00475348" w:rsidP="00475348">
      <w:pPr>
        <w:pStyle w:val="AMNumberTabs"/>
        <w:keepNext/>
      </w:pPr>
      <w:r w:rsidRPr="0075497E">
        <w:t>Amandman</w:t>
      </w:r>
      <w:r w:rsidRPr="0075497E">
        <w:tab/>
      </w:r>
      <w:r w:rsidRPr="0075497E">
        <w:tab/>
        <w:t>15</w:t>
      </w:r>
    </w:p>
    <w:p w:rsidR="00475348" w:rsidRPr="0075497E" w:rsidRDefault="00475348" w:rsidP="00117BF9">
      <w:pPr>
        <w:pStyle w:val="NormalBold"/>
        <w:spacing w:before="240"/>
      </w:pPr>
      <w:r w:rsidRPr="0075497E">
        <w:t>Prijedlog uredbe</w:t>
      </w:r>
    </w:p>
    <w:p w:rsidR="00475348" w:rsidRPr="0075497E" w:rsidRDefault="00475348" w:rsidP="00475348">
      <w:pPr>
        <w:pStyle w:val="NormalBold"/>
      </w:pPr>
      <w:r w:rsidRPr="0075497E">
        <w:t>Prilog II. – točka 2.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75348" w:rsidRPr="0075497E" w:rsidTr="00F556A4">
        <w:trPr>
          <w:jc w:val="center"/>
        </w:trPr>
        <w:tc>
          <w:tcPr>
            <w:tcW w:w="9752" w:type="dxa"/>
            <w:gridSpan w:val="2"/>
          </w:tcPr>
          <w:p w:rsidR="00475348" w:rsidRPr="0075497E" w:rsidRDefault="00475348" w:rsidP="00F556A4">
            <w:pPr>
              <w:keepNext/>
            </w:pP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Tekst koji je predložila Komisija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ColumnHeading"/>
              <w:keepNext/>
            </w:pPr>
            <w:r w:rsidRPr="0075497E">
              <w:t>Izmjena</w:t>
            </w:r>
          </w:p>
        </w:tc>
      </w:tr>
      <w:tr w:rsidR="00475348" w:rsidRPr="0075497E" w:rsidTr="00F556A4">
        <w:trPr>
          <w:jc w:val="center"/>
        </w:trPr>
        <w:tc>
          <w:tcPr>
            <w:tcW w:w="4876" w:type="dxa"/>
          </w:tcPr>
          <w:p w:rsidR="00475348" w:rsidRPr="0075497E" w:rsidRDefault="00475348" w:rsidP="00F556A4">
            <w:pPr>
              <w:pStyle w:val="Normal6"/>
            </w:pPr>
            <w:r w:rsidRPr="0075497E">
              <w:t>2.</w:t>
            </w:r>
            <w:r w:rsidRPr="0075497E">
              <w:tab/>
              <w:t xml:space="preserve">Projekti i aktivnosti koji se financiraju u razdoblju 2021.–2027. podliježu </w:t>
            </w:r>
            <w:r w:rsidRPr="0075497E">
              <w:rPr>
                <w:b/>
                <w:i/>
              </w:rPr>
              <w:t>najvišoj</w:t>
            </w:r>
            <w:r w:rsidRPr="0075497E">
              <w:t xml:space="preserve"> stopi sufinanciranja EU-a od 50 %.</w:t>
            </w:r>
          </w:p>
        </w:tc>
        <w:tc>
          <w:tcPr>
            <w:tcW w:w="4876" w:type="dxa"/>
          </w:tcPr>
          <w:p w:rsidR="00475348" w:rsidRPr="0075497E" w:rsidRDefault="00475348" w:rsidP="00F556A4">
            <w:pPr>
              <w:pStyle w:val="Normal6"/>
              <w:rPr>
                <w:szCs w:val="24"/>
              </w:rPr>
            </w:pPr>
            <w:r w:rsidRPr="0075497E">
              <w:t>2.</w:t>
            </w:r>
            <w:r w:rsidRPr="0075497E">
              <w:tab/>
              <w:t xml:space="preserve">Projekti i aktivnosti koji se financiraju u razdoblju 2021. – 2027. podliježu </w:t>
            </w:r>
            <w:r w:rsidRPr="0075497E">
              <w:rPr>
                <w:b/>
                <w:i/>
              </w:rPr>
              <w:t>najnižoj</w:t>
            </w:r>
            <w:r w:rsidRPr="0075497E">
              <w:t xml:space="preserve"> stopi sufinanciranja </w:t>
            </w:r>
            <w:r w:rsidRPr="0075497E">
              <w:rPr>
                <w:b/>
                <w:i/>
              </w:rPr>
              <w:t>Unije</w:t>
            </w:r>
            <w:r w:rsidRPr="0075497E">
              <w:rPr>
                <w:b/>
              </w:rPr>
              <w:t xml:space="preserve"> </w:t>
            </w:r>
            <w:r w:rsidRPr="0075497E">
              <w:t>od 50%.</w:t>
            </w:r>
          </w:p>
        </w:tc>
      </w:tr>
    </w:tbl>
    <w:p w:rsidR="001C2E03" w:rsidRPr="0075497E" w:rsidRDefault="001C2E03" w:rsidP="00475348"/>
    <w:p w:rsidR="00E365E1" w:rsidRPr="0075497E" w:rsidRDefault="00E365E1" w:rsidP="00475348">
      <w:bookmarkStart w:id="1" w:name="TextBodyEnd"/>
      <w:bookmarkEnd w:id="1"/>
    </w:p>
    <w:sectPr w:rsidR="00E365E1" w:rsidRPr="0075497E" w:rsidSect="00D83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A0" w:rsidRPr="00D83A2B" w:rsidRDefault="000311A0">
      <w:r w:rsidRPr="00D83A2B">
        <w:separator/>
      </w:r>
    </w:p>
  </w:endnote>
  <w:endnote w:type="continuationSeparator" w:id="0">
    <w:p w:rsidR="000311A0" w:rsidRPr="00D83A2B" w:rsidRDefault="000311A0">
      <w:r w:rsidRPr="00D83A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7E" w:rsidRDefault="0075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2B" w:rsidRDefault="00D83A2B" w:rsidP="0075497E">
    <w:pPr>
      <w:pStyle w:val="Footer"/>
      <w:tabs>
        <w:tab w:val="clear" w:pos="9639"/>
        <w:tab w:val="right" w:pos="9184"/>
      </w:tabs>
    </w:pPr>
  </w:p>
  <w:p w:rsidR="0075497E" w:rsidRDefault="0075497E" w:rsidP="0075497E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75497E">
      <w:rPr>
        <w:rStyle w:val="HideTWBExt"/>
      </w:rPr>
      <w:t>&lt;NuPE&gt;</w:t>
    </w:r>
    <w:r>
      <w:t>PE631.627</w:t>
    </w:r>
    <w:r w:rsidRPr="0075497E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4A5641">
      <w:rPr>
        <w:noProof/>
      </w:rPr>
      <w:t>2</w:t>
    </w:r>
    <w:r>
      <w:fldChar w:fldCharType="end"/>
    </w:r>
  </w:p>
  <w:p w:rsidR="0075497E" w:rsidRPr="0075497E" w:rsidRDefault="0075497E" w:rsidP="0075497E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7E" w:rsidRDefault="0075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A0" w:rsidRPr="00D83A2B" w:rsidRDefault="000311A0">
      <w:r w:rsidRPr="00D83A2B">
        <w:separator/>
      </w:r>
    </w:p>
  </w:footnote>
  <w:footnote w:type="continuationSeparator" w:id="0">
    <w:p w:rsidR="000311A0" w:rsidRPr="00D83A2B" w:rsidRDefault="000311A0">
      <w:r w:rsidRPr="00D83A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7E" w:rsidRDefault="0075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7E" w:rsidRDefault="0075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7E" w:rsidRDefault="0075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441/2018"/>
    <w:docVar w:name="dvlangue" w:val="HR"/>
    <w:docVar w:name="dvnumam" w:val="15"/>
    <w:docVar w:name="dvpe" w:val="628.397"/>
    <w:docVar w:name="dvrapporteur" w:val="Izvjestitelj: "/>
    <w:docVar w:name="dvtitre" w:val="Zakonodavna rezolucija Europskog parlamenta od .... 2018. o Prijedlogu uredbe Vijeća o uspostavi namjenskog financijskog programa za razgradnju nuklearnih postrojenja i zbrinjavanje radioaktivnog otpada te o stavljanju izvan snage Uredbe Vijeća (Euratom) br. 1368/2013(COM(2018)0467 – C8-0314/2018 – 2018/0252(NLE))"/>
    <w:docVar w:name="TA_Comm_A5Nr" w:val="A8-0441/2018"/>
    <w:docVar w:name="TA_Comm_Langue" w:val="HR"/>
    <w:docVar w:name="TA_Comm_NrAM" w:val="001-015"/>
    <w:docVar w:name="TA_Type" w:val="TA_COMM"/>
  </w:docVars>
  <w:rsids>
    <w:rsidRoot w:val="000311A0"/>
    <w:rsid w:val="00002272"/>
    <w:rsid w:val="000311A0"/>
    <w:rsid w:val="000677B9"/>
    <w:rsid w:val="00096F93"/>
    <w:rsid w:val="000E7DD9"/>
    <w:rsid w:val="0010095E"/>
    <w:rsid w:val="001109BA"/>
    <w:rsid w:val="00117BF9"/>
    <w:rsid w:val="00125B37"/>
    <w:rsid w:val="00140D68"/>
    <w:rsid w:val="00143A1B"/>
    <w:rsid w:val="001C2E03"/>
    <w:rsid w:val="002767FF"/>
    <w:rsid w:val="002B5493"/>
    <w:rsid w:val="00361C00"/>
    <w:rsid w:val="00395FA1"/>
    <w:rsid w:val="003E15D4"/>
    <w:rsid w:val="00411CCE"/>
    <w:rsid w:val="0041666E"/>
    <w:rsid w:val="00421060"/>
    <w:rsid w:val="00475348"/>
    <w:rsid w:val="00494A28"/>
    <w:rsid w:val="004A5641"/>
    <w:rsid w:val="004F45CB"/>
    <w:rsid w:val="0050519A"/>
    <w:rsid w:val="005072A1"/>
    <w:rsid w:val="00514517"/>
    <w:rsid w:val="005B7326"/>
    <w:rsid w:val="006037C0"/>
    <w:rsid w:val="00680577"/>
    <w:rsid w:val="006F74FA"/>
    <w:rsid w:val="00731ADD"/>
    <w:rsid w:val="00734777"/>
    <w:rsid w:val="00751A4A"/>
    <w:rsid w:val="0075497E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834A0"/>
    <w:rsid w:val="00D83A2B"/>
    <w:rsid w:val="00D91E21"/>
    <w:rsid w:val="00E30947"/>
    <w:rsid w:val="00E365E1"/>
    <w:rsid w:val="00ED4235"/>
    <w:rsid w:val="00F04346"/>
    <w:rsid w:val="00F075DC"/>
    <w:rsid w:val="00F5134D"/>
    <w:rsid w:val="00F858B4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BAE6-3696-442B-A987-36C35A0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r-HR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475348"/>
    <w:rPr>
      <w:sz w:val="24"/>
      <w:lang w:val="hr-H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475348"/>
    <w:rPr>
      <w:b/>
      <w:sz w:val="24"/>
      <w:lang w:val="hr-HR"/>
    </w:rPr>
  </w:style>
  <w:style w:type="paragraph" w:customStyle="1" w:styleId="Normal12Italic">
    <w:name w:val="Normal12Italic"/>
    <w:basedOn w:val="Normal"/>
    <w:rsid w:val="00475348"/>
    <w:pPr>
      <w:spacing w:before="240"/>
    </w:pPr>
    <w:rPr>
      <w:i/>
    </w:rPr>
  </w:style>
  <w:style w:type="paragraph" w:customStyle="1" w:styleId="JustificationTitle">
    <w:name w:val="JustificationTitle"/>
    <w:basedOn w:val="Normal"/>
    <w:next w:val="Normal12"/>
    <w:rsid w:val="00475348"/>
    <w:pPr>
      <w:keepNext/>
      <w:spacing w:before="240"/>
      <w:jc w:val="center"/>
    </w:pPr>
    <w:rPr>
      <w:i/>
    </w:rPr>
  </w:style>
  <w:style w:type="paragraph" w:customStyle="1" w:styleId="ColumnHeading">
    <w:name w:val="ColumnHeading"/>
    <w:basedOn w:val="Normal"/>
    <w:rsid w:val="0047534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47534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475348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1C2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E0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10168</Characters>
  <Application>Microsoft Office Word</Application>
  <DocSecurity>0</DocSecurity>
  <Lines>391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ZOVKO Jadranka</dc:creator>
  <cp:keywords/>
  <cp:lastModifiedBy>ZOVKO Jadranka</cp:lastModifiedBy>
  <cp:revision>2</cp:revision>
  <cp:lastPrinted>2004-11-19T15:42:00Z</cp:lastPrinted>
  <dcterms:created xsi:type="dcterms:W3CDTF">2019-01-11T09:36:00Z</dcterms:created>
  <dcterms:modified xsi:type="dcterms:W3CDTF">2019-01-11T09:36:00Z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A8-0441/2018</vt:lpwstr>
  </property>
  <property fmtid="{D5CDD505-2E9C-101B-9397-08002B2CF9AE}" pid="4" name="&lt;Type&gt;">
    <vt:lpwstr>RR</vt:lpwstr>
  </property>
</Properties>
</file>