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6634AB" w:rsidTr="006F7907">
        <w:trPr>
          <w:trHeight w:hRule="exact" w:val="1418"/>
        </w:trPr>
        <w:tc>
          <w:tcPr>
            <w:tcW w:w="6804" w:type="dxa"/>
            <w:shd w:val="clear" w:color="auto" w:fill="auto"/>
            <w:vAlign w:val="center"/>
          </w:tcPr>
          <w:p w:rsidR="006F7907" w:rsidRPr="006634AB" w:rsidRDefault="006634AB" w:rsidP="00FD1DEF">
            <w:pPr>
              <w:pStyle w:val="EPName"/>
              <w:rPr>
                <w:noProof/>
              </w:rPr>
            </w:pPr>
            <w:r>
              <w:t>Európai Parlament</w:t>
            </w:r>
          </w:p>
          <w:p w:rsidR="006F7907" w:rsidRPr="001115D8" w:rsidRDefault="001115D8" w:rsidP="001115D8">
            <w:pPr>
              <w:pStyle w:val="EPTerm"/>
              <w:rPr>
                <w:rStyle w:val="HideTWBExt"/>
                <w:vanish w:val="0"/>
                <w:color w:val="auto"/>
              </w:rPr>
            </w:pPr>
            <w:r>
              <w:t>2014-2019</w:t>
            </w:r>
          </w:p>
        </w:tc>
        <w:tc>
          <w:tcPr>
            <w:tcW w:w="2268" w:type="dxa"/>
            <w:shd w:val="clear" w:color="auto" w:fill="auto"/>
          </w:tcPr>
          <w:p w:rsidR="006F7907" w:rsidRPr="006634AB" w:rsidRDefault="00E85185" w:rsidP="00896BB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6634AB" w:rsidRDefault="00461601" w:rsidP="00461601">
      <w:pPr>
        <w:pStyle w:val="LineTop"/>
        <w:rPr>
          <w:noProof/>
        </w:rPr>
      </w:pPr>
    </w:p>
    <w:p w:rsidR="00461601" w:rsidRPr="006634AB" w:rsidRDefault="00621123" w:rsidP="00461601">
      <w:pPr>
        <w:pStyle w:val="ZCommittee"/>
        <w:rPr>
          <w:noProof/>
        </w:rPr>
      </w:pPr>
      <w:r>
        <w:t>Plenárisülés-dokumentum</w:t>
      </w:r>
    </w:p>
    <w:p w:rsidR="00461601" w:rsidRPr="006634AB" w:rsidRDefault="00461601" w:rsidP="00461601">
      <w:pPr>
        <w:pStyle w:val="LineBottom"/>
        <w:rPr>
          <w:noProof/>
        </w:rPr>
      </w:pPr>
    </w:p>
    <w:p w:rsidR="00793EA9" w:rsidRPr="006634AB" w:rsidRDefault="00621123">
      <w:pPr>
        <w:pStyle w:val="RefProc"/>
        <w:rPr>
          <w:noProof/>
        </w:rPr>
      </w:pPr>
      <w:r>
        <w:rPr>
          <w:rStyle w:val="HideTWBExt"/>
        </w:rPr>
        <w:t>&lt;NoDocSe&gt;</w:t>
      </w:r>
      <w:r w:rsidRPr="00BE42FC">
        <w:t>A8-0464/2018</w:t>
      </w:r>
      <w:r>
        <w:rPr>
          <w:rStyle w:val="HideTWBExt"/>
        </w:rPr>
        <w:t>&lt;/NoDocSe&gt;</w:t>
      </w:r>
    </w:p>
    <w:p w:rsidR="00793EA9" w:rsidRPr="006634AB" w:rsidRDefault="00793EA9">
      <w:pPr>
        <w:pStyle w:val="ZDate"/>
        <w:rPr>
          <w:noProof/>
        </w:rPr>
      </w:pPr>
      <w:r>
        <w:rPr>
          <w:rStyle w:val="HideTWBExt"/>
        </w:rPr>
        <w:t>&lt;Date&gt;</w:t>
      </w:r>
      <w:r w:rsidRPr="00BE42FC">
        <w:rPr>
          <w:rStyle w:val="HideTWBInt"/>
          <w:color w:val="auto"/>
        </w:rPr>
        <w:t>{12/12/2018}</w:t>
      </w:r>
      <w:r w:rsidRPr="00BE42FC">
        <w:t>12.12.2018</w:t>
      </w:r>
      <w:r>
        <w:rPr>
          <w:rStyle w:val="HideTWBExt"/>
        </w:rPr>
        <w:t>&lt;/Date&gt;</w:t>
      </w:r>
    </w:p>
    <w:p w:rsidR="00793EA9" w:rsidRPr="006634AB" w:rsidRDefault="00793EA9">
      <w:pPr>
        <w:pStyle w:val="StarsAndIs"/>
        <w:rPr>
          <w:noProof/>
        </w:rPr>
      </w:pPr>
      <w:r>
        <w:rPr>
          <w:rStyle w:val="HideTWBExt"/>
          <w:b w:val="0"/>
        </w:rPr>
        <w:t>&lt;RefProcLect&gt;</w:t>
      </w:r>
      <w:r w:rsidRPr="00BE42FC">
        <w:t>***I</w:t>
      </w:r>
      <w:r>
        <w:rPr>
          <w:rStyle w:val="HideTWBExt"/>
          <w:b w:val="0"/>
        </w:rPr>
        <w:t>&lt;/RefProcLect&gt;</w:t>
      </w:r>
    </w:p>
    <w:p w:rsidR="00793EA9" w:rsidRPr="006634AB" w:rsidRDefault="00793EA9">
      <w:pPr>
        <w:pStyle w:val="TypeDoc"/>
        <w:rPr>
          <w:noProof/>
        </w:rPr>
      </w:pPr>
      <w:r>
        <w:rPr>
          <w:rStyle w:val="HideTWBExt"/>
          <w:b w:val="0"/>
        </w:rPr>
        <w:t>&lt;TitreType&gt;</w:t>
      </w:r>
      <w:r w:rsidRPr="00BE42FC">
        <w:t>JELENTÉS</w:t>
      </w:r>
      <w:r>
        <w:rPr>
          <w:rStyle w:val="HideTWBExt"/>
          <w:b w:val="0"/>
        </w:rPr>
        <w:t>&lt;/TitreType&gt;</w:t>
      </w:r>
    </w:p>
    <w:p w:rsidR="00793EA9" w:rsidRPr="006634AB" w:rsidRDefault="00793EA9">
      <w:pPr>
        <w:pStyle w:val="CoverNormal"/>
        <w:rPr>
          <w:noProof/>
        </w:rPr>
      </w:pPr>
      <w:r>
        <w:rPr>
          <w:rStyle w:val="HideTWBExt"/>
        </w:rPr>
        <w:t>&lt;Titre&gt;</w:t>
      </w:r>
      <w:r>
        <w:t>a vámügyi együttműködést szolgáló „Vám” program létrehozásáról szóló európai parlamenti és tanácsi rendeletre irányuló javaslatról</w:t>
      </w:r>
      <w:r>
        <w:rPr>
          <w:rStyle w:val="HideTWBExt"/>
        </w:rPr>
        <w:t>&lt;/Titre&gt;</w:t>
      </w:r>
    </w:p>
    <w:p w:rsidR="00793EA9" w:rsidRPr="006634AB" w:rsidRDefault="00793EA9">
      <w:pPr>
        <w:pStyle w:val="Cover24"/>
        <w:rPr>
          <w:noProof/>
        </w:rPr>
      </w:pPr>
      <w:r>
        <w:rPr>
          <w:rStyle w:val="HideTWBExt"/>
        </w:rPr>
        <w:t>&lt;DocRef&gt;</w:t>
      </w:r>
      <w:r w:rsidRPr="00BE42FC">
        <w:t>(COM(2018)0442 – C8-0261/2018 – 2018/0232(COD))</w:t>
      </w:r>
      <w:r>
        <w:rPr>
          <w:rStyle w:val="HideTWBExt"/>
        </w:rPr>
        <w:t>&lt;/DocRef&gt;</w:t>
      </w:r>
    </w:p>
    <w:p w:rsidR="00793EA9" w:rsidRPr="006634AB" w:rsidRDefault="00793EA9">
      <w:pPr>
        <w:pStyle w:val="Cover24"/>
        <w:rPr>
          <w:noProof/>
        </w:rPr>
      </w:pPr>
      <w:r>
        <w:rPr>
          <w:rStyle w:val="HideTWBExt"/>
        </w:rPr>
        <w:t>&lt;Commission&gt;</w:t>
      </w:r>
      <w:r w:rsidRPr="00BE42FC">
        <w:rPr>
          <w:rStyle w:val="HideTWBInt"/>
          <w:color w:val="auto"/>
        </w:rPr>
        <w:t>{IMCO}</w:t>
      </w:r>
      <w:r w:rsidRPr="00BE42FC">
        <w:t>Belső Piaci és Fogyasztóvédelmi Bizottság</w:t>
      </w:r>
      <w:r>
        <w:rPr>
          <w:rStyle w:val="HideTWBExt"/>
        </w:rPr>
        <w:t>&lt;/Commission&gt;</w:t>
      </w:r>
    </w:p>
    <w:p w:rsidR="00793EA9" w:rsidRPr="006634AB" w:rsidRDefault="006634AB">
      <w:pPr>
        <w:pStyle w:val="Cover24"/>
        <w:rPr>
          <w:noProof/>
        </w:rPr>
      </w:pPr>
      <w:r w:rsidRPr="00BE42FC">
        <w:t xml:space="preserve">Előadó: </w:t>
      </w:r>
      <w:r>
        <w:rPr>
          <w:rStyle w:val="HideTWBExt"/>
        </w:rPr>
        <w:t>&lt;Depute&gt;</w:t>
      </w:r>
      <w:r w:rsidRPr="00BE42FC">
        <w:t>Maria Grapini</w:t>
      </w:r>
      <w:r>
        <w:rPr>
          <w:rStyle w:val="HideTWBExt"/>
        </w:rPr>
        <w:t>&lt;/Depute&gt;</w:t>
      </w:r>
    </w:p>
    <w:p w:rsidR="001C5B44" w:rsidRPr="006634AB" w:rsidRDefault="001C5B44" w:rsidP="001C5B44">
      <w:pPr>
        <w:pStyle w:val="CoverNormal"/>
        <w:rPr>
          <w:noProof/>
        </w:rPr>
      </w:pPr>
    </w:p>
    <w:p w:rsidR="00793EA9" w:rsidRPr="006634AB" w:rsidRDefault="00793EA9" w:rsidP="00187008">
      <w:pPr>
        <w:widowControl/>
        <w:tabs>
          <w:tab w:val="center" w:pos="4677"/>
        </w:tabs>
        <w:rPr>
          <w:noProof/>
        </w:rPr>
      </w:pPr>
      <w:r>
        <w:br w:type="page"/>
      </w:r>
    </w:p>
    <w:p w:rsidR="001115D8" w:rsidRPr="00421C39" w:rsidRDefault="001115D8">
      <w:pPr>
        <w:rPr>
          <w:noProof/>
        </w:rPr>
      </w:pPr>
      <w:r>
        <w:fldChar w:fldCharType="begin"/>
      </w:r>
      <w:r w:rsidRPr="00421C39">
        <w:instrText xml:space="preserve"> TITLE  \* MERGEFORMAT </w:instrText>
      </w:r>
      <w:r>
        <w:fldChar w:fldCharType="separate"/>
      </w:r>
      <w:r w:rsidR="00E85185" w:rsidRPr="00E85185">
        <w:rPr>
          <w:noProof/>
          <w:lang w:val="pt-PT"/>
        </w:rPr>
        <w:t>PR_COD_1amCom</w:t>
      </w:r>
      <w:r>
        <w:rPr>
          <w:noProof/>
          <w:lang w:val="fr-FR"/>
        </w:rPr>
        <w:fldChar w:fldCharType="end"/>
      </w:r>
    </w:p>
    <w:p w:rsidR="001115D8" w:rsidRPr="00421C39" w:rsidRDefault="001115D8">
      <w:pPr>
        <w:rPr>
          <w:noProof/>
          <w:lang w:val="pt-PT"/>
        </w:rPr>
      </w:pPr>
    </w:p>
    <w:p w:rsidR="001115D8" w:rsidRPr="00421C39" w:rsidRDefault="001115D8">
      <w:pPr>
        <w:rPr>
          <w:noProof/>
          <w:lang w:val="pt-PT"/>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115D8">
        <w:tc>
          <w:tcPr>
            <w:tcW w:w="5811" w:type="dxa"/>
          </w:tcPr>
          <w:p w:rsidR="001115D8" w:rsidRDefault="001115D8">
            <w:pPr>
              <w:pStyle w:val="Lgendetitre"/>
              <w:rPr>
                <w:noProof/>
              </w:rPr>
            </w:pPr>
            <w:r>
              <w:t>Az eljárások jelölései</w:t>
            </w:r>
          </w:p>
        </w:tc>
      </w:tr>
      <w:tr w:rsidR="001115D8" w:rsidRPr="00A4121B" w:rsidTr="00C50C36">
        <w:trPr>
          <w:cantSplit/>
          <w:trHeight w:val="1944"/>
        </w:trPr>
        <w:tc>
          <w:tcPr>
            <w:tcW w:w="5811" w:type="dxa"/>
            <w:tcBorders>
              <w:bottom w:val="single" w:sz="4" w:space="0" w:color="auto"/>
            </w:tcBorders>
          </w:tcPr>
          <w:p w:rsidR="001115D8" w:rsidRDefault="001115D8" w:rsidP="00A4121B">
            <w:pPr>
              <w:pStyle w:val="Lgendesigne"/>
              <w:rPr>
                <w:noProof/>
                <w:szCs w:val="24"/>
              </w:rPr>
            </w:pPr>
            <w:r>
              <w:tab/>
              <w:t>*</w:t>
            </w:r>
            <w:r>
              <w:tab/>
              <w:t>Konzultációs eljárás</w:t>
            </w:r>
            <w:r>
              <w:tab/>
            </w:r>
          </w:p>
          <w:p w:rsidR="001115D8" w:rsidRDefault="001115D8" w:rsidP="00A4121B">
            <w:pPr>
              <w:pStyle w:val="Lgendesigne"/>
              <w:rPr>
                <w:noProof/>
                <w:szCs w:val="24"/>
              </w:rPr>
            </w:pPr>
            <w:r>
              <w:tab/>
              <w:t>***</w:t>
            </w:r>
            <w:r>
              <w:tab/>
              <w:t>Egyetértési eljárás</w:t>
            </w:r>
          </w:p>
          <w:p w:rsidR="001115D8" w:rsidRDefault="001115D8" w:rsidP="00A4121B">
            <w:pPr>
              <w:pStyle w:val="Lgendesigne"/>
              <w:rPr>
                <w:noProof/>
                <w:szCs w:val="24"/>
              </w:rPr>
            </w:pPr>
            <w:r>
              <w:tab/>
              <w:t>***I</w:t>
            </w:r>
            <w:r>
              <w:tab/>
              <w:t>Rendes jogalkotási eljárás (első olvasat)</w:t>
            </w:r>
          </w:p>
          <w:p w:rsidR="001115D8" w:rsidRDefault="001115D8" w:rsidP="00A4121B">
            <w:pPr>
              <w:pStyle w:val="Lgendesigne"/>
              <w:rPr>
                <w:noProof/>
                <w:szCs w:val="24"/>
              </w:rPr>
            </w:pPr>
            <w:r>
              <w:tab/>
              <w:t>***II</w:t>
            </w:r>
            <w:r>
              <w:tab/>
              <w:t>Rendes jogalkotási eljárás (második olvasat)</w:t>
            </w:r>
          </w:p>
          <w:p w:rsidR="001115D8" w:rsidRDefault="001115D8" w:rsidP="00A4121B">
            <w:pPr>
              <w:pStyle w:val="Lgendesigne"/>
              <w:rPr>
                <w:noProof/>
                <w:szCs w:val="24"/>
              </w:rPr>
            </w:pPr>
            <w:r>
              <w:tab/>
              <w:t>***III</w:t>
            </w:r>
            <w:r>
              <w:tab/>
              <w:t>Rendes jogalkotási eljárás (harmadik olvasat)</w:t>
            </w:r>
            <w:r>
              <w:br/>
            </w:r>
          </w:p>
          <w:p w:rsidR="001115D8" w:rsidRDefault="001115D8" w:rsidP="00A4121B">
            <w:pPr>
              <w:pStyle w:val="Lgendestandard"/>
              <w:rPr>
                <w:noProof/>
                <w:szCs w:val="24"/>
              </w:rPr>
            </w:pPr>
            <w:r>
              <w:t>(Az eljárás típusa a jogi aktus tervezetében javasolt jogalaptól függ.)</w:t>
            </w:r>
          </w:p>
          <w:p w:rsidR="001115D8" w:rsidRPr="00A4121B" w:rsidRDefault="001115D8">
            <w:pPr>
              <w:pStyle w:val="Lgendesigne"/>
              <w:ind w:left="0" w:firstLine="0"/>
              <w:rPr>
                <w:noProof/>
              </w:rPr>
            </w:pPr>
          </w:p>
        </w:tc>
      </w:tr>
    </w:tbl>
    <w:p w:rsidR="001115D8" w:rsidRPr="00A4121B" w:rsidRDefault="001115D8">
      <w:pPr>
        <w:rPr>
          <w:noProof/>
        </w:rPr>
      </w:pPr>
    </w:p>
    <w:p w:rsidR="001115D8" w:rsidRPr="00A4121B" w:rsidRDefault="001115D8">
      <w:pPr>
        <w:rPr>
          <w:noProof/>
        </w:rPr>
      </w:pPr>
    </w:p>
    <w:p w:rsidR="001115D8" w:rsidRPr="00A4121B" w:rsidRDefault="001115D8">
      <w:pPr>
        <w:rPr>
          <w:noProof/>
        </w:rPr>
      </w:pPr>
    </w:p>
    <w:p w:rsidR="001115D8" w:rsidRPr="00A4121B" w:rsidRDefault="001115D8">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1115D8" w:rsidRPr="00A4121B">
        <w:tc>
          <w:tcPr>
            <w:tcW w:w="5811" w:type="dxa"/>
          </w:tcPr>
          <w:p w:rsidR="001115D8" w:rsidRPr="00A4121B" w:rsidRDefault="001115D8" w:rsidP="003171A3">
            <w:pPr>
              <w:pStyle w:val="Lgendetitre"/>
              <w:rPr>
                <w:noProof/>
              </w:rPr>
            </w:pPr>
            <w:r>
              <w:t>A jogi aktus tervezetének módosításai</w:t>
            </w:r>
          </w:p>
        </w:tc>
      </w:tr>
      <w:tr w:rsidR="001115D8" w:rsidRPr="00A4121B">
        <w:tc>
          <w:tcPr>
            <w:tcW w:w="5811" w:type="dxa"/>
          </w:tcPr>
          <w:p w:rsidR="001115D8" w:rsidRDefault="001115D8" w:rsidP="00A4121B">
            <w:pPr>
              <w:pStyle w:val="Lgendestandard"/>
              <w:rPr>
                <w:noProof/>
                <w:szCs w:val="24"/>
              </w:rPr>
            </w:pPr>
          </w:p>
          <w:p w:rsidR="001115D8" w:rsidRDefault="001115D8" w:rsidP="00A4121B">
            <w:pPr>
              <w:pStyle w:val="Lgendestandard"/>
              <w:rPr>
                <w:noProof/>
                <w:szCs w:val="24"/>
              </w:rPr>
            </w:pPr>
            <w:r>
              <w:rPr>
                <w:b/>
                <w:szCs w:val="24"/>
              </w:rPr>
              <w:t>A Parlament kéthasábos módosításai</w:t>
            </w:r>
          </w:p>
          <w:p w:rsidR="001115D8" w:rsidRDefault="001115D8" w:rsidP="00A4121B">
            <w:pPr>
              <w:pStyle w:val="Lgendestandard"/>
              <w:rPr>
                <w:noProof/>
                <w:szCs w:val="24"/>
              </w:rPr>
            </w:pPr>
          </w:p>
          <w:p w:rsidR="001115D8" w:rsidRDefault="001115D8" w:rsidP="00A4121B">
            <w:pPr>
              <w:pStyle w:val="Lgendestandard"/>
              <w:rPr>
                <w:noProof/>
                <w:szCs w:val="24"/>
              </w:rPr>
            </w:pPr>
            <w:r>
              <w:t xml:space="preserve">A törlést </w:t>
            </w:r>
            <w:r>
              <w:rPr>
                <w:b/>
                <w:i/>
                <w:szCs w:val="24"/>
              </w:rPr>
              <w:t>félkövér dőlt</w:t>
            </w:r>
            <w:r>
              <w:t xml:space="preserve"> betűk jelzik a baloldali hasáb szövegében. A szövegváltoztatást </w:t>
            </w:r>
            <w:r>
              <w:rPr>
                <w:b/>
                <w:i/>
                <w:szCs w:val="24"/>
              </w:rPr>
              <w:t>félkövér dőlt</w:t>
            </w:r>
            <w:r>
              <w:t xml:space="preserve"> betűk jelzik mindkét hasáb szövegében. Az új szöveget </w:t>
            </w:r>
            <w:r>
              <w:rPr>
                <w:b/>
                <w:i/>
                <w:szCs w:val="24"/>
              </w:rPr>
              <w:t>félkövér dőlt</w:t>
            </w:r>
            <w:r>
              <w:t xml:space="preserve"> betűk jelzik a jobb oldali hasáb szövegében.</w:t>
            </w:r>
          </w:p>
          <w:p w:rsidR="001115D8" w:rsidRDefault="001115D8" w:rsidP="00A4121B">
            <w:pPr>
              <w:pStyle w:val="Lgendestandard"/>
              <w:rPr>
                <w:noProof/>
                <w:szCs w:val="24"/>
              </w:rPr>
            </w:pPr>
          </w:p>
          <w:p w:rsidR="001115D8" w:rsidRDefault="001115D8" w:rsidP="00A4121B">
            <w:pPr>
              <w:pStyle w:val="Lgendestandard"/>
              <w:rPr>
                <w:noProof/>
                <w:szCs w:val="24"/>
              </w:rPr>
            </w:pPr>
            <w:r>
              <w:t xml:space="preserve">A módosítások fejlécének első és második sora a vizsgált jogi aktus tervezetének érintett szakaszára utal. Ha a módosítás már létező – a jogi aktus tervezetével módosítani kívánt – jogi aktusra vonatkozik, a fejléc egy harmadik és egy negyedik sort is tartalmaz, amelyek a létező jogi aktusra és annak érintett rendelkezésére utalnak. </w:t>
            </w:r>
          </w:p>
          <w:p w:rsidR="001115D8" w:rsidRDefault="001115D8" w:rsidP="00A4121B">
            <w:pPr>
              <w:pStyle w:val="Lgendestandard"/>
              <w:rPr>
                <w:noProof/>
                <w:szCs w:val="24"/>
              </w:rPr>
            </w:pPr>
          </w:p>
          <w:p w:rsidR="001115D8" w:rsidRDefault="001115D8" w:rsidP="00A4121B">
            <w:pPr>
              <w:pStyle w:val="Lgendestandard"/>
              <w:rPr>
                <w:b/>
                <w:noProof/>
                <w:szCs w:val="24"/>
              </w:rPr>
            </w:pPr>
            <w:r>
              <w:rPr>
                <w:b/>
                <w:szCs w:val="24"/>
              </w:rPr>
              <w:t>A Parlament módosításai konszolidált szöveg formájában</w:t>
            </w:r>
          </w:p>
          <w:p w:rsidR="001115D8" w:rsidRDefault="001115D8" w:rsidP="00A4121B">
            <w:pPr>
              <w:pStyle w:val="Lgendestandard"/>
              <w:rPr>
                <w:noProof/>
                <w:szCs w:val="24"/>
              </w:rPr>
            </w:pPr>
          </w:p>
          <w:p w:rsidR="001115D8" w:rsidRDefault="001115D8" w:rsidP="00A4121B">
            <w:pPr>
              <w:pStyle w:val="Lgendestandard"/>
              <w:rPr>
                <w:noProof/>
                <w:szCs w:val="24"/>
              </w:rPr>
            </w:pPr>
            <w:r>
              <w:t xml:space="preserve">Az új szövegrészeket </w:t>
            </w:r>
            <w:r>
              <w:rPr>
                <w:b/>
                <w:i/>
                <w:szCs w:val="24"/>
              </w:rPr>
              <w:t>félkövér dőlt</w:t>
            </w:r>
            <w:r>
              <w:t xml:space="preserve"> betűk jelzik. A törölt szövegrészeket a ▌ jel jelzi vagy azok át vannak húzva. A szövegváltoztatást a helyettesítendő szöveg törlésével vagy áthúzásával és a helyébe lépő új szöveg </w:t>
            </w:r>
            <w:r>
              <w:rPr>
                <w:b/>
                <w:i/>
                <w:szCs w:val="24"/>
              </w:rPr>
              <w:t>félkövér dőlt</w:t>
            </w:r>
            <w:r>
              <w:t xml:space="preserve"> szedésével jelzik. </w:t>
            </w:r>
          </w:p>
          <w:p w:rsidR="001115D8" w:rsidRDefault="001115D8" w:rsidP="00A4121B">
            <w:pPr>
              <w:pStyle w:val="Lgendestandard"/>
              <w:rPr>
                <w:noProof/>
                <w:szCs w:val="24"/>
              </w:rPr>
            </w:pPr>
            <w:r>
              <w:t>Ettől eltérően a szolgálatok által a végleges szöveg kialakítása érdekében bevezetett, kimondottan technikai jellegű módosításokat nem kell jelölni.</w:t>
            </w:r>
          </w:p>
          <w:p w:rsidR="001115D8" w:rsidRPr="00A4121B" w:rsidRDefault="001115D8">
            <w:pPr>
              <w:pStyle w:val="Lgendestandard"/>
              <w:rPr>
                <w:noProof/>
              </w:rPr>
            </w:pPr>
          </w:p>
        </w:tc>
      </w:tr>
    </w:tbl>
    <w:p w:rsidR="001115D8" w:rsidRPr="00A4121B" w:rsidRDefault="001115D8">
      <w:pPr>
        <w:rPr>
          <w:noProof/>
        </w:rPr>
      </w:pPr>
    </w:p>
    <w:p w:rsidR="00793EA9" w:rsidRPr="001115D8" w:rsidRDefault="00793EA9" w:rsidP="00012351">
      <w:pPr>
        <w:widowControl/>
        <w:tabs>
          <w:tab w:val="center" w:pos="4677"/>
        </w:tabs>
        <w:rPr>
          <w:noProof/>
        </w:rPr>
      </w:pPr>
    </w:p>
    <w:p w:rsidR="00793EA9" w:rsidRPr="006634AB" w:rsidRDefault="00793EA9">
      <w:pPr>
        <w:pStyle w:val="TOCHeading"/>
        <w:rPr>
          <w:noProof/>
        </w:rPr>
      </w:pPr>
      <w:r>
        <w:br w:type="page"/>
      </w:r>
      <w:r>
        <w:lastRenderedPageBreak/>
        <w:t>TARTALOM</w:t>
      </w:r>
    </w:p>
    <w:p w:rsidR="00793EA9" w:rsidRPr="006634AB" w:rsidRDefault="006634AB">
      <w:pPr>
        <w:pStyle w:val="TOCPage"/>
        <w:rPr>
          <w:noProof/>
        </w:rPr>
      </w:pPr>
      <w:r>
        <w:t>Oldal</w:t>
      </w:r>
    </w:p>
    <w:p w:rsidR="00E85185" w:rsidRDefault="001767E2">
      <w:pPr>
        <w:pStyle w:val="TOC1"/>
        <w:tabs>
          <w:tab w:val="right" w:leader="dot" w:pos="9060"/>
        </w:tabs>
        <w:rPr>
          <w:rFonts w:asciiTheme="minorHAnsi" w:eastAsiaTheme="minorEastAsia" w:hAnsiTheme="minorHAnsi" w:cstheme="minorBidi"/>
          <w:noProof/>
          <w:sz w:val="22"/>
          <w:szCs w:val="22"/>
          <w:lang w:val="en-GB"/>
        </w:rPr>
      </w:pPr>
      <w:r w:rsidRPr="006634AB">
        <w:rPr>
          <w:b/>
        </w:rPr>
        <w:fldChar w:fldCharType="begin"/>
      </w:r>
      <w:r w:rsidRPr="006634AB">
        <w:rPr>
          <w:b/>
        </w:rPr>
        <w:instrText xml:space="preserve"> TOC \t "PageHeading</w:instrText>
      </w:r>
      <w:r w:rsidR="00621123">
        <w:rPr>
          <w:b/>
        </w:rPr>
        <w:instrText>;</w:instrText>
      </w:r>
      <w:r w:rsidRPr="006634AB">
        <w:rPr>
          <w:b/>
        </w:rPr>
        <w:instrText xml:space="preserve">1" </w:instrText>
      </w:r>
      <w:r w:rsidRPr="006634AB">
        <w:rPr>
          <w:b/>
        </w:rPr>
        <w:fldChar w:fldCharType="separate"/>
      </w:r>
      <w:r w:rsidR="00E85185">
        <w:rPr>
          <w:noProof/>
        </w:rPr>
        <w:t>AZ EURÓPAI PARLAMENT JOGALKOTÁSI ÁLLÁSFOGLALÁS-TERVEZETE</w:t>
      </w:r>
      <w:r w:rsidR="00E85185">
        <w:rPr>
          <w:noProof/>
        </w:rPr>
        <w:tab/>
      </w:r>
      <w:r w:rsidR="00E85185">
        <w:rPr>
          <w:noProof/>
        </w:rPr>
        <w:fldChar w:fldCharType="begin"/>
      </w:r>
      <w:r w:rsidR="00E85185">
        <w:rPr>
          <w:noProof/>
        </w:rPr>
        <w:instrText xml:space="preserve"> PAGEREF _Toc534971919 \h </w:instrText>
      </w:r>
      <w:r w:rsidR="00E85185">
        <w:rPr>
          <w:noProof/>
        </w:rPr>
      </w:r>
      <w:r w:rsidR="00E85185">
        <w:rPr>
          <w:noProof/>
        </w:rPr>
        <w:fldChar w:fldCharType="separate"/>
      </w:r>
      <w:r w:rsidR="00E85185">
        <w:rPr>
          <w:noProof/>
        </w:rPr>
        <w:t>5</w:t>
      </w:r>
      <w:r w:rsidR="00E85185">
        <w:rPr>
          <w:noProof/>
        </w:rPr>
        <w:fldChar w:fldCharType="end"/>
      </w:r>
    </w:p>
    <w:p w:rsidR="00E85185" w:rsidRDefault="00E85185">
      <w:pPr>
        <w:pStyle w:val="TOC1"/>
        <w:tabs>
          <w:tab w:val="right" w:leader="dot" w:pos="9060"/>
        </w:tabs>
        <w:rPr>
          <w:rFonts w:asciiTheme="minorHAnsi" w:eastAsiaTheme="minorEastAsia" w:hAnsiTheme="minorHAnsi" w:cstheme="minorBidi"/>
          <w:noProof/>
          <w:sz w:val="22"/>
          <w:szCs w:val="22"/>
          <w:lang w:val="en-GB"/>
        </w:rPr>
      </w:pPr>
      <w:r>
        <w:rPr>
          <w:noProof/>
        </w:rPr>
        <w:t>INDOKOLÁS</w:t>
      </w:r>
      <w:r>
        <w:rPr>
          <w:noProof/>
        </w:rPr>
        <w:tab/>
      </w:r>
      <w:r>
        <w:rPr>
          <w:noProof/>
        </w:rPr>
        <w:fldChar w:fldCharType="begin"/>
      </w:r>
      <w:r>
        <w:rPr>
          <w:noProof/>
        </w:rPr>
        <w:instrText xml:space="preserve"> PAGEREF _Toc534971920 \h </w:instrText>
      </w:r>
      <w:r>
        <w:rPr>
          <w:noProof/>
        </w:rPr>
      </w:r>
      <w:r>
        <w:rPr>
          <w:noProof/>
        </w:rPr>
        <w:fldChar w:fldCharType="separate"/>
      </w:r>
      <w:r>
        <w:rPr>
          <w:noProof/>
        </w:rPr>
        <w:t>35</w:t>
      </w:r>
      <w:r>
        <w:rPr>
          <w:noProof/>
        </w:rPr>
        <w:fldChar w:fldCharType="end"/>
      </w:r>
    </w:p>
    <w:p w:rsidR="00E85185" w:rsidRDefault="00E85185">
      <w:pPr>
        <w:pStyle w:val="TOC1"/>
        <w:tabs>
          <w:tab w:val="right" w:leader="dot" w:pos="9060"/>
        </w:tabs>
        <w:rPr>
          <w:rFonts w:asciiTheme="minorHAnsi" w:eastAsiaTheme="minorEastAsia" w:hAnsiTheme="minorHAnsi" w:cstheme="minorBidi"/>
          <w:noProof/>
          <w:sz w:val="22"/>
          <w:szCs w:val="22"/>
          <w:lang w:val="en-GB"/>
        </w:rPr>
      </w:pPr>
      <w:r>
        <w:rPr>
          <w:noProof/>
        </w:rPr>
        <w:t xml:space="preserve">VÉLEMÉNY </w:t>
      </w:r>
      <w:r w:rsidRPr="00DD03DE">
        <w:rPr>
          <w:caps/>
          <w:noProof/>
        </w:rPr>
        <w:t xml:space="preserve"> a Költségvetési Bizottság részéről</w:t>
      </w:r>
      <w:r>
        <w:rPr>
          <w:noProof/>
        </w:rPr>
        <w:tab/>
      </w:r>
      <w:r>
        <w:rPr>
          <w:noProof/>
        </w:rPr>
        <w:fldChar w:fldCharType="begin"/>
      </w:r>
      <w:r>
        <w:rPr>
          <w:noProof/>
        </w:rPr>
        <w:instrText xml:space="preserve"> PAGEREF _Toc534971921 \h </w:instrText>
      </w:r>
      <w:r>
        <w:rPr>
          <w:noProof/>
        </w:rPr>
      </w:r>
      <w:r>
        <w:rPr>
          <w:noProof/>
        </w:rPr>
        <w:fldChar w:fldCharType="separate"/>
      </w:r>
      <w:r>
        <w:rPr>
          <w:noProof/>
        </w:rPr>
        <w:t>36</w:t>
      </w:r>
      <w:r>
        <w:rPr>
          <w:noProof/>
        </w:rPr>
        <w:fldChar w:fldCharType="end"/>
      </w:r>
    </w:p>
    <w:p w:rsidR="00E85185" w:rsidRDefault="00E85185">
      <w:pPr>
        <w:pStyle w:val="TOC1"/>
        <w:tabs>
          <w:tab w:val="right" w:leader="dot" w:pos="9060"/>
        </w:tabs>
        <w:rPr>
          <w:rFonts w:asciiTheme="minorHAnsi" w:eastAsiaTheme="minorEastAsia" w:hAnsiTheme="minorHAnsi" w:cstheme="minorBidi"/>
          <w:noProof/>
          <w:sz w:val="22"/>
          <w:szCs w:val="22"/>
          <w:lang w:val="en-GB"/>
        </w:rPr>
      </w:pPr>
      <w:r>
        <w:rPr>
          <w:noProof/>
        </w:rPr>
        <w:t xml:space="preserve">VÉLEMÉNY </w:t>
      </w:r>
      <w:r w:rsidRPr="00DD03DE">
        <w:rPr>
          <w:caps/>
          <w:noProof/>
        </w:rPr>
        <w:t>a Költségvetési Ellenőrző Bizottság részéről</w:t>
      </w:r>
      <w:r>
        <w:rPr>
          <w:noProof/>
        </w:rPr>
        <w:tab/>
      </w:r>
      <w:r>
        <w:rPr>
          <w:noProof/>
        </w:rPr>
        <w:fldChar w:fldCharType="begin"/>
      </w:r>
      <w:r>
        <w:rPr>
          <w:noProof/>
        </w:rPr>
        <w:instrText xml:space="preserve"> PAGEREF _Toc534971922 \h </w:instrText>
      </w:r>
      <w:r>
        <w:rPr>
          <w:noProof/>
        </w:rPr>
      </w:r>
      <w:r>
        <w:rPr>
          <w:noProof/>
        </w:rPr>
        <w:fldChar w:fldCharType="separate"/>
      </w:r>
      <w:r>
        <w:rPr>
          <w:noProof/>
        </w:rPr>
        <w:t>42</w:t>
      </w:r>
      <w:r>
        <w:rPr>
          <w:noProof/>
        </w:rPr>
        <w:fldChar w:fldCharType="end"/>
      </w:r>
    </w:p>
    <w:p w:rsidR="00E85185" w:rsidRDefault="00E85185">
      <w:pPr>
        <w:pStyle w:val="TOC1"/>
        <w:tabs>
          <w:tab w:val="right" w:leader="dot" w:pos="9060"/>
        </w:tabs>
        <w:rPr>
          <w:rFonts w:asciiTheme="minorHAnsi" w:eastAsiaTheme="minorEastAsia" w:hAnsiTheme="minorHAnsi" w:cstheme="minorBidi"/>
          <w:noProof/>
          <w:sz w:val="22"/>
          <w:szCs w:val="22"/>
          <w:lang w:val="en-GB"/>
        </w:rPr>
      </w:pPr>
      <w:r>
        <w:rPr>
          <w:noProof/>
        </w:rPr>
        <w:t>ELJÁRÁS AZ ILLETÉKES BIZOTTSÁGBAN</w:t>
      </w:r>
      <w:r>
        <w:rPr>
          <w:noProof/>
        </w:rPr>
        <w:tab/>
      </w:r>
      <w:r>
        <w:rPr>
          <w:noProof/>
        </w:rPr>
        <w:fldChar w:fldCharType="begin"/>
      </w:r>
      <w:r>
        <w:rPr>
          <w:noProof/>
        </w:rPr>
        <w:instrText xml:space="preserve"> PAGEREF _Toc534971923 \h </w:instrText>
      </w:r>
      <w:r>
        <w:rPr>
          <w:noProof/>
        </w:rPr>
      </w:r>
      <w:r>
        <w:rPr>
          <w:noProof/>
        </w:rPr>
        <w:fldChar w:fldCharType="separate"/>
      </w:r>
      <w:r>
        <w:rPr>
          <w:noProof/>
        </w:rPr>
        <w:t>68</w:t>
      </w:r>
      <w:r>
        <w:rPr>
          <w:noProof/>
        </w:rPr>
        <w:fldChar w:fldCharType="end"/>
      </w:r>
    </w:p>
    <w:p w:rsidR="00E85185" w:rsidRDefault="00E85185">
      <w:pPr>
        <w:pStyle w:val="TOC1"/>
        <w:tabs>
          <w:tab w:val="right" w:leader="dot" w:pos="9060"/>
        </w:tabs>
        <w:rPr>
          <w:rFonts w:asciiTheme="minorHAnsi" w:eastAsiaTheme="minorEastAsia" w:hAnsiTheme="minorHAnsi" w:cstheme="minorBidi"/>
          <w:noProof/>
          <w:sz w:val="22"/>
          <w:szCs w:val="22"/>
          <w:lang w:val="en-GB"/>
        </w:rPr>
      </w:pPr>
      <w:r>
        <w:rPr>
          <w:noProof/>
        </w:rPr>
        <w:t>AZ ILLETÉKES BIZOTTSÁG NÉV SZERINTI ZÁRÓSZAVAZÁSA</w:t>
      </w:r>
      <w:r>
        <w:rPr>
          <w:noProof/>
        </w:rPr>
        <w:tab/>
      </w:r>
      <w:r>
        <w:rPr>
          <w:noProof/>
        </w:rPr>
        <w:fldChar w:fldCharType="begin"/>
      </w:r>
      <w:r>
        <w:rPr>
          <w:noProof/>
        </w:rPr>
        <w:instrText xml:space="preserve"> PAGEREF _Toc534971924 \h </w:instrText>
      </w:r>
      <w:r>
        <w:rPr>
          <w:noProof/>
        </w:rPr>
      </w:r>
      <w:r>
        <w:rPr>
          <w:noProof/>
        </w:rPr>
        <w:fldChar w:fldCharType="separate"/>
      </w:r>
      <w:r>
        <w:rPr>
          <w:noProof/>
        </w:rPr>
        <w:t>69</w:t>
      </w:r>
      <w:r>
        <w:rPr>
          <w:noProof/>
        </w:rPr>
        <w:fldChar w:fldCharType="end"/>
      </w:r>
    </w:p>
    <w:p w:rsidR="00793EA9" w:rsidRPr="006634AB" w:rsidRDefault="001767E2" w:rsidP="002346B0">
      <w:r w:rsidRPr="006634AB">
        <w:rPr>
          <w:b/>
        </w:rPr>
        <w:fldChar w:fldCharType="end"/>
      </w:r>
    </w:p>
    <w:p w:rsidR="002346B0" w:rsidRPr="006634AB" w:rsidRDefault="002346B0" w:rsidP="002346B0">
      <w:pPr>
        <w:rPr>
          <w:noProof/>
        </w:rPr>
      </w:pPr>
    </w:p>
    <w:p w:rsidR="002346B0" w:rsidRPr="006634AB" w:rsidRDefault="002346B0">
      <w:pPr>
        <w:pStyle w:val="PageHeading"/>
        <w:rPr>
          <w:noProof/>
        </w:rPr>
      </w:pPr>
    </w:p>
    <w:p w:rsidR="00793EA9" w:rsidRPr="006634AB" w:rsidRDefault="00793EA9">
      <w:pPr>
        <w:pStyle w:val="PageHeading"/>
        <w:rPr>
          <w:noProof/>
        </w:rPr>
      </w:pPr>
      <w:r>
        <w:br w:type="page"/>
      </w:r>
      <w:r>
        <w:lastRenderedPageBreak/>
        <w:br w:type="page"/>
      </w:r>
      <w:bookmarkStart w:id="0" w:name="_Toc534971919"/>
      <w:r>
        <w:lastRenderedPageBreak/>
        <w:t>AZ EURÓPAI PARLAMENT JOGALKOTÁSI ÁLLÁSFOGLALÁS-TERVEZETE</w:t>
      </w:r>
      <w:bookmarkEnd w:id="0"/>
    </w:p>
    <w:p w:rsidR="00793EA9" w:rsidRPr="006634AB" w:rsidRDefault="008E13A6">
      <w:pPr>
        <w:pStyle w:val="NormalBold"/>
        <w:rPr>
          <w:noProof/>
        </w:rPr>
      </w:pPr>
      <w:r>
        <w:t>a vámügyi együttműködést szolgáló „Vám” program létrehozásáról szóló európai parlamenti és tanácsi rendeletre irányuló javaslatról</w:t>
      </w:r>
    </w:p>
    <w:p w:rsidR="00793EA9" w:rsidRPr="006634AB" w:rsidRDefault="006634AB">
      <w:pPr>
        <w:pStyle w:val="Normal12Bold"/>
        <w:rPr>
          <w:noProof/>
        </w:rPr>
      </w:pPr>
      <w:r>
        <w:t>(COM(2018)0442 – C8-0261/2018 – 2018/0232(COD))</w:t>
      </w:r>
    </w:p>
    <w:p w:rsidR="00793EA9" w:rsidRPr="006634AB" w:rsidRDefault="006634AB">
      <w:pPr>
        <w:pStyle w:val="Normal12Bold"/>
        <w:rPr>
          <w:noProof/>
        </w:rPr>
      </w:pPr>
      <w:r>
        <w:t>(Rendes jogalkotási eljárás: első olvasat)</w:t>
      </w:r>
    </w:p>
    <w:p w:rsidR="00793EA9" w:rsidRPr="006634AB" w:rsidRDefault="006634AB">
      <w:pPr>
        <w:pStyle w:val="Normal12"/>
        <w:rPr>
          <w:noProof/>
        </w:rPr>
      </w:pPr>
      <w:r>
        <w:rPr>
          <w:i/>
        </w:rPr>
        <w:t>Az Európai Parlament</w:t>
      </w:r>
      <w:r>
        <w:t>,</w:t>
      </w:r>
    </w:p>
    <w:p w:rsidR="00793EA9" w:rsidRPr="006634AB" w:rsidRDefault="00793EA9">
      <w:pPr>
        <w:pStyle w:val="Normal12Hanging"/>
        <w:rPr>
          <w:noProof/>
        </w:rPr>
      </w:pPr>
      <w:r>
        <w:t>–</w:t>
      </w:r>
      <w:r>
        <w:tab/>
        <w:t>tekintettel a Bizottság Parlamenthez és Tanácshoz intézett javaslatára (COM(2018)0442),</w:t>
      </w:r>
    </w:p>
    <w:p w:rsidR="00793EA9" w:rsidRPr="006634AB" w:rsidRDefault="00793EA9">
      <w:pPr>
        <w:pStyle w:val="Normal12Hanging"/>
        <w:rPr>
          <w:noProof/>
        </w:rPr>
      </w:pPr>
      <w:r>
        <w:t>–</w:t>
      </w:r>
      <w:r>
        <w:tab/>
        <w:t>tekintettel az Európai Unió működéséről szóló szerződés 294. cikkének (2) bekezdésére valamint 33., 114. és 207. cikkére, amelyek alapján a Bizottság javaslatát benyújtotta a Parlamenthez (C8-0261/2018),</w:t>
      </w:r>
    </w:p>
    <w:p w:rsidR="00A26F46" w:rsidRPr="006634AB" w:rsidRDefault="00A26F46" w:rsidP="00A26F46">
      <w:pPr>
        <w:pStyle w:val="Normal12Hanging"/>
        <w:rPr>
          <w:noProof/>
        </w:rPr>
      </w:pPr>
      <w:r>
        <w:t>–</w:t>
      </w:r>
      <w:r>
        <w:tab/>
        <w:t>tekintettel az Európai Unió működéséről szóló szerződés 294. cikkének (3) bekezdésére,</w:t>
      </w:r>
    </w:p>
    <w:p w:rsidR="00793EA9" w:rsidRPr="006634AB" w:rsidRDefault="00793EA9">
      <w:pPr>
        <w:pStyle w:val="Normal12Hanging"/>
        <w:rPr>
          <w:noProof/>
        </w:rPr>
      </w:pPr>
      <w:r>
        <w:t>–</w:t>
      </w:r>
      <w:r>
        <w:tab/>
        <w:t>tekintettel eljárási szabályzata 59. cikkére,</w:t>
      </w:r>
    </w:p>
    <w:p w:rsidR="00793EA9" w:rsidRPr="006634AB" w:rsidRDefault="00793EA9">
      <w:pPr>
        <w:pStyle w:val="Normal12Hanging"/>
        <w:rPr>
          <w:noProof/>
        </w:rPr>
      </w:pPr>
      <w:r>
        <w:t>–</w:t>
      </w:r>
      <w:r>
        <w:tab/>
        <w:t>tekintettel a Belső Piaci és Fogyasztóvédelmi Bizottság jelentésére és a Költségvetési Bizottság és a Költségvetési Ellenőrző Bizottság véleményeire (A8-0464/2018),</w:t>
      </w:r>
    </w:p>
    <w:p w:rsidR="009F6C2F" w:rsidRPr="006634AB" w:rsidRDefault="009F6C2F" w:rsidP="009F6C2F">
      <w:pPr>
        <w:pStyle w:val="Normal12Hanging"/>
        <w:rPr>
          <w:noProof/>
        </w:rPr>
      </w:pPr>
      <w:r>
        <w:t>1.</w:t>
      </w:r>
      <w:r>
        <w:tab/>
        <w:t>elfogadja első olvasatban az alábbi álláspontot;</w:t>
      </w:r>
    </w:p>
    <w:p w:rsidR="009F6C2F" w:rsidRPr="006634AB" w:rsidRDefault="001115D8" w:rsidP="009F6C2F">
      <w:pPr>
        <w:pStyle w:val="Normal12Hanging"/>
        <w:rPr>
          <w:noProof/>
        </w:rPr>
      </w:pPr>
      <w:r>
        <w:t>2.</w:t>
      </w:r>
      <w:r>
        <w:tab/>
        <w:t>felkéri a Bizottságot, hogy utalja az ügyet újból a Parlamenthez, ha javaslata helyébe másik szöveget szándékozik léptetni, azt lényegesen módosítja vagy lényegesen módosítani kívánja;</w:t>
      </w:r>
    </w:p>
    <w:p w:rsidR="009F6C2F" w:rsidRPr="006634AB" w:rsidRDefault="001115D8" w:rsidP="009F6C2F">
      <w:pPr>
        <w:pStyle w:val="Normal12Hanging"/>
        <w:rPr>
          <w:noProof/>
        </w:rPr>
      </w:pPr>
      <w:r>
        <w:t>3.</w:t>
      </w:r>
      <w:r>
        <w:tab/>
        <w:t>utasítja elnökét, hogy továbbítsa a Parlament álláspontját a Tanácsnak és a Bizottságnak, valamint a nemzeti parlamenteknek.</w:t>
      </w:r>
    </w:p>
    <w:p w:rsidR="008E13A6" w:rsidRPr="00D26B44" w:rsidRDefault="008E13A6" w:rsidP="008E13A6">
      <w:pPr>
        <w:pStyle w:val="AMNumberTabs"/>
        <w:keepNext/>
        <w:rPr>
          <w:noProof/>
        </w:rPr>
      </w:pPr>
      <w:r>
        <w:rPr>
          <w:rStyle w:val="HideTWBExt"/>
          <w:b w:val="0"/>
        </w:rPr>
        <w:t>&lt;RepeatBlock-Amend&gt;</w:t>
      </w:r>
    </w:p>
    <w:p w:rsidR="008E13A6" w:rsidRPr="00D26B44" w:rsidRDefault="008E13A6" w:rsidP="008E13A6">
      <w:pPr>
        <w:pStyle w:val="AMNumberTabs"/>
        <w:keepNext/>
        <w:rPr>
          <w:noProof/>
        </w:rPr>
      </w:pP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1</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 preambulumbekezdés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w:t>
            </w:r>
            <w:r w:rsidRPr="00BE42FC">
              <w:tab/>
              <w:t>Az 1294/2013/EU rendelet</w:t>
            </w:r>
            <w:r w:rsidRPr="00BE42FC">
              <w:rPr>
                <w:vertAlign w:val="superscript"/>
              </w:rPr>
              <w:t>18</w:t>
            </w:r>
            <w:r w:rsidRPr="00BE42FC">
              <w:t xml:space="preserve"> és az elődei által létrehozott Vám 2020 program jelentősen hozzájárult a vámügyi együttműködés megkönnyítéséhez és megerősítéséhez. A vámügyek területén számos tevékenység határokon átnyúló </w:t>
            </w:r>
            <w:r w:rsidRPr="00BE42FC">
              <w:lastRenderedPageBreak/>
              <w:t>jellegű, valamennyi tagállamra kiterjed, illetve valamennyi tagállamot érinti, ezért e tevékenységeket az egyes tagállamok önállóan nem képesek eredményesen és hatékonyan végezni.</w:t>
            </w:r>
            <w:r w:rsidRPr="00BE42FC">
              <w:rPr>
                <w:b/>
                <w:i/>
              </w:rPr>
              <w:t xml:space="preserve"> Egy </w:t>
            </w:r>
            <w:r w:rsidRPr="00BE42FC">
              <w:t>a Bizottság által végrehajtott</w:t>
            </w:r>
            <w:r w:rsidRPr="00BE42FC">
              <w:rPr>
                <w:b/>
                <w:i/>
              </w:rPr>
              <w:t xml:space="preserve"> uniós szintű</w:t>
            </w:r>
            <w:r w:rsidRPr="00BE42FC">
              <w:t xml:space="preserve"> vámügyi program uniós keretet kínál a tagállamoknak </w:t>
            </w:r>
            <w:r w:rsidRPr="00BE42FC">
              <w:rPr>
                <w:b/>
                <w:i/>
              </w:rPr>
              <w:t>az említett</w:t>
            </w:r>
            <w:r w:rsidRPr="00BE42FC">
              <w:t xml:space="preserve"> együttműködési tevékenységek kidolgozására, ami költséghatékonyabb, mint ha az egyes tagállamok két- vagy többoldalú alapon külön-külön hoznák létre saját együttműködési keretüket. Ezért indokolt biztosítani a vámügyi együttműködés terén folytatott tevékenységek uniós finanszírozásának folytonosságát egy ugyanazon területre vonatkozó új program, a Vám program létrehozásával.</w:t>
            </w:r>
          </w:p>
        </w:tc>
        <w:tc>
          <w:tcPr>
            <w:tcW w:w="4876" w:type="dxa"/>
          </w:tcPr>
          <w:p w:rsidR="008E13A6" w:rsidRPr="00BE42FC" w:rsidRDefault="008E13A6" w:rsidP="002335C0">
            <w:pPr>
              <w:pStyle w:val="Normal6"/>
              <w:rPr>
                <w:noProof/>
                <w:szCs w:val="24"/>
              </w:rPr>
            </w:pPr>
            <w:r w:rsidRPr="00BE42FC">
              <w:lastRenderedPageBreak/>
              <w:t>(1)</w:t>
            </w:r>
            <w:r w:rsidRPr="00BE42FC">
              <w:tab/>
              <w:t>Az 1294/2013/EU rendelet</w:t>
            </w:r>
            <w:r w:rsidRPr="00BE42FC">
              <w:rPr>
                <w:vertAlign w:val="superscript"/>
              </w:rPr>
              <w:t>18</w:t>
            </w:r>
            <w:r w:rsidRPr="00BE42FC">
              <w:t xml:space="preserve"> és az elődei által létrehozott Vám 2020 program jelentősen hozzájárult a vámügyi együttműködés megkönnyítéséhez és megerősítéséhez. A vámügyek területén számos tevékenység határokon átnyúló </w:t>
            </w:r>
            <w:r w:rsidRPr="00BE42FC">
              <w:lastRenderedPageBreak/>
              <w:t>jellegű, valamennyi tagállamra kiterjed, illetve valamennyi tagállamot érinti, ezért e tevékenységeket az egyes tagállamok önállóan nem képesek eredményesen és hatékonyan végezni.</w:t>
            </w:r>
            <w:r w:rsidRPr="00BE42FC">
              <w:rPr>
                <w:b/>
                <w:i/>
              </w:rPr>
              <w:t xml:space="preserve"> </w:t>
            </w:r>
            <w:r w:rsidRPr="00BE42FC">
              <w:t>A Bizottság által végrehajtott</w:t>
            </w:r>
            <w:r w:rsidRPr="00BE42FC">
              <w:rPr>
                <w:b/>
                <w:i/>
              </w:rPr>
              <w:t>, az egész Unióra kiterjedő</w:t>
            </w:r>
            <w:r w:rsidRPr="00BE42FC">
              <w:t xml:space="preserve"> vámügyi program uniós</w:t>
            </w:r>
            <w:r w:rsidRPr="00BE42FC">
              <w:rPr>
                <w:b/>
                <w:i/>
              </w:rPr>
              <w:t xml:space="preserve"> szintű</w:t>
            </w:r>
            <w:r w:rsidRPr="00BE42FC">
              <w:t xml:space="preserve"> keretet kínál a tagállamoknak </w:t>
            </w:r>
            <w:r w:rsidRPr="00BE42FC">
              <w:rPr>
                <w:b/>
                <w:i/>
              </w:rPr>
              <w:t>ilyen</w:t>
            </w:r>
            <w:r w:rsidRPr="00BE42FC">
              <w:t xml:space="preserve"> együttműködési tevékenységek kidolgozására, ami költséghatékonyabb, mint ha az egyes tagállamok két- vagy többoldalú alapon külön-külön hoznák létre saját együttműködési keretüket.</w:t>
            </w:r>
            <w:r w:rsidRPr="00BE42FC">
              <w:rPr>
                <w:b/>
                <w:i/>
              </w:rPr>
              <w:t xml:space="preserve"> A Vám program lényeges szerepet játszik az Unió és a tagállamok pénzügyi érdekeinek védelmében is azáltal, hogy biztosítja a vámok tényleges beszedését és így jelentős bevételi forrást képez az uniós és a nemzeti költségvetések számára, valamint azáltal, hogy az informatikai kapacitásbővítésre és a vámok területén való fokozott együttműködésre összpontosít. Továbbá harmonizált és szabványosított ellenőrzésekre van szükség a határokon átnyúló illegális áruforgalom nyomon követése és a csalás elleni küzdelem érdekében.</w:t>
            </w:r>
            <w:r w:rsidRPr="00BE42FC">
              <w:t xml:space="preserve"> Ezért </w:t>
            </w:r>
            <w:r w:rsidRPr="00BE42FC">
              <w:rPr>
                <w:b/>
                <w:i/>
              </w:rPr>
              <w:t xml:space="preserve">– és a hatékonyság növelése érdekében – </w:t>
            </w:r>
            <w:r w:rsidRPr="00BE42FC">
              <w:t>indokoltbiztosítani a vámügyi együttműködés terén folytatott tevékenységek uniós finanszírozásának folytonosságát egy ugyanazon területre vonatkozó új program, a Vám program létrehozásával.</w:t>
            </w:r>
          </w:p>
        </w:tc>
      </w:tr>
      <w:tr w:rsidR="008E13A6" w:rsidRPr="00D26B44" w:rsidTr="002335C0">
        <w:trPr>
          <w:jc w:val="center"/>
        </w:trPr>
        <w:tc>
          <w:tcPr>
            <w:tcW w:w="4876" w:type="dxa"/>
          </w:tcPr>
          <w:p w:rsidR="008E13A6" w:rsidRPr="00BE42FC" w:rsidRDefault="008E13A6" w:rsidP="002335C0">
            <w:pPr>
              <w:pStyle w:val="Normal6"/>
              <w:rPr>
                <w:noProof/>
              </w:rPr>
            </w:pPr>
            <w:r w:rsidRPr="00BE42FC">
              <w:lastRenderedPageBreak/>
              <w:t>__________________</w:t>
            </w:r>
          </w:p>
        </w:tc>
        <w:tc>
          <w:tcPr>
            <w:tcW w:w="4876" w:type="dxa"/>
          </w:tcPr>
          <w:p w:rsidR="008E13A6" w:rsidRPr="00BE42FC" w:rsidRDefault="008E13A6" w:rsidP="002335C0">
            <w:pPr>
              <w:pStyle w:val="Normal6"/>
              <w:rPr>
                <w:noProof/>
                <w:szCs w:val="24"/>
              </w:rPr>
            </w:pPr>
            <w:r w:rsidRPr="00BE42FC">
              <w:t>__________________</w:t>
            </w:r>
          </w:p>
        </w:tc>
      </w:tr>
      <w:tr w:rsidR="008E13A6" w:rsidRPr="00D26B44" w:rsidTr="002335C0">
        <w:trPr>
          <w:jc w:val="center"/>
        </w:trPr>
        <w:tc>
          <w:tcPr>
            <w:tcW w:w="4876" w:type="dxa"/>
          </w:tcPr>
          <w:p w:rsidR="008E13A6" w:rsidRPr="00BE42FC" w:rsidRDefault="008E13A6" w:rsidP="002335C0">
            <w:pPr>
              <w:pStyle w:val="Normal6"/>
              <w:rPr>
                <w:noProof/>
              </w:rPr>
            </w:pPr>
            <w:r w:rsidRPr="00BE42FC">
              <w:rPr>
                <w:vertAlign w:val="superscript"/>
              </w:rPr>
              <w:t>18</w:t>
            </w:r>
            <w:r w:rsidRPr="00BE42FC">
              <w:t xml:space="preserve"> Az Európai Parlament és a Tanács 1294/2013/EU rendelete (2013. december 11.) a 2014 és 2020 közötti időszakra szóló, európai uniós vámügyi cselekvési program (Vám 2020) létrehozásáról, valamint a 624/2007/EK határozat hatályon kívül helyezéséről (HL L 347., 2013.12.20., 209. o.).</w:t>
            </w:r>
          </w:p>
        </w:tc>
        <w:tc>
          <w:tcPr>
            <w:tcW w:w="4876" w:type="dxa"/>
          </w:tcPr>
          <w:p w:rsidR="008E13A6" w:rsidRPr="00BE42FC" w:rsidRDefault="008E13A6" w:rsidP="002335C0">
            <w:pPr>
              <w:pStyle w:val="Normal6"/>
              <w:rPr>
                <w:noProof/>
                <w:szCs w:val="24"/>
              </w:rPr>
            </w:pPr>
            <w:r w:rsidRPr="00BE42FC">
              <w:rPr>
                <w:vertAlign w:val="superscript"/>
              </w:rPr>
              <w:t>18</w:t>
            </w:r>
            <w:r w:rsidRPr="00BE42FC">
              <w:t xml:space="preserve"> Az Európai Parlament és a Tanács 1294/2013/EU rendelete (2013. december 11.) a 2014 és 2020 közötti időszakra szóló, európai uniós vámügyi cselekvési program (Vám 2020) létrehozásáról, valamint a 624/2007/EK határozat hatályon kívül helyezéséről (HL L 347., 2013.12.20., 209. o.).</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 a preambulumbekezdés (új)</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b/>
                <w:bCs/>
                <w:i/>
                <w:iCs/>
                <w:noProof/>
              </w:rPr>
            </w:pPr>
          </w:p>
        </w:tc>
        <w:tc>
          <w:tcPr>
            <w:tcW w:w="4876" w:type="dxa"/>
          </w:tcPr>
          <w:p w:rsidR="008E13A6" w:rsidRPr="00BE42FC" w:rsidRDefault="008E13A6" w:rsidP="002335C0">
            <w:pPr>
              <w:pStyle w:val="Normal6"/>
              <w:rPr>
                <w:b/>
                <w:bCs/>
                <w:i/>
                <w:iCs/>
                <w:noProof/>
                <w:szCs w:val="24"/>
              </w:rPr>
            </w:pPr>
            <w:r w:rsidRPr="00BE42FC">
              <w:rPr>
                <w:b/>
                <w:bCs/>
                <w:i/>
                <w:iCs/>
              </w:rPr>
              <w:t>(1a)</w:t>
            </w:r>
            <w:r w:rsidRPr="00BE42FC">
              <w:rPr>
                <w:b/>
                <w:bCs/>
                <w:i/>
                <w:iCs/>
              </w:rPr>
              <w:tab/>
              <w:t>A nemzeti vámhatóságok által megvalósított vámunió immár 50 éve sarokköve az Uniónak, a világ egyik legnagyobb kereskedelmi tömbjének. A vámunió a sikeres uniós integráció jelentős példája, és nélkülözhetetlen az uniós vállalkozások és a polgárok javát egyaránt szolgáló egységes piac megfelelő működéséhez. Az Európai Parlament 2018. március 14-én elfogadott, „A következő többéves pénzügyi keret: a 2020 utáni többéves pénzügyi keretről kialakítandó parlamenti álláspont előkészítése” című állásfoglalásában különös aggodalmának adott hangot a vámcsalásokkal kapcsolatban. Csak úgy lehet megvalósítani egy erősebb és nagyratörőbb Uniót, ha megerősített pénzügyi eszközök állnak a rendelkezésére, a meglévő szakpolitikák folyamatos támogatásban részesülnek, és növekednek a források.</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3</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2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(2)</w:t>
            </w:r>
            <w:r w:rsidRPr="00BE42FC">
              <w:tab/>
              <w:t xml:space="preserve">A vámunió jelentősen fejlődött az elmúlt </w:t>
            </w:r>
            <w:r w:rsidRPr="00BE42FC">
              <w:rPr>
                <w:b/>
                <w:i/>
              </w:rPr>
              <w:t>ötven</w:t>
            </w:r>
            <w:r w:rsidRPr="00BE42FC">
              <w:t xml:space="preserve"> évben, és a vámigazgatási szervek már sikeresen hajtanak végre sokféle feladatot a határokon.</w:t>
            </w:r>
            <w:r w:rsidRPr="00BE42FC">
              <w:rPr>
                <w:b/>
                <w:i/>
              </w:rPr>
              <w:t xml:space="preserve"> </w:t>
            </w:r>
            <w:r w:rsidRPr="00BE42FC">
              <w:t xml:space="preserve">Együttműködve </w:t>
            </w:r>
            <w:r w:rsidRPr="00BE42FC">
              <w:rPr>
                <w:b/>
                <w:i/>
              </w:rPr>
              <w:t>munkálkodnak azon</w:t>
            </w:r>
            <w:r w:rsidRPr="00BE42FC">
              <w:t xml:space="preserve">, hogy elősegítsék </w:t>
            </w:r>
            <w:r w:rsidRPr="00BE42FC">
              <w:rPr>
                <w:b/>
                <w:i/>
              </w:rPr>
              <w:t>a</w:t>
            </w:r>
            <w:r w:rsidRPr="00BE42FC">
              <w:t xml:space="preserve"> kereskedelmet és csökkentsék a bürokráciát, hogy beszedjék a nemzeti és az uniós költségvetést megillető bevételeket, valamint hogy </w:t>
            </w:r>
            <w:r w:rsidRPr="00BE42FC">
              <w:rPr>
                <w:b/>
                <w:i/>
              </w:rPr>
              <w:t>védjék</w:t>
            </w:r>
            <w:r w:rsidRPr="00BE42FC">
              <w:t xml:space="preserve"> a </w:t>
            </w:r>
            <w:r w:rsidRPr="00BE42FC">
              <w:rPr>
                <w:b/>
                <w:i/>
              </w:rPr>
              <w:t>lakosságot</w:t>
            </w:r>
            <w:r w:rsidRPr="00BE42FC">
              <w:t xml:space="preserve"> a terrorista, egészségügyi, környezeti és egyéb fenyegetések ellen. Az </w:t>
            </w:r>
            <w:r w:rsidRPr="00BE42FC">
              <w:rPr>
                <w:b/>
                <w:i/>
              </w:rPr>
              <w:t>EU egészére kiterjedő</w:t>
            </w:r>
            <w:r w:rsidRPr="00BE42FC">
              <w:t xml:space="preserve"> közös kockázatkezelési keretrendszer</w:t>
            </w:r>
            <w:r w:rsidRPr="00BE42FC">
              <w:rPr>
                <w:vertAlign w:val="superscript"/>
              </w:rPr>
              <w:t>19</w:t>
            </w:r>
            <w:r w:rsidRPr="00BE42FC">
              <w:t xml:space="preserve"> bevezetése, valamint a nagy </w:t>
            </w:r>
            <w:r w:rsidRPr="00BE42FC">
              <w:rPr>
                <w:b/>
                <w:i/>
              </w:rPr>
              <w:t xml:space="preserve">készpénzösszegek mozgására </w:t>
            </w:r>
            <w:r w:rsidRPr="00BE42FC">
              <w:rPr>
                <w:b/>
                <w:i/>
              </w:rPr>
              <w:lastRenderedPageBreak/>
              <w:t>vonatkozó vámellenőrzéseknek</w:t>
            </w:r>
            <w:r w:rsidRPr="00BE42FC">
              <w:t xml:space="preserve"> a pénzmosás és a terrorizmus finanszírozása elleni küzdelmet szolgáló </w:t>
            </w:r>
            <w:r w:rsidRPr="00BE42FC">
              <w:rPr>
                <w:b/>
                <w:i/>
              </w:rPr>
              <w:t>bevezetése</w:t>
            </w:r>
            <w:r w:rsidRPr="00BE42FC">
              <w:t xml:space="preserve"> révén a vámhatóságok a terrorizmus</w:t>
            </w:r>
            <w:r w:rsidRPr="00BE42FC">
              <w:rPr>
                <w:b/>
                <w:i/>
              </w:rPr>
              <w:t xml:space="preserve"> és</w:t>
            </w:r>
            <w:r w:rsidRPr="00BE42FC">
              <w:t xml:space="preserve"> a szervezett bűnözés </w:t>
            </w:r>
            <w:r w:rsidRPr="00BE42FC">
              <w:rPr>
                <w:b/>
                <w:i/>
              </w:rPr>
              <w:t>elleni küzdelem frontvonalán működnek.</w:t>
            </w:r>
            <w:r w:rsidRPr="00BE42FC">
              <w:t xml:space="preserve"> </w:t>
            </w:r>
            <w:r w:rsidRPr="00BE42FC">
              <w:rPr>
                <w:b/>
                <w:i/>
              </w:rPr>
              <w:t>E felhatalmazás</w:t>
            </w:r>
            <w:r w:rsidRPr="00BE42FC">
              <w:t xml:space="preserve"> széles </w:t>
            </w:r>
            <w:r w:rsidRPr="00BE42FC">
              <w:rPr>
                <w:b/>
                <w:i/>
              </w:rPr>
              <w:t>körére</w:t>
            </w:r>
            <w:r w:rsidRPr="00BE42FC">
              <w:t xml:space="preserve"> tekintettel a vámhatóságok jelenleg </w:t>
            </w:r>
            <w:r w:rsidRPr="00BE42FC">
              <w:rPr>
                <w:b/>
                <w:i/>
              </w:rPr>
              <w:t>gyakorlatilag</w:t>
            </w:r>
            <w:r w:rsidRPr="00BE42FC">
              <w:t xml:space="preserve"> az EU külső határain történő áruellenőrzésért felelős </w:t>
            </w:r>
            <w:r w:rsidRPr="00BE42FC">
              <w:rPr>
                <w:b/>
                <w:i/>
              </w:rPr>
              <w:t>vezető</w:t>
            </w:r>
            <w:r w:rsidRPr="00BE42FC">
              <w:t xml:space="preserve"> hatóságot jelentik. Ezzel összefüggésben a Vám programnak nemcsak a vámügyi együttműködésre kell kiterjednie, hanem </w:t>
            </w:r>
            <w:r w:rsidRPr="00BE42FC">
              <w:rPr>
                <w:b/>
                <w:i/>
              </w:rPr>
              <w:t>ki</w:t>
            </w:r>
            <w:r w:rsidRPr="00BE42FC">
              <w:t xml:space="preserve"> kell </w:t>
            </w:r>
            <w:r w:rsidRPr="00BE42FC">
              <w:rPr>
                <w:b/>
                <w:i/>
              </w:rPr>
              <w:t>terjesztenie</w:t>
            </w:r>
            <w:r w:rsidRPr="00BE42FC">
              <w:t xml:space="preserve"> a </w:t>
            </w:r>
            <w:r w:rsidRPr="00BE42FC">
              <w:rPr>
                <w:b/>
                <w:i/>
              </w:rPr>
              <w:t>támogatását általában véve a vámhatóságok küldetésére</w:t>
            </w:r>
            <w:r w:rsidRPr="00BE42FC">
              <w:t xml:space="preserve">, melyet a 952/2013/EU rendelet 3. cikke határoz meg, </w:t>
            </w:r>
            <w:r w:rsidRPr="00BE42FC">
              <w:rPr>
                <w:b/>
                <w:i/>
              </w:rPr>
              <w:t>azaz</w:t>
            </w:r>
            <w:r w:rsidRPr="00BE42FC">
              <w:t xml:space="preserve"> az Unió nemzetközi kereskedelmének felügyeletére, a belső piac külső vonatkozásainak, a közös kereskedelempolitikának és a kereskedelemmel összefüggő más közös uniós politikáknak a végrehajtására, valamint az ellátási lánc biztonságára is. </w:t>
            </w:r>
            <w:r w:rsidRPr="00BE42FC">
              <w:rPr>
                <w:b/>
                <w:i/>
              </w:rPr>
              <w:t>A jogalap</w:t>
            </w:r>
            <w:r w:rsidRPr="00BE42FC">
              <w:t xml:space="preserve"> ezért </w:t>
            </w:r>
            <w:r w:rsidRPr="00BE42FC">
              <w:rPr>
                <w:b/>
                <w:i/>
              </w:rPr>
              <w:t>átfogja</w:t>
            </w:r>
            <w:r w:rsidRPr="00BE42FC">
              <w:t xml:space="preserve"> a vámügyi együttműködést (az EUMSZ 33. cikke), a belső piacot (az EUMSZ 114. cikke) és a kereskedelempolitikát (az EUMSZ 207. cikke).</w:t>
            </w:r>
          </w:p>
        </w:tc>
        <w:tc>
          <w:tcPr>
            <w:tcW w:w="4876" w:type="dxa"/>
            <w:hideMark/>
          </w:tcPr>
          <w:p w:rsidR="008E13A6" w:rsidRPr="00BE42FC" w:rsidRDefault="008E13A6" w:rsidP="002335C0">
            <w:pPr>
              <w:pStyle w:val="Normal6"/>
              <w:rPr>
                <w:noProof/>
                <w:szCs w:val="24"/>
              </w:rPr>
            </w:pPr>
            <w:r w:rsidRPr="00BE42FC">
              <w:lastRenderedPageBreak/>
              <w:t>(2)</w:t>
            </w:r>
            <w:r w:rsidRPr="00BE42FC">
              <w:tab/>
              <w:t xml:space="preserve">A vámunió jelentősen fejlődött az elmúlt </w:t>
            </w:r>
            <w:r w:rsidRPr="00BE42FC">
              <w:rPr>
                <w:b/>
                <w:i/>
              </w:rPr>
              <w:t>50</w:t>
            </w:r>
            <w:r w:rsidRPr="00BE42FC">
              <w:t xml:space="preserve"> évben, és a vámigazgatási szervek már sikeresen hajtanak végre sokféle feladatot a határokon.</w:t>
            </w:r>
            <w:r w:rsidRPr="00BE42FC">
              <w:rPr>
                <w:b/>
                <w:i/>
              </w:rPr>
              <w:t xml:space="preserve"> </w:t>
            </w:r>
            <w:r w:rsidRPr="00BE42FC">
              <w:t xml:space="preserve">Együttműködve </w:t>
            </w:r>
            <w:r w:rsidRPr="00BE42FC">
              <w:rPr>
                <w:b/>
                <w:i/>
              </w:rPr>
              <w:t>törekednek arra</w:t>
            </w:r>
            <w:r w:rsidRPr="00BE42FC">
              <w:t xml:space="preserve">, hogy elősegítsék </w:t>
            </w:r>
            <w:r w:rsidRPr="00BE42FC">
              <w:rPr>
                <w:b/>
                <w:i/>
              </w:rPr>
              <w:t>az etikus és tisztességes</w:t>
            </w:r>
            <w:r w:rsidRPr="00BE42FC">
              <w:t xml:space="preserve"> kereskedelmet és csökkentsék a bürokráciát, hogy beszedjék a nemzeti és az uniós költségvetést megillető bevételeket, valamint hogy </w:t>
            </w:r>
            <w:r w:rsidRPr="00BE42FC">
              <w:rPr>
                <w:b/>
                <w:i/>
              </w:rPr>
              <w:t>segítsék</w:t>
            </w:r>
            <w:r w:rsidRPr="00BE42FC">
              <w:t xml:space="preserve"> a </w:t>
            </w:r>
            <w:r w:rsidRPr="00BE42FC">
              <w:rPr>
                <w:b/>
                <w:i/>
              </w:rPr>
              <w:t>lakosság megvédését</w:t>
            </w:r>
            <w:r w:rsidRPr="00BE42FC">
              <w:t xml:space="preserve"> a terrorista, egészségügyi, környezeti és egyéb fenyegetések ellen. Az </w:t>
            </w:r>
            <w:r w:rsidRPr="00BE42FC">
              <w:rPr>
                <w:b/>
                <w:i/>
              </w:rPr>
              <w:t>uniós szintű</w:t>
            </w:r>
            <w:r w:rsidRPr="00BE42FC">
              <w:t xml:space="preserve"> közös</w:t>
            </w:r>
            <w:r w:rsidRPr="00BE42FC">
              <w:rPr>
                <w:b/>
                <w:i/>
              </w:rPr>
              <w:t xml:space="preserve"> vámügyi</w:t>
            </w:r>
            <w:r w:rsidRPr="00BE42FC">
              <w:t xml:space="preserve"> kockázatkezelési keretrendszer</w:t>
            </w:r>
            <w:r w:rsidRPr="00BE42FC">
              <w:rPr>
                <w:vertAlign w:val="superscript"/>
              </w:rPr>
              <w:t>19</w:t>
            </w:r>
            <w:r w:rsidRPr="00BE42FC">
              <w:t xml:space="preserve"> bevezetése, valamint a nagy </w:t>
            </w:r>
            <w:r w:rsidRPr="00BE42FC">
              <w:rPr>
                <w:b/>
                <w:i/>
              </w:rPr>
              <w:t xml:space="preserve">összegű </w:t>
            </w:r>
            <w:r w:rsidRPr="00BE42FC">
              <w:rPr>
                <w:b/>
                <w:i/>
              </w:rPr>
              <w:lastRenderedPageBreak/>
              <w:t>készpénzáramlásoknak</w:t>
            </w:r>
            <w:r w:rsidRPr="00BE42FC">
              <w:t xml:space="preserve"> a pénzmosás és a terrorizmus finanszírozása elleni küzdelmet szolgáló </w:t>
            </w:r>
            <w:r w:rsidRPr="00BE42FC">
              <w:rPr>
                <w:b/>
                <w:i/>
              </w:rPr>
              <w:t>ellenőrzése</w:t>
            </w:r>
            <w:r w:rsidRPr="00BE42FC">
              <w:t xml:space="preserve"> révén a vámhatóságok </w:t>
            </w:r>
            <w:r w:rsidRPr="00BE42FC">
              <w:rPr>
                <w:b/>
                <w:i/>
              </w:rPr>
              <w:t xml:space="preserve">vezető szerepet vállalnak </w:t>
            </w:r>
            <w:r w:rsidRPr="00BE42FC">
              <w:t>a terrorizmus</w:t>
            </w:r>
            <w:r w:rsidRPr="00BE42FC">
              <w:rPr>
                <w:b/>
                <w:i/>
              </w:rPr>
              <w:t>,</w:t>
            </w:r>
            <w:r w:rsidRPr="00BE42FC">
              <w:t xml:space="preserve"> a szervezett bűnözés </w:t>
            </w:r>
            <w:r w:rsidRPr="00BE42FC">
              <w:rPr>
                <w:b/>
                <w:i/>
              </w:rPr>
              <w:t>és a tisztességtelen verseny elleni küzdelemben.</w:t>
            </w:r>
            <w:r w:rsidRPr="00BE42FC">
              <w:t xml:space="preserve"> Széles </w:t>
            </w:r>
            <w:r w:rsidRPr="00BE42FC">
              <w:rPr>
                <w:b/>
                <w:i/>
              </w:rPr>
              <w:t>körű felhatalmazásukra</w:t>
            </w:r>
            <w:r w:rsidRPr="00BE42FC">
              <w:t xml:space="preserve"> tekintettel a vámhatóságok jelenleg </w:t>
            </w:r>
            <w:r w:rsidRPr="00BE42FC">
              <w:rPr>
                <w:b/>
                <w:i/>
              </w:rPr>
              <w:t>valóban</w:t>
            </w:r>
            <w:r w:rsidRPr="00BE42FC">
              <w:t xml:space="preserve"> az EU külső határain történő áruellenőrzésért felelős </w:t>
            </w:r>
            <w:r w:rsidRPr="00BE42FC">
              <w:rPr>
                <w:b/>
                <w:i/>
              </w:rPr>
              <w:t>fő</w:t>
            </w:r>
            <w:r w:rsidRPr="00BE42FC">
              <w:t xml:space="preserve"> hatóságot jelentik. Ezzel összefüggésben a Vám programnak nemcsak a vámügyi együttműködésre kell kiterjednie, hanem </w:t>
            </w:r>
            <w:r w:rsidRPr="00BE42FC">
              <w:rPr>
                <w:b/>
                <w:i/>
              </w:rPr>
              <w:t>támogatást</w:t>
            </w:r>
            <w:r w:rsidRPr="00BE42FC">
              <w:t xml:space="preserve"> kell </w:t>
            </w:r>
            <w:r w:rsidRPr="00BE42FC">
              <w:rPr>
                <w:b/>
                <w:i/>
              </w:rPr>
              <w:t>nyújtania</w:t>
            </w:r>
            <w:r w:rsidRPr="00BE42FC">
              <w:t xml:space="preserve"> a </w:t>
            </w:r>
            <w:r w:rsidRPr="00BE42FC">
              <w:rPr>
                <w:b/>
                <w:i/>
              </w:rPr>
              <w:t>szélesebb körű vámküldetéshez</w:t>
            </w:r>
            <w:r w:rsidRPr="00BE42FC">
              <w:t xml:space="preserve">, melyet a 952/2013/EU rendelet 3. cikke határoz meg, </w:t>
            </w:r>
            <w:r w:rsidRPr="00BE42FC">
              <w:rPr>
                <w:b/>
                <w:i/>
              </w:rPr>
              <w:t>nevezetesen</w:t>
            </w:r>
            <w:r w:rsidRPr="00BE42FC">
              <w:t xml:space="preserve"> az Unió nemzetközi kereskedelmének felügyeletéhez, a belső piac külső vonatkozásainak, a közös kereskedelempolitikának és a kereskedelemmel összefüggő más közös uniós politikáknak a végrehajtásához, valamint az ellátási lánc biztonságához is. </w:t>
            </w:r>
            <w:r w:rsidRPr="00BE42FC">
              <w:rPr>
                <w:b/>
                <w:i/>
              </w:rPr>
              <w:t>E rendelet jogalapjának</w:t>
            </w:r>
            <w:r w:rsidRPr="00BE42FC">
              <w:t xml:space="preserve"> ezért </w:t>
            </w:r>
            <w:r w:rsidRPr="00BE42FC">
              <w:rPr>
                <w:b/>
                <w:i/>
              </w:rPr>
              <w:t>át kell fognia</w:t>
            </w:r>
            <w:r w:rsidRPr="00BE42FC">
              <w:t xml:space="preserve"> a vámügyi együttműködést (az EUMSZ 33. cikke), a belső piacot (az EUMSZ 114. cikke) és a kereskedelempolitikát (az EUMSZ 207. cikke).</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lastRenderedPageBreak/>
              <w:t>__________________</w:t>
            </w:r>
          </w:p>
        </w:tc>
        <w:tc>
          <w:tcPr>
            <w:tcW w:w="4876" w:type="dxa"/>
            <w:hideMark/>
          </w:tcPr>
          <w:p w:rsidR="008E13A6" w:rsidRPr="00BE42FC" w:rsidRDefault="008E13A6" w:rsidP="002335C0">
            <w:pPr>
              <w:pStyle w:val="Normal6"/>
              <w:rPr>
                <w:noProof/>
                <w:szCs w:val="24"/>
              </w:rPr>
            </w:pPr>
            <w:r w:rsidRPr="00BE42FC">
              <w:t>__________________</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rPr>
                <w:vertAlign w:val="superscript"/>
              </w:rPr>
              <w:t>19</w:t>
            </w:r>
            <w:r w:rsidRPr="00BE42FC">
              <w:t xml:space="preserve"> https://ec.europa.eu/taxation_customs/general-information-customs/customs-risk-management/measures-customs-risk-management-framework-crmf_en</w:t>
            </w:r>
          </w:p>
        </w:tc>
        <w:tc>
          <w:tcPr>
            <w:tcW w:w="4876" w:type="dxa"/>
            <w:hideMark/>
          </w:tcPr>
          <w:p w:rsidR="008E13A6" w:rsidRPr="00BE42FC" w:rsidRDefault="008E13A6" w:rsidP="002335C0">
            <w:pPr>
              <w:pStyle w:val="Normal6"/>
              <w:rPr>
                <w:noProof/>
                <w:szCs w:val="24"/>
              </w:rPr>
            </w:pPr>
            <w:r w:rsidRPr="00BE42FC">
              <w:rPr>
                <w:vertAlign w:val="superscript"/>
              </w:rPr>
              <w:t>19</w:t>
            </w:r>
            <w:r w:rsidRPr="00BE42FC">
              <w:t xml:space="preserve"> https://ec.europa.eu/taxation_customs/general-information-customs/customs-risk-management/measures-customs-risk-management-framework-crmf_en</w:t>
            </w:r>
          </w:p>
        </w:tc>
      </w:tr>
    </w:tbl>
    <w:p w:rsidR="008E13A6" w:rsidRPr="00D26B44" w:rsidRDefault="008E13A6" w:rsidP="008E13A6">
      <w:pPr>
        <w:rPr>
          <w:noProof/>
        </w:rPr>
      </w:pPr>
      <w:r>
        <w:rPr>
          <w:rStyle w:val="HideTWBExt"/>
        </w:rPr>
        <w:t>&lt;/Amend&gt;</w:t>
      </w:r>
    </w:p>
    <w:p w:rsidR="008E13A6" w:rsidRPr="00D26B44" w:rsidRDefault="008E13A6" w:rsidP="008E13A6">
      <w:pPr>
        <w:rPr>
          <w:noProof/>
        </w:rPr>
      </w:pP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4</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3 preambulumbekezdés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(3)</w:t>
            </w:r>
            <w:r w:rsidRPr="00BE42FC">
              <w:tab/>
            </w:r>
            <w:r w:rsidRPr="00BE42FC">
              <w:rPr>
                <w:b/>
                <w:i/>
              </w:rPr>
              <w:t>Azzal</w:t>
            </w:r>
            <w:r w:rsidRPr="00BE42FC">
              <w:t xml:space="preserve">, hogy a vámunió és a vámhatóságok támogatását célul kitűző keretet biztosít az intézkedéseknek, a </w:t>
            </w:r>
            <w:r w:rsidRPr="00BE42FC">
              <w:rPr>
                <w:b/>
                <w:i/>
              </w:rPr>
              <w:t>program várhatóan hozzájárul</w:t>
            </w:r>
            <w:r w:rsidRPr="00BE42FC">
              <w:t xml:space="preserve"> az </w:t>
            </w:r>
            <w:r w:rsidRPr="00BE42FC">
              <w:rPr>
                <w:b/>
                <w:i/>
              </w:rPr>
              <w:t>Unió</w:t>
            </w:r>
            <w:r w:rsidRPr="00BE42FC">
              <w:t xml:space="preserve"> és </w:t>
            </w:r>
            <w:r w:rsidRPr="00BE42FC">
              <w:lastRenderedPageBreak/>
              <w:t xml:space="preserve">tagállamai pénzügyi és gazdasági érdekeinek védelméhez; az </w:t>
            </w:r>
            <w:r w:rsidRPr="00BE42FC">
              <w:rPr>
                <w:b/>
                <w:i/>
              </w:rPr>
              <w:t>Unió</w:t>
            </w:r>
            <w:r w:rsidRPr="00BE42FC">
              <w:t xml:space="preserve"> tisztességtelen és jogellenes </w:t>
            </w:r>
            <w:r w:rsidRPr="00BE42FC">
              <w:rPr>
                <w:b/>
                <w:i/>
              </w:rPr>
              <w:t>kereskedelemmel szembeni védelméhez</w:t>
            </w:r>
            <w:r w:rsidRPr="00BE42FC">
              <w:t>, a jogszerű üzleti tevékenység támogatása mellett</w:t>
            </w:r>
            <w:r w:rsidRPr="00BE42FC">
              <w:rPr>
                <w:b/>
                <w:i/>
              </w:rPr>
              <w:t xml:space="preserve">; </w:t>
            </w:r>
            <w:r w:rsidRPr="00BE42FC">
              <w:t xml:space="preserve">az Unió és lakosai </w:t>
            </w:r>
            <w:r w:rsidRPr="00BE42FC">
              <w:rPr>
                <w:b/>
                <w:i/>
              </w:rPr>
              <w:t>biztonságának</w:t>
            </w:r>
            <w:r w:rsidRPr="00BE42FC">
              <w:t xml:space="preserve"> és </w:t>
            </w:r>
            <w:r w:rsidRPr="00BE42FC">
              <w:rPr>
                <w:b/>
                <w:i/>
              </w:rPr>
              <w:t>védelmének biztosításához</w:t>
            </w:r>
            <w:r w:rsidRPr="00BE42FC">
              <w:t xml:space="preserve">; valamint a törvényes </w:t>
            </w:r>
            <w:r w:rsidRPr="00BE42FC">
              <w:rPr>
                <w:b/>
                <w:i/>
              </w:rPr>
              <w:t>kereskedelem</w:t>
            </w:r>
            <w:r w:rsidRPr="00BE42FC">
              <w:t xml:space="preserve"> annak érdekében</w:t>
            </w:r>
            <w:r w:rsidRPr="00BE42FC">
              <w:rPr>
                <w:b/>
                <w:i/>
              </w:rPr>
              <w:t xml:space="preserve"> történő támogatásához</w:t>
            </w:r>
            <w:r w:rsidRPr="00BE42FC">
              <w:t>, hogy a vállalkozások és a polgárok teljes mértékben ki tudják használni a belső piac és a globális kereskedelem előnyeit.</w:t>
            </w:r>
          </w:p>
        </w:tc>
        <w:tc>
          <w:tcPr>
            <w:tcW w:w="4876" w:type="dxa"/>
          </w:tcPr>
          <w:p w:rsidR="008E13A6" w:rsidRPr="00BE42FC" w:rsidRDefault="008E13A6" w:rsidP="002335C0">
            <w:pPr>
              <w:pStyle w:val="Normal6"/>
              <w:rPr>
                <w:noProof/>
                <w:szCs w:val="24"/>
              </w:rPr>
            </w:pPr>
            <w:r w:rsidRPr="00BE42FC">
              <w:lastRenderedPageBreak/>
              <w:t>(3)</w:t>
            </w:r>
            <w:r w:rsidRPr="00BE42FC">
              <w:tab/>
            </w:r>
            <w:r w:rsidRPr="00BE42FC">
              <w:rPr>
                <w:b/>
                <w:i/>
              </w:rPr>
              <w:t>A programnak általános célkitűzésként segítenie kell a tagállamokat és a Bizottságot azzal</w:t>
            </w:r>
            <w:r w:rsidRPr="00BE42FC">
              <w:t xml:space="preserve">, hogy a vámunió és a vámhatóságok támogatását </w:t>
            </w:r>
            <w:r w:rsidRPr="00BE42FC">
              <w:lastRenderedPageBreak/>
              <w:t>célul kitűző keretet biztosít az intézkedéseknek</w:t>
            </w:r>
            <w:r w:rsidRPr="00BE42FC">
              <w:rPr>
                <w:b/>
                <w:i/>
              </w:rPr>
              <w:t xml:space="preserve"> azzal a hosszú távú céllal</w:t>
            </w:r>
            <w:r w:rsidRPr="00BE42FC">
              <w:t xml:space="preserve">, </w:t>
            </w:r>
            <w:r w:rsidRPr="00BE42FC">
              <w:rPr>
                <w:b/>
                <w:i/>
              </w:rPr>
              <w:t xml:space="preserve">hogy az Unión belül az összes vámigazgatási szerv </w:t>
            </w:r>
            <w:r w:rsidRPr="00BE42FC">
              <w:t xml:space="preserve">a </w:t>
            </w:r>
            <w:r w:rsidRPr="00BE42FC">
              <w:rPr>
                <w:b/>
                <w:i/>
              </w:rPr>
              <w:t>lehető legszorosabban együttműködjön;</w:t>
            </w:r>
            <w:r w:rsidRPr="00BE42FC">
              <w:t xml:space="preserve"> </w:t>
            </w:r>
            <w:r w:rsidRPr="00BE42FC">
              <w:rPr>
                <w:b/>
                <w:i/>
              </w:rPr>
              <w:t>hozzá kell járulnia</w:t>
            </w:r>
            <w:r w:rsidRPr="00BE42FC">
              <w:t xml:space="preserve"> az </w:t>
            </w:r>
            <w:r w:rsidRPr="00BE42FC">
              <w:rPr>
                <w:b/>
                <w:i/>
              </w:rPr>
              <w:t>EU</w:t>
            </w:r>
            <w:r w:rsidRPr="00BE42FC">
              <w:t xml:space="preserve"> és</w:t>
            </w:r>
            <w:r w:rsidRPr="00BE42FC">
              <w:rPr>
                <w:b/>
                <w:i/>
              </w:rPr>
              <w:t xml:space="preserve"> annak</w:t>
            </w:r>
            <w:r w:rsidRPr="00BE42FC">
              <w:t xml:space="preserve"> tagállamai pénzügyi és gazdasági érdekeinek védelméhez; </w:t>
            </w:r>
            <w:r w:rsidRPr="00BE42FC">
              <w:rPr>
                <w:b/>
                <w:i/>
              </w:rPr>
              <w:t xml:space="preserve">meg kell védenie </w:t>
            </w:r>
            <w:r w:rsidRPr="00BE42FC">
              <w:t xml:space="preserve">az </w:t>
            </w:r>
            <w:r w:rsidRPr="00BE42FC">
              <w:rPr>
                <w:b/>
                <w:i/>
              </w:rPr>
              <w:t>Uniót a</w:t>
            </w:r>
            <w:r w:rsidRPr="00BE42FC">
              <w:t xml:space="preserve"> tisztességtelen és jogellenes </w:t>
            </w:r>
            <w:r w:rsidRPr="00BE42FC">
              <w:rPr>
                <w:b/>
                <w:i/>
              </w:rPr>
              <w:t>kereskedelmi gyakorlatokkal szemben</w:t>
            </w:r>
            <w:r w:rsidRPr="00BE42FC">
              <w:t>, a jogszerű üzleti tevékenység támogatása mellett</w:t>
            </w:r>
            <w:r w:rsidRPr="00BE42FC">
              <w:rPr>
                <w:b/>
                <w:i/>
              </w:rPr>
              <w:t>, biztosítva</w:t>
            </w:r>
            <w:r w:rsidRPr="00BE42FC">
              <w:t xml:space="preserve"> az Unió és lakosai </w:t>
            </w:r>
            <w:r w:rsidRPr="00BE42FC">
              <w:rPr>
                <w:b/>
                <w:i/>
              </w:rPr>
              <w:t>biztonságát</w:t>
            </w:r>
            <w:r w:rsidRPr="00BE42FC">
              <w:t xml:space="preserve"> és </w:t>
            </w:r>
            <w:r w:rsidRPr="00BE42FC">
              <w:rPr>
                <w:b/>
                <w:i/>
              </w:rPr>
              <w:t>védelmét, ezáltal fokozva a fogyasztóvédelmet</w:t>
            </w:r>
            <w:r w:rsidRPr="00BE42FC">
              <w:t>; valamint</w:t>
            </w:r>
            <w:r w:rsidRPr="00BE42FC">
              <w:rPr>
                <w:b/>
                <w:i/>
              </w:rPr>
              <w:t xml:space="preserve"> támogatnia kell</w:t>
            </w:r>
            <w:r w:rsidRPr="00BE42FC">
              <w:t xml:space="preserve"> a törvényes </w:t>
            </w:r>
            <w:r w:rsidRPr="00BE42FC">
              <w:rPr>
                <w:b/>
                <w:i/>
              </w:rPr>
              <w:t>kereskedelmet</w:t>
            </w:r>
            <w:r w:rsidRPr="00BE42FC">
              <w:t xml:space="preserve"> annak érdekében, hogy a vállalkozások és a polgárok teljes mértékben ki tudják használni a belső piac és a globális kereskedelem előnyeit.</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3 a preambulumbekezdés (új)</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(3a)</w:t>
            </w:r>
            <w:r w:rsidRPr="00BE42FC">
              <w:rPr>
                <w:b/>
                <w:i/>
              </w:rPr>
              <w:tab/>
              <w:t>Mivel nyilvánvalóvá vált, hogy az Uniós Vámkódex 278. cikkében foglalt egyes rendszereket csak részlegesen lehet elindítani 2020. december 31-re, amiből az következik, hogy a nem elektronikus rendszereket e dátumot követően is használni fogják, és amennyiben a határidő jogalkotási módosítások útján nem kerül meghosszabbításra, a vállalkozások és a vámhatóságok nem fognak tudni eleget tenni feladataiknak és törvényi kötelezettségeiknek a vámügyek tekintetében, a program egyik elsődleges konkrét céljának annak kell lennie, hogy segítse a tagállamokat és a Bizottságot az ilyen elektronikus rendszerek létrehozásában.</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6</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3 b preambulumbekezdés (új)</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(3b)</w:t>
            </w:r>
            <w:r w:rsidRPr="00BE42FC">
              <w:rPr>
                <w:b/>
                <w:i/>
              </w:rPr>
              <w:tab/>
              <w:t>A vámigazgatás és -irányítás dinamikus szakpolitikai terület, amely a folyamatosan változó globális üzleti modellek és ellátási láncok által generált új kihívásokkal, valamint változó fogyasztási mintákkal és a digitális átalakulással néz szembe, mint például az e-kereskedelem, ideértve a dolgok internetét, az adatelemzést, a mesterséges intelligenciát és a blokklánc-technológiát. A programnak támogatnia kell a vámigazgatást ilyen helyzetekben, és lehetővé kell tennie innovatív megoldások alkalmazását. E kihívások továbbá hangsúlyozzák a vámhatóságok közötti együttműködés megvalósításának szükségességét, valamint a vámjogszabályok egységes értelmezése és végrehajtása iránti igényt. Amikor az államháztartások nyomás alatt állnak, a világkereskedelem volumene nő, és a csalás és a csempészet egyre nagyobb problémát jelent, a programnak hozzá kell járulnia e kihívások kezeléséhez.</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7</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3 c preambulumbekezdés (új)</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(3c)</w:t>
            </w:r>
            <w:r w:rsidRPr="00BE42FC">
              <w:rPr>
                <w:b/>
                <w:i/>
              </w:rPr>
              <w:tab/>
              <w:t xml:space="preserve">A lehető legnagyobb hatékonyság biztosítása és az átfedések elkerülése érdekében a Bizottságnak össze kell hangolnia a program végrehajtását a kapcsolódó uniós programokkal és alapokkal. Ez kiterjed különösen a Fiscalis programra, a csalás elleni uniós programra és az Egységes piac programra, továbbá a Belső Biztonsági Alapra és az Integrált Határigazgatási Alapra, a reformtámogató programra, a Digitális Európa programra, az Európai Hálózatfinanszírozási Eszközre és az Európai Unió saját forrásainak </w:t>
            </w:r>
            <w:r w:rsidRPr="00BE42FC">
              <w:rPr>
                <w:b/>
                <w:i/>
              </w:rPr>
              <w:lastRenderedPageBreak/>
              <w:t>rendszeréről szóló tanácsi határozatra, valamint a végrehajtási rendeletekre és intézkedésekre.</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8</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3 d preambulumbekezdés (új)</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(3d)</w:t>
            </w:r>
            <w:r w:rsidRPr="00BE42FC">
              <w:rPr>
                <w:b/>
                <w:i/>
              </w:rPr>
              <w:tab/>
              <w:t>Az Egyesült Királyságnak az Európai Unióból való lehetséges kilépésével összefüggésben a program pénzügyi kerete nem veszi figyelembe a kilépésről rendelkező megállapodás aláírásából eredő költségeket és az Egyesült Királyság és az Unió közötti kapcsolatok lehetséges jövőbeli alakulását. Az említett megállapodás aláírása, az Egyesült Királyság valamennyi meglévő vámrendszerből és együttműködésből való kilépése és ezen a területen jogi kötelezettségeinek megszűnése további költségekhez fog vezetni, amelyeket nem lehet pontosan megbecsülni a program létrehozásának időpontjában. A Bizottságnak ezért fontolóra kell vennie, hogy az említett esetleges költségekre való felkészülésként elegendő forrást helyezzen tartalékba. Ezeket a költségeket azonban nem szabad a program keretéből fedezni, mivel a programban előirányzott költségvetés csak a program létrehozásának időpontjában reálisan előre látható költségek fedezésére lesz elegendő.</w:t>
            </w:r>
          </w:p>
        </w:tc>
      </w:tr>
    </w:tbl>
    <w:p w:rsidR="008E13A6" w:rsidRPr="00D26B44" w:rsidRDefault="008E13A6" w:rsidP="008E13A6">
      <w:pPr>
        <w:rPr>
          <w:noProof/>
        </w:rPr>
      </w:pPr>
      <w:r>
        <w:rPr>
          <w:rStyle w:val="HideTWBExt"/>
        </w:rPr>
        <w:t>&lt;/Amend&gt;</w:t>
      </w:r>
    </w:p>
    <w:p w:rsidR="008E13A6" w:rsidRPr="00D26B44" w:rsidRDefault="008E13A6" w:rsidP="008E13A6">
      <w:pPr>
        <w:rPr>
          <w:noProof/>
        </w:rPr>
      </w:pP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9</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5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(5)</w:t>
            </w:r>
            <w:r w:rsidRPr="00BE42FC">
              <w:tab/>
              <w:t xml:space="preserve">A harmadik országok csatlakozási és társulási folyamatának támogatása </w:t>
            </w:r>
            <w:r w:rsidRPr="00BE42FC">
              <w:lastRenderedPageBreak/>
              <w:t xml:space="preserve">érdekében a programnak – </w:t>
            </w:r>
            <w:r w:rsidRPr="00BE42FC">
              <w:rPr>
                <w:b/>
                <w:i/>
              </w:rPr>
              <w:t>bizonyos feltételek</w:t>
            </w:r>
            <w:r w:rsidRPr="00BE42FC">
              <w:t xml:space="preserve"> teljesítése esetén – nyitva kell állnia a csatlakozó és a tagjelölt országok, valamint a potenciális tagjelöltek és az európai szomszédságpolitika partnerországai előtt. Más harmadik országok számára is nyitva állhat, az Unió és ezen országok által megkötött, az Unió bármely programjában való részvételükre kiterjedő egyedi megállapodásokban megállapított feltételekkel összhangban.</w:t>
            </w:r>
          </w:p>
        </w:tc>
        <w:tc>
          <w:tcPr>
            <w:tcW w:w="4876" w:type="dxa"/>
            <w:hideMark/>
          </w:tcPr>
          <w:p w:rsidR="008E13A6" w:rsidRPr="00BE42FC" w:rsidRDefault="008E13A6" w:rsidP="002335C0">
            <w:pPr>
              <w:pStyle w:val="Normal6"/>
              <w:rPr>
                <w:noProof/>
                <w:szCs w:val="24"/>
              </w:rPr>
            </w:pPr>
            <w:r w:rsidRPr="00BE42FC">
              <w:lastRenderedPageBreak/>
              <w:t>(5)</w:t>
            </w:r>
            <w:r w:rsidRPr="00BE42FC">
              <w:tab/>
              <w:t xml:space="preserve">A harmadik országok csatlakozási és társulási folyamatának támogatása </w:t>
            </w:r>
            <w:r w:rsidRPr="00BE42FC">
              <w:lastRenderedPageBreak/>
              <w:t xml:space="preserve">érdekében a programnak – </w:t>
            </w:r>
            <w:r w:rsidRPr="00BE42FC">
              <w:rPr>
                <w:b/>
                <w:i/>
              </w:rPr>
              <w:t>minden feltétel</w:t>
            </w:r>
            <w:r w:rsidRPr="00BE42FC">
              <w:t xml:space="preserve"> teljesítése esetén – nyitva kell állnia a csatlakozó és a tagjelölt országok, valamint a potenciális tagjelöltek és az európai szomszédságpolitika partnerországai előtt. Más harmadik országok számára is nyitva állhat, az Unió és ezen országok által megkötött, az Unió bármely programjában való részvételükre kiterjedő egyedi megállapodásokban megállapított feltételekkel összhangban</w:t>
            </w:r>
            <w:r w:rsidRPr="00BE42FC">
              <w:rPr>
                <w:b/>
                <w:i/>
              </w:rPr>
              <w:t>, ha ez a részvétel az Unió érdekében áll, és pozitív hatást gyakorol a belső piacra a fogyasztóvédelem befolyásolása nélkül</w:t>
            </w:r>
            <w:r w:rsidRPr="00BE42FC">
              <w:t>.</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10</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6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(6)</w:t>
            </w:r>
            <w:r w:rsidRPr="00BE42FC">
              <w:tab/>
            </w:r>
            <w:r w:rsidRPr="00BE42FC">
              <w:rPr>
                <w:b/>
                <w:i/>
              </w:rPr>
              <w:t>E programra alkalmazni kell</w:t>
            </w:r>
            <w:r w:rsidRPr="00BE42FC">
              <w:t xml:space="preserve"> az (EU, Euratom) </w:t>
            </w:r>
            <w:r w:rsidRPr="00BE42FC">
              <w:rPr>
                <w:b/>
                <w:i/>
              </w:rPr>
              <w:t>[</w:t>
            </w:r>
            <w:r w:rsidRPr="00BE42FC">
              <w:t>2018/</w:t>
            </w:r>
            <w:r w:rsidRPr="00BE42FC">
              <w:rPr>
                <w:b/>
                <w:i/>
              </w:rPr>
              <w:t>XXX]</w:t>
            </w:r>
            <w:r w:rsidRPr="00BE42FC">
              <w:t xml:space="preserve"> európai parlamenti és tanácsi </w:t>
            </w:r>
            <w:r w:rsidRPr="00BE42FC">
              <w:rPr>
                <w:b/>
                <w:i/>
              </w:rPr>
              <w:t>rendeletet</w:t>
            </w:r>
            <w:r w:rsidRPr="00BE42FC">
              <w:rPr>
                <w:vertAlign w:val="superscript"/>
              </w:rPr>
              <w:t>21</w:t>
            </w:r>
            <w:r w:rsidRPr="00BE42FC">
              <w:t xml:space="preserve"> (a továbbiakban: költségvetési rendelet).</w:t>
            </w:r>
            <w:r w:rsidRPr="00BE42FC">
              <w:rPr>
                <w:b/>
                <w:i/>
              </w:rPr>
              <w:t xml:space="preserve"> </w:t>
            </w:r>
            <w:r w:rsidRPr="00BE42FC">
              <w:t xml:space="preserve">A költségvetési rendelet </w:t>
            </w:r>
            <w:r w:rsidRPr="00BE42FC">
              <w:rPr>
                <w:b/>
                <w:i/>
              </w:rPr>
              <w:t>megállapítja</w:t>
            </w:r>
            <w:r w:rsidRPr="00BE42FC">
              <w:t xml:space="preserve"> az Unió költségvetésének végrehajtására – többek között a vissza nem térítendő támogatásokra, a pénzdíjakra, a közbeszerzésre és a külső szakértők költségeinek megtérítésére – vonatkozó </w:t>
            </w:r>
            <w:r w:rsidRPr="00BE42FC">
              <w:rPr>
                <w:b/>
                <w:i/>
              </w:rPr>
              <w:t>szabályokat</w:t>
            </w:r>
            <w:r w:rsidRPr="00BE42FC">
              <w:t>.</w:t>
            </w:r>
          </w:p>
        </w:tc>
        <w:tc>
          <w:tcPr>
            <w:tcW w:w="4876" w:type="dxa"/>
            <w:hideMark/>
          </w:tcPr>
          <w:p w:rsidR="008E13A6" w:rsidRPr="00BE42FC" w:rsidRDefault="008E13A6" w:rsidP="002335C0">
            <w:pPr>
              <w:pStyle w:val="Normal6"/>
              <w:rPr>
                <w:noProof/>
                <w:szCs w:val="24"/>
              </w:rPr>
            </w:pPr>
            <w:r w:rsidRPr="00BE42FC">
              <w:t>(6)</w:t>
            </w:r>
            <w:r w:rsidRPr="00BE42FC">
              <w:tab/>
            </w:r>
            <w:r w:rsidRPr="00BE42FC">
              <w:rPr>
                <w:b/>
                <w:i/>
              </w:rPr>
              <w:t>A programnak</w:t>
            </w:r>
            <w:r w:rsidRPr="00BE42FC">
              <w:t xml:space="preserve"> az (EU, Euratom) 2018/</w:t>
            </w:r>
            <w:r w:rsidRPr="00BE42FC">
              <w:rPr>
                <w:b/>
                <w:i/>
              </w:rPr>
              <w:t>1046</w:t>
            </w:r>
            <w:r w:rsidRPr="00BE42FC">
              <w:t xml:space="preserve"> európai parlamenti és tanácsi </w:t>
            </w:r>
            <w:r w:rsidRPr="00BE42FC">
              <w:rPr>
                <w:b/>
                <w:i/>
              </w:rPr>
              <w:t>rendelet</w:t>
            </w:r>
            <w:r w:rsidRPr="00BE42FC">
              <w:rPr>
                <w:vertAlign w:val="superscript"/>
              </w:rPr>
              <w:t>21</w:t>
            </w:r>
            <w:r w:rsidRPr="00BE42FC">
              <w:t xml:space="preserve"> (a továbbiakban: költségvetési rendelet)</w:t>
            </w:r>
            <w:r w:rsidRPr="00BE42FC">
              <w:rPr>
                <w:b/>
                <w:i/>
              </w:rPr>
              <w:t xml:space="preserve"> hatálya alá kell tartoznia</w:t>
            </w:r>
            <w:r w:rsidRPr="00BE42FC">
              <w:t>.</w:t>
            </w:r>
            <w:r w:rsidRPr="00BE42FC">
              <w:rPr>
                <w:b/>
                <w:i/>
              </w:rPr>
              <w:t xml:space="preserve"> </w:t>
            </w:r>
            <w:r w:rsidRPr="00BE42FC">
              <w:t xml:space="preserve">A költségvetési rendelet </w:t>
            </w:r>
            <w:r w:rsidRPr="00BE42FC">
              <w:rPr>
                <w:b/>
                <w:i/>
              </w:rPr>
              <w:t>rendelkezik</w:t>
            </w:r>
            <w:r w:rsidRPr="00BE42FC">
              <w:t xml:space="preserve"> az Unió költségvetésének végrehajtására – többek között a vissza nem térítendő támogatásokra, a pénzdíjakra, a közbeszerzésre és a külső szakértők költségeinek megtérítésére – vonatkozó </w:t>
            </w:r>
            <w:r w:rsidRPr="00BE42FC">
              <w:rPr>
                <w:b/>
                <w:i/>
              </w:rPr>
              <w:t>szabályokról</w:t>
            </w:r>
            <w:r w:rsidRPr="00BE42FC">
              <w:t>.</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__________________</w:t>
            </w:r>
          </w:p>
        </w:tc>
        <w:tc>
          <w:tcPr>
            <w:tcW w:w="4876" w:type="dxa"/>
            <w:hideMark/>
          </w:tcPr>
          <w:p w:rsidR="008E13A6" w:rsidRPr="00BE42FC" w:rsidRDefault="008E13A6" w:rsidP="002335C0">
            <w:pPr>
              <w:pStyle w:val="Normal6"/>
              <w:rPr>
                <w:noProof/>
                <w:szCs w:val="24"/>
              </w:rPr>
            </w:pPr>
            <w:r w:rsidRPr="00BE42FC">
              <w:t>__________________</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rPr>
                <w:vertAlign w:val="superscript"/>
              </w:rPr>
              <w:t>21</w:t>
            </w:r>
            <w:r w:rsidRPr="00BE42FC">
              <w:t xml:space="preserve"> </w:t>
            </w:r>
            <w:r w:rsidRPr="00BE42FC">
              <w:rPr>
                <w:b/>
                <w:i/>
              </w:rPr>
              <w:t>COM(2016) 605 final</w:t>
            </w:r>
          </w:p>
        </w:tc>
        <w:tc>
          <w:tcPr>
            <w:tcW w:w="4876" w:type="dxa"/>
            <w:hideMark/>
          </w:tcPr>
          <w:p w:rsidR="008E13A6" w:rsidRPr="00BE42FC" w:rsidRDefault="008E13A6" w:rsidP="002335C0">
            <w:pPr>
              <w:pStyle w:val="Normal6"/>
              <w:rPr>
                <w:noProof/>
                <w:szCs w:val="24"/>
              </w:rPr>
            </w:pPr>
            <w:r w:rsidRPr="00BE42FC">
              <w:rPr>
                <w:b/>
                <w:i/>
                <w:vertAlign w:val="superscript"/>
              </w:rPr>
              <w:t>21</w:t>
            </w:r>
            <w:r w:rsidRPr="00BE42FC">
              <w:rPr>
                <w:b/>
                <w:i/>
              </w:rPr>
              <w:t xml:space="preserve"> Az Európai Parlament és a Tanács (EU, Euratom) 2018/1046 rendelete (2018. július 18.) az Unió általános költségvetésére alkalmazandó pénzügyi szabályokról, az 1296/2013/EU, az 1301/2013/EU, az 1303/2013/EU, az 1304/2013/EU, az 1309/2013/EU, az 1316/2013/EU, a 223/2014/EU és a 283/2014/EU rendelet és az 541/2014/EU határozat módosításáról, valamint a 966/2012/EU, Euratom rendelet hatályon kívül helyezéséről (HL L 193., 2018.7.30., </w:t>
            </w:r>
            <w:r w:rsidRPr="00BE42FC">
              <w:rPr>
                <w:b/>
                <w:i/>
              </w:rPr>
              <w:lastRenderedPageBreak/>
              <w:t>1. o.).</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rPr>
          <w:noProof/>
        </w:rPr>
      </w:pPr>
      <w:r>
        <w:rPr>
          <w:rStyle w:val="HideTWBExt"/>
          <w:b w:val="0"/>
        </w:rPr>
        <w:t>&lt;Amend&gt;</w:t>
      </w:r>
      <w:r w:rsidRPr="00BE42FC">
        <w:t>Módosítás</w:t>
      </w:r>
      <w:r w:rsidRPr="00BE42FC">
        <w:tab/>
      </w:r>
      <w:r w:rsidRPr="00BE42FC">
        <w:tab/>
      </w:r>
      <w:r>
        <w:rPr>
          <w:rStyle w:val="HideTWBExt"/>
          <w:b w:val="0"/>
        </w:rPr>
        <w:t>&lt;NumAm&gt;</w:t>
      </w:r>
      <w:r w:rsidRPr="00BE42FC">
        <w:t>11</w:t>
      </w:r>
      <w:r>
        <w:rPr>
          <w:rStyle w:val="HideTWBExt"/>
          <w:b w:val="0"/>
        </w:rPr>
        <w:t>&lt;/NumAm&gt;</w:t>
      </w:r>
    </w:p>
    <w:p w:rsidR="008E13A6" w:rsidRPr="00D26B44" w:rsidRDefault="008E13A6" w:rsidP="008E13A6">
      <w:pPr>
        <w:pStyle w:val="NormalBold12b"/>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7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(7)</w:t>
            </w:r>
            <w:r w:rsidRPr="00BE42FC">
              <w:tab/>
              <w:t xml:space="preserve">A Vám 2020 program keretében alkalmazott </w:t>
            </w:r>
            <w:r w:rsidRPr="00BE42FC">
              <w:rPr>
                <w:b/>
                <w:i/>
              </w:rPr>
              <w:t>intézkedések</w:t>
            </w:r>
            <w:r w:rsidRPr="00BE42FC">
              <w:t xml:space="preserve"> megfelelőnek </w:t>
            </w:r>
            <w:r w:rsidRPr="00BE42FC">
              <w:rPr>
                <w:b/>
                <w:i/>
              </w:rPr>
              <w:t>bizonyultak, ezért azokat</w:t>
            </w:r>
            <w:r w:rsidRPr="00BE42FC">
              <w:t xml:space="preserve"> meg kell tartani. Annak érdekében, hogy a program végrehajtása egyszerűbbé és rugalmasabbá váljon, és ezáltal jobban teljesíthesse a célkitűzéseit, csak általános intézkedéskategóriákat kell meghatározni, a konkrét tevékenységeket szemléltető példák felsorolásával együtt. Az együttműködésen és a kapacitásépítésen keresztül a</w:t>
            </w:r>
            <w:r w:rsidRPr="00BE42FC">
              <w:rPr>
                <w:b/>
                <w:i/>
              </w:rPr>
              <w:t xml:space="preserve"> Vám</w:t>
            </w:r>
            <w:r w:rsidRPr="00BE42FC">
              <w:t xml:space="preserve"> programnak elő kell mozdítania és támogatnia kell az innováció terjedését és multiplikátorhatását is, hogy ezáltal még tovább javuljon a vámügyek terén meghatározott alapvető prioritások teljesítésére való képesség.</w:t>
            </w:r>
          </w:p>
        </w:tc>
        <w:tc>
          <w:tcPr>
            <w:tcW w:w="4876" w:type="dxa"/>
          </w:tcPr>
          <w:p w:rsidR="008E13A6" w:rsidRPr="00BE42FC" w:rsidRDefault="008E13A6" w:rsidP="002335C0">
            <w:pPr>
              <w:pStyle w:val="Normal6"/>
              <w:rPr>
                <w:noProof/>
              </w:rPr>
            </w:pPr>
            <w:r w:rsidRPr="00BE42FC">
              <w:t>(7)</w:t>
            </w:r>
            <w:r w:rsidRPr="00BE42FC">
              <w:tab/>
              <w:t xml:space="preserve">A Vám 2020 program keretében alkalmazott </w:t>
            </w:r>
            <w:r w:rsidRPr="00BE42FC">
              <w:rPr>
                <w:b/>
                <w:i/>
              </w:rPr>
              <w:t>és</w:t>
            </w:r>
            <w:r w:rsidRPr="00BE42FC">
              <w:t xml:space="preserve"> megfelelőnek </w:t>
            </w:r>
            <w:r w:rsidRPr="00BE42FC">
              <w:rPr>
                <w:b/>
                <w:i/>
              </w:rPr>
              <w:t>bizonyuló intézkedéseket ezért</w:t>
            </w:r>
            <w:r w:rsidRPr="00BE42FC">
              <w:t xml:space="preserve"> meg kell tartani</w:t>
            </w:r>
            <w:r w:rsidRPr="00BE42FC">
              <w:rPr>
                <w:b/>
                <w:i/>
              </w:rPr>
              <w:t>, miközben az elégtelennek bizonyulókat meg kell szüntetni</w:t>
            </w:r>
            <w:r w:rsidRPr="00BE42FC">
              <w:t>. Annak érdekében, hogy a program végrehajtása egyszerűbbé és rugalmasabbá váljon, és ezáltal jobban teljesíthesse a célkitűzéseit, csak általános intézkedéskategóriákat kell meghatározni, a konkrét tevékenységeket szemléltető példák felsorolásával együtt. Az együttműködésen és a kapacitásbővítésen keresztül a programnak elő kell mozdítania és támogatnia kell az innováció terjedését és multiplikátorhatását is, hogy ezáltal még tovább javuljon a vámügyek terén meghatározott alapvető prioritások teljesítésére való képesség.</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b w:val="0"/>
        </w:rPr>
        <w:t>&lt;Amend&gt;</w:t>
      </w:r>
      <w:r w:rsidRPr="00BE42FC">
        <w:t>Módosítás</w:t>
      </w:r>
      <w:r w:rsidRPr="00BE42FC">
        <w:tab/>
      </w:r>
      <w:r w:rsidRPr="00BE42FC">
        <w:tab/>
      </w:r>
      <w:r>
        <w:rPr>
          <w:rStyle w:val="HideTWBExt"/>
          <w:b w:val="0"/>
        </w:rPr>
        <w:t>&lt;NumAm&gt;</w:t>
      </w:r>
      <w:r w:rsidRPr="00BE42FC">
        <w:t>12</w:t>
      </w:r>
      <w:r>
        <w:rPr>
          <w:rStyle w:val="HideTWBExt"/>
          <w:b w:val="0"/>
        </w:rPr>
        <w:t>&lt;/NumAm&gt;</w:t>
      </w:r>
    </w:p>
    <w:p w:rsidR="008E13A6" w:rsidRPr="00D26B44" w:rsidRDefault="008E13A6" w:rsidP="008E13A6">
      <w:pPr>
        <w:pStyle w:val="NormalBold12b"/>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8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(8)</w:t>
            </w:r>
            <w:r w:rsidRPr="00BE42FC">
              <w:tab/>
              <w:t>A [2018/XXX] rendelet az Integrált Határigazgatási Alap részeként létrehozza a vámellenőrzési berendezési eszközt</w:t>
            </w:r>
            <w:r w:rsidRPr="00BE42FC">
              <w:rPr>
                <w:rStyle w:val="Sup"/>
                <w:color w:val="auto"/>
              </w:rPr>
              <w:t>22</w:t>
            </w:r>
            <w:r w:rsidRPr="00BE42FC">
              <w:t xml:space="preserve"> (a továbbiakban: VEB eszköz). A vámügyekkel és vámellenőrzési berendezésekkel kapcsolatos valamennyi együttműködési tevékenység koherenciájának és horizontális összehangolásának megőrzése érdekében helyénvaló minden ilyen tevékenységet egyetlen egységes jogi aktus és szabályrendszer, </w:t>
            </w:r>
            <w:r w:rsidRPr="00BE42FC">
              <w:rPr>
                <w:b/>
                <w:i/>
              </w:rPr>
              <w:t>vagyis</w:t>
            </w:r>
            <w:r w:rsidRPr="00BE42FC">
              <w:t xml:space="preserve"> e rendelet </w:t>
            </w:r>
            <w:r w:rsidRPr="00BE42FC">
              <w:rPr>
                <w:b/>
                <w:i/>
              </w:rPr>
              <w:t xml:space="preserve">alapján </w:t>
            </w:r>
            <w:r w:rsidRPr="00BE42FC">
              <w:rPr>
                <w:b/>
                <w:i/>
              </w:rPr>
              <w:lastRenderedPageBreak/>
              <w:t>végrehajtani</w:t>
            </w:r>
            <w:r w:rsidRPr="00BE42FC">
              <w:t>. Ezért a VEB eszköz csak a támogatható berendezések beszerzését, karbantartását és korszerűsítését támogathatja, miközben ennek a programnak kell támogatnia minden egyéb kapcsolódó tevékenységet, például a berendezési szükségletek felméréséhez szükséges együttműködési intézkedéseket vagy adott esetben a megvásárolt berendezésekkel kapcsolatos képzést.</w:t>
            </w:r>
          </w:p>
        </w:tc>
        <w:tc>
          <w:tcPr>
            <w:tcW w:w="4876" w:type="dxa"/>
          </w:tcPr>
          <w:p w:rsidR="008E13A6" w:rsidRPr="00BE42FC" w:rsidRDefault="008E13A6" w:rsidP="002335C0">
            <w:pPr>
              <w:pStyle w:val="Normal6"/>
              <w:rPr>
                <w:noProof/>
              </w:rPr>
            </w:pPr>
            <w:r w:rsidRPr="00BE42FC">
              <w:lastRenderedPageBreak/>
              <w:t>(8)</w:t>
            </w:r>
            <w:r w:rsidRPr="00BE42FC">
              <w:tab/>
              <w:t>A [2018/XXX] rendelet az Integrált Határigazgatási Alap részeként létrehozza a vámellenőrzési berendezési eszközt</w:t>
            </w:r>
            <w:r w:rsidRPr="00BE42FC">
              <w:rPr>
                <w:rStyle w:val="Sup"/>
                <w:color w:val="auto"/>
              </w:rPr>
              <w:t>22</w:t>
            </w:r>
            <w:r w:rsidRPr="00BE42FC">
              <w:t xml:space="preserve"> (a továbbiakban: VEB eszköz). A vámügyekkel és vámellenőrzési berendezésekkel kapcsolatos valamennyi együttműködési tevékenység koherenciájának és horizontális összehangolásának megőrzése érdekében helyénvaló minden ilyen tevékenységet egyetlen egységes jogi aktus és szabályrendszer</w:t>
            </w:r>
            <w:r w:rsidRPr="00BE42FC">
              <w:rPr>
                <w:b/>
                <w:i/>
              </w:rPr>
              <w:t xml:space="preserve"> alapján végrehajtani</w:t>
            </w:r>
            <w:r w:rsidRPr="00BE42FC">
              <w:t xml:space="preserve">, </w:t>
            </w:r>
            <w:r w:rsidRPr="00BE42FC">
              <w:rPr>
                <w:b/>
                <w:i/>
              </w:rPr>
              <w:lastRenderedPageBreak/>
              <w:t>mely jogi aktust és szabályrendszert</w:t>
            </w:r>
            <w:r w:rsidRPr="00BE42FC">
              <w:t xml:space="preserve"> e rendelet </w:t>
            </w:r>
            <w:r w:rsidRPr="00BE42FC">
              <w:rPr>
                <w:b/>
                <w:i/>
              </w:rPr>
              <w:t>jelenti</w:t>
            </w:r>
            <w:r w:rsidRPr="00BE42FC">
              <w:t>. Ezért a VEB eszköz csak a támogatható berendezések beszerzését, karbantartását és korszerűsítését támogathatja, miközben ennek a programnak kell támogatnia minden egyéb kapcsolódó tevékenységet, például a berendezési szükségletek felméréséhez szükséges együttműködési intézkedéseket vagy adott esetben a megvásárolt berendezésekkel kapcsolatos képzést.</w:t>
            </w:r>
          </w:p>
        </w:tc>
      </w:tr>
      <w:tr w:rsidR="008E13A6" w:rsidRPr="00D26B44" w:rsidTr="002335C0">
        <w:trPr>
          <w:jc w:val="center"/>
        </w:trPr>
        <w:tc>
          <w:tcPr>
            <w:tcW w:w="4876" w:type="dxa"/>
          </w:tcPr>
          <w:p w:rsidR="008E13A6" w:rsidRPr="00BE42FC" w:rsidRDefault="008E13A6" w:rsidP="002335C0">
            <w:pPr>
              <w:pStyle w:val="Normal6"/>
              <w:rPr>
                <w:noProof/>
              </w:rPr>
            </w:pPr>
            <w:r w:rsidRPr="00BE42FC">
              <w:lastRenderedPageBreak/>
              <w:t>_________________</w:t>
            </w:r>
          </w:p>
        </w:tc>
        <w:tc>
          <w:tcPr>
            <w:tcW w:w="4876" w:type="dxa"/>
          </w:tcPr>
          <w:p w:rsidR="008E13A6" w:rsidRPr="00BE42FC" w:rsidRDefault="008E13A6" w:rsidP="002335C0">
            <w:pPr>
              <w:pStyle w:val="Normal6"/>
              <w:rPr>
                <w:noProof/>
              </w:rPr>
            </w:pPr>
            <w:r w:rsidRPr="00BE42FC">
              <w:t>_________________</w:t>
            </w:r>
          </w:p>
        </w:tc>
      </w:tr>
      <w:tr w:rsidR="008E13A6" w:rsidRPr="00D26B44" w:rsidTr="002335C0">
        <w:trPr>
          <w:jc w:val="center"/>
        </w:trPr>
        <w:tc>
          <w:tcPr>
            <w:tcW w:w="4876" w:type="dxa"/>
          </w:tcPr>
          <w:p w:rsidR="008E13A6" w:rsidRPr="00BE42FC" w:rsidRDefault="008E13A6" w:rsidP="002335C0">
            <w:pPr>
              <w:pStyle w:val="Normal6"/>
              <w:rPr>
                <w:noProof/>
              </w:rPr>
            </w:pPr>
            <w:r w:rsidRPr="00BE42FC">
              <w:rPr>
                <w:rStyle w:val="Sup"/>
                <w:color w:val="auto"/>
              </w:rPr>
              <w:t>22</w:t>
            </w:r>
            <w:r w:rsidRPr="00BE42FC">
              <w:t xml:space="preserve"> Javaslat: Az Európai Parlament és a Tanács rendelete az Integrált Határigazgatási Alap részét képező, a vámellenőrzési berendezésekhez nyújtott pénzügyi támogatást szolgáló eszköz létrehozásáról.</w:t>
            </w:r>
          </w:p>
        </w:tc>
        <w:tc>
          <w:tcPr>
            <w:tcW w:w="4876" w:type="dxa"/>
          </w:tcPr>
          <w:p w:rsidR="008E13A6" w:rsidRPr="00BE42FC" w:rsidRDefault="008E13A6" w:rsidP="002335C0">
            <w:pPr>
              <w:pStyle w:val="Normal6"/>
              <w:rPr>
                <w:noProof/>
              </w:rPr>
            </w:pPr>
            <w:r w:rsidRPr="00BE42FC">
              <w:rPr>
                <w:rStyle w:val="Sup"/>
                <w:color w:val="auto"/>
              </w:rPr>
              <w:t>22</w:t>
            </w:r>
            <w:r w:rsidRPr="00BE42FC">
              <w:t xml:space="preserve"> Javaslat: Az Európai Parlament és a Tanács rendelete az Integrált Határigazgatási Alap részét képező, a vámellenőrzési berendezésekhez nyújtott pénzügyi támogatást szolgáló eszköz létrehozásáról.</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b w:val="0"/>
        </w:rPr>
        <w:t>&lt;Amend&gt;</w:t>
      </w:r>
      <w:r w:rsidRPr="00BE42FC">
        <w:t>Módosítás</w:t>
      </w:r>
      <w:r w:rsidRPr="00BE42FC">
        <w:tab/>
      </w:r>
      <w:r w:rsidRPr="00BE42FC">
        <w:tab/>
      </w:r>
      <w:r>
        <w:rPr>
          <w:rStyle w:val="HideTWBExt"/>
          <w:b w:val="0"/>
        </w:rPr>
        <w:t>&lt;NumAm&gt;</w:t>
      </w:r>
      <w:r w:rsidRPr="00BE42FC">
        <w:t>13</w:t>
      </w:r>
      <w:r>
        <w:rPr>
          <w:rStyle w:val="HideTWBExt"/>
          <w:b w:val="0"/>
        </w:rPr>
        <w:t>&lt;/NumAm&gt;</w:t>
      </w:r>
    </w:p>
    <w:p w:rsidR="008E13A6" w:rsidRPr="00D26B44" w:rsidRDefault="008E13A6" w:rsidP="008E13A6">
      <w:pPr>
        <w:pStyle w:val="NormalBold12b"/>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10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(10)</w:t>
            </w:r>
            <w:r w:rsidRPr="00BE42FC">
              <w:tab/>
              <w:t>A globalizáció fontosságára figyelemmel a programnak továbbra is lehetőséget kell biztosítania külső szakértők költségvetési rendelet 238. cikke szerinti bevonására. Ezeknek a külső szakértőknek elsősorban kormányzati szerveket – köztük a programhoz nem társult harmadik országok kormányzati szerveit –, valamint nemzetközi szervezeteket, a gazdálkodókat vagy a civil társadalmat kell képviselniük.</w:t>
            </w:r>
          </w:p>
        </w:tc>
        <w:tc>
          <w:tcPr>
            <w:tcW w:w="4876" w:type="dxa"/>
          </w:tcPr>
          <w:p w:rsidR="008E13A6" w:rsidRPr="00BE42FC" w:rsidRDefault="008E13A6" w:rsidP="002335C0">
            <w:pPr>
              <w:pStyle w:val="Normal6"/>
              <w:rPr>
                <w:noProof/>
              </w:rPr>
            </w:pPr>
            <w:r w:rsidRPr="00BE42FC">
              <w:t>(10)</w:t>
            </w:r>
            <w:r w:rsidRPr="00BE42FC">
              <w:tab/>
              <w:t xml:space="preserve">A globalizáció fontosságára figyelemmel a programnak továbbra is lehetőséget kell biztosítania külső szakértők költségvetési rendelet 238. cikke szerinti bevonására. Ezeknek a külső szakértőknek elsősorban kormányzati szerveket – köztük a programhoz nem társult harmadik országok kormányzati szerveit –, valamint </w:t>
            </w:r>
            <w:r w:rsidRPr="00BE42FC">
              <w:rPr>
                <w:b/>
                <w:i/>
              </w:rPr>
              <w:t xml:space="preserve">a tudósokat, a </w:t>
            </w:r>
            <w:r w:rsidRPr="00BE42FC">
              <w:t>nemzetközi szervezeteket, a gazdálkodókat vagy a civil társadalmat kell képviselniük.</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14</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11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(11)</w:t>
            </w:r>
            <w:r w:rsidRPr="00BE42FC">
              <w:tab/>
              <w:t xml:space="preserve">A Bizottság által a finanszírozási </w:t>
            </w:r>
            <w:r w:rsidRPr="00BE42FC">
              <w:lastRenderedPageBreak/>
              <w:t>programok koherenciájának és egyszerűsítésének biztosítása érdekében tett kötelezettségvállalással összhangban – amelyet a 2010. október 19-i, „Az uniós költségvetés felülvizsgálata”23 című közlemény tartalmaz – a forrásokat meg kell osztani más uniós finanszírozási eszközökkel, amennyiben a tervezett program szerinti intézkedések céljai több finanszírozási eszköz tekintetében közösek; a kettős finanszírozást ugyanakkor el kell kerülni. Az e program keretében végrehajtott intézkedéseknek biztosítaniuk kell a vámuniót és a vámhatóságokat támogató uniós források felhasználásának koherenciáját.</w:t>
            </w:r>
          </w:p>
        </w:tc>
        <w:tc>
          <w:tcPr>
            <w:tcW w:w="4876" w:type="dxa"/>
            <w:hideMark/>
          </w:tcPr>
          <w:p w:rsidR="008E13A6" w:rsidRPr="00BE42FC" w:rsidRDefault="008E13A6" w:rsidP="002335C0">
            <w:pPr>
              <w:pStyle w:val="Normal6"/>
              <w:rPr>
                <w:noProof/>
                <w:szCs w:val="24"/>
              </w:rPr>
            </w:pPr>
            <w:r w:rsidRPr="00BE42FC">
              <w:lastRenderedPageBreak/>
              <w:t>(11)</w:t>
            </w:r>
            <w:r w:rsidRPr="00BE42FC">
              <w:tab/>
              <w:t xml:space="preserve">A Bizottság által a finanszírozási </w:t>
            </w:r>
            <w:r w:rsidRPr="00BE42FC">
              <w:lastRenderedPageBreak/>
              <w:t>programok koherenciájának és egyszerűsítésének biztosítása érdekében tett kötelezettségvállalással összhangban – amelyet a 2010. október 19-i, „Az uniós költségvetés felülvizsgálata”</w:t>
            </w:r>
            <w:r w:rsidRPr="00BE42FC">
              <w:rPr>
                <w:vertAlign w:val="superscript"/>
              </w:rPr>
              <w:t>23</w:t>
            </w:r>
            <w:r w:rsidRPr="00BE42FC">
              <w:t xml:space="preserve"> című közlemény tartalmaz – a forrásokat meg kell osztani más uniós finanszírozási eszközökkel, amennyiben a tervezett program szerinti intézkedések céljai több finanszírozási eszköz tekintetében közösek</w:t>
            </w:r>
            <w:r w:rsidRPr="00BE42FC">
              <w:rPr>
                <w:b/>
                <w:i/>
              </w:rPr>
              <w:t>, figyelembe véve, hogy a programra elkülönített összeg megállapításakor nem számolnak</w:t>
            </w:r>
            <w:r w:rsidRPr="00BE42FC">
              <w:t xml:space="preserve"> </w:t>
            </w:r>
            <w:r w:rsidRPr="00BE42FC">
              <w:rPr>
                <w:b/>
                <w:i/>
              </w:rPr>
              <w:t>az előre nem látható kiadások eshetőségével</w:t>
            </w:r>
            <w:r w:rsidRPr="00BE42FC">
              <w:t>; a kettős finanszírozást ugyanakkor el kell kerülni. Az e program keretében végrehajtott intézkedéseknek biztosítaniuk kell a vámuniót és a vámhatóságokat támogató uniós források felhasználásának koherenciáját.</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lastRenderedPageBreak/>
              <w:t>__________________</w:t>
            </w:r>
          </w:p>
        </w:tc>
        <w:tc>
          <w:tcPr>
            <w:tcW w:w="4876" w:type="dxa"/>
            <w:hideMark/>
          </w:tcPr>
          <w:p w:rsidR="008E13A6" w:rsidRPr="00BE42FC" w:rsidRDefault="008E13A6" w:rsidP="002335C0">
            <w:pPr>
              <w:pStyle w:val="Normal6"/>
              <w:rPr>
                <w:noProof/>
                <w:szCs w:val="24"/>
              </w:rPr>
            </w:pPr>
            <w:r w:rsidRPr="00BE42FC">
              <w:t>__________________</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rPr>
                <w:vertAlign w:val="superscript"/>
              </w:rPr>
              <w:t>23</w:t>
            </w:r>
            <w:r w:rsidRPr="00BE42FC">
              <w:t xml:space="preserve"> COM (2010)</w:t>
            </w:r>
            <w:r w:rsidRPr="00BE42FC">
              <w:rPr>
                <w:b/>
                <w:i/>
              </w:rPr>
              <w:t>700 végleges</w:t>
            </w:r>
          </w:p>
        </w:tc>
        <w:tc>
          <w:tcPr>
            <w:tcW w:w="4876" w:type="dxa"/>
            <w:hideMark/>
          </w:tcPr>
          <w:p w:rsidR="008E13A6" w:rsidRPr="00BE42FC" w:rsidRDefault="008E13A6" w:rsidP="002335C0">
            <w:pPr>
              <w:pStyle w:val="Normal6"/>
              <w:rPr>
                <w:noProof/>
                <w:szCs w:val="24"/>
              </w:rPr>
            </w:pPr>
            <w:r w:rsidRPr="00BE42FC">
              <w:rPr>
                <w:vertAlign w:val="superscript"/>
              </w:rPr>
              <w:t>23</w:t>
            </w:r>
            <w:r w:rsidRPr="00BE42FC">
              <w:t xml:space="preserve"> COM (2010)</w:t>
            </w:r>
            <w:r w:rsidRPr="00BE42FC">
              <w:rPr>
                <w:b/>
                <w:i/>
              </w:rPr>
              <w:t>0700</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b w:val="0"/>
        </w:rPr>
        <w:t>&lt;Amend&gt;</w:t>
      </w:r>
      <w:r w:rsidRPr="00BE42FC">
        <w:t>Módosítás</w:t>
      </w:r>
      <w:r w:rsidRPr="00BE42FC">
        <w:tab/>
      </w:r>
      <w:r w:rsidRPr="00BE42FC">
        <w:tab/>
      </w:r>
      <w:r>
        <w:rPr>
          <w:rStyle w:val="HideTWBExt"/>
          <w:b w:val="0"/>
        </w:rPr>
        <w:t>&lt;NumAm&gt;</w:t>
      </w:r>
      <w:r w:rsidRPr="00BE42FC">
        <w:t>15</w:t>
      </w:r>
      <w:r>
        <w:rPr>
          <w:rStyle w:val="HideTWBExt"/>
          <w:b w:val="0"/>
        </w:rPr>
        <w:t>&lt;/NumAm&gt;</w:t>
      </w:r>
    </w:p>
    <w:p w:rsidR="008E13A6" w:rsidRPr="00D26B44" w:rsidRDefault="008E13A6" w:rsidP="008E13A6">
      <w:pPr>
        <w:pStyle w:val="NormalBold12b"/>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11 a preambulumbekezdés (új)</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rPr>
            </w:pPr>
            <w:r w:rsidRPr="00BE42FC">
              <w:rPr>
                <w:b/>
                <w:i/>
              </w:rPr>
              <w:t>(11a)</w:t>
            </w:r>
            <w:r w:rsidRPr="00BE42FC">
              <w:tab/>
            </w:r>
            <w:r w:rsidRPr="00BE42FC">
              <w:rPr>
                <w:b/>
                <w:i/>
              </w:rPr>
              <w:t>A szigorú határellenőrzéshez szükséges szoftverek beszerzésének a program keretében támogathatónak kell lennie. Továbbá az adatcsere megkönnyítése érdekében ösztönözni kell a minden tagállamban használható szoftverek beszerzését.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b w:val="0"/>
        </w:rPr>
        <w:t>&lt;Amend&gt;</w:t>
      </w:r>
      <w:r w:rsidRPr="00BE42FC">
        <w:t>Módosítás</w:t>
      </w:r>
      <w:r w:rsidRPr="00BE42FC">
        <w:tab/>
      </w:r>
      <w:r w:rsidRPr="00BE42FC">
        <w:tab/>
      </w:r>
      <w:r>
        <w:rPr>
          <w:rStyle w:val="HideTWBExt"/>
          <w:b w:val="0"/>
        </w:rPr>
        <w:t>&lt;NumAm&gt;</w:t>
      </w:r>
      <w:r w:rsidRPr="00BE42FC">
        <w:t>16</w:t>
      </w:r>
      <w:r>
        <w:rPr>
          <w:rStyle w:val="HideTWBExt"/>
          <w:b w:val="0"/>
        </w:rPr>
        <w:t>&lt;/NumAm&gt;</w:t>
      </w:r>
    </w:p>
    <w:p w:rsidR="008E13A6" w:rsidRPr="00D26B44" w:rsidRDefault="008E13A6" w:rsidP="008E13A6">
      <w:pPr>
        <w:pStyle w:val="NormalBold12b"/>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12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(12)</w:t>
            </w:r>
            <w:r w:rsidRPr="00BE42FC">
              <w:tab/>
              <w:t xml:space="preserve">Az informatikai kapacitásépítési intézkedéseknek vonzzák a program </w:t>
            </w:r>
            <w:r w:rsidRPr="00BE42FC">
              <w:lastRenderedPageBreak/>
              <w:t xml:space="preserve">költségvetésének </w:t>
            </w:r>
            <w:r w:rsidRPr="00BE42FC">
              <w:rPr>
                <w:b/>
                <w:i/>
              </w:rPr>
              <w:t>legnagyobb</w:t>
            </w:r>
            <w:r w:rsidRPr="00BE42FC">
              <w:t xml:space="preserve"> részét. Egyedi rendelkezéseknek kell leírniuk az európai elektronikus rendszerek közös, illetve nemzeti összetevőit. Ezenkívül egyértelműen meg kell határozni a Bizottság és a tagállamok intézkedési körét és feladatait.</w:t>
            </w:r>
          </w:p>
        </w:tc>
        <w:tc>
          <w:tcPr>
            <w:tcW w:w="4876" w:type="dxa"/>
          </w:tcPr>
          <w:p w:rsidR="008E13A6" w:rsidRPr="00BE42FC" w:rsidRDefault="008E13A6" w:rsidP="002335C0">
            <w:pPr>
              <w:pStyle w:val="Normal6"/>
              <w:rPr>
                <w:noProof/>
              </w:rPr>
            </w:pPr>
            <w:r w:rsidRPr="00BE42FC">
              <w:lastRenderedPageBreak/>
              <w:t>(12)</w:t>
            </w:r>
            <w:r w:rsidRPr="00BE42FC">
              <w:tab/>
              <w:t xml:space="preserve">Az informatikai kapacitásbővítési intézkedések vonzzák a program </w:t>
            </w:r>
            <w:r w:rsidRPr="00BE42FC">
              <w:lastRenderedPageBreak/>
              <w:t xml:space="preserve">költségvetésének </w:t>
            </w:r>
            <w:r w:rsidRPr="00BE42FC">
              <w:rPr>
                <w:b/>
                <w:i/>
              </w:rPr>
              <w:t>nagyobb</w:t>
            </w:r>
            <w:r w:rsidRPr="00BE42FC">
              <w:t xml:space="preserve"> részét. Egyedi rendelkezéseknek kell leírniuk az európai elektronikus rendszerek közös, illetve nemzeti összetevőit. Ezenkívül egyértelműen meg kell határozni a Bizottság és a tagállamok intézkedési körét és feladatait. </w:t>
            </w:r>
            <w:r w:rsidRPr="00BE42FC">
              <w:rPr>
                <w:b/>
                <w:i/>
              </w:rPr>
              <w:t>Az informatikai kapacitásfejlesztési fellépések következetességének és összehangolásának biztosítása érdekében a programnak elő kell irányoznia, hogy a Bizottság dolgozzon ki és tegyen naprakésszé többéves vámügyi stratégiai tervet („MASP-C”) azzal a céllal, hogy olyan elektronikus környezetet hozzon létre, amely biztosítja az Unió vámhatóságainak következetes működését és vámügyi rendszereik kölcsönös átjárhatóságát.</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rPr>
          <w:noProof/>
        </w:rPr>
      </w:pPr>
      <w:r>
        <w:rPr>
          <w:rStyle w:val="HideTWBExt"/>
          <w:b w:val="0"/>
        </w:rPr>
        <w:t>&lt;Amend&gt;</w:t>
      </w:r>
      <w:r w:rsidRPr="00BE42FC">
        <w:t>Módosítás</w:t>
      </w:r>
      <w:r w:rsidRPr="00BE42FC">
        <w:tab/>
      </w:r>
      <w:r w:rsidRPr="00BE42FC">
        <w:tab/>
      </w:r>
      <w:r>
        <w:rPr>
          <w:rStyle w:val="HideTWBExt"/>
          <w:b w:val="0"/>
        </w:rPr>
        <w:t>&lt;NumAm&gt;</w:t>
      </w:r>
      <w:r w:rsidRPr="00BE42FC">
        <w:t>17</w:t>
      </w:r>
      <w:r>
        <w:rPr>
          <w:rStyle w:val="HideTWBExt"/>
          <w:b w:val="0"/>
        </w:rPr>
        <w:t>&lt;/NumAm&gt;</w:t>
      </w:r>
    </w:p>
    <w:p w:rsidR="008E13A6" w:rsidRPr="00D26B44" w:rsidRDefault="008E13A6" w:rsidP="008E13A6">
      <w:pPr>
        <w:pStyle w:val="NormalBold12b"/>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14 a preambulumbekezdés (új)</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b/>
                <w:i/>
                <w:noProof/>
              </w:rPr>
            </w:pPr>
            <w:r w:rsidRPr="00BE42FC">
              <w:rPr>
                <w:b/>
                <w:bCs/>
                <w:i/>
              </w:rPr>
              <w:t xml:space="preserve">(14a) </w:t>
            </w:r>
            <w:r w:rsidRPr="00BE42FC">
              <w:rPr>
                <w:b/>
                <w:bCs/>
                <w:i/>
              </w:rPr>
              <w:tab/>
              <w:t>Az Európai Számvevőszék által a vámügyek területén nemrégiben elfogadott két különjelentés, nevezetesen a 2017. december 5-i, 19/2017. sz. „Importeljárások: a jogszabályi keretek hiányosságai és a nem kellően eredményes végrehajtás hátrányos hatással vannak az Unió pénzügyi érdekeire” és a 2018. október 10-i, 23/2018. sz. „A vámügyi informatikai rendszerek sorozatos késedelmei: mi okozott problémát?” című különjelentés megállapításaival összhangban a „Vám” programon belül a vámügyi együttműködés terén tett intézkedéseknek törekedniük kell a jelzett hiányosságok kezelésére.</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b w:val="0"/>
        </w:rPr>
        <w:t>&lt;Amend&gt;</w:t>
      </w:r>
      <w:r w:rsidRPr="00BE42FC">
        <w:t>Módosítás</w:t>
      </w:r>
      <w:r w:rsidRPr="00BE42FC">
        <w:tab/>
      </w:r>
      <w:r w:rsidRPr="00BE42FC">
        <w:tab/>
      </w:r>
      <w:r>
        <w:rPr>
          <w:rStyle w:val="HideTWBExt"/>
          <w:b w:val="0"/>
        </w:rPr>
        <w:t>&lt;NumAm&gt;</w:t>
      </w:r>
      <w:r w:rsidRPr="00BE42FC">
        <w:t>18</w:t>
      </w:r>
      <w:r>
        <w:rPr>
          <w:rStyle w:val="HideTWBExt"/>
          <w:b w:val="0"/>
        </w:rPr>
        <w:t>&lt;/NumAm&gt;</w:t>
      </w:r>
    </w:p>
    <w:p w:rsidR="008E13A6" w:rsidRPr="00D26B44" w:rsidRDefault="008E13A6" w:rsidP="008E13A6">
      <w:pPr>
        <w:pStyle w:val="NormalBold12b"/>
        <w:rPr>
          <w:noProof/>
        </w:rPr>
      </w:pPr>
      <w:r>
        <w:rPr>
          <w:rStyle w:val="HideTWBExt"/>
          <w:b w:val="0"/>
        </w:rPr>
        <w:lastRenderedPageBreak/>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14 b preambulumbekezdés (új)</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b/>
                <w:i/>
                <w:noProof/>
              </w:rPr>
            </w:pPr>
            <w:r w:rsidRPr="00BE42FC">
              <w:rPr>
                <w:b/>
                <w:i/>
              </w:rPr>
              <w:t xml:space="preserve">(14b) </w:t>
            </w:r>
            <w:r w:rsidRPr="00BE42FC">
              <w:rPr>
                <w:b/>
                <w:i/>
              </w:rPr>
              <w:tab/>
              <w:t>Az Európai Parlament 2018. október 4-én állásfoglalást fogadott el a vámcsalások elleni küzdelemről és az Unió saját forrásainak védelméről. Az említett állásfoglalásban foglalt következtetéseket figyelembe kell venni a program keretében végrehajtott fellépések során.</w:t>
            </w:r>
          </w:p>
        </w:tc>
      </w:tr>
    </w:tbl>
    <w:p w:rsidR="008E13A6" w:rsidRPr="00D26B44" w:rsidRDefault="008E13A6" w:rsidP="008E13A6">
      <w:pPr>
        <w:rPr>
          <w:noProof/>
        </w:rPr>
      </w:pPr>
      <w:r>
        <w:rPr>
          <w:rStyle w:val="HideTWBExt"/>
        </w:rPr>
        <w:t>&lt;/Amend&gt;</w:t>
      </w:r>
    </w:p>
    <w:p w:rsidR="008E13A6" w:rsidRPr="00D26B44" w:rsidRDefault="008E13A6" w:rsidP="008E13A6">
      <w:pPr>
        <w:rPr>
          <w:noProof/>
        </w:rPr>
      </w:pP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19</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20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(20)</w:t>
            </w:r>
            <w:r w:rsidRPr="00BE42FC">
              <w:tab/>
              <w:t xml:space="preserve">Az e rendelet szerinti finanszírozási típusokat és végrehajtási módszereket az intézkedések egyedi célkitűzéseinek és </w:t>
            </w:r>
            <w:r w:rsidRPr="00BE42FC">
              <w:rPr>
                <w:b/>
                <w:i/>
              </w:rPr>
              <w:t>az</w:t>
            </w:r>
            <w:r w:rsidRPr="00BE42FC">
              <w:t xml:space="preserve"> eredmények elérésére való alkalmasságuk alapján kell megválasztani, figyelembe véve különösen az ellenőrzési költségeket, az adminisztratív terhet és a szabályok be nem tartásának várható kockázatát. Ennek részét képezi az egyösszegű átalányok, átalánydíjak és egységköltségek, valamint a költségvetési rendelet 125. cikke (1) bekezdésében említett költségekhez nem kapcsolódó finanszírozás alkalmazásának a mérlegelése.</w:t>
            </w:r>
          </w:p>
        </w:tc>
        <w:tc>
          <w:tcPr>
            <w:tcW w:w="4876" w:type="dxa"/>
            <w:hideMark/>
          </w:tcPr>
          <w:p w:rsidR="008E13A6" w:rsidRPr="00BE42FC" w:rsidRDefault="008E13A6" w:rsidP="002335C0">
            <w:pPr>
              <w:pStyle w:val="Normal6"/>
              <w:rPr>
                <w:noProof/>
                <w:szCs w:val="24"/>
              </w:rPr>
            </w:pPr>
            <w:r w:rsidRPr="00BE42FC">
              <w:t>(20)</w:t>
            </w:r>
            <w:r w:rsidRPr="00BE42FC">
              <w:tab/>
              <w:t xml:space="preserve">Az e rendelet szerinti finanszírozási típusokat és végrehajtási módszereket az intézkedések egyedi célkitűzéseinek és </w:t>
            </w:r>
            <w:r w:rsidRPr="00BE42FC">
              <w:rPr>
                <w:b/>
                <w:i/>
              </w:rPr>
              <w:t>a legjobb</w:t>
            </w:r>
            <w:r w:rsidRPr="00BE42FC">
              <w:t xml:space="preserve"> eredmények elérésére való alkalmasságuk alapján kell megválasztani, figyelembe véve különösen az ellenőrzési költségeket, az adminisztratív terhet és a szabályok be nem tartásának várható kockázatát. Ennek részét képezi az egyösszegű átalányok, átalánydíjak és egységköltségek, valamint a költségvetési rendelet 125. cikke (1) bekezdésében említett költségekhez nem kapcsolódó finanszírozás alkalmazásának a mérlegelése.</w:t>
            </w:r>
          </w:p>
        </w:tc>
      </w:tr>
    </w:tbl>
    <w:p w:rsidR="008E13A6" w:rsidRPr="00D26B44" w:rsidRDefault="008E13A6" w:rsidP="008E13A6">
      <w:pPr>
        <w:rPr>
          <w:noProof/>
        </w:rPr>
      </w:pPr>
      <w:r>
        <w:rPr>
          <w:rStyle w:val="HideTWBExt"/>
        </w:rPr>
        <w:t>&lt;/Amend&gt;</w:t>
      </w:r>
    </w:p>
    <w:p w:rsidR="008E13A6" w:rsidRPr="00D26B44" w:rsidRDefault="008E13A6" w:rsidP="008E13A6">
      <w:pPr>
        <w:rPr>
          <w:noProof/>
        </w:rPr>
      </w:pP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20</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3 cikk – 1 bekezdés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w:t>
            </w:r>
            <w:r w:rsidRPr="00BE42FC">
              <w:tab/>
            </w:r>
            <w:r w:rsidRPr="00BE42FC">
              <w:rPr>
                <w:b/>
                <w:i/>
              </w:rPr>
              <w:t>A</w:t>
            </w:r>
            <w:r w:rsidRPr="00BE42FC">
              <w:t xml:space="preserve"> program általános célkitűzése, hogy támogassa a vámuniót és a </w:t>
            </w:r>
            <w:r w:rsidRPr="00BE42FC">
              <w:lastRenderedPageBreak/>
              <w:t xml:space="preserve">vámhatóságokat az Unió és tagállamai pénzügyi és gazdasági érdekeinek </w:t>
            </w:r>
            <w:r w:rsidRPr="00BE42FC">
              <w:rPr>
                <w:b/>
                <w:i/>
              </w:rPr>
              <w:t>védelme</w:t>
            </w:r>
            <w:r w:rsidRPr="00BE42FC">
              <w:t xml:space="preserve">, az Unió </w:t>
            </w:r>
            <w:r w:rsidRPr="00BE42FC">
              <w:rPr>
                <w:b/>
                <w:i/>
              </w:rPr>
              <w:t>biztonságának</w:t>
            </w:r>
            <w:r w:rsidRPr="00BE42FC">
              <w:t xml:space="preserve"> és </w:t>
            </w:r>
            <w:r w:rsidRPr="00BE42FC">
              <w:rPr>
                <w:b/>
                <w:i/>
              </w:rPr>
              <w:t>védelmének biztosítása, valamint az Uniónak</w:t>
            </w:r>
            <w:r w:rsidRPr="00BE42FC">
              <w:t xml:space="preserve"> a </w:t>
            </w:r>
            <w:r w:rsidRPr="00BE42FC">
              <w:rPr>
                <w:b/>
                <w:i/>
              </w:rPr>
              <w:t>tisztességtelen</w:t>
            </w:r>
            <w:r w:rsidRPr="00BE42FC">
              <w:t xml:space="preserve"> és </w:t>
            </w:r>
            <w:r w:rsidRPr="00BE42FC">
              <w:rPr>
                <w:b/>
                <w:i/>
              </w:rPr>
              <w:t>illegális kereskedelem elleni védelme</w:t>
            </w:r>
            <w:r w:rsidRPr="00BE42FC">
              <w:t xml:space="preserve"> érdekében, </w:t>
            </w:r>
            <w:r w:rsidRPr="00BE42FC">
              <w:rPr>
                <w:b/>
                <w:i/>
              </w:rPr>
              <w:t>miközben megkönnyíti</w:t>
            </w:r>
            <w:r w:rsidRPr="00BE42FC">
              <w:t xml:space="preserve"> a </w:t>
            </w:r>
            <w:r w:rsidRPr="00BE42FC">
              <w:rPr>
                <w:b/>
                <w:i/>
              </w:rPr>
              <w:t>törvényes üzleti tevékenység végzését</w:t>
            </w:r>
            <w:r w:rsidRPr="00BE42FC">
              <w:t>.</w:t>
            </w:r>
          </w:p>
        </w:tc>
        <w:tc>
          <w:tcPr>
            <w:tcW w:w="4876" w:type="dxa"/>
          </w:tcPr>
          <w:p w:rsidR="008E13A6" w:rsidRPr="00BE42FC" w:rsidRDefault="008E13A6" w:rsidP="002335C0">
            <w:pPr>
              <w:pStyle w:val="Normal6"/>
              <w:rPr>
                <w:noProof/>
                <w:szCs w:val="24"/>
              </w:rPr>
            </w:pPr>
            <w:r w:rsidRPr="00BE42FC">
              <w:lastRenderedPageBreak/>
              <w:t>(1)</w:t>
            </w:r>
            <w:r w:rsidRPr="00BE42FC">
              <w:tab/>
            </w:r>
            <w:r w:rsidRPr="00BE42FC">
              <w:rPr>
                <w:b/>
                <w:i/>
              </w:rPr>
              <w:t>Azon hosszú távú cél elérése érdekében</w:t>
            </w:r>
            <w:r w:rsidRPr="00BE42FC">
              <w:t xml:space="preserve">, </w:t>
            </w:r>
            <w:r w:rsidRPr="00BE42FC">
              <w:rPr>
                <w:b/>
                <w:i/>
              </w:rPr>
              <w:t xml:space="preserve">hogy az Unió valamennyi </w:t>
            </w:r>
            <w:r w:rsidRPr="00BE42FC">
              <w:rPr>
                <w:b/>
                <w:i/>
              </w:rPr>
              <w:lastRenderedPageBreak/>
              <w:t xml:space="preserve">vámigazgatása a lehető legszorosabban együttműködjön, valamint a tagállamok biztonságának és védelmének biztosítása, az Unió csalással, tisztességtelen és jogellenes kereskedelmi gyakorlatokkal szembeni védelme, ugyanakkor a jogszerű üzleti tevékenységek és a magas szintű fogyasztóvédelem előmozdítása érdekében a </w:t>
            </w:r>
            <w:r w:rsidRPr="00BE42FC">
              <w:t xml:space="preserve">program általános célkitűzése, hogy támogassa a vámuniót és a vámhatóságokat az Unió és tagállamai pénzügyi és gazdasági érdekeinek </w:t>
            </w:r>
            <w:r w:rsidRPr="00BE42FC">
              <w:rPr>
                <w:b/>
                <w:i/>
              </w:rPr>
              <w:t>védelmében</w:t>
            </w:r>
            <w:r w:rsidRPr="00BE42FC">
              <w:t>.</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21</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3 cikk – 2 bekezdés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(2)</w:t>
            </w:r>
            <w:r w:rsidRPr="00BE42FC">
              <w:tab/>
              <w:t xml:space="preserve">A program egyedi </w:t>
            </w:r>
            <w:r w:rsidRPr="00BE42FC">
              <w:rPr>
                <w:b/>
                <w:i/>
              </w:rPr>
              <w:t xml:space="preserve">célkitűzése, hogy támogassa </w:t>
            </w:r>
            <w:r w:rsidRPr="00BE42FC">
              <w:t>a vámjogszabályok és a vámügyi szakpolitika</w:t>
            </w:r>
            <w:r w:rsidRPr="00BE42FC">
              <w:rPr>
                <w:b/>
                <w:i/>
              </w:rPr>
              <w:t xml:space="preserve"> előkészítését </w:t>
            </w:r>
            <w:r w:rsidRPr="00BE42FC">
              <w:t>és egységes</w:t>
            </w:r>
            <w:r w:rsidRPr="00BE42FC">
              <w:rPr>
                <w:b/>
                <w:i/>
              </w:rPr>
              <w:t xml:space="preserve"> végrehajtását, </w:t>
            </w:r>
            <w:r w:rsidRPr="00BE42FC">
              <w:t>valamint a vámügyi</w:t>
            </w:r>
            <w:r w:rsidRPr="00BE42FC">
              <w:rPr>
                <w:b/>
                <w:i/>
              </w:rPr>
              <w:t xml:space="preserve"> együttműködést és az adminisztratív kapacitásépítést, beleértve az emberi képességfejlesztést és az európai elektronikus rendszerek kifejlesztését és működtetését.</w:t>
            </w:r>
          </w:p>
        </w:tc>
        <w:tc>
          <w:tcPr>
            <w:tcW w:w="4876" w:type="dxa"/>
          </w:tcPr>
          <w:p w:rsidR="008E13A6" w:rsidRPr="00BE42FC" w:rsidRDefault="008E13A6" w:rsidP="002335C0">
            <w:pPr>
              <w:pStyle w:val="Normal6"/>
              <w:rPr>
                <w:noProof/>
                <w:szCs w:val="24"/>
              </w:rPr>
            </w:pPr>
            <w:r w:rsidRPr="00BE42FC">
              <w:t>(2)</w:t>
            </w:r>
            <w:r w:rsidRPr="00BE42FC">
              <w:tab/>
              <w:t xml:space="preserve">A program egyedi </w:t>
            </w:r>
            <w:r w:rsidRPr="00BE42FC">
              <w:rPr>
                <w:b/>
                <w:i/>
              </w:rPr>
              <w:t>célkitűzései</w:t>
            </w:r>
            <w:r w:rsidRPr="00BE42FC">
              <w:t xml:space="preserve"> a </w:t>
            </w:r>
            <w:r w:rsidRPr="00BE42FC">
              <w:rPr>
                <w:b/>
                <w:i/>
              </w:rPr>
              <w:t>következők:</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1.</w:t>
            </w:r>
            <w:r w:rsidRPr="00BE42FC">
              <w:t xml:space="preserve"> a vámjogszabályok és a vámügyi szakpolitika</w:t>
            </w:r>
            <w:r w:rsidRPr="00BE42FC">
              <w:rPr>
                <w:b/>
                <w:i/>
              </w:rPr>
              <w:t xml:space="preserve"> előkészítése </w:t>
            </w:r>
            <w:r w:rsidRPr="00BE42FC">
              <w:t>és egységes</w:t>
            </w:r>
            <w:r w:rsidRPr="00BE42FC">
              <w:rPr>
                <w:b/>
                <w:i/>
              </w:rPr>
              <w:t xml:space="preserve"> végrehajtása, </w:t>
            </w:r>
            <w:r w:rsidRPr="00BE42FC">
              <w:t>valamint a vámügyi</w:t>
            </w:r>
            <w:r w:rsidRPr="00BE42FC">
              <w:rPr>
                <w:b/>
                <w:i/>
              </w:rPr>
              <w:t xml:space="preserve"> együttműködés támogatása;</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2. az informatikai kapacitásbővítés elősegítése, mely magában foglalja az Uniós Vámkódex 278. cikkében említett elektronikus rendszerek kifejlesztését, karbantartását és üzemeltetését, valamint e rendelet 12. cikkével összhangban a papíralapú vámeljárásokról az elektronikus vámeljárásokra való zökkenőmentes áttérés lehetővé tételét;</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 xml:space="preserve">3. az olyan együttműködési mechanizmusokból álló együttes fellépések finanszírozása, amelyek lehetővé teszik a tisztviselők számára, hogy az alapvető felelősségi körükbe </w:t>
            </w:r>
            <w:r w:rsidRPr="00BE42FC">
              <w:rPr>
                <w:b/>
                <w:i/>
              </w:rPr>
              <w:lastRenderedPageBreak/>
              <w:t>tartozó közös operatív tevékenységeket végezzenek, megosszák a vámügyi tapasztalatokat és csatlakozzanak a vámpolitika megvalósításához szükséges erőfeszítésekhez;</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4. az emberi készségek fejlesztése, támogatva a vámtisztviselők szakmai készségeit és lehetővé téve számukra, hogy egységesen végezzék munkájukat.</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5. az innováció támogatása a vámpolitika területén.</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22</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3 cikk – 2 a bekezdés (új)</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(2a)</w:t>
            </w:r>
            <w:r w:rsidRPr="00BE42FC">
              <w:rPr>
                <w:b/>
                <w:i/>
              </w:rPr>
              <w:tab/>
              <w:t>A programnak összhangban kell állnia a többi, hasonló területen hasonló célkitűzésekkel rendelkező uniós cselekvési programmal és alappal, és ki kell használnia az azokkal fennálló szinergiákat.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23</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3 cikk – 2 b bekezdés (új)</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(2b)</w:t>
            </w:r>
            <w:r w:rsidRPr="00BE42FC">
              <w:rPr>
                <w:b/>
                <w:i/>
              </w:rPr>
              <w:tab/>
              <w:t>A program végrehajtása során tiszteletben kell tartani az átláthatóság, az arányosság, az egyenlő bánásmód és a megkülönböztetésmentesség elvét.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24</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3 cikk – 2 c bekezdés (új)</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(2c)</w:t>
            </w:r>
            <w:r w:rsidRPr="00BE42FC">
              <w:rPr>
                <w:b/>
                <w:i/>
              </w:rPr>
              <w:tab/>
              <w:t xml:space="preserve">A program a vámhatóságok közötti együttműködés folyamatos értékelését és </w:t>
            </w:r>
            <w:r w:rsidRPr="00BE42FC">
              <w:rPr>
                <w:b/>
                <w:i/>
              </w:rPr>
              <w:lastRenderedPageBreak/>
              <w:t>megfigyelését is támogatja, a hiányosságok és a lehetséges javítások meghatározása céljából.</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rPr>
          <w:noProof/>
        </w:rPr>
      </w:pP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25</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4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w:t>
            </w:r>
            <w:r w:rsidRPr="00BE42FC">
              <w:tab/>
              <w:t>A programnak a 2021–2027 közötti időszakban történő végrehajtására szánt pénzügyi keretösszeg folyó áron 950 000 000 EUR.</w:t>
            </w:r>
          </w:p>
        </w:tc>
        <w:tc>
          <w:tcPr>
            <w:tcW w:w="4876" w:type="dxa"/>
          </w:tcPr>
          <w:p w:rsidR="008E13A6" w:rsidRPr="00BE42FC" w:rsidRDefault="008E13A6" w:rsidP="002335C0">
            <w:pPr>
              <w:pStyle w:val="Normal6"/>
              <w:rPr>
                <w:noProof/>
              </w:rPr>
            </w:pPr>
            <w:r w:rsidRPr="00BE42FC">
              <w:t>(1)</w:t>
            </w:r>
            <w:r w:rsidRPr="00BE42FC">
              <w:tab/>
              <w:t xml:space="preserve">A programnak a 2021–2027 közötti időszakban történő végrehajtására szánt pénzügyi keretösszeg </w:t>
            </w:r>
            <w:r w:rsidRPr="00BE42FC">
              <w:rPr>
                <w:b/>
                <w:i/>
              </w:rPr>
              <w:t>2018. évi árakon 842 844 000 EUR (</w:t>
            </w:r>
            <w:r w:rsidRPr="00BE42FC">
              <w:t>folyó áron 950 000 000 EUR</w:t>
            </w:r>
            <w:r w:rsidRPr="00BE42FC">
              <w:rPr>
                <w:b/>
                <w:i/>
              </w:rPr>
              <w:t>)</w:t>
            </w:r>
            <w:r w:rsidRPr="00BE42FC">
              <w: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26</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4 cikk – 2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(2)</w:t>
            </w:r>
            <w:r w:rsidRPr="00BE42FC">
              <w:tab/>
            </w:r>
            <w:r w:rsidRPr="00BE42FC">
              <w:rPr>
                <w:b/>
                <w:i/>
              </w:rPr>
              <w:t>Az</w:t>
            </w:r>
            <w:r w:rsidRPr="00BE42FC">
              <w:t xml:space="preserve"> (1) bekezdésben említett összeg továbbá fedezheti a program irányításával és a program célkitűzései megvalósításának értékelésével kapcsolatos előkészítési, nyomonkövetési, kontroll-, ellenőrzési, értékelési és egyéb tevékenységekre vonatkozó költségeket. Az összeg ezenfelül fedezheti a tanulmányokkal, szakértői ülésekkel, tájékoztatási és kommunikációs intézkedésekkel kapcsolatos kiadásokat, amelyek kapcsolódnak a program célkitűzéseihez, továbbá az információk feldolgozására és cseréjére összpontosító </w:t>
            </w:r>
            <w:r w:rsidRPr="00BE42FC">
              <w:rPr>
                <w:b/>
                <w:i/>
              </w:rPr>
              <w:t>IT-hálózatokkal</w:t>
            </w:r>
            <w:r w:rsidRPr="00BE42FC">
              <w:t xml:space="preserve"> – többek között az intézményi </w:t>
            </w:r>
            <w:r w:rsidRPr="00BE42FC">
              <w:rPr>
                <w:b/>
                <w:i/>
              </w:rPr>
              <w:t>IT-eszközökkel</w:t>
            </w:r>
            <w:r w:rsidRPr="00BE42FC">
              <w:t xml:space="preserve"> – kapcsolatos kiadásokat, valamint a program irányítása tekintetében </w:t>
            </w:r>
            <w:r w:rsidRPr="00BE42FC">
              <w:rPr>
                <w:b/>
                <w:i/>
              </w:rPr>
              <w:t>felmerült</w:t>
            </w:r>
            <w:r w:rsidRPr="00BE42FC">
              <w:t xml:space="preserve"> minden egyéb technikai és igazgatási segítségnyújtási költséget.</w:t>
            </w:r>
          </w:p>
        </w:tc>
        <w:tc>
          <w:tcPr>
            <w:tcW w:w="4876" w:type="dxa"/>
            <w:hideMark/>
          </w:tcPr>
          <w:p w:rsidR="008E13A6" w:rsidRPr="00BE42FC" w:rsidRDefault="008E13A6" w:rsidP="002335C0">
            <w:pPr>
              <w:pStyle w:val="Normal6"/>
              <w:rPr>
                <w:noProof/>
                <w:szCs w:val="24"/>
              </w:rPr>
            </w:pPr>
            <w:r w:rsidRPr="00BE42FC">
              <w:t>(2)</w:t>
            </w:r>
            <w:r w:rsidRPr="00BE42FC">
              <w:tab/>
            </w:r>
            <w:r w:rsidRPr="00BE42FC">
              <w:rPr>
                <w:b/>
                <w:i/>
              </w:rPr>
              <w:t>Szükséges és kellően indokolt esetekben az</w:t>
            </w:r>
            <w:r w:rsidRPr="00BE42FC">
              <w:t xml:space="preserve"> (1) bekezdésben említett összeg továbbá fedezheti a program irányításával és a program</w:t>
            </w:r>
            <w:r w:rsidRPr="00BE42FC">
              <w:rPr>
                <w:b/>
                <w:i/>
              </w:rPr>
              <w:t xml:space="preserve"> eredményeinek és</w:t>
            </w:r>
            <w:r w:rsidRPr="00BE42FC">
              <w:t xml:space="preserve"> célkitűzései megvalósításának értékelésével kapcsolatos előkészítési, nyomonkövetési, kontroll-, ellenőrzési, értékelési és egyéb tevékenységekre vonatkozó költségeket. Az összeg ezenfelül fedezheti a tanulmányokkal, szakértői ülésekkel, </w:t>
            </w:r>
            <w:r w:rsidRPr="00BE42FC">
              <w:rPr>
                <w:b/>
                <w:i/>
              </w:rPr>
              <w:t xml:space="preserve">a Bizottság által a tagállamoknak és a gazdasági szereplőknek címzett </w:t>
            </w:r>
            <w:r w:rsidRPr="00BE42FC">
              <w:t xml:space="preserve">tájékoztatási és kommunikációs intézkedésekkel kapcsolatos kiadásokat, amelyek kapcsolódnak a program célkitűzéseihez, továbbá az információk feldolgozására és cseréjére összpontosító </w:t>
            </w:r>
            <w:r w:rsidRPr="00BE42FC">
              <w:rPr>
                <w:b/>
                <w:i/>
              </w:rPr>
              <w:t>informatikai hálózatokkal</w:t>
            </w:r>
            <w:r w:rsidRPr="00BE42FC">
              <w:t xml:space="preserve"> – többek között az intézményi </w:t>
            </w:r>
            <w:r w:rsidRPr="00BE42FC">
              <w:rPr>
                <w:b/>
                <w:i/>
              </w:rPr>
              <w:t>informatikai eszközökkel</w:t>
            </w:r>
            <w:r w:rsidRPr="00BE42FC">
              <w:t xml:space="preserve"> – kapcsolatos kiadásokat, valamint a program irányítása tekintetében </w:t>
            </w:r>
            <w:r w:rsidRPr="00BE42FC">
              <w:rPr>
                <w:b/>
                <w:i/>
              </w:rPr>
              <w:t>felmerülő</w:t>
            </w:r>
            <w:r w:rsidRPr="00BE42FC">
              <w:t xml:space="preserve"> </w:t>
            </w:r>
            <w:r w:rsidRPr="00BE42FC">
              <w:lastRenderedPageBreak/>
              <w:t>minden egyéb technikai és igazgatási segítségnyújtási költséget</w:t>
            </w:r>
            <w:r w:rsidRPr="00BE42FC">
              <w:rPr>
                <w:b/>
                <w:i/>
              </w:rPr>
              <w:t>, amennyiben ezekre a tevékenységekre a program céljainak eléréséhez van szükség</w:t>
            </w:r>
            <w:r w:rsidRPr="00BE42FC">
              <w:t>.</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27</w:t>
      </w:r>
      <w:r>
        <w:rPr>
          <w:rStyle w:val="HideTWBExt"/>
          <w:b w:val="0"/>
        </w:rPr>
        <w:t>&lt;/NumAm&gt;</w:t>
      </w:r>
    </w:p>
    <w:p w:rsidR="008E13A6" w:rsidRPr="00D26B44" w:rsidRDefault="008E13A6" w:rsidP="008E13A6">
      <w:pPr>
        <w:pStyle w:val="NormalBold"/>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4 cikk – 2 a bekezdés (új)</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tcPr>
          <w:p w:rsidR="008E13A6" w:rsidRPr="00BE42FC" w:rsidRDefault="008E13A6" w:rsidP="002335C0">
            <w:pPr>
              <w:pStyle w:val="ColumnHeading"/>
              <w:keepNext/>
              <w:rPr>
                <w:noProof/>
              </w:rPr>
            </w:pPr>
            <w:r w:rsidRPr="00BE42FC">
              <w:t>A Bizottság által javasolt szöveg</w:t>
            </w:r>
          </w:p>
        </w:tc>
        <w:tc>
          <w:tcPr>
            <w:tcW w:w="4876" w:type="dxa"/>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(2a)</w:t>
            </w:r>
            <w:r w:rsidRPr="00BE42FC">
              <w:rPr>
                <w:b/>
                <w:i/>
              </w:rPr>
              <w:tab/>
              <w:t>A program nem használható fel az Egyesült Királyságnak az Unióból való lehetséges kilépésével kapcsolatos költségek fedezésére. A Bizottság saját mérlegelése szerint forrásokat különít el az Egyesült Királyság valamennyi uniós vámrendszerből és együttműködésből való kilépéséhez és ezen a területen jogi kötelezettségeinek megszűnéséhez kapcsolódó költségek fedezésére.</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szCs w:val="24"/>
              </w:rPr>
            </w:pPr>
            <w:r w:rsidRPr="00BE42FC">
              <w:rPr>
                <w:b/>
                <w:i/>
              </w:rPr>
              <w:t>E források tartalékba helyezése előtt a Bizottság becslést készít a lehetséges költségekről, és tájékoztatja az Európai Parlamentet, mihelyt a becslés szempontjából lényeges adatok rendelkezésre állnak.</w:t>
            </w:r>
          </w:p>
        </w:tc>
      </w:tr>
    </w:tbl>
    <w:p w:rsidR="008E13A6" w:rsidRPr="00D26B44" w:rsidRDefault="008E13A6" w:rsidP="008E13A6">
      <w:pPr>
        <w:pStyle w:val="AMNumberTabs"/>
        <w:keepNext/>
        <w:rPr>
          <w:noProof/>
        </w:rPr>
      </w:pPr>
      <w:r>
        <w:rPr>
          <w:rStyle w:val="HideTWBExt"/>
          <w:b w:val="0"/>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28</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5 cikk – 1 bekezdés – c pont – bevezető rész</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c)</w:t>
            </w:r>
            <w:r w:rsidRPr="00BE42FC">
              <w:tab/>
              <w:t>egyéb harmadik országok</w:t>
            </w:r>
            <w:r w:rsidRPr="00BE42FC">
              <w:rPr>
                <w:b/>
                <w:i/>
              </w:rPr>
              <w:t xml:space="preserve"> az</w:t>
            </w:r>
            <w:r w:rsidRPr="00BE42FC">
              <w:t xml:space="preserve"> uniós programokban való </w:t>
            </w:r>
            <w:r w:rsidRPr="00BE42FC">
              <w:rPr>
                <w:b/>
                <w:i/>
              </w:rPr>
              <w:t>részvételük feltételeit meghatározó külön megállapodással összhangban</w:t>
            </w:r>
            <w:r w:rsidRPr="00BE42FC">
              <w:t>, amennyiben a megállapodás:</w:t>
            </w:r>
          </w:p>
        </w:tc>
        <w:tc>
          <w:tcPr>
            <w:tcW w:w="4876" w:type="dxa"/>
            <w:hideMark/>
          </w:tcPr>
          <w:p w:rsidR="008E13A6" w:rsidRPr="00BE42FC" w:rsidRDefault="008E13A6" w:rsidP="002335C0">
            <w:pPr>
              <w:pStyle w:val="Normal6"/>
              <w:rPr>
                <w:noProof/>
                <w:szCs w:val="24"/>
              </w:rPr>
            </w:pPr>
            <w:r w:rsidRPr="00BE42FC">
              <w:t>c)</w:t>
            </w:r>
            <w:r w:rsidRPr="00BE42FC">
              <w:tab/>
              <w:t>egyéb harmadik országok</w:t>
            </w:r>
            <w:r w:rsidRPr="00BE42FC">
              <w:rPr>
                <w:b/>
                <w:i/>
              </w:rPr>
              <w:t>, a harmadik ország</w:t>
            </w:r>
            <w:r w:rsidRPr="00BE42FC">
              <w:t xml:space="preserve"> uniós programokban való </w:t>
            </w:r>
            <w:r w:rsidRPr="00BE42FC">
              <w:rPr>
                <w:b/>
                <w:i/>
              </w:rPr>
              <w:t>részvételét szabályozó egyedi megállapodásban meghatározott feltételekkel</w:t>
            </w:r>
            <w:r w:rsidRPr="00BE42FC">
              <w:t>, amennyiben a megállapodás:</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lastRenderedPageBreak/>
        <w:t>&lt;Amend&gt;</w:t>
      </w:r>
      <w:r w:rsidRPr="00BE42FC">
        <w:t>Módosítás</w:t>
      </w:r>
      <w:r w:rsidRPr="00BE42FC">
        <w:tab/>
      </w:r>
      <w:r w:rsidRPr="00BE42FC">
        <w:tab/>
      </w:r>
      <w:r>
        <w:rPr>
          <w:rStyle w:val="HideTWBExt"/>
          <w:b w:val="0"/>
        </w:rPr>
        <w:t>&lt;NumAm&gt;</w:t>
      </w:r>
      <w:r w:rsidRPr="00BE42FC">
        <w:t>29</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5 cikk – 1 bekezdés – c pont – 2 franciabekezdés</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w:t>
            </w:r>
            <w:r w:rsidRPr="00BE42FC">
              <w:tab/>
              <w:t xml:space="preserve">meghatározza a programokban való részvétel feltételeit, beleértve az egyedi programokhoz való pénzügyi hozzájárulások és azok igazgatási költségeinek kiszámítását. Ezek a hozzájárulások a </w:t>
            </w:r>
            <w:r w:rsidRPr="00BE42FC">
              <w:rPr>
                <w:b/>
                <w:i/>
              </w:rPr>
              <w:t xml:space="preserve">[2018/XXX] [az új </w:t>
            </w:r>
            <w:r w:rsidRPr="00BE42FC">
              <w:t>költségvetési rendelet</w:t>
            </w:r>
            <w:r w:rsidRPr="00BE42FC">
              <w:rPr>
                <w:b/>
                <w:i/>
              </w:rPr>
              <w:t>] [</w:t>
            </w:r>
            <w:r w:rsidRPr="00BE42FC">
              <w:t>21. cikkének (5) bekezdésével</w:t>
            </w:r>
            <w:r w:rsidRPr="00BE42FC">
              <w:rPr>
                <w:b/>
                <w:i/>
              </w:rPr>
              <w:t>]</w:t>
            </w:r>
            <w:r w:rsidRPr="00BE42FC">
              <w:t xml:space="preserve"> összhangban címzett bevételnek minősülnek;</w:t>
            </w:r>
          </w:p>
        </w:tc>
        <w:tc>
          <w:tcPr>
            <w:tcW w:w="4876" w:type="dxa"/>
            <w:hideMark/>
          </w:tcPr>
          <w:p w:rsidR="008E13A6" w:rsidRPr="00BE42FC" w:rsidRDefault="008E13A6" w:rsidP="002335C0">
            <w:pPr>
              <w:pStyle w:val="Normal6"/>
              <w:rPr>
                <w:noProof/>
                <w:szCs w:val="24"/>
              </w:rPr>
            </w:pPr>
            <w:r w:rsidRPr="00BE42FC">
              <w:t>–</w:t>
            </w:r>
            <w:r w:rsidRPr="00BE42FC">
              <w:tab/>
              <w:t>meghatározza a programokban való részvétel feltételeit, beleértve az egyedi programokhoz való pénzügyi hozzájárulások és azok igazgatási költségeinek kiszámítását. Ezek a hozzájárulások a költségvetési rendelet</w:t>
            </w:r>
            <w:r w:rsidRPr="00BE42FC">
              <w:rPr>
                <w:b/>
                <w:i/>
              </w:rPr>
              <w:t xml:space="preserve"> </w:t>
            </w:r>
            <w:r w:rsidRPr="00BE42FC">
              <w:t>21. cikkének (5) bekezdésével összhangban címzett bevételnek minősülnek;</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30</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7 cikk – 2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(2)</w:t>
            </w:r>
            <w:r w:rsidRPr="00BE42FC">
              <w:tab/>
              <w:t>Az (EU) [2018/XXX] rendelet [VEB eszköz] 3. cikkében említett célkitűzéseket megvalósító intézkedéseket kiegészítő vagy támogató intézkedések szintén jogosultak a program keretében történő finanszírozásra.</w:t>
            </w:r>
          </w:p>
        </w:tc>
        <w:tc>
          <w:tcPr>
            <w:tcW w:w="4876" w:type="dxa"/>
          </w:tcPr>
          <w:p w:rsidR="008E13A6" w:rsidRPr="00BE42FC" w:rsidRDefault="008E13A6" w:rsidP="002335C0">
            <w:pPr>
              <w:pStyle w:val="Normal6"/>
              <w:rPr>
                <w:noProof/>
              </w:rPr>
            </w:pPr>
            <w:r w:rsidRPr="00BE42FC">
              <w:t>(2)</w:t>
            </w:r>
            <w:r w:rsidRPr="00BE42FC">
              <w:tab/>
              <w:t xml:space="preserve">Az (EU) [2018/XXX] rendelet [VEB eszköz] 3. cikkében említett célkitűzéseket megvalósító intézkedéseket kiegészítő vagy támogató intézkedések </w:t>
            </w:r>
            <w:r w:rsidRPr="00BE42FC">
              <w:rPr>
                <w:b/>
                <w:i/>
              </w:rPr>
              <w:t xml:space="preserve">és/vagy az (EU) [2018/XXX] rendelet [csalás elleni program] 2. cikkében említett célkitűzéseket megvalósító intézkedéseket kiegészítő vagy támogató intézkedések </w:t>
            </w:r>
            <w:r w:rsidRPr="00BE42FC">
              <w:t>szintén jogosultak a program keretében történő finanszírozásra.</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31</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C366CF" w:rsidRDefault="008E13A6" w:rsidP="008E13A6">
      <w:pPr>
        <w:pStyle w:val="NormalBold"/>
        <w:rPr>
          <w:noProof/>
        </w:rPr>
      </w:pPr>
      <w:r>
        <w:rPr>
          <w:rStyle w:val="HideTWBExt"/>
          <w:lang w:val="fr-FR"/>
        </w:rPr>
        <w:t>&lt;Article&gt;</w:t>
      </w:r>
      <w:r w:rsidRPr="00BE42FC">
        <w:t>7 cikk – 3 bekezdés – 1 albekezdés – b pont</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b)</w:t>
            </w:r>
            <w:r w:rsidRPr="00BE42FC">
              <w:tab/>
              <w:t>projektalapú strukturált együttműködés;</w:t>
            </w:r>
          </w:p>
        </w:tc>
        <w:tc>
          <w:tcPr>
            <w:tcW w:w="4876" w:type="dxa"/>
          </w:tcPr>
          <w:p w:rsidR="008E13A6" w:rsidRPr="00BE42FC" w:rsidRDefault="008E13A6" w:rsidP="002335C0">
            <w:pPr>
              <w:pStyle w:val="Normal6"/>
              <w:rPr>
                <w:noProof/>
              </w:rPr>
            </w:pPr>
            <w:r w:rsidRPr="00BE42FC">
              <w:t>b)</w:t>
            </w:r>
            <w:r w:rsidRPr="00BE42FC">
              <w:tab/>
              <w:t>projektalapú strukturált együttműködés</w:t>
            </w:r>
            <w:r w:rsidRPr="00BE42FC">
              <w:rPr>
                <w:b/>
                <w:i/>
              </w:rPr>
              <w:t>, például tagállamok egy csoportjának együttműködésével végzett informatikai fejlesztések</w:t>
            </w:r>
            <w:r w:rsidRPr="00BE42FC">
              <w: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lastRenderedPageBreak/>
        <w:t>&lt;Amend&gt;</w:t>
      </w:r>
      <w:r w:rsidRPr="00BE42FC">
        <w:t>Módosítás</w:t>
      </w:r>
      <w:r w:rsidRPr="00BE42FC">
        <w:tab/>
      </w:r>
      <w:r w:rsidRPr="00BE42FC">
        <w:tab/>
      </w:r>
      <w:r>
        <w:rPr>
          <w:rStyle w:val="HideTWBExt"/>
          <w:b w:val="0"/>
        </w:rPr>
        <w:t>&lt;NumAm&gt;</w:t>
      </w:r>
      <w:r w:rsidRPr="00BE42FC">
        <w:t>32</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7 cikk – 3 bekezdés – 1 albekezdés – d pont</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d)</w:t>
            </w:r>
            <w:r w:rsidRPr="00BE42FC">
              <w:tab/>
              <w:t xml:space="preserve">emberi képességfejlesztésre és </w:t>
            </w:r>
            <w:r w:rsidRPr="00BE42FC">
              <w:rPr>
                <w:b/>
                <w:i/>
              </w:rPr>
              <w:t>kapacitásépítésre</w:t>
            </w:r>
            <w:r w:rsidRPr="00BE42FC">
              <w:t xml:space="preserve"> irányuló intézkedések;</w:t>
            </w:r>
          </w:p>
        </w:tc>
        <w:tc>
          <w:tcPr>
            <w:tcW w:w="4876" w:type="dxa"/>
            <w:hideMark/>
          </w:tcPr>
          <w:p w:rsidR="008E13A6" w:rsidRPr="00BE42FC" w:rsidRDefault="008E13A6" w:rsidP="002335C0">
            <w:pPr>
              <w:pStyle w:val="Normal6"/>
              <w:rPr>
                <w:noProof/>
                <w:szCs w:val="24"/>
              </w:rPr>
            </w:pPr>
            <w:r w:rsidRPr="00BE42FC">
              <w:t>d)</w:t>
            </w:r>
            <w:r w:rsidRPr="00BE42FC">
              <w:tab/>
              <w:t xml:space="preserve">emberi képességfejlesztésre és </w:t>
            </w:r>
            <w:r w:rsidRPr="00BE42FC">
              <w:rPr>
                <w:b/>
                <w:i/>
              </w:rPr>
              <w:t>kapacitásbővítésre</w:t>
            </w:r>
            <w:r w:rsidRPr="00BE42FC">
              <w:t xml:space="preserve"> irányuló intézkedések</w:t>
            </w:r>
            <w:r w:rsidRPr="00BE42FC">
              <w:rPr>
                <w:b/>
                <w:i/>
              </w:rPr>
              <w:t>, beleértve a képzést és a bevált gyakorlatok cseréjét</w:t>
            </w:r>
            <w:r w:rsidRPr="00BE42FC">
              <w: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33</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C366CF" w:rsidRDefault="008E13A6" w:rsidP="008E13A6">
      <w:pPr>
        <w:pStyle w:val="NormalBold"/>
        <w:rPr>
          <w:noProof/>
        </w:rPr>
      </w:pPr>
      <w:r>
        <w:rPr>
          <w:rStyle w:val="HideTWBExt"/>
          <w:lang w:val="fr-FR"/>
        </w:rPr>
        <w:t>&lt;Article&gt;</w:t>
      </w:r>
      <w:r w:rsidRPr="00BE42FC">
        <w:t>7 cikk – 3 bekezdés – 1 albekezdés – e pont – 3 a pont (új)</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rPr>
            </w:pPr>
            <w:r w:rsidRPr="00BE42FC">
              <w:rPr>
                <w:b/>
                <w:i/>
              </w:rPr>
              <w:t>3a.</w:t>
            </w:r>
            <w:r w:rsidRPr="00BE42FC">
              <w:tab/>
            </w:r>
            <w:r w:rsidRPr="00BE42FC">
              <w:rPr>
                <w:b/>
                <w:i/>
              </w:rPr>
              <w:t>nyomonkövetési tevékenységek </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34</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7 cikk – 4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(4)</w:t>
            </w:r>
            <w:r w:rsidRPr="00BE42FC">
              <w:tab/>
              <w:t>A programhoz nem társult harmadik országokkal vagy nemzetközi szervezetekkel való együttműködést szolgáló európai elektronikus rendszerek közös alkotóelemei adaptálásának vagy kiterjesztésének kifejlesztését és működtetését szolgáló intézkedések finanszírozhatók, amennyiben az Unió érdekében állnak. A Bizottság meghozza a szükséges igazgatási rendelkezéseket, amelyek előírhatják az érintett harmadik felek ezen intézkedésekhez nyújtott pénzügyi hozzájárulását.</w:t>
            </w:r>
          </w:p>
        </w:tc>
        <w:tc>
          <w:tcPr>
            <w:tcW w:w="4876" w:type="dxa"/>
          </w:tcPr>
          <w:p w:rsidR="008E13A6" w:rsidRPr="00BE42FC" w:rsidRDefault="008E13A6" w:rsidP="002335C0">
            <w:pPr>
              <w:pStyle w:val="Normal6"/>
              <w:rPr>
                <w:noProof/>
              </w:rPr>
            </w:pPr>
            <w:r w:rsidRPr="00BE42FC">
              <w:t>(4)</w:t>
            </w:r>
            <w:r w:rsidRPr="00BE42FC">
              <w:tab/>
              <w:t>A programhoz nem társult harmadik országokkal vagy nemzetközi szervezetekkel való együttműködést szolgáló európai elektronikus rendszerek közös alkotóelemei adaptálásának vagy kiterjesztésének kifejlesztését</w:t>
            </w:r>
            <w:r w:rsidRPr="00BE42FC">
              <w:rPr>
                <w:b/>
                <w:i/>
              </w:rPr>
              <w:t>, telepítését, karbantartását</w:t>
            </w:r>
            <w:r w:rsidRPr="00BE42FC">
              <w:t xml:space="preserve"> és működtetését szolgáló intézkedések finanszírozhatók, amennyiben az Unió érdekében állnak. A Bizottság meghozza a szükséges igazgatási rendelkezéseket, amelyek előírhatják az érintett harmadik felek ezen intézkedésekhez nyújtott pénzügyi hozzájárulását.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35</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lastRenderedPageBreak/>
        <w:t>&lt;Article&gt;</w:t>
      </w:r>
      <w:r w:rsidRPr="00BE42FC">
        <w:t>8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w:t>
            </w:r>
            <w:r w:rsidRPr="00BE42FC">
              <w:tab/>
              <w:t>Ha a 3. cikkben említett célkitűzéseket végrehajtó intézkedések megvalósítása szempontjából előnyös, akkor kormányzati hatóságok képviselői – beleértve az 5. cikk szerint a programhoz nem társult harmadik országok képviselőit is –, nemzetközi és más érintett szervezetek képviselői, a gazdálkodók vagy a gazdálkodókat képviselő szervezetek képviselői, valamint a civil társadalom képviselői külső szakértőként részt vehetnek a program keretében szervezett intézkedésekben.</w:t>
            </w:r>
          </w:p>
        </w:tc>
        <w:tc>
          <w:tcPr>
            <w:tcW w:w="4876" w:type="dxa"/>
          </w:tcPr>
          <w:p w:rsidR="008E13A6" w:rsidRPr="00BE42FC" w:rsidRDefault="008E13A6" w:rsidP="002335C0">
            <w:pPr>
              <w:pStyle w:val="Normal6"/>
              <w:rPr>
                <w:noProof/>
              </w:rPr>
            </w:pPr>
            <w:r w:rsidRPr="00BE42FC">
              <w:t>(1)</w:t>
            </w:r>
            <w:r w:rsidRPr="00BE42FC">
              <w:tab/>
              <w:t xml:space="preserve">Ha a 3. cikkben említett célkitűzéseket végrehajtó intézkedések megvalósítása szempontjából előnyös, akkor kormányzati hatóságok képviselői – beleértve az 5. cikk szerint a programhoz nem társult harmadik országok képviselőit is –, </w:t>
            </w:r>
            <w:r w:rsidRPr="00BE42FC">
              <w:rPr>
                <w:b/>
                <w:i/>
              </w:rPr>
              <w:t xml:space="preserve">tudósok, </w:t>
            </w:r>
            <w:r w:rsidRPr="00BE42FC">
              <w:t>nemzetközi és más érintett szervezetek képviselői, a gazdálkodók vagy a gazdálkodókat képviselő szervezetek képviselői, valamint a civil társadalom képviselői külső szakértőként részt vehetnek a program keretében szervezett intézkedésekben.</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36</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8 cikk – 3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(3)</w:t>
            </w:r>
            <w:r w:rsidRPr="00BE42FC">
              <w:tab/>
              <w:t xml:space="preserve">A külső szakértőket a Bizottság az </w:t>
            </w:r>
            <w:r w:rsidRPr="00BE42FC">
              <w:rPr>
                <w:b/>
                <w:i/>
              </w:rPr>
              <w:t>adott intézkedés szempontjából releváns készségeik,</w:t>
            </w:r>
            <w:r w:rsidRPr="00BE42FC">
              <w:t xml:space="preserve"> tapasztalataik és ismereteik alapján választja ki, elkerülve az esetleges összeférhetetlenséget.</w:t>
            </w:r>
          </w:p>
        </w:tc>
        <w:tc>
          <w:tcPr>
            <w:tcW w:w="4876" w:type="dxa"/>
            <w:hideMark/>
          </w:tcPr>
          <w:p w:rsidR="008E13A6" w:rsidRPr="00BE42FC" w:rsidRDefault="008E13A6" w:rsidP="002335C0">
            <w:pPr>
              <w:pStyle w:val="Normal6"/>
              <w:rPr>
                <w:noProof/>
                <w:szCs w:val="24"/>
              </w:rPr>
            </w:pPr>
            <w:r w:rsidRPr="00BE42FC">
              <w:t>(3)</w:t>
            </w:r>
            <w:r w:rsidRPr="00BE42FC">
              <w:tab/>
              <w:t xml:space="preserve">A külső szakértőket a Bizottság </w:t>
            </w:r>
            <w:r w:rsidRPr="00BE42FC">
              <w:rPr>
                <w:b/>
                <w:i/>
              </w:rPr>
              <w:t xml:space="preserve">készségeik, </w:t>
            </w:r>
            <w:r w:rsidRPr="00BE42FC">
              <w:t xml:space="preserve">az </w:t>
            </w:r>
            <w:r w:rsidRPr="00BE42FC">
              <w:rPr>
                <w:b/>
                <w:i/>
              </w:rPr>
              <w:t>e rendelet alkalmazási területén szerzett</w:t>
            </w:r>
            <w:r w:rsidRPr="00BE42FC">
              <w:t xml:space="preserve"> tapasztalataik és </w:t>
            </w:r>
            <w:r w:rsidRPr="00BE42FC">
              <w:rPr>
                <w:b/>
                <w:i/>
              </w:rPr>
              <w:t xml:space="preserve">az adott intézkedés szempontjából lényeges </w:t>
            </w:r>
            <w:r w:rsidRPr="00BE42FC">
              <w:t xml:space="preserve">ismereteik alapján választja ki, elkerülve az esetleges összeférhetetlenséget. </w:t>
            </w:r>
            <w:r w:rsidRPr="00BE42FC">
              <w:rPr>
                <w:b/>
                <w:i/>
              </w:rPr>
              <w:t>A kiválasztás során egyensúlyt kell teremteni az üzleti élet képviselői és más civil társadalmi szakértők között, valamint figyelembe kell venni a nemek közötti egyenlőség elvét. A külső szakértők jegyzékét rendszeresen frissíteni kell és elérhetővé kell tenni a nyilvánosság számára.</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37</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9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lastRenderedPageBreak/>
              <w:t>(1)</w:t>
            </w:r>
            <w:r w:rsidRPr="00BE42FC">
              <w:tab/>
              <w:t>A program keretében nyújtott vissza nem térítendő támogatások odaítélésére és kezelésére a költségvetési rendelet VIII. címével összhangban kerül sor.</w:t>
            </w:r>
          </w:p>
        </w:tc>
        <w:tc>
          <w:tcPr>
            <w:tcW w:w="4876" w:type="dxa"/>
          </w:tcPr>
          <w:p w:rsidR="008E13A6" w:rsidRPr="00BE42FC" w:rsidRDefault="008E13A6" w:rsidP="002335C0">
            <w:pPr>
              <w:pStyle w:val="Normal6"/>
              <w:rPr>
                <w:noProof/>
              </w:rPr>
            </w:pPr>
            <w:r w:rsidRPr="00BE42FC">
              <w:t>(1)</w:t>
            </w:r>
            <w:r w:rsidRPr="00BE42FC">
              <w:tab/>
              <w:t>A program keretében nyújtott vissza nem térítendő támogatások odaítélésére és kezelésére a költségvetési rendelet VIII. címével</w:t>
            </w:r>
            <w:r w:rsidRPr="00BE42FC">
              <w:rPr>
                <w:b/>
                <w:i/>
              </w:rPr>
              <w:t>, és különösen a hatékony és eredményes pénzgazdálkodás, az átláthatóság, az arányosság, a megkülönböztetésmentesség és az egyenlő bánásmód elveivel</w:t>
            </w:r>
            <w:r w:rsidRPr="00BE42FC">
              <w:t xml:space="preserve"> összhangban kerül sor.</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38</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10 cikk – 1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(1)</w:t>
            </w:r>
            <w:r w:rsidRPr="00BE42FC">
              <w:tab/>
              <w:t xml:space="preserve">A költségvetési rendelet 190. cikkétől eltérve a program az intézkedések elszámolható költségeinek </w:t>
            </w:r>
            <w:r w:rsidRPr="00BE42FC">
              <w:rPr>
                <w:b/>
                <w:i/>
              </w:rPr>
              <w:t>legfeljebb</w:t>
            </w:r>
            <w:r w:rsidRPr="00BE42FC">
              <w:t xml:space="preserve"> 100</w:t>
            </w:r>
            <w:r w:rsidRPr="00BE42FC">
              <w:rPr>
                <w:b/>
                <w:i/>
              </w:rPr>
              <w:t> </w:t>
            </w:r>
            <w:r w:rsidRPr="00BE42FC">
              <w:t>%-át finanszírozhatja.</w:t>
            </w:r>
          </w:p>
        </w:tc>
        <w:tc>
          <w:tcPr>
            <w:tcW w:w="4876" w:type="dxa"/>
            <w:hideMark/>
          </w:tcPr>
          <w:p w:rsidR="008E13A6" w:rsidRPr="00BE42FC" w:rsidRDefault="008E13A6" w:rsidP="002335C0">
            <w:pPr>
              <w:pStyle w:val="Normal6"/>
              <w:rPr>
                <w:noProof/>
                <w:szCs w:val="24"/>
              </w:rPr>
            </w:pPr>
            <w:r w:rsidRPr="00BE42FC">
              <w:t>(1)</w:t>
            </w:r>
            <w:r w:rsidRPr="00BE42FC">
              <w:tab/>
              <w:t xml:space="preserve">A költségvetési rendelet 190. cikkétől eltérve a program az intézkedések elszámolható költségeinek </w:t>
            </w:r>
            <w:r w:rsidRPr="00BE42FC">
              <w:rPr>
                <w:b/>
                <w:i/>
              </w:rPr>
              <w:t>akár</w:t>
            </w:r>
            <w:r w:rsidRPr="00BE42FC">
              <w:t xml:space="preserve"> 100%-át</w:t>
            </w:r>
            <w:r w:rsidRPr="00BE42FC">
              <w:rPr>
                <w:b/>
                <w:i/>
              </w:rPr>
              <w:t xml:space="preserve"> is</w:t>
            </w:r>
            <w:r w:rsidRPr="00BE42FC">
              <w:t xml:space="preserve"> finanszírozhatja</w:t>
            </w:r>
            <w:r w:rsidRPr="00BE42FC">
              <w:rPr>
                <w:b/>
                <w:i/>
              </w:rPr>
              <w:t>, az intézkedések jelentősége és a becsült hatás szerint</w:t>
            </w:r>
            <w:r w:rsidRPr="00BE42FC">
              <w: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39</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11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w:t>
            </w:r>
            <w:r w:rsidRPr="00BE42FC">
              <w:tab/>
              <w:t xml:space="preserve">A Bizottság és a tagállamok közösen biztosítják a 12. cikkben említett többéves vámügyi stratégiai tervben felsorolt európai elektronikus rendszerek kifejlesztését és működtetését, beleértve </w:t>
            </w:r>
            <w:r w:rsidRPr="00BE42FC">
              <w:rPr>
                <w:b/>
                <w:i/>
              </w:rPr>
              <w:t>a tervezést</w:t>
            </w:r>
            <w:r w:rsidRPr="00BE42FC">
              <w:t xml:space="preserve">, </w:t>
            </w:r>
            <w:r w:rsidRPr="00BE42FC">
              <w:rPr>
                <w:b/>
                <w:i/>
              </w:rPr>
              <w:t xml:space="preserve">a </w:t>
            </w:r>
            <w:r w:rsidRPr="00BE42FC">
              <w:t xml:space="preserve">műszaki </w:t>
            </w:r>
            <w:r w:rsidRPr="00BE42FC">
              <w:rPr>
                <w:b/>
                <w:i/>
              </w:rPr>
              <w:t>leírást</w:t>
            </w:r>
            <w:r w:rsidRPr="00BE42FC">
              <w:t>,</w:t>
            </w:r>
            <w:r w:rsidRPr="00BE42FC">
              <w:rPr>
                <w:b/>
                <w:i/>
              </w:rPr>
              <w:t xml:space="preserve"> a</w:t>
            </w:r>
            <w:r w:rsidRPr="00BE42FC">
              <w:t xml:space="preserve"> megfelelőségi </w:t>
            </w:r>
            <w:r w:rsidRPr="00BE42FC">
              <w:rPr>
                <w:b/>
                <w:i/>
              </w:rPr>
              <w:t>vizsgálatot</w:t>
            </w:r>
            <w:r w:rsidRPr="00BE42FC">
              <w:t xml:space="preserve">, </w:t>
            </w:r>
            <w:r w:rsidRPr="00BE42FC">
              <w:rPr>
                <w:b/>
                <w:i/>
              </w:rPr>
              <w:t>a telepítést</w:t>
            </w:r>
            <w:r w:rsidRPr="00BE42FC">
              <w:t xml:space="preserve">, </w:t>
            </w:r>
            <w:r w:rsidRPr="00BE42FC">
              <w:rPr>
                <w:b/>
                <w:i/>
              </w:rPr>
              <w:t>a karbantartást</w:t>
            </w:r>
            <w:r w:rsidRPr="00BE42FC">
              <w:t xml:space="preserve">, </w:t>
            </w:r>
            <w:r w:rsidRPr="00BE42FC">
              <w:rPr>
                <w:b/>
                <w:i/>
              </w:rPr>
              <w:t>a továbbfejlesztést</w:t>
            </w:r>
            <w:r w:rsidRPr="00BE42FC">
              <w:t xml:space="preserve">, </w:t>
            </w:r>
            <w:r w:rsidRPr="00BE42FC">
              <w:rPr>
                <w:b/>
                <w:i/>
              </w:rPr>
              <w:t>a biztonságot</w:t>
            </w:r>
            <w:r w:rsidRPr="00BE42FC">
              <w:t xml:space="preserve">, </w:t>
            </w:r>
            <w:r w:rsidRPr="00BE42FC">
              <w:rPr>
                <w:b/>
                <w:i/>
              </w:rPr>
              <w:t>a minőségbiztosítást</w:t>
            </w:r>
            <w:r w:rsidRPr="00BE42FC">
              <w:t xml:space="preserve"> és </w:t>
            </w:r>
            <w:r w:rsidRPr="00BE42FC">
              <w:rPr>
                <w:b/>
                <w:i/>
              </w:rPr>
              <w:t>a minőség-ellenőrzést</w:t>
            </w:r>
            <w:r w:rsidRPr="00BE42FC">
              <w:t>.</w:t>
            </w:r>
          </w:p>
        </w:tc>
        <w:tc>
          <w:tcPr>
            <w:tcW w:w="4876" w:type="dxa"/>
          </w:tcPr>
          <w:p w:rsidR="008E13A6" w:rsidRPr="00BE42FC" w:rsidRDefault="008E13A6" w:rsidP="002335C0">
            <w:pPr>
              <w:pStyle w:val="Normal6"/>
              <w:rPr>
                <w:noProof/>
              </w:rPr>
            </w:pPr>
            <w:r w:rsidRPr="00BE42FC">
              <w:t>(1)</w:t>
            </w:r>
            <w:r w:rsidRPr="00BE42FC">
              <w:tab/>
              <w:t xml:space="preserve">A Bizottság és a tagállamok közösen biztosítják a 12. cikkben említett többéves vámügyi stratégiai tervben felsorolt európai elektronikus rendszerek kifejlesztését és működtetését, beleértve </w:t>
            </w:r>
            <w:r w:rsidRPr="00BE42FC">
              <w:rPr>
                <w:b/>
                <w:i/>
              </w:rPr>
              <w:t>azok tervezését</w:t>
            </w:r>
            <w:r w:rsidRPr="00BE42FC">
              <w:t xml:space="preserve">, műszaki </w:t>
            </w:r>
            <w:r w:rsidRPr="00BE42FC">
              <w:rPr>
                <w:b/>
                <w:i/>
              </w:rPr>
              <w:t>leírását</w:t>
            </w:r>
            <w:r w:rsidRPr="00BE42FC">
              <w:t xml:space="preserve">, megfelelőségi </w:t>
            </w:r>
            <w:r w:rsidRPr="00BE42FC">
              <w:rPr>
                <w:b/>
                <w:i/>
              </w:rPr>
              <w:t>vizsgálatát</w:t>
            </w:r>
            <w:r w:rsidRPr="00BE42FC">
              <w:t xml:space="preserve">, </w:t>
            </w:r>
            <w:r w:rsidRPr="00BE42FC">
              <w:rPr>
                <w:b/>
                <w:i/>
              </w:rPr>
              <w:t>telepítését, karbantartását</w:t>
            </w:r>
            <w:r w:rsidRPr="00BE42FC">
              <w:t xml:space="preserve">, </w:t>
            </w:r>
            <w:r w:rsidRPr="00BE42FC">
              <w:rPr>
                <w:b/>
                <w:i/>
              </w:rPr>
              <w:t>továbbfejlesztését</w:t>
            </w:r>
            <w:r w:rsidRPr="00BE42FC">
              <w:t xml:space="preserve">, </w:t>
            </w:r>
            <w:r w:rsidRPr="00BE42FC">
              <w:rPr>
                <w:b/>
                <w:i/>
              </w:rPr>
              <w:t>korszerűsítését</w:t>
            </w:r>
            <w:r w:rsidRPr="00BE42FC">
              <w:t xml:space="preserve">, </w:t>
            </w:r>
            <w:r w:rsidRPr="00BE42FC">
              <w:rPr>
                <w:b/>
                <w:i/>
              </w:rPr>
              <w:t>biztonságosságát</w:t>
            </w:r>
            <w:r w:rsidRPr="00BE42FC">
              <w:t xml:space="preserve">, </w:t>
            </w:r>
            <w:r w:rsidRPr="00BE42FC">
              <w:rPr>
                <w:b/>
                <w:i/>
              </w:rPr>
              <w:t>minőségbiztosítását</w:t>
            </w:r>
            <w:r w:rsidRPr="00BE42FC">
              <w:t xml:space="preserve"> és </w:t>
            </w:r>
            <w:r w:rsidRPr="00BE42FC">
              <w:rPr>
                <w:b/>
                <w:i/>
              </w:rPr>
              <w:t>minőség-ellenőrzését</w:t>
            </w:r>
            <w:r w:rsidRPr="00BE42FC">
              <w: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40</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C366CF" w:rsidRDefault="008E13A6" w:rsidP="008E13A6">
      <w:pPr>
        <w:pStyle w:val="NormalBold"/>
        <w:rPr>
          <w:noProof/>
        </w:rPr>
      </w:pPr>
      <w:r>
        <w:rPr>
          <w:rStyle w:val="HideTWBExt"/>
          <w:lang w:val="fr-FR"/>
        </w:rPr>
        <w:t>&lt;Article&gt;</w:t>
      </w:r>
      <w:r w:rsidRPr="00BE42FC">
        <w:t>11 cikk – 2 bekezdés – b pont</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lastRenderedPageBreak/>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b)</w:t>
            </w:r>
            <w:r w:rsidRPr="00BE42FC">
              <w:tab/>
              <w:t>az európai elektronikus rendszerek kifejlesztésének és működtetésének átfogó koordinálása, szem előtt tartva azok működőképességét, összekapcsolhatóságát, folyamatos fejlesztését és összehangolt végrehajtását;</w:t>
            </w:r>
          </w:p>
        </w:tc>
        <w:tc>
          <w:tcPr>
            <w:tcW w:w="4876" w:type="dxa"/>
          </w:tcPr>
          <w:p w:rsidR="008E13A6" w:rsidRPr="00BE42FC" w:rsidRDefault="008E13A6" w:rsidP="002335C0">
            <w:pPr>
              <w:pStyle w:val="Normal6"/>
              <w:rPr>
                <w:noProof/>
              </w:rPr>
            </w:pPr>
            <w:r w:rsidRPr="00BE42FC">
              <w:t>b)</w:t>
            </w:r>
            <w:r w:rsidRPr="00BE42FC">
              <w:tab/>
              <w:t xml:space="preserve">az európai elektronikus rendszerek kifejlesztésének és működtetésének átfogó koordinálása, szem előtt tartva azok működőképességét, </w:t>
            </w:r>
            <w:r w:rsidRPr="00BE42FC">
              <w:rPr>
                <w:b/>
                <w:i/>
              </w:rPr>
              <w:t xml:space="preserve">számítógépes támadásokkal szembeni ellenálló képességét, </w:t>
            </w:r>
            <w:r w:rsidRPr="00BE42FC">
              <w:t>összekapcsolhatóságát, folyamatos fejlesztését és összehangolt végrehajtását;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41</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C366CF" w:rsidRDefault="008E13A6" w:rsidP="008E13A6">
      <w:pPr>
        <w:pStyle w:val="NormalBold"/>
        <w:rPr>
          <w:noProof/>
        </w:rPr>
      </w:pPr>
      <w:r>
        <w:rPr>
          <w:rStyle w:val="HideTWBExt"/>
          <w:lang w:val="fr-FR"/>
        </w:rPr>
        <w:t>&lt;Article&gt;</w:t>
      </w:r>
      <w:r w:rsidRPr="00BE42FC">
        <w:t>11 cikk – 2 bekezdés – e a pont (új)</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rPr>
            </w:pPr>
            <w:r w:rsidRPr="00BE42FC">
              <w:rPr>
                <w:b/>
                <w:i/>
              </w:rPr>
              <w:t>ea)</w:t>
            </w:r>
            <w:r w:rsidRPr="00BE42FC">
              <w:tab/>
            </w:r>
            <w:r w:rsidRPr="00BE42FC">
              <w:rPr>
                <w:b/>
                <w:i/>
              </w:rPr>
              <w:t>a tagállamokkal folytatott, valamint a tagállamok közötti hatékony és gyors kommunikáció az uniós elektronikus rendszerek irányításának észszerűsítése érdekében;</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42</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C366CF" w:rsidRDefault="008E13A6" w:rsidP="008E13A6">
      <w:pPr>
        <w:pStyle w:val="NormalBold"/>
        <w:rPr>
          <w:noProof/>
        </w:rPr>
      </w:pPr>
      <w:r>
        <w:rPr>
          <w:rStyle w:val="HideTWBExt"/>
          <w:lang w:val="fr-FR"/>
        </w:rPr>
        <w:t>&lt;Article&gt;</w:t>
      </w:r>
      <w:r w:rsidRPr="00BE42FC">
        <w:t>11 cikk – 2 bekezdés – e b pont (új)</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rPr>
            </w:pPr>
            <w:r w:rsidRPr="00BE42FC">
              <w:rPr>
                <w:b/>
                <w:i/>
              </w:rPr>
              <w:t>eb)</w:t>
            </w:r>
            <w:r w:rsidRPr="00BE42FC">
              <w:tab/>
            </w:r>
            <w:r w:rsidRPr="00BE42FC">
              <w:rPr>
                <w:b/>
                <w:i/>
              </w:rPr>
              <w:t>időszerű és átlátható kommunikáció az érintett felekkel az informatikai rendszerek uniós és tagállami szinteken történő végrehajtásáról, különösen a végrehajtás késedelmeiről és az uniós és nemzeti összetevőkkel kapcsolatos kiadásokról. </w:t>
            </w:r>
          </w:p>
        </w:tc>
      </w:tr>
    </w:tbl>
    <w:p w:rsidR="008E13A6" w:rsidRPr="00D26B44" w:rsidRDefault="008E13A6" w:rsidP="008E13A6">
      <w:pPr>
        <w:rPr>
          <w:noProof/>
        </w:rPr>
      </w:pPr>
      <w:r>
        <w:rPr>
          <w:rStyle w:val="HideTWBExt"/>
        </w:rPr>
        <w:t>&lt;/Amend&gt;</w:t>
      </w:r>
    </w:p>
    <w:p w:rsidR="008E13A6" w:rsidRPr="00D26B44" w:rsidRDefault="008E13A6" w:rsidP="008E13A6">
      <w:pPr>
        <w:rPr>
          <w:noProof/>
        </w:rPr>
      </w:pP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43</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11 cikk – 3 bekezdés – d pont</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d)</w:t>
            </w:r>
            <w:r w:rsidRPr="00BE42FC">
              <w:tab/>
              <w:t>a Bizottság rendszeres tájékoztatása az a célból hozott intézkedésekről, hogy az érintett tagállami hatóságok vagy a gazdálkodók teljes körűen ki tudják használni az európai elektronikus rendszereket;</w:t>
            </w:r>
          </w:p>
        </w:tc>
        <w:tc>
          <w:tcPr>
            <w:tcW w:w="4876" w:type="dxa"/>
            <w:hideMark/>
          </w:tcPr>
          <w:p w:rsidR="008E13A6" w:rsidRPr="00BE42FC" w:rsidRDefault="008E13A6" w:rsidP="002335C0">
            <w:pPr>
              <w:pStyle w:val="Normal6"/>
              <w:rPr>
                <w:noProof/>
                <w:szCs w:val="24"/>
              </w:rPr>
            </w:pPr>
            <w:r w:rsidRPr="00BE42FC">
              <w:t>d)</w:t>
            </w:r>
            <w:r w:rsidRPr="00BE42FC">
              <w:tab/>
              <w:t xml:space="preserve">a Bizottság rendszeres tájékoztatása az a célból hozott intézkedésekről, hogy az érintett tagállami hatóságok vagy a gazdálkodók teljes körűen </w:t>
            </w:r>
            <w:r w:rsidRPr="00BE42FC">
              <w:rPr>
                <w:b/>
                <w:i/>
              </w:rPr>
              <w:t xml:space="preserve">és ténylegesen </w:t>
            </w:r>
            <w:r w:rsidRPr="00BE42FC">
              <w:t>ki tudják használni az európai elektronikus rendszereket;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44</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sidRPr="00E85185">
        <w:rPr>
          <w:rStyle w:val="HideTWBExt"/>
          <w:b w:val="0"/>
        </w:rPr>
        <w:t>&lt;Article&gt;</w:t>
      </w:r>
      <w:r w:rsidRPr="00BE42FC">
        <w:t>12 cikk – 1 bekezdés – bevezető rész</w:t>
      </w:r>
      <w:r w:rsidRPr="00E8518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jc w:val="center"/>
        </w:trPr>
        <w:tc>
          <w:tcPr>
            <w:tcW w:w="9752" w:type="dxa"/>
            <w:gridSpan w:val="2"/>
          </w:tcPr>
          <w:p w:rsidR="008E13A6" w:rsidRPr="00E85185"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(1)</w:t>
            </w:r>
            <w:r w:rsidRPr="00BE42FC">
              <w:tab/>
              <w:t>A Bizottság összeállít és naprakészen tart egy többéves vámügyi stratégiai tervet, amely felsorolja az európai elektronikus rendszerek kifejlesztéséhez és működtetéséhez kapcsolódó valamennyi feladatot, és besorolja az egyes rendszereket vagy azok részeit a következő kategóriákba:</w:t>
            </w:r>
          </w:p>
        </w:tc>
        <w:tc>
          <w:tcPr>
            <w:tcW w:w="4876" w:type="dxa"/>
            <w:hideMark/>
          </w:tcPr>
          <w:p w:rsidR="008E13A6" w:rsidRPr="00BE42FC" w:rsidRDefault="008E13A6" w:rsidP="002335C0">
            <w:pPr>
              <w:pStyle w:val="Normal6"/>
              <w:rPr>
                <w:noProof/>
                <w:szCs w:val="24"/>
              </w:rPr>
            </w:pPr>
            <w:r w:rsidRPr="00BE42FC">
              <w:rPr>
                <w:i/>
              </w:rPr>
              <w:t>(A magyar változatot nem érinti.)</w:t>
            </w:r>
            <w:r w:rsidRPr="00BE42FC">
              <w:tab/>
              <w:t xml:space="preserve"> </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45</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C366CF" w:rsidRDefault="008E13A6" w:rsidP="008E13A6">
      <w:pPr>
        <w:pStyle w:val="NormalBold"/>
        <w:rPr>
          <w:noProof/>
        </w:rPr>
      </w:pPr>
      <w:r>
        <w:rPr>
          <w:rStyle w:val="HideTWBExt"/>
          <w:b w:val="0"/>
          <w:lang w:val="fr-FR"/>
        </w:rPr>
        <w:t>&lt;Article&gt;</w:t>
      </w:r>
      <w:r w:rsidRPr="00BE42FC">
        <w:t>12 cikk – 1 bekezdés – a pont</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jc w:val="center"/>
        </w:trPr>
        <w:tc>
          <w:tcPr>
            <w:tcW w:w="9752" w:type="dxa"/>
            <w:gridSpan w:val="2"/>
          </w:tcPr>
          <w:p w:rsidR="008E13A6" w:rsidRPr="00C366CF" w:rsidRDefault="008E13A6" w:rsidP="002335C0">
            <w:pPr>
              <w:keepNext/>
              <w:rPr>
                <w:noProof/>
                <w:lang w:val="fr-FR"/>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rPr>
                <w:b/>
                <w:i/>
              </w:rPr>
              <w:t>a)</w:t>
            </w:r>
            <w:r w:rsidRPr="00BE42FC">
              <w:tab/>
              <w:t xml:space="preserve">közös összetevő: az uniós szinten kifejlesztett európai elektronikus rendszerek olyan összetevője, amely minden tagállam számára rendelkezésre áll, vagy amelyet a Bizottság a hatékonyság, </w:t>
            </w:r>
            <w:r w:rsidRPr="00BE42FC">
              <w:rPr>
                <w:b/>
                <w:i/>
              </w:rPr>
              <w:t>a biztonság</w:t>
            </w:r>
            <w:r w:rsidRPr="00BE42FC">
              <w:t xml:space="preserve"> és </w:t>
            </w:r>
            <w:r w:rsidRPr="00BE42FC">
              <w:rPr>
                <w:b/>
                <w:i/>
              </w:rPr>
              <w:t>az észszerűsítés</w:t>
            </w:r>
            <w:r w:rsidRPr="00BE42FC">
              <w:t xml:space="preserve"> érdekében közösként jelöl meg;</w:t>
            </w:r>
          </w:p>
        </w:tc>
        <w:tc>
          <w:tcPr>
            <w:tcW w:w="4876" w:type="dxa"/>
            <w:hideMark/>
          </w:tcPr>
          <w:p w:rsidR="008E13A6" w:rsidRPr="00BE42FC" w:rsidRDefault="008E13A6" w:rsidP="002335C0">
            <w:pPr>
              <w:pStyle w:val="Normal6"/>
              <w:rPr>
                <w:noProof/>
                <w:szCs w:val="24"/>
              </w:rPr>
            </w:pPr>
            <w:r w:rsidRPr="00BE42FC">
              <w:rPr>
                <w:szCs w:val="24"/>
              </w:rPr>
              <w:t>a)</w:t>
            </w:r>
            <w:r w:rsidRPr="00BE42FC">
              <w:rPr>
                <w:szCs w:val="24"/>
              </w:rPr>
              <w:tab/>
              <w:t xml:space="preserve">közös összetevő: az uniós szinten kifejlesztett európai elektronikus rendszerek olyan összetevője, amely minden tagállam számára rendelkezésre áll, vagy amelyet a Bizottság a hatékonyság, </w:t>
            </w:r>
            <w:r w:rsidRPr="00BE42FC">
              <w:rPr>
                <w:b/>
                <w:i/>
                <w:szCs w:val="24"/>
              </w:rPr>
              <w:t>az észszerűsítés biztonsága</w:t>
            </w:r>
            <w:r w:rsidRPr="00BE42FC">
              <w:rPr>
                <w:szCs w:val="24"/>
              </w:rPr>
              <w:t xml:space="preserve"> és </w:t>
            </w:r>
            <w:r w:rsidRPr="00BE42FC">
              <w:rPr>
                <w:b/>
                <w:i/>
                <w:szCs w:val="24"/>
              </w:rPr>
              <w:t>a megbízhatóság</w:t>
            </w:r>
            <w:r w:rsidRPr="00BE42FC">
              <w:rPr>
                <w:szCs w:val="24"/>
              </w:rPr>
              <w:t xml:space="preserve"> érdekében közösként jelöl meg;</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46</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C366CF" w:rsidRDefault="008E13A6" w:rsidP="008E13A6">
      <w:pPr>
        <w:pStyle w:val="NormalBold"/>
        <w:rPr>
          <w:noProof/>
        </w:rPr>
      </w:pPr>
      <w:r>
        <w:rPr>
          <w:rStyle w:val="HideTWBExt"/>
          <w:lang w:val="fr-FR"/>
        </w:rPr>
        <w:t>&lt;Article&gt;</w:t>
      </w:r>
      <w:r w:rsidRPr="00BE42FC">
        <w:t>12 cikk – 1 bekezdés – b pont</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b)</w:t>
            </w:r>
            <w:r w:rsidRPr="00BE42FC">
              <w:tab/>
              <w:t>nemzeti összetevő: az európai elektronikus rendszerek nemzeti szinten kifejlesztett olyan összetevője, amely az ilyen összetevőt létrehozó vagy annak közös létrehozásához hozzájáruló tagállamban rendelkezésre áll;</w:t>
            </w:r>
          </w:p>
        </w:tc>
        <w:tc>
          <w:tcPr>
            <w:tcW w:w="4876" w:type="dxa"/>
          </w:tcPr>
          <w:p w:rsidR="008E13A6" w:rsidRPr="00BE42FC" w:rsidRDefault="008E13A6" w:rsidP="002335C0">
            <w:pPr>
              <w:pStyle w:val="Normal6"/>
              <w:rPr>
                <w:noProof/>
              </w:rPr>
            </w:pPr>
            <w:r w:rsidRPr="00BE42FC">
              <w:t>b)</w:t>
            </w:r>
            <w:r w:rsidRPr="00BE42FC">
              <w:tab/>
              <w:t xml:space="preserve">nemzeti összetevő: az európai elektronikus rendszerek nemzeti szinten kifejlesztett olyan összetevője, amely az ilyen összetevőt létrehozó vagy annak közös </w:t>
            </w:r>
            <w:r w:rsidRPr="00BE42FC">
              <w:rPr>
                <w:b/>
                <w:i/>
              </w:rPr>
              <w:t xml:space="preserve">– például a tagállamok egy csoportjának együttműködésén alapuló informatikai fejlesztési projekt részeként történő – </w:t>
            </w:r>
            <w:r w:rsidRPr="00BE42FC">
              <w:t>létrehozásához hozzájáruló tagállamban rendelkezésre áll;</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47</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12 cikk – 3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(3)</w:t>
            </w:r>
            <w:r w:rsidRPr="00BE42FC">
              <w:tab/>
              <w:t>A tagállamok értesítik a Bizottságot az (1) bekezdésben említett többéves vámügyi stratégiai tervben számukra kiadott minden egyes feladat elvégzéséről. Rendszeresen jelentést tesznek a Bizottságnak a feladataik terén elért haladásról is.</w:t>
            </w:r>
          </w:p>
        </w:tc>
        <w:tc>
          <w:tcPr>
            <w:tcW w:w="4876" w:type="dxa"/>
          </w:tcPr>
          <w:p w:rsidR="008E13A6" w:rsidRPr="00BE42FC" w:rsidRDefault="008E13A6" w:rsidP="002335C0">
            <w:pPr>
              <w:pStyle w:val="Normal6"/>
              <w:rPr>
                <w:noProof/>
              </w:rPr>
            </w:pPr>
            <w:r w:rsidRPr="00BE42FC">
              <w:t>(3)</w:t>
            </w:r>
            <w:r w:rsidRPr="00BE42FC">
              <w:tab/>
              <w:t xml:space="preserve">A tagállamok értesítik a Bizottságot az (1) bekezdésben említett többéves vámügyi stratégiai tervben számukra kiadott minden egyes feladat elvégzéséről. Rendszeresen jelentést tesznek a Bizottságnak a feladataik terén elért haladásról </w:t>
            </w:r>
            <w:r w:rsidRPr="00BE42FC">
              <w:rPr>
                <w:b/>
                <w:i/>
              </w:rPr>
              <w:t xml:space="preserve">és adott esetben a végrehajtás előre látható késedelmeiről </w:t>
            </w:r>
            <w:r w:rsidRPr="00BE42FC">
              <w:t>is.</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48</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12 cikk – 5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(5)</w:t>
            </w:r>
            <w:r w:rsidRPr="00BE42FC">
              <w:tab/>
              <w:t>A Bizottság a (4) bekezdésben említett éves jelentések alapján legkésőbb minden év október 31-ig összefoglaló jelentést készít, amelyben értékeli a tagállamok és a Bizottság által az (1) bekezdésben említett terv végrehajtása terén elért előrehaladást, és nyilvánosságra hozza ezt a jelentést.</w:t>
            </w:r>
          </w:p>
        </w:tc>
        <w:tc>
          <w:tcPr>
            <w:tcW w:w="4876" w:type="dxa"/>
          </w:tcPr>
          <w:p w:rsidR="008E13A6" w:rsidRPr="00BE42FC" w:rsidRDefault="008E13A6" w:rsidP="002335C0">
            <w:pPr>
              <w:pStyle w:val="Normal6"/>
              <w:rPr>
                <w:noProof/>
              </w:rPr>
            </w:pPr>
            <w:r w:rsidRPr="00BE42FC">
              <w:t>(5)</w:t>
            </w:r>
            <w:r w:rsidRPr="00BE42FC">
              <w:tab/>
              <w:t xml:space="preserve">A Bizottság a (4) bekezdésben említett éves jelentések alapján legkésőbb minden év október 31-ig összefoglaló jelentést készít, amelyben értékeli a tagállamok és a Bizottság által az (1) bekezdésben említett terv végrehajtása terén elért előrehaladást, </w:t>
            </w:r>
            <w:r w:rsidRPr="00BE42FC">
              <w:rPr>
                <w:b/>
                <w:i/>
              </w:rPr>
              <w:t xml:space="preserve">beleértve a szükséges kiigazításokra vagy a terv késedelmeire vonatkozó információkat, </w:t>
            </w:r>
            <w:r w:rsidRPr="00BE42FC">
              <w:t>és nyilvánosságra hozza ezt a jelentést.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lastRenderedPageBreak/>
        <w:t>&lt;Amend&gt;</w:t>
      </w:r>
      <w:r w:rsidRPr="00BE42FC">
        <w:t>Módosítás</w:t>
      </w:r>
      <w:r w:rsidRPr="00BE42FC">
        <w:tab/>
      </w:r>
      <w:r w:rsidRPr="00BE42FC">
        <w:tab/>
      </w:r>
      <w:r>
        <w:rPr>
          <w:rStyle w:val="HideTWBExt"/>
        </w:rPr>
        <w:t>&lt;NumAm&gt;</w:t>
      </w:r>
      <w:r w:rsidRPr="00BE42FC">
        <w:t>49</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13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w:t>
            </w:r>
            <w:r w:rsidRPr="00BE42FC">
              <w:tab/>
              <w:t>A programot a költségvetési rendelet 108. cikkében említett többéves munkaprogramokon keresztül kell végrehajtani.</w:t>
            </w:r>
          </w:p>
        </w:tc>
        <w:tc>
          <w:tcPr>
            <w:tcW w:w="4876" w:type="dxa"/>
          </w:tcPr>
          <w:p w:rsidR="008E13A6" w:rsidRPr="00BE42FC" w:rsidRDefault="008E13A6" w:rsidP="002335C0">
            <w:pPr>
              <w:pStyle w:val="Normal6"/>
              <w:rPr>
                <w:noProof/>
              </w:rPr>
            </w:pPr>
            <w:r w:rsidRPr="00BE42FC">
              <w:t>(1)</w:t>
            </w:r>
            <w:r w:rsidRPr="00BE42FC">
              <w:tab/>
              <w:t xml:space="preserve">A programot a költségvetési rendelet 110. cikkében említett többéves munkaprogramokon keresztül kell végrehajtani. </w:t>
            </w:r>
            <w:r w:rsidRPr="00BE42FC">
              <w:rPr>
                <w:b/>
                <w:i/>
              </w:rPr>
              <w:t>A többéves munkaprogramok különösen a követendő célkitűzéseket, a várt eredményeket, a végrehajtás módját és a terv finanszírozására fordított teljes összeget határozzák meg. Tartalmazniuk kell továbbá a finanszírozandó tevékenységek részletes leírását, az egyes tevékenységekre fordított összegek megjelölését, valamint végrehajtásuk tervezett menetrendjét. A többéves munkaprogramokat adott esetben továbbítani kell az Európai Parlamentnek.</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50</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13 cikk – 2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(2)</w:t>
            </w:r>
            <w:r w:rsidRPr="00BE42FC">
              <w:tab/>
              <w:t>A többéves munkaprogramokat a Bizottság fogadja el végrehajtási jogi aktusok útján. Ezeket a végrehajtási jogi aktusokat a 18. cikk (2) bekezdésében említett eljárással összhangban kell elfogadni.</w:t>
            </w:r>
          </w:p>
        </w:tc>
        <w:tc>
          <w:tcPr>
            <w:tcW w:w="4876" w:type="dxa"/>
            <w:hideMark/>
          </w:tcPr>
          <w:p w:rsidR="008E13A6" w:rsidRPr="00BE42FC" w:rsidRDefault="008E13A6" w:rsidP="002335C0">
            <w:pPr>
              <w:pStyle w:val="Normal6"/>
              <w:rPr>
                <w:noProof/>
                <w:szCs w:val="24"/>
              </w:rPr>
            </w:pPr>
            <w:r w:rsidRPr="00BE42FC">
              <w:t>(2)</w:t>
            </w:r>
            <w:r w:rsidRPr="00BE42FC">
              <w:tab/>
              <w:t>A többéves munkaprogramokat a Bizottság fogadja el végrehajtási jogi aktusok útján</w:t>
            </w:r>
            <w:r w:rsidRPr="00BE42FC">
              <w:rPr>
                <w:b/>
                <w:i/>
              </w:rPr>
              <w:t>, és azokat továbbítja az Európai Parlamentnek és a Tanácsnak</w:t>
            </w:r>
            <w:r w:rsidRPr="00BE42FC">
              <w:t>. Ezeket a végrehajtási jogi aktusokat a 18. cikk (2) bekezdésében említett</w:t>
            </w:r>
            <w:r w:rsidRPr="00BE42FC">
              <w:rPr>
                <w:b/>
                <w:i/>
              </w:rPr>
              <w:t xml:space="preserve"> vizsgálóbizottsági</w:t>
            </w:r>
            <w:r w:rsidRPr="00BE42FC">
              <w:t xml:space="preserve"> eljárással összhangban kell elfogadni.</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51</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C366CF" w:rsidRDefault="008E13A6" w:rsidP="008E13A6">
      <w:pPr>
        <w:pStyle w:val="NormalBold"/>
        <w:rPr>
          <w:noProof/>
        </w:rPr>
      </w:pPr>
      <w:r>
        <w:rPr>
          <w:rStyle w:val="HideTWBExt"/>
          <w:lang w:val="fr-FR"/>
        </w:rPr>
        <w:t>&lt;Article&gt;</w:t>
      </w:r>
      <w:r w:rsidRPr="00BE42FC">
        <w:t>13 cikk – 2 a bekezdés (új)</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rPr>
            </w:pPr>
            <w:r w:rsidRPr="00BE42FC">
              <w:rPr>
                <w:b/>
                <w:i/>
              </w:rPr>
              <w:t>(2a)</w:t>
            </w:r>
            <w:r w:rsidRPr="00BE42FC">
              <w:tab/>
            </w:r>
            <w:r w:rsidRPr="00BE42FC">
              <w:rPr>
                <w:b/>
                <w:i/>
              </w:rPr>
              <w:t>A többéves munkaprogramoknak a korábbi programok tanulságaira kell épülniük.</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52</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14 cikk – 1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(1)</w:t>
            </w:r>
            <w:r w:rsidRPr="00BE42FC">
              <w:tab/>
              <w:t xml:space="preserve">A </w:t>
            </w:r>
            <w:r w:rsidRPr="00BE42FC">
              <w:rPr>
                <w:b/>
                <w:i/>
              </w:rPr>
              <w:t>3</w:t>
            </w:r>
            <w:r w:rsidRPr="00BE42FC">
              <w:t xml:space="preserve">. </w:t>
            </w:r>
            <w:r w:rsidRPr="00BE42FC">
              <w:rPr>
                <w:b/>
                <w:i/>
              </w:rPr>
              <w:t>cikkben meghatározott egyedi programcélkitűzések megvalósítása terén tett előrelépésekről történő jelentéstételhez használandó mutatókat</w:t>
            </w:r>
            <w:r w:rsidRPr="00BE42FC">
              <w:t xml:space="preserve"> a </w:t>
            </w:r>
            <w:r w:rsidRPr="00BE42FC">
              <w:rPr>
                <w:b/>
                <w:i/>
              </w:rPr>
              <w:t>2</w:t>
            </w:r>
            <w:r w:rsidRPr="00BE42FC">
              <w:t xml:space="preserve">. </w:t>
            </w:r>
            <w:r w:rsidRPr="00BE42FC">
              <w:rPr>
                <w:b/>
                <w:i/>
              </w:rPr>
              <w:t>melléklet tartalmazza</w:t>
            </w:r>
            <w:r w:rsidRPr="00BE42FC">
              <w:t>.</w:t>
            </w:r>
          </w:p>
        </w:tc>
        <w:tc>
          <w:tcPr>
            <w:tcW w:w="4876" w:type="dxa"/>
            <w:hideMark/>
          </w:tcPr>
          <w:p w:rsidR="008E13A6" w:rsidRPr="00BE42FC" w:rsidRDefault="008E13A6" w:rsidP="002335C0">
            <w:pPr>
              <w:pStyle w:val="Normal6"/>
              <w:rPr>
                <w:noProof/>
                <w:szCs w:val="24"/>
              </w:rPr>
            </w:pPr>
            <w:r w:rsidRPr="00BE42FC">
              <w:t>(1)</w:t>
            </w:r>
            <w:r w:rsidRPr="00BE42FC">
              <w:tab/>
              <w:t xml:space="preserve">A </w:t>
            </w:r>
            <w:r w:rsidRPr="00BE42FC">
              <w:rPr>
                <w:b/>
                <w:i/>
              </w:rPr>
              <w:t>költségvetési rendelet 41</w:t>
            </w:r>
            <w:r w:rsidRPr="00BE42FC">
              <w:t xml:space="preserve">. </w:t>
            </w:r>
            <w:r w:rsidRPr="00BE42FC">
              <w:rPr>
                <w:b/>
                <w:i/>
              </w:rPr>
              <w:t>cikke (3) bekezdésének h) pontja szerinti jelentéstételi követelményeknek eleget téve a Bizottság tájékoztatja az Európai Parlamentet és</w:t>
            </w:r>
            <w:r w:rsidRPr="00BE42FC">
              <w:t xml:space="preserve"> a </w:t>
            </w:r>
            <w:r w:rsidRPr="00BE42FC">
              <w:rPr>
                <w:b/>
                <w:i/>
              </w:rPr>
              <w:t>Tanácsot a program eredményeiről</w:t>
            </w:r>
            <w:r w:rsidRPr="00BE42FC">
              <w:t>.</w:t>
            </w:r>
            <w:r w:rsidRPr="00BE42FC">
              <w:rPr>
                <w:b/>
                <w:i/>
              </w:rPr>
              <w:t xml:space="preserve"> Az eredményekről szóló jelentés információkat tartalmaz mind az előrelépésekről, mind a hiányosságokról</w:t>
            </w:r>
            <w:r w:rsidRPr="00BE42FC">
              <w: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53</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14 cikk – 2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(2)</w:t>
            </w:r>
            <w:r w:rsidRPr="00BE42FC">
              <w:tab/>
              <w:t xml:space="preserve">A program célkitűzéseinek megvalósítása terén tett előrelépések hatékony értékelése érdekében a Bizottság felhatalmazást kap arra, hogy a 17. cikknek megfelelően felhatalmazáson alapuló jogi aktusokat fogadjon el a 2. melléklet módosítására vonatkozóan, a mutatók szükség szerinti felülvizsgálata </w:t>
            </w:r>
            <w:r w:rsidRPr="00BE42FC">
              <w:rPr>
                <w:b/>
                <w:i/>
              </w:rPr>
              <w:t>és/</w:t>
            </w:r>
            <w:r w:rsidRPr="00BE42FC">
              <w:t>vagy kiegészítése, valamint a rendeletnek egy nyomonkövetési és értékelési keret létrehozásáról szóló rendelkezésekkel történő kiegészítése céljából.</w:t>
            </w:r>
          </w:p>
        </w:tc>
        <w:tc>
          <w:tcPr>
            <w:tcW w:w="4876" w:type="dxa"/>
            <w:hideMark/>
          </w:tcPr>
          <w:p w:rsidR="008E13A6" w:rsidRPr="00BE42FC" w:rsidRDefault="008E13A6" w:rsidP="002335C0">
            <w:pPr>
              <w:pStyle w:val="Normal6"/>
              <w:rPr>
                <w:noProof/>
                <w:szCs w:val="24"/>
              </w:rPr>
            </w:pPr>
            <w:r w:rsidRPr="00BE42FC">
              <w:t>(2)</w:t>
            </w:r>
            <w:r w:rsidRPr="00BE42FC">
              <w:tab/>
            </w:r>
            <w:r w:rsidRPr="00BE42FC">
              <w:rPr>
                <w:b/>
                <w:i/>
              </w:rPr>
              <w:t>A programnak a 3. cikkben meghatározott egyedi célkitűzések megvalósításával kapcsolatos eredményeiről történő jelentéstételhez használandó mutatókat a 2. melléklet tartalmazza.</w:t>
            </w:r>
            <w:r w:rsidRPr="00BE42FC">
              <w:t xml:space="preserve"> </w:t>
            </w:r>
            <w:r w:rsidRPr="00BE42FC">
              <w:rPr>
                <w:b/>
                <w:i/>
              </w:rPr>
              <w:t xml:space="preserve">A </w:t>
            </w:r>
            <w:r w:rsidRPr="00BE42FC">
              <w:t>program célkitűzéseinek megvalósítása terén tett előrelépések hatékony értékelése érdekében a Bizottság felhatalmazást kap arra, hogy a 17. cikknek megfelelően felhatalmazáson alapuló jogi aktusokat fogadjon el a 2. melléklet módosítására vonatkozóan, a mutatók szükség szerinti felülvizsgálata vagy kiegészítése, valamint a rendeletnek egy nyomonkövetési és értékelési keret létrehozásáról szóló rendelkezésekkel történő kiegészítése céljából</w:t>
            </w:r>
            <w:r w:rsidRPr="00BE42FC">
              <w:rPr>
                <w:b/>
                <w:i/>
              </w:rPr>
              <w:t xml:space="preserve">, hogy naprakész minőségi és mennyiségi információkkal lássa el az Európai Parlamentet és a Tanácsot a program </w:t>
            </w:r>
            <w:r w:rsidRPr="00BE42FC">
              <w:rPr>
                <w:b/>
                <w:i/>
              </w:rPr>
              <w:lastRenderedPageBreak/>
              <w:t>eredményeiről</w:t>
            </w:r>
            <w:r w:rsidRPr="00BE42FC">
              <w:t>.</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54</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14 cikk – 3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(3)</w:t>
            </w:r>
            <w:r w:rsidRPr="00BE42FC">
              <w:tab/>
              <w:t xml:space="preserve">A teljesítményjelentési rendszer biztosítja, hogy a program végrehajtásának nyomon követésére vonatkozó </w:t>
            </w:r>
            <w:r w:rsidRPr="00BE42FC">
              <w:rPr>
                <w:b/>
                <w:i/>
              </w:rPr>
              <w:t>adatokat</w:t>
            </w:r>
            <w:r w:rsidRPr="00BE42FC">
              <w:t xml:space="preserve"> és az </w:t>
            </w:r>
            <w:r w:rsidRPr="00BE42FC">
              <w:rPr>
                <w:b/>
                <w:i/>
              </w:rPr>
              <w:t>eredményeket</w:t>
            </w:r>
            <w:r w:rsidRPr="00BE42FC">
              <w:t xml:space="preserve"> hatékonyan, eredményesen és időben összegyűjtsék. Ennek érdekében az uniós pénzeszközök címzettjeire vonatkozóan arányos jelentéstételi követelményeket kell megállapítani.</w:t>
            </w:r>
          </w:p>
        </w:tc>
        <w:tc>
          <w:tcPr>
            <w:tcW w:w="4876" w:type="dxa"/>
            <w:hideMark/>
          </w:tcPr>
          <w:p w:rsidR="008E13A6" w:rsidRPr="00BE42FC" w:rsidRDefault="008E13A6" w:rsidP="002335C0">
            <w:pPr>
              <w:pStyle w:val="Normal6"/>
              <w:rPr>
                <w:noProof/>
                <w:szCs w:val="24"/>
              </w:rPr>
            </w:pPr>
            <w:r w:rsidRPr="00BE42FC">
              <w:t>(3)</w:t>
            </w:r>
            <w:r w:rsidRPr="00BE42FC">
              <w:tab/>
              <w:t xml:space="preserve">A teljesítményértékelési rendszer biztosítja, hogy a program végrehajtásának nyomon követésére </w:t>
            </w:r>
            <w:r w:rsidRPr="00BE42FC">
              <w:rPr>
                <w:b/>
                <w:i/>
              </w:rPr>
              <w:t>és az eredményekre</w:t>
            </w:r>
            <w:r w:rsidRPr="00BE42FC">
              <w:t xml:space="preserve"> vonatkozó </w:t>
            </w:r>
            <w:r w:rsidRPr="00BE42FC">
              <w:rPr>
                <w:b/>
                <w:i/>
              </w:rPr>
              <w:t>adatok</w:t>
            </w:r>
            <w:r w:rsidRPr="00BE42FC">
              <w:t xml:space="preserve"> </w:t>
            </w:r>
            <w:r w:rsidRPr="00BE42FC">
              <w:rPr>
                <w:b/>
                <w:i/>
              </w:rPr>
              <w:t>összehasonlíthatók és teljesek legyenek, és azokat</w:t>
            </w:r>
            <w:r w:rsidRPr="00BE42FC">
              <w:t xml:space="preserve"> hatékonyan, eredményesen és időben összegyűjtsék. Ennek érdekében az uniós pénzeszközök címzettjeire vonatkozóan arányos </w:t>
            </w:r>
            <w:r w:rsidRPr="00BE42FC">
              <w:rPr>
                <w:b/>
                <w:i/>
              </w:rPr>
              <w:t xml:space="preserve">és megfelelő </w:t>
            </w:r>
            <w:r w:rsidRPr="00BE42FC">
              <w:t xml:space="preserve">jelentéstételi követelményeket kell megállapítani. </w:t>
            </w:r>
            <w:r w:rsidRPr="00BE42FC">
              <w:rPr>
                <w:b/>
                <w:i/>
              </w:rPr>
              <w:t>A Bizottság megbízható információkat nyújt az Európai Parlamentnek és a Tanácsnak a felhasznált teljesítményadatok minőségéről.</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55</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15 cikk – 2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(2)</w:t>
            </w:r>
            <w:r w:rsidRPr="00BE42FC">
              <w:tab/>
              <w:t xml:space="preserve">A program időközi értékelését a program végrehajtásáról rendelkezésre álló elegendő információ birtokában, de legkésőbb </w:t>
            </w:r>
            <w:r w:rsidRPr="00BE42FC">
              <w:rPr>
                <w:b/>
                <w:i/>
              </w:rPr>
              <w:t>négy</w:t>
            </w:r>
            <w:r w:rsidRPr="00BE42FC">
              <w:t xml:space="preserve"> évvel a program végrehajtásának kezdetét követően kell elvégezni.</w:t>
            </w:r>
          </w:p>
        </w:tc>
        <w:tc>
          <w:tcPr>
            <w:tcW w:w="4876" w:type="dxa"/>
            <w:hideMark/>
          </w:tcPr>
          <w:p w:rsidR="008E13A6" w:rsidRPr="00BE42FC" w:rsidRDefault="008E13A6" w:rsidP="002335C0">
            <w:pPr>
              <w:pStyle w:val="Normal6"/>
              <w:rPr>
                <w:noProof/>
                <w:szCs w:val="24"/>
              </w:rPr>
            </w:pPr>
            <w:r w:rsidRPr="00BE42FC">
              <w:t>(2)</w:t>
            </w:r>
            <w:r w:rsidRPr="00BE42FC">
              <w:tab/>
              <w:t xml:space="preserve">A program időközi értékelését a program végrehajtásáról rendelkezésre álló elegendő információ birtokában, de legkésőbb </w:t>
            </w:r>
            <w:r w:rsidRPr="00BE42FC">
              <w:rPr>
                <w:b/>
                <w:i/>
              </w:rPr>
              <w:t>három</w:t>
            </w:r>
            <w:r w:rsidRPr="00BE42FC">
              <w:t xml:space="preserve"> évvel a program végrehajtásának kezdetét követően kell elvégezni.</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56</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C366CF" w:rsidRDefault="008E13A6" w:rsidP="008E13A6">
      <w:pPr>
        <w:pStyle w:val="NormalBold"/>
        <w:rPr>
          <w:noProof/>
        </w:rPr>
      </w:pPr>
      <w:r>
        <w:rPr>
          <w:rStyle w:val="HideTWBExt"/>
          <w:lang w:val="fr-FR"/>
        </w:rPr>
        <w:t>&lt;Article&gt;</w:t>
      </w:r>
      <w:r w:rsidRPr="00BE42FC">
        <w:t>15 cikk – 2 a bekezdés (új)</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4C04C9" w:rsidTr="002335C0">
        <w:trPr>
          <w:trHeight w:hRule="exact" w:val="240"/>
          <w:jc w:val="center"/>
        </w:trPr>
        <w:tc>
          <w:tcPr>
            <w:tcW w:w="9752" w:type="dxa"/>
            <w:gridSpan w:val="2"/>
          </w:tcPr>
          <w:p w:rsidR="008E13A6" w:rsidRPr="00C366CF" w:rsidRDefault="008E13A6" w:rsidP="002335C0">
            <w:pPr>
              <w:rPr>
                <w:noProof/>
                <w:lang w:val="fr-FR"/>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rPr>
            </w:pPr>
            <w:r w:rsidRPr="00BE42FC">
              <w:rPr>
                <w:b/>
                <w:i/>
              </w:rPr>
              <w:t>(2a)</w:t>
            </w:r>
            <w:r w:rsidRPr="00BE42FC">
              <w:tab/>
            </w:r>
            <w:r w:rsidRPr="00BE42FC">
              <w:rPr>
                <w:b/>
                <w:i/>
              </w:rPr>
              <w:t>Az időközi értékelés bemutatja azokat a megállapításokat, amelyek szükségesek ahhoz, hogy döntést lehessen hozni a program és annak célkitűzései 2027 utáni nyomon követéséről.</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57</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15 cikk – 3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(3)</w:t>
            </w:r>
            <w:r w:rsidRPr="00BE42FC">
              <w:tab/>
              <w:t xml:space="preserve">A program végrehajtásának végén, de legkésőbb </w:t>
            </w:r>
            <w:r w:rsidRPr="00BE42FC">
              <w:rPr>
                <w:b/>
                <w:i/>
              </w:rPr>
              <w:t>négy</w:t>
            </w:r>
            <w:r w:rsidRPr="00BE42FC">
              <w:t xml:space="preserve"> évvel </w:t>
            </w:r>
            <w:r w:rsidRPr="00BE42FC">
              <w:rPr>
                <w:b/>
                <w:i/>
              </w:rPr>
              <w:t>a(z)</w:t>
            </w:r>
            <w:r w:rsidRPr="00BE42FC">
              <w:t xml:space="preserve"> 1. cikkben meghatározott időszak végét követően a Bizottság elvégzi a program végső értékelését.</w:t>
            </w:r>
          </w:p>
        </w:tc>
        <w:tc>
          <w:tcPr>
            <w:tcW w:w="4876" w:type="dxa"/>
            <w:hideMark/>
          </w:tcPr>
          <w:p w:rsidR="008E13A6" w:rsidRPr="00BE42FC" w:rsidRDefault="008E13A6" w:rsidP="002335C0">
            <w:pPr>
              <w:pStyle w:val="Normal6"/>
              <w:rPr>
                <w:noProof/>
                <w:szCs w:val="24"/>
              </w:rPr>
            </w:pPr>
            <w:r w:rsidRPr="00BE42FC">
              <w:t>(3)</w:t>
            </w:r>
            <w:r w:rsidRPr="00BE42FC">
              <w:tab/>
              <w:t xml:space="preserve">A program végrehajtásának végén, de legkésőbb </w:t>
            </w:r>
            <w:r w:rsidRPr="00BE42FC">
              <w:rPr>
                <w:b/>
                <w:i/>
              </w:rPr>
              <w:t>három</w:t>
            </w:r>
            <w:r w:rsidRPr="00BE42FC">
              <w:t xml:space="preserve"> évvel </w:t>
            </w:r>
            <w:r w:rsidRPr="00BE42FC">
              <w:rPr>
                <w:b/>
                <w:i/>
              </w:rPr>
              <w:t>az</w:t>
            </w:r>
            <w:r w:rsidRPr="00BE42FC">
              <w:t xml:space="preserve"> 1. cikkben meghatározott időszak végét követően a Bizottság elvégzi a program végső értékelését.</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58</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15 cikk – 4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(4)</w:t>
            </w:r>
            <w:r w:rsidRPr="00BE42FC">
              <w:tab/>
              <w:t>A Bizottság az értékelések megállapításait saját észrevételei kíséretében közli az Európai Parlamenttel, a Tanáccsal, az Európai Gazdasági és Szociális Bizottsággal és a Régiók Bizottságával.</w:t>
            </w:r>
          </w:p>
        </w:tc>
        <w:tc>
          <w:tcPr>
            <w:tcW w:w="4876" w:type="dxa"/>
            <w:hideMark/>
          </w:tcPr>
          <w:p w:rsidR="008E13A6" w:rsidRPr="00BE42FC" w:rsidRDefault="008E13A6" w:rsidP="002335C0">
            <w:pPr>
              <w:pStyle w:val="Normal6"/>
              <w:rPr>
                <w:noProof/>
                <w:szCs w:val="24"/>
              </w:rPr>
            </w:pPr>
            <w:r w:rsidRPr="00BE42FC">
              <w:t>(4)</w:t>
            </w:r>
            <w:r w:rsidRPr="00BE42FC">
              <w:tab/>
              <w:t xml:space="preserve">A Bizottság az értékelések megállapításait saját észrevételei </w:t>
            </w:r>
            <w:r w:rsidRPr="00BE42FC">
              <w:rPr>
                <w:b/>
                <w:i/>
              </w:rPr>
              <w:t xml:space="preserve">és a levont tanulságok </w:t>
            </w:r>
            <w:r w:rsidRPr="00BE42FC">
              <w:t>kíséretében</w:t>
            </w:r>
            <w:r w:rsidRPr="00BE42FC">
              <w:rPr>
                <w:b/>
                <w:i/>
              </w:rPr>
              <w:t xml:space="preserve"> terjeszti elő és</w:t>
            </w:r>
            <w:r w:rsidRPr="00BE42FC">
              <w:t xml:space="preserve"> közli az Európai Parlamenttel, a Tanáccsal, az Európai Gazdasági és Szociális Bizottsággal és a Régiók Bizottságával.</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59</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16 cikk – 1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 xml:space="preserve">Amennyiben egy harmadik ország nemzetközi megállapodás vagy bármely más jogi eszköz értelmében részt vesz a programban, az érintett harmadik </w:t>
            </w:r>
            <w:r w:rsidRPr="00BE42FC">
              <w:rPr>
                <w:b/>
                <w:i/>
              </w:rPr>
              <w:t>országnak biztosítania kell</w:t>
            </w:r>
            <w:r w:rsidRPr="00BE42FC">
              <w:t xml:space="preserve"> az </w:t>
            </w:r>
            <w:r w:rsidRPr="00BE42FC">
              <w:lastRenderedPageBreak/>
              <w:t xml:space="preserve">engedélyezésre jogosult tisztviselő, az Európai Csalás Elleni Hivatal (OLAF) </w:t>
            </w:r>
            <w:r w:rsidRPr="00BE42FC">
              <w:rPr>
                <w:b/>
                <w:i/>
              </w:rPr>
              <w:t>és</w:t>
            </w:r>
            <w:r w:rsidRPr="00BE42FC">
              <w:t xml:space="preserve"> az Európai Számvevőszék számára a hatáskörük teljes körű gyakorlásához szükséges jogokat és hozzáférést. Az OLAF esetében e jogok közé tartozik az Európai Csalás Elleni Hivatal (OLAF) által lefolytatott vizsgálatokról szóló 883/2013/EU, Euratom európai parlamenti és tanácsi </w:t>
            </w:r>
            <w:r w:rsidRPr="00BE42FC">
              <w:rPr>
                <w:b/>
                <w:i/>
              </w:rPr>
              <w:t>rendeletben előírt vizsgálatok – köztük például helyszíni ellenőrzések</w:t>
            </w:r>
            <w:r w:rsidRPr="00BE42FC">
              <w:t xml:space="preserve"> és </w:t>
            </w:r>
            <w:r w:rsidRPr="00BE42FC">
              <w:rPr>
                <w:b/>
                <w:i/>
              </w:rPr>
              <w:t>szemlék – lefolytatásához való jog is</w:t>
            </w:r>
            <w:r w:rsidRPr="00BE42FC">
              <w:t>.</w:t>
            </w:r>
          </w:p>
        </w:tc>
        <w:tc>
          <w:tcPr>
            <w:tcW w:w="4876" w:type="dxa"/>
            <w:hideMark/>
          </w:tcPr>
          <w:p w:rsidR="008E13A6" w:rsidRPr="00BE42FC" w:rsidRDefault="008E13A6" w:rsidP="002335C0">
            <w:pPr>
              <w:pStyle w:val="Normal6"/>
              <w:rPr>
                <w:noProof/>
                <w:szCs w:val="24"/>
              </w:rPr>
            </w:pPr>
            <w:r w:rsidRPr="00BE42FC">
              <w:lastRenderedPageBreak/>
              <w:t xml:space="preserve">Amennyiben egy harmadik ország nemzetközi megállapodás vagy bármely más jogi eszköz értelmében részt vesz a programban, az érintett harmadik </w:t>
            </w:r>
            <w:r w:rsidRPr="00BE42FC">
              <w:rPr>
                <w:b/>
                <w:i/>
              </w:rPr>
              <w:t>ország biztosítja</w:t>
            </w:r>
            <w:r w:rsidRPr="00BE42FC">
              <w:t xml:space="preserve"> az</w:t>
            </w:r>
            <w:r w:rsidRPr="00BE42FC">
              <w:rPr>
                <w:b/>
                <w:i/>
              </w:rPr>
              <w:t xml:space="preserve"> illetékes</w:t>
            </w:r>
            <w:r w:rsidRPr="00BE42FC">
              <w:t xml:space="preserve"> engedélyezésre </w:t>
            </w:r>
            <w:r w:rsidRPr="00BE42FC">
              <w:lastRenderedPageBreak/>
              <w:t>jogosult tisztviselő, az Európai Csalás Elleni Hivatal (OLAF)</w:t>
            </w:r>
            <w:r w:rsidRPr="00BE42FC">
              <w:rPr>
                <w:b/>
                <w:i/>
              </w:rPr>
              <w:t xml:space="preserve">, </w:t>
            </w:r>
            <w:r w:rsidRPr="00BE42FC">
              <w:t xml:space="preserve">az Európai Számvevőszék </w:t>
            </w:r>
            <w:r w:rsidRPr="00BE42FC">
              <w:rPr>
                <w:b/>
                <w:i/>
              </w:rPr>
              <w:t>és az Európai</w:t>
            </w:r>
            <w:r w:rsidRPr="00BE42FC">
              <w:t xml:space="preserve"> </w:t>
            </w:r>
            <w:r w:rsidRPr="00BE42FC">
              <w:rPr>
                <w:b/>
                <w:i/>
              </w:rPr>
              <w:t>Ügyészség</w:t>
            </w:r>
            <w:r w:rsidRPr="00BE42FC">
              <w:t xml:space="preserve"> számára a hatáskörük teljes körű gyakorlásához szükséges jogokat és hozzáférést. Az OLAF </w:t>
            </w:r>
            <w:r w:rsidRPr="00BE42FC">
              <w:rPr>
                <w:b/>
                <w:i/>
              </w:rPr>
              <w:t xml:space="preserve">és az Európai Ügyészség </w:t>
            </w:r>
            <w:r w:rsidRPr="00BE42FC">
              <w:t xml:space="preserve">esetében e jogok közé tartozik </w:t>
            </w:r>
            <w:r w:rsidRPr="00BE42FC">
              <w:rPr>
                <w:b/>
                <w:i/>
              </w:rPr>
              <w:t xml:space="preserve">a vizsgálatok lefolytatásához való jog, ideértve a helyszíni ellenőrzéseket és szemléket, </w:t>
            </w:r>
            <w:r w:rsidRPr="00BE42FC">
              <w:t xml:space="preserve">az Európai Csalás Elleni Hivatal (OLAF) által lefolytatott vizsgálatokról szóló 883/2013/EU, Euratom európai parlamenti és tanácsi </w:t>
            </w:r>
            <w:r w:rsidRPr="00BE42FC">
              <w:rPr>
                <w:b/>
                <w:i/>
              </w:rPr>
              <w:t>rendeletnek</w:t>
            </w:r>
            <w:r w:rsidRPr="00BE42FC">
              <w:rPr>
                <w:b/>
                <w:i/>
                <w:vertAlign w:val="superscript"/>
              </w:rPr>
              <w:t>1a</w:t>
            </w:r>
            <w:r w:rsidRPr="00BE42FC">
              <w:t xml:space="preserve"> és </w:t>
            </w:r>
            <w:r w:rsidRPr="00BE42FC">
              <w:rPr>
                <w:b/>
                <w:i/>
              </w:rPr>
              <w:t>az (EU) 2017/1939 tanácsi rendeletnek</w:t>
            </w:r>
            <w:r w:rsidRPr="00BE42FC">
              <w:rPr>
                <w:b/>
                <w:i/>
                <w:vertAlign w:val="superscript"/>
              </w:rPr>
              <w:t>1b</w:t>
            </w:r>
            <w:r w:rsidRPr="00BE42FC">
              <w:rPr>
                <w:b/>
                <w:i/>
              </w:rPr>
              <w:t xml:space="preserve"> megfelelően</w:t>
            </w:r>
            <w:r w:rsidRPr="00BE42FC">
              <w:t>.</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noProof/>
              </w:rPr>
            </w:pPr>
            <w:r w:rsidRPr="00BE42FC">
              <w:t>__________________</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b/>
                <w:i/>
                <w:noProof/>
              </w:rPr>
            </w:pPr>
            <w:r w:rsidRPr="00BE42FC">
              <w:rPr>
                <w:b/>
                <w:i/>
                <w:vertAlign w:val="superscript"/>
              </w:rPr>
              <w:t>1a</w:t>
            </w:r>
            <w:r w:rsidRPr="00BE42FC">
              <w:rPr>
                <w:b/>
                <w:i/>
              </w:rPr>
              <w:t xml:space="preserve"> Az Európai Parlament és a Tanács 883/2013/EU, Euratom rendelete (2013. szeptember 11.) az Európai Csalás Elleni Hivatal (OLAF) által lefolytatott vizsgálatokról, valamint az 1073/1999/EK európai parlamenti és tanácsi rendelet és az 1074/1999/Euratom tanácsi rendelet hatályon kívül helyezéséről (HL L 248., 2013.9.18., 1. o).</w:t>
            </w:r>
          </w:p>
        </w:tc>
      </w:tr>
      <w:tr w:rsidR="008E13A6" w:rsidRPr="00D26B44" w:rsidTr="002335C0">
        <w:trPr>
          <w:jc w:val="center"/>
        </w:trPr>
        <w:tc>
          <w:tcPr>
            <w:tcW w:w="4876" w:type="dxa"/>
          </w:tcPr>
          <w:p w:rsidR="008E13A6" w:rsidRPr="00BE42FC" w:rsidRDefault="008E13A6" w:rsidP="002335C0">
            <w:pPr>
              <w:pStyle w:val="Normal6"/>
              <w:rPr>
                <w:noProof/>
              </w:rPr>
            </w:pPr>
          </w:p>
        </w:tc>
        <w:tc>
          <w:tcPr>
            <w:tcW w:w="4876" w:type="dxa"/>
          </w:tcPr>
          <w:p w:rsidR="008E13A6" w:rsidRPr="00BE42FC" w:rsidRDefault="008E13A6" w:rsidP="002335C0">
            <w:pPr>
              <w:pStyle w:val="Normal6"/>
              <w:rPr>
                <w:b/>
                <w:i/>
                <w:noProof/>
              </w:rPr>
            </w:pPr>
            <w:r w:rsidRPr="00BE42FC">
              <w:rPr>
                <w:b/>
                <w:i/>
                <w:vertAlign w:val="superscript"/>
              </w:rPr>
              <w:t xml:space="preserve">1b </w:t>
            </w:r>
            <w:r w:rsidRPr="00BE42FC">
              <w:rPr>
                <w:b/>
                <w:i/>
              </w:rPr>
              <w:t xml:space="preserve"> A Tanács (EU) 2017/1939 rendelete (2017. október 12.) az Európai Ügyészség létrehozására vonatkozó megerősített együttműködés bevezetéséről (HL L 283., 2017.10.31., 1. o.).</w:t>
            </w:r>
          </w:p>
        </w:tc>
      </w:tr>
    </w:tbl>
    <w:p w:rsidR="008E13A6" w:rsidRPr="00D26B44" w:rsidRDefault="008E13A6" w:rsidP="008E13A6">
      <w:pPr>
        <w:rPr>
          <w:noProof/>
        </w:rPr>
      </w:pPr>
      <w:r>
        <w:rPr>
          <w:rStyle w:val="HideTWBExt"/>
        </w:rPr>
        <w:t>&lt;/Amend&gt;</w:t>
      </w:r>
    </w:p>
    <w:p w:rsidR="008E13A6" w:rsidRPr="00D26B44" w:rsidRDefault="008E13A6" w:rsidP="008E13A6">
      <w:pPr>
        <w:pStyle w:val="AMNumberTabs"/>
        <w:rPr>
          <w:noProof/>
        </w:rPr>
      </w:pPr>
      <w:r>
        <w:rPr>
          <w:rStyle w:val="HideTWBExt"/>
        </w:rPr>
        <w:t>&lt;Amend&gt;</w:t>
      </w:r>
      <w:r w:rsidRPr="00BE42FC">
        <w:t>Módosítás</w:t>
      </w:r>
      <w:r w:rsidRPr="00BE42FC">
        <w:tab/>
      </w:r>
      <w:r w:rsidRPr="00BE42FC">
        <w:tab/>
      </w:r>
      <w:r>
        <w:rPr>
          <w:rStyle w:val="HideTWBExt"/>
        </w:rPr>
        <w:t>&lt;NumAm&gt;</w:t>
      </w:r>
      <w:r w:rsidRPr="00BE42FC">
        <w:t>60</w:t>
      </w:r>
      <w:r>
        <w:rPr>
          <w:rStyle w:val="HideTWBExt"/>
        </w:rPr>
        <w:t>&lt;/NumAm&gt;</w:t>
      </w:r>
    </w:p>
    <w:p w:rsidR="008E13A6" w:rsidRPr="00D26B44" w:rsidRDefault="008E13A6" w:rsidP="008E13A6">
      <w:pPr>
        <w:pStyle w:val="NormalBold12b"/>
        <w:rPr>
          <w:noProof/>
        </w:rPr>
      </w:pPr>
      <w:r>
        <w:rPr>
          <w:rStyle w:val="HideTWBExt"/>
        </w:rPr>
        <w:t>&lt;DocAmend&gt;</w:t>
      </w:r>
      <w:r w:rsidRPr="00BE42FC">
        <w:t>Rendeletre irányuló javaslat</w:t>
      </w:r>
      <w:r>
        <w:rPr>
          <w:rStyle w:val="HideTWBExt"/>
        </w:rPr>
        <w:t>&lt;/DocAmend&gt;</w:t>
      </w:r>
    </w:p>
    <w:p w:rsidR="008E13A6" w:rsidRPr="00D26B44" w:rsidRDefault="008E13A6" w:rsidP="008E13A6">
      <w:pPr>
        <w:pStyle w:val="NormalBold"/>
        <w:rPr>
          <w:noProof/>
        </w:rPr>
      </w:pPr>
      <w:r>
        <w:rPr>
          <w:rStyle w:val="HideTWBExt"/>
        </w:rPr>
        <w:t>&lt;Article&gt;</w:t>
      </w:r>
      <w:r w:rsidRPr="00BE42FC">
        <w:t>19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trHeight w:hRule="exact" w:val="240"/>
          <w:jc w:val="center"/>
        </w:trPr>
        <w:tc>
          <w:tcPr>
            <w:tcW w:w="9752" w:type="dxa"/>
            <w:gridSpan w:val="2"/>
          </w:tcPr>
          <w:p w:rsidR="008E13A6" w:rsidRPr="00D26B44" w:rsidRDefault="008E13A6" w:rsidP="002335C0">
            <w:pPr>
              <w:rPr>
                <w:noProof/>
              </w:rPr>
            </w:pPr>
          </w:p>
        </w:tc>
      </w:tr>
      <w:tr w:rsidR="008E13A6" w:rsidRPr="00D26B44" w:rsidTr="002335C0">
        <w:trPr>
          <w:trHeight w:val="240"/>
          <w:jc w:val="center"/>
        </w:trPr>
        <w:tc>
          <w:tcPr>
            <w:tcW w:w="4876" w:type="dxa"/>
          </w:tcPr>
          <w:p w:rsidR="008E13A6" w:rsidRPr="00BE42FC" w:rsidRDefault="008E13A6" w:rsidP="002335C0">
            <w:pPr>
              <w:pStyle w:val="ColumnHeading"/>
              <w:rPr>
                <w:noProof/>
              </w:rPr>
            </w:pPr>
            <w:r w:rsidRPr="00BE42FC">
              <w:t>A Bizottság által javasolt szöveg</w:t>
            </w:r>
          </w:p>
        </w:tc>
        <w:tc>
          <w:tcPr>
            <w:tcW w:w="4876" w:type="dxa"/>
          </w:tcPr>
          <w:p w:rsidR="008E13A6" w:rsidRPr="00BE42FC" w:rsidRDefault="008E13A6" w:rsidP="002335C0">
            <w:pPr>
              <w:pStyle w:val="ColumnHeading"/>
              <w:rPr>
                <w:noProof/>
              </w:rPr>
            </w:pPr>
            <w:r w:rsidRPr="00BE42FC">
              <w:t>Módosítás</w:t>
            </w:r>
          </w:p>
        </w:tc>
      </w:tr>
      <w:tr w:rsidR="008E13A6" w:rsidRPr="00D26B44" w:rsidTr="002335C0">
        <w:trPr>
          <w:jc w:val="center"/>
        </w:trPr>
        <w:tc>
          <w:tcPr>
            <w:tcW w:w="4876" w:type="dxa"/>
          </w:tcPr>
          <w:p w:rsidR="008E13A6" w:rsidRPr="00BE42FC" w:rsidRDefault="008E13A6" w:rsidP="002335C0">
            <w:pPr>
              <w:pStyle w:val="Normal6"/>
              <w:rPr>
                <w:noProof/>
              </w:rPr>
            </w:pPr>
            <w:r w:rsidRPr="00BE42FC">
              <w:t>(1)</w:t>
            </w:r>
            <w:r w:rsidRPr="00BE42FC">
              <w:tab/>
              <w:t xml:space="preserve">Az uniós finanszírozás címzettjei elismerik az uniós finanszírozás eredetét, és (különösen az intézkedések és azok eredményeinek népszerűsítésekor) gondoskodnak annak láthatóságáról azáltal, hogy következetes, hatékony és arányos módon célzott információkat juttatnak el többféle közönségnek, köztük a médiának </w:t>
            </w:r>
            <w:r w:rsidRPr="00BE42FC">
              <w:lastRenderedPageBreak/>
              <w:t>és a nyilvánosságnak.</w:t>
            </w:r>
          </w:p>
        </w:tc>
        <w:tc>
          <w:tcPr>
            <w:tcW w:w="4876" w:type="dxa"/>
          </w:tcPr>
          <w:p w:rsidR="008E13A6" w:rsidRPr="00BE42FC" w:rsidRDefault="008E13A6" w:rsidP="002335C0">
            <w:pPr>
              <w:pStyle w:val="Normal6"/>
              <w:rPr>
                <w:noProof/>
              </w:rPr>
            </w:pPr>
            <w:r w:rsidRPr="00BE42FC">
              <w:lastRenderedPageBreak/>
              <w:t>(1)</w:t>
            </w:r>
            <w:r w:rsidRPr="00BE42FC">
              <w:tab/>
              <w:t xml:space="preserve">Az uniós finanszírozás címzettjei elismerik az uniós finanszírozás eredetét, és (különösen az intézkedések és azok eredményeinek népszerűsítésekor) gondoskodnak annak </w:t>
            </w:r>
            <w:r w:rsidRPr="00BE42FC">
              <w:rPr>
                <w:b/>
                <w:i/>
              </w:rPr>
              <w:t xml:space="preserve">lehető legnagyobb </w:t>
            </w:r>
            <w:r w:rsidRPr="00BE42FC">
              <w:t xml:space="preserve">láthatóságáról azáltal, hogy következetes, hatékony és arányos módon célzott információkat juttatnak el többféle közönségnek, köztük a médiának és a </w:t>
            </w:r>
            <w:r w:rsidRPr="00BE42FC">
              <w:lastRenderedPageBreak/>
              <w:t>nyilvánosságnak.</w:t>
            </w:r>
          </w:p>
        </w:tc>
      </w:tr>
    </w:tbl>
    <w:p w:rsidR="008E13A6" w:rsidRPr="00D26B44" w:rsidRDefault="008E13A6" w:rsidP="008E13A6">
      <w:pPr>
        <w:rPr>
          <w:noProof/>
        </w:rPr>
      </w:pPr>
      <w:r>
        <w:rPr>
          <w:rStyle w:val="HideTWBExt"/>
        </w:rPr>
        <w:lastRenderedPageBreak/>
        <w:t>&lt;/Amend&gt;</w:t>
      </w:r>
    </w:p>
    <w:p w:rsidR="008E13A6" w:rsidRPr="00D26B44" w:rsidRDefault="008E13A6" w:rsidP="008E13A6">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61</w:t>
      </w:r>
      <w:r>
        <w:rPr>
          <w:rStyle w:val="HideTWBExt"/>
          <w:b w:val="0"/>
        </w:rPr>
        <w:t>&lt;/NumAm&gt;</w:t>
      </w:r>
    </w:p>
    <w:p w:rsidR="008E13A6" w:rsidRPr="00D26B44" w:rsidRDefault="008E13A6" w:rsidP="008E13A6">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26B44" w:rsidRDefault="008E13A6" w:rsidP="008E13A6">
      <w:pPr>
        <w:pStyle w:val="NormalBold"/>
        <w:rPr>
          <w:noProof/>
        </w:rPr>
      </w:pPr>
      <w:r>
        <w:rPr>
          <w:rStyle w:val="HideTWBExt"/>
          <w:b w:val="0"/>
        </w:rPr>
        <w:t>&lt;Article&gt;</w:t>
      </w:r>
      <w:r w:rsidRPr="00BE42FC">
        <w:t>19 cikk – 2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26B44" w:rsidTr="002335C0">
        <w:trPr>
          <w:jc w:val="center"/>
        </w:trPr>
        <w:tc>
          <w:tcPr>
            <w:tcW w:w="9752" w:type="dxa"/>
            <w:gridSpan w:val="2"/>
          </w:tcPr>
          <w:p w:rsidR="008E13A6" w:rsidRPr="00D26B44" w:rsidRDefault="008E13A6" w:rsidP="002335C0">
            <w:pPr>
              <w:keepNext/>
              <w:rPr>
                <w:noProof/>
              </w:rPr>
            </w:pPr>
          </w:p>
        </w:tc>
      </w:tr>
      <w:tr w:rsidR="008E13A6" w:rsidRPr="00D26B44" w:rsidTr="002335C0">
        <w:trPr>
          <w:jc w:val="center"/>
        </w:trPr>
        <w:tc>
          <w:tcPr>
            <w:tcW w:w="4876" w:type="dxa"/>
            <w:hideMark/>
          </w:tcPr>
          <w:p w:rsidR="008E13A6" w:rsidRPr="00BE42FC" w:rsidRDefault="008E13A6" w:rsidP="002335C0">
            <w:pPr>
              <w:pStyle w:val="ColumnHeading"/>
              <w:keepNext/>
              <w:rPr>
                <w:noProof/>
              </w:rPr>
            </w:pPr>
            <w:r w:rsidRPr="00BE42FC">
              <w:t>A Bizottság által javasolt szöveg</w:t>
            </w:r>
          </w:p>
        </w:tc>
        <w:tc>
          <w:tcPr>
            <w:tcW w:w="4876" w:type="dxa"/>
            <w:hideMark/>
          </w:tcPr>
          <w:p w:rsidR="008E13A6" w:rsidRPr="00BE42FC" w:rsidRDefault="008E13A6" w:rsidP="002335C0">
            <w:pPr>
              <w:pStyle w:val="ColumnHeading"/>
              <w:keepNext/>
              <w:rPr>
                <w:noProof/>
              </w:rPr>
            </w:pPr>
            <w:r w:rsidRPr="00BE42FC">
              <w:t>Módosítás</w:t>
            </w:r>
          </w:p>
        </w:tc>
      </w:tr>
      <w:tr w:rsidR="008E13A6" w:rsidRPr="00D26B44" w:rsidTr="002335C0">
        <w:trPr>
          <w:jc w:val="center"/>
        </w:trPr>
        <w:tc>
          <w:tcPr>
            <w:tcW w:w="4876" w:type="dxa"/>
            <w:hideMark/>
          </w:tcPr>
          <w:p w:rsidR="008E13A6" w:rsidRPr="00BE42FC" w:rsidRDefault="008E13A6" w:rsidP="002335C0">
            <w:pPr>
              <w:pStyle w:val="Normal6"/>
              <w:rPr>
                <w:noProof/>
              </w:rPr>
            </w:pPr>
            <w:r w:rsidRPr="00BE42FC">
              <w:t>(2)</w:t>
            </w:r>
            <w:r w:rsidRPr="00BE42FC">
              <w:tab/>
              <w:t xml:space="preserve">A Bizottság tájékoztatási és kommunikációs tevékenységeket végez a programhoz, valamint </w:t>
            </w:r>
            <w:r w:rsidRPr="00BE42FC">
              <w:rPr>
                <w:b/>
                <w:i/>
              </w:rPr>
              <w:t>annak intézkedéseihez</w:t>
            </w:r>
            <w:r w:rsidRPr="00BE42FC">
              <w:t xml:space="preserve"> és </w:t>
            </w:r>
            <w:r w:rsidRPr="00BE42FC">
              <w:rPr>
                <w:b/>
                <w:i/>
              </w:rPr>
              <w:t>eredményeihez</w:t>
            </w:r>
            <w:r w:rsidRPr="00BE42FC">
              <w:t xml:space="preserve"> kapcsolódóan. A programhoz </w:t>
            </w:r>
            <w:r w:rsidRPr="00BE42FC">
              <w:rPr>
                <w:b/>
                <w:i/>
              </w:rPr>
              <w:t>allokált</w:t>
            </w:r>
            <w:r w:rsidRPr="00BE42FC">
              <w:t xml:space="preserve"> pénzügyi forrásokat ezenfelül az Unió azon politikai prioritásaira vonatkozó intézményi kommunikáció költségeinek fedezésére is kell fordítani, amelyek kapcsolódnak a 3. cikkben </w:t>
            </w:r>
            <w:r w:rsidRPr="00BE42FC">
              <w:rPr>
                <w:b/>
                <w:i/>
              </w:rPr>
              <w:t>említett</w:t>
            </w:r>
            <w:r w:rsidRPr="00BE42FC">
              <w:t xml:space="preserve"> célkitűzésekhez.</w:t>
            </w:r>
          </w:p>
        </w:tc>
        <w:tc>
          <w:tcPr>
            <w:tcW w:w="4876" w:type="dxa"/>
            <w:hideMark/>
          </w:tcPr>
          <w:p w:rsidR="008E13A6" w:rsidRPr="00BE42FC" w:rsidRDefault="008E13A6" w:rsidP="002335C0">
            <w:pPr>
              <w:pStyle w:val="Normal6"/>
              <w:rPr>
                <w:noProof/>
                <w:szCs w:val="24"/>
              </w:rPr>
            </w:pPr>
            <w:r w:rsidRPr="00BE42FC">
              <w:t>(2)</w:t>
            </w:r>
            <w:r w:rsidRPr="00BE42FC">
              <w:tab/>
              <w:t xml:space="preserve">A Bizottság tájékoztatási és kommunikációs tevékenységeket végez a programhoz, valamint </w:t>
            </w:r>
            <w:r w:rsidRPr="00BE42FC">
              <w:rPr>
                <w:b/>
                <w:i/>
              </w:rPr>
              <w:t>a programból finanszírozott intézkedésekhez</w:t>
            </w:r>
            <w:r w:rsidRPr="00BE42FC">
              <w:t xml:space="preserve"> és </w:t>
            </w:r>
            <w:r w:rsidRPr="00BE42FC">
              <w:rPr>
                <w:b/>
                <w:i/>
              </w:rPr>
              <w:t>a finanszírozott intézkedések révén elért eredményekhez</w:t>
            </w:r>
            <w:r w:rsidRPr="00BE42FC">
              <w:t xml:space="preserve"> kapcsolódóan. A programhoz </w:t>
            </w:r>
            <w:r w:rsidRPr="00BE42FC">
              <w:rPr>
                <w:b/>
                <w:i/>
              </w:rPr>
              <w:t>rendelt</w:t>
            </w:r>
            <w:r w:rsidRPr="00BE42FC">
              <w:t xml:space="preserve"> pénzügyi forrásokat ezenfelül az Unió azon politikai prioritásaira vonatkozó intézményi kommunikáció költségeinek fedezésére is kell fordítani, amelyek kapcsolódnak a 3. cikkben </w:t>
            </w:r>
            <w:r w:rsidRPr="00BE42FC">
              <w:rPr>
                <w:b/>
                <w:i/>
              </w:rPr>
              <w:t>megfogalmazott</w:t>
            </w:r>
            <w:r w:rsidRPr="00BE42FC">
              <w:t xml:space="preserve"> célkitűzésekhez.</w:t>
            </w:r>
          </w:p>
        </w:tc>
      </w:tr>
    </w:tbl>
    <w:p w:rsidR="008E13A6" w:rsidRPr="00D26B44" w:rsidRDefault="008E13A6" w:rsidP="008E13A6">
      <w:pPr>
        <w:rPr>
          <w:noProof/>
        </w:rPr>
      </w:pPr>
      <w:r>
        <w:rPr>
          <w:rStyle w:val="HideTWBExt"/>
        </w:rPr>
        <w:t>&lt;/Amend&gt;&lt;/RepeatBlock-Amend&gt;</w:t>
      </w:r>
    </w:p>
    <w:p w:rsidR="008E13A6" w:rsidRPr="00D26B44" w:rsidRDefault="008E13A6" w:rsidP="008E13A6">
      <w:pPr>
        <w:pStyle w:val="PageHeading"/>
        <w:rPr>
          <w:noProof/>
        </w:rPr>
      </w:pPr>
      <w:r>
        <w:br w:type="page"/>
      </w:r>
      <w:bookmarkStart w:id="1" w:name="_Toc532459141"/>
      <w:bookmarkStart w:id="2" w:name="_Toc534971920"/>
      <w:r>
        <w:lastRenderedPageBreak/>
        <w:t>INDOKOLÁS</w:t>
      </w:r>
      <w:bookmarkEnd w:id="1"/>
      <w:bookmarkEnd w:id="2"/>
    </w:p>
    <w:p w:rsidR="008E13A6" w:rsidRPr="00D26B44" w:rsidRDefault="008E13A6" w:rsidP="008E13A6">
      <w:pPr>
        <w:rPr>
          <w:noProof/>
        </w:rPr>
      </w:pPr>
    </w:p>
    <w:p w:rsidR="008E13A6" w:rsidRPr="00D26B44" w:rsidRDefault="008E13A6" w:rsidP="008E13A6">
      <w:pPr>
        <w:pStyle w:val="Normal6"/>
        <w:rPr>
          <w:noProof/>
        </w:rPr>
      </w:pPr>
      <w:r>
        <w:t>A Vám program létrehozza a vámügyi együttműködés keretét a 2021–2027 közötti időszakra, és a Vám 2020 program jogutódja. A program továbbra is elősegíti a tagállami hatóságok közötti koordinációt, valamint a kapacitásbővítést, beleértve a képzést és a bevált gyakorlatok cseréjét az uniós vámjogszabályok egységes alkalmazásának biztosítása érdekében. Sajnálatos módon a Vám 2020 program keretében nem került sor az e-vám rendszerbe való átmenetre a megfelelő informatikai rendszerek egyes részeinél bekövetkező késedelmek miatt. Ezért a vámügyi program egyik fő célja a vámügyi informatikai infrastruktúra továbbfejlesztése, működtetése és karbantartása lesz.</w:t>
      </w:r>
    </w:p>
    <w:p w:rsidR="008E13A6" w:rsidRPr="00D26B44" w:rsidRDefault="008E13A6" w:rsidP="008E13A6">
      <w:pPr>
        <w:pStyle w:val="Normal6"/>
        <w:rPr>
          <w:noProof/>
        </w:rPr>
      </w:pPr>
    </w:p>
    <w:p w:rsidR="008E13A6" w:rsidRPr="00D26B44" w:rsidRDefault="008E13A6" w:rsidP="008E13A6">
      <w:pPr>
        <w:pStyle w:val="Normal6"/>
        <w:rPr>
          <w:noProof/>
        </w:rPr>
      </w:pPr>
      <w:r>
        <w:t>Az előadó úgy véli, hogy e programnak következetesnek kell lennie, és ki kell aknáznia az egyéb uniós programokkal és alapokkal fennálló minden szinergiát, és végrehajtása során tiszteletben kell tartani az átláthatóság, az arányosság, az egyenlő bánásmód és a megkülönböztetésmentesség elvét.</w:t>
      </w:r>
    </w:p>
    <w:p w:rsidR="008E13A6" w:rsidRPr="00D26B44" w:rsidRDefault="008E13A6" w:rsidP="008E13A6">
      <w:pPr>
        <w:pStyle w:val="Normal6"/>
        <w:rPr>
          <w:noProof/>
        </w:rPr>
      </w:pPr>
    </w:p>
    <w:p w:rsidR="008E13A6" w:rsidRPr="00D26B44" w:rsidRDefault="008E13A6" w:rsidP="008E13A6">
      <w:pPr>
        <w:pStyle w:val="Normal6"/>
        <w:rPr>
          <w:noProof/>
        </w:rPr>
      </w:pPr>
      <w:r>
        <w:t xml:space="preserve">Figyelembe kell venni azt is, hogy az e programhoz rendelt költségvetés nem foglalkozik az Egyesült Királyságnak az Unióból, így többek között a vámunióból való közelgő kilépésével. Ez nyilvánvalóan többletköltségeket eredményez az ezen jelentős változás által érintett országok számára, de ezeket a kiadásokat nem szabad a Vám programból fedezni. </w:t>
      </w:r>
    </w:p>
    <w:p w:rsidR="008E13A6" w:rsidRPr="00D26B44" w:rsidRDefault="008E13A6" w:rsidP="008E13A6">
      <w:pPr>
        <w:pStyle w:val="Normal6"/>
        <w:rPr>
          <w:noProof/>
        </w:rPr>
      </w:pPr>
    </w:p>
    <w:p w:rsidR="008E13A6" w:rsidRPr="00D26B44" w:rsidRDefault="008E13A6" w:rsidP="008E13A6">
      <w:pPr>
        <w:pStyle w:val="Normal6"/>
        <w:rPr>
          <w:noProof/>
        </w:rPr>
      </w:pPr>
      <w:r>
        <w:t>A vámigazgatás és az ellenőrzés tekintetében az előadó úgy ítéli meg, hogy ez olyan dinamikus terület, amelynek követelményei a társadalom politikai és más területeken tapasztalható fejlődésével együtt változnak. Így a programnak támogatnia kell a vámigazgatást, különös tekintettel az informatika területére, és lehetővé kell tennie az innovációt, valamint innovatív megoldások kidolgozását a vámpolitika területén. Az előadó módosításai a javaslat e területeken történő kiegészítésére irányulnak.</w:t>
      </w:r>
    </w:p>
    <w:p w:rsidR="008E13A6" w:rsidRPr="00D26B44" w:rsidRDefault="008E13A6" w:rsidP="008E13A6">
      <w:pPr>
        <w:pStyle w:val="Normal6"/>
        <w:rPr>
          <w:noProof/>
        </w:rPr>
      </w:pPr>
    </w:p>
    <w:p w:rsidR="008E13A6" w:rsidRDefault="008E13A6" w:rsidP="008E13A6">
      <w:pPr>
        <w:pStyle w:val="Normal6"/>
        <w:rPr>
          <w:noProof/>
        </w:rPr>
      </w:pPr>
      <w:r>
        <w:t>A vámunió az egységes piac egyik fő pillére. A vámeljárások korszerűsítése elősegítheti a gazdasági tevékenységet és növekedést az európai ipar versenyképességének fokozásával és a kereskedelem megkönnyítésével, valamint biztosíthatja az európai fogyasztók védelmét. Az előadó ezért úgy ítéli meg, hogy a vámügyi program alapvető fontosságú e célok eléréséhez.</w:t>
      </w:r>
    </w:p>
    <w:p w:rsidR="008E13A6" w:rsidRPr="00612D1D" w:rsidRDefault="008E13A6" w:rsidP="008E13A6">
      <w:pPr>
        <w:rPr>
          <w:noProof/>
        </w:rPr>
      </w:pPr>
      <w:r>
        <w:br w:type="page"/>
      </w:r>
    </w:p>
    <w:p w:rsidR="008E13A6" w:rsidRPr="00612D1D" w:rsidRDefault="008E13A6" w:rsidP="008E13A6">
      <w:pPr>
        <w:pStyle w:val="ZDate"/>
        <w:spacing w:after="480"/>
        <w:rPr>
          <w:noProof/>
        </w:rPr>
      </w:pPr>
      <w:r>
        <w:rPr>
          <w:rStyle w:val="HideTWBExt"/>
        </w:rPr>
        <w:t>&lt;Date&gt;</w:t>
      </w:r>
      <w:r w:rsidRPr="00BE42FC">
        <w:rPr>
          <w:rStyle w:val="HideTWBInt"/>
          <w:color w:val="auto"/>
        </w:rPr>
        <w:t>{06/11/2018}</w:t>
      </w:r>
      <w:r w:rsidRPr="00BE42FC">
        <w:t>6.11.2018</w:t>
      </w:r>
      <w:r>
        <w:rPr>
          <w:rStyle w:val="HideTWBExt"/>
        </w:rPr>
        <w:t>&lt;/Date&gt;</w:t>
      </w:r>
    </w:p>
    <w:p w:rsidR="008E13A6" w:rsidRPr="00612D1D" w:rsidRDefault="008E13A6" w:rsidP="008E13A6">
      <w:pPr>
        <w:pStyle w:val="PageHeading"/>
        <w:spacing w:before="0" w:after="720"/>
        <w:rPr>
          <w:noProof/>
        </w:rPr>
      </w:pPr>
      <w:bookmarkStart w:id="3" w:name="_Toc534971921"/>
      <w:r>
        <w:t xml:space="preserve">VÉLEMÉNY </w:t>
      </w:r>
      <w:r>
        <w:rPr>
          <w:rStyle w:val="HideTWBExt"/>
        </w:rPr>
        <w:t>&lt;CommissionResp&gt;</w:t>
      </w:r>
      <w:bookmarkStart w:id="4" w:name="OpinionToc_1"/>
      <w:r>
        <w:rPr>
          <w:caps/>
        </w:rPr>
        <w:t xml:space="preserve"> a Költségvetési Bizottság részéről</w:t>
      </w:r>
      <w:bookmarkEnd w:id="4"/>
      <w:bookmarkEnd w:id="3"/>
      <w:r>
        <w:rPr>
          <w:rStyle w:val="HideTWBExt"/>
        </w:rPr>
        <w:t>&lt;/CommissionResp&gt;</w:t>
      </w:r>
    </w:p>
    <w:p w:rsidR="008E13A6" w:rsidRPr="00612D1D" w:rsidRDefault="008E13A6" w:rsidP="008E13A6">
      <w:pPr>
        <w:pStyle w:val="Cover24"/>
        <w:ind w:left="0"/>
        <w:rPr>
          <w:noProof/>
        </w:rPr>
      </w:pPr>
      <w:r>
        <w:rPr>
          <w:rStyle w:val="HideTWBExt"/>
        </w:rPr>
        <w:t>&lt;CommissionInt&gt;</w:t>
      </w:r>
      <w:r w:rsidRPr="00BE42FC">
        <w:t xml:space="preserve"> a Belső Piaci és Fogyasztóvédelmi Bizottság részére</w:t>
      </w:r>
      <w:r>
        <w:rPr>
          <w:rStyle w:val="HideTWBExt"/>
        </w:rPr>
        <w:t>&lt;/CommissionInt&gt;</w:t>
      </w:r>
    </w:p>
    <w:p w:rsidR="008E13A6" w:rsidRPr="00D5060C" w:rsidRDefault="008E13A6" w:rsidP="008E13A6">
      <w:pPr>
        <w:pStyle w:val="CoverNormal"/>
        <w:ind w:left="0"/>
        <w:rPr>
          <w:noProof/>
        </w:rPr>
      </w:pPr>
      <w:r>
        <w:rPr>
          <w:rStyle w:val="HideTWBExt"/>
        </w:rPr>
        <w:t>&lt;Titre&gt;</w:t>
      </w:r>
      <w:r>
        <w:t>a vámügyi együttműködést szolgáló „Vám” program létrehozásáról szóló európai parlamenti és tanácsi rendeletre irányuló javaslatról</w:t>
      </w:r>
      <w:r>
        <w:rPr>
          <w:rStyle w:val="HideTWBExt"/>
        </w:rPr>
        <w:t>&lt;/Titre&gt;</w:t>
      </w:r>
    </w:p>
    <w:p w:rsidR="008E13A6" w:rsidRPr="004253DC" w:rsidRDefault="008E13A6" w:rsidP="008E13A6">
      <w:pPr>
        <w:pStyle w:val="Cover24"/>
        <w:ind w:left="0"/>
        <w:rPr>
          <w:noProof/>
        </w:rPr>
      </w:pPr>
      <w:r>
        <w:rPr>
          <w:rStyle w:val="HideTWBExt"/>
        </w:rPr>
        <w:t>&lt;DocRef&gt;</w:t>
      </w:r>
      <w:r w:rsidRPr="00BE42FC">
        <w:t>(COM(2018)0442 – C8-0261/2018 – 2018/0232(COD))</w:t>
      </w:r>
      <w:r>
        <w:rPr>
          <w:rStyle w:val="HideTWBExt"/>
        </w:rPr>
        <w:t>&lt;/DocRef&gt;</w:t>
      </w:r>
    </w:p>
    <w:p w:rsidR="008E13A6" w:rsidRPr="00612D1D" w:rsidRDefault="008E13A6" w:rsidP="008E13A6">
      <w:pPr>
        <w:pStyle w:val="Cover24"/>
        <w:ind w:left="0"/>
        <w:rPr>
          <w:noProof/>
        </w:rPr>
      </w:pPr>
      <w:r w:rsidRPr="00BE42FC">
        <w:t xml:space="preserve">A vélemény előadója: </w:t>
      </w:r>
      <w:r>
        <w:rPr>
          <w:rStyle w:val="HideTWBExt"/>
        </w:rPr>
        <w:t>&lt;Depute&gt;</w:t>
      </w:r>
      <w:r w:rsidRPr="00BE42FC">
        <w:t>Ivan Štefanec</w:t>
      </w:r>
      <w:r>
        <w:rPr>
          <w:rStyle w:val="HideTWBExt"/>
        </w:rPr>
        <w:t>&lt;/Depute&gt;</w:t>
      </w:r>
    </w:p>
    <w:p w:rsidR="008E13A6" w:rsidRPr="00612D1D" w:rsidRDefault="008E13A6" w:rsidP="008E13A6">
      <w:pPr>
        <w:pStyle w:val="CoverNormal"/>
        <w:ind w:left="0"/>
        <w:rPr>
          <w:noProof/>
        </w:rPr>
      </w:pPr>
    </w:p>
    <w:p w:rsidR="008E13A6" w:rsidRPr="00612D1D" w:rsidRDefault="008E13A6" w:rsidP="0004474F">
      <w:pPr>
        <w:tabs>
          <w:tab w:val="center" w:pos="4677"/>
        </w:tabs>
        <w:rPr>
          <w:noProof/>
        </w:rPr>
      </w:pPr>
    </w:p>
    <w:p w:rsidR="008E13A6" w:rsidRPr="00612D1D" w:rsidRDefault="008E13A6" w:rsidP="0004474F">
      <w:pPr>
        <w:tabs>
          <w:tab w:val="center" w:pos="4677"/>
        </w:tabs>
        <w:rPr>
          <w:noProof/>
        </w:rPr>
      </w:pPr>
    </w:p>
    <w:p w:rsidR="008E13A6" w:rsidRPr="00612D1D" w:rsidRDefault="008E13A6" w:rsidP="00326047">
      <w:pPr>
        <w:pStyle w:val="ConclusionsPA"/>
        <w:rPr>
          <w:noProof/>
        </w:rPr>
      </w:pPr>
      <w:r>
        <w:t>MÓDOSÍTÁSOK</w:t>
      </w:r>
    </w:p>
    <w:p w:rsidR="008E13A6" w:rsidRPr="00612D1D" w:rsidRDefault="008E13A6" w:rsidP="001E3AC4">
      <w:pPr>
        <w:pStyle w:val="Normal12"/>
        <w:rPr>
          <w:noProof/>
        </w:rPr>
      </w:pPr>
      <w:bookmarkStart w:id="5" w:name="IntroA"/>
      <w:r>
        <w:t>A Költségvetési Bizottság felkéri a Belső Piaci és Fogyasztóvédelmi Bizottságot mint illetékes bizottságot, hogy vegye figyelembe az alábbi módosításokat:</w:t>
      </w:r>
    </w:p>
    <w:bookmarkEnd w:id="5"/>
    <w:p w:rsidR="008E13A6" w:rsidRPr="00D5060C" w:rsidRDefault="008E13A6" w:rsidP="002E06BF">
      <w:pPr>
        <w:pStyle w:val="AMNumberTabs"/>
        <w:keepNext/>
        <w:rPr>
          <w:noProof/>
        </w:rPr>
      </w:pPr>
      <w:r>
        <w:rPr>
          <w:rStyle w:val="HideTWBExt"/>
          <w:b w:val="0"/>
        </w:rPr>
        <w:t>&lt;RepeatBlock-Amend&gt;&lt;Amend&gt;</w:t>
      </w:r>
      <w:r w:rsidRPr="00BE42FC">
        <w:t>Módosítás</w:t>
      </w:r>
      <w:r w:rsidRPr="00BE42FC">
        <w:tab/>
      </w:r>
      <w:r w:rsidRPr="00BE42FC">
        <w:tab/>
      </w:r>
      <w:r>
        <w:rPr>
          <w:rStyle w:val="HideTWBExt"/>
          <w:b w:val="0"/>
        </w:rPr>
        <w:t>&lt;NumAm&gt;</w:t>
      </w:r>
      <w:r w:rsidRPr="00BE42FC">
        <w:t>1</w:t>
      </w:r>
      <w:r>
        <w:rPr>
          <w:rStyle w:val="HideTWBExt"/>
          <w:b w:val="0"/>
        </w:rPr>
        <w:t>&lt;/NumAm&gt;</w:t>
      </w:r>
    </w:p>
    <w:p w:rsidR="008E13A6" w:rsidRPr="00D5060C" w:rsidRDefault="008E13A6" w:rsidP="002E06BF">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5060C" w:rsidRDefault="008E13A6" w:rsidP="002E06BF">
      <w:pPr>
        <w:pStyle w:val="NormalBold"/>
        <w:rPr>
          <w:noProof/>
        </w:rPr>
      </w:pPr>
      <w:r>
        <w:rPr>
          <w:rStyle w:val="HideTWBExt"/>
          <w:b w:val="0"/>
        </w:rPr>
        <w:t>&lt;Article&gt;</w:t>
      </w:r>
      <w:r w:rsidRPr="00BE42FC">
        <w:t>4 a preambulumbekezdés (új)</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5060C" w:rsidTr="00B9664A">
        <w:trPr>
          <w:jc w:val="center"/>
        </w:trPr>
        <w:tc>
          <w:tcPr>
            <w:tcW w:w="9752" w:type="dxa"/>
            <w:gridSpan w:val="2"/>
          </w:tcPr>
          <w:p w:rsidR="008E13A6" w:rsidRPr="00D5060C" w:rsidRDefault="008E13A6" w:rsidP="00B9664A">
            <w:pPr>
              <w:keepNext/>
              <w:rPr>
                <w:noProof/>
              </w:rPr>
            </w:pPr>
          </w:p>
        </w:tc>
      </w:tr>
      <w:tr w:rsidR="008E13A6" w:rsidRPr="00D5060C" w:rsidTr="00B9664A">
        <w:trPr>
          <w:jc w:val="center"/>
        </w:trPr>
        <w:tc>
          <w:tcPr>
            <w:tcW w:w="4876" w:type="dxa"/>
            <w:hideMark/>
          </w:tcPr>
          <w:p w:rsidR="008E13A6" w:rsidRPr="00BE42FC" w:rsidRDefault="008E13A6" w:rsidP="00B9664A">
            <w:pPr>
              <w:pStyle w:val="ColumnHeading"/>
              <w:keepNext/>
              <w:rPr>
                <w:noProof/>
              </w:rPr>
            </w:pPr>
            <w:r w:rsidRPr="00BE42FC">
              <w:t>A Bizottság által javasolt szöveg</w:t>
            </w:r>
          </w:p>
        </w:tc>
        <w:tc>
          <w:tcPr>
            <w:tcW w:w="4876" w:type="dxa"/>
            <w:hideMark/>
          </w:tcPr>
          <w:p w:rsidR="008E13A6" w:rsidRPr="00BE42FC" w:rsidRDefault="008E13A6" w:rsidP="00B9664A">
            <w:pPr>
              <w:pStyle w:val="ColumnHeading"/>
              <w:keepNext/>
              <w:rPr>
                <w:noProof/>
              </w:rPr>
            </w:pPr>
            <w:r w:rsidRPr="00BE42FC">
              <w:t>Módosítás</w:t>
            </w:r>
          </w:p>
        </w:tc>
      </w:tr>
      <w:tr w:rsidR="008E13A6" w:rsidRPr="00D5060C" w:rsidTr="00B9664A">
        <w:trPr>
          <w:jc w:val="center"/>
        </w:trPr>
        <w:tc>
          <w:tcPr>
            <w:tcW w:w="4876" w:type="dxa"/>
          </w:tcPr>
          <w:p w:rsidR="008E13A6" w:rsidRPr="00BE42FC" w:rsidRDefault="008E13A6" w:rsidP="00B9664A">
            <w:pPr>
              <w:pStyle w:val="Normal6"/>
              <w:rPr>
                <w:noProof/>
              </w:rPr>
            </w:pPr>
          </w:p>
        </w:tc>
        <w:tc>
          <w:tcPr>
            <w:tcW w:w="4876" w:type="dxa"/>
            <w:hideMark/>
          </w:tcPr>
          <w:p w:rsidR="008E13A6" w:rsidRPr="00BE42FC" w:rsidRDefault="008E13A6" w:rsidP="00B9664A">
            <w:pPr>
              <w:pStyle w:val="Normal6"/>
              <w:rPr>
                <w:noProof/>
                <w:szCs w:val="24"/>
              </w:rPr>
            </w:pPr>
            <w:r w:rsidRPr="00BE42FC">
              <w:rPr>
                <w:b/>
                <w:i/>
              </w:rPr>
              <w:t>(4a)</w:t>
            </w:r>
            <w:r w:rsidRPr="00BE42FC">
              <w:rPr>
                <w:b/>
                <w:i/>
              </w:rPr>
              <w:tab/>
              <w:t>A „Vám” program alapvető fontosságú lesz a vámhatóságok az EU és a nemzeti költségv</w:t>
            </w:r>
            <w:bookmarkStart w:id="6" w:name="_GoBack"/>
            <w:bookmarkEnd w:id="6"/>
            <w:r w:rsidRPr="00BE42FC">
              <w:rPr>
                <w:b/>
                <w:i/>
              </w:rPr>
              <w:t>etések számára jelentős bevételi forrást jelentő vámok beszedésére irányuló munkájának elősegítése és javítása szempontjából. Az informatikai kapacitásépítésre és a vámok területén való fokozott együttműködésre összpontosítva ez a program hatékonyan hozzájárul az Unió és tagállamai pénzügyi érdekeinek védelméhez.</w:t>
            </w:r>
          </w:p>
        </w:tc>
      </w:tr>
    </w:tbl>
    <w:p w:rsidR="008E13A6" w:rsidRPr="00D5060C" w:rsidRDefault="008E13A6" w:rsidP="002E06BF">
      <w:pPr>
        <w:rPr>
          <w:noProof/>
        </w:rPr>
      </w:pPr>
      <w:r>
        <w:rPr>
          <w:rStyle w:val="HideTWBExt"/>
        </w:rPr>
        <w:t>&lt;/Amend&gt;</w:t>
      </w:r>
    </w:p>
    <w:p w:rsidR="008E13A6" w:rsidRPr="00D5060C" w:rsidRDefault="008E13A6" w:rsidP="002E06BF">
      <w:pPr>
        <w:pStyle w:val="AMNumberTabs"/>
        <w:keepNext/>
        <w:rPr>
          <w:noProof/>
        </w:rPr>
      </w:pPr>
      <w:r>
        <w:rPr>
          <w:rStyle w:val="HideTWBExt"/>
          <w:b w:val="0"/>
        </w:rPr>
        <w:lastRenderedPageBreak/>
        <w:t>&lt;Amend&gt;</w:t>
      </w:r>
      <w:r w:rsidRPr="00BE42FC">
        <w:t>Módosítás</w:t>
      </w:r>
      <w:r w:rsidRPr="00BE42FC">
        <w:tab/>
      </w:r>
      <w:r w:rsidRPr="00BE42FC">
        <w:tab/>
      </w:r>
      <w:r>
        <w:rPr>
          <w:rStyle w:val="HideTWBExt"/>
          <w:b w:val="0"/>
        </w:rPr>
        <w:t>&lt;NumAm&gt;</w:t>
      </w:r>
      <w:r w:rsidRPr="00BE42FC">
        <w:t>2</w:t>
      </w:r>
      <w:r>
        <w:rPr>
          <w:rStyle w:val="HideTWBExt"/>
          <w:b w:val="0"/>
        </w:rPr>
        <w:t>&lt;/NumAm&gt;</w:t>
      </w:r>
    </w:p>
    <w:p w:rsidR="008E13A6" w:rsidRPr="00D5060C" w:rsidRDefault="008E13A6" w:rsidP="002E06BF">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5060C" w:rsidRDefault="008E13A6" w:rsidP="002E06BF">
      <w:pPr>
        <w:pStyle w:val="NormalBold"/>
        <w:rPr>
          <w:noProof/>
        </w:rPr>
      </w:pPr>
      <w:r>
        <w:rPr>
          <w:rStyle w:val="HideTWBExt"/>
          <w:b w:val="0"/>
        </w:rPr>
        <w:t>&lt;Article&gt;</w:t>
      </w:r>
      <w:r w:rsidRPr="00BE42FC">
        <w:t>11 a preambulumbekezdés (új)</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5060C" w:rsidTr="00B9664A">
        <w:trPr>
          <w:jc w:val="center"/>
        </w:trPr>
        <w:tc>
          <w:tcPr>
            <w:tcW w:w="9752" w:type="dxa"/>
            <w:gridSpan w:val="2"/>
          </w:tcPr>
          <w:p w:rsidR="008E13A6" w:rsidRPr="00D5060C" w:rsidRDefault="008E13A6" w:rsidP="00B9664A">
            <w:pPr>
              <w:keepNext/>
              <w:rPr>
                <w:noProof/>
              </w:rPr>
            </w:pPr>
          </w:p>
        </w:tc>
      </w:tr>
      <w:tr w:rsidR="008E13A6" w:rsidRPr="00D5060C" w:rsidTr="00B9664A">
        <w:trPr>
          <w:jc w:val="center"/>
        </w:trPr>
        <w:tc>
          <w:tcPr>
            <w:tcW w:w="4876" w:type="dxa"/>
            <w:hideMark/>
          </w:tcPr>
          <w:p w:rsidR="008E13A6" w:rsidRPr="00BE42FC" w:rsidRDefault="008E13A6" w:rsidP="00B9664A">
            <w:pPr>
              <w:pStyle w:val="ColumnHeading"/>
              <w:keepNext/>
              <w:rPr>
                <w:noProof/>
              </w:rPr>
            </w:pPr>
            <w:r w:rsidRPr="00BE42FC">
              <w:t>A Bizottság által javasolt szöveg</w:t>
            </w:r>
          </w:p>
        </w:tc>
        <w:tc>
          <w:tcPr>
            <w:tcW w:w="4876" w:type="dxa"/>
            <w:hideMark/>
          </w:tcPr>
          <w:p w:rsidR="008E13A6" w:rsidRPr="00BE42FC" w:rsidRDefault="008E13A6" w:rsidP="00B9664A">
            <w:pPr>
              <w:pStyle w:val="ColumnHeading"/>
              <w:keepNext/>
              <w:rPr>
                <w:noProof/>
              </w:rPr>
            </w:pPr>
            <w:r w:rsidRPr="00BE42FC">
              <w:t>Módosítás</w:t>
            </w:r>
          </w:p>
        </w:tc>
      </w:tr>
      <w:tr w:rsidR="008E13A6" w:rsidRPr="00D5060C" w:rsidTr="00B9664A">
        <w:trPr>
          <w:jc w:val="center"/>
        </w:trPr>
        <w:tc>
          <w:tcPr>
            <w:tcW w:w="4876" w:type="dxa"/>
          </w:tcPr>
          <w:p w:rsidR="008E13A6" w:rsidRPr="00BE42FC" w:rsidRDefault="008E13A6" w:rsidP="00B9664A">
            <w:pPr>
              <w:pStyle w:val="Normal6"/>
              <w:rPr>
                <w:noProof/>
              </w:rPr>
            </w:pPr>
          </w:p>
        </w:tc>
        <w:tc>
          <w:tcPr>
            <w:tcW w:w="4876" w:type="dxa"/>
            <w:hideMark/>
          </w:tcPr>
          <w:p w:rsidR="008E13A6" w:rsidRPr="00BE42FC" w:rsidRDefault="008E13A6" w:rsidP="00B9664A">
            <w:pPr>
              <w:pStyle w:val="Normal6"/>
              <w:rPr>
                <w:noProof/>
                <w:szCs w:val="24"/>
              </w:rPr>
            </w:pPr>
            <w:r w:rsidRPr="00BE42FC">
              <w:rPr>
                <w:b/>
                <w:i/>
              </w:rPr>
              <w:t>(11a)</w:t>
            </w:r>
            <w:r w:rsidRPr="00BE42FC">
              <w:rPr>
                <w:b/>
                <w:i/>
              </w:rPr>
              <w:tab/>
              <w:t>A „Vám” programnak következetesnek kell lennie és ki kell használnia minden más, a kapcsolódó területeken hasonló célkitűzésekkel rendelkező uniós fellépéssel és alappal, például a Fiscalis programmal, a csalás elleni uniós programmal és az egységes piaci programmal, továbbá a Belső Biztonsági Alappal, a Határigazgatási és Vízumeszközzel, a reformtámogató programmal, a Digitális Európa programmal, az Európai Hálózatfinanszírozási Eszközzel és a saját források rendszeréről szóló határozattal, végrehajtási rendeletekkel és intézkedésekkel való szinergiát.</w:t>
            </w:r>
          </w:p>
        </w:tc>
      </w:tr>
    </w:tbl>
    <w:p w:rsidR="008E13A6" w:rsidRPr="00D5060C" w:rsidRDefault="008E13A6" w:rsidP="002E06BF">
      <w:pPr>
        <w:rPr>
          <w:noProof/>
        </w:rPr>
      </w:pPr>
      <w:r>
        <w:rPr>
          <w:rStyle w:val="HideTWBExt"/>
        </w:rPr>
        <w:t>&lt;/Amend&gt;</w:t>
      </w:r>
    </w:p>
    <w:p w:rsidR="008E13A6" w:rsidRPr="00D5060C" w:rsidRDefault="008E13A6" w:rsidP="002E06BF">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3</w:t>
      </w:r>
      <w:r>
        <w:rPr>
          <w:rStyle w:val="HideTWBExt"/>
          <w:b w:val="0"/>
        </w:rPr>
        <w:t>&lt;/NumAm&gt;</w:t>
      </w:r>
    </w:p>
    <w:p w:rsidR="008E13A6" w:rsidRPr="00D5060C" w:rsidRDefault="008E13A6" w:rsidP="002E06BF">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5060C" w:rsidRDefault="008E13A6" w:rsidP="002E06BF">
      <w:pPr>
        <w:pStyle w:val="NormalBold"/>
        <w:rPr>
          <w:noProof/>
        </w:rPr>
      </w:pPr>
      <w:r>
        <w:rPr>
          <w:rStyle w:val="HideTWBExt"/>
          <w:b w:val="0"/>
        </w:rPr>
        <w:t>&lt;Article&gt;</w:t>
      </w:r>
      <w:r w:rsidRPr="00BE42FC">
        <w:t>19 preambulumbekezdés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5060C" w:rsidTr="00B9664A">
        <w:trPr>
          <w:jc w:val="center"/>
        </w:trPr>
        <w:tc>
          <w:tcPr>
            <w:tcW w:w="9752" w:type="dxa"/>
            <w:gridSpan w:val="2"/>
          </w:tcPr>
          <w:p w:rsidR="008E13A6" w:rsidRPr="00D5060C" w:rsidRDefault="008E13A6" w:rsidP="00B9664A">
            <w:pPr>
              <w:keepNext/>
              <w:rPr>
                <w:noProof/>
              </w:rPr>
            </w:pPr>
          </w:p>
        </w:tc>
      </w:tr>
      <w:tr w:rsidR="008E13A6" w:rsidRPr="00D5060C" w:rsidTr="00B9664A">
        <w:trPr>
          <w:jc w:val="center"/>
        </w:trPr>
        <w:tc>
          <w:tcPr>
            <w:tcW w:w="4876" w:type="dxa"/>
            <w:hideMark/>
          </w:tcPr>
          <w:p w:rsidR="008E13A6" w:rsidRPr="00BE42FC" w:rsidRDefault="008E13A6" w:rsidP="00B9664A">
            <w:pPr>
              <w:pStyle w:val="ColumnHeading"/>
              <w:keepNext/>
              <w:rPr>
                <w:noProof/>
              </w:rPr>
            </w:pPr>
            <w:r w:rsidRPr="00BE42FC">
              <w:t>A Bizottság által javasolt szöveg</w:t>
            </w:r>
          </w:p>
        </w:tc>
        <w:tc>
          <w:tcPr>
            <w:tcW w:w="4876" w:type="dxa"/>
            <w:hideMark/>
          </w:tcPr>
          <w:p w:rsidR="008E13A6" w:rsidRPr="00BE42FC" w:rsidRDefault="008E13A6" w:rsidP="00B9664A">
            <w:pPr>
              <w:pStyle w:val="ColumnHeading"/>
              <w:keepNext/>
              <w:rPr>
                <w:noProof/>
              </w:rPr>
            </w:pPr>
            <w:r w:rsidRPr="00BE42FC">
              <w:t>Módosítás</w:t>
            </w:r>
          </w:p>
        </w:tc>
      </w:tr>
      <w:tr w:rsidR="008E13A6" w:rsidRPr="00D5060C" w:rsidTr="00B9664A">
        <w:trPr>
          <w:jc w:val="center"/>
        </w:trPr>
        <w:tc>
          <w:tcPr>
            <w:tcW w:w="4876" w:type="dxa"/>
            <w:hideMark/>
          </w:tcPr>
          <w:p w:rsidR="008E13A6" w:rsidRPr="00BE42FC" w:rsidRDefault="008E13A6" w:rsidP="00B9664A">
            <w:pPr>
              <w:pStyle w:val="Normal6"/>
              <w:rPr>
                <w:noProof/>
              </w:rPr>
            </w:pPr>
            <w:r w:rsidRPr="00BE42FC">
              <w:t>(19)</w:t>
            </w:r>
            <w:r w:rsidRPr="00BE42FC">
              <w:tab/>
              <w:t xml:space="preserve">E rendeletre alkalmazandók az Európai Parlament és a Tanács által az Európai Unió működéséről szóló szerződés 322. cikke alapján elfogadott horizontális pénzügyi szabályok. E szabályokat a költségvetési rendelet rögzíti, és azok meghatározzák különösen a költségvetés elkészítésére és annak vissza nem térítendő támogatások, közbeszerzés, pénzdíjak és közvetett végrehajtás révén történő végrehajtására vonatkozó eljárást, valamint rendelkeznek a pénzügyi szereplők felelősségére vonatkozó ellenőrzésekről. Az EUMSZ 322. cikke alapján elfogadott szabályok érintik emellett az uniós költségvetésnek a tagállamokban a jogállamiság tekintetében fennálló, </w:t>
            </w:r>
            <w:r w:rsidRPr="00BE42FC">
              <w:lastRenderedPageBreak/>
              <w:t>általánossá vált hiányosságok esetén történő védelmét, mivel a jogállamiság tiszteletben tartása elengedhetetlen előfeltétele a hatékony és eredményes pénzgazdálkodásnak és a hatékony uniós finanszírozásnak.</w:t>
            </w:r>
          </w:p>
        </w:tc>
        <w:tc>
          <w:tcPr>
            <w:tcW w:w="4876" w:type="dxa"/>
            <w:hideMark/>
          </w:tcPr>
          <w:p w:rsidR="008E13A6" w:rsidRPr="00BE42FC" w:rsidRDefault="008E13A6" w:rsidP="00B9664A">
            <w:pPr>
              <w:pStyle w:val="Normal6"/>
              <w:rPr>
                <w:noProof/>
                <w:szCs w:val="24"/>
              </w:rPr>
            </w:pPr>
            <w:r w:rsidRPr="00BE42FC">
              <w:lastRenderedPageBreak/>
              <w:t>(19)</w:t>
            </w:r>
            <w:r w:rsidRPr="00BE42FC">
              <w:tab/>
              <w:t xml:space="preserve">E rendeletre alkalmazandók az Európai Parlament és a Tanács által az Európai Unió működéséről szóló szerződés 322. cikke alapján elfogadott horizontális pénzügyi szabályok. E szabályokat a költségvetési rendelet rögzíti, és azok meghatározzák különösen a költségvetés elkészítésére és annak vissza nem térítendő támogatások, közbeszerzés, pénzdíjak és közvetett végrehajtás révén történő végrehajtására vonatkozó eljárást, valamint rendelkeznek a pénzügyi szereplők felelősségére vonatkozó ellenőrzésekről. Az EUMSZ 322. cikke alapján elfogadott szabályok érintik emellett az uniós költségvetésnek a tagállamokban a jogállamiság tekintetében fennálló, </w:t>
            </w:r>
            <w:r w:rsidRPr="00BE42FC">
              <w:lastRenderedPageBreak/>
              <w:t xml:space="preserve">általánossá vált hiányosságok esetén történő védelmét, mivel a jogállamiság tiszteletben tartása elengedhetetlen előfeltétele a hatékony és eredményes pénzgazdálkodásnak és a hatékony uniós finanszírozásnak. </w:t>
            </w:r>
            <w:r w:rsidRPr="00BE42FC">
              <w:rPr>
                <w:b/>
                <w:i/>
              </w:rPr>
              <w:t>A „Vám” program általános végrehajtásának, így az egészében vagy részben a költségvetés által finanszírozott közbeszerzési szerződéseknek tiszteletben kell tartaniuk az átláthatóság, az arányosság, az egyenlő bánásmód és a megkülönböztetésmentesség elvét.</w:t>
            </w:r>
          </w:p>
        </w:tc>
      </w:tr>
    </w:tbl>
    <w:p w:rsidR="008E13A6" w:rsidRPr="00D5060C" w:rsidRDefault="008E13A6" w:rsidP="002E06BF">
      <w:pPr>
        <w:rPr>
          <w:noProof/>
        </w:rPr>
      </w:pPr>
      <w:r>
        <w:rPr>
          <w:rStyle w:val="HideTWBExt"/>
        </w:rPr>
        <w:lastRenderedPageBreak/>
        <w:t>&lt;/Amend&gt;</w:t>
      </w:r>
    </w:p>
    <w:p w:rsidR="008E13A6" w:rsidRPr="00D5060C" w:rsidRDefault="008E13A6" w:rsidP="002E06BF">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4</w:t>
      </w:r>
      <w:r>
        <w:rPr>
          <w:rStyle w:val="HideTWBExt"/>
          <w:b w:val="0"/>
        </w:rPr>
        <w:t>&lt;/NumAm&gt;</w:t>
      </w:r>
    </w:p>
    <w:p w:rsidR="008E13A6" w:rsidRPr="00D5060C" w:rsidRDefault="008E13A6" w:rsidP="002E06BF">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D5060C" w:rsidRDefault="008E13A6" w:rsidP="002E06BF">
      <w:pPr>
        <w:pStyle w:val="NormalBold"/>
        <w:rPr>
          <w:noProof/>
        </w:rPr>
      </w:pPr>
      <w:r>
        <w:rPr>
          <w:rStyle w:val="HideTWBExt"/>
          <w:b w:val="0"/>
        </w:rPr>
        <w:t>&lt;Article&gt;</w:t>
      </w:r>
      <w:r w:rsidRPr="00BE42FC">
        <w:t>4 cikk – 1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5060C" w:rsidTr="00B9664A">
        <w:trPr>
          <w:jc w:val="center"/>
        </w:trPr>
        <w:tc>
          <w:tcPr>
            <w:tcW w:w="9752" w:type="dxa"/>
            <w:gridSpan w:val="2"/>
          </w:tcPr>
          <w:p w:rsidR="008E13A6" w:rsidRPr="00D5060C" w:rsidRDefault="008E13A6" w:rsidP="00B9664A">
            <w:pPr>
              <w:keepNext/>
              <w:rPr>
                <w:noProof/>
              </w:rPr>
            </w:pPr>
          </w:p>
        </w:tc>
      </w:tr>
      <w:tr w:rsidR="008E13A6" w:rsidRPr="00D5060C" w:rsidTr="00B9664A">
        <w:trPr>
          <w:jc w:val="center"/>
        </w:trPr>
        <w:tc>
          <w:tcPr>
            <w:tcW w:w="4876" w:type="dxa"/>
            <w:hideMark/>
          </w:tcPr>
          <w:p w:rsidR="008E13A6" w:rsidRPr="00BE42FC" w:rsidRDefault="008E13A6" w:rsidP="00B9664A">
            <w:pPr>
              <w:pStyle w:val="ColumnHeading"/>
              <w:keepNext/>
              <w:rPr>
                <w:noProof/>
              </w:rPr>
            </w:pPr>
            <w:r w:rsidRPr="00BE42FC">
              <w:t>A Bizottság által javasolt szöveg</w:t>
            </w:r>
          </w:p>
        </w:tc>
        <w:tc>
          <w:tcPr>
            <w:tcW w:w="4876" w:type="dxa"/>
            <w:hideMark/>
          </w:tcPr>
          <w:p w:rsidR="008E13A6" w:rsidRPr="00BE42FC" w:rsidRDefault="008E13A6" w:rsidP="00B9664A">
            <w:pPr>
              <w:pStyle w:val="ColumnHeading"/>
              <w:keepNext/>
              <w:rPr>
                <w:noProof/>
              </w:rPr>
            </w:pPr>
            <w:r w:rsidRPr="00BE42FC">
              <w:t>Módosítás</w:t>
            </w:r>
          </w:p>
        </w:tc>
      </w:tr>
      <w:tr w:rsidR="008E13A6" w:rsidRPr="00D5060C" w:rsidTr="00B9664A">
        <w:trPr>
          <w:jc w:val="center"/>
        </w:trPr>
        <w:tc>
          <w:tcPr>
            <w:tcW w:w="4876" w:type="dxa"/>
            <w:hideMark/>
          </w:tcPr>
          <w:p w:rsidR="008E13A6" w:rsidRPr="00BE42FC" w:rsidRDefault="008E13A6" w:rsidP="00B9664A">
            <w:pPr>
              <w:pStyle w:val="Normal6"/>
              <w:rPr>
                <w:noProof/>
              </w:rPr>
            </w:pPr>
            <w:r w:rsidRPr="00BE42FC">
              <w:t>(1)</w:t>
            </w:r>
            <w:r w:rsidRPr="00BE42FC">
              <w:tab/>
              <w:t>A programnak a 2021–2027 közötti időszakban történő végrehajtására szánt pénzügyi keretösszeg folyó áron 950 000 000 EUR.</w:t>
            </w:r>
          </w:p>
        </w:tc>
        <w:tc>
          <w:tcPr>
            <w:tcW w:w="4876" w:type="dxa"/>
            <w:hideMark/>
          </w:tcPr>
          <w:p w:rsidR="008E13A6" w:rsidRPr="00BE42FC" w:rsidRDefault="008E13A6" w:rsidP="00B9664A">
            <w:pPr>
              <w:pStyle w:val="Normal6"/>
              <w:rPr>
                <w:noProof/>
                <w:szCs w:val="24"/>
              </w:rPr>
            </w:pPr>
            <w:r w:rsidRPr="00BE42FC">
              <w:t>(1)</w:t>
            </w:r>
            <w:r w:rsidRPr="00BE42FC">
              <w:tab/>
              <w:t xml:space="preserve">A programnak a 2021–2027 közötti időszakban történő végrehajtására szánt pénzügyi keretösszeg </w:t>
            </w:r>
            <w:r w:rsidRPr="00BE42FC">
              <w:rPr>
                <w:b/>
                <w:i/>
              </w:rPr>
              <w:t>2018-as árakon 842 844 000 EUR (</w:t>
            </w:r>
            <w:r w:rsidRPr="00BE42FC">
              <w:t>folyó áron 950 000 000 EUR</w:t>
            </w:r>
            <w:r w:rsidRPr="00BE42FC">
              <w:rPr>
                <w:b/>
                <w:i/>
              </w:rPr>
              <w:t>)</w:t>
            </w:r>
            <w:r w:rsidRPr="00BE42FC">
              <w:t>.</w:t>
            </w:r>
          </w:p>
        </w:tc>
      </w:tr>
    </w:tbl>
    <w:p w:rsidR="008E13A6" w:rsidRPr="00D5060C" w:rsidRDefault="008E13A6" w:rsidP="002E06BF">
      <w:pPr>
        <w:rPr>
          <w:noProof/>
        </w:rPr>
      </w:pPr>
      <w:r>
        <w:rPr>
          <w:rStyle w:val="HideTWBExt"/>
        </w:rPr>
        <w:t>&lt;/Amend&gt;</w:t>
      </w:r>
    </w:p>
    <w:p w:rsidR="008E13A6" w:rsidRPr="00D5060C" w:rsidRDefault="008E13A6" w:rsidP="002E06BF">
      <w:pPr>
        <w:pStyle w:val="AMNumberTabs"/>
        <w:rPr>
          <w:noProof/>
        </w:rPr>
      </w:pPr>
      <w:r>
        <w:rPr>
          <w:rStyle w:val="HideTWBExt"/>
        </w:rPr>
        <w:t>&lt;Amend&gt;</w:t>
      </w:r>
      <w:r w:rsidRPr="00BE42FC">
        <w:t>Módosítás</w:t>
      </w:r>
      <w:r w:rsidRPr="00BE42FC">
        <w:tab/>
      </w:r>
      <w:r w:rsidRPr="00BE42FC">
        <w:tab/>
      </w:r>
      <w:r>
        <w:rPr>
          <w:rStyle w:val="HideTWBExt"/>
        </w:rPr>
        <w:t>&lt;NumAm&gt;</w:t>
      </w:r>
      <w:r w:rsidRPr="00BE42FC">
        <w:t>5</w:t>
      </w:r>
      <w:r>
        <w:rPr>
          <w:rStyle w:val="HideTWBExt"/>
        </w:rPr>
        <w:t>&lt;/NumAm&gt;</w:t>
      </w:r>
    </w:p>
    <w:p w:rsidR="008E13A6" w:rsidRPr="00D5060C" w:rsidRDefault="008E13A6" w:rsidP="002E06BF">
      <w:pPr>
        <w:pStyle w:val="NormalBold12b"/>
        <w:rPr>
          <w:noProof/>
        </w:rPr>
      </w:pPr>
      <w:r>
        <w:rPr>
          <w:rStyle w:val="HideTWBExt"/>
        </w:rPr>
        <w:t>&lt;DocAmend&gt;</w:t>
      </w:r>
      <w:r w:rsidRPr="00BE42FC">
        <w:t>Rendeletre irányuló javaslat</w:t>
      </w:r>
      <w:r>
        <w:rPr>
          <w:rStyle w:val="HideTWBExt"/>
        </w:rPr>
        <w:t>&lt;/DocAmend&gt;</w:t>
      </w:r>
    </w:p>
    <w:p w:rsidR="008E13A6" w:rsidRPr="00D5060C" w:rsidRDefault="008E13A6" w:rsidP="002E06BF">
      <w:pPr>
        <w:pStyle w:val="NormalBold"/>
        <w:rPr>
          <w:noProof/>
        </w:rPr>
      </w:pPr>
      <w:r>
        <w:rPr>
          <w:rStyle w:val="HideTWBExt"/>
        </w:rPr>
        <w:t>&lt;Article&gt;</w:t>
      </w:r>
      <w:r w:rsidRPr="00BE42FC">
        <w:t>8 cikk – 3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5060C" w:rsidTr="00B9664A">
        <w:trPr>
          <w:trHeight w:hRule="exact" w:val="240"/>
          <w:jc w:val="center"/>
        </w:trPr>
        <w:tc>
          <w:tcPr>
            <w:tcW w:w="9752" w:type="dxa"/>
            <w:gridSpan w:val="2"/>
          </w:tcPr>
          <w:p w:rsidR="008E13A6" w:rsidRPr="00D5060C" w:rsidRDefault="008E13A6" w:rsidP="00B9664A">
            <w:pPr>
              <w:rPr>
                <w:noProof/>
              </w:rPr>
            </w:pPr>
          </w:p>
        </w:tc>
      </w:tr>
      <w:tr w:rsidR="008E13A6" w:rsidRPr="00D5060C" w:rsidTr="00B9664A">
        <w:trPr>
          <w:trHeight w:val="240"/>
          <w:jc w:val="center"/>
        </w:trPr>
        <w:tc>
          <w:tcPr>
            <w:tcW w:w="4876" w:type="dxa"/>
          </w:tcPr>
          <w:p w:rsidR="008E13A6" w:rsidRPr="00BE42FC" w:rsidRDefault="008E13A6" w:rsidP="00B9664A">
            <w:pPr>
              <w:pStyle w:val="ColumnHeading"/>
              <w:rPr>
                <w:noProof/>
              </w:rPr>
            </w:pPr>
            <w:r w:rsidRPr="00BE42FC">
              <w:t>A Bizottság által javasolt szöveg</w:t>
            </w:r>
          </w:p>
        </w:tc>
        <w:tc>
          <w:tcPr>
            <w:tcW w:w="4876" w:type="dxa"/>
          </w:tcPr>
          <w:p w:rsidR="008E13A6" w:rsidRPr="00BE42FC" w:rsidRDefault="008E13A6" w:rsidP="00B9664A">
            <w:pPr>
              <w:pStyle w:val="ColumnHeading"/>
              <w:rPr>
                <w:noProof/>
              </w:rPr>
            </w:pPr>
            <w:r w:rsidRPr="00BE42FC">
              <w:t>Módosítás</w:t>
            </w:r>
          </w:p>
        </w:tc>
      </w:tr>
      <w:tr w:rsidR="008E13A6" w:rsidRPr="00D5060C" w:rsidTr="00B9664A">
        <w:trPr>
          <w:jc w:val="center"/>
        </w:trPr>
        <w:tc>
          <w:tcPr>
            <w:tcW w:w="4876" w:type="dxa"/>
          </w:tcPr>
          <w:p w:rsidR="008E13A6" w:rsidRPr="00BE42FC" w:rsidRDefault="008E13A6" w:rsidP="00B9664A">
            <w:pPr>
              <w:pStyle w:val="Normal6"/>
              <w:rPr>
                <w:noProof/>
              </w:rPr>
            </w:pPr>
            <w:r w:rsidRPr="00BE42FC">
              <w:t>(3)</w:t>
            </w:r>
            <w:r w:rsidRPr="00BE42FC">
              <w:tab/>
              <w:t>A külső szakértőket a Bizottság az adott intézkedés szempontjából releváns készségeik, tapasztalataik és ismereteik alapján választja ki, elkerülve az esetleges összeférhetetlenséget.</w:t>
            </w:r>
          </w:p>
        </w:tc>
        <w:tc>
          <w:tcPr>
            <w:tcW w:w="4876" w:type="dxa"/>
          </w:tcPr>
          <w:p w:rsidR="008E13A6" w:rsidRPr="00BE42FC" w:rsidRDefault="008E13A6" w:rsidP="00B9664A">
            <w:pPr>
              <w:pStyle w:val="Normal6"/>
              <w:rPr>
                <w:noProof/>
              </w:rPr>
            </w:pPr>
            <w:r w:rsidRPr="00BE42FC">
              <w:t>(3)</w:t>
            </w:r>
            <w:r w:rsidRPr="00BE42FC">
              <w:tab/>
              <w:t>A külső szakértőket a Bizottság az adott intézkedés szempontjából releváns készségeik, tapasztalataik és ismereteik alapján választja ki, elkerülve az esetleges összeférhetetlenséget</w:t>
            </w:r>
            <w:r w:rsidRPr="00BE42FC">
              <w:rPr>
                <w:b/>
                <w:i/>
              </w:rPr>
              <w:t xml:space="preserve"> és egyensúlyt teremtve az üzleti élet képviselői és az egyéb civil társadalmi szakértők között.</w:t>
            </w:r>
            <w:r w:rsidRPr="00BE42FC">
              <w:t xml:space="preserve"> </w:t>
            </w:r>
            <w:r w:rsidRPr="00BE42FC">
              <w:rPr>
                <w:b/>
                <w:i/>
              </w:rPr>
              <w:t xml:space="preserve">A kiválasztási eljárás során figyelembe kell venni a nemek közötti egyensúlyt a külső szakértők körében, a nemek közötti egyenlőség elvének megfelelően. A külső szakértők jegyzékét rendszeresen frissíteni </w:t>
            </w:r>
            <w:r w:rsidRPr="00BE42FC">
              <w:rPr>
                <w:b/>
                <w:i/>
              </w:rPr>
              <w:lastRenderedPageBreak/>
              <w:t>kell és közzé kell tenni.</w:t>
            </w:r>
          </w:p>
        </w:tc>
      </w:tr>
    </w:tbl>
    <w:p w:rsidR="008E13A6" w:rsidRPr="00D5060C" w:rsidRDefault="008E13A6" w:rsidP="002E06BF">
      <w:pPr>
        <w:rPr>
          <w:noProof/>
        </w:rPr>
      </w:pPr>
      <w:r>
        <w:rPr>
          <w:rStyle w:val="HideTWBExt"/>
        </w:rPr>
        <w:lastRenderedPageBreak/>
        <w:t>&lt;/Amend&gt;</w:t>
      </w:r>
    </w:p>
    <w:p w:rsidR="008E13A6" w:rsidRPr="00D5060C" w:rsidRDefault="008E13A6" w:rsidP="002E06BF">
      <w:pPr>
        <w:pStyle w:val="AMNumberTabs"/>
        <w:rPr>
          <w:noProof/>
        </w:rPr>
      </w:pPr>
      <w:r>
        <w:rPr>
          <w:rStyle w:val="HideTWBExt"/>
        </w:rPr>
        <w:t>&lt;Amend&gt;</w:t>
      </w:r>
      <w:r w:rsidRPr="00BE42FC">
        <w:t>Módosítás</w:t>
      </w:r>
      <w:r w:rsidRPr="00BE42FC">
        <w:tab/>
      </w:r>
      <w:r w:rsidRPr="00BE42FC">
        <w:tab/>
      </w:r>
      <w:r>
        <w:rPr>
          <w:rStyle w:val="HideTWBExt"/>
        </w:rPr>
        <w:t>&lt;NumAm&gt;</w:t>
      </w:r>
      <w:r w:rsidRPr="00BE42FC">
        <w:t>6</w:t>
      </w:r>
      <w:r>
        <w:rPr>
          <w:rStyle w:val="HideTWBExt"/>
        </w:rPr>
        <w:t>&lt;/NumAm&gt;</w:t>
      </w:r>
    </w:p>
    <w:p w:rsidR="008E13A6" w:rsidRPr="00D5060C" w:rsidRDefault="008E13A6" w:rsidP="002E06BF">
      <w:pPr>
        <w:pStyle w:val="NormalBold12b"/>
        <w:rPr>
          <w:noProof/>
        </w:rPr>
      </w:pPr>
      <w:r>
        <w:rPr>
          <w:rStyle w:val="HideTWBExt"/>
        </w:rPr>
        <w:t>&lt;DocAmend&gt;</w:t>
      </w:r>
      <w:r w:rsidRPr="00BE42FC">
        <w:t>Rendeletre irányuló javaslat</w:t>
      </w:r>
      <w:r>
        <w:rPr>
          <w:rStyle w:val="HideTWBExt"/>
        </w:rPr>
        <w:t>&lt;/DocAmend&gt;</w:t>
      </w:r>
    </w:p>
    <w:p w:rsidR="008E13A6" w:rsidRPr="00D5060C" w:rsidRDefault="008E13A6" w:rsidP="002E06BF">
      <w:pPr>
        <w:pStyle w:val="NormalBold"/>
        <w:rPr>
          <w:noProof/>
        </w:rPr>
      </w:pPr>
      <w:r>
        <w:rPr>
          <w:rStyle w:val="HideTWBExt"/>
        </w:rPr>
        <w:t>&lt;Article&gt;</w:t>
      </w:r>
      <w:r w:rsidRPr="00BE42FC">
        <w:t>19 cikk – 2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D5060C" w:rsidTr="00B9664A">
        <w:trPr>
          <w:trHeight w:hRule="exact" w:val="240"/>
          <w:jc w:val="center"/>
        </w:trPr>
        <w:tc>
          <w:tcPr>
            <w:tcW w:w="9752" w:type="dxa"/>
            <w:gridSpan w:val="2"/>
          </w:tcPr>
          <w:p w:rsidR="008E13A6" w:rsidRPr="00D5060C" w:rsidRDefault="008E13A6" w:rsidP="00B9664A">
            <w:pPr>
              <w:rPr>
                <w:noProof/>
              </w:rPr>
            </w:pPr>
          </w:p>
        </w:tc>
      </w:tr>
      <w:tr w:rsidR="008E13A6" w:rsidRPr="00D5060C" w:rsidTr="00B9664A">
        <w:trPr>
          <w:trHeight w:val="240"/>
          <w:jc w:val="center"/>
        </w:trPr>
        <w:tc>
          <w:tcPr>
            <w:tcW w:w="4876" w:type="dxa"/>
          </w:tcPr>
          <w:p w:rsidR="008E13A6" w:rsidRPr="00BE42FC" w:rsidRDefault="008E13A6" w:rsidP="00B9664A">
            <w:pPr>
              <w:pStyle w:val="ColumnHeading"/>
              <w:rPr>
                <w:noProof/>
              </w:rPr>
            </w:pPr>
            <w:r w:rsidRPr="00BE42FC">
              <w:t>A Bizottság által javasolt szöveg</w:t>
            </w:r>
          </w:p>
        </w:tc>
        <w:tc>
          <w:tcPr>
            <w:tcW w:w="4876" w:type="dxa"/>
          </w:tcPr>
          <w:p w:rsidR="008E13A6" w:rsidRPr="00BE42FC" w:rsidRDefault="008E13A6" w:rsidP="00B9664A">
            <w:pPr>
              <w:pStyle w:val="ColumnHeading"/>
              <w:rPr>
                <w:noProof/>
              </w:rPr>
            </w:pPr>
            <w:r w:rsidRPr="00BE42FC">
              <w:t>Módosítás</w:t>
            </w:r>
          </w:p>
        </w:tc>
      </w:tr>
      <w:tr w:rsidR="008E13A6" w:rsidRPr="00D5060C" w:rsidTr="00B9664A">
        <w:trPr>
          <w:jc w:val="center"/>
        </w:trPr>
        <w:tc>
          <w:tcPr>
            <w:tcW w:w="4876" w:type="dxa"/>
          </w:tcPr>
          <w:p w:rsidR="008E13A6" w:rsidRPr="00BE42FC" w:rsidRDefault="008E13A6" w:rsidP="00B9664A">
            <w:pPr>
              <w:pStyle w:val="Normal6"/>
              <w:rPr>
                <w:noProof/>
              </w:rPr>
            </w:pPr>
            <w:r w:rsidRPr="00BE42FC">
              <w:t>(2)</w:t>
            </w:r>
            <w:r w:rsidRPr="00BE42FC">
              <w:tab/>
              <w:t xml:space="preserve">A Bizottság tájékoztatási és kommunikációs tevékenységeket végez a programhoz, valamint annak intézkedéseihez és eredményeihez kapcsolódóan. A programhoz allokált pénzügyi forrásokat ezenfelül az Unió azon politikai prioritásaira vonatkozó </w:t>
            </w:r>
            <w:r w:rsidRPr="00BE42FC">
              <w:rPr>
                <w:b/>
                <w:i/>
              </w:rPr>
              <w:t xml:space="preserve">intézményi </w:t>
            </w:r>
            <w:r w:rsidRPr="00BE42FC">
              <w:t>kommunikáció költségeinek fedezésére is kell fordítani, amelyek kapcsolódnak a 3. cikkben említett célkitűzésekhez.</w:t>
            </w:r>
          </w:p>
        </w:tc>
        <w:tc>
          <w:tcPr>
            <w:tcW w:w="4876" w:type="dxa"/>
          </w:tcPr>
          <w:p w:rsidR="008E13A6" w:rsidRPr="00BE42FC" w:rsidRDefault="008E13A6" w:rsidP="00B9664A">
            <w:pPr>
              <w:pStyle w:val="Normal6"/>
              <w:rPr>
                <w:noProof/>
              </w:rPr>
            </w:pPr>
            <w:r w:rsidRPr="00BE42FC">
              <w:t>(2)</w:t>
            </w:r>
            <w:r w:rsidRPr="00BE42FC">
              <w:tab/>
              <w:t>A Bizottság tájékoztatási és kommunikációs tevékenységeket végez a programhoz, valamint annak intézkedéseihez és eredményeihez kapcsolódóan. A programhoz allokált pénzügyi forrásokat ezenfelül az Unió azon politikai prioritásaira vonatkozó kommunikáció költségeinek fedezésére is kell fordítani, amelyek kapcsolódnak a 3. cikkben említett célkitűzésekhez.</w:t>
            </w:r>
          </w:p>
        </w:tc>
      </w:tr>
    </w:tbl>
    <w:p w:rsidR="008E13A6" w:rsidRPr="00D5060C" w:rsidRDefault="008E13A6" w:rsidP="002E06BF">
      <w:pPr>
        <w:rPr>
          <w:noProof/>
        </w:rPr>
      </w:pPr>
      <w:r>
        <w:rPr>
          <w:rStyle w:val="HideTWBExt"/>
        </w:rPr>
        <w:t>&lt;/Amend&gt;</w:t>
      </w:r>
    </w:p>
    <w:p w:rsidR="008E13A6" w:rsidRPr="00D5060C" w:rsidRDefault="008E13A6" w:rsidP="002E06BF">
      <w:pPr>
        <w:rPr>
          <w:noProof/>
        </w:rPr>
      </w:pPr>
      <w:r>
        <w:rPr>
          <w:rStyle w:val="HideTWBExt"/>
        </w:rPr>
        <w:t>&lt;/RepeatBlock-Amend&gt;</w:t>
      </w:r>
    </w:p>
    <w:p w:rsidR="008E13A6" w:rsidRPr="008E13A6" w:rsidRDefault="008E13A6" w:rsidP="002E06BF">
      <w:pPr>
        <w:pStyle w:val="PageHeadingNotTOC"/>
        <w:rPr>
          <w:noProof/>
        </w:rPr>
      </w:pPr>
      <w:r>
        <w:br w:type="page"/>
      </w:r>
      <w:r>
        <w:lastRenderedPageBreak/>
        <w:t>ELJÁRÁS A VÉLEMÉNYNYILVÁNÍTÁSRA</w:t>
      </w:r>
      <w:r>
        <w:br/>
        <w:t>FELKÉRT BIZOTTSÁGBAN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A vámügyi együttműködést szolgáló „Vám” program létrehozása</w:t>
            </w:r>
          </w:p>
        </w:tc>
      </w:tr>
      <w:tr w:rsidR="008E13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COM(2018)0442 – C8-0261/2018 – 2018/0232(COD)</w:t>
            </w: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Illetékes bizottság</w:t>
            </w:r>
          </w:p>
          <w:p w:rsidR="008E13A6" w:rsidRDefault="008E13A6">
            <w:pPr>
              <w:autoSpaceDE w:val="0"/>
              <w:autoSpaceDN w:val="0"/>
              <w:adjustRightInd w:val="0"/>
              <w:rPr>
                <w:noProof/>
                <w:color w:val="000000"/>
                <w:sz w:val="20"/>
              </w:rPr>
            </w:pPr>
            <w:r>
              <w:rPr>
                <w:color w:val="000000"/>
                <w:sz w:val="20"/>
              </w:rPr>
              <w:t>       A plenáris ülésen való bejelentés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IMCO</w:t>
            </w:r>
          </w:p>
          <w:p w:rsidR="008E13A6" w:rsidRDefault="008E13A6">
            <w:pPr>
              <w:autoSpaceDE w:val="0"/>
              <w:autoSpaceDN w:val="0"/>
              <w:adjustRightInd w:val="0"/>
              <w:rPr>
                <w:noProof/>
                <w:color w:val="000000"/>
                <w:sz w:val="20"/>
              </w:rPr>
            </w:pPr>
            <w:r>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Véleményt nyilvánított</w:t>
            </w:r>
          </w:p>
          <w:p w:rsidR="008E13A6" w:rsidRDefault="008E13A6">
            <w:pPr>
              <w:autoSpaceDE w:val="0"/>
              <w:autoSpaceDN w:val="0"/>
              <w:adjustRightInd w:val="0"/>
              <w:rPr>
                <w:noProof/>
                <w:color w:val="000000"/>
                <w:sz w:val="20"/>
              </w:rPr>
            </w:pPr>
            <w:r>
              <w:rPr>
                <w:color w:val="000000"/>
                <w:sz w:val="20"/>
              </w:rPr>
              <w:t>       A plenáris ülésen való bejelentés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BUDG</w:t>
            </w:r>
          </w:p>
          <w:p w:rsidR="008E13A6" w:rsidRDefault="008E13A6">
            <w:pPr>
              <w:autoSpaceDE w:val="0"/>
              <w:autoSpaceDN w:val="0"/>
              <w:adjustRightInd w:val="0"/>
              <w:rPr>
                <w:noProof/>
                <w:color w:val="000000"/>
                <w:sz w:val="20"/>
              </w:rPr>
            </w:pPr>
            <w:r>
              <w:rPr>
                <w:color w:val="000000"/>
                <w:sz w:val="20"/>
              </w:rPr>
              <w:t>14.6.2018</w:t>
            </w: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vélemény előadója</w:t>
            </w:r>
          </w:p>
          <w:p w:rsidR="008E13A6" w:rsidRDefault="008E13A6">
            <w:pPr>
              <w:autoSpaceDE w:val="0"/>
              <w:autoSpaceDN w:val="0"/>
              <w:adjustRightInd w:val="0"/>
              <w:rPr>
                <w:noProof/>
                <w:color w:val="000000"/>
                <w:sz w:val="20"/>
              </w:rPr>
            </w:pPr>
            <w:r>
              <w:rPr>
                <w:color w:val="000000"/>
                <w:sz w:val="20"/>
              </w:rPr>
              <w:t>       A kijelölés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Ivan Štefanec</w:t>
            </w:r>
          </w:p>
          <w:p w:rsidR="008E13A6" w:rsidRDefault="008E13A6">
            <w:pPr>
              <w:autoSpaceDE w:val="0"/>
              <w:autoSpaceDN w:val="0"/>
              <w:adjustRightInd w:val="0"/>
              <w:rPr>
                <w:noProof/>
                <w:color w:val="000000"/>
                <w:sz w:val="20"/>
              </w:rPr>
            </w:pPr>
            <w:r>
              <w:rPr>
                <w:color w:val="000000"/>
                <w:sz w:val="20"/>
              </w:rPr>
              <w:t>11.7.2018</w:t>
            </w: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Vizsgálat a bizottságban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24.9.2018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r>
      <w:tr w:rsidR="008E13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Az elfogadás dátuma</w:t>
            </w:r>
          </w:p>
        </w:tc>
        <w:tc>
          <w:tcPr>
            <w:tcW w:w="1530" w:type="dxa"/>
            <w:tcBorders>
              <w:top w:val="nil"/>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w:t>
            </w:r>
          </w:p>
          <w:p w:rsidR="008E13A6" w:rsidRDefault="008E13A6">
            <w:pPr>
              <w:autoSpaceDE w:val="0"/>
              <w:autoSpaceDN w:val="0"/>
              <w:adjustRightInd w:val="0"/>
              <w:rPr>
                <w:noProof/>
                <w:color w:val="000000"/>
                <w:sz w:val="20"/>
              </w:rPr>
            </w:pPr>
            <w:r>
              <w:rPr>
                <w:color w:val="000000"/>
                <w:sz w:val="20"/>
              </w:rPr>
              <w:t>–:</w:t>
            </w:r>
          </w:p>
          <w:p w:rsidR="008E13A6" w:rsidRDefault="008E13A6">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26</w:t>
            </w:r>
          </w:p>
          <w:p w:rsidR="008E13A6" w:rsidRDefault="008E13A6">
            <w:pPr>
              <w:autoSpaceDE w:val="0"/>
              <w:autoSpaceDN w:val="0"/>
              <w:adjustRightInd w:val="0"/>
              <w:rPr>
                <w:noProof/>
                <w:color w:val="000000"/>
                <w:sz w:val="20"/>
              </w:rPr>
            </w:pPr>
            <w:r>
              <w:rPr>
                <w:color w:val="000000"/>
                <w:sz w:val="20"/>
              </w:rPr>
              <w:t>2</w:t>
            </w:r>
          </w:p>
          <w:p w:rsidR="008E13A6" w:rsidRDefault="008E13A6">
            <w:pPr>
              <w:autoSpaceDE w:val="0"/>
              <w:autoSpaceDN w:val="0"/>
              <w:adjustRightInd w:val="0"/>
              <w:rPr>
                <w:noProof/>
                <w:color w:val="000000"/>
                <w:sz w:val="20"/>
              </w:rPr>
            </w:pPr>
            <w:r>
              <w:rPr>
                <w:color w:val="000000"/>
                <w:sz w:val="20"/>
              </w:rPr>
              <w:t>2</w:t>
            </w: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Jean Arthuis, Reimer Böge, Lefteris Christoforou, Gérard Deprez, André Elissen, José Manuel Fernandes, Eider Gardiazabal Rubial, Ingeborg Gräßle, Monika Hohlmeier, John Howarth, Bernd Kölmel, Zbigniew Kuźmiuk, Vladimír Maňka, Jan Olbrycht, Paul Rübig, Eleftherios Synadinos, Indrek Tarand, Isabelle Thomas, Inese Vaidere, Daniele Viotti, Tiemo Wölken, Marco Zanni</w:t>
            </w:r>
          </w:p>
        </w:tc>
      </w:tr>
      <w:tr w:rsidR="008E13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Karine Gloanec Maurin, Alain Lamassoure, Janusz Lewandowski, Ivana Maletić, Andrey Novakov, Marco Valli</w:t>
            </w:r>
          </w:p>
        </w:tc>
      </w:tr>
      <w:tr w:rsidR="008E13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Michael Detjen, Stefan Gehrold</w:t>
            </w:r>
          </w:p>
        </w:tc>
      </w:tr>
    </w:tbl>
    <w:p w:rsidR="008E13A6" w:rsidRPr="002E06BF" w:rsidRDefault="008E13A6" w:rsidP="002E06BF">
      <w:pPr>
        <w:rPr>
          <w:noProof/>
        </w:rPr>
      </w:pPr>
    </w:p>
    <w:p w:rsidR="008E13A6" w:rsidRPr="008E13A6" w:rsidRDefault="008E13A6" w:rsidP="00C2406B">
      <w:pPr>
        <w:pStyle w:val="PageHeadingNotTOC"/>
        <w:rPr>
          <w:noProof/>
        </w:rPr>
      </w:pPr>
      <w:r>
        <w:br w:type="page"/>
      </w:r>
      <w:r>
        <w:lastRenderedPageBreak/>
        <w:t>A VÉLEMÉNYNYILVÁNÍTÁSRA FELKÉRT BIZOTTSÁG</w:t>
      </w:r>
      <w:r>
        <w:br/>
        <w:t>NÉV SZERINTI ZÁRÓSZAVAZÁSA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D5060C" w:rsidTr="00B9664A">
        <w:trPr>
          <w:cantSplit/>
        </w:trPr>
        <w:tc>
          <w:tcPr>
            <w:tcW w:w="1701" w:type="dxa"/>
            <w:shd w:val="pct10" w:color="000000" w:fill="FFFFFF"/>
            <w:vAlign w:val="center"/>
          </w:tcPr>
          <w:p w:rsidR="008E13A6" w:rsidRPr="00D5060C" w:rsidRDefault="008E13A6" w:rsidP="00B9664A">
            <w:pPr>
              <w:spacing w:before="120" w:after="120"/>
              <w:jc w:val="center"/>
              <w:rPr>
                <w:b/>
                <w:noProof/>
                <w:sz w:val="20"/>
              </w:rPr>
            </w:pPr>
            <w:r>
              <w:rPr>
                <w:b/>
                <w:sz w:val="20"/>
              </w:rPr>
              <w:t>26</w:t>
            </w:r>
          </w:p>
        </w:tc>
        <w:tc>
          <w:tcPr>
            <w:tcW w:w="7371" w:type="dxa"/>
            <w:shd w:val="pct10" w:color="000000" w:fill="FFFFFF"/>
          </w:tcPr>
          <w:p w:rsidR="008E13A6" w:rsidRPr="00D5060C" w:rsidRDefault="008E13A6" w:rsidP="00B9664A">
            <w:pPr>
              <w:spacing w:before="120" w:after="120"/>
              <w:jc w:val="center"/>
              <w:rPr>
                <w:rFonts w:ascii="Arial" w:hAnsi="Arial" w:cs="Arial"/>
                <w:b/>
                <w:noProof/>
                <w:sz w:val="28"/>
                <w:szCs w:val="28"/>
              </w:rPr>
            </w:pPr>
            <w:r>
              <w:rPr>
                <w:rFonts w:ascii="Arial" w:hAnsi="Arial"/>
                <w:b/>
                <w:sz w:val="28"/>
                <w:szCs w:val="28"/>
              </w:rPr>
              <w:t>+</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ALDE</w:t>
            </w:r>
          </w:p>
        </w:tc>
        <w:tc>
          <w:tcPr>
            <w:tcW w:w="7371" w:type="dxa"/>
            <w:shd w:val="clear" w:color="auto" w:fill="FFFFFF"/>
          </w:tcPr>
          <w:p w:rsidR="008E13A6" w:rsidRPr="00D5060C" w:rsidRDefault="008E13A6" w:rsidP="00B9664A">
            <w:pPr>
              <w:spacing w:before="120" w:after="120"/>
              <w:rPr>
                <w:noProof/>
                <w:sz w:val="20"/>
              </w:rPr>
            </w:pPr>
            <w:r>
              <w:rPr>
                <w:sz w:val="20"/>
              </w:rPr>
              <w:t>Jean Arthuis, Gérard Deprez</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ECR</w:t>
            </w:r>
          </w:p>
        </w:tc>
        <w:tc>
          <w:tcPr>
            <w:tcW w:w="7371" w:type="dxa"/>
            <w:shd w:val="clear" w:color="auto" w:fill="FFFFFF"/>
          </w:tcPr>
          <w:p w:rsidR="008E13A6" w:rsidRPr="00D5060C" w:rsidRDefault="008E13A6" w:rsidP="00B9664A">
            <w:pPr>
              <w:spacing w:before="120" w:after="120"/>
              <w:rPr>
                <w:noProof/>
                <w:sz w:val="20"/>
              </w:rPr>
            </w:pPr>
            <w:r>
              <w:rPr>
                <w:sz w:val="20"/>
              </w:rPr>
              <w:t>Bernd Kölmel, Zbigniew Kuźmiuk</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PPE</w:t>
            </w:r>
          </w:p>
        </w:tc>
        <w:tc>
          <w:tcPr>
            <w:tcW w:w="7371" w:type="dxa"/>
            <w:shd w:val="clear" w:color="auto" w:fill="FFFFFF"/>
          </w:tcPr>
          <w:p w:rsidR="008E13A6" w:rsidRPr="00D5060C" w:rsidRDefault="008E13A6" w:rsidP="00B9664A">
            <w:pPr>
              <w:spacing w:before="120" w:after="120"/>
              <w:rPr>
                <w:noProof/>
                <w:sz w:val="20"/>
              </w:rPr>
            </w:pPr>
            <w:r>
              <w:rPr>
                <w:sz w:val="20"/>
              </w:rPr>
              <w:t>Reimer Böge, Lefteris Christoforou, José Manuel Fernandes, Stefan Gehrold, Ingeborg Gräßle, Monika Hohlmeier, Alain Lamassoure, Janusz Lewandowski, Ivana Maletić, Andrey Novakov, Jan Olbrycht, Paul Rübig, Inese Vaidere</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S&amp;D</w:t>
            </w:r>
          </w:p>
        </w:tc>
        <w:tc>
          <w:tcPr>
            <w:tcW w:w="7371" w:type="dxa"/>
            <w:shd w:val="clear" w:color="auto" w:fill="FFFFFF"/>
          </w:tcPr>
          <w:p w:rsidR="008E13A6" w:rsidRPr="00D5060C" w:rsidRDefault="008E13A6" w:rsidP="00B9664A">
            <w:pPr>
              <w:spacing w:before="120" w:after="120"/>
              <w:rPr>
                <w:noProof/>
                <w:sz w:val="20"/>
              </w:rPr>
            </w:pPr>
            <w:r>
              <w:rPr>
                <w:sz w:val="20"/>
              </w:rPr>
              <w:t>Michael Detjen, Eider Gardiazabal Rubial, Karine Gloanec Maurin, John Howarth, Vladimír Maňka, Isabelle Thomas, Daniele Viotti, Tiemo Wölken</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VERTS/ALE</w:t>
            </w:r>
          </w:p>
        </w:tc>
        <w:tc>
          <w:tcPr>
            <w:tcW w:w="7371" w:type="dxa"/>
            <w:shd w:val="clear" w:color="auto" w:fill="FFFFFF"/>
          </w:tcPr>
          <w:p w:rsidR="008E13A6" w:rsidRPr="00D5060C" w:rsidRDefault="008E13A6" w:rsidP="00B9664A">
            <w:pPr>
              <w:spacing w:before="120" w:after="120"/>
              <w:rPr>
                <w:noProof/>
                <w:sz w:val="20"/>
              </w:rPr>
            </w:pPr>
            <w:r>
              <w:rPr>
                <w:sz w:val="20"/>
              </w:rPr>
              <w:t>Indrek Tarand</w:t>
            </w:r>
          </w:p>
        </w:tc>
      </w:tr>
    </w:tbl>
    <w:p w:rsidR="008E13A6" w:rsidRDefault="008E13A6" w:rsidP="00147FB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D5060C" w:rsidTr="00B9664A">
        <w:trPr>
          <w:cantSplit/>
        </w:trPr>
        <w:tc>
          <w:tcPr>
            <w:tcW w:w="1701" w:type="dxa"/>
            <w:shd w:val="pct10" w:color="000000" w:fill="FFFFFF"/>
            <w:vAlign w:val="center"/>
          </w:tcPr>
          <w:p w:rsidR="008E13A6" w:rsidRPr="00D5060C" w:rsidRDefault="008E13A6" w:rsidP="00B9664A">
            <w:pPr>
              <w:spacing w:before="120" w:after="120"/>
              <w:jc w:val="center"/>
              <w:rPr>
                <w:b/>
                <w:noProof/>
                <w:sz w:val="16"/>
              </w:rPr>
            </w:pPr>
            <w:r>
              <w:rPr>
                <w:b/>
                <w:sz w:val="20"/>
              </w:rPr>
              <w:t>2</w:t>
            </w:r>
          </w:p>
        </w:tc>
        <w:tc>
          <w:tcPr>
            <w:tcW w:w="7371" w:type="dxa"/>
            <w:shd w:val="pct10" w:color="000000" w:fill="FFFFFF"/>
          </w:tcPr>
          <w:p w:rsidR="008E13A6" w:rsidRPr="00D5060C" w:rsidRDefault="008E13A6" w:rsidP="00B9664A">
            <w:pPr>
              <w:spacing w:before="120" w:after="120"/>
              <w:jc w:val="center"/>
              <w:rPr>
                <w:noProof/>
                <w:sz w:val="28"/>
                <w:szCs w:val="28"/>
              </w:rPr>
            </w:pPr>
            <w:r>
              <w:rPr>
                <w:rFonts w:ascii="Arial" w:hAnsi="Arial"/>
                <w:b/>
                <w:sz w:val="28"/>
                <w:szCs w:val="28"/>
              </w:rPr>
              <w:t>-</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ENF</w:t>
            </w:r>
          </w:p>
        </w:tc>
        <w:tc>
          <w:tcPr>
            <w:tcW w:w="7371" w:type="dxa"/>
            <w:shd w:val="clear" w:color="auto" w:fill="FFFFFF"/>
          </w:tcPr>
          <w:p w:rsidR="008E13A6" w:rsidRPr="00D5060C" w:rsidRDefault="008E13A6" w:rsidP="00B9664A">
            <w:pPr>
              <w:spacing w:before="120" w:after="120"/>
              <w:rPr>
                <w:noProof/>
                <w:sz w:val="20"/>
              </w:rPr>
            </w:pPr>
            <w:r>
              <w:rPr>
                <w:sz w:val="20"/>
              </w:rPr>
              <w:t>André Elissen</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NI</w:t>
            </w:r>
          </w:p>
        </w:tc>
        <w:tc>
          <w:tcPr>
            <w:tcW w:w="7371" w:type="dxa"/>
            <w:shd w:val="clear" w:color="auto" w:fill="FFFFFF"/>
          </w:tcPr>
          <w:p w:rsidR="008E13A6" w:rsidRPr="00D5060C" w:rsidRDefault="008E13A6" w:rsidP="00B9664A">
            <w:pPr>
              <w:spacing w:before="120" w:after="120"/>
              <w:rPr>
                <w:noProof/>
                <w:sz w:val="20"/>
              </w:rPr>
            </w:pPr>
            <w:r>
              <w:rPr>
                <w:sz w:val="20"/>
              </w:rPr>
              <w:t>Eleftherios Synadinos</w:t>
            </w:r>
          </w:p>
        </w:tc>
      </w:tr>
    </w:tbl>
    <w:p w:rsidR="008E13A6" w:rsidRDefault="008E13A6" w:rsidP="00147FB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D5060C" w:rsidTr="00B9664A">
        <w:trPr>
          <w:cantSplit/>
        </w:trPr>
        <w:tc>
          <w:tcPr>
            <w:tcW w:w="1701" w:type="dxa"/>
            <w:shd w:val="pct10" w:color="000000" w:fill="FFFFFF"/>
            <w:vAlign w:val="center"/>
          </w:tcPr>
          <w:p w:rsidR="008E13A6" w:rsidRPr="00D5060C" w:rsidRDefault="008E13A6" w:rsidP="00B9664A">
            <w:pPr>
              <w:spacing w:before="120" w:after="120"/>
              <w:jc w:val="center"/>
              <w:rPr>
                <w:b/>
                <w:noProof/>
                <w:sz w:val="16"/>
              </w:rPr>
            </w:pPr>
            <w:r>
              <w:rPr>
                <w:b/>
                <w:sz w:val="20"/>
              </w:rPr>
              <w:t>2</w:t>
            </w:r>
          </w:p>
        </w:tc>
        <w:tc>
          <w:tcPr>
            <w:tcW w:w="7371" w:type="dxa"/>
            <w:shd w:val="pct10" w:color="000000" w:fill="FFFFFF"/>
          </w:tcPr>
          <w:p w:rsidR="008E13A6" w:rsidRPr="00D5060C" w:rsidRDefault="008E13A6" w:rsidP="00B9664A">
            <w:pPr>
              <w:spacing w:before="120" w:after="120"/>
              <w:jc w:val="center"/>
              <w:rPr>
                <w:noProof/>
                <w:sz w:val="28"/>
                <w:szCs w:val="28"/>
              </w:rPr>
            </w:pPr>
            <w:r>
              <w:rPr>
                <w:rFonts w:ascii="Arial" w:hAnsi="Arial"/>
                <w:b/>
                <w:sz w:val="28"/>
                <w:szCs w:val="28"/>
              </w:rPr>
              <w:t>0</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EFDD</w:t>
            </w:r>
          </w:p>
        </w:tc>
        <w:tc>
          <w:tcPr>
            <w:tcW w:w="7371" w:type="dxa"/>
            <w:shd w:val="clear" w:color="auto" w:fill="FFFFFF"/>
          </w:tcPr>
          <w:p w:rsidR="008E13A6" w:rsidRPr="00D5060C" w:rsidRDefault="008E13A6" w:rsidP="00B9664A">
            <w:pPr>
              <w:spacing w:before="120" w:after="120"/>
              <w:rPr>
                <w:noProof/>
                <w:sz w:val="20"/>
              </w:rPr>
            </w:pPr>
            <w:r>
              <w:rPr>
                <w:sz w:val="20"/>
              </w:rPr>
              <w:t>Marco Valli</w:t>
            </w:r>
          </w:p>
        </w:tc>
      </w:tr>
      <w:tr w:rsidR="008E13A6" w:rsidRPr="00D5060C" w:rsidTr="00B9664A">
        <w:trPr>
          <w:cantSplit/>
        </w:trPr>
        <w:tc>
          <w:tcPr>
            <w:tcW w:w="1701" w:type="dxa"/>
            <w:shd w:val="clear" w:color="auto" w:fill="FFFFFF"/>
          </w:tcPr>
          <w:p w:rsidR="008E13A6" w:rsidRPr="00D5060C" w:rsidRDefault="008E13A6" w:rsidP="00B9664A">
            <w:pPr>
              <w:spacing w:before="120" w:after="120"/>
              <w:rPr>
                <w:noProof/>
                <w:sz w:val="20"/>
              </w:rPr>
            </w:pPr>
            <w:r>
              <w:rPr>
                <w:sz w:val="20"/>
              </w:rPr>
              <w:t>ENF</w:t>
            </w:r>
          </w:p>
        </w:tc>
        <w:tc>
          <w:tcPr>
            <w:tcW w:w="7371" w:type="dxa"/>
            <w:shd w:val="clear" w:color="auto" w:fill="FFFFFF"/>
          </w:tcPr>
          <w:p w:rsidR="008E13A6" w:rsidRPr="00D5060C" w:rsidRDefault="008E13A6" w:rsidP="00B9664A">
            <w:pPr>
              <w:spacing w:before="120" w:after="120"/>
              <w:rPr>
                <w:noProof/>
                <w:sz w:val="20"/>
              </w:rPr>
            </w:pPr>
            <w:r>
              <w:rPr>
                <w:sz w:val="20"/>
              </w:rPr>
              <w:t>Marco Zanni</w:t>
            </w:r>
          </w:p>
        </w:tc>
      </w:tr>
    </w:tbl>
    <w:p w:rsidR="008E13A6" w:rsidRDefault="008E13A6" w:rsidP="00147FBF">
      <w:pPr>
        <w:pStyle w:val="Normal12"/>
        <w:rPr>
          <w:noProof/>
        </w:rPr>
      </w:pPr>
    </w:p>
    <w:p w:rsidR="008E13A6" w:rsidRDefault="008E13A6" w:rsidP="00B735E3">
      <w:pPr>
        <w:rPr>
          <w:noProof/>
        </w:rPr>
      </w:pPr>
      <w:r>
        <w:t>Jelmagyarázat:</w:t>
      </w:r>
    </w:p>
    <w:p w:rsidR="008E13A6" w:rsidRDefault="008E13A6" w:rsidP="00B735E3">
      <w:pPr>
        <w:pStyle w:val="NormalTabs"/>
        <w:rPr>
          <w:noProof/>
        </w:rPr>
      </w:pPr>
      <w:r>
        <w:t>+</w:t>
      </w:r>
      <w:r>
        <w:tab/>
        <w:t>:</w:t>
      </w:r>
      <w:r>
        <w:tab/>
        <w:t>mellette</w:t>
      </w:r>
    </w:p>
    <w:p w:rsidR="008E13A6" w:rsidRDefault="008E13A6" w:rsidP="00B735E3">
      <w:pPr>
        <w:pStyle w:val="NormalTabs"/>
        <w:rPr>
          <w:noProof/>
        </w:rPr>
      </w:pPr>
      <w:r>
        <w:t>-</w:t>
      </w:r>
      <w:r>
        <w:tab/>
        <w:t>:</w:t>
      </w:r>
      <w:r>
        <w:tab/>
        <w:t>ellene</w:t>
      </w:r>
    </w:p>
    <w:p w:rsidR="008E13A6" w:rsidRDefault="008E13A6" w:rsidP="00B735E3">
      <w:pPr>
        <w:pStyle w:val="NormalTabs"/>
        <w:rPr>
          <w:noProof/>
        </w:rPr>
      </w:pPr>
      <w:r>
        <w:t>0</w:t>
      </w:r>
      <w:r>
        <w:tab/>
        <w:t>:</w:t>
      </w:r>
      <w:r>
        <w:tab/>
        <w:t>tartózkodik</w:t>
      </w:r>
    </w:p>
    <w:p w:rsidR="008E13A6" w:rsidRDefault="008E13A6" w:rsidP="00AD5932">
      <w:pPr>
        <w:rPr>
          <w:noProof/>
        </w:rPr>
      </w:pPr>
    </w:p>
    <w:p w:rsidR="008E13A6" w:rsidRPr="002E06BF" w:rsidRDefault="008E13A6" w:rsidP="002E06BF">
      <w:pPr>
        <w:rPr>
          <w:noProof/>
        </w:rPr>
      </w:pPr>
    </w:p>
    <w:p w:rsidR="008E13A6" w:rsidRPr="00777872" w:rsidRDefault="008E13A6" w:rsidP="008E13A6">
      <w:pPr>
        <w:rPr>
          <w:noProof/>
        </w:rPr>
      </w:pPr>
      <w:r>
        <w:br w:type="page"/>
      </w:r>
    </w:p>
    <w:p w:rsidR="008E13A6" w:rsidRPr="00777872" w:rsidRDefault="008E13A6" w:rsidP="008E13A6">
      <w:pPr>
        <w:pStyle w:val="ZDate"/>
        <w:spacing w:after="480"/>
        <w:rPr>
          <w:noProof/>
        </w:rPr>
      </w:pPr>
      <w:r>
        <w:rPr>
          <w:rStyle w:val="HideTWBExt"/>
          <w:color w:val="auto"/>
        </w:rPr>
        <w:t>&lt;Date&gt;</w:t>
      </w:r>
      <w:r w:rsidRPr="00BE42FC">
        <w:rPr>
          <w:rStyle w:val="HideTWBInt"/>
          <w:color w:val="auto"/>
        </w:rPr>
        <w:t>{21/11/2018}</w:t>
      </w:r>
      <w:r w:rsidRPr="00BE42FC">
        <w:t>21.11.2018</w:t>
      </w:r>
      <w:r>
        <w:rPr>
          <w:rStyle w:val="HideTWBExt"/>
          <w:color w:val="auto"/>
        </w:rPr>
        <w:t>&lt;/Date&gt;</w:t>
      </w:r>
    </w:p>
    <w:p w:rsidR="008E13A6" w:rsidRPr="00777872" w:rsidRDefault="008E13A6" w:rsidP="008E13A6">
      <w:pPr>
        <w:pStyle w:val="PageHeading"/>
        <w:spacing w:before="0" w:after="720"/>
        <w:rPr>
          <w:noProof/>
        </w:rPr>
      </w:pPr>
      <w:bookmarkStart w:id="7" w:name="_Toc534971922"/>
      <w:r>
        <w:t xml:space="preserve">VÉLEMÉNY </w:t>
      </w:r>
      <w:r>
        <w:rPr>
          <w:rStyle w:val="HideTWBExt"/>
          <w:color w:val="auto"/>
        </w:rPr>
        <w:t>&lt;CommissionResp&gt;</w:t>
      </w:r>
      <w:bookmarkStart w:id="8" w:name="OpinionToc_2"/>
      <w:r>
        <w:rPr>
          <w:caps/>
        </w:rPr>
        <w:t>a Költségvetési Ellenőrző Bizottság részéről</w:t>
      </w:r>
      <w:bookmarkEnd w:id="8"/>
      <w:bookmarkEnd w:id="7"/>
      <w:r>
        <w:rPr>
          <w:rStyle w:val="HideTWBExt"/>
          <w:color w:val="auto"/>
        </w:rPr>
        <w:t>&lt;/CommissionResp&gt;</w:t>
      </w:r>
    </w:p>
    <w:p w:rsidR="008E13A6" w:rsidRPr="00777872" w:rsidRDefault="008E13A6" w:rsidP="008E13A6">
      <w:pPr>
        <w:pStyle w:val="Cover24"/>
        <w:ind w:left="0"/>
        <w:rPr>
          <w:noProof/>
        </w:rPr>
      </w:pPr>
      <w:r>
        <w:rPr>
          <w:rStyle w:val="HideTWBExt"/>
          <w:color w:val="auto"/>
        </w:rPr>
        <w:t>&lt;CommissionInt&gt;</w:t>
      </w:r>
      <w:r w:rsidRPr="00BE42FC">
        <w:t>a Belső Piaci és Fogyasztóvédelmi Bizottság részére</w:t>
      </w:r>
      <w:r>
        <w:rPr>
          <w:rStyle w:val="HideTWBExt"/>
          <w:color w:val="auto"/>
        </w:rPr>
        <w:t>&lt;/CommissionInt&gt;</w:t>
      </w:r>
    </w:p>
    <w:p w:rsidR="008E13A6" w:rsidRPr="00777872" w:rsidRDefault="008E13A6" w:rsidP="008E13A6">
      <w:pPr>
        <w:pStyle w:val="CoverNormal"/>
        <w:ind w:left="0"/>
        <w:rPr>
          <w:noProof/>
        </w:rPr>
      </w:pPr>
      <w:r>
        <w:rPr>
          <w:rStyle w:val="HideTWBExt"/>
          <w:color w:val="auto"/>
        </w:rPr>
        <w:t>&lt;Titre&gt;</w:t>
      </w:r>
      <w:r>
        <w:t>a vámügyi együttműködést szolgáló „Vám” program létrehozásáról szóló európai parlamenti és tanácsi rendeletre irányuló javaslatról</w:t>
      </w:r>
      <w:r>
        <w:rPr>
          <w:rStyle w:val="HideTWBExt"/>
          <w:color w:val="auto"/>
        </w:rPr>
        <w:t>&lt;/Titre&gt;</w:t>
      </w:r>
    </w:p>
    <w:p w:rsidR="008E13A6" w:rsidRPr="00777872" w:rsidRDefault="008E13A6" w:rsidP="008E13A6">
      <w:pPr>
        <w:pStyle w:val="Cover24"/>
        <w:ind w:left="0"/>
        <w:rPr>
          <w:noProof/>
        </w:rPr>
      </w:pPr>
      <w:r>
        <w:rPr>
          <w:rStyle w:val="HideTWBExt"/>
          <w:color w:val="auto"/>
        </w:rPr>
        <w:t>&lt;DocRef&gt;</w:t>
      </w:r>
      <w:r w:rsidRPr="00BE42FC">
        <w:t>(COM(2018)0442 – C8-0261/2018 – 2018/0232(COD))</w:t>
      </w:r>
      <w:r>
        <w:rPr>
          <w:rStyle w:val="HideTWBExt"/>
          <w:color w:val="auto"/>
        </w:rPr>
        <w:t>&lt;/DocRef&gt;</w:t>
      </w:r>
    </w:p>
    <w:p w:rsidR="008E13A6" w:rsidRPr="00777872" w:rsidRDefault="008E13A6" w:rsidP="008E13A6">
      <w:pPr>
        <w:pStyle w:val="Cover24"/>
        <w:ind w:left="0"/>
        <w:rPr>
          <w:noProof/>
        </w:rPr>
      </w:pPr>
      <w:r w:rsidRPr="00BE42FC">
        <w:t xml:space="preserve">A vélemény előadója: </w:t>
      </w:r>
      <w:r>
        <w:rPr>
          <w:rStyle w:val="HideTWBExt"/>
          <w:color w:val="auto"/>
        </w:rPr>
        <w:t>&lt;Depute&gt;</w:t>
      </w:r>
      <w:r w:rsidRPr="00BE42FC">
        <w:t>Wolf Klinz</w:t>
      </w:r>
      <w:r>
        <w:rPr>
          <w:rStyle w:val="HideTWBExt"/>
          <w:color w:val="auto"/>
        </w:rPr>
        <w:t>&lt;/Depute&gt;</w:t>
      </w:r>
    </w:p>
    <w:p w:rsidR="008E13A6" w:rsidRPr="00777872" w:rsidRDefault="008E13A6" w:rsidP="008E13A6">
      <w:pPr>
        <w:pStyle w:val="CoverNormal"/>
        <w:ind w:left="0"/>
        <w:rPr>
          <w:noProof/>
        </w:rPr>
      </w:pPr>
    </w:p>
    <w:p w:rsidR="008E13A6" w:rsidRPr="00777872" w:rsidRDefault="008E13A6" w:rsidP="0004474F">
      <w:pPr>
        <w:tabs>
          <w:tab w:val="center" w:pos="4677"/>
        </w:tabs>
        <w:rPr>
          <w:noProof/>
        </w:rPr>
      </w:pPr>
    </w:p>
    <w:p w:rsidR="008E13A6" w:rsidRPr="00777872" w:rsidRDefault="008E13A6" w:rsidP="0004474F">
      <w:pPr>
        <w:tabs>
          <w:tab w:val="center" w:pos="4677"/>
        </w:tabs>
        <w:rPr>
          <w:noProof/>
        </w:rPr>
      </w:pPr>
    </w:p>
    <w:p w:rsidR="008E13A6" w:rsidRPr="008E13A6" w:rsidRDefault="008E13A6" w:rsidP="00DB56E4">
      <w:pPr>
        <w:pStyle w:val="PageHeadingNotTOC"/>
        <w:rPr>
          <w:noProof/>
        </w:rPr>
      </w:pPr>
      <w:r>
        <w:t>RÖVID INDOKOLÁS</w:t>
      </w:r>
    </w:p>
    <w:p w:rsidR="008E13A6" w:rsidRPr="00987CCF" w:rsidRDefault="008E13A6" w:rsidP="001B4A4D">
      <w:pPr>
        <w:spacing w:after="240"/>
        <w:rPr>
          <w:noProof/>
        </w:rPr>
      </w:pPr>
      <w:r>
        <w:t>A vámok segítenek megvédeni az Unió és a tagállamok pénzügyi érdekeit. Mivel ezek az Unió egyik jelentős, tradicionális saját forrását jelentik, így továbbra is a Költségvetési Ellenőrző Bizottság érdeklődésének középpontjában vannak.</w:t>
      </w:r>
    </w:p>
    <w:p w:rsidR="008E13A6" w:rsidRPr="00987CCF" w:rsidRDefault="008E13A6" w:rsidP="001B4A4D">
      <w:pPr>
        <w:spacing w:after="240"/>
        <w:rPr>
          <w:rFonts w:ascii="Calibri" w:hAnsi="Calibri" w:cs="Calibri"/>
          <w:noProof/>
          <w:sz w:val="22"/>
          <w:szCs w:val="22"/>
        </w:rPr>
      </w:pPr>
      <w:r>
        <w:t xml:space="preserve">A Vám program hatással lesz az uniós és a tagállami bevételekre. Bár ez a hatás nem számszerűsíthető, meg kell könnyítenie, valamint észszerűsítenie kell a vámhatóságok által a vámok, a behozatalkor megfizetendő héa és a jövedéki adók beszedése kapcsán végzett munkát. Azáltal, hogy az együttműködésnek, valamint az informatikai és humán kapacitásépítésnek köszönhetően javul a munka minősége, a vámigazgatási szervek hatékonyabban védhetik az Unió és a tagállamok pénzügyi érdekeit. </w:t>
      </w:r>
    </w:p>
    <w:p w:rsidR="008E13A6" w:rsidRPr="00777872" w:rsidRDefault="008E13A6" w:rsidP="001B4A4D">
      <w:pPr>
        <w:pStyle w:val="Normal12"/>
        <w:rPr>
          <w:noProof/>
        </w:rPr>
      </w:pPr>
      <w:r>
        <w:t>Az új Vám programnak következetesnek kell lennie a kapcsolódó területeken hasonló célkitűzésekkel rendelkező többi uniós cselekvési programmal és alappal, például a Fiscalis programmal, a csalás elleni uniós programmal és az egységes piaci programmal, továbbá a Belső Biztonsági Alappal, a Határigazgatási és Vízumeszközzel, a reformtámogató programmal, a Digitális Európa programmal, az Európai Hálózatfinanszírozási Eszközzel és a saját források rendszeréről szóló határozattal, végrehajtási rendeletekkel és intézkedésekkel, és ki kell használnia a velük való szinergiákat.</w:t>
      </w:r>
    </w:p>
    <w:p w:rsidR="008E13A6" w:rsidRPr="00777872" w:rsidRDefault="008E13A6" w:rsidP="00DB56E4">
      <w:pPr>
        <w:pStyle w:val="ConclusionsPA"/>
        <w:rPr>
          <w:noProof/>
        </w:rPr>
      </w:pPr>
      <w:r>
        <w:t>MÓDOSÍTÁSOK</w:t>
      </w:r>
    </w:p>
    <w:p w:rsidR="008E13A6" w:rsidRPr="00777872" w:rsidRDefault="008E13A6" w:rsidP="001E3AC4">
      <w:pPr>
        <w:pStyle w:val="Normal12"/>
        <w:rPr>
          <w:noProof/>
        </w:rPr>
      </w:pPr>
      <w:r>
        <w:t>A Költségvetési Ellenőrző Bizottság felkéri a Belső Piaci és Fogyasztóvédelmi Bizottságot mint illetékes bizottságot, hogy vegye figyelembe az alábbi módosításokat:</w:t>
      </w:r>
    </w:p>
    <w:p w:rsidR="008E13A6" w:rsidRPr="00987CCF" w:rsidRDefault="008E13A6" w:rsidP="001B4A4D">
      <w:pPr>
        <w:rPr>
          <w:noProof/>
        </w:rPr>
      </w:pPr>
      <w:r>
        <w:rPr>
          <w:rStyle w:val="HideTWBExt"/>
        </w:rPr>
        <w:lastRenderedPageBreak/>
        <w:t>&lt;RepeatBlock-Amend&gt;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4 a bevezető hivatkozás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tekintettel az Európai Számvevőszék „Importeljárások: a jogszabályi keretek hiányosságai és a nem kellően eredményes végrehajtás hátrányos hatással vannak az Unió pénzügyi érdekeire” című, 2017. december 5-i 19/2017. sz. különjelentésére,</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4 b bevezető hivatkozás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tekintettel az Európai Számvevőszék „A vámügyi informatikai rendszerek sorozatos késedelmei: mi okozott problémát?” című, 2018. október 10-i 26/2018. sz. különjelentésére,</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4 c bevezető hivatkozás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tekintettel a vámcsalások elleni küzdelemről és az Unió saját forrásainak védelméről szóló 2018. október 4-i európai parlamenti állásfoglalásra (2018/2747(RSP)),</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lastRenderedPageBreak/>
        <w:t>&lt;Article&gt;</w:t>
      </w:r>
      <w:r w:rsidRPr="00BE42FC">
        <w:t>1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w:t>
            </w:r>
            <w:r w:rsidRPr="00BE42FC">
              <w:tab/>
              <w:t>Az 1294/2013/EU rendelet</w:t>
            </w:r>
            <w:r w:rsidRPr="00BE42FC">
              <w:rPr>
                <w:vertAlign w:val="superscript"/>
              </w:rPr>
              <w:t>18</w:t>
            </w:r>
            <w:r w:rsidRPr="00BE42FC">
              <w:t xml:space="preserve"> és az elődei által létrehozott Vám 2020 program jelentősen hozzájárult a vámügyi együttműködés megkönnyítéséhez és megerősítéséhez. A vámügyek területén számos tevékenység határokon átnyúló jellegű, valamennyi tagállamra kiterjed, illetve valamennyi tagállamot érinti, ezért e tevékenységeket az egyes tagállamok önállóan nem képesek eredményesen és hatékonyan végezni. Egy a Bizottság által végrehajtott uniós szintű vámügyi program uniós keretet kínál a tagállamoknak az említett együttműködési tevékenységek kidolgozására, ami költséghatékonyabb, mint ha az egyes tagállamok két- vagy többoldalú alapon külön-külön hoznák létre saját együttműködési keretüket. Ezért indokolt biztosítani a vámügyi együttműködés terén folytatott tevékenységek uniós finanszírozásának folytonosságát egy ugyanazon területre vonatkozó új program, a Vám program létrehozásával.</w:t>
            </w:r>
          </w:p>
        </w:tc>
        <w:tc>
          <w:tcPr>
            <w:tcW w:w="4876" w:type="dxa"/>
          </w:tcPr>
          <w:p w:rsidR="008E13A6" w:rsidRPr="00BE42FC" w:rsidRDefault="008E13A6" w:rsidP="003E78B4">
            <w:pPr>
              <w:pStyle w:val="Normal6"/>
              <w:rPr>
                <w:noProof/>
              </w:rPr>
            </w:pPr>
            <w:r w:rsidRPr="00BE42FC">
              <w:t xml:space="preserve">(1) </w:t>
            </w:r>
            <w:r w:rsidRPr="00BE42FC">
              <w:tab/>
              <w:t>Az 1294/2013/EU rendelet</w:t>
            </w:r>
            <w:r w:rsidRPr="00BE42FC">
              <w:rPr>
                <w:vertAlign w:val="superscript"/>
              </w:rPr>
              <w:t>18</w:t>
            </w:r>
            <w:r w:rsidRPr="00BE42FC">
              <w:t xml:space="preserve"> és az elődei által létrehozott Vám 2020 program jelentősen hozzájárult a vámügyi együttműködés megkönnyítéséhez és megerősítéséhez. A vámügyek területén számos tevékenység határokon átnyúló jellegű, valamennyi tagállamra kiterjed, illetve valamennyi tagállamot érinti, ezért e tevékenységeket az egyes tagállamok önállóan nem </w:t>
            </w:r>
            <w:r w:rsidRPr="00BE42FC">
              <w:rPr>
                <w:b/>
                <w:i/>
              </w:rPr>
              <w:t xml:space="preserve">mindig </w:t>
            </w:r>
            <w:r w:rsidRPr="00BE42FC">
              <w:t>képesek eredményesen és hatékonyan végezni. Egy a Bizottság által végrehajtott uniós szintű vámügyi program uniós keretet kínál a tagállamoknak az említett együttműködési tevékenységek kidolgozására, ami költséghatékonyabb, mint ha az egyes tagállamok két- vagy többoldalú alapon külön-külön hoznák létre saját együttműködési keretüket</w:t>
            </w:r>
            <w:r w:rsidRPr="00BE42FC">
              <w:rPr>
                <w:b/>
                <w:i/>
              </w:rPr>
              <w:t>.</w:t>
            </w:r>
            <w:r w:rsidRPr="00BE42FC">
              <w:t xml:space="preserve"> </w:t>
            </w:r>
            <w:r w:rsidRPr="00BE42FC">
              <w:rPr>
                <w:b/>
                <w:i/>
              </w:rPr>
              <w:t xml:space="preserve">Ezen túlmenően egy olyan vámügyi programra, amely hozzájárul ahhoz, hogy valamennyi belépési ponton harmonizált és szabványosított vámellenőrzési eljárásokat alkalmazzanak, azért is szükség van, mert ha tagállamok nem egyenletesen végzik a vámellenőrzéseket, az hátráltatja a vámunió hatékony működését. Egy megbízhatóan és hatékonyan működő vámügyi program emellett az Unió pénzügyi érdekeinek védelmében is kulcsfontosságú szerepet tölt be. </w:t>
            </w:r>
            <w:r w:rsidRPr="00BE42FC">
              <w:t>Ezért indokolt biztosítani a vámügyi együttműködés terén folytatott tevékenységek uniós finanszírozásának folytonosságát egy ugyanazon területre vonatkozó új program, a Vám program létrehozásával.</w:t>
            </w:r>
          </w:p>
        </w:tc>
      </w:tr>
      <w:tr w:rsidR="008E13A6" w:rsidRPr="00987CCF" w:rsidTr="003E78B4">
        <w:trPr>
          <w:jc w:val="center"/>
        </w:trPr>
        <w:tc>
          <w:tcPr>
            <w:tcW w:w="4876" w:type="dxa"/>
          </w:tcPr>
          <w:p w:rsidR="008E13A6" w:rsidRPr="00BE42FC" w:rsidRDefault="008E13A6" w:rsidP="003E78B4">
            <w:pPr>
              <w:pStyle w:val="Normal6"/>
              <w:rPr>
                <w:noProof/>
              </w:rPr>
            </w:pPr>
            <w:r w:rsidRPr="00BE42FC">
              <w:t>_________________</w:t>
            </w:r>
          </w:p>
        </w:tc>
        <w:tc>
          <w:tcPr>
            <w:tcW w:w="4876" w:type="dxa"/>
          </w:tcPr>
          <w:p w:rsidR="008E13A6" w:rsidRPr="00BE42FC" w:rsidRDefault="008E13A6" w:rsidP="003E78B4">
            <w:pPr>
              <w:pStyle w:val="Normal6"/>
              <w:rPr>
                <w:noProof/>
              </w:rPr>
            </w:pPr>
            <w:r w:rsidRPr="00BE42FC">
              <w:t>_________________</w:t>
            </w:r>
          </w:p>
        </w:tc>
      </w:tr>
      <w:tr w:rsidR="008E13A6" w:rsidRPr="00987CCF" w:rsidTr="003E78B4">
        <w:trPr>
          <w:jc w:val="center"/>
        </w:trPr>
        <w:tc>
          <w:tcPr>
            <w:tcW w:w="4876" w:type="dxa"/>
          </w:tcPr>
          <w:p w:rsidR="008E13A6" w:rsidRPr="00BE42FC" w:rsidRDefault="008E13A6" w:rsidP="003E78B4">
            <w:pPr>
              <w:pStyle w:val="Normal6"/>
              <w:rPr>
                <w:noProof/>
              </w:rPr>
            </w:pPr>
            <w:r w:rsidRPr="00BE42FC">
              <w:rPr>
                <w:rStyle w:val="Sup"/>
                <w:color w:val="auto"/>
              </w:rPr>
              <w:t>18</w:t>
            </w:r>
            <w:r w:rsidRPr="00BE42FC">
              <w:t xml:space="preserve"> Az Európai Parlament és a Tanács 1294/2013/EU rendelete (2013. december 11.) a 2014 és 2020 közötti időszakra szóló, európai uniós vámügyi cselekvési program (Vám 2020) létrehozásáról, valamint a 624/2007/EK határozat hatályon </w:t>
            </w:r>
            <w:r w:rsidRPr="00BE42FC">
              <w:lastRenderedPageBreak/>
              <w:t>kívül helyezéséről (HL L 347., 2013.12.20., 209. o.).</w:t>
            </w:r>
          </w:p>
        </w:tc>
        <w:tc>
          <w:tcPr>
            <w:tcW w:w="4876" w:type="dxa"/>
          </w:tcPr>
          <w:p w:rsidR="008E13A6" w:rsidRPr="00BE42FC" w:rsidRDefault="008E13A6" w:rsidP="003E78B4">
            <w:pPr>
              <w:pStyle w:val="Normal6"/>
              <w:rPr>
                <w:noProof/>
              </w:rPr>
            </w:pPr>
            <w:r w:rsidRPr="00BE42FC">
              <w:rPr>
                <w:rStyle w:val="Sup"/>
                <w:color w:val="auto"/>
              </w:rPr>
              <w:lastRenderedPageBreak/>
              <w:t>18</w:t>
            </w:r>
            <w:r w:rsidRPr="00BE42FC">
              <w:t xml:space="preserve"> Az Európai Parlament és a Tanács 1294/2013/EU rendelete (2013. december 11.) a 2014 és 2020 közötti időszakra szóló, európai uniós vámügyi cselekvési program (Vám 2020) létrehozásáról, valamint a 624/2007/EK határozat hatályon </w:t>
            </w:r>
            <w:r w:rsidRPr="00BE42FC">
              <w:lastRenderedPageBreak/>
              <w:t>kívül helyezéséről (HL L 347., 2013.12.20., 209. o.).</w:t>
            </w:r>
          </w:p>
        </w:tc>
      </w:tr>
    </w:tbl>
    <w:p w:rsidR="008E13A6" w:rsidRPr="00987CCF" w:rsidRDefault="008E13A6" w:rsidP="001B4A4D">
      <w:pPr>
        <w:rPr>
          <w:noProof/>
        </w:rPr>
      </w:pPr>
      <w:r>
        <w:rPr>
          <w:rStyle w:val="HideTWBExt"/>
        </w:rPr>
        <w:lastRenderedPageBreak/>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5</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 a preambulumbekezdés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(1a)</w:t>
            </w:r>
            <w:r w:rsidRPr="00BE42FC">
              <w:tab/>
            </w:r>
            <w:r w:rsidRPr="00BE42FC">
              <w:rPr>
                <w:b/>
                <w:i/>
              </w:rPr>
              <w:t>A világ egyik legnagyobb kereskedelmi tömbjeként a vámunió az Európai Unió egyik sarokköve, amely az egységes piac megfelelő, a vállalkozások és a polgárok javát egyaránt szolgáló működéséhez is nélkülözhetetlen. Az Európai Parlament 2018. március 14-i állásfoglalásában</w:t>
            </w:r>
            <w:r w:rsidRPr="00BE42FC">
              <w:rPr>
                <w:rStyle w:val="SupBoldItalic"/>
                <w:color w:val="auto"/>
              </w:rPr>
              <w:t>1a</w:t>
            </w:r>
            <w:r w:rsidRPr="00BE42FC">
              <w:rPr>
                <w:b/>
                <w:i/>
              </w:rPr>
              <w:t xml:space="preserve"> különös aggodalmának adott hangot a vámcsalásokkal kapcsolatban, melyek jelentős bevételkiesést okoztak az uniós költségvetésben. Az Európai Parlament ismételten hangsúlyozta, hogy csak úgy lehet megvalósítani egy erősebb és nagyratörőbb Európát, ha megerősített pénzügyi eszközök állnak a rendelkezésére, és ezért kérte a meglévő szakpolitikák folyamatos támogatását, az Unió kiemelt programjai számára rendelkezésre álló források növelését, valamint azt, hogy a további kötelezettségekhez rendeljenek további pénzügyi eszközöket.</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t>_________________</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rStyle w:val="SupBoldItalic"/>
                <w:color w:val="auto"/>
              </w:rPr>
              <w:t>1a</w:t>
            </w:r>
            <w:r w:rsidRPr="00BE42FC">
              <w:t xml:space="preserve"> </w:t>
            </w:r>
            <w:r w:rsidRPr="00BE42FC">
              <w:rPr>
                <w:b/>
                <w:i/>
              </w:rPr>
              <w:t>P8_TA(2018)0075: A következő többéves pénzügyi keret: a 2020 utáni többéves pénzügyi keretről kialakítandó parlamenti álláspont előkészítése.</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6</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2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lastRenderedPageBreak/>
              <w:t>(2)</w:t>
            </w:r>
            <w:r w:rsidRPr="00BE42FC">
              <w:tab/>
              <w:t xml:space="preserve">A vámunió jelentősen fejlődött az elmúlt ötven évben, és a vámigazgatási szervek már sikeresen hajtanak végre sokféle feladatot a határokon. Együttműködve munkálkodnak azon, hogy elősegítsék a kereskedelmet és csökkentsék a bürokráciát, hogy beszedjék a nemzeti és az uniós költségvetést megillető bevételeket, valamint hogy </w:t>
            </w:r>
            <w:r w:rsidRPr="00BE42FC">
              <w:rPr>
                <w:b/>
                <w:i/>
              </w:rPr>
              <w:t>védjék</w:t>
            </w:r>
            <w:r w:rsidRPr="00BE42FC">
              <w:t xml:space="preserve"> a lakosságot a terrorista, egészségügyi, környezeti és egyéb fenyegetések ellen. Az EU egészére kiterjedő közös kockázatkezelési keretrendszer</w:t>
            </w:r>
            <w:r w:rsidRPr="00BE42FC">
              <w:rPr>
                <w:rStyle w:val="Sup"/>
                <w:color w:val="auto"/>
              </w:rPr>
              <w:t>19</w:t>
            </w:r>
            <w:r w:rsidRPr="00BE42FC">
              <w:t xml:space="preserve"> bevezetése, valamint a nagy készpénzösszegek mozgására vonatkozó vámellenőrzéseknek a pénzmosás és a terrorizmus finanszírozása elleni küzdelmet szolgáló bevezetése révén a vámhatóságok a terrorizmus és a szervezett bűnözés elleni küzdelem frontvonalán működnek. E felhatalmazás széles körére tekintettel a vámhatóságok jelenleg gyakorlatilag az EU külső határain történő áruellenőrzésért felelős vezető hatóságot jelentik. Ezzel összefüggésben a Vám programnak nemcsak a vámügyi együttműködésre kell kiterjednie, hanem ki kell terjesztenie a támogatását általában véve a vámhatóságok küldetésére, melyet a 952/2013/EU rendelet 3. cikke határoz meg, azaz az Unió nemzetközi kereskedelmének felügyeletére, a belső piac külső vonatkozásainak, a közös kereskedelempolitikának és a kereskedelemmel összefüggő más közös uniós politikáknak a végrehajtására, valamint az ellátási lánc biztonságára is. A jogalap ezért átfogja a vámügyi együttműködést (az EUMSZ 33. cikke), a belső piacot (az EUMSZ 114. cikke) és a kereskedelempolitikát (az EUMSZ 207. cikke).</w:t>
            </w:r>
          </w:p>
        </w:tc>
        <w:tc>
          <w:tcPr>
            <w:tcW w:w="4876" w:type="dxa"/>
          </w:tcPr>
          <w:p w:rsidR="008E13A6" w:rsidRPr="00BE42FC" w:rsidRDefault="008E13A6" w:rsidP="003E78B4">
            <w:pPr>
              <w:pStyle w:val="Normal6"/>
              <w:rPr>
                <w:noProof/>
              </w:rPr>
            </w:pPr>
            <w:r w:rsidRPr="00BE42FC">
              <w:t>(2)</w:t>
            </w:r>
            <w:r w:rsidRPr="00BE42FC">
              <w:tab/>
              <w:t xml:space="preserve">A vámunió jelentősen fejlődött az elmúlt ötven évben, és a vámigazgatási szervek már sikeresen hajtanak végre sokféle feladatot a határokon. Együttműködve munkálkodnak azon, hogy elősegítsék a kereskedelmet és csökkentsék a bürokráciát, hogy beszedjék a nemzeti és az uniós költségvetést megillető bevételeket, valamint hogy </w:t>
            </w:r>
            <w:r w:rsidRPr="00BE42FC">
              <w:rPr>
                <w:b/>
                <w:i/>
              </w:rPr>
              <w:t>segítsék megvédeni</w:t>
            </w:r>
            <w:r w:rsidRPr="00BE42FC">
              <w:t xml:space="preserve"> a lakosságot a terrorista, egészségügyi, környezeti és egyéb fenyegetések ellen. Az EU egészére kiterjedő közös kockázatkezelési keretrendszer</w:t>
            </w:r>
            <w:r w:rsidRPr="00BE42FC">
              <w:rPr>
                <w:rStyle w:val="Sup"/>
                <w:color w:val="auto"/>
              </w:rPr>
              <w:t>19</w:t>
            </w:r>
            <w:r w:rsidRPr="00BE42FC">
              <w:t xml:space="preserve"> bevezetése, valamint a nagy készpénzösszegek mozgására vonatkozó vámellenőrzéseknek a pénzmosás és a terrorizmus finanszírozása elleni küzdelmet szolgáló bevezetése révén a vámhatóságok a terrorizmus és a szervezett bűnözés elleni küzdelem frontvonalán működnek. E felhatalmazás széles körére tekintettel a vámhatóságok jelenleg gyakorlatilag az EU külső határain történő áruellenőrzésért felelős vezető hatóságot jelentik. Ezzel összefüggésben a Vám programnak nemcsak a vámügyi együttműködésre kell kiterjednie, hanem ki kell terjesztenie a támogatását általában véve a vámhatóságok küldetésére, melyet a 952/2013/EU rendelet 3. cikke határoz meg, azaz az Unió nemzetközi kereskedelmének felügyeletére, a belső piac külső vonatkozásainak, a közös kereskedelempolitikának és a kereskedelemmel összefüggő más közös uniós politikáknak a végrehajtására, valamint az ellátási lánc biztonságára is. A jogalap ezért átfogja a vámügyi együttműködést (az EUMSZ 33. cikke), a belső piacot (az EUMSZ 114. cikke) és a kereskedelempolitikát (az EUMSZ 207. cikke).</w:t>
            </w:r>
          </w:p>
        </w:tc>
      </w:tr>
      <w:tr w:rsidR="008E13A6" w:rsidRPr="00987CCF" w:rsidTr="003E78B4">
        <w:trPr>
          <w:jc w:val="center"/>
        </w:trPr>
        <w:tc>
          <w:tcPr>
            <w:tcW w:w="4876" w:type="dxa"/>
          </w:tcPr>
          <w:p w:rsidR="008E13A6" w:rsidRPr="00BE42FC" w:rsidRDefault="008E13A6" w:rsidP="003E78B4">
            <w:pPr>
              <w:pStyle w:val="Normal6"/>
              <w:rPr>
                <w:noProof/>
              </w:rPr>
            </w:pPr>
            <w:r w:rsidRPr="00BE42FC">
              <w:t>_________________</w:t>
            </w:r>
          </w:p>
        </w:tc>
        <w:tc>
          <w:tcPr>
            <w:tcW w:w="4876" w:type="dxa"/>
          </w:tcPr>
          <w:p w:rsidR="008E13A6" w:rsidRPr="00BE42FC" w:rsidRDefault="008E13A6" w:rsidP="003E78B4">
            <w:pPr>
              <w:pStyle w:val="Normal6"/>
              <w:rPr>
                <w:noProof/>
              </w:rPr>
            </w:pPr>
            <w:r w:rsidRPr="00BE42FC">
              <w:t>_________________</w:t>
            </w:r>
          </w:p>
        </w:tc>
      </w:tr>
      <w:tr w:rsidR="008E13A6" w:rsidRPr="00987CCF" w:rsidTr="003E78B4">
        <w:trPr>
          <w:jc w:val="center"/>
        </w:trPr>
        <w:tc>
          <w:tcPr>
            <w:tcW w:w="4876" w:type="dxa"/>
          </w:tcPr>
          <w:p w:rsidR="008E13A6" w:rsidRPr="00BE42FC" w:rsidRDefault="008E13A6" w:rsidP="003E78B4">
            <w:pPr>
              <w:pStyle w:val="Normal6"/>
              <w:rPr>
                <w:noProof/>
              </w:rPr>
            </w:pPr>
            <w:r w:rsidRPr="00BE42FC">
              <w:rPr>
                <w:rStyle w:val="Sup"/>
                <w:color w:val="auto"/>
              </w:rPr>
              <w:t>19</w:t>
            </w:r>
            <w:r w:rsidRPr="00BE42FC">
              <w:t xml:space="preserve"> https://ec.europa.eu/taxation_customs/general-information-customs/customs-risk-management/measures-customs-risk-management-framework-crmf_en</w:t>
            </w:r>
          </w:p>
        </w:tc>
        <w:tc>
          <w:tcPr>
            <w:tcW w:w="4876" w:type="dxa"/>
          </w:tcPr>
          <w:p w:rsidR="008E13A6" w:rsidRPr="00BE42FC" w:rsidRDefault="008E13A6" w:rsidP="003E78B4">
            <w:pPr>
              <w:pStyle w:val="Normal6"/>
              <w:rPr>
                <w:noProof/>
              </w:rPr>
            </w:pPr>
            <w:r w:rsidRPr="00BE42FC">
              <w:rPr>
                <w:rStyle w:val="Sup"/>
                <w:color w:val="auto"/>
              </w:rPr>
              <w:t>19</w:t>
            </w:r>
            <w:r w:rsidRPr="00BE42FC">
              <w:t xml:space="preserve"> https://ec.europa.eu/taxation_customs/general-information-customs/customs-risk-management/measures-customs-risk-management-framework-crmf_en</w:t>
            </w:r>
          </w:p>
        </w:tc>
      </w:tr>
    </w:tbl>
    <w:p w:rsidR="008E13A6" w:rsidRPr="00987CCF" w:rsidRDefault="008E13A6" w:rsidP="001B4A4D">
      <w:pPr>
        <w:pStyle w:val="JustificationTitle"/>
        <w:rPr>
          <w:noProof/>
        </w:rPr>
      </w:pPr>
      <w:r>
        <w:rPr>
          <w:rStyle w:val="HideTWBExt"/>
        </w:rPr>
        <w:lastRenderedPageBreak/>
        <w:t>&lt;TitreJust&gt;</w:t>
      </w:r>
      <w:r w:rsidRPr="00BE42FC">
        <w:t>Indokolás</w:t>
      </w:r>
      <w:r>
        <w:rPr>
          <w:rStyle w:val="HideTWBExt"/>
        </w:rPr>
        <w:t>&lt;/TitreJust&gt;</w:t>
      </w:r>
    </w:p>
    <w:p w:rsidR="008E13A6" w:rsidRPr="00987CCF" w:rsidRDefault="008E13A6" w:rsidP="001B4A4D">
      <w:pPr>
        <w:pStyle w:val="Normal12Italic"/>
        <w:rPr>
          <w:noProof/>
        </w:rPr>
      </w:pPr>
      <w:r>
        <w:t>Több más elem is hozzájárul a lakosság védelméhez az említett területeken.</w:t>
      </w:r>
    </w:p>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7</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3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(3)</w:t>
            </w:r>
            <w:r w:rsidRPr="00BE42FC">
              <w:tab/>
              <w:t xml:space="preserve">Azzal, hogy a vámunió és a vámhatóságok támogatását célul kitűző keretet biztosít az intézkedéseknek, a program várhatóan hozzájárul az Unió és tagállamai pénzügyi és gazdasági érdekeinek védelméhez; az Unió tisztességtelen és jogellenes kereskedelemmel szembeni védelméhez, a jogszerű üzleti tevékenység támogatása mellett; az Unió és lakosai biztonságának és védelmének biztosításához; valamint a törvényes kereskedelem annak érdekében történő támogatásához, hogy a </w:t>
            </w:r>
            <w:r w:rsidRPr="00BE42FC">
              <w:rPr>
                <w:b/>
                <w:i/>
              </w:rPr>
              <w:t>vállalkozások</w:t>
            </w:r>
            <w:r w:rsidRPr="00BE42FC">
              <w:t xml:space="preserve"> és a </w:t>
            </w:r>
            <w:r w:rsidRPr="00BE42FC">
              <w:rPr>
                <w:b/>
                <w:i/>
              </w:rPr>
              <w:t>polgárok</w:t>
            </w:r>
            <w:r w:rsidRPr="00BE42FC">
              <w:t xml:space="preserve"> teljes mértékben ki tudják használni a belső piac és a globális kereskedelem előnyeit.</w:t>
            </w:r>
          </w:p>
        </w:tc>
        <w:tc>
          <w:tcPr>
            <w:tcW w:w="4876" w:type="dxa"/>
          </w:tcPr>
          <w:p w:rsidR="008E13A6" w:rsidRPr="00BE42FC" w:rsidRDefault="008E13A6" w:rsidP="003E78B4">
            <w:pPr>
              <w:pStyle w:val="Normal6"/>
              <w:rPr>
                <w:noProof/>
              </w:rPr>
            </w:pPr>
            <w:r w:rsidRPr="00BE42FC">
              <w:t>(3)</w:t>
            </w:r>
            <w:r w:rsidRPr="00BE42FC">
              <w:tab/>
              <w:t>Azzal, hogy a vámunió és a vámhatóságok támogatását célul kitűző keretet biztosít az intézkedéseknek</w:t>
            </w:r>
            <w:r w:rsidRPr="00BE42FC">
              <w:rPr>
                <w:b/>
                <w:i/>
              </w:rPr>
              <w:t xml:space="preserve"> azon hosszú távú cél érdekében, hogy az Unión belül az összes vámigazgatási szerv úgy működjön együtt, mintha egyetlen szerv lenne</w:t>
            </w:r>
            <w:r w:rsidRPr="00BE42FC">
              <w:t xml:space="preserve">, a program várhatóan hozzájárul az Unió és tagállamai pénzügyi és gazdasági érdekeinek védelméhez; az Unió tisztességtelen és jogellenes kereskedelemmel szembeni védelméhez, a jogszerű üzleti tevékenység támogatása mellett; az Unió és lakosai biztonságának és védelmének biztosításához; valamint a törvényes kereskedelem annak érdekében történő támogatásához, hogy a </w:t>
            </w:r>
            <w:r w:rsidRPr="00BE42FC">
              <w:rPr>
                <w:b/>
                <w:i/>
              </w:rPr>
              <w:t>polgárok</w:t>
            </w:r>
            <w:r w:rsidRPr="00BE42FC">
              <w:t xml:space="preserve"> és a </w:t>
            </w:r>
            <w:r w:rsidRPr="00BE42FC">
              <w:rPr>
                <w:b/>
                <w:i/>
              </w:rPr>
              <w:t>vállalkozások</w:t>
            </w:r>
            <w:r w:rsidRPr="00BE42FC">
              <w:t xml:space="preserve"> teljes mértékben ki tudják használni a belső piac és a globális kereskedelem előnyeit.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8</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3 a preambulumbekezdés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(3a)</w:t>
            </w:r>
            <w:r w:rsidRPr="00BE42FC">
              <w:tab/>
            </w:r>
            <w:r w:rsidRPr="00BE42FC">
              <w:rPr>
                <w:b/>
                <w:i/>
              </w:rPr>
              <w:t xml:space="preserve">Nemcsak az emberi tényezőtől, illetve a korszerű és megbízható vámellenőrzési berendezések elérhetőségétől és megfelelő működésétől függ az, hogy a tagállamok képesek-e megbirkózni a folyamatosan fejlődő globális üzleti modellek és ellátási láncok – különösen az e-kereskedelem térnyerése – által támasztott kihívásokkal, hanem az uniós váminformatikai rendszerek teljes </w:t>
            </w:r>
            <w:r w:rsidRPr="00BE42FC">
              <w:rPr>
                <w:b/>
                <w:i/>
              </w:rPr>
              <w:lastRenderedPageBreak/>
              <w:t>körű és fenntartható végrehajtásától is. Ezek a kihívások hangsúlyozzák a nemzeti vámhatóságok közötti együttműködés szükségességét a hatékony vámbeszedés, valamint az egységes piac csalásoktól, illegális áruktól és külső fenyegetésektől történő megvédése érdekében.</w:t>
            </w:r>
          </w:p>
        </w:tc>
      </w:tr>
    </w:tbl>
    <w:p w:rsidR="008E13A6" w:rsidRPr="00987CCF" w:rsidRDefault="008E13A6" w:rsidP="001B4A4D">
      <w:pPr>
        <w:rPr>
          <w:noProof/>
        </w:rPr>
      </w:pPr>
      <w:r>
        <w:rPr>
          <w:rStyle w:val="HideTWBExt"/>
        </w:rPr>
        <w:lastRenderedPageBreak/>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9</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7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(7)</w:t>
            </w:r>
            <w:r w:rsidRPr="00BE42FC">
              <w:tab/>
              <w:t>A Vám 2020 program keretében alkalmazott intézkedések megfelelőnek bizonyultak, ezért azokat meg kell tartani. Annak érdekében, hogy a program végrehajtása egyszerűbbé és rugalmasabbá váljon, és ezáltal jobban teljesíthesse a célkitűzéseit, csak általános intézkedéskategóriákat kell meghatározni, a konkrét tevékenységeket szemléltető példák felsorolásával együtt. Az együttműködésen és a kapacitásépítésen keresztül a Vám programnak elő kell mozdítania és támogatnia kell az innováció terjedését és multiplikátorhatását is, hogy ezáltal még tovább javuljon a vámügyek terén meghatározott alapvető prioritások teljesítésére való képesség.</w:t>
            </w:r>
          </w:p>
        </w:tc>
        <w:tc>
          <w:tcPr>
            <w:tcW w:w="4876" w:type="dxa"/>
          </w:tcPr>
          <w:p w:rsidR="008E13A6" w:rsidRPr="00BE42FC" w:rsidRDefault="008E13A6" w:rsidP="003E78B4">
            <w:pPr>
              <w:pStyle w:val="Normal6"/>
              <w:rPr>
                <w:noProof/>
              </w:rPr>
            </w:pPr>
            <w:r w:rsidRPr="00BE42FC">
              <w:t>(7)</w:t>
            </w:r>
            <w:r w:rsidRPr="00BE42FC">
              <w:tab/>
              <w:t xml:space="preserve">A Vám 2020 program keretében alkalmazott intézkedések megfelelőnek bizonyultak, ezért azokat meg kell tartani. Annak érdekében, hogy a program végrehajtása </w:t>
            </w:r>
            <w:r w:rsidRPr="00BE42FC">
              <w:rPr>
                <w:b/>
                <w:i/>
              </w:rPr>
              <w:t xml:space="preserve">jóval </w:t>
            </w:r>
            <w:r w:rsidRPr="00BE42FC">
              <w:t>egyszerűbbé és rugalmasabbá váljon, és ezáltal jobban teljesíthesse a célkitűzéseit, csak általános intézkedéskategóriákat kell meghatározni, a konkrét tevékenységeket szemléltető példák felsorolásával együtt. Az együttműködésen és a kapacitásépítésen keresztül a Vám programnak elő kell mozdítania és támogatnia kell az innováció terjedését és multiplikátorhatását is, hogy ezáltal még tovább javuljon a vámügyek terén meghatározott alapvető prioritások teljesítésére való képesség.</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10</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8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(8)</w:t>
            </w:r>
            <w:r w:rsidRPr="00BE42FC">
              <w:tab/>
              <w:t>A [2018/XXX] rendelet az Integrált Határigazgatási Alap részeként létrehozza a vámellenőrzési berendezési eszközt</w:t>
            </w:r>
            <w:r w:rsidRPr="00BE42FC">
              <w:rPr>
                <w:rStyle w:val="Sup"/>
                <w:color w:val="auto"/>
              </w:rPr>
              <w:t>22</w:t>
            </w:r>
            <w:r w:rsidRPr="00BE42FC">
              <w:t xml:space="preserve"> (a továbbiakban: VEB eszköz). A vámügyekkel és vámellenőrzési berendezésekkel kapcsolatos valamennyi együttműködési tevékenység </w:t>
            </w:r>
            <w:r w:rsidRPr="00BE42FC">
              <w:lastRenderedPageBreak/>
              <w:t xml:space="preserve">koherenciájának és horizontális összehangolásának megőrzése érdekében helyénvaló minden ilyen tevékenységet egyetlen egységes jogi aktus és szabályrendszer, </w:t>
            </w:r>
            <w:r w:rsidRPr="00BE42FC">
              <w:rPr>
                <w:b/>
                <w:i/>
              </w:rPr>
              <w:t>vagyis</w:t>
            </w:r>
            <w:r w:rsidRPr="00BE42FC">
              <w:t xml:space="preserve"> e rendelet </w:t>
            </w:r>
            <w:r w:rsidRPr="00BE42FC">
              <w:rPr>
                <w:b/>
                <w:i/>
              </w:rPr>
              <w:t>alapján végrehajtani</w:t>
            </w:r>
            <w:r w:rsidRPr="00BE42FC">
              <w:t>. Ezért a VEB eszköz csak a támogatható berendezések beszerzését, karbantartását és korszerűsítését támogathatja, miközben ennek a programnak kell támogatnia minden egyéb kapcsolódó tevékenységet, például a berendezési szükségletek felméréséhez szükséges együttműködési intézkedéseket vagy adott esetben a megvásárolt berendezésekkel kapcsolatos képzést.</w:t>
            </w:r>
          </w:p>
        </w:tc>
        <w:tc>
          <w:tcPr>
            <w:tcW w:w="4876" w:type="dxa"/>
          </w:tcPr>
          <w:p w:rsidR="008E13A6" w:rsidRPr="00BE42FC" w:rsidRDefault="008E13A6" w:rsidP="003E78B4">
            <w:pPr>
              <w:pStyle w:val="Normal6"/>
              <w:rPr>
                <w:noProof/>
              </w:rPr>
            </w:pPr>
            <w:r w:rsidRPr="00BE42FC">
              <w:lastRenderedPageBreak/>
              <w:t>(8)</w:t>
            </w:r>
            <w:r w:rsidRPr="00BE42FC">
              <w:tab/>
              <w:t>A [2018/XXX] rendelet az Integrált Határigazgatási Alap részeként létrehozza a vámellenőrzési berendezési eszközt</w:t>
            </w:r>
            <w:r w:rsidRPr="00BE42FC">
              <w:rPr>
                <w:rStyle w:val="Sup"/>
                <w:color w:val="auto"/>
              </w:rPr>
              <w:t>22</w:t>
            </w:r>
            <w:r w:rsidRPr="00BE42FC">
              <w:t xml:space="preserve"> (a továbbiakban: VEB eszköz). A vámügyekkel és vámellenőrzési berendezésekkel kapcsolatos valamennyi együttműködési tevékenység </w:t>
            </w:r>
            <w:r w:rsidRPr="00BE42FC">
              <w:lastRenderedPageBreak/>
              <w:t>koherenciájának és horizontális összehangolásának megőrzése érdekében helyénvaló minden ilyen tevékenységet egyetlen egységes jogi aktus és szabályrendszer</w:t>
            </w:r>
            <w:r w:rsidRPr="00BE42FC">
              <w:rPr>
                <w:b/>
                <w:i/>
              </w:rPr>
              <w:t xml:space="preserve"> alapján végrehajtani</w:t>
            </w:r>
            <w:r w:rsidRPr="00BE42FC">
              <w:t xml:space="preserve">, </w:t>
            </w:r>
            <w:r w:rsidRPr="00BE42FC">
              <w:rPr>
                <w:b/>
                <w:i/>
              </w:rPr>
              <w:t>mely jogi aktust és szabályrendszert</w:t>
            </w:r>
            <w:r w:rsidRPr="00BE42FC">
              <w:t xml:space="preserve"> e rendelet </w:t>
            </w:r>
            <w:r w:rsidRPr="00BE42FC">
              <w:rPr>
                <w:b/>
                <w:i/>
              </w:rPr>
              <w:t>jelenti</w:t>
            </w:r>
            <w:r w:rsidRPr="00BE42FC">
              <w:t>. Ezért a VEB eszköz csak a támogatható berendezések beszerzését, karbantartását és korszerűsítését támogathatja, miközben ennek a programnak kell támogatnia minden egyéb kapcsolódó tevékenységet, például a berendezési szükségletek felméréséhez szükséges együttműködési intézkedéseket vagy adott esetben a megvásárolt berendezésekkel kapcsolatos képzést.</w:t>
            </w:r>
          </w:p>
        </w:tc>
      </w:tr>
      <w:tr w:rsidR="008E13A6" w:rsidRPr="00987CCF" w:rsidTr="003E78B4">
        <w:trPr>
          <w:jc w:val="center"/>
        </w:trPr>
        <w:tc>
          <w:tcPr>
            <w:tcW w:w="4876" w:type="dxa"/>
          </w:tcPr>
          <w:p w:rsidR="008E13A6" w:rsidRPr="00BE42FC" w:rsidRDefault="008E13A6" w:rsidP="003E78B4">
            <w:pPr>
              <w:pStyle w:val="Normal6"/>
              <w:rPr>
                <w:noProof/>
              </w:rPr>
            </w:pPr>
            <w:r w:rsidRPr="00BE42FC">
              <w:lastRenderedPageBreak/>
              <w:t>_________________</w:t>
            </w:r>
          </w:p>
        </w:tc>
        <w:tc>
          <w:tcPr>
            <w:tcW w:w="4876" w:type="dxa"/>
          </w:tcPr>
          <w:p w:rsidR="008E13A6" w:rsidRPr="00BE42FC" w:rsidRDefault="008E13A6" w:rsidP="003E78B4">
            <w:pPr>
              <w:pStyle w:val="Normal6"/>
              <w:rPr>
                <w:noProof/>
              </w:rPr>
            </w:pPr>
            <w:r w:rsidRPr="00BE42FC">
              <w:t>_________________</w:t>
            </w:r>
          </w:p>
        </w:tc>
      </w:tr>
      <w:tr w:rsidR="008E13A6" w:rsidRPr="00987CCF" w:rsidTr="003E78B4">
        <w:trPr>
          <w:jc w:val="center"/>
        </w:trPr>
        <w:tc>
          <w:tcPr>
            <w:tcW w:w="4876" w:type="dxa"/>
          </w:tcPr>
          <w:p w:rsidR="008E13A6" w:rsidRPr="00BE42FC" w:rsidRDefault="008E13A6" w:rsidP="003E78B4">
            <w:pPr>
              <w:pStyle w:val="Normal6"/>
              <w:rPr>
                <w:noProof/>
              </w:rPr>
            </w:pPr>
            <w:r w:rsidRPr="00BE42FC">
              <w:rPr>
                <w:rStyle w:val="Sup"/>
                <w:color w:val="auto"/>
              </w:rPr>
              <w:t>22</w:t>
            </w:r>
            <w:r w:rsidRPr="00BE42FC">
              <w:t xml:space="preserve"> Javaslat: Az Európai Parlament és a Tanács rendelete az Integrált Határigazgatási Alap részét képező, a vámellenőrzési berendezésekhez nyújtott pénzügyi támogatást szolgáló eszköz létrehozásáról.</w:t>
            </w:r>
          </w:p>
        </w:tc>
        <w:tc>
          <w:tcPr>
            <w:tcW w:w="4876" w:type="dxa"/>
          </w:tcPr>
          <w:p w:rsidR="008E13A6" w:rsidRPr="00BE42FC" w:rsidRDefault="008E13A6" w:rsidP="003E78B4">
            <w:pPr>
              <w:pStyle w:val="Normal6"/>
              <w:rPr>
                <w:noProof/>
              </w:rPr>
            </w:pPr>
            <w:r w:rsidRPr="00BE42FC">
              <w:rPr>
                <w:rStyle w:val="Sup"/>
                <w:color w:val="auto"/>
              </w:rPr>
              <w:t>22</w:t>
            </w:r>
            <w:r w:rsidRPr="00BE42FC">
              <w:t xml:space="preserve"> Javaslat: Az Európai Parlament és a Tanács rendelete az Integrált Határigazgatási Alap részét képező, a vámellenőrzési berendezésekhez nyújtott pénzügyi támogatást szolgáló eszköz létrehozásáról.</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11</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10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(10)</w:t>
            </w:r>
            <w:r w:rsidRPr="00BE42FC">
              <w:tab/>
              <w:t xml:space="preserve">A globalizáció fontosságára figyelemmel a programnak továbbra is lehetőséget kell biztosítania külső szakértők költségvetési rendelet 238. cikke szerinti bevonására. </w:t>
            </w:r>
            <w:r w:rsidRPr="00BE42FC">
              <w:rPr>
                <w:b/>
                <w:i/>
              </w:rPr>
              <w:t xml:space="preserve">Ezeknek </w:t>
            </w:r>
            <w:r w:rsidRPr="00BE42FC">
              <w:t xml:space="preserve">a külső </w:t>
            </w:r>
            <w:r w:rsidRPr="00BE42FC">
              <w:rPr>
                <w:b/>
                <w:i/>
              </w:rPr>
              <w:t>szakértőknek</w:t>
            </w:r>
            <w:r w:rsidRPr="00BE42FC">
              <w:t xml:space="preserve"> elsősorban kormányzati </w:t>
            </w:r>
            <w:r w:rsidRPr="00BE42FC">
              <w:rPr>
                <w:b/>
                <w:i/>
              </w:rPr>
              <w:t>szerveket</w:t>
            </w:r>
            <w:r w:rsidRPr="00BE42FC">
              <w:t xml:space="preserve"> – köztük a programhoz nem társult harmadik országok kormányzati </w:t>
            </w:r>
            <w:r w:rsidRPr="00BE42FC">
              <w:rPr>
                <w:b/>
                <w:i/>
              </w:rPr>
              <w:t>szerveit</w:t>
            </w:r>
            <w:r w:rsidRPr="00BE42FC">
              <w:t xml:space="preserve"> –, valamint nemzetközi </w:t>
            </w:r>
            <w:r w:rsidRPr="00BE42FC">
              <w:rPr>
                <w:b/>
                <w:i/>
              </w:rPr>
              <w:t>szervezeteket</w:t>
            </w:r>
            <w:r w:rsidRPr="00BE42FC">
              <w:t xml:space="preserve">, a </w:t>
            </w:r>
            <w:r w:rsidRPr="00BE42FC">
              <w:rPr>
                <w:b/>
                <w:i/>
              </w:rPr>
              <w:t>gazdálkodókat</w:t>
            </w:r>
            <w:r w:rsidRPr="00BE42FC">
              <w:t xml:space="preserve"> vagy a civil </w:t>
            </w:r>
            <w:r w:rsidRPr="00BE42FC">
              <w:rPr>
                <w:b/>
                <w:i/>
              </w:rPr>
              <w:t>társadalmat</w:t>
            </w:r>
            <w:r w:rsidRPr="00BE42FC">
              <w:t xml:space="preserve"> kell </w:t>
            </w:r>
            <w:r w:rsidRPr="00BE42FC">
              <w:rPr>
                <w:b/>
                <w:i/>
              </w:rPr>
              <w:t>képviselniük</w:t>
            </w:r>
            <w:r w:rsidRPr="00BE42FC">
              <w:t>.</w:t>
            </w:r>
          </w:p>
        </w:tc>
        <w:tc>
          <w:tcPr>
            <w:tcW w:w="4876" w:type="dxa"/>
          </w:tcPr>
          <w:p w:rsidR="008E13A6" w:rsidRPr="00BE42FC" w:rsidRDefault="008E13A6" w:rsidP="003E78B4">
            <w:pPr>
              <w:pStyle w:val="Normal6"/>
              <w:rPr>
                <w:noProof/>
              </w:rPr>
            </w:pPr>
            <w:r w:rsidRPr="00BE42FC">
              <w:t>(10)</w:t>
            </w:r>
            <w:r w:rsidRPr="00BE42FC">
              <w:tab/>
              <w:t xml:space="preserve">A globalizáció fontosságára figyelemmel a programnak továbbra is lehetőséget kell biztosítania külső szakértők költségvetési rendelet 238. cikke szerinti bevonására. A külső </w:t>
            </w:r>
            <w:r w:rsidRPr="00BE42FC">
              <w:rPr>
                <w:b/>
                <w:i/>
              </w:rPr>
              <w:t>szakértők e körét</w:t>
            </w:r>
            <w:r w:rsidRPr="00BE42FC">
              <w:t xml:space="preserve"> elsősorban </w:t>
            </w:r>
            <w:r w:rsidRPr="00BE42FC">
              <w:rPr>
                <w:b/>
                <w:i/>
              </w:rPr>
              <w:t xml:space="preserve">a </w:t>
            </w:r>
            <w:r w:rsidRPr="00BE42FC">
              <w:t xml:space="preserve">kormányzati </w:t>
            </w:r>
            <w:r w:rsidRPr="00BE42FC">
              <w:rPr>
                <w:b/>
                <w:i/>
              </w:rPr>
              <w:t>szervek</w:t>
            </w:r>
            <w:r w:rsidRPr="00BE42FC">
              <w:t xml:space="preserve"> – köztük a programhoz nem társult harmadik országok kormányzati </w:t>
            </w:r>
            <w:r w:rsidRPr="00BE42FC">
              <w:rPr>
                <w:b/>
                <w:i/>
              </w:rPr>
              <w:t>szervei</w:t>
            </w:r>
            <w:r w:rsidRPr="00BE42FC">
              <w:t xml:space="preserve"> –</w:t>
            </w:r>
            <w:r w:rsidRPr="00BE42FC">
              <w:rPr>
                <w:b/>
                <w:i/>
              </w:rPr>
              <w:t xml:space="preserve"> képviselőinek</w:t>
            </w:r>
            <w:r w:rsidRPr="00BE42FC">
              <w:t xml:space="preserve">, valamint </w:t>
            </w:r>
            <w:r w:rsidRPr="00BE42FC">
              <w:rPr>
                <w:b/>
                <w:i/>
              </w:rPr>
              <w:t xml:space="preserve">a tudományos élet szereplőinek és a </w:t>
            </w:r>
            <w:r w:rsidRPr="00BE42FC">
              <w:t xml:space="preserve">nemzetközi </w:t>
            </w:r>
            <w:r w:rsidRPr="00BE42FC">
              <w:rPr>
                <w:b/>
                <w:i/>
              </w:rPr>
              <w:t>szervezetek</w:t>
            </w:r>
            <w:r w:rsidRPr="00BE42FC">
              <w:t xml:space="preserve">, a </w:t>
            </w:r>
            <w:r w:rsidRPr="00BE42FC">
              <w:rPr>
                <w:b/>
                <w:i/>
              </w:rPr>
              <w:t>gazdálkodók</w:t>
            </w:r>
            <w:r w:rsidRPr="00BE42FC">
              <w:t xml:space="preserve"> vagy a civil </w:t>
            </w:r>
            <w:r w:rsidRPr="00BE42FC">
              <w:rPr>
                <w:b/>
                <w:i/>
              </w:rPr>
              <w:t>társadalom képviselőinek</w:t>
            </w:r>
            <w:r w:rsidRPr="00BE42FC">
              <w:t xml:space="preserve"> kell </w:t>
            </w:r>
            <w:r w:rsidRPr="00BE42FC">
              <w:rPr>
                <w:b/>
                <w:i/>
              </w:rPr>
              <w:t>alkotnia</w:t>
            </w:r>
            <w:r w:rsidRPr="00BE42FC">
              <w: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12</w:t>
      </w:r>
      <w:r>
        <w:rPr>
          <w:rStyle w:val="HideTWBExt"/>
        </w:rPr>
        <w:t>&lt;/NumAm&gt;</w:t>
      </w:r>
    </w:p>
    <w:p w:rsidR="008E13A6" w:rsidRPr="00987CCF" w:rsidRDefault="008E13A6" w:rsidP="001B4A4D">
      <w:pPr>
        <w:pStyle w:val="NormalBold12b"/>
        <w:rPr>
          <w:noProof/>
        </w:rPr>
      </w:pPr>
      <w:r>
        <w:rPr>
          <w:rStyle w:val="HideTWBExt"/>
        </w:rPr>
        <w:lastRenderedPageBreak/>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12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(12)</w:t>
            </w:r>
            <w:r w:rsidRPr="00BE42FC">
              <w:tab/>
            </w:r>
            <w:r w:rsidRPr="00BE42FC">
              <w:rPr>
                <w:b/>
                <w:i/>
              </w:rPr>
              <w:t>Az informatikai kapacitásépítési intézkedéseknek vonzzák a program költségvetésének legnagyobb részét</w:t>
            </w:r>
            <w:r w:rsidRPr="00BE42FC">
              <w:t>. Egyedi rendelkezéseknek kell leírniuk az európai elektronikus rendszerek közös, illetve nemzeti összetevőit. Ezenkívül egyértelműen meg kell határozni a Bizottság és a tagállamok intézkedési körét és feladatait.</w:t>
            </w:r>
          </w:p>
        </w:tc>
        <w:tc>
          <w:tcPr>
            <w:tcW w:w="4876" w:type="dxa"/>
          </w:tcPr>
          <w:p w:rsidR="008E13A6" w:rsidRPr="00BE42FC" w:rsidRDefault="008E13A6" w:rsidP="003E78B4">
            <w:pPr>
              <w:pStyle w:val="Normal6"/>
              <w:rPr>
                <w:noProof/>
              </w:rPr>
            </w:pPr>
            <w:r w:rsidRPr="00BE42FC">
              <w:t>(12)</w:t>
            </w:r>
            <w:r w:rsidRPr="00BE42FC">
              <w:tab/>
            </w:r>
            <w:r w:rsidRPr="00BE42FC">
              <w:rPr>
                <w:b/>
                <w:i/>
              </w:rPr>
              <w:t>A program költségvetésének java része várhatóan az informatikai kapacitásépítési intézkedéseket szolgálja majd</w:t>
            </w:r>
            <w:r w:rsidRPr="00BE42FC">
              <w:t>. Egyedi rendelkezéseknek kell leírniuk az európai elektronikus rendszerek közös, illetve nemzeti összetevőit. Ezenkívül egyértelműen meg kell határozni a Bizottság és a tagállamok intézkedési körét és feladatait.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13</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14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(14)</w:t>
            </w:r>
            <w:r w:rsidRPr="00BE42FC">
              <w:tab/>
              <w:t xml:space="preserve">Ezt a rendeletet munkaprogramok útján kell végrehajtani. A kitűzött célok középtávú és hosszú távú jellegére, valamint a korábban szerzett tapasztalatokra tekintettel a </w:t>
            </w:r>
            <w:r w:rsidRPr="00BE42FC">
              <w:rPr>
                <w:b/>
                <w:i/>
              </w:rPr>
              <w:t>munkaprogramokat</w:t>
            </w:r>
            <w:r w:rsidRPr="00BE42FC">
              <w:t xml:space="preserve"> több </w:t>
            </w:r>
            <w:r w:rsidRPr="00BE42FC">
              <w:rPr>
                <w:b/>
                <w:i/>
              </w:rPr>
              <w:t>évre kiterjedően kell kialakítani</w:t>
            </w:r>
            <w:r w:rsidRPr="00BE42FC">
              <w:t xml:space="preserve">. Az éves munkaprogramokról a többéves munkaprogramokra való átállás </w:t>
            </w:r>
            <w:r w:rsidRPr="00BE42FC">
              <w:rPr>
                <w:b/>
                <w:i/>
              </w:rPr>
              <w:t>csökkenteni fogja</w:t>
            </w:r>
            <w:r w:rsidRPr="00BE42FC">
              <w:t xml:space="preserve"> mind a Bizottság, mind a tagállamok adminisztratív terheit.</w:t>
            </w:r>
          </w:p>
        </w:tc>
        <w:tc>
          <w:tcPr>
            <w:tcW w:w="4876" w:type="dxa"/>
          </w:tcPr>
          <w:p w:rsidR="008E13A6" w:rsidRPr="00BE42FC" w:rsidRDefault="008E13A6" w:rsidP="003E78B4">
            <w:pPr>
              <w:pStyle w:val="Normal6"/>
              <w:rPr>
                <w:noProof/>
              </w:rPr>
            </w:pPr>
            <w:r w:rsidRPr="00BE42FC">
              <w:t>(14)</w:t>
            </w:r>
            <w:r w:rsidRPr="00BE42FC">
              <w:tab/>
              <w:t xml:space="preserve">Ezt a rendeletet munkaprogramok útján kell végrehajtani. A kitűzött célok középtávú és hosszú távú jellegére, valamint a korábban szerzett tapasztalatokra tekintettel a </w:t>
            </w:r>
            <w:r w:rsidRPr="00BE42FC">
              <w:rPr>
                <w:b/>
                <w:i/>
              </w:rPr>
              <w:t>munkaprogramok</w:t>
            </w:r>
            <w:r w:rsidRPr="00BE42FC">
              <w:t xml:space="preserve"> több </w:t>
            </w:r>
            <w:r w:rsidRPr="00BE42FC">
              <w:rPr>
                <w:b/>
                <w:i/>
              </w:rPr>
              <w:t>– az esetlegesen szükséges kiigazítások lehetővé tétele érdekében azonban legfeljebb három – évet ölelhetnek fel</w:t>
            </w:r>
            <w:r w:rsidRPr="00BE42FC">
              <w:t xml:space="preserve">. Az éves munkaprogramokról a többéves munkaprogramokra való átállás </w:t>
            </w:r>
            <w:r w:rsidRPr="00BE42FC">
              <w:rPr>
                <w:b/>
                <w:i/>
              </w:rPr>
              <w:t>csökkentheti</w:t>
            </w:r>
            <w:r w:rsidRPr="00BE42FC">
              <w:t xml:space="preserve"> mind a Bizottság, mind a tagállamok adminisztratív terheit.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14</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17 preambulumbekezdés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(17)</w:t>
            </w:r>
            <w:r w:rsidRPr="00BE42FC">
              <w:tab/>
              <w:t xml:space="preserve">Annak érdekében, hogy megfelelő módon lehessen reagálni a szakpolitikai prioritások változásaira, a Bizottságnak felhatalmazást kell kapnia arra, hogy az </w:t>
            </w:r>
            <w:r w:rsidRPr="00BE42FC">
              <w:lastRenderedPageBreak/>
              <w:t xml:space="preserve">Európai Unió működéséről szóló szerződés 290. cikkének megfelelően jogi aktusokat fogadjon el a program különös célkitűzései megvalósulásának mérésére szolgáló mutatók jegyzékének módosítására vonatkozóan. Különösen fontos, hogy a Bizottság az előkészítő munkája során megfelelő konzultációkat folytasson, többek között szakértői szinten is,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w:t>
            </w:r>
            <w:r w:rsidRPr="00BE42FC">
              <w:rPr>
                <w:b/>
                <w:i/>
              </w:rPr>
              <w:t>kap</w:t>
            </w:r>
            <w:r w:rsidRPr="00BE42FC">
              <w:t xml:space="preserve"> kézhez minden dokumentumot, és szakértőik rendszeresen részt vehetnek a Bizottság felhatalmazáson alapuló jogi aktusok előkészítésével foglalkozó szakértői csoportjainak ülésein.</w:t>
            </w:r>
          </w:p>
        </w:tc>
        <w:tc>
          <w:tcPr>
            <w:tcW w:w="4876" w:type="dxa"/>
          </w:tcPr>
          <w:p w:rsidR="008E13A6" w:rsidRPr="00BE42FC" w:rsidRDefault="008E13A6" w:rsidP="003E78B4">
            <w:pPr>
              <w:pStyle w:val="Normal6"/>
              <w:rPr>
                <w:noProof/>
              </w:rPr>
            </w:pPr>
            <w:r w:rsidRPr="00BE42FC">
              <w:lastRenderedPageBreak/>
              <w:t>(17)</w:t>
            </w:r>
            <w:r w:rsidRPr="00BE42FC">
              <w:tab/>
              <w:t xml:space="preserve">Annak érdekében, hogy megfelelő módon lehessen reagálni a szakpolitikai prioritások változásaira, a Bizottságnak felhatalmazást kell kapnia arra, hogy az </w:t>
            </w:r>
            <w:r w:rsidRPr="00BE42FC">
              <w:lastRenderedPageBreak/>
              <w:t xml:space="preserve">Európai Unió működéséről szóló szerződés 290. cikkének megfelelően jogi aktusokat fogadjon el a program különös célkitűzései megvalósulásának mérésére szolgáló mutatók jegyzékének módosítására vonatkozóan. Különösen fontos, hogy a Bizottság az előkészítő munkája során megfelelő konzultációkat folytasson, többek között szakértői szinten is,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w:t>
            </w:r>
            <w:r w:rsidRPr="00BE42FC">
              <w:rPr>
                <w:b/>
                <w:i/>
              </w:rPr>
              <w:t>kell, hogy</w:t>
            </w:r>
            <w:r w:rsidRPr="00BE42FC">
              <w:t xml:space="preserve"> kézhez</w:t>
            </w:r>
            <w:r w:rsidRPr="00BE42FC">
              <w:rPr>
                <w:b/>
                <w:i/>
              </w:rPr>
              <w:t xml:space="preserve"> kapjon</w:t>
            </w:r>
            <w:r w:rsidRPr="00BE42FC">
              <w:t xml:space="preserve"> minden dokumentumot, és szakértőik rendszeresen részt vehetnek a Bizottság felhatalmazáson alapuló jogi aktusok előkészítésével foglalkozó szakértői csoportjainak ülésein.</w:t>
            </w:r>
          </w:p>
        </w:tc>
      </w:tr>
    </w:tbl>
    <w:p w:rsidR="008E13A6" w:rsidRPr="00987CCF" w:rsidRDefault="008E13A6" w:rsidP="001B4A4D">
      <w:pPr>
        <w:rPr>
          <w:noProof/>
        </w:rPr>
      </w:pPr>
      <w:r>
        <w:rPr>
          <w:rStyle w:val="HideTWBExt"/>
        </w:rPr>
        <w:lastRenderedPageBreak/>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15</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3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w:t>
            </w:r>
            <w:r w:rsidRPr="00BE42FC">
              <w:tab/>
            </w:r>
            <w:r w:rsidRPr="00BE42FC">
              <w:rPr>
                <w:b/>
                <w:i/>
              </w:rPr>
              <w:t>A</w:t>
            </w:r>
            <w:r w:rsidRPr="00BE42FC">
              <w:t xml:space="preserve"> program általános célkitűzése, hogy támogassa a vámuniót és a vámhatóságokat az Unió és tagállamai pénzügyi és gazdasági érdekeinek védelme, az Unió biztonságának és védelmének biztosítása, valamint az Uniónak a tisztességtelen és illegális kereskedelem elleni védelme érdekében, miközben megkönnyíti a törvényes üzleti tevékenység végzését.</w:t>
            </w:r>
          </w:p>
        </w:tc>
        <w:tc>
          <w:tcPr>
            <w:tcW w:w="4876" w:type="dxa"/>
          </w:tcPr>
          <w:p w:rsidR="008E13A6" w:rsidRPr="00BE42FC" w:rsidRDefault="008E13A6" w:rsidP="003E78B4">
            <w:pPr>
              <w:pStyle w:val="Normal6"/>
              <w:rPr>
                <w:noProof/>
              </w:rPr>
            </w:pPr>
            <w:r w:rsidRPr="00BE42FC">
              <w:t>(1)</w:t>
            </w:r>
            <w:r w:rsidRPr="00BE42FC">
              <w:tab/>
            </w:r>
            <w:r w:rsidRPr="00BE42FC">
              <w:rPr>
                <w:b/>
                <w:i/>
              </w:rPr>
              <w:t>Azon hosszú távú cél érdekében, hogy az Unión belül az összes vámigazgatási szerv úgy működjön együtt, mintha egyetlen szerv lenne, a</w:t>
            </w:r>
            <w:r w:rsidRPr="00BE42FC">
              <w:t xml:space="preserve"> program általános célkitűzése, hogy támogassa a vámuniót és a vámhatóságokat az Unió és tagállamai pénzügyi és gazdasági érdekeinek védelme, az Unió biztonságának és védelmének biztosítása, valamint az Uniónak a tisztességtelen és illegális kereskedelem elleni védelme érdekében, miközben megkönnyíti a törvényes üzleti tevékenység végzését.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16</w:t>
      </w:r>
      <w:r>
        <w:rPr>
          <w:rStyle w:val="HideTWBExt"/>
        </w:rPr>
        <w:t>&lt;/NumAm&gt;</w:t>
      </w:r>
    </w:p>
    <w:p w:rsidR="008E13A6" w:rsidRPr="00987CCF" w:rsidRDefault="008E13A6" w:rsidP="001B4A4D">
      <w:pPr>
        <w:pStyle w:val="NormalBold12b"/>
        <w:rPr>
          <w:noProof/>
        </w:rPr>
      </w:pPr>
      <w:r>
        <w:rPr>
          <w:rStyle w:val="HideTWBExt"/>
        </w:rPr>
        <w:lastRenderedPageBreak/>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3 cikk – 2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(2)</w:t>
            </w:r>
            <w:r w:rsidRPr="00BE42FC">
              <w:tab/>
              <w:t xml:space="preserve">A program egyedi célkitűzése, hogy támogassa a vámjogszabályok és a vámügyi szakpolitika előkészítését és egységes végrehajtását, </w:t>
            </w:r>
            <w:r w:rsidRPr="00BE42FC">
              <w:rPr>
                <w:b/>
                <w:i/>
              </w:rPr>
              <w:t>valamint</w:t>
            </w:r>
            <w:r w:rsidRPr="00BE42FC">
              <w:t xml:space="preserve"> a vámügyi együttműködést és az adminisztratív </w:t>
            </w:r>
            <w:r w:rsidRPr="00BE42FC">
              <w:rPr>
                <w:b/>
                <w:i/>
              </w:rPr>
              <w:t>kapacitásépítést</w:t>
            </w:r>
            <w:r w:rsidRPr="00BE42FC">
              <w:t>, beleértve az emberi képességfejlesztést és az európai elektronikus rendszerek kifejlesztését és működtetését.</w:t>
            </w:r>
          </w:p>
        </w:tc>
        <w:tc>
          <w:tcPr>
            <w:tcW w:w="4876" w:type="dxa"/>
          </w:tcPr>
          <w:p w:rsidR="008E13A6" w:rsidRPr="00BE42FC" w:rsidRDefault="008E13A6" w:rsidP="003E78B4">
            <w:pPr>
              <w:pStyle w:val="Normal6"/>
              <w:rPr>
                <w:noProof/>
              </w:rPr>
            </w:pPr>
            <w:r w:rsidRPr="00BE42FC">
              <w:t>(2)</w:t>
            </w:r>
            <w:r w:rsidRPr="00BE42FC">
              <w:tab/>
              <w:t xml:space="preserve">A program egyedi célkitűzése, hogy támogassa a vámjogszabályok és a vámügyi szakpolitika előkészítését és egységes végrehajtását, </w:t>
            </w:r>
            <w:r w:rsidRPr="00BE42FC">
              <w:rPr>
                <w:b/>
                <w:i/>
              </w:rPr>
              <w:t>segítse</w:t>
            </w:r>
            <w:r w:rsidRPr="00BE42FC">
              <w:t xml:space="preserve"> a vámügyi együttműködést és az adminisztratív </w:t>
            </w:r>
            <w:r w:rsidRPr="00BE42FC">
              <w:rPr>
                <w:b/>
                <w:i/>
              </w:rPr>
              <w:t>kapacitásbővítést</w:t>
            </w:r>
            <w:r w:rsidRPr="00BE42FC">
              <w:t>, beleértve az emberi képességfejlesztést és az európai elektronikus rendszerek</w:t>
            </w:r>
            <w:r w:rsidRPr="00BE42FC">
              <w:rPr>
                <w:b/>
                <w:i/>
              </w:rPr>
              <w:t xml:space="preserve"> időben történő</w:t>
            </w:r>
            <w:r w:rsidRPr="00BE42FC">
              <w:t xml:space="preserve"> kifejlesztését</w:t>
            </w:r>
            <w:r w:rsidRPr="00BE42FC">
              <w:rPr>
                <w:b/>
                <w:i/>
              </w:rPr>
              <w:t>, telepítését, karbantartását</w:t>
            </w:r>
            <w:r w:rsidRPr="00BE42FC">
              <w:t xml:space="preserve"> és működtetését</w:t>
            </w:r>
            <w:r w:rsidRPr="00BE42FC">
              <w:rPr>
                <w:b/>
                <w:i/>
              </w:rPr>
              <w:t>, valamint az e rendelet 12. cikkében meghatározott többéves vámügyi stratégiai tervnek megfelelő papírmentes környezetre és kereskedelemre történő zavartalan átállást. Említést érdemel, hogy a program révén a tagállamok költségeket takarítanak meg, mivel az olyan infrastruktúrát és kapacitásokat biztosít, amelyeket nem a nemzeti vámügyi költségvetések felhasználásával kell kialakítani, illetve egymással párhuzamosan fenntartani.</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17</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3 cikk – 2 a bekezdés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(2a)</w:t>
            </w:r>
            <w:r w:rsidRPr="00BE42FC">
              <w:tab/>
            </w:r>
            <w:r w:rsidRPr="00BE42FC">
              <w:rPr>
                <w:b/>
                <w:i/>
              </w:rPr>
              <w:t>A program a hiányosságok, valamint az esetleges fejlesztési lehetőségek feltárása érdekében a vámhatóságok közötti együttműködés folyamatos értékelését és nyomon követését is támogatja.</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18</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rPr>
        <w:t>&lt;Article&gt;</w:t>
      </w:r>
      <w:r w:rsidRPr="00BE42FC">
        <w:t>4 cikk – 1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hideMark/>
          </w:tcPr>
          <w:p w:rsidR="008E13A6" w:rsidRPr="00BE42FC" w:rsidRDefault="008E13A6" w:rsidP="003E78B4">
            <w:pPr>
              <w:pStyle w:val="Normal6"/>
              <w:rPr>
                <w:noProof/>
              </w:rPr>
            </w:pPr>
            <w:r w:rsidRPr="00BE42FC">
              <w:t>(1)</w:t>
            </w:r>
            <w:r w:rsidRPr="00BE42FC">
              <w:tab/>
              <w:t>A programnak a 2021–2027 közötti időszakban történő végrehajtására szánt pénzügyi keretösszeg folyó áron 950 000 000 EUR.</w:t>
            </w:r>
          </w:p>
        </w:tc>
        <w:tc>
          <w:tcPr>
            <w:tcW w:w="4876" w:type="dxa"/>
            <w:hideMark/>
          </w:tcPr>
          <w:p w:rsidR="008E13A6" w:rsidRPr="00BE42FC" w:rsidRDefault="008E13A6" w:rsidP="003E78B4">
            <w:pPr>
              <w:pStyle w:val="Normal6"/>
              <w:rPr>
                <w:noProof/>
                <w:szCs w:val="24"/>
              </w:rPr>
            </w:pPr>
            <w:r w:rsidRPr="00BE42FC">
              <w:t>(1)</w:t>
            </w:r>
            <w:r w:rsidRPr="00BE42FC">
              <w:tab/>
              <w:t xml:space="preserve">A programnak a 2021–2027 közötti időszakban történő végrehajtására szánt pénzügyi keretösszeg </w:t>
            </w:r>
            <w:r w:rsidRPr="00BE42FC">
              <w:rPr>
                <w:b/>
                <w:i/>
              </w:rPr>
              <w:t>2018-as árakon 842 844 000 EUR (</w:t>
            </w:r>
            <w:r w:rsidRPr="00BE42FC">
              <w:t>folyó áron 950 000 000 EUR</w:t>
            </w:r>
            <w:r w:rsidRPr="00BE42FC">
              <w:rPr>
                <w:b/>
                <w:i/>
              </w:rPr>
              <w:t>)</w:t>
            </w:r>
            <w:r w:rsidRPr="00BE42FC">
              <w: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19</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rPr>
        <w:t>&lt;Article&gt;</w:t>
      </w:r>
      <w:r w:rsidRPr="00BE42FC">
        <w:t>4 cikk – 2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hideMark/>
          </w:tcPr>
          <w:p w:rsidR="008E13A6" w:rsidRPr="00BE42FC" w:rsidRDefault="008E13A6" w:rsidP="003E78B4">
            <w:pPr>
              <w:pStyle w:val="Normal6"/>
              <w:rPr>
                <w:noProof/>
              </w:rPr>
            </w:pPr>
            <w:r w:rsidRPr="00BE42FC">
              <w:t>(2)</w:t>
            </w:r>
            <w:r w:rsidRPr="00BE42FC">
              <w:tab/>
              <w:t>Az (1) bekezdésben említett összeg továbbá fedezheti a program irányításával</w:t>
            </w:r>
            <w:r w:rsidRPr="00BE42FC">
              <w:rPr>
                <w:b/>
                <w:i/>
              </w:rPr>
              <w:t xml:space="preserve"> és</w:t>
            </w:r>
            <w:r w:rsidRPr="00BE42FC">
              <w:t xml:space="preserve"> a program célkitűzései megvalósításának értékelésével kapcsolatos előkészítési, nyomonkövetési, kontroll-, ellenőrzési, értékelési és egyéb tevékenységekre vonatkozó költségeket. Az összeg ezenfelül fedezheti a tanulmányokkal, szakértői ülésekkel, tájékoztatási és kommunikációs intézkedésekkel kapcsolatos kiadásokat, amelyek kapcsolódnak a program célkitűzéseihez, továbbá az információk feldolgozására és cseréjére összpontosító IT-hálózatokkal – többek között az intézményi IT-eszközökkel – kapcsolatos kiadásokat, valamint a program irányítása tekintetében felmerült minden egyéb technikai és igazgatási segítségnyújtási költséget.</w:t>
            </w:r>
          </w:p>
        </w:tc>
        <w:tc>
          <w:tcPr>
            <w:tcW w:w="4876" w:type="dxa"/>
            <w:hideMark/>
          </w:tcPr>
          <w:p w:rsidR="008E13A6" w:rsidRPr="00BE42FC" w:rsidRDefault="008E13A6" w:rsidP="003E78B4">
            <w:pPr>
              <w:pStyle w:val="Normal6"/>
              <w:rPr>
                <w:noProof/>
                <w:szCs w:val="24"/>
              </w:rPr>
            </w:pPr>
            <w:r w:rsidRPr="00BE42FC">
              <w:t>(2)</w:t>
            </w:r>
            <w:r w:rsidRPr="00BE42FC">
              <w:tab/>
              <w:t>Az (1) bekezdésben említett összeg továbbá fedezheti a program irányításával</w:t>
            </w:r>
            <w:r w:rsidRPr="00BE42FC">
              <w:rPr>
                <w:b/>
                <w:i/>
              </w:rPr>
              <w:t>, valamint</w:t>
            </w:r>
            <w:r w:rsidRPr="00BE42FC">
              <w:t xml:space="preserve"> a program</w:t>
            </w:r>
            <w:r w:rsidRPr="00BE42FC">
              <w:rPr>
                <w:b/>
                <w:i/>
              </w:rPr>
              <w:t xml:space="preserve"> teljesítményének és</w:t>
            </w:r>
            <w:r w:rsidRPr="00BE42FC">
              <w:t xml:space="preserve"> célkitűzései megvalósításának értékelésével kapcsolatos előkészítési, nyomonkövetési, kontroll-, ellenőrzési, értékelési és egyéb tevékenységekre vonatkozó költségeket. Az összeg ezenfelül fedezheti a tanulmányokkal, szakértői ülésekkel, tájékoztatási és kommunikációs intézkedésekkel kapcsolatos kiadásokat, amelyek kapcsolódnak a program célkitűzéseihez, továbbá az információk feldolgozására és cseréjére összpontosító IT-hálózatokkal – többek között az intézményi IT-eszközökkel – kapcsolatos kiadásokat, valamint a program irányítása tekintetében felmerült minden egyéb technikai és igazgatási segítségnyújtási költséget.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20</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lang w:val="fr-FR"/>
        </w:rPr>
        <w:t>&lt;Article&gt;</w:t>
      </w:r>
      <w:r w:rsidRPr="00BE42FC">
        <w:t>5 cikk – 1 a bekezdés (új)</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lang w:val="fr-FR"/>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hideMark/>
          </w:tcPr>
          <w:p w:rsidR="008E13A6" w:rsidRPr="00BE42FC" w:rsidRDefault="008E13A6" w:rsidP="003E78B4">
            <w:pPr>
              <w:pStyle w:val="Normal6"/>
              <w:rPr>
                <w:noProof/>
                <w:szCs w:val="24"/>
              </w:rPr>
            </w:pPr>
            <w:r w:rsidRPr="00BE42FC">
              <w:rPr>
                <w:b/>
                <w:i/>
              </w:rPr>
              <w:t xml:space="preserve">Az Egyesült Királyságnak az Unióból való, közelgő kilépésével összefüggésben jelenleg nem lehet pontosan megbecsülni </w:t>
            </w:r>
            <w:r w:rsidRPr="00BE42FC">
              <w:rPr>
                <w:b/>
                <w:i/>
              </w:rPr>
              <w:lastRenderedPageBreak/>
              <w:t>azokat a következményeket és költségeket, amelyekkel az Egyesült Királyságnak – mint tagállamnak – a Vám 2020 programból finanszírozott valamennyi meglévő elektronikus vámügyi rendszerről való leválása jár, de amint rendelkezésre állnak adatok, az Európai Parlamentet folyamatosan tájékoztatni kell.</w:t>
            </w:r>
          </w:p>
        </w:tc>
      </w:tr>
    </w:tbl>
    <w:p w:rsidR="008E13A6" w:rsidRPr="00987CCF" w:rsidRDefault="008E13A6" w:rsidP="001B4A4D">
      <w:pPr>
        <w:rPr>
          <w:noProof/>
        </w:rPr>
      </w:pPr>
      <w:r>
        <w:rPr>
          <w:rStyle w:val="HideTWBExt"/>
        </w:rPr>
        <w:lastRenderedPageBreak/>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21</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7 cikk – 2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(2)</w:t>
            </w:r>
            <w:r w:rsidRPr="00BE42FC">
              <w:tab/>
              <w:t>Az (EU) [2018/XXX] rendelet [VEB eszköz] 3. cikkében említett célkitűzéseket megvalósító intézkedéseket kiegészítő vagy támogató intézkedések szintén jogosultak a program keretében történő finanszírozásra.</w:t>
            </w:r>
          </w:p>
        </w:tc>
        <w:tc>
          <w:tcPr>
            <w:tcW w:w="4876" w:type="dxa"/>
          </w:tcPr>
          <w:p w:rsidR="008E13A6" w:rsidRPr="00BE42FC" w:rsidRDefault="008E13A6" w:rsidP="003E78B4">
            <w:pPr>
              <w:pStyle w:val="Normal6"/>
              <w:rPr>
                <w:noProof/>
              </w:rPr>
            </w:pPr>
            <w:r w:rsidRPr="00BE42FC">
              <w:t>(2)</w:t>
            </w:r>
            <w:r w:rsidRPr="00BE42FC">
              <w:tab/>
              <w:t xml:space="preserve">Az (EU) [2018/XXX] rendelet [VEB eszköz] 3. cikkében említett célkitűzéseket megvalósító intézkedéseket kiegészítő vagy támogató intézkedések </w:t>
            </w:r>
            <w:r w:rsidRPr="00BE42FC">
              <w:rPr>
                <w:b/>
                <w:i/>
              </w:rPr>
              <w:t xml:space="preserve">és/vagy az (EU) [2018/XXX] rendelet [csalás elleni program] 2. cikkében említett célkitűzéseket megvalósító intézkedéseket kiegészítő vagy támogató intézkedések </w:t>
            </w:r>
            <w:r w:rsidRPr="00BE42FC">
              <w:t>szintén jogosultak a program keretében történő finanszírozásra.</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22</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7 cikk – 3 bekezdés – 1 albekezdés – b pont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8E13A6"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b)</w:t>
            </w:r>
            <w:r w:rsidRPr="00BE42FC">
              <w:tab/>
              <w:t>projektalapú strukturált együttműködés;</w:t>
            </w:r>
          </w:p>
        </w:tc>
        <w:tc>
          <w:tcPr>
            <w:tcW w:w="4876" w:type="dxa"/>
          </w:tcPr>
          <w:p w:rsidR="008E13A6" w:rsidRPr="00BE42FC" w:rsidRDefault="008E13A6" w:rsidP="003E78B4">
            <w:pPr>
              <w:pStyle w:val="Normal6"/>
              <w:rPr>
                <w:noProof/>
              </w:rPr>
            </w:pPr>
            <w:r w:rsidRPr="00BE42FC">
              <w:t>b)</w:t>
            </w:r>
            <w:r w:rsidRPr="00BE42FC">
              <w:tab/>
              <w:t>projektalapú strukturált együttműködés</w:t>
            </w:r>
            <w:r w:rsidRPr="00BE42FC">
              <w:rPr>
                <w:b/>
                <w:i/>
              </w:rPr>
              <w:t>, például a tagállamok egy csoportjának együttműködése keretében végzett informatikai fejlesztések</w:t>
            </w:r>
            <w:r w:rsidRPr="00BE42FC">
              <w: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23</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7 cikk – 3 bekezdés – 1 albekezdés – e pont – 3 a pont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1B4A4D">
            <w:pPr>
              <w:pStyle w:val="Normal6"/>
              <w:rPr>
                <w:noProof/>
              </w:rPr>
            </w:pPr>
            <w:r w:rsidRPr="00BE42FC">
              <w:rPr>
                <w:b/>
                <w:i/>
              </w:rPr>
              <w:t>3a.</w:t>
            </w:r>
            <w:r w:rsidRPr="00BE42FC">
              <w:tab/>
            </w:r>
            <w:r w:rsidRPr="00BE42FC">
              <w:rPr>
                <w:b/>
                <w:i/>
              </w:rPr>
              <w:t>nyomonkövetési tevékenységek;</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24</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7 cikk – 4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(4)</w:t>
            </w:r>
            <w:r w:rsidRPr="00BE42FC">
              <w:tab/>
              <w:t>A programhoz nem társult harmadik országokkal vagy nemzetközi szervezetekkel való együttműködést szolgáló európai elektronikus rendszerek közös alkotóelemei adaptálásának vagy kiterjesztésének kifejlesztését és működtetését szolgáló intézkedések finanszírozhatók, amennyiben az Unió érdekében állnak. A Bizottság meghozza a szükséges igazgatási rendelkezéseket, amelyek előírhatják az érintett harmadik felek ezen intézkedésekhez nyújtott pénzügyi hozzájárulását.</w:t>
            </w:r>
          </w:p>
        </w:tc>
        <w:tc>
          <w:tcPr>
            <w:tcW w:w="4876" w:type="dxa"/>
          </w:tcPr>
          <w:p w:rsidR="008E13A6" w:rsidRPr="00BE42FC" w:rsidRDefault="008E13A6" w:rsidP="003E78B4">
            <w:pPr>
              <w:pStyle w:val="Normal6"/>
              <w:rPr>
                <w:noProof/>
              </w:rPr>
            </w:pPr>
            <w:r w:rsidRPr="00BE42FC">
              <w:t>(4)</w:t>
            </w:r>
            <w:r w:rsidRPr="00BE42FC">
              <w:tab/>
              <w:t>A programhoz nem társult harmadik országokkal vagy nemzetközi szervezetekkel való együttműködést szolgáló európai elektronikus rendszerek közös alkotóelemei adaptálásának vagy kiterjesztésének kifejlesztését</w:t>
            </w:r>
            <w:r w:rsidRPr="00BE42FC">
              <w:rPr>
                <w:b/>
                <w:i/>
              </w:rPr>
              <w:t>, telepítését, karbantartását</w:t>
            </w:r>
            <w:r w:rsidRPr="00BE42FC">
              <w:t xml:space="preserve"> és működtetését szolgáló intézkedések finanszírozhatók, amennyiben az Unió érdekében állnak. A Bizottság meghozza a szükséges igazgatási rendelkezéseket, amelyek előírhatják az érintett harmadik felek ezen intézkedésekhez nyújtott pénzügyi hozzájárulását.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25</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8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w:t>
            </w:r>
            <w:r w:rsidRPr="00BE42FC">
              <w:tab/>
              <w:t>Ha a 3. cikkben említett célkitűzéseket végrehajtó intézkedések megvalósítása szempontjából előnyös, akkor kormányzati hatóságok képviselői – beleértve az 5. cikk szerint a programhoz nem társult harmadik országok képviselőit is –, nemzetközi és más érintett szervezetek képviselői, a gazdálkodók vagy a gazdálkodókat képviselő szervezetek képviselői, valamint a civil társadalom képviselői külső szakértőként részt vehetnek a program keretében szervezett intézkedésekben.</w:t>
            </w:r>
          </w:p>
        </w:tc>
        <w:tc>
          <w:tcPr>
            <w:tcW w:w="4876" w:type="dxa"/>
          </w:tcPr>
          <w:p w:rsidR="008E13A6" w:rsidRPr="00BE42FC" w:rsidRDefault="008E13A6" w:rsidP="003E78B4">
            <w:pPr>
              <w:pStyle w:val="Normal6"/>
              <w:rPr>
                <w:noProof/>
              </w:rPr>
            </w:pPr>
            <w:r w:rsidRPr="00BE42FC">
              <w:t>(1)</w:t>
            </w:r>
            <w:r w:rsidRPr="00BE42FC">
              <w:tab/>
              <w:t xml:space="preserve">Ha a 3. cikkben említett célkitűzéseket végrehajtó intézkedések megvalósítása szempontjából előnyös, akkor kormányzati hatóságok képviselői – beleértve az 5. cikk szerint a programhoz nem társult harmadik országok képviselőit is –, </w:t>
            </w:r>
            <w:r w:rsidRPr="00BE42FC">
              <w:rPr>
                <w:b/>
                <w:i/>
              </w:rPr>
              <w:t xml:space="preserve">a tudományos élet szereplői, valamint a </w:t>
            </w:r>
            <w:r w:rsidRPr="00BE42FC">
              <w:t>nemzetközi és más érintett szervezetek képviselői, a gazdálkodók vagy a gazdálkodókat képviselő szervezetek képviselői, valamint a civil társadalom képviselői külső szakértőként részt vehetnek a program keretében szervezett intézkedésekben.</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lastRenderedPageBreak/>
        <w:t>&lt;Amend&gt;</w:t>
      </w:r>
      <w:r w:rsidRPr="00BE42FC">
        <w:t>Módosítás</w:t>
      </w:r>
      <w:r w:rsidRPr="00BE42FC">
        <w:tab/>
      </w:r>
      <w:r w:rsidRPr="00BE42FC">
        <w:tab/>
      </w:r>
      <w:r>
        <w:rPr>
          <w:rStyle w:val="HideTWBExt"/>
        </w:rPr>
        <w:t>&lt;NumAm&gt;</w:t>
      </w:r>
      <w:r w:rsidRPr="00BE42FC">
        <w:t>26</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8 cikk – 3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(3)</w:t>
            </w:r>
            <w:r w:rsidRPr="00BE42FC">
              <w:tab/>
              <w:t>A külső szakértőket a Bizottság az adott intézkedés szempontjából releváns készségeik, tapasztalataik és ismereteik alapján választja ki, elkerülve az esetleges összeférhetetlenséget.</w:t>
            </w:r>
          </w:p>
        </w:tc>
        <w:tc>
          <w:tcPr>
            <w:tcW w:w="4876" w:type="dxa"/>
          </w:tcPr>
          <w:p w:rsidR="008E13A6" w:rsidRPr="00BE42FC" w:rsidRDefault="008E13A6" w:rsidP="003E78B4">
            <w:pPr>
              <w:pStyle w:val="Normal6"/>
              <w:rPr>
                <w:noProof/>
              </w:rPr>
            </w:pPr>
            <w:r w:rsidRPr="00BE42FC">
              <w:t>(3)</w:t>
            </w:r>
            <w:r w:rsidRPr="00BE42FC">
              <w:tab/>
              <w:t>A külső szakértőket a Bizottság az adott intézkedés szempontjából releváns készségeik, tapasztalataik és ismereteik alapján választja ki, elkerülve az esetleges összeférhetetlenséget</w:t>
            </w:r>
            <w:r w:rsidRPr="00BE42FC">
              <w:rPr>
                <w:b/>
                <w:i/>
              </w:rPr>
              <w:t>, valamint szem előtt tartva a nemek közötti egyenlőség elvét</w:t>
            </w:r>
            <w:r w:rsidRPr="00BE42FC">
              <w: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27</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8 cikk – 3 bekezdés – 1 a albekezdés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A külső szakértők jegyzékét rendszeresen frissíteni kell, és elérhetővé kell tenni a nyilvánosság számára.</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28</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11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w:t>
            </w:r>
            <w:r w:rsidRPr="00BE42FC">
              <w:tab/>
              <w:t xml:space="preserve">A Bizottság és a tagállamok közösen biztosítják a 12. cikkben említett többéves vámügyi stratégiai tervben felsorolt európai elektronikus rendszerek kifejlesztését és működtetését, beleértve </w:t>
            </w:r>
            <w:r w:rsidRPr="00BE42FC">
              <w:rPr>
                <w:b/>
                <w:i/>
              </w:rPr>
              <w:t>a tervezést</w:t>
            </w:r>
            <w:r w:rsidRPr="00BE42FC">
              <w:t xml:space="preserve">, </w:t>
            </w:r>
            <w:r w:rsidRPr="00BE42FC">
              <w:rPr>
                <w:b/>
                <w:i/>
              </w:rPr>
              <w:t xml:space="preserve">a </w:t>
            </w:r>
            <w:r w:rsidRPr="00BE42FC">
              <w:t xml:space="preserve">műszaki </w:t>
            </w:r>
            <w:r w:rsidRPr="00BE42FC">
              <w:rPr>
                <w:b/>
                <w:i/>
              </w:rPr>
              <w:t>leírást</w:t>
            </w:r>
            <w:r w:rsidRPr="00BE42FC">
              <w:t>,</w:t>
            </w:r>
            <w:r w:rsidRPr="00BE42FC">
              <w:rPr>
                <w:b/>
                <w:i/>
              </w:rPr>
              <w:t xml:space="preserve"> a</w:t>
            </w:r>
            <w:r w:rsidRPr="00BE42FC">
              <w:t xml:space="preserve"> megfelelőségi </w:t>
            </w:r>
            <w:r w:rsidRPr="00BE42FC">
              <w:rPr>
                <w:b/>
                <w:i/>
              </w:rPr>
              <w:t>vizsgálatot</w:t>
            </w:r>
            <w:r w:rsidRPr="00BE42FC">
              <w:t xml:space="preserve">, </w:t>
            </w:r>
            <w:r w:rsidRPr="00BE42FC">
              <w:rPr>
                <w:b/>
                <w:i/>
              </w:rPr>
              <w:t>a telepítést</w:t>
            </w:r>
            <w:r w:rsidRPr="00BE42FC">
              <w:t xml:space="preserve">, </w:t>
            </w:r>
            <w:r w:rsidRPr="00BE42FC">
              <w:rPr>
                <w:b/>
                <w:i/>
              </w:rPr>
              <w:t>a karbantartást</w:t>
            </w:r>
            <w:r w:rsidRPr="00BE42FC">
              <w:t xml:space="preserve">, </w:t>
            </w:r>
            <w:r w:rsidRPr="00BE42FC">
              <w:rPr>
                <w:b/>
                <w:i/>
              </w:rPr>
              <w:t>a továbbfejlesztést</w:t>
            </w:r>
            <w:r w:rsidRPr="00BE42FC">
              <w:t xml:space="preserve">, </w:t>
            </w:r>
            <w:r w:rsidRPr="00BE42FC">
              <w:rPr>
                <w:b/>
                <w:i/>
              </w:rPr>
              <w:t>a biztonságot</w:t>
            </w:r>
            <w:r w:rsidRPr="00BE42FC">
              <w:t xml:space="preserve">, </w:t>
            </w:r>
            <w:r w:rsidRPr="00BE42FC">
              <w:rPr>
                <w:b/>
                <w:i/>
              </w:rPr>
              <w:t>a minőségbiztosítást</w:t>
            </w:r>
            <w:r w:rsidRPr="00BE42FC">
              <w:t xml:space="preserve"> és </w:t>
            </w:r>
            <w:r w:rsidRPr="00BE42FC">
              <w:rPr>
                <w:b/>
                <w:i/>
              </w:rPr>
              <w:t>a minőség-ellenőrzést</w:t>
            </w:r>
            <w:r w:rsidRPr="00BE42FC">
              <w:t>.</w:t>
            </w:r>
          </w:p>
        </w:tc>
        <w:tc>
          <w:tcPr>
            <w:tcW w:w="4876" w:type="dxa"/>
          </w:tcPr>
          <w:p w:rsidR="008E13A6" w:rsidRPr="00BE42FC" w:rsidRDefault="008E13A6" w:rsidP="003E78B4">
            <w:pPr>
              <w:pStyle w:val="Normal6"/>
              <w:rPr>
                <w:noProof/>
              </w:rPr>
            </w:pPr>
            <w:r w:rsidRPr="00BE42FC">
              <w:t>(1)</w:t>
            </w:r>
            <w:r w:rsidRPr="00BE42FC">
              <w:tab/>
              <w:t xml:space="preserve">A Bizottság és a tagállamok közösen biztosítják a 12. cikkben említett többéves vámügyi stratégiai tervben felsorolt európai elektronikus rendszerek kifejlesztését és működtetését, beleértve </w:t>
            </w:r>
            <w:r w:rsidRPr="00BE42FC">
              <w:rPr>
                <w:b/>
                <w:i/>
              </w:rPr>
              <w:t>azok tervezését</w:t>
            </w:r>
            <w:r w:rsidRPr="00BE42FC">
              <w:t xml:space="preserve">, műszaki </w:t>
            </w:r>
            <w:r w:rsidRPr="00BE42FC">
              <w:rPr>
                <w:b/>
                <w:i/>
              </w:rPr>
              <w:t>leírását</w:t>
            </w:r>
            <w:r w:rsidRPr="00BE42FC">
              <w:t xml:space="preserve">, megfelelőségi </w:t>
            </w:r>
            <w:r w:rsidRPr="00BE42FC">
              <w:rPr>
                <w:b/>
                <w:i/>
              </w:rPr>
              <w:t>vizsgálatát</w:t>
            </w:r>
            <w:r w:rsidRPr="00BE42FC">
              <w:t xml:space="preserve">, </w:t>
            </w:r>
            <w:r w:rsidRPr="00BE42FC">
              <w:rPr>
                <w:b/>
                <w:i/>
              </w:rPr>
              <w:t>telepítését, karbantartását</w:t>
            </w:r>
            <w:r w:rsidRPr="00BE42FC">
              <w:t xml:space="preserve">, </w:t>
            </w:r>
            <w:r w:rsidRPr="00BE42FC">
              <w:rPr>
                <w:b/>
                <w:i/>
              </w:rPr>
              <w:t>továbbfejlesztését</w:t>
            </w:r>
            <w:r w:rsidRPr="00BE42FC">
              <w:t xml:space="preserve">, </w:t>
            </w:r>
            <w:r w:rsidRPr="00BE42FC">
              <w:rPr>
                <w:b/>
                <w:i/>
              </w:rPr>
              <w:t>korszerűsítését</w:t>
            </w:r>
            <w:r w:rsidRPr="00BE42FC">
              <w:t xml:space="preserve">, </w:t>
            </w:r>
            <w:r w:rsidRPr="00BE42FC">
              <w:rPr>
                <w:b/>
                <w:i/>
              </w:rPr>
              <w:t>biztonságosságát</w:t>
            </w:r>
            <w:r w:rsidRPr="00BE42FC">
              <w:t xml:space="preserve">, </w:t>
            </w:r>
            <w:r w:rsidRPr="00BE42FC">
              <w:rPr>
                <w:b/>
                <w:i/>
              </w:rPr>
              <w:t>minőségbiztosítását</w:t>
            </w:r>
            <w:r w:rsidRPr="00BE42FC">
              <w:t xml:space="preserve"> és </w:t>
            </w:r>
            <w:r w:rsidRPr="00BE42FC">
              <w:rPr>
                <w:b/>
                <w:i/>
              </w:rPr>
              <w:t>minőség-ellenőrzését</w:t>
            </w:r>
            <w:r w:rsidRPr="00BE42FC">
              <w: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lastRenderedPageBreak/>
        <w:t>&lt;Amend&gt;</w:t>
      </w:r>
      <w:r w:rsidRPr="00BE42FC">
        <w:t>Módosítás</w:t>
      </w:r>
      <w:r w:rsidRPr="00BE42FC">
        <w:tab/>
      </w:r>
      <w:r w:rsidRPr="00BE42FC">
        <w:tab/>
      </w:r>
      <w:r>
        <w:rPr>
          <w:rStyle w:val="HideTWBExt"/>
          <w:b w:val="0"/>
        </w:rPr>
        <w:t>&lt;NumAm&gt;</w:t>
      </w:r>
      <w:r w:rsidRPr="00BE42FC">
        <w:t>29</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lang w:val="fr-FR"/>
        </w:rPr>
        <w:t>&lt;Article&gt;</w:t>
      </w:r>
      <w:r w:rsidRPr="00BE42FC">
        <w:t>11 cikk – 1 a bekezdés (új)</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lang w:val="fr-FR"/>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hideMark/>
          </w:tcPr>
          <w:p w:rsidR="008E13A6" w:rsidRPr="00BE42FC" w:rsidRDefault="008E13A6" w:rsidP="001B4A4D">
            <w:pPr>
              <w:pStyle w:val="Normal6"/>
              <w:rPr>
                <w:noProof/>
                <w:szCs w:val="24"/>
              </w:rPr>
            </w:pPr>
            <w:r w:rsidRPr="00BE42FC">
              <w:rPr>
                <w:b/>
                <w:i/>
              </w:rPr>
              <w:t>(1a)</w:t>
            </w:r>
            <w:r w:rsidRPr="00BE42FC">
              <w:rPr>
                <w:b/>
                <w:i/>
              </w:rPr>
              <w:tab/>
              <w:t>A Vám programnak összhangban kell lennie a kapcsolódó területeken hasonló célkitűzésekkel rendelkező többi uniós cselekvési programmal és alappal, például a Fiscalis programmal, a csalás elleni uniós programmal és az egységes piaci programmal, továbbá a Belső Biztonsági Alappal és az Integrált Határigazgatási Alappal (a vámellenőrzési berendezések pénzügyi támogató eszközével, valamint a Határigazgatási és Vízumeszközzel), a reformtámogató programmal, a Digitális Európa programmal, az Európai Hálózatfinanszírozási Eszközzel és a saját források rendszeréről szóló határozattal, végrehajtási rendeletekkel és intézkedésekkel, és ki kell használnia a velük való szinergiákat.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30</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11 cikk – 2 bekezdés – b pont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b)</w:t>
            </w:r>
            <w:r w:rsidRPr="00BE42FC">
              <w:tab/>
              <w:t>az európai elektronikus rendszerek kifejlesztésének és működtetésének átfogó koordinálása, szem előtt tartva azok működőképességét, összekapcsolhatóságát, folyamatos fejlesztését és összehangolt végrehajtását;</w:t>
            </w:r>
          </w:p>
        </w:tc>
        <w:tc>
          <w:tcPr>
            <w:tcW w:w="4876" w:type="dxa"/>
          </w:tcPr>
          <w:p w:rsidR="008E13A6" w:rsidRPr="00BE42FC" w:rsidRDefault="008E13A6" w:rsidP="003E78B4">
            <w:pPr>
              <w:pStyle w:val="Normal6"/>
              <w:rPr>
                <w:noProof/>
              </w:rPr>
            </w:pPr>
            <w:r w:rsidRPr="00BE42FC">
              <w:t>b)</w:t>
            </w:r>
            <w:r w:rsidRPr="00BE42FC">
              <w:tab/>
              <w:t xml:space="preserve">az európai elektronikus rendszerek kifejlesztésének és működtetésének átfogó koordinálása, szem előtt tartva azok működőképességét, </w:t>
            </w:r>
            <w:r w:rsidRPr="00BE42FC">
              <w:rPr>
                <w:b/>
                <w:i/>
              </w:rPr>
              <w:t xml:space="preserve">kiberrezilienciáját, </w:t>
            </w:r>
            <w:r w:rsidRPr="00BE42FC">
              <w:t>összekapcsolhatóságát,</w:t>
            </w:r>
            <w:r w:rsidRPr="00BE42FC">
              <w:rPr>
                <w:b/>
                <w:i/>
              </w:rPr>
              <w:t xml:space="preserve"> valamint</w:t>
            </w:r>
            <w:r w:rsidRPr="00BE42FC">
              <w:t xml:space="preserve"> folyamatos fejlesztését és összehangolt végrehajtását;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31</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11 cikk – 2 bekezdés – e a pont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8E13A6"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lastRenderedPageBreak/>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ea)</w:t>
            </w:r>
            <w:r w:rsidRPr="00BE42FC">
              <w:tab/>
            </w:r>
            <w:r w:rsidRPr="00BE42FC">
              <w:rPr>
                <w:b/>
                <w:i/>
              </w:rPr>
              <w:t>a tagállalmokkal folytatott, valamint a tagállamok közötti hatékony és gyors kommunikáció az európai elektronikus rendszerek irányításának észszerűsítése érdekében;</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32</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11 cikk – 2 bekezdés – e b pont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8E13A6"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eb)</w:t>
            </w:r>
            <w:r w:rsidRPr="00BE42FC">
              <w:tab/>
            </w:r>
            <w:r w:rsidRPr="00BE42FC">
              <w:rPr>
                <w:b/>
                <w:i/>
              </w:rPr>
              <w:t>időszerű és átlátható kommunikáció az érintett felekkel az informatikai rendszerek uniós és tagállami szinteken történő végrehajtásáról, különösen a végrehajtás késedelmeiről és az uniós és nemzeti összetevőkre fordított kiadásokról.</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33</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12 cikk – 1 bekezdés – b pont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b)</w:t>
            </w:r>
            <w:r w:rsidRPr="00BE42FC">
              <w:tab/>
              <w:t>nemzeti összetevő: az európai elektronikus rendszerek nemzeti szinten kifejlesztett olyan összetevője, amely az ilyen összetevőt létrehozó vagy annak közös létrehozásához hozzájáruló tagállamban rendelkezésre áll;</w:t>
            </w:r>
          </w:p>
        </w:tc>
        <w:tc>
          <w:tcPr>
            <w:tcW w:w="4876" w:type="dxa"/>
          </w:tcPr>
          <w:p w:rsidR="008E13A6" w:rsidRPr="00BE42FC" w:rsidRDefault="008E13A6" w:rsidP="003E78B4">
            <w:pPr>
              <w:pStyle w:val="Normal6"/>
              <w:rPr>
                <w:noProof/>
              </w:rPr>
            </w:pPr>
            <w:r w:rsidRPr="00BE42FC">
              <w:t>b)</w:t>
            </w:r>
            <w:r w:rsidRPr="00BE42FC">
              <w:tab/>
              <w:t xml:space="preserve">nemzeti összetevő: az európai elektronikus rendszerek nemzeti szinten kifejlesztett olyan összetevője, amely az ilyen összetevőt létrehozó vagy annak közös </w:t>
            </w:r>
            <w:r w:rsidRPr="00BE42FC">
              <w:rPr>
                <w:b/>
                <w:i/>
              </w:rPr>
              <w:t xml:space="preserve">– például a tagállamok egy csoportjának együttműködésén alapuló informatikai fejlesztési projekt keretében történt – </w:t>
            </w:r>
            <w:r w:rsidRPr="00BE42FC">
              <w:t>létrehozásához hozzájáruló tagállamban rendelkezésre áll;</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34</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12 cikk – 3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lastRenderedPageBreak/>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(3)</w:t>
            </w:r>
            <w:r w:rsidRPr="00BE42FC">
              <w:tab/>
              <w:t>A tagállamok értesítik a Bizottságot az (1) bekezdésben említett többéves vámügyi stratégiai tervben számukra kiadott minden egyes feladat elvégzéséről. Rendszeresen jelentést tesznek a Bizottságnak a feladataik terén elért haladásról is.</w:t>
            </w:r>
          </w:p>
        </w:tc>
        <w:tc>
          <w:tcPr>
            <w:tcW w:w="4876" w:type="dxa"/>
          </w:tcPr>
          <w:p w:rsidR="008E13A6" w:rsidRPr="00BE42FC" w:rsidRDefault="008E13A6" w:rsidP="003E78B4">
            <w:pPr>
              <w:pStyle w:val="Normal6"/>
              <w:rPr>
                <w:noProof/>
              </w:rPr>
            </w:pPr>
            <w:r w:rsidRPr="00BE42FC">
              <w:t>(3)</w:t>
            </w:r>
            <w:r w:rsidRPr="00BE42FC">
              <w:tab/>
              <w:t>A tagállamok értesítik a Bizottságot az (1) bekezdésben említett többéves vámügyi stratégiai tervben számukra kiadott minden egyes feladat elvégzéséről. Rendszeresen jelentést tesznek a Bizottságnak a feladataik terén elért haladásról</w:t>
            </w:r>
            <w:r w:rsidRPr="00BE42FC">
              <w:rPr>
                <w:b/>
                <w:i/>
              </w:rPr>
              <w:t>, adott esetben pedig a végrehajtás előre látható késedelmeiről</w:t>
            </w:r>
            <w:r w:rsidRPr="00BE42FC">
              <w:t xml:space="preserve"> is.</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35</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12 cikk – 5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(5)</w:t>
            </w:r>
            <w:r w:rsidRPr="00BE42FC">
              <w:tab/>
              <w:t>A Bizottság a (4) bekezdésben említett éves jelentések alapján legkésőbb minden év október 31-ig összefoglaló jelentést készít, amelyben értékeli a tagállamok és a Bizottság által az (1) bekezdésben említett terv végrehajtása terén elért előrehaladást, és nyilvánosságra hozza ezt a jelentést.</w:t>
            </w:r>
          </w:p>
        </w:tc>
        <w:tc>
          <w:tcPr>
            <w:tcW w:w="4876" w:type="dxa"/>
          </w:tcPr>
          <w:p w:rsidR="008E13A6" w:rsidRPr="00BE42FC" w:rsidRDefault="008E13A6" w:rsidP="003E78B4">
            <w:pPr>
              <w:pStyle w:val="Normal6"/>
              <w:rPr>
                <w:noProof/>
              </w:rPr>
            </w:pPr>
            <w:r w:rsidRPr="00BE42FC">
              <w:t>(5)</w:t>
            </w:r>
            <w:r w:rsidRPr="00BE42FC">
              <w:tab/>
              <w:t>A Bizottság a (4) bekezdésben említett éves jelentések alapján legkésőbb minden év október 31-ig összefoglaló jelentést készít, amelyben értékeli a tagállamok és a Bizottság által az (1) bekezdésben említett terv végrehajtása terén elért előrehaladást</w:t>
            </w:r>
            <w:r w:rsidRPr="00BE42FC">
              <w:rPr>
                <w:b/>
                <w:i/>
              </w:rPr>
              <w:t xml:space="preserve"> a szükséges kiigazításokra vagy a terv késedelmeire vonatkozó információkkal egyetemben</w:t>
            </w:r>
            <w:r w:rsidRPr="00BE42FC">
              <w:t>, és nyilvánosságra hozza ezt a jelentést.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36</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13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w:t>
            </w:r>
            <w:r w:rsidRPr="00BE42FC">
              <w:tab/>
              <w:t>A programot a költségvetési rendelet 108. cikkében említett többéves munkaprogramokon keresztül kell végrehajtani.</w:t>
            </w:r>
          </w:p>
        </w:tc>
        <w:tc>
          <w:tcPr>
            <w:tcW w:w="4876" w:type="dxa"/>
          </w:tcPr>
          <w:p w:rsidR="008E13A6" w:rsidRPr="00BE42FC" w:rsidRDefault="008E13A6" w:rsidP="003E78B4">
            <w:pPr>
              <w:pStyle w:val="Normal6"/>
              <w:rPr>
                <w:noProof/>
              </w:rPr>
            </w:pPr>
            <w:r w:rsidRPr="00BE42FC">
              <w:t>(1)</w:t>
            </w:r>
            <w:r w:rsidRPr="00BE42FC">
              <w:tab/>
              <w:t xml:space="preserve">A programot a költségvetési rendelet 108. cikkében említett </w:t>
            </w:r>
            <w:r w:rsidRPr="00BE42FC">
              <w:rPr>
                <w:b/>
                <w:i/>
              </w:rPr>
              <w:t xml:space="preserve">éves vagy </w:t>
            </w:r>
            <w:r w:rsidRPr="00BE42FC">
              <w:t xml:space="preserve">többéves munkaprogramokon keresztül kell végrehajtani. </w:t>
            </w:r>
            <w:r w:rsidRPr="00BE42FC">
              <w:rPr>
                <w:b/>
                <w:i/>
              </w:rPr>
              <w:t>A többéves munkaprogram az esetlegesen szükséges kiigazítások lehetővé tétele érdekében legfeljebb 3 éves időszakot fedhet le.</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lastRenderedPageBreak/>
        <w:t>&lt;Amend&gt;</w:t>
      </w:r>
      <w:r w:rsidRPr="00BE42FC">
        <w:t>Módosítás</w:t>
      </w:r>
      <w:r w:rsidRPr="00BE42FC">
        <w:tab/>
      </w:r>
      <w:r w:rsidRPr="00BE42FC">
        <w:tab/>
      </w:r>
      <w:r>
        <w:rPr>
          <w:rStyle w:val="HideTWBExt"/>
          <w:b w:val="0"/>
        </w:rPr>
        <w:t>&lt;NumAm&gt;</w:t>
      </w:r>
      <w:r w:rsidRPr="00BE42FC">
        <w:t>37</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rPr>
        <w:t>&lt;Article&gt;</w:t>
      </w:r>
      <w:r w:rsidRPr="00BE42FC">
        <w:t>13 cikk – 2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hideMark/>
          </w:tcPr>
          <w:p w:rsidR="008E13A6" w:rsidRPr="00BE42FC" w:rsidRDefault="008E13A6" w:rsidP="003E78B4">
            <w:pPr>
              <w:pStyle w:val="Normal6"/>
              <w:rPr>
                <w:noProof/>
              </w:rPr>
            </w:pPr>
            <w:r w:rsidRPr="00BE42FC">
              <w:t>(2)</w:t>
            </w:r>
            <w:r w:rsidRPr="00BE42FC">
              <w:tab/>
              <w:t>A többéves munkaprogramokat a Bizottság fogadja el végrehajtási jogi aktusok útján. Ezeket a végrehajtási jogi aktusokat a 18. cikk (2) bekezdésében említett eljárással összhangban kell elfogadni.</w:t>
            </w:r>
          </w:p>
        </w:tc>
        <w:tc>
          <w:tcPr>
            <w:tcW w:w="4876" w:type="dxa"/>
            <w:hideMark/>
          </w:tcPr>
          <w:p w:rsidR="008E13A6" w:rsidRPr="00BE42FC" w:rsidRDefault="008E13A6" w:rsidP="003E78B4">
            <w:pPr>
              <w:pStyle w:val="Normal6"/>
              <w:rPr>
                <w:noProof/>
                <w:szCs w:val="24"/>
              </w:rPr>
            </w:pPr>
            <w:r w:rsidRPr="00BE42FC">
              <w:t>(2)</w:t>
            </w:r>
            <w:r w:rsidRPr="00BE42FC">
              <w:tab/>
              <w:t>A többéves munkaprogramokat a Bizottság fogadja el végrehajtási jogi aktusok útján</w:t>
            </w:r>
            <w:r w:rsidRPr="00BE42FC">
              <w:rPr>
                <w:b/>
                <w:i/>
              </w:rPr>
              <w:t>, és azokat továbbítja az Európai Parlamentnek és a Tanácsnak</w:t>
            </w:r>
            <w:r w:rsidRPr="00BE42FC">
              <w:t>. Ezeket a végrehajtási jogi aktusokat a 18. cikk (2) bekezdésében említett eljárással összhangban kell elfogadni.</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38</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13 cikk – 2 a bekezdés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1B4A4D">
            <w:pPr>
              <w:pStyle w:val="Normal6"/>
              <w:rPr>
                <w:noProof/>
              </w:rPr>
            </w:pPr>
            <w:r w:rsidRPr="00BE42FC">
              <w:rPr>
                <w:b/>
                <w:i/>
              </w:rPr>
              <w:t>(2a)</w:t>
            </w:r>
            <w:r w:rsidRPr="00BE42FC">
              <w:tab/>
            </w:r>
            <w:r w:rsidRPr="00BE42FC">
              <w:rPr>
                <w:b/>
                <w:i/>
              </w:rPr>
              <w:t>A többéves munkaprogram a korábbi programok tanulságaira épül.</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39</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rPr>
        <w:t>&lt;Article&gt;</w:t>
      </w:r>
      <w:r w:rsidRPr="00BE42FC">
        <w:t>14 cikk – 1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hideMark/>
          </w:tcPr>
          <w:p w:rsidR="008E13A6" w:rsidRPr="00BE42FC" w:rsidRDefault="008E13A6" w:rsidP="003E78B4">
            <w:pPr>
              <w:pStyle w:val="Normal6"/>
              <w:rPr>
                <w:noProof/>
              </w:rPr>
            </w:pPr>
            <w:r w:rsidRPr="00BE42FC">
              <w:t>(1)</w:t>
            </w:r>
            <w:r w:rsidRPr="00BE42FC">
              <w:tab/>
              <w:t xml:space="preserve">A 3. </w:t>
            </w:r>
            <w:r w:rsidRPr="00BE42FC">
              <w:rPr>
                <w:b/>
                <w:i/>
              </w:rPr>
              <w:t>cikkben meghatározott egyedi programcélkitűzések megvalósítása terén tett előrelépésekről történő jelentéstételhez használandó mutatókat</w:t>
            </w:r>
            <w:r w:rsidRPr="00BE42FC">
              <w:t xml:space="preserve"> a </w:t>
            </w:r>
            <w:r w:rsidRPr="00BE42FC">
              <w:rPr>
                <w:b/>
                <w:i/>
              </w:rPr>
              <w:t>2</w:t>
            </w:r>
            <w:r w:rsidRPr="00BE42FC">
              <w:t xml:space="preserve">. </w:t>
            </w:r>
            <w:r w:rsidRPr="00BE42FC">
              <w:rPr>
                <w:b/>
                <w:i/>
              </w:rPr>
              <w:t>melléklet tartalmazza</w:t>
            </w:r>
            <w:r w:rsidRPr="00BE42FC">
              <w:t>.</w:t>
            </w:r>
          </w:p>
        </w:tc>
        <w:tc>
          <w:tcPr>
            <w:tcW w:w="4876" w:type="dxa"/>
            <w:hideMark/>
          </w:tcPr>
          <w:p w:rsidR="008E13A6" w:rsidRPr="00BE42FC" w:rsidRDefault="008E13A6" w:rsidP="003E78B4">
            <w:pPr>
              <w:pStyle w:val="Normal6"/>
              <w:rPr>
                <w:noProof/>
                <w:szCs w:val="24"/>
              </w:rPr>
            </w:pPr>
            <w:r w:rsidRPr="00BE42FC">
              <w:t>(1)</w:t>
            </w:r>
            <w:r w:rsidRPr="00BE42FC">
              <w:tab/>
              <w:t xml:space="preserve">A </w:t>
            </w:r>
            <w:r w:rsidRPr="00BE42FC">
              <w:rPr>
                <w:b/>
                <w:i/>
              </w:rPr>
              <w:t>költségvetési rendelet [38. cikke (</w:t>
            </w:r>
            <w:r w:rsidRPr="00BE42FC">
              <w:t>3</w:t>
            </w:r>
            <w:r w:rsidRPr="00BE42FC">
              <w:rPr>
                <w:b/>
                <w:i/>
              </w:rPr>
              <w:t>) bekezdése e) pontjának 1</w:t>
            </w:r>
            <w:r w:rsidRPr="00BE42FC">
              <w:t xml:space="preserve">. </w:t>
            </w:r>
            <w:r w:rsidRPr="00BE42FC">
              <w:rPr>
                <w:b/>
                <w:i/>
              </w:rPr>
              <w:t>alpontja] szerinti jelentéstételi követelményeknek eleget téve a Bizottság tájékoztatja az Európai Parlamentet és</w:t>
            </w:r>
            <w:r w:rsidRPr="00BE42FC">
              <w:t xml:space="preserve"> a </w:t>
            </w:r>
            <w:r w:rsidRPr="00BE42FC">
              <w:rPr>
                <w:b/>
                <w:i/>
              </w:rPr>
              <w:t>Tanácsot a program teljesítményéről</w:t>
            </w:r>
            <w:r w:rsidRPr="00BE42FC">
              <w:t>.</w:t>
            </w:r>
            <w:r w:rsidRPr="00BE42FC">
              <w:rPr>
                <w:b/>
                <w:i/>
              </w:rPr>
              <w:t xml:space="preserve"> A teljesítménnyel kapcsolatos jelentés információkat tartalmaz mind az előrehaladásról, mind a hiányosságokról</w:t>
            </w:r>
            <w:r w:rsidRPr="00BE42FC">
              <w: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40</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rPr>
        <w:t>&lt;Article&gt;</w:t>
      </w:r>
      <w:r w:rsidRPr="00BE42FC">
        <w:t>14 cikk – 2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hideMark/>
          </w:tcPr>
          <w:p w:rsidR="008E13A6" w:rsidRPr="00BE42FC" w:rsidRDefault="008E13A6" w:rsidP="003E78B4">
            <w:pPr>
              <w:pStyle w:val="Normal6"/>
              <w:rPr>
                <w:noProof/>
              </w:rPr>
            </w:pPr>
            <w:r w:rsidRPr="00BE42FC">
              <w:t>(2)</w:t>
            </w:r>
            <w:r w:rsidRPr="00BE42FC">
              <w:tab/>
              <w:t xml:space="preserve">A program célkitűzéseinek megvalósítása terén tett előrelépések hatékony értékelése érdekében a Bizottság felhatalmazást kap arra, hogy a 17. cikknek megfelelően felhatalmazáson alapuló jogi aktusokat fogadjon el a 2. melléklet módosítására vonatkozóan, a mutatók szükség szerinti felülvizsgálata </w:t>
            </w:r>
            <w:r w:rsidRPr="00BE42FC">
              <w:rPr>
                <w:b/>
                <w:i/>
              </w:rPr>
              <w:t>és/</w:t>
            </w:r>
            <w:r w:rsidRPr="00BE42FC">
              <w:t>vagy kiegészítése, valamint a rendeletnek egy nyomonkövetési és értékelési keret létrehozásáról szóló rendelkezésekkel történő kiegészítése céljából.</w:t>
            </w:r>
          </w:p>
        </w:tc>
        <w:tc>
          <w:tcPr>
            <w:tcW w:w="4876" w:type="dxa"/>
            <w:hideMark/>
          </w:tcPr>
          <w:p w:rsidR="008E13A6" w:rsidRPr="00BE42FC" w:rsidRDefault="008E13A6" w:rsidP="003E78B4">
            <w:pPr>
              <w:pStyle w:val="Normal6"/>
              <w:rPr>
                <w:noProof/>
                <w:szCs w:val="24"/>
              </w:rPr>
            </w:pPr>
            <w:r w:rsidRPr="00BE42FC">
              <w:t>(2)</w:t>
            </w:r>
            <w:r w:rsidRPr="00BE42FC">
              <w:tab/>
            </w:r>
            <w:r w:rsidRPr="00BE42FC">
              <w:rPr>
                <w:b/>
                <w:i/>
              </w:rPr>
              <w:t>A programnak a 3. cikkben meghatározott egyedi célkitűzések megvalósításával kapcsolatos teljesítményéről történő jelentéstételhez használandó mutatókat a 2. melléklet tartalmazza.</w:t>
            </w:r>
            <w:r w:rsidRPr="00BE42FC">
              <w:t xml:space="preserve"> </w:t>
            </w:r>
            <w:r w:rsidRPr="00BE42FC">
              <w:rPr>
                <w:b/>
                <w:i/>
              </w:rPr>
              <w:t xml:space="preserve">A </w:t>
            </w:r>
            <w:r w:rsidRPr="00BE42FC">
              <w:t>program célkitűzéseinek megvalósítása terén tett előrelépések hatékony értékelése érdekében a Bizottság felhatalmazást kap arra, hogy a 17. cikknek megfelelően felhatalmazáson alapuló jogi aktusokat fogadjon el a 2. melléklet módosítására vonatkozóan, a mutatók szükség szerinti felülvizsgálata vagy kiegészítése, valamint a rendeletnek egy nyomonkövetési és értékelési keret létrehozásáról szóló rendelkezésekkel történő kiegészítése céljából</w:t>
            </w:r>
            <w:r w:rsidRPr="00BE42FC">
              <w:rPr>
                <w:b/>
                <w:i/>
              </w:rPr>
              <w:t>, hogy naprakész minőségi és mennyiségi információkkal lássa el az Európai Parlamentet és a Tanácsot a program teljesítményéről</w:t>
            </w:r>
            <w:r w:rsidRPr="00BE42FC">
              <w: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41</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14 cikk – 3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(3)</w:t>
            </w:r>
            <w:r w:rsidRPr="00BE42FC">
              <w:tab/>
              <w:t xml:space="preserve">A teljesítményjelentési rendszer biztosítja, hogy a program végrehajtásának nyomon követésére vonatkozó </w:t>
            </w:r>
            <w:r w:rsidRPr="00BE42FC">
              <w:rPr>
                <w:b/>
                <w:i/>
              </w:rPr>
              <w:t>adatokat</w:t>
            </w:r>
            <w:r w:rsidRPr="00BE42FC">
              <w:t xml:space="preserve"> és az </w:t>
            </w:r>
            <w:r w:rsidRPr="00BE42FC">
              <w:rPr>
                <w:b/>
                <w:i/>
              </w:rPr>
              <w:t>eredményeket</w:t>
            </w:r>
            <w:r w:rsidRPr="00BE42FC">
              <w:t xml:space="preserve"> hatékonyan, eredményesen és időben összegyűjtsék. Ennek érdekében az uniós pénzeszközök címzettjeire vonatkozóan arányos jelentéstételi követelményeket kell megállapítani.</w:t>
            </w:r>
          </w:p>
        </w:tc>
        <w:tc>
          <w:tcPr>
            <w:tcW w:w="4876" w:type="dxa"/>
          </w:tcPr>
          <w:p w:rsidR="008E13A6" w:rsidRPr="00BE42FC" w:rsidRDefault="008E13A6" w:rsidP="003E78B4">
            <w:pPr>
              <w:pStyle w:val="Normal6"/>
              <w:rPr>
                <w:noProof/>
              </w:rPr>
            </w:pPr>
            <w:r w:rsidRPr="00BE42FC">
              <w:t>(3)</w:t>
            </w:r>
            <w:r w:rsidRPr="00BE42FC">
              <w:tab/>
              <w:t xml:space="preserve">A teljesítményjelentési rendszer biztosítja, hogy a program végrehajtásának nyomon követésére vonatkozó </w:t>
            </w:r>
            <w:r w:rsidRPr="00BE42FC">
              <w:rPr>
                <w:b/>
                <w:i/>
              </w:rPr>
              <w:t>adatok</w:t>
            </w:r>
            <w:r w:rsidRPr="00BE42FC">
              <w:t xml:space="preserve"> és az </w:t>
            </w:r>
            <w:r w:rsidRPr="00BE42FC">
              <w:rPr>
                <w:b/>
                <w:i/>
              </w:rPr>
              <w:t>eredmények összehasonlíthatóak és teljesek legyenek, valamint hogy azokat</w:t>
            </w:r>
            <w:r w:rsidRPr="00BE42FC">
              <w:t xml:space="preserve"> hatékonyan, eredményesen és időben összegyűjtsék. Ennek érdekében az uniós pénzeszközök címzettjeire vonatkozóan arányos jelentéstételi követelményeket kell megállapítani.</w:t>
            </w:r>
            <w:r w:rsidRPr="00BE42FC">
              <w:rPr>
                <w:b/>
                <w:i/>
                <w:szCs w:val="24"/>
              </w:rPr>
              <w:t xml:space="preserve"> </w:t>
            </w:r>
            <w:r w:rsidRPr="00BE42FC">
              <w:rPr>
                <w:b/>
                <w:i/>
              </w:rPr>
              <w:t>A Bizottság megbízható információkat nyújt az Európai Parlamentnek és a Tanácsnak a felhasznált teljesítményadatok minőségéről.</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lastRenderedPageBreak/>
        <w:t>&lt;Amend&gt;</w:t>
      </w:r>
      <w:r w:rsidRPr="00BE42FC">
        <w:t>Módosítás</w:t>
      </w:r>
      <w:r w:rsidRPr="00BE42FC">
        <w:tab/>
      </w:r>
      <w:r w:rsidRPr="00BE42FC">
        <w:tab/>
      </w:r>
      <w:r>
        <w:rPr>
          <w:rStyle w:val="HideTWBExt"/>
          <w:b w:val="0"/>
        </w:rPr>
        <w:t>&lt;NumAm&gt;</w:t>
      </w:r>
      <w:r w:rsidRPr="00BE42FC">
        <w:t>42</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rPr>
        <w:t>&lt;Article&gt;</w:t>
      </w:r>
      <w:r w:rsidRPr="00BE42FC">
        <w:t>15 cikk – 1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hideMark/>
          </w:tcPr>
          <w:p w:rsidR="008E13A6" w:rsidRPr="00BE42FC" w:rsidRDefault="008E13A6" w:rsidP="003E78B4">
            <w:pPr>
              <w:pStyle w:val="Normal6"/>
              <w:rPr>
                <w:noProof/>
              </w:rPr>
            </w:pPr>
            <w:r w:rsidRPr="00BE42FC">
              <w:t>(1)</w:t>
            </w:r>
            <w:r w:rsidRPr="00BE42FC">
              <w:tab/>
              <w:t xml:space="preserve">Az </w:t>
            </w:r>
            <w:r w:rsidRPr="00BE42FC">
              <w:rPr>
                <w:b/>
                <w:i/>
              </w:rPr>
              <w:t>értékeléseket időben el kell végezni</w:t>
            </w:r>
            <w:r w:rsidRPr="00BE42FC">
              <w:t xml:space="preserve"> ahhoz, hogy a döntéshozatali folyamatban felhasználhatók legyenek.</w:t>
            </w:r>
          </w:p>
        </w:tc>
        <w:tc>
          <w:tcPr>
            <w:tcW w:w="4876" w:type="dxa"/>
            <w:hideMark/>
          </w:tcPr>
          <w:p w:rsidR="008E13A6" w:rsidRPr="00BE42FC" w:rsidRDefault="008E13A6" w:rsidP="003E78B4">
            <w:pPr>
              <w:pStyle w:val="Normal6"/>
              <w:rPr>
                <w:noProof/>
                <w:szCs w:val="24"/>
              </w:rPr>
            </w:pPr>
            <w:r w:rsidRPr="00BE42FC">
              <w:t>(1)</w:t>
            </w:r>
            <w:r w:rsidRPr="00BE42FC">
              <w:tab/>
              <w:t xml:space="preserve">Az </w:t>
            </w:r>
            <w:r w:rsidRPr="00BE42FC">
              <w:rPr>
                <w:b/>
                <w:i/>
              </w:rPr>
              <w:t>értékelések a program eredményeit, hatását, eredményességét, hatékonyságát, hasznosságát és uniós hozzáadott értékét mérik fel, és kellő időben elkészülnek</w:t>
            </w:r>
            <w:r w:rsidRPr="00BE42FC">
              <w:t xml:space="preserve"> ahhoz, hogy a döntéshozatali folyamatban felhasználhatók legyenek. </w:t>
            </w:r>
            <w:r w:rsidRPr="00BE42FC">
              <w:rPr>
                <w:b/>
                <w:i/>
              </w:rPr>
              <w:t>Ezek az értékelések egyértelműen szétválasztják a program Unión belüli és harmadik országbeli végrehajtását.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43</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15 cikk – 2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(2)</w:t>
            </w:r>
            <w:r w:rsidRPr="00BE42FC">
              <w:tab/>
              <w:t xml:space="preserve">A program időközi értékelését a program végrehajtásáról rendelkezésre álló elegendő információ birtokában, de legkésőbb </w:t>
            </w:r>
            <w:r w:rsidRPr="00BE42FC">
              <w:rPr>
                <w:b/>
                <w:i/>
              </w:rPr>
              <w:t>négy</w:t>
            </w:r>
            <w:r w:rsidRPr="00BE42FC">
              <w:t xml:space="preserve"> évvel a program végrehajtásának kezdetét követően kell elvégezni.</w:t>
            </w:r>
          </w:p>
        </w:tc>
        <w:tc>
          <w:tcPr>
            <w:tcW w:w="4876" w:type="dxa"/>
          </w:tcPr>
          <w:p w:rsidR="008E13A6" w:rsidRPr="00BE42FC" w:rsidRDefault="008E13A6" w:rsidP="003E78B4">
            <w:pPr>
              <w:pStyle w:val="Normal6"/>
              <w:rPr>
                <w:noProof/>
              </w:rPr>
            </w:pPr>
            <w:r w:rsidRPr="00BE42FC">
              <w:t>(2)</w:t>
            </w:r>
            <w:r w:rsidRPr="00BE42FC">
              <w:tab/>
              <w:t xml:space="preserve">A program időközi értékelését a program végrehajtásáról rendelkezésre álló elegendő információ birtokában, de legkésőbb </w:t>
            </w:r>
            <w:r w:rsidRPr="00BE42FC">
              <w:rPr>
                <w:b/>
                <w:i/>
              </w:rPr>
              <w:t>három</w:t>
            </w:r>
            <w:r w:rsidRPr="00BE42FC">
              <w:t xml:space="preserve"> évvel a program végrehajtásának kezdetét követően kell elvégezni.</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44</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15 cikk – 2 bekezdés – 1 a albekezdés (új)</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p>
        </w:tc>
        <w:tc>
          <w:tcPr>
            <w:tcW w:w="4876" w:type="dxa"/>
          </w:tcPr>
          <w:p w:rsidR="008E13A6" w:rsidRPr="00BE42FC" w:rsidRDefault="008E13A6" w:rsidP="003E78B4">
            <w:pPr>
              <w:pStyle w:val="Normal6"/>
              <w:rPr>
                <w:noProof/>
              </w:rPr>
            </w:pPr>
            <w:r w:rsidRPr="00BE42FC">
              <w:rPr>
                <w:b/>
                <w:i/>
              </w:rPr>
              <w:t>Az időközi értékelés bemutatja a programnak, valamint a program célkitűzéseinek a 2027 utáni nyomon követéséről szóló határozat meghozatalához szükséges megállapításokat.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lastRenderedPageBreak/>
        <w:t>&lt;Amend&gt;</w:t>
      </w:r>
      <w:r w:rsidRPr="00BE42FC">
        <w:t>Módosítás</w:t>
      </w:r>
      <w:r w:rsidRPr="00BE42FC">
        <w:tab/>
      </w:r>
      <w:r w:rsidRPr="00BE42FC">
        <w:tab/>
      </w:r>
      <w:r>
        <w:rPr>
          <w:rStyle w:val="HideTWBExt"/>
        </w:rPr>
        <w:t>&lt;NumAm&gt;</w:t>
      </w:r>
      <w:r w:rsidRPr="00BE42FC">
        <w:t>45</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15 cikk – 3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(3)</w:t>
            </w:r>
            <w:r w:rsidRPr="00BE42FC">
              <w:tab/>
              <w:t xml:space="preserve">A program végrehajtásának végén, de legkésőbb </w:t>
            </w:r>
            <w:r w:rsidRPr="00BE42FC">
              <w:rPr>
                <w:b/>
                <w:i/>
              </w:rPr>
              <w:t>négy</w:t>
            </w:r>
            <w:r w:rsidRPr="00BE42FC">
              <w:t xml:space="preserve"> évvel </w:t>
            </w:r>
            <w:r w:rsidRPr="00BE42FC">
              <w:rPr>
                <w:b/>
                <w:i/>
              </w:rPr>
              <w:t>a(z)</w:t>
            </w:r>
            <w:r w:rsidRPr="00BE42FC">
              <w:t xml:space="preserve"> 1. cikkben meghatározott időszak végét követően a Bizottság elvégzi a program végső értékelését.</w:t>
            </w:r>
          </w:p>
        </w:tc>
        <w:tc>
          <w:tcPr>
            <w:tcW w:w="4876" w:type="dxa"/>
          </w:tcPr>
          <w:p w:rsidR="008E13A6" w:rsidRPr="00BE42FC" w:rsidRDefault="008E13A6" w:rsidP="003E78B4">
            <w:pPr>
              <w:pStyle w:val="Normal6"/>
              <w:rPr>
                <w:noProof/>
              </w:rPr>
            </w:pPr>
            <w:r w:rsidRPr="00BE42FC">
              <w:t>(3)</w:t>
            </w:r>
            <w:r w:rsidRPr="00BE42FC">
              <w:tab/>
              <w:t xml:space="preserve">A program végrehajtásának végén, de legkésőbb </w:t>
            </w:r>
            <w:r w:rsidRPr="00BE42FC">
              <w:rPr>
                <w:b/>
                <w:i/>
              </w:rPr>
              <w:t>három</w:t>
            </w:r>
            <w:r w:rsidRPr="00BE42FC">
              <w:t xml:space="preserve"> évvel </w:t>
            </w:r>
            <w:r w:rsidRPr="00BE42FC">
              <w:rPr>
                <w:b/>
                <w:i/>
              </w:rPr>
              <w:t>az</w:t>
            </w:r>
            <w:r w:rsidRPr="00BE42FC">
              <w:t xml:space="preserve"> 1. cikkben meghatározott időszak végét követően a Bizottság elvégzi a program végső értékelését.</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46</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rPr>
        <w:t>&lt;Article&gt;</w:t>
      </w:r>
      <w:r w:rsidRPr="00BE42FC">
        <w:t>15 cikk – 4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hideMark/>
          </w:tcPr>
          <w:p w:rsidR="008E13A6" w:rsidRPr="00BE42FC" w:rsidRDefault="008E13A6" w:rsidP="003E78B4">
            <w:pPr>
              <w:pStyle w:val="Normal6"/>
              <w:rPr>
                <w:noProof/>
              </w:rPr>
            </w:pPr>
            <w:r w:rsidRPr="00BE42FC">
              <w:t>(4)</w:t>
            </w:r>
            <w:r w:rsidRPr="00BE42FC">
              <w:tab/>
              <w:t>A Bizottság az értékelések megállapításait saját észrevételei kíséretében közli az Európai Parlamenttel, a Tanáccsal, az Európai Gazdasági és Szociális Bizottsággal és a Régiók Bizottságával.</w:t>
            </w:r>
          </w:p>
        </w:tc>
        <w:tc>
          <w:tcPr>
            <w:tcW w:w="4876" w:type="dxa"/>
            <w:hideMark/>
          </w:tcPr>
          <w:p w:rsidR="008E13A6" w:rsidRPr="00BE42FC" w:rsidRDefault="008E13A6" w:rsidP="003E78B4">
            <w:pPr>
              <w:pStyle w:val="Normal6"/>
              <w:rPr>
                <w:noProof/>
                <w:szCs w:val="24"/>
              </w:rPr>
            </w:pPr>
            <w:r w:rsidRPr="00BE42FC">
              <w:t>(4)</w:t>
            </w:r>
            <w:r w:rsidRPr="00BE42FC">
              <w:tab/>
              <w:t xml:space="preserve">A Bizottság az értékelések megállapításait saját észrevételei </w:t>
            </w:r>
            <w:r w:rsidRPr="00BE42FC">
              <w:rPr>
                <w:b/>
                <w:i/>
              </w:rPr>
              <w:t xml:space="preserve">és a levont tanulságok </w:t>
            </w:r>
            <w:r w:rsidRPr="00BE42FC">
              <w:t>kíséretében közli az Európai Parlamenttel, a Tanáccsal, az Európai Gazdasági és Szociális Bizottsággal és a Régiók Bizottságával.</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keepNext/>
        <w:rPr>
          <w:noProof/>
        </w:rPr>
      </w:pPr>
      <w:r>
        <w:rPr>
          <w:rStyle w:val="HideTWBExt"/>
          <w:b w:val="0"/>
        </w:rPr>
        <w:t>&lt;Amend&gt;</w:t>
      </w:r>
      <w:r w:rsidRPr="00BE42FC">
        <w:t>Módosítás</w:t>
      </w:r>
      <w:r w:rsidRPr="00BE42FC">
        <w:tab/>
      </w:r>
      <w:r w:rsidRPr="00BE42FC">
        <w:tab/>
      </w:r>
      <w:r>
        <w:rPr>
          <w:rStyle w:val="HideTWBExt"/>
          <w:b w:val="0"/>
        </w:rPr>
        <w:t>&lt;NumAm&gt;</w:t>
      </w:r>
      <w:r w:rsidRPr="00BE42FC">
        <w:t>47</w:t>
      </w:r>
      <w:r>
        <w:rPr>
          <w:rStyle w:val="HideTWBExt"/>
          <w:b w:val="0"/>
        </w:rPr>
        <w:t>&lt;/NumAm&gt;</w:t>
      </w:r>
    </w:p>
    <w:p w:rsidR="008E13A6" w:rsidRPr="00987CCF" w:rsidRDefault="008E13A6" w:rsidP="001B4A4D">
      <w:pPr>
        <w:pStyle w:val="NormalBold12b"/>
        <w:keepNext/>
        <w:rPr>
          <w:noProof/>
        </w:rPr>
      </w:pPr>
      <w:r>
        <w:rPr>
          <w:rStyle w:val="HideTWBExt"/>
          <w:b w:val="0"/>
        </w:rPr>
        <w:t>&lt;DocAmend&gt;</w:t>
      </w:r>
      <w:r w:rsidRPr="00BE42FC">
        <w:t>Rendeletre irányuló javaslat</w:t>
      </w:r>
      <w:r>
        <w:rPr>
          <w:rStyle w:val="HideTWBExt"/>
          <w:b w:val="0"/>
        </w:rPr>
        <w:t>&lt;/DocAmend&gt;</w:t>
      </w:r>
    </w:p>
    <w:p w:rsidR="008E13A6" w:rsidRPr="00987CCF" w:rsidRDefault="008E13A6" w:rsidP="001B4A4D">
      <w:pPr>
        <w:pStyle w:val="NormalBold"/>
        <w:rPr>
          <w:noProof/>
        </w:rPr>
      </w:pPr>
      <w:r>
        <w:rPr>
          <w:rStyle w:val="HideTWBExt"/>
          <w:b w:val="0"/>
        </w:rPr>
        <w:t>&lt;Article&gt;</w:t>
      </w:r>
      <w:r w:rsidRPr="00BE42FC">
        <w:t>16 cikk – 1 bekezdés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jc w:val="center"/>
        </w:trPr>
        <w:tc>
          <w:tcPr>
            <w:tcW w:w="9752" w:type="dxa"/>
            <w:gridSpan w:val="2"/>
          </w:tcPr>
          <w:p w:rsidR="008E13A6" w:rsidRPr="00987CCF" w:rsidRDefault="008E13A6" w:rsidP="003E78B4">
            <w:pPr>
              <w:keepNext/>
              <w:rPr>
                <w:noProof/>
              </w:rPr>
            </w:pPr>
          </w:p>
        </w:tc>
      </w:tr>
      <w:tr w:rsidR="008E13A6" w:rsidRPr="00987CCF" w:rsidTr="003E78B4">
        <w:trPr>
          <w:jc w:val="center"/>
        </w:trPr>
        <w:tc>
          <w:tcPr>
            <w:tcW w:w="4876" w:type="dxa"/>
            <w:hideMark/>
          </w:tcPr>
          <w:p w:rsidR="008E13A6" w:rsidRPr="00BE42FC" w:rsidRDefault="008E13A6" w:rsidP="003E78B4">
            <w:pPr>
              <w:pStyle w:val="ColumnHeading"/>
              <w:keepNext/>
              <w:rPr>
                <w:noProof/>
              </w:rPr>
            </w:pPr>
            <w:r w:rsidRPr="00BE42FC">
              <w:t>A Bizottság által javasolt szöveg</w:t>
            </w:r>
          </w:p>
        </w:tc>
        <w:tc>
          <w:tcPr>
            <w:tcW w:w="4876" w:type="dxa"/>
            <w:hideMark/>
          </w:tcPr>
          <w:p w:rsidR="008E13A6" w:rsidRPr="00BE42FC" w:rsidRDefault="008E13A6" w:rsidP="003E78B4">
            <w:pPr>
              <w:pStyle w:val="ColumnHeading"/>
              <w:keepNext/>
              <w:rPr>
                <w:noProof/>
              </w:rPr>
            </w:pPr>
            <w:r w:rsidRPr="00BE42FC">
              <w:t>Módosítás</w:t>
            </w:r>
          </w:p>
        </w:tc>
      </w:tr>
      <w:tr w:rsidR="008E13A6" w:rsidRPr="00987CCF" w:rsidTr="003E78B4">
        <w:trPr>
          <w:jc w:val="center"/>
        </w:trPr>
        <w:tc>
          <w:tcPr>
            <w:tcW w:w="4876" w:type="dxa"/>
            <w:hideMark/>
          </w:tcPr>
          <w:p w:rsidR="008E13A6" w:rsidRPr="00BE42FC" w:rsidRDefault="008E13A6" w:rsidP="003E78B4">
            <w:pPr>
              <w:pStyle w:val="Normal6"/>
              <w:rPr>
                <w:noProof/>
              </w:rPr>
            </w:pPr>
            <w:r w:rsidRPr="00BE42FC">
              <w:t xml:space="preserve">Amennyiben egy harmadik ország nemzetközi megállapodás vagy bármely más jogi eszköz értelmében részt vesz a programban, az érintett harmadik </w:t>
            </w:r>
            <w:r w:rsidRPr="00BE42FC">
              <w:rPr>
                <w:b/>
                <w:i/>
              </w:rPr>
              <w:t>országnak biztosítania kell</w:t>
            </w:r>
            <w:r w:rsidRPr="00BE42FC">
              <w:t xml:space="preserve"> az engedélyezésre jogosult tisztviselő, az Európai Csalás Elleni Hivatal (OLAF) és az Európai Számvevőszék számára a hatáskörük teljes körű gyakorlásához szükséges jogokat és hozzáférést. Az OLAF esetében e jogok közé tartozik az Európai Csalás Elleni Hivatal (OLAF) által lefolytatott vizsgálatokról szóló </w:t>
            </w:r>
            <w:r w:rsidRPr="00BE42FC">
              <w:lastRenderedPageBreak/>
              <w:t xml:space="preserve">883/2013/EU, Euratom európai parlamenti és tanácsi rendeletben előírt vizsgálatok – köztük például helyszíni ellenőrzések és </w:t>
            </w:r>
            <w:r w:rsidRPr="00BE42FC">
              <w:rPr>
                <w:b/>
                <w:i/>
              </w:rPr>
              <w:t>szemlék</w:t>
            </w:r>
            <w:r w:rsidRPr="00BE42FC">
              <w:t xml:space="preserve"> – lefolytatásához való jog is.</w:t>
            </w:r>
          </w:p>
        </w:tc>
        <w:tc>
          <w:tcPr>
            <w:tcW w:w="4876" w:type="dxa"/>
            <w:hideMark/>
          </w:tcPr>
          <w:p w:rsidR="008E13A6" w:rsidRPr="00BE42FC" w:rsidRDefault="008E13A6" w:rsidP="003E78B4">
            <w:pPr>
              <w:pStyle w:val="Normal6"/>
              <w:rPr>
                <w:noProof/>
                <w:szCs w:val="24"/>
              </w:rPr>
            </w:pPr>
            <w:r w:rsidRPr="00BE42FC">
              <w:lastRenderedPageBreak/>
              <w:t xml:space="preserve">Amennyiben egy harmadik ország nemzetközi megállapodás vagy bármely más jogi eszköz értelmében részt vesz a programban, az érintett harmadik </w:t>
            </w:r>
            <w:r w:rsidRPr="00BE42FC">
              <w:rPr>
                <w:b/>
                <w:i/>
              </w:rPr>
              <w:t>ország biztosítja</w:t>
            </w:r>
            <w:r w:rsidRPr="00BE42FC">
              <w:t xml:space="preserve"> az</w:t>
            </w:r>
            <w:r w:rsidRPr="00BE42FC">
              <w:rPr>
                <w:b/>
                <w:i/>
              </w:rPr>
              <w:t xml:space="preserve"> illetékes</w:t>
            </w:r>
            <w:r w:rsidRPr="00BE42FC">
              <w:t xml:space="preserve"> engedélyezésre jogosult tisztviselő, az Európai Csalás Elleni Hivatal (OLAF), az Európai Számvevőszék </w:t>
            </w:r>
            <w:r w:rsidRPr="00BE42FC">
              <w:rPr>
                <w:b/>
                <w:i/>
              </w:rPr>
              <w:t>és az Európai Ügyészség</w:t>
            </w:r>
            <w:r w:rsidRPr="00BE42FC">
              <w:t xml:space="preserve"> számára a hatáskörük teljes körű gyakorlásához szükséges jogokat és hozzáférést. Az OLAF</w:t>
            </w:r>
            <w:r w:rsidRPr="00BE42FC">
              <w:rPr>
                <w:b/>
                <w:i/>
              </w:rPr>
              <w:t xml:space="preserve"> és az Európai Ügyészség</w:t>
            </w:r>
            <w:r w:rsidRPr="00BE42FC">
              <w:t xml:space="preserve"> esetében e jogok közé tartozik az Európai Csalás Elleni Hivatal (OLAF) </w:t>
            </w:r>
            <w:r w:rsidRPr="00BE42FC">
              <w:lastRenderedPageBreak/>
              <w:t>által lefolytatott vizsgálatokról szóló 883/2013/EU, Euratom európai parlamenti és tanácsi rendeletben</w:t>
            </w:r>
            <w:r w:rsidRPr="00BE42FC">
              <w:rPr>
                <w:b/>
                <w:i/>
              </w:rPr>
              <w:t>, illetve az Európai Ügyészség létrehozására vonatkozó megerősített együttműködés bevezetéséről szóló (EU) 2017/1939 tanácsi rendeletben</w:t>
            </w:r>
            <w:r w:rsidRPr="00BE42FC">
              <w:t xml:space="preserve"> előírt vizsgálatok – köztük például helyszíni ellenőrzések és </w:t>
            </w:r>
            <w:r w:rsidRPr="00BE42FC">
              <w:rPr>
                <w:b/>
                <w:i/>
              </w:rPr>
              <w:t>vizsgálatok</w:t>
            </w:r>
            <w:r w:rsidRPr="00BE42FC">
              <w:t xml:space="preserve"> – lefolytatásához való jog is.</w:t>
            </w:r>
          </w:p>
        </w:tc>
      </w:tr>
    </w:tbl>
    <w:p w:rsidR="008E13A6" w:rsidRPr="00987CCF" w:rsidRDefault="008E13A6" w:rsidP="001B4A4D">
      <w:pPr>
        <w:rPr>
          <w:noProof/>
        </w:rPr>
      </w:pPr>
      <w:r>
        <w:rPr>
          <w:rStyle w:val="HideTWBExt"/>
        </w:rPr>
        <w:lastRenderedPageBreak/>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48</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19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w:t>
            </w:r>
            <w:r w:rsidRPr="00BE42FC">
              <w:tab/>
              <w:t>Az uniós finanszírozás címzettjei elismerik az uniós finanszírozás eredetét, és (különösen az intézkedések és azok eredményeinek népszerűsítésekor) gondoskodnak annak láthatóságáról azáltal, hogy következetes, hatékony és arányos módon célzott információkat juttatnak el többféle közönségnek, köztük a médiának és a nyilvánosságnak.</w:t>
            </w:r>
          </w:p>
        </w:tc>
        <w:tc>
          <w:tcPr>
            <w:tcW w:w="4876" w:type="dxa"/>
          </w:tcPr>
          <w:p w:rsidR="008E13A6" w:rsidRPr="00BE42FC" w:rsidRDefault="008E13A6" w:rsidP="003E78B4">
            <w:pPr>
              <w:pStyle w:val="Normal6"/>
              <w:rPr>
                <w:noProof/>
              </w:rPr>
            </w:pPr>
            <w:r w:rsidRPr="00BE42FC">
              <w:t>(1)</w:t>
            </w:r>
            <w:r w:rsidRPr="00BE42FC">
              <w:tab/>
              <w:t>Az uniós finanszírozás címzettjei elismerik az uniós finanszírozás eredetét, és (különösen az intézkedések és azok eredményeinek népszerűsítésekor) gondoskodnak annak</w:t>
            </w:r>
            <w:r w:rsidRPr="00BE42FC">
              <w:rPr>
                <w:b/>
                <w:i/>
              </w:rPr>
              <w:t xml:space="preserve"> maximális</w:t>
            </w:r>
            <w:r w:rsidRPr="00BE42FC">
              <w:t xml:space="preserve"> láthatóságáról azáltal, hogy következetes, hatékony és arányos módon célzott információkat juttatnak el többféle közönségnek, köztük a médiának és a nyilvánosságnak.</w:t>
            </w:r>
          </w:p>
        </w:tc>
      </w:tr>
    </w:tbl>
    <w:p w:rsidR="008E13A6" w:rsidRPr="00987CCF" w:rsidRDefault="008E13A6" w:rsidP="001B4A4D">
      <w:pPr>
        <w:rPr>
          <w:noProof/>
        </w:rPr>
      </w:pPr>
      <w:r>
        <w:rPr>
          <w:rStyle w:val="HideTWBExt"/>
        </w:rPr>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49</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19 cikk – 2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(2)</w:t>
            </w:r>
            <w:r w:rsidRPr="00BE42FC">
              <w:tab/>
              <w:t>A Bizottság tájékoztatási és kommunikációs tevékenységeket végez a programhoz, valamint annak intézkedéseihez és eredményeihez kapcsolódóan. A programhoz allokált pénzügyi forrásokat ezenfelül az Unió azon politikai prioritásaira vonatkozó intézményi kommunikáció költségeinek fedezésére is kell fordítani, amelyek kapcsolódnak a 3. cikkben említett célkitűzésekhez.</w:t>
            </w:r>
          </w:p>
        </w:tc>
        <w:tc>
          <w:tcPr>
            <w:tcW w:w="4876" w:type="dxa"/>
          </w:tcPr>
          <w:p w:rsidR="008E13A6" w:rsidRPr="00BE42FC" w:rsidRDefault="008E13A6" w:rsidP="003E78B4">
            <w:pPr>
              <w:pStyle w:val="Normal6"/>
              <w:rPr>
                <w:noProof/>
              </w:rPr>
            </w:pPr>
            <w:r w:rsidRPr="00BE42FC">
              <w:t>(2)</w:t>
            </w:r>
            <w:r w:rsidRPr="00BE42FC">
              <w:tab/>
              <w:t xml:space="preserve">A </w:t>
            </w:r>
            <w:r w:rsidRPr="00BE42FC">
              <w:rPr>
                <w:b/>
                <w:i/>
              </w:rPr>
              <w:t xml:space="preserve">13. cikkben említett munkaprogramok részeként a </w:t>
            </w:r>
            <w:r w:rsidRPr="00BE42FC">
              <w:t>Bizottság</w:t>
            </w:r>
            <w:r w:rsidRPr="00BE42FC">
              <w:rPr>
                <w:b/>
                <w:i/>
              </w:rPr>
              <w:t xml:space="preserve"> rendszeres</w:t>
            </w:r>
            <w:r w:rsidRPr="00BE42FC">
              <w:t xml:space="preserve"> tájékoztatási és kommunikációs tevékenységeket végez a programhoz, valamint annak intézkedéseihez és eredményeihez kapcsolódóan. A programhoz allokált pénzügyi forrásokat ezenfelül az Unió azon politikai prioritásaira vonatkozó intézményi kommunikáció költségeinek fedezésére is kell fordítani, amelyek kapcsolódnak a 3. cikkben említett célkitűzésekhez.</w:t>
            </w:r>
          </w:p>
        </w:tc>
      </w:tr>
    </w:tbl>
    <w:p w:rsidR="008E13A6" w:rsidRPr="00987CCF" w:rsidRDefault="008E13A6" w:rsidP="001B4A4D">
      <w:pPr>
        <w:rPr>
          <w:noProof/>
        </w:rPr>
      </w:pPr>
      <w:r>
        <w:rPr>
          <w:rStyle w:val="HideTWBExt"/>
        </w:rPr>
        <w:lastRenderedPageBreak/>
        <w:t>&lt;/Amend&gt;</w:t>
      </w:r>
    </w:p>
    <w:p w:rsidR="008E13A6" w:rsidRPr="00987CCF" w:rsidRDefault="008E13A6" w:rsidP="001B4A4D">
      <w:pPr>
        <w:pStyle w:val="AMNumberTabs"/>
        <w:rPr>
          <w:noProof/>
        </w:rPr>
      </w:pPr>
      <w:r>
        <w:rPr>
          <w:rStyle w:val="HideTWBExt"/>
        </w:rPr>
        <w:t>&lt;Amend&gt;</w:t>
      </w:r>
      <w:r w:rsidRPr="00BE42FC">
        <w:t>Módosítás</w:t>
      </w:r>
      <w:r w:rsidRPr="00BE42FC">
        <w:tab/>
      </w:r>
      <w:r w:rsidRPr="00BE42FC">
        <w:tab/>
      </w:r>
      <w:r>
        <w:rPr>
          <w:rStyle w:val="HideTWBExt"/>
        </w:rPr>
        <w:t>&lt;NumAm&gt;</w:t>
      </w:r>
      <w:r w:rsidRPr="00BE42FC">
        <w:t>50</w:t>
      </w:r>
      <w:r>
        <w:rPr>
          <w:rStyle w:val="HideTWBExt"/>
        </w:rPr>
        <w:t>&lt;/NumAm&gt;</w:t>
      </w:r>
    </w:p>
    <w:p w:rsidR="008E13A6" w:rsidRPr="00987CCF" w:rsidRDefault="008E13A6" w:rsidP="001B4A4D">
      <w:pPr>
        <w:pStyle w:val="NormalBold12b"/>
        <w:rPr>
          <w:noProof/>
        </w:rPr>
      </w:pPr>
      <w:r>
        <w:rPr>
          <w:rStyle w:val="HideTWBExt"/>
        </w:rPr>
        <w:t>&lt;DocAmend&gt;</w:t>
      </w:r>
      <w:r w:rsidRPr="00BE42FC">
        <w:t>Rendeletre irányuló javaslat</w:t>
      </w:r>
      <w:r>
        <w:rPr>
          <w:rStyle w:val="HideTWBExt"/>
        </w:rPr>
        <w:t>&lt;/DocAmend&gt;</w:t>
      </w:r>
    </w:p>
    <w:p w:rsidR="008E13A6" w:rsidRPr="00987CCF" w:rsidRDefault="008E13A6" w:rsidP="001B4A4D">
      <w:pPr>
        <w:pStyle w:val="NormalBold"/>
        <w:rPr>
          <w:noProof/>
        </w:rPr>
      </w:pPr>
      <w:r>
        <w:rPr>
          <w:rStyle w:val="HideTWBExt"/>
        </w:rPr>
        <w:t>&lt;Article&gt;</w:t>
      </w:r>
      <w:r w:rsidRPr="00BE42FC">
        <w:t>21 cikk – 1 bekezdés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3A6" w:rsidRPr="00987CCF" w:rsidTr="003E78B4">
        <w:trPr>
          <w:trHeight w:hRule="exact" w:val="240"/>
          <w:jc w:val="center"/>
        </w:trPr>
        <w:tc>
          <w:tcPr>
            <w:tcW w:w="9752" w:type="dxa"/>
            <w:gridSpan w:val="2"/>
          </w:tcPr>
          <w:p w:rsidR="008E13A6" w:rsidRPr="00987CCF" w:rsidRDefault="008E13A6" w:rsidP="003E78B4">
            <w:pPr>
              <w:rPr>
                <w:noProof/>
              </w:rPr>
            </w:pPr>
          </w:p>
        </w:tc>
      </w:tr>
      <w:tr w:rsidR="008E13A6" w:rsidRPr="00987CCF" w:rsidTr="003E78B4">
        <w:trPr>
          <w:trHeight w:val="240"/>
          <w:jc w:val="center"/>
        </w:trPr>
        <w:tc>
          <w:tcPr>
            <w:tcW w:w="4876" w:type="dxa"/>
          </w:tcPr>
          <w:p w:rsidR="008E13A6" w:rsidRPr="00BE42FC" w:rsidRDefault="008E13A6" w:rsidP="003E78B4">
            <w:pPr>
              <w:pStyle w:val="ColumnHeading"/>
              <w:rPr>
                <w:noProof/>
              </w:rPr>
            </w:pPr>
            <w:r w:rsidRPr="00BE42FC">
              <w:t>A Bizottság által javasolt szöveg</w:t>
            </w:r>
          </w:p>
        </w:tc>
        <w:tc>
          <w:tcPr>
            <w:tcW w:w="4876" w:type="dxa"/>
          </w:tcPr>
          <w:p w:rsidR="008E13A6" w:rsidRPr="00BE42FC" w:rsidRDefault="008E13A6" w:rsidP="003E78B4">
            <w:pPr>
              <w:pStyle w:val="ColumnHeading"/>
              <w:rPr>
                <w:noProof/>
              </w:rPr>
            </w:pPr>
            <w:r w:rsidRPr="00BE42FC">
              <w:t>Módosítás</w:t>
            </w:r>
          </w:p>
        </w:tc>
      </w:tr>
      <w:tr w:rsidR="008E13A6" w:rsidRPr="00987CCF" w:rsidTr="003E78B4">
        <w:trPr>
          <w:jc w:val="center"/>
        </w:trPr>
        <w:tc>
          <w:tcPr>
            <w:tcW w:w="4876" w:type="dxa"/>
          </w:tcPr>
          <w:p w:rsidR="008E13A6" w:rsidRPr="00BE42FC" w:rsidRDefault="008E13A6" w:rsidP="003E78B4">
            <w:pPr>
              <w:pStyle w:val="Normal6"/>
              <w:rPr>
                <w:noProof/>
              </w:rPr>
            </w:pPr>
            <w:r w:rsidRPr="00BE42FC">
              <w:t>(1)</w:t>
            </w:r>
            <w:r w:rsidRPr="00BE42FC">
              <w:tab/>
              <w:t xml:space="preserve">Ez a rendelet nem érinti az érintett intézkedések </w:t>
            </w:r>
            <w:r w:rsidRPr="00BE42FC">
              <w:rPr>
                <w:b/>
                <w:i/>
              </w:rPr>
              <w:t xml:space="preserve">lezárásig történő </w:t>
            </w:r>
            <w:r w:rsidRPr="00BE42FC">
              <w:t>folytatását vagy módosítását az 1294/2013/EU rendelet szerint, amely továbbra is alkalmazandó az érintett intézkedésekre azok lezárásáig.</w:t>
            </w:r>
          </w:p>
        </w:tc>
        <w:tc>
          <w:tcPr>
            <w:tcW w:w="4876" w:type="dxa"/>
          </w:tcPr>
          <w:p w:rsidR="008E13A6" w:rsidRPr="00BE42FC" w:rsidRDefault="008E13A6" w:rsidP="003E78B4">
            <w:pPr>
              <w:pStyle w:val="Normal6"/>
              <w:rPr>
                <w:noProof/>
              </w:rPr>
            </w:pPr>
            <w:r w:rsidRPr="00BE42FC">
              <w:t>(1)</w:t>
            </w:r>
            <w:r w:rsidRPr="00BE42FC">
              <w:tab/>
              <w:t>Ez a rendelet nem érinti az érintett intézkedések folytatását vagy módosítását az 1294/2013/EU rendelet szerint, amely továbbra is alkalmazandó az érintett intézkedésekre azok lezárásáig.</w:t>
            </w:r>
          </w:p>
        </w:tc>
      </w:tr>
    </w:tbl>
    <w:p w:rsidR="008E13A6" w:rsidRPr="00887B20" w:rsidRDefault="008E13A6" w:rsidP="00887B20">
      <w:pPr>
        <w:rPr>
          <w:noProof/>
        </w:rPr>
      </w:pPr>
      <w:r>
        <w:rPr>
          <w:rStyle w:val="HideTWBExt"/>
        </w:rPr>
        <w:t>&lt;/Amend&gt;&lt;/RepeatBlock-Amend&gt;</w:t>
      </w:r>
    </w:p>
    <w:p w:rsidR="008E13A6" w:rsidRDefault="008E13A6" w:rsidP="00887B20">
      <w:pPr>
        <w:pStyle w:val="PageHeadingNotTOC"/>
        <w:rPr>
          <w:noProof/>
        </w:rPr>
      </w:pPr>
      <w:r>
        <w:br w:type="page"/>
      </w:r>
      <w:r>
        <w:lastRenderedPageBreak/>
        <w:t>ELJÁRÁS A VÉLEMÉNYNYILVÁNÍTÁSRA</w:t>
      </w:r>
      <w:r>
        <w:br/>
        <w:t>FELKÉRT BIZOTTSÁGBAN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A vámügyi együttműködést szolgáló „Vám” program létrehozása</w:t>
            </w:r>
          </w:p>
        </w:tc>
      </w:tr>
      <w:tr w:rsidR="008E13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COM(2018)0442 – C8-0261/2018 – 2018/0232(COD)</w:t>
            </w: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Illetékes bizottság</w:t>
            </w:r>
          </w:p>
          <w:p w:rsidR="008E13A6" w:rsidRDefault="008E13A6">
            <w:pPr>
              <w:autoSpaceDE w:val="0"/>
              <w:autoSpaceDN w:val="0"/>
              <w:adjustRightInd w:val="0"/>
              <w:rPr>
                <w:noProof/>
                <w:color w:val="000000"/>
                <w:sz w:val="20"/>
              </w:rPr>
            </w:pPr>
            <w:r>
              <w:rPr>
                <w:color w:val="000000"/>
                <w:sz w:val="20"/>
              </w:rPr>
              <w:t>       A plenáris ülésen való bejelentés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IMCO</w:t>
            </w:r>
          </w:p>
          <w:p w:rsidR="008E13A6" w:rsidRDefault="008E13A6">
            <w:pPr>
              <w:autoSpaceDE w:val="0"/>
              <w:autoSpaceDN w:val="0"/>
              <w:adjustRightInd w:val="0"/>
              <w:rPr>
                <w:noProof/>
                <w:color w:val="000000"/>
                <w:sz w:val="20"/>
              </w:rPr>
            </w:pPr>
            <w:r>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Véleményt nyilvánított</w:t>
            </w:r>
          </w:p>
          <w:p w:rsidR="008E13A6" w:rsidRDefault="008E13A6">
            <w:pPr>
              <w:autoSpaceDE w:val="0"/>
              <w:autoSpaceDN w:val="0"/>
              <w:adjustRightInd w:val="0"/>
              <w:rPr>
                <w:noProof/>
                <w:color w:val="000000"/>
                <w:sz w:val="20"/>
              </w:rPr>
            </w:pPr>
            <w:r>
              <w:rPr>
                <w:color w:val="000000"/>
                <w:sz w:val="20"/>
              </w:rPr>
              <w:t>       A plenáris ülésen való bejelentés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CONT</w:t>
            </w:r>
          </w:p>
          <w:p w:rsidR="008E13A6" w:rsidRDefault="008E13A6">
            <w:pPr>
              <w:autoSpaceDE w:val="0"/>
              <w:autoSpaceDN w:val="0"/>
              <w:adjustRightInd w:val="0"/>
              <w:rPr>
                <w:noProof/>
                <w:color w:val="000000"/>
                <w:sz w:val="20"/>
              </w:rPr>
            </w:pPr>
            <w:r>
              <w:rPr>
                <w:color w:val="000000"/>
                <w:sz w:val="20"/>
              </w:rPr>
              <w:t>5.7.2018</w:t>
            </w: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vélemény előadója</w:t>
            </w:r>
          </w:p>
          <w:p w:rsidR="008E13A6" w:rsidRDefault="008E13A6">
            <w:pPr>
              <w:autoSpaceDE w:val="0"/>
              <w:autoSpaceDN w:val="0"/>
              <w:adjustRightInd w:val="0"/>
              <w:rPr>
                <w:noProof/>
                <w:color w:val="000000"/>
                <w:sz w:val="20"/>
              </w:rPr>
            </w:pPr>
            <w:r>
              <w:rPr>
                <w:color w:val="000000"/>
                <w:sz w:val="20"/>
              </w:rPr>
              <w:t>       A kijelölés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Wolf Klinz</w:t>
            </w:r>
          </w:p>
          <w:p w:rsidR="008E13A6" w:rsidRDefault="008E13A6">
            <w:pPr>
              <w:autoSpaceDE w:val="0"/>
              <w:autoSpaceDN w:val="0"/>
              <w:adjustRightInd w:val="0"/>
              <w:rPr>
                <w:noProof/>
                <w:color w:val="000000"/>
                <w:sz w:val="20"/>
              </w:rPr>
            </w:pPr>
            <w:r>
              <w:rPr>
                <w:color w:val="000000"/>
                <w:sz w:val="20"/>
              </w:rPr>
              <w:t>7.9.2018</w:t>
            </w: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Vizsgálat a bizottságban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18.10.2018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r>
      <w:tr w:rsidR="008E13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Az elfogadás dátuma</w:t>
            </w:r>
          </w:p>
        </w:tc>
        <w:tc>
          <w:tcPr>
            <w:tcW w:w="1530" w:type="dxa"/>
            <w:tcBorders>
              <w:top w:val="nil"/>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rFonts w:ascii="sans-serif" w:hAnsi="sans-serif" w:cs="sans-serif"/>
                <w:noProof/>
                <w:color w:val="000000"/>
              </w:rPr>
            </w:pP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w:t>
            </w:r>
          </w:p>
          <w:p w:rsidR="008E13A6" w:rsidRDefault="008E13A6">
            <w:pPr>
              <w:autoSpaceDE w:val="0"/>
              <w:autoSpaceDN w:val="0"/>
              <w:adjustRightInd w:val="0"/>
              <w:rPr>
                <w:noProof/>
                <w:color w:val="000000"/>
                <w:sz w:val="20"/>
              </w:rPr>
            </w:pPr>
            <w:r>
              <w:rPr>
                <w:color w:val="000000"/>
                <w:sz w:val="20"/>
              </w:rPr>
              <w:t>–:</w:t>
            </w:r>
          </w:p>
          <w:p w:rsidR="008E13A6" w:rsidRDefault="008E13A6">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18</w:t>
            </w:r>
          </w:p>
          <w:p w:rsidR="008E13A6" w:rsidRDefault="008E13A6">
            <w:pPr>
              <w:autoSpaceDE w:val="0"/>
              <w:autoSpaceDN w:val="0"/>
              <w:adjustRightInd w:val="0"/>
              <w:rPr>
                <w:noProof/>
                <w:color w:val="000000"/>
                <w:sz w:val="20"/>
              </w:rPr>
            </w:pPr>
            <w:r>
              <w:rPr>
                <w:color w:val="000000"/>
                <w:sz w:val="20"/>
              </w:rPr>
              <w:t>1</w:t>
            </w:r>
          </w:p>
          <w:p w:rsidR="008E13A6" w:rsidRDefault="008E13A6">
            <w:pPr>
              <w:autoSpaceDE w:val="0"/>
              <w:autoSpaceDN w:val="0"/>
              <w:adjustRightInd w:val="0"/>
              <w:rPr>
                <w:noProof/>
                <w:color w:val="000000"/>
                <w:sz w:val="20"/>
              </w:rPr>
            </w:pPr>
            <w:r>
              <w:rPr>
                <w:color w:val="000000"/>
                <w:sz w:val="20"/>
              </w:rPr>
              <w:t>0</w:t>
            </w:r>
          </w:p>
        </w:tc>
      </w:tr>
      <w:tr w:rsidR="008E13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Nedzhmi Ali, Inés Ayala Sender, Zigmantas Balčytis, Jonathan Bullock, Tamás Deutsch, Luke Ming Flanagan, Ingeborg Gräßle, Wolf Klinz, Bogusław Liberadzki, José Ignacio Salafranca Sánchez-Neyra, Bart Staes, Tomáš Zdechovský</w:t>
            </w:r>
          </w:p>
        </w:tc>
      </w:tr>
      <w:tr w:rsidR="008E13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Richard Ashworth, Caterina Chinnici, Karin Kadenbach, Andrey Novakov, Julia Pitera, Miroslav Poche</w:t>
            </w:r>
          </w:p>
        </w:tc>
      </w:tr>
      <w:tr w:rsidR="008E13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b/>
                <w:bCs/>
                <w:noProof/>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3A6" w:rsidRDefault="008E13A6">
            <w:pPr>
              <w:autoSpaceDE w:val="0"/>
              <w:autoSpaceDN w:val="0"/>
              <w:adjustRightInd w:val="0"/>
              <w:rPr>
                <w:noProof/>
                <w:color w:val="000000"/>
                <w:sz w:val="20"/>
              </w:rPr>
            </w:pPr>
            <w:r>
              <w:rPr>
                <w:color w:val="000000"/>
                <w:sz w:val="20"/>
              </w:rPr>
              <w:t>John Howarth</w:t>
            </w:r>
          </w:p>
        </w:tc>
      </w:tr>
    </w:tbl>
    <w:p w:rsidR="008E13A6" w:rsidRPr="001B4A4D" w:rsidRDefault="008E13A6" w:rsidP="001B4A4D">
      <w:pPr>
        <w:rPr>
          <w:noProof/>
        </w:rPr>
      </w:pPr>
    </w:p>
    <w:p w:rsidR="008E13A6" w:rsidRPr="008E13A6" w:rsidRDefault="008E13A6" w:rsidP="00C2406B">
      <w:pPr>
        <w:pStyle w:val="PageHeadingNotTOC"/>
        <w:rPr>
          <w:noProof/>
        </w:rPr>
      </w:pPr>
      <w:r>
        <w:br w:type="page"/>
      </w:r>
      <w:r>
        <w:lastRenderedPageBreak/>
        <w:t>A VÉLEMÉNYNYILVÁNÍTÁSRA FELKÉRT BIZOTTSÁG</w:t>
      </w:r>
      <w:r>
        <w:br/>
        <w:t>NÉV SZERINTI ZÁRÓSZAVAZÁSA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987CCF" w:rsidTr="003E78B4">
        <w:trPr>
          <w:cantSplit/>
        </w:trPr>
        <w:tc>
          <w:tcPr>
            <w:tcW w:w="1701" w:type="dxa"/>
            <w:shd w:val="pct10" w:color="000000" w:fill="FFFFFF"/>
            <w:vAlign w:val="center"/>
          </w:tcPr>
          <w:p w:rsidR="008E13A6" w:rsidRPr="00987CCF" w:rsidRDefault="008E13A6" w:rsidP="003E78B4">
            <w:pPr>
              <w:spacing w:before="120" w:after="120"/>
              <w:jc w:val="center"/>
              <w:rPr>
                <w:b/>
                <w:noProof/>
                <w:sz w:val="20"/>
              </w:rPr>
            </w:pPr>
            <w:r>
              <w:rPr>
                <w:b/>
                <w:sz w:val="20"/>
              </w:rPr>
              <w:t>18</w:t>
            </w:r>
          </w:p>
        </w:tc>
        <w:tc>
          <w:tcPr>
            <w:tcW w:w="7371" w:type="dxa"/>
            <w:shd w:val="pct10" w:color="000000" w:fill="FFFFFF"/>
          </w:tcPr>
          <w:p w:rsidR="008E13A6" w:rsidRPr="00987CCF" w:rsidRDefault="008E13A6" w:rsidP="003E78B4">
            <w:pPr>
              <w:spacing w:before="120" w:after="120"/>
              <w:jc w:val="center"/>
              <w:rPr>
                <w:rFonts w:ascii="Arial" w:hAnsi="Arial" w:cs="Arial"/>
                <w:b/>
                <w:noProof/>
                <w:sz w:val="28"/>
                <w:szCs w:val="28"/>
              </w:rPr>
            </w:pPr>
            <w:r>
              <w:rPr>
                <w:rFonts w:ascii="Arial" w:hAnsi="Arial"/>
                <w:b/>
                <w:sz w:val="28"/>
                <w:szCs w:val="28"/>
              </w:rPr>
              <w:t>+</w:t>
            </w:r>
          </w:p>
        </w:tc>
      </w:tr>
      <w:tr w:rsidR="008E13A6" w:rsidRPr="00987CCF" w:rsidTr="003E78B4">
        <w:trPr>
          <w:cantSplit/>
        </w:trPr>
        <w:tc>
          <w:tcPr>
            <w:tcW w:w="1701" w:type="dxa"/>
            <w:shd w:val="clear" w:color="auto" w:fill="FFFFFF"/>
          </w:tcPr>
          <w:p w:rsidR="008E13A6" w:rsidRPr="00987CCF" w:rsidRDefault="008E13A6" w:rsidP="003E78B4">
            <w:pPr>
              <w:spacing w:before="120" w:after="120"/>
              <w:rPr>
                <w:noProof/>
                <w:sz w:val="20"/>
              </w:rPr>
            </w:pPr>
            <w:r>
              <w:rPr>
                <w:sz w:val="20"/>
              </w:rPr>
              <w:t>ALDE</w:t>
            </w:r>
          </w:p>
        </w:tc>
        <w:tc>
          <w:tcPr>
            <w:tcW w:w="7371" w:type="dxa"/>
            <w:shd w:val="clear" w:color="auto" w:fill="FFFFFF"/>
          </w:tcPr>
          <w:p w:rsidR="008E13A6" w:rsidRPr="00987CCF" w:rsidRDefault="008E13A6" w:rsidP="003E78B4">
            <w:pPr>
              <w:spacing w:before="120" w:after="120"/>
              <w:rPr>
                <w:noProof/>
                <w:sz w:val="20"/>
              </w:rPr>
            </w:pPr>
            <w:r>
              <w:rPr>
                <w:sz w:val="20"/>
              </w:rPr>
              <w:t>Nedzhmi Ali, Wolf Klinz</w:t>
            </w:r>
          </w:p>
        </w:tc>
      </w:tr>
      <w:tr w:rsidR="008E13A6" w:rsidRPr="00987CCF" w:rsidTr="003E78B4">
        <w:trPr>
          <w:cantSplit/>
        </w:trPr>
        <w:tc>
          <w:tcPr>
            <w:tcW w:w="1701" w:type="dxa"/>
            <w:shd w:val="clear" w:color="auto" w:fill="FFFFFF"/>
          </w:tcPr>
          <w:p w:rsidR="008E13A6" w:rsidRPr="00987CCF" w:rsidRDefault="008E13A6" w:rsidP="003E78B4">
            <w:pPr>
              <w:spacing w:before="120" w:after="120"/>
              <w:rPr>
                <w:noProof/>
                <w:sz w:val="20"/>
              </w:rPr>
            </w:pPr>
            <w:r>
              <w:rPr>
                <w:sz w:val="20"/>
              </w:rPr>
              <w:t>GUE/NGL</w:t>
            </w:r>
          </w:p>
        </w:tc>
        <w:tc>
          <w:tcPr>
            <w:tcW w:w="7371" w:type="dxa"/>
            <w:shd w:val="clear" w:color="auto" w:fill="FFFFFF"/>
          </w:tcPr>
          <w:p w:rsidR="008E13A6" w:rsidRPr="00987CCF" w:rsidRDefault="008E13A6" w:rsidP="003E78B4">
            <w:pPr>
              <w:spacing w:before="120" w:after="120"/>
              <w:rPr>
                <w:noProof/>
                <w:sz w:val="20"/>
              </w:rPr>
            </w:pPr>
            <w:r>
              <w:rPr>
                <w:sz w:val="20"/>
              </w:rPr>
              <w:t>Luke Ming Flanagan</w:t>
            </w:r>
          </w:p>
        </w:tc>
      </w:tr>
      <w:tr w:rsidR="008E13A6" w:rsidRPr="00987CCF" w:rsidTr="003E78B4">
        <w:trPr>
          <w:cantSplit/>
        </w:trPr>
        <w:tc>
          <w:tcPr>
            <w:tcW w:w="1701" w:type="dxa"/>
            <w:shd w:val="clear" w:color="auto" w:fill="FFFFFF"/>
          </w:tcPr>
          <w:p w:rsidR="008E13A6" w:rsidRPr="00987CCF" w:rsidRDefault="008E13A6" w:rsidP="003E78B4">
            <w:pPr>
              <w:spacing w:before="120" w:after="120"/>
              <w:rPr>
                <w:noProof/>
                <w:sz w:val="20"/>
              </w:rPr>
            </w:pPr>
            <w:r>
              <w:rPr>
                <w:sz w:val="20"/>
              </w:rPr>
              <w:t>PPE</w:t>
            </w:r>
          </w:p>
        </w:tc>
        <w:tc>
          <w:tcPr>
            <w:tcW w:w="7371" w:type="dxa"/>
            <w:shd w:val="clear" w:color="auto" w:fill="FFFFFF"/>
          </w:tcPr>
          <w:p w:rsidR="008E13A6" w:rsidRPr="00987CCF" w:rsidRDefault="008E13A6" w:rsidP="003E78B4">
            <w:pPr>
              <w:spacing w:before="120" w:after="120"/>
              <w:rPr>
                <w:noProof/>
                <w:sz w:val="20"/>
              </w:rPr>
            </w:pPr>
            <w:r>
              <w:rPr>
                <w:sz w:val="20"/>
              </w:rPr>
              <w:t>Richard Ashworth, Tamás Deutsch, Ingeborg Gräßle, Andrey Novakov, Julia Pitera, José Ignacio Salafranca Sánchez-Neyra, Tomáš Zdechovský</w:t>
            </w:r>
          </w:p>
        </w:tc>
      </w:tr>
      <w:tr w:rsidR="008E13A6" w:rsidRPr="00987CCF" w:rsidTr="003E78B4">
        <w:trPr>
          <w:cantSplit/>
        </w:trPr>
        <w:tc>
          <w:tcPr>
            <w:tcW w:w="1701" w:type="dxa"/>
            <w:shd w:val="clear" w:color="auto" w:fill="FFFFFF"/>
          </w:tcPr>
          <w:p w:rsidR="008E13A6" w:rsidRPr="00987CCF" w:rsidRDefault="008E13A6" w:rsidP="003E78B4">
            <w:pPr>
              <w:spacing w:before="120" w:after="120"/>
              <w:rPr>
                <w:noProof/>
                <w:sz w:val="20"/>
              </w:rPr>
            </w:pPr>
            <w:r>
              <w:rPr>
                <w:sz w:val="20"/>
              </w:rPr>
              <w:t>S&amp;D</w:t>
            </w:r>
          </w:p>
        </w:tc>
        <w:tc>
          <w:tcPr>
            <w:tcW w:w="7371" w:type="dxa"/>
            <w:shd w:val="clear" w:color="auto" w:fill="FFFFFF"/>
          </w:tcPr>
          <w:p w:rsidR="008E13A6" w:rsidRPr="00987CCF" w:rsidRDefault="008E13A6" w:rsidP="003E78B4">
            <w:pPr>
              <w:spacing w:before="120" w:after="120"/>
              <w:rPr>
                <w:noProof/>
                <w:sz w:val="20"/>
              </w:rPr>
            </w:pPr>
            <w:r>
              <w:rPr>
                <w:sz w:val="20"/>
              </w:rPr>
              <w:t>Inés Ayala Sender, Zigmantas Balčytis, Caterina Chinnici, John Howarth, Karin Kadenbach, Bogusław Liberadzki, Miroslav Poche</w:t>
            </w:r>
          </w:p>
        </w:tc>
      </w:tr>
      <w:tr w:rsidR="008E13A6" w:rsidRPr="00987CCF" w:rsidTr="003E78B4">
        <w:trPr>
          <w:cantSplit/>
        </w:trPr>
        <w:tc>
          <w:tcPr>
            <w:tcW w:w="1701" w:type="dxa"/>
            <w:shd w:val="clear" w:color="auto" w:fill="FFFFFF"/>
          </w:tcPr>
          <w:p w:rsidR="008E13A6" w:rsidRPr="00987CCF" w:rsidRDefault="008E13A6" w:rsidP="003E78B4">
            <w:pPr>
              <w:spacing w:before="120" w:after="120"/>
              <w:rPr>
                <w:noProof/>
                <w:sz w:val="20"/>
              </w:rPr>
            </w:pPr>
            <w:r>
              <w:rPr>
                <w:sz w:val="20"/>
              </w:rPr>
              <w:t>VERTS/ALE</w:t>
            </w:r>
          </w:p>
        </w:tc>
        <w:tc>
          <w:tcPr>
            <w:tcW w:w="7371" w:type="dxa"/>
            <w:shd w:val="clear" w:color="auto" w:fill="FFFFFF"/>
          </w:tcPr>
          <w:p w:rsidR="008E13A6" w:rsidRPr="00987CCF" w:rsidRDefault="008E13A6" w:rsidP="003E78B4">
            <w:pPr>
              <w:spacing w:before="120" w:after="120"/>
              <w:rPr>
                <w:noProof/>
                <w:sz w:val="20"/>
              </w:rPr>
            </w:pPr>
            <w:r>
              <w:rPr>
                <w:sz w:val="20"/>
              </w:rPr>
              <w:t>Bart Staes</w:t>
            </w:r>
          </w:p>
        </w:tc>
      </w:tr>
    </w:tbl>
    <w:p w:rsidR="008E13A6" w:rsidRPr="00987CCF" w:rsidRDefault="008E13A6" w:rsidP="001B4A4D">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987CCF" w:rsidTr="003E78B4">
        <w:trPr>
          <w:cantSplit/>
        </w:trPr>
        <w:tc>
          <w:tcPr>
            <w:tcW w:w="1701" w:type="dxa"/>
            <w:shd w:val="pct10" w:color="000000" w:fill="FFFFFF"/>
            <w:vAlign w:val="center"/>
          </w:tcPr>
          <w:p w:rsidR="008E13A6" w:rsidRPr="00987CCF" w:rsidRDefault="008E13A6" w:rsidP="003E78B4">
            <w:pPr>
              <w:spacing w:before="120" w:after="120"/>
              <w:jc w:val="center"/>
              <w:rPr>
                <w:b/>
                <w:noProof/>
                <w:sz w:val="16"/>
              </w:rPr>
            </w:pPr>
            <w:r>
              <w:rPr>
                <w:b/>
                <w:sz w:val="20"/>
              </w:rPr>
              <w:t>1</w:t>
            </w:r>
          </w:p>
        </w:tc>
        <w:tc>
          <w:tcPr>
            <w:tcW w:w="7371" w:type="dxa"/>
            <w:shd w:val="pct10" w:color="000000" w:fill="FFFFFF"/>
          </w:tcPr>
          <w:p w:rsidR="008E13A6" w:rsidRPr="00987CCF" w:rsidRDefault="008E13A6" w:rsidP="003E78B4">
            <w:pPr>
              <w:spacing w:before="120" w:after="120"/>
              <w:jc w:val="center"/>
              <w:rPr>
                <w:noProof/>
                <w:sz w:val="28"/>
                <w:szCs w:val="28"/>
              </w:rPr>
            </w:pPr>
            <w:r>
              <w:rPr>
                <w:rFonts w:ascii="Arial" w:hAnsi="Arial"/>
                <w:b/>
                <w:sz w:val="28"/>
                <w:szCs w:val="28"/>
              </w:rPr>
              <w:t>-</w:t>
            </w:r>
          </w:p>
        </w:tc>
      </w:tr>
      <w:tr w:rsidR="008E13A6" w:rsidRPr="00987CCF" w:rsidTr="003E78B4">
        <w:trPr>
          <w:cantSplit/>
        </w:trPr>
        <w:tc>
          <w:tcPr>
            <w:tcW w:w="1701" w:type="dxa"/>
            <w:shd w:val="clear" w:color="auto" w:fill="FFFFFF"/>
          </w:tcPr>
          <w:p w:rsidR="008E13A6" w:rsidRPr="00987CCF" w:rsidRDefault="008E13A6" w:rsidP="003E78B4">
            <w:pPr>
              <w:spacing w:before="120" w:after="120"/>
              <w:rPr>
                <w:noProof/>
                <w:sz w:val="20"/>
              </w:rPr>
            </w:pPr>
            <w:r>
              <w:rPr>
                <w:sz w:val="20"/>
              </w:rPr>
              <w:t>EFDD</w:t>
            </w:r>
          </w:p>
        </w:tc>
        <w:tc>
          <w:tcPr>
            <w:tcW w:w="7371" w:type="dxa"/>
            <w:shd w:val="clear" w:color="auto" w:fill="FFFFFF"/>
          </w:tcPr>
          <w:p w:rsidR="008E13A6" w:rsidRPr="00987CCF" w:rsidRDefault="008E13A6" w:rsidP="003E78B4">
            <w:pPr>
              <w:spacing w:before="120" w:after="120"/>
              <w:rPr>
                <w:noProof/>
                <w:sz w:val="20"/>
              </w:rPr>
            </w:pPr>
            <w:r>
              <w:rPr>
                <w:sz w:val="20"/>
              </w:rPr>
              <w:t>Jonathan Bullock</w:t>
            </w:r>
          </w:p>
        </w:tc>
      </w:tr>
    </w:tbl>
    <w:p w:rsidR="008E13A6" w:rsidRPr="00987CCF" w:rsidRDefault="008E13A6" w:rsidP="001B4A4D">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987CCF" w:rsidTr="003E78B4">
        <w:trPr>
          <w:cantSplit/>
        </w:trPr>
        <w:tc>
          <w:tcPr>
            <w:tcW w:w="1701" w:type="dxa"/>
            <w:shd w:val="pct10" w:color="000000" w:fill="FFFFFF"/>
            <w:vAlign w:val="center"/>
          </w:tcPr>
          <w:p w:rsidR="008E13A6" w:rsidRPr="00987CCF" w:rsidRDefault="008E13A6" w:rsidP="003E78B4">
            <w:pPr>
              <w:spacing w:before="120" w:after="120"/>
              <w:jc w:val="center"/>
              <w:rPr>
                <w:b/>
                <w:noProof/>
                <w:sz w:val="16"/>
              </w:rPr>
            </w:pPr>
            <w:r>
              <w:rPr>
                <w:b/>
                <w:sz w:val="20"/>
              </w:rPr>
              <w:t>0</w:t>
            </w:r>
          </w:p>
        </w:tc>
        <w:tc>
          <w:tcPr>
            <w:tcW w:w="7371" w:type="dxa"/>
            <w:shd w:val="pct10" w:color="000000" w:fill="FFFFFF"/>
          </w:tcPr>
          <w:p w:rsidR="008E13A6" w:rsidRPr="00987CCF" w:rsidRDefault="008E13A6" w:rsidP="003E78B4">
            <w:pPr>
              <w:spacing w:before="120" w:after="120"/>
              <w:jc w:val="center"/>
              <w:rPr>
                <w:noProof/>
                <w:sz w:val="28"/>
                <w:szCs w:val="28"/>
              </w:rPr>
            </w:pPr>
            <w:r>
              <w:rPr>
                <w:rFonts w:ascii="Arial" w:hAnsi="Arial"/>
                <w:b/>
                <w:sz w:val="28"/>
                <w:szCs w:val="28"/>
              </w:rPr>
              <w:t>0</w:t>
            </w:r>
          </w:p>
        </w:tc>
      </w:tr>
      <w:tr w:rsidR="008E13A6" w:rsidRPr="00987CCF" w:rsidTr="003E78B4">
        <w:trPr>
          <w:cantSplit/>
        </w:trPr>
        <w:tc>
          <w:tcPr>
            <w:tcW w:w="1701" w:type="dxa"/>
            <w:shd w:val="clear" w:color="auto" w:fill="FFFFFF"/>
          </w:tcPr>
          <w:p w:rsidR="008E13A6" w:rsidRPr="00987CCF" w:rsidRDefault="008E13A6" w:rsidP="003E78B4">
            <w:pPr>
              <w:spacing w:before="120" w:after="120"/>
              <w:rPr>
                <w:noProof/>
                <w:sz w:val="20"/>
              </w:rPr>
            </w:pPr>
          </w:p>
        </w:tc>
        <w:tc>
          <w:tcPr>
            <w:tcW w:w="7371" w:type="dxa"/>
            <w:shd w:val="clear" w:color="auto" w:fill="FFFFFF"/>
          </w:tcPr>
          <w:p w:rsidR="008E13A6" w:rsidRPr="00987CCF" w:rsidRDefault="008E13A6" w:rsidP="003E78B4">
            <w:pPr>
              <w:spacing w:before="120" w:after="120"/>
              <w:rPr>
                <w:noProof/>
                <w:sz w:val="20"/>
              </w:rPr>
            </w:pPr>
          </w:p>
        </w:tc>
      </w:tr>
    </w:tbl>
    <w:p w:rsidR="008E13A6" w:rsidRDefault="008E13A6" w:rsidP="00147FBF">
      <w:pPr>
        <w:pStyle w:val="Normal12"/>
        <w:rPr>
          <w:noProof/>
        </w:rPr>
      </w:pPr>
    </w:p>
    <w:p w:rsidR="008E13A6" w:rsidRDefault="008E13A6" w:rsidP="00B735E3">
      <w:pPr>
        <w:rPr>
          <w:noProof/>
        </w:rPr>
      </w:pPr>
      <w:r>
        <w:t>Jelmagyarázat:</w:t>
      </w:r>
    </w:p>
    <w:p w:rsidR="008E13A6" w:rsidRDefault="008E13A6" w:rsidP="00B735E3">
      <w:pPr>
        <w:pStyle w:val="NormalTabs"/>
        <w:rPr>
          <w:noProof/>
        </w:rPr>
      </w:pPr>
      <w:r>
        <w:t>+</w:t>
      </w:r>
      <w:r>
        <w:tab/>
        <w:t>:</w:t>
      </w:r>
      <w:r>
        <w:tab/>
        <w:t>mellette</w:t>
      </w:r>
    </w:p>
    <w:p w:rsidR="008E13A6" w:rsidRDefault="008E13A6" w:rsidP="00B735E3">
      <w:pPr>
        <w:pStyle w:val="NormalTabs"/>
        <w:rPr>
          <w:noProof/>
        </w:rPr>
      </w:pPr>
      <w:r>
        <w:t>-</w:t>
      </w:r>
      <w:r>
        <w:tab/>
        <w:t>:</w:t>
      </w:r>
      <w:r>
        <w:tab/>
        <w:t>ellene</w:t>
      </w:r>
    </w:p>
    <w:p w:rsidR="008E13A6" w:rsidRDefault="008E13A6" w:rsidP="00B735E3">
      <w:pPr>
        <w:pStyle w:val="NormalTabs"/>
        <w:rPr>
          <w:noProof/>
        </w:rPr>
      </w:pPr>
      <w:r>
        <w:t>0</w:t>
      </w:r>
      <w:r>
        <w:tab/>
        <w:t>:</w:t>
      </w:r>
      <w:r>
        <w:tab/>
        <w:t>tartózkodás</w:t>
      </w:r>
    </w:p>
    <w:p w:rsidR="008E13A6" w:rsidRDefault="008E13A6" w:rsidP="00AD5932">
      <w:pPr>
        <w:rPr>
          <w:noProof/>
        </w:rPr>
      </w:pPr>
    </w:p>
    <w:p w:rsidR="008E13A6" w:rsidRPr="001B4A4D" w:rsidRDefault="008E13A6" w:rsidP="001B4A4D">
      <w:pPr>
        <w:rPr>
          <w:noProof/>
        </w:rPr>
      </w:pPr>
    </w:p>
    <w:p w:rsidR="00621123" w:rsidRPr="00621123" w:rsidRDefault="00621123" w:rsidP="008E13A6">
      <w:pPr>
        <w:rPr>
          <w:noProof/>
        </w:rPr>
      </w:pPr>
    </w:p>
    <w:p w:rsidR="00621123" w:rsidRDefault="00621123" w:rsidP="00621123">
      <w:pPr>
        <w:pStyle w:val="PageHeading"/>
        <w:rPr>
          <w:noProof/>
        </w:rPr>
      </w:pPr>
      <w:r>
        <w:br w:type="page"/>
      </w:r>
      <w:bookmarkStart w:id="9" w:name="ProcPageRR"/>
      <w:bookmarkStart w:id="10" w:name="_Toc534971923"/>
      <w:r>
        <w:lastRenderedPageBreak/>
        <w:t>ELJÁRÁS AZ ILLETÉKES BIZOTTSÁGBAN</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211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A vámügyi együttműködést szolgáló „Vám” program létrehozása</w:t>
            </w:r>
          </w:p>
        </w:tc>
      </w:tr>
      <w:tr w:rsidR="0062112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COM(2018)0442 – C8-0261/2018 – 2018/0232(COD)</w:t>
            </w:r>
          </w:p>
        </w:tc>
      </w:tr>
      <w:tr w:rsidR="006211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Az Európai Parlamentnek történő benyújtás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8.6.2018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r>
      <w:tr w:rsidR="0062112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Illetékes bizottság</w:t>
            </w:r>
          </w:p>
          <w:p w:rsidR="00621123" w:rsidRDefault="00621123">
            <w:pPr>
              <w:autoSpaceDE w:val="0"/>
              <w:autoSpaceDN w:val="0"/>
              <w:adjustRightInd w:val="0"/>
              <w:rPr>
                <w:noProof/>
                <w:color w:val="000000"/>
                <w:sz w:val="20"/>
              </w:rPr>
            </w:pPr>
            <w:r>
              <w:rPr>
                <w:color w:val="000000"/>
                <w:sz w:val="20"/>
              </w:rPr>
              <w:t>       A plenáris ülésen való bejelentés dátuma</w:t>
            </w:r>
          </w:p>
        </w:tc>
        <w:tc>
          <w:tcPr>
            <w:tcW w:w="1530" w:type="dxa"/>
            <w:tcBorders>
              <w:top w:val="nil"/>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IMCO</w:t>
            </w:r>
          </w:p>
          <w:p w:rsidR="00621123" w:rsidRDefault="00621123">
            <w:pPr>
              <w:autoSpaceDE w:val="0"/>
              <w:autoSpaceDN w:val="0"/>
              <w:adjustRightInd w:val="0"/>
              <w:rPr>
                <w:noProof/>
                <w:color w:val="000000"/>
                <w:sz w:val="20"/>
              </w:rPr>
            </w:pPr>
            <w:r>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r>
      <w:tr w:rsidR="006211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Véleménynyilvánításra felkért bizottságok</w:t>
            </w:r>
          </w:p>
          <w:p w:rsidR="00621123" w:rsidRDefault="00621123">
            <w:pPr>
              <w:autoSpaceDE w:val="0"/>
              <w:autoSpaceDN w:val="0"/>
              <w:adjustRightInd w:val="0"/>
              <w:rPr>
                <w:noProof/>
                <w:color w:val="000000"/>
                <w:sz w:val="20"/>
              </w:rPr>
            </w:pPr>
            <w:r>
              <w:rPr>
                <w:color w:val="000000"/>
                <w:sz w:val="20"/>
              </w:rPr>
              <w:t>       A plenáris ülésen való bejelentés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BUDG</w:t>
            </w:r>
          </w:p>
          <w:p w:rsidR="00621123" w:rsidRDefault="00621123">
            <w:pPr>
              <w:autoSpaceDE w:val="0"/>
              <w:autoSpaceDN w:val="0"/>
              <w:adjustRightInd w:val="0"/>
              <w:rPr>
                <w:noProof/>
                <w:color w:val="000000"/>
                <w:sz w:val="20"/>
              </w:rPr>
            </w:pPr>
            <w:r>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CONT</w:t>
            </w:r>
          </w:p>
          <w:p w:rsidR="00621123" w:rsidRDefault="00621123">
            <w:pPr>
              <w:autoSpaceDE w:val="0"/>
              <w:autoSpaceDN w:val="0"/>
              <w:adjustRightInd w:val="0"/>
              <w:rPr>
                <w:noProof/>
                <w:color w:val="000000"/>
                <w:sz w:val="20"/>
              </w:rPr>
            </w:pPr>
            <w:r>
              <w:rPr>
                <w:color w:val="000000"/>
                <w:sz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r>
      <w:tr w:rsidR="006211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Előadók</w:t>
            </w:r>
          </w:p>
          <w:p w:rsidR="00621123" w:rsidRDefault="00621123">
            <w:pPr>
              <w:autoSpaceDE w:val="0"/>
              <w:autoSpaceDN w:val="0"/>
              <w:adjustRightInd w:val="0"/>
              <w:rPr>
                <w:noProof/>
                <w:color w:val="000000"/>
                <w:sz w:val="20"/>
              </w:rPr>
            </w:pPr>
            <w:r>
              <w:rPr>
                <w:color w:val="000000"/>
                <w:sz w:val="20"/>
              </w:rPr>
              <w:t>       A kijelölés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Maria Grapini</w:t>
            </w:r>
          </w:p>
          <w:p w:rsidR="00621123" w:rsidRDefault="00621123">
            <w:pPr>
              <w:autoSpaceDE w:val="0"/>
              <w:autoSpaceDN w:val="0"/>
              <w:adjustRightInd w:val="0"/>
              <w:rPr>
                <w:noProof/>
                <w:color w:val="000000"/>
                <w:sz w:val="20"/>
              </w:rPr>
            </w:pPr>
            <w:r>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r>
      <w:tr w:rsidR="006211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Vizsgálat a bizottságban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r>
      <w:tr w:rsidR="0062112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Az elfogadás dátuma</w:t>
            </w:r>
          </w:p>
        </w:tc>
        <w:tc>
          <w:tcPr>
            <w:tcW w:w="1530" w:type="dxa"/>
            <w:tcBorders>
              <w:top w:val="nil"/>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6.12.2018</w:t>
            </w:r>
          </w:p>
        </w:tc>
        <w:tc>
          <w:tcPr>
            <w:tcW w:w="1474" w:type="dxa"/>
            <w:tcBorders>
              <w:top w:val="nil"/>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rFonts w:ascii="sans-serif" w:hAnsi="sans-serif" w:cs="sans-serif"/>
                <w:noProof/>
                <w:color w:val="000000"/>
                <w:szCs w:val="24"/>
              </w:rPr>
            </w:pPr>
          </w:p>
        </w:tc>
      </w:tr>
      <w:tr w:rsidR="006211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w:t>
            </w:r>
          </w:p>
          <w:p w:rsidR="00621123" w:rsidRDefault="00621123">
            <w:pPr>
              <w:autoSpaceDE w:val="0"/>
              <w:autoSpaceDN w:val="0"/>
              <w:adjustRightInd w:val="0"/>
              <w:rPr>
                <w:noProof/>
                <w:color w:val="000000"/>
                <w:sz w:val="20"/>
              </w:rPr>
            </w:pPr>
            <w:r>
              <w:rPr>
                <w:color w:val="000000"/>
                <w:sz w:val="20"/>
              </w:rPr>
              <w:t>–:</w:t>
            </w:r>
          </w:p>
          <w:p w:rsidR="00621123" w:rsidRDefault="00621123">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33</w:t>
            </w:r>
          </w:p>
          <w:p w:rsidR="00621123" w:rsidRDefault="00621123">
            <w:pPr>
              <w:autoSpaceDE w:val="0"/>
              <w:autoSpaceDN w:val="0"/>
              <w:adjustRightInd w:val="0"/>
              <w:rPr>
                <w:noProof/>
                <w:color w:val="000000"/>
                <w:sz w:val="20"/>
              </w:rPr>
            </w:pPr>
            <w:r>
              <w:rPr>
                <w:color w:val="000000"/>
                <w:sz w:val="20"/>
              </w:rPr>
              <w:t>2</w:t>
            </w:r>
          </w:p>
          <w:p w:rsidR="00621123" w:rsidRDefault="00621123">
            <w:pPr>
              <w:autoSpaceDE w:val="0"/>
              <w:autoSpaceDN w:val="0"/>
              <w:adjustRightInd w:val="0"/>
              <w:rPr>
                <w:noProof/>
                <w:color w:val="000000"/>
                <w:sz w:val="20"/>
              </w:rPr>
            </w:pPr>
            <w:r>
              <w:rPr>
                <w:color w:val="000000"/>
                <w:sz w:val="20"/>
              </w:rPr>
              <w:t>0</w:t>
            </w:r>
          </w:p>
        </w:tc>
      </w:tr>
      <w:tr w:rsidR="006211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John Stuart Agnew, Pascal Arimont, Carlos Coelho, Sergio Gaetano Cofferati, Lara Comi, Anna Maria Corazza Bildt, Daniel Dalton, Nicola Danti, Dennis de Jong, Pascal Durand, Maria Grapini, Robert Jarosław Iwaszkiewicz, Philippe Juvin, Antonio López-Istúriz White, Eva Maydell, Marlene Mizzi, Jiří Pospíšil, Christel Schaldemose, Andreas Schwab, Olga Sehnalová, Jasenko Selimovic, Igor Šoltes, Ivan Štefanec, Richard Sulík, Róża Gräfin von Thun und Hohenstein, Mihai Ţurcanu, Anneleen Van Bossuyt, Marco Zullo</w:t>
            </w:r>
          </w:p>
        </w:tc>
      </w:tr>
      <w:tr w:rsidR="0062112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Lucy Anderson, Anna Hedh, Arndt Kohn, Matthijs van Miltenburg</w:t>
            </w:r>
          </w:p>
        </w:tc>
      </w:tr>
      <w:tr w:rsidR="0062112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John Howarth, Nosheena Mobarik, Flavio Zanonato</w:t>
            </w:r>
          </w:p>
        </w:tc>
      </w:tr>
      <w:tr w:rsidR="0062112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b/>
                <w:bCs/>
                <w:noProof/>
                <w:color w:val="000000"/>
                <w:sz w:val="20"/>
              </w:rPr>
            </w:pPr>
            <w:r>
              <w:rPr>
                <w:b/>
                <w:bCs/>
                <w:color w:val="000000"/>
                <w:sz w:val="20"/>
              </w:rPr>
              <w:t>Benyújtás dátuma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21123" w:rsidRDefault="00621123">
            <w:pPr>
              <w:autoSpaceDE w:val="0"/>
              <w:autoSpaceDN w:val="0"/>
              <w:adjustRightInd w:val="0"/>
              <w:rPr>
                <w:noProof/>
                <w:color w:val="000000"/>
                <w:sz w:val="20"/>
              </w:rPr>
            </w:pPr>
            <w:r>
              <w:rPr>
                <w:color w:val="000000"/>
                <w:sz w:val="20"/>
              </w:rPr>
              <w:t>13.12.2018</w:t>
            </w:r>
          </w:p>
        </w:tc>
      </w:tr>
    </w:tbl>
    <w:p w:rsidR="00621123" w:rsidRPr="008E13A6" w:rsidRDefault="00621123" w:rsidP="008E13A6">
      <w:pPr>
        <w:rPr>
          <w:noProof/>
        </w:rPr>
      </w:pPr>
    </w:p>
    <w:bookmarkEnd w:id="9"/>
    <w:p w:rsidR="008E13A6" w:rsidRPr="0099178F" w:rsidRDefault="008E13A6" w:rsidP="00AD5932">
      <w:pPr>
        <w:pStyle w:val="PageHeading"/>
        <w:rPr>
          <w:noProof/>
          <w:szCs w:val="24"/>
        </w:rPr>
      </w:pPr>
      <w:r>
        <w:br w:type="page"/>
      </w:r>
      <w:bookmarkStart w:id="11" w:name="RollCallPageRR"/>
      <w:bookmarkStart w:id="12" w:name="_Toc534971924"/>
      <w:r>
        <w:lastRenderedPageBreak/>
        <w:t>AZ ILLETÉKES BIZOTTSÁG NÉV SZERINTI ZÁRÓSZAVAZÁSA</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D26B44" w:rsidTr="002335C0">
        <w:trPr>
          <w:cantSplit/>
        </w:trPr>
        <w:tc>
          <w:tcPr>
            <w:tcW w:w="1701" w:type="dxa"/>
            <w:shd w:val="pct10" w:color="000000" w:fill="FFFFFF"/>
            <w:vAlign w:val="center"/>
          </w:tcPr>
          <w:p w:rsidR="008E13A6" w:rsidRPr="00D26B44" w:rsidRDefault="008E13A6" w:rsidP="002335C0">
            <w:pPr>
              <w:spacing w:before="120" w:after="120"/>
              <w:jc w:val="center"/>
              <w:rPr>
                <w:b/>
                <w:noProof/>
                <w:sz w:val="20"/>
              </w:rPr>
            </w:pPr>
            <w:r>
              <w:rPr>
                <w:b/>
                <w:sz w:val="20"/>
              </w:rPr>
              <w:t>33</w:t>
            </w:r>
          </w:p>
        </w:tc>
        <w:tc>
          <w:tcPr>
            <w:tcW w:w="7371" w:type="dxa"/>
            <w:shd w:val="pct10" w:color="000000" w:fill="FFFFFF"/>
          </w:tcPr>
          <w:p w:rsidR="008E13A6" w:rsidRPr="00D26B44" w:rsidRDefault="008E13A6" w:rsidP="002335C0">
            <w:pPr>
              <w:spacing w:before="120" w:after="120"/>
              <w:jc w:val="center"/>
              <w:rPr>
                <w:rFonts w:ascii="Arial" w:hAnsi="Arial" w:cs="Arial"/>
                <w:b/>
                <w:noProof/>
                <w:sz w:val="28"/>
                <w:szCs w:val="28"/>
              </w:rPr>
            </w:pPr>
            <w:r>
              <w:rPr>
                <w:rFonts w:ascii="Arial" w:hAnsi="Arial"/>
                <w:b/>
                <w:sz w:val="28"/>
                <w:szCs w:val="28"/>
              </w:rPr>
              <w:t>+</w:t>
            </w:r>
          </w:p>
        </w:tc>
      </w:tr>
      <w:tr w:rsidR="008E13A6" w:rsidRPr="00D26B44" w:rsidTr="002335C0">
        <w:trPr>
          <w:cantSplit/>
        </w:trPr>
        <w:tc>
          <w:tcPr>
            <w:tcW w:w="1701" w:type="dxa"/>
            <w:shd w:val="clear" w:color="auto" w:fill="FFFFFF"/>
          </w:tcPr>
          <w:p w:rsidR="008E13A6" w:rsidRPr="00D26B44" w:rsidRDefault="008E13A6" w:rsidP="002335C0">
            <w:pPr>
              <w:spacing w:before="120" w:after="120"/>
              <w:rPr>
                <w:noProof/>
                <w:sz w:val="20"/>
              </w:rPr>
            </w:pPr>
            <w:r>
              <w:rPr>
                <w:sz w:val="20"/>
              </w:rPr>
              <w:t>ALDE</w:t>
            </w:r>
          </w:p>
          <w:p w:rsidR="008E13A6" w:rsidRPr="00D26B44" w:rsidRDefault="008E13A6" w:rsidP="002335C0">
            <w:pPr>
              <w:spacing w:before="120" w:after="120"/>
              <w:rPr>
                <w:noProof/>
                <w:sz w:val="20"/>
              </w:rPr>
            </w:pPr>
            <w:r>
              <w:rPr>
                <w:sz w:val="20"/>
              </w:rPr>
              <w:t>ECR</w:t>
            </w:r>
          </w:p>
          <w:p w:rsidR="008E13A6" w:rsidRPr="00D26B44" w:rsidRDefault="008E13A6" w:rsidP="002335C0">
            <w:pPr>
              <w:spacing w:before="120" w:after="120"/>
              <w:rPr>
                <w:noProof/>
                <w:sz w:val="20"/>
              </w:rPr>
            </w:pPr>
            <w:r>
              <w:rPr>
                <w:sz w:val="20"/>
              </w:rPr>
              <w:t>EFDD</w:t>
            </w:r>
          </w:p>
          <w:p w:rsidR="008E13A6" w:rsidRPr="00D26B44" w:rsidRDefault="008E13A6" w:rsidP="002335C0">
            <w:pPr>
              <w:spacing w:before="120" w:after="120"/>
              <w:rPr>
                <w:noProof/>
                <w:sz w:val="20"/>
              </w:rPr>
            </w:pPr>
            <w:r>
              <w:rPr>
                <w:sz w:val="20"/>
              </w:rPr>
              <w:t>GUE/NGL</w:t>
            </w:r>
          </w:p>
          <w:p w:rsidR="008E13A6" w:rsidRPr="00D26B44" w:rsidRDefault="008E13A6" w:rsidP="002335C0">
            <w:pPr>
              <w:spacing w:before="120" w:after="120"/>
              <w:rPr>
                <w:noProof/>
                <w:sz w:val="20"/>
              </w:rPr>
            </w:pPr>
            <w:r>
              <w:rPr>
                <w:sz w:val="20"/>
              </w:rPr>
              <w:t>PPE</w:t>
            </w:r>
          </w:p>
          <w:p w:rsidR="008E13A6" w:rsidRPr="00D26B44" w:rsidRDefault="008E13A6" w:rsidP="002335C0">
            <w:pPr>
              <w:spacing w:before="120" w:after="120"/>
              <w:rPr>
                <w:noProof/>
                <w:sz w:val="20"/>
              </w:rPr>
            </w:pPr>
          </w:p>
          <w:p w:rsidR="008E13A6" w:rsidRPr="00D26B44" w:rsidRDefault="008E13A6" w:rsidP="002335C0">
            <w:pPr>
              <w:spacing w:before="120" w:after="120"/>
              <w:rPr>
                <w:noProof/>
                <w:sz w:val="20"/>
              </w:rPr>
            </w:pPr>
            <w:r>
              <w:rPr>
                <w:sz w:val="20"/>
              </w:rPr>
              <w:t>S&amp;D</w:t>
            </w:r>
          </w:p>
          <w:p w:rsidR="008E13A6" w:rsidRPr="00D26B44" w:rsidRDefault="008E13A6" w:rsidP="002335C0">
            <w:pPr>
              <w:spacing w:before="120" w:after="120"/>
              <w:rPr>
                <w:noProof/>
                <w:sz w:val="20"/>
              </w:rPr>
            </w:pPr>
            <w:r>
              <w:rPr>
                <w:sz w:val="20"/>
              </w:rPr>
              <w:t>Verts/ALE</w:t>
            </w:r>
          </w:p>
        </w:tc>
        <w:tc>
          <w:tcPr>
            <w:tcW w:w="7371" w:type="dxa"/>
            <w:shd w:val="clear" w:color="auto" w:fill="FFFFFF"/>
          </w:tcPr>
          <w:p w:rsidR="008E13A6" w:rsidRPr="00D26B44" w:rsidRDefault="008E13A6" w:rsidP="002335C0">
            <w:pPr>
              <w:spacing w:before="120" w:after="120"/>
              <w:rPr>
                <w:noProof/>
                <w:sz w:val="20"/>
              </w:rPr>
            </w:pPr>
            <w:r>
              <w:rPr>
                <w:sz w:val="20"/>
              </w:rPr>
              <w:t>Jasenko Selimovic, Matthijs van Miltenburg</w:t>
            </w:r>
          </w:p>
          <w:p w:rsidR="008E13A6" w:rsidRPr="00D26B44" w:rsidRDefault="008E13A6" w:rsidP="002335C0">
            <w:pPr>
              <w:spacing w:before="120" w:after="120"/>
              <w:rPr>
                <w:noProof/>
                <w:sz w:val="20"/>
              </w:rPr>
            </w:pPr>
            <w:r>
              <w:rPr>
                <w:sz w:val="20"/>
              </w:rPr>
              <w:t>Daniel Dalton, Nosheena Mobarik, Richard Sulík, Anneleen Van Bossuyt</w:t>
            </w:r>
          </w:p>
          <w:p w:rsidR="008E13A6" w:rsidRPr="00D26B44" w:rsidRDefault="008E13A6" w:rsidP="002335C0">
            <w:pPr>
              <w:spacing w:before="120" w:after="120"/>
              <w:rPr>
                <w:noProof/>
                <w:sz w:val="20"/>
              </w:rPr>
            </w:pPr>
            <w:r>
              <w:rPr>
                <w:sz w:val="20"/>
              </w:rPr>
              <w:t>Marco Zullo</w:t>
            </w:r>
          </w:p>
          <w:p w:rsidR="008E13A6" w:rsidRPr="00D26B44" w:rsidRDefault="008E13A6" w:rsidP="002335C0">
            <w:pPr>
              <w:spacing w:before="120" w:after="120"/>
              <w:rPr>
                <w:noProof/>
                <w:sz w:val="20"/>
              </w:rPr>
            </w:pPr>
            <w:r>
              <w:rPr>
                <w:sz w:val="20"/>
              </w:rPr>
              <w:t>Dennis de Jong</w:t>
            </w:r>
          </w:p>
          <w:p w:rsidR="008E13A6" w:rsidRPr="00D26B44" w:rsidRDefault="008E13A6" w:rsidP="002335C0">
            <w:pPr>
              <w:spacing w:before="120" w:after="120"/>
              <w:rPr>
                <w:noProof/>
                <w:sz w:val="20"/>
              </w:rPr>
            </w:pPr>
            <w:r>
              <w:rPr>
                <w:sz w:val="20"/>
              </w:rPr>
              <w:t>Pascal Arimont, Carlos Coelho, Lara Comi, Anna Maria Corazza Bildt, Philippe Juvin, Antonio López-Istúriz White, Eva Maydell, Jiří Pospíšil, Andreas Schwab, Ivan Štefanec, Róża Gräfin von Thun und Hohenstein, Mihai Ţurcanu</w:t>
            </w:r>
          </w:p>
          <w:p w:rsidR="008E13A6" w:rsidRPr="00D26B44" w:rsidRDefault="008E13A6" w:rsidP="002335C0">
            <w:pPr>
              <w:spacing w:before="120" w:after="120"/>
              <w:rPr>
                <w:noProof/>
                <w:sz w:val="20"/>
              </w:rPr>
            </w:pPr>
            <w:r>
              <w:rPr>
                <w:sz w:val="20"/>
              </w:rPr>
              <w:t>Lucy Anderson, Sergio Gaetano Cofferati, Nicola Danti, Maria Grapini, Anna Hedh, John Howarth, Arndt Kohn, Marlene Mizzi, Christel Schaldemose, Olga Sehnalová, Flavio Zanonato</w:t>
            </w:r>
          </w:p>
          <w:p w:rsidR="008E13A6" w:rsidRPr="00D26B44" w:rsidRDefault="008E13A6" w:rsidP="002335C0">
            <w:pPr>
              <w:spacing w:before="120" w:after="120"/>
              <w:rPr>
                <w:noProof/>
                <w:sz w:val="20"/>
              </w:rPr>
            </w:pPr>
            <w:r>
              <w:rPr>
                <w:sz w:val="20"/>
              </w:rPr>
              <w:t>Pascal Durand, Igor Šoltes</w:t>
            </w:r>
          </w:p>
        </w:tc>
      </w:tr>
    </w:tbl>
    <w:p w:rsidR="008E13A6" w:rsidRPr="00D26B44" w:rsidRDefault="008E13A6" w:rsidP="008E1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D26B44" w:rsidTr="002335C0">
        <w:trPr>
          <w:cantSplit/>
        </w:trPr>
        <w:tc>
          <w:tcPr>
            <w:tcW w:w="1701" w:type="dxa"/>
            <w:shd w:val="pct10" w:color="000000" w:fill="FFFFFF"/>
            <w:vAlign w:val="center"/>
          </w:tcPr>
          <w:p w:rsidR="008E13A6" w:rsidRPr="00D26B44" w:rsidRDefault="008E13A6" w:rsidP="002335C0">
            <w:pPr>
              <w:spacing w:before="120" w:after="120"/>
              <w:jc w:val="center"/>
              <w:rPr>
                <w:b/>
                <w:noProof/>
                <w:sz w:val="20"/>
              </w:rPr>
            </w:pPr>
            <w:r>
              <w:rPr>
                <w:b/>
                <w:sz w:val="20"/>
              </w:rPr>
              <w:t>2</w:t>
            </w:r>
          </w:p>
        </w:tc>
        <w:tc>
          <w:tcPr>
            <w:tcW w:w="7371" w:type="dxa"/>
            <w:shd w:val="pct10" w:color="000000" w:fill="FFFFFF"/>
          </w:tcPr>
          <w:p w:rsidR="008E13A6" w:rsidRPr="00D26B44" w:rsidRDefault="008E13A6" w:rsidP="002335C0">
            <w:pPr>
              <w:spacing w:before="120" w:after="120"/>
              <w:jc w:val="center"/>
              <w:rPr>
                <w:noProof/>
                <w:sz w:val="28"/>
                <w:szCs w:val="28"/>
              </w:rPr>
            </w:pPr>
            <w:r>
              <w:rPr>
                <w:rFonts w:ascii="Arial" w:hAnsi="Arial"/>
                <w:b/>
                <w:sz w:val="28"/>
                <w:szCs w:val="28"/>
              </w:rPr>
              <w:t>-</w:t>
            </w:r>
          </w:p>
        </w:tc>
      </w:tr>
      <w:tr w:rsidR="008E13A6" w:rsidRPr="00D26B44" w:rsidTr="002335C0">
        <w:trPr>
          <w:cantSplit/>
        </w:trPr>
        <w:tc>
          <w:tcPr>
            <w:tcW w:w="1701" w:type="dxa"/>
            <w:shd w:val="clear" w:color="auto" w:fill="FFFFFF"/>
          </w:tcPr>
          <w:p w:rsidR="008E13A6" w:rsidRPr="00D26B44" w:rsidRDefault="008E13A6" w:rsidP="002335C0">
            <w:pPr>
              <w:spacing w:before="120" w:after="120"/>
              <w:rPr>
                <w:noProof/>
                <w:sz w:val="20"/>
              </w:rPr>
            </w:pPr>
            <w:r>
              <w:rPr>
                <w:sz w:val="20"/>
              </w:rPr>
              <w:t>EFDD</w:t>
            </w:r>
          </w:p>
        </w:tc>
        <w:tc>
          <w:tcPr>
            <w:tcW w:w="7371" w:type="dxa"/>
            <w:shd w:val="clear" w:color="auto" w:fill="FFFFFF"/>
          </w:tcPr>
          <w:p w:rsidR="008E13A6" w:rsidRPr="00D26B44" w:rsidRDefault="008E13A6" w:rsidP="002335C0">
            <w:pPr>
              <w:spacing w:before="120" w:after="120"/>
              <w:rPr>
                <w:noProof/>
                <w:sz w:val="20"/>
              </w:rPr>
            </w:pPr>
            <w:r>
              <w:rPr>
                <w:sz w:val="20"/>
              </w:rPr>
              <w:t>John Stuart Agnew, Robert Jarosław Iwaszkiewicz</w:t>
            </w:r>
          </w:p>
        </w:tc>
      </w:tr>
    </w:tbl>
    <w:p w:rsidR="008E13A6" w:rsidRPr="00D26B44" w:rsidRDefault="008E13A6" w:rsidP="008E1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3A6" w:rsidRPr="00D26B44" w:rsidTr="002335C0">
        <w:trPr>
          <w:cantSplit/>
        </w:trPr>
        <w:tc>
          <w:tcPr>
            <w:tcW w:w="1701" w:type="dxa"/>
            <w:shd w:val="pct10" w:color="000000" w:fill="FFFFFF"/>
            <w:vAlign w:val="center"/>
          </w:tcPr>
          <w:p w:rsidR="008E13A6" w:rsidRPr="00D26B44" w:rsidRDefault="008E13A6" w:rsidP="002335C0">
            <w:pPr>
              <w:spacing w:before="120" w:after="120"/>
              <w:jc w:val="center"/>
              <w:rPr>
                <w:noProof/>
                <w:sz w:val="20"/>
              </w:rPr>
            </w:pPr>
            <w:r>
              <w:rPr>
                <w:sz w:val="20"/>
              </w:rPr>
              <w:t>0</w:t>
            </w:r>
          </w:p>
        </w:tc>
        <w:tc>
          <w:tcPr>
            <w:tcW w:w="7371" w:type="dxa"/>
            <w:shd w:val="pct10" w:color="000000" w:fill="FFFFFF"/>
          </w:tcPr>
          <w:p w:rsidR="008E13A6" w:rsidRPr="00D26B44" w:rsidRDefault="008E13A6" w:rsidP="002335C0">
            <w:pPr>
              <w:spacing w:before="120" w:after="120"/>
              <w:jc w:val="center"/>
              <w:rPr>
                <w:noProof/>
                <w:sz w:val="28"/>
                <w:szCs w:val="28"/>
              </w:rPr>
            </w:pPr>
            <w:r>
              <w:rPr>
                <w:rFonts w:ascii="Arial" w:hAnsi="Arial"/>
                <w:b/>
                <w:sz w:val="28"/>
                <w:szCs w:val="28"/>
              </w:rPr>
              <w:t>0</w:t>
            </w:r>
          </w:p>
        </w:tc>
      </w:tr>
      <w:tr w:rsidR="008E13A6" w:rsidRPr="00D26B44" w:rsidTr="002335C0">
        <w:trPr>
          <w:cantSplit/>
        </w:trPr>
        <w:tc>
          <w:tcPr>
            <w:tcW w:w="1701" w:type="dxa"/>
            <w:shd w:val="clear" w:color="auto" w:fill="FFFFFF"/>
          </w:tcPr>
          <w:p w:rsidR="008E13A6" w:rsidRPr="00D26B44" w:rsidRDefault="008E13A6" w:rsidP="002335C0">
            <w:pPr>
              <w:spacing w:before="120" w:after="120"/>
              <w:rPr>
                <w:noProof/>
                <w:sz w:val="20"/>
              </w:rPr>
            </w:pPr>
          </w:p>
        </w:tc>
        <w:tc>
          <w:tcPr>
            <w:tcW w:w="7371" w:type="dxa"/>
            <w:shd w:val="clear" w:color="auto" w:fill="FFFFFF"/>
          </w:tcPr>
          <w:p w:rsidR="008E13A6" w:rsidRPr="00D26B44" w:rsidRDefault="008E13A6" w:rsidP="002335C0">
            <w:pPr>
              <w:spacing w:before="120" w:after="120"/>
              <w:rPr>
                <w:noProof/>
                <w:sz w:val="20"/>
              </w:rPr>
            </w:pPr>
          </w:p>
        </w:tc>
      </w:tr>
    </w:tbl>
    <w:p w:rsidR="008E13A6" w:rsidRDefault="008E13A6" w:rsidP="00147FBF">
      <w:pPr>
        <w:pStyle w:val="Normal12"/>
        <w:rPr>
          <w:noProof/>
        </w:rPr>
      </w:pPr>
    </w:p>
    <w:p w:rsidR="008E13A6" w:rsidRDefault="008E13A6" w:rsidP="00B735E3">
      <w:pPr>
        <w:rPr>
          <w:noProof/>
        </w:rPr>
      </w:pPr>
      <w:r>
        <w:t>Jelmagyarázat:</w:t>
      </w:r>
    </w:p>
    <w:p w:rsidR="008E13A6" w:rsidRDefault="008E13A6" w:rsidP="00B735E3">
      <w:pPr>
        <w:pStyle w:val="NormalTabs"/>
        <w:rPr>
          <w:noProof/>
        </w:rPr>
      </w:pPr>
      <w:r>
        <w:t>+</w:t>
      </w:r>
      <w:r>
        <w:tab/>
        <w:t>:</w:t>
      </w:r>
      <w:r>
        <w:tab/>
        <w:t>mellette</w:t>
      </w:r>
    </w:p>
    <w:p w:rsidR="008E13A6" w:rsidRDefault="008E13A6" w:rsidP="00B735E3">
      <w:pPr>
        <w:pStyle w:val="NormalTabs"/>
        <w:rPr>
          <w:noProof/>
        </w:rPr>
      </w:pPr>
      <w:r>
        <w:t>-</w:t>
      </w:r>
      <w:r>
        <w:tab/>
        <w:t>:</w:t>
      </w:r>
      <w:r>
        <w:tab/>
        <w:t>ellene</w:t>
      </w:r>
    </w:p>
    <w:p w:rsidR="008E13A6" w:rsidRDefault="008E13A6" w:rsidP="00B735E3">
      <w:pPr>
        <w:pStyle w:val="NormalTabs"/>
        <w:rPr>
          <w:noProof/>
        </w:rPr>
      </w:pPr>
      <w:r>
        <w:t>0</w:t>
      </w:r>
      <w:r>
        <w:tab/>
        <w:t>:</w:t>
      </w:r>
      <w:r>
        <w:tab/>
        <w:t>tartózkodás</w:t>
      </w:r>
    </w:p>
    <w:p w:rsidR="008E13A6" w:rsidRDefault="008E13A6" w:rsidP="00AD5932">
      <w:pPr>
        <w:rPr>
          <w:noProof/>
        </w:rPr>
      </w:pPr>
    </w:p>
    <w:bookmarkEnd w:id="11"/>
    <w:p w:rsidR="001115D8" w:rsidRPr="008E13A6" w:rsidRDefault="001115D8" w:rsidP="008E13A6">
      <w:pPr>
        <w:rPr>
          <w:noProof/>
        </w:rPr>
      </w:pPr>
    </w:p>
    <w:sectPr w:rsidR="001115D8" w:rsidRPr="008E13A6"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AB" w:rsidRPr="006634AB" w:rsidRDefault="006634AB">
      <w:r w:rsidRPr="006634AB">
        <w:separator/>
      </w:r>
    </w:p>
  </w:endnote>
  <w:endnote w:type="continuationSeparator" w:id="0">
    <w:p w:rsidR="006634AB" w:rsidRPr="006634AB" w:rsidRDefault="006634AB">
      <w:r w:rsidRPr="006634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23" w:rsidRDefault="00621123" w:rsidP="00621123">
    <w:pPr>
      <w:pStyle w:val="Footer"/>
    </w:pPr>
    <w:r>
      <w:t>PE</w:t>
    </w:r>
    <w:r w:rsidRPr="00621123">
      <w:rPr>
        <w:rStyle w:val="HideTWBExt"/>
      </w:rPr>
      <w:t>&lt;NoPE&gt;</w:t>
    </w:r>
    <w:r>
      <w:t>628.618</w:t>
    </w:r>
    <w:r w:rsidRPr="00621123">
      <w:rPr>
        <w:rStyle w:val="HideTWBExt"/>
      </w:rPr>
      <w:t>&lt;/NoPE&gt;&lt;Version&gt;</w:t>
    </w:r>
    <w:r>
      <w:t>v03-00</w:t>
    </w:r>
    <w:r w:rsidRPr="00621123">
      <w:rPr>
        <w:rStyle w:val="HideTWBExt"/>
      </w:rPr>
      <w:t>&lt;/Version&gt;</w:t>
    </w:r>
    <w:r>
      <w:tab/>
    </w:r>
    <w:r>
      <w:fldChar w:fldCharType="begin"/>
    </w:r>
    <w:r>
      <w:instrText xml:space="preserve"> PAGE  \* MERGEFORMAT </w:instrText>
    </w:r>
    <w:r>
      <w:fldChar w:fldCharType="separate"/>
    </w:r>
    <w:r w:rsidR="00E85185">
      <w:rPr>
        <w:noProof/>
      </w:rPr>
      <w:t>36</w:t>
    </w:r>
    <w:r>
      <w:fldChar w:fldCharType="end"/>
    </w:r>
    <w:r>
      <w:t>/</w:t>
    </w:r>
    <w:r w:rsidR="00075A38">
      <w:rPr>
        <w:noProof/>
      </w:rPr>
      <w:fldChar w:fldCharType="begin"/>
    </w:r>
    <w:r w:rsidR="00075A38">
      <w:rPr>
        <w:noProof/>
      </w:rPr>
      <w:instrText xml:space="preserve"> NUMPAGES  \* MERGEFORMAT </w:instrText>
    </w:r>
    <w:r w:rsidR="00075A38">
      <w:rPr>
        <w:noProof/>
      </w:rPr>
      <w:fldChar w:fldCharType="separate"/>
    </w:r>
    <w:r w:rsidR="00E85185">
      <w:rPr>
        <w:noProof/>
      </w:rPr>
      <w:t>69</w:t>
    </w:r>
    <w:r w:rsidR="00075A38">
      <w:rPr>
        <w:noProof/>
      </w:rPr>
      <w:fldChar w:fldCharType="end"/>
    </w:r>
    <w:r>
      <w:tab/>
    </w:r>
    <w:r w:rsidRPr="00621123">
      <w:rPr>
        <w:rStyle w:val="HideTWBExt"/>
      </w:rPr>
      <w:t>&lt;PathFdR&gt;</w:t>
    </w:r>
    <w:r>
      <w:t>RR\1172208HU.docx</w:t>
    </w:r>
    <w:r w:rsidRPr="00621123">
      <w:rPr>
        <w:rStyle w:val="HideTWBExt"/>
      </w:rPr>
      <w:t>&lt;/PathFdR&gt;</w:t>
    </w:r>
  </w:p>
  <w:p w:rsidR="00FB52FE" w:rsidRPr="006634AB" w:rsidRDefault="00621123" w:rsidP="00621123">
    <w:pPr>
      <w:pStyle w:val="Footer2"/>
    </w:pPr>
    <w:r>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23" w:rsidRDefault="00621123" w:rsidP="00621123">
    <w:pPr>
      <w:pStyle w:val="Footer"/>
    </w:pPr>
    <w:r w:rsidRPr="00621123">
      <w:rPr>
        <w:rStyle w:val="HideTWBExt"/>
      </w:rPr>
      <w:t>&lt;PathFdR&gt;</w:t>
    </w:r>
    <w:r>
      <w:t>RR\1172208HU.docx</w:t>
    </w:r>
    <w:r w:rsidRPr="00621123">
      <w:rPr>
        <w:rStyle w:val="HideTWBExt"/>
      </w:rPr>
      <w:t>&lt;/PathFdR&gt;</w:t>
    </w:r>
    <w:r>
      <w:tab/>
    </w:r>
    <w:r>
      <w:fldChar w:fldCharType="begin"/>
    </w:r>
    <w:r>
      <w:instrText xml:space="preserve"> PAGE  \* MERGEFORMAT </w:instrText>
    </w:r>
    <w:r>
      <w:fldChar w:fldCharType="separate"/>
    </w:r>
    <w:r w:rsidR="00E85185">
      <w:rPr>
        <w:noProof/>
      </w:rPr>
      <w:t>37</w:t>
    </w:r>
    <w:r>
      <w:fldChar w:fldCharType="end"/>
    </w:r>
    <w:r>
      <w:t>/</w:t>
    </w:r>
    <w:r w:rsidR="00075A38">
      <w:rPr>
        <w:noProof/>
      </w:rPr>
      <w:fldChar w:fldCharType="begin"/>
    </w:r>
    <w:r w:rsidR="00075A38">
      <w:rPr>
        <w:noProof/>
      </w:rPr>
      <w:instrText xml:space="preserve"> NUMPAGES  \* MERGEFORMAT </w:instrText>
    </w:r>
    <w:r w:rsidR="00075A38">
      <w:rPr>
        <w:noProof/>
      </w:rPr>
      <w:fldChar w:fldCharType="separate"/>
    </w:r>
    <w:r w:rsidR="00E85185">
      <w:rPr>
        <w:noProof/>
      </w:rPr>
      <w:t>69</w:t>
    </w:r>
    <w:r w:rsidR="00075A38">
      <w:rPr>
        <w:noProof/>
      </w:rPr>
      <w:fldChar w:fldCharType="end"/>
    </w:r>
    <w:r>
      <w:tab/>
      <w:t>PE</w:t>
    </w:r>
    <w:r w:rsidRPr="00621123">
      <w:rPr>
        <w:rStyle w:val="HideTWBExt"/>
      </w:rPr>
      <w:t>&lt;NoPE&gt;</w:t>
    </w:r>
    <w:r>
      <w:t>628.618</w:t>
    </w:r>
    <w:r w:rsidRPr="00621123">
      <w:rPr>
        <w:rStyle w:val="HideTWBExt"/>
      </w:rPr>
      <w:t>&lt;/NoPE&gt;&lt;Version&gt;</w:t>
    </w:r>
    <w:r>
      <w:t>v03-00</w:t>
    </w:r>
    <w:r w:rsidRPr="00621123">
      <w:rPr>
        <w:rStyle w:val="HideTWBExt"/>
      </w:rPr>
      <w:t>&lt;/Version&gt;</w:t>
    </w:r>
  </w:p>
  <w:p w:rsidR="00FB52FE" w:rsidRPr="006634AB" w:rsidRDefault="00621123" w:rsidP="00621123">
    <w:pPr>
      <w:pStyle w:val="Footer2"/>
    </w:pPr>
    <w:r>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23" w:rsidRDefault="00621123" w:rsidP="00621123">
    <w:pPr>
      <w:pStyle w:val="Footer"/>
    </w:pPr>
    <w:r w:rsidRPr="00621123">
      <w:rPr>
        <w:rStyle w:val="HideTWBExt"/>
      </w:rPr>
      <w:t>&lt;PathFdR&gt;</w:t>
    </w:r>
    <w:r>
      <w:t>RR\1172208HU.docx</w:t>
    </w:r>
    <w:r w:rsidRPr="00621123">
      <w:rPr>
        <w:rStyle w:val="HideTWBExt"/>
      </w:rPr>
      <w:t>&lt;/PathFdR&gt;</w:t>
    </w:r>
    <w:r>
      <w:tab/>
    </w:r>
    <w:r>
      <w:tab/>
      <w:t>PE</w:t>
    </w:r>
    <w:r w:rsidRPr="00621123">
      <w:rPr>
        <w:rStyle w:val="HideTWBExt"/>
      </w:rPr>
      <w:t>&lt;NoPE&gt;</w:t>
    </w:r>
    <w:r>
      <w:t>628.618</w:t>
    </w:r>
    <w:r w:rsidRPr="00621123">
      <w:rPr>
        <w:rStyle w:val="HideTWBExt"/>
      </w:rPr>
      <w:t>&lt;/NoPE&gt;&lt;Version&gt;</w:t>
    </w:r>
    <w:r>
      <w:t>v03-00</w:t>
    </w:r>
    <w:r w:rsidRPr="00621123">
      <w:rPr>
        <w:rStyle w:val="HideTWBExt"/>
      </w:rPr>
      <w:t>&lt;/Version&gt;</w:t>
    </w:r>
  </w:p>
  <w:p w:rsidR="00FB52FE" w:rsidRPr="006634AB" w:rsidRDefault="00621123" w:rsidP="00621123">
    <w:pPr>
      <w:pStyle w:val="Footer2"/>
      <w:tabs>
        <w:tab w:val="center" w:pos="4535"/>
      </w:tabs>
    </w:pPr>
    <w:r>
      <w:t>HU</w:t>
    </w:r>
    <w:r>
      <w:tab/>
    </w:r>
    <w:r w:rsidRPr="00621123">
      <w:rPr>
        <w:b w:val="0"/>
        <w:i/>
        <w:color w:val="C0C0C0"/>
        <w:sz w:val="22"/>
      </w:rPr>
      <w:t>Egyesülve a sokféleségben</w:t>
    </w:r>
    <w:r>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AB" w:rsidRPr="006634AB" w:rsidRDefault="006634AB">
      <w:r w:rsidRPr="006634AB">
        <w:separator/>
      </w:r>
    </w:p>
  </w:footnote>
  <w:footnote w:type="continuationSeparator" w:id="0">
    <w:p w:rsidR="006634AB" w:rsidRPr="006634AB" w:rsidRDefault="006634AB">
      <w:r w:rsidRPr="006634A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D8" w:rsidRDefault="00111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D8" w:rsidRDefault="00111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D8" w:rsidRDefault="00111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IMCO"/>
    <w:docVar w:name="EPSTATMNU" w:val=" 5"/>
    <w:docVar w:name="INSTITUTIONSMNU" w:val=" 2"/>
    <w:docVar w:name="JURI1MNU" w:val=" 2"/>
    <w:docVar w:name="JURI2MNU" w:val=" 2"/>
    <w:docVar w:name="LastEditedSection" w:val=" 1"/>
    <w:docVar w:name="OTHERSTATMNU" w:val=" 4"/>
    <w:docVar w:name="PARLIAMENTSMNU" w:val=" 2"/>
    <w:docVar w:name="RepeatBlock-AmendHU"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91842 HideTWBExt;}{\*\cs16 \additive \v\cf15 \spriority0 \styrsid13991842 HideTWBInt;}{\s17\ql \li0\ri0\sa120\nowidctlpar\wrapdefault\aspalpha\aspnum\faauto\adjustright\rin0\lin0\itap0 _x000d__x000a_\rtlch\fcs1 \af0\afs20\alang1025 \ltrch\fcs0 \fs24\lang1038\langfe2057\cgrid\langnp1038\langfenp2057 \sbasedon0 \snext17 \slink18 \spriority0 \styrsid13991842 Normal6;}{\*\cs18 \additive \fs24\lang1038\langfe0\langnp1038 _x000d__x000a_\slink17 \slocked \spriority0 \styrsid13991842 Normal6 Char;}{\s19\ql \li0\ri0\nowidctlpar\wrapdefault\aspalpha\aspnum\faauto\adjustright\rin0\lin0\itap0 \rtlch\fcs1 \af0\afs20\alang1025 \ltrch\fcs0 _x000d__x000a_\b\fs24\lang1038\langfe2057\cgrid\langnp1038\langfenp2057 \sbasedon0 \snext19 \slink20 \spriority0 \styrsid13991842 NormalBold;}{\*\cs20 \additive \b\fs24\lang1038\langfe0\langnp1038 \slink19 \slocked \spriority0 \styrsid13991842 NormalBold Char;}{_x000d__x000a_\s21\ql \li0\ri0\sb240\nowidctlpar\wrapdefault\aspalpha\aspnum\faauto\adjustright\rin0\lin0\itap0 \rtlch\fcs1 \af0\afs20\alang1025 \ltrch\fcs0 \i\fs24\lang1038\langfe2057\cgrid\langnp1038\langfenp2057 \sbasedon0 \snext21 \spriority0 \styrsid13991842 _x000d__x000a_Normal12Italic;}{\s22\qc \li0\ri0\sb240\nowidctlpar\wrapdefault\aspalpha\aspnum\faauto\adjustright\rin0\lin0\itap0 \rtlch\fcs1 \af0\afs20\alang1025 \ltrch\fcs0 \i\fs24\lang1038\langfe2057\cgrid\langnp1038\langfenp2057 _x000d__x000a_\sbasedon0 \snext22 \spriority0 \styrsid13991842 CrossRef;}{\s23\qc \li0\ri0\sb240\keepn\nowidctlpar\wrapdefault\aspalpha\aspnum\faauto\adjustright\rin0\lin0\itap0 \rtlch\fcs1 \af0\afs20\alang1025 \ltrch\fcs0 _x000d__x000a_\i\fs24\lang1038\langfe2057\cgrid\langnp1038\langfenp2057 \sbasedon0 \snext0 \spriority0 \styrsid13991842 JustificationTitle;}{\s24\qc \li0\ri0\sa240\nowidctlpar\wrapdefault\aspalpha\aspnum\faauto\adjustright\rin0\lin0\itap0 \rtlch\fcs1 _x000d__x000a_\af0\afs20\alang1025 \ltrch\fcs0 \i\fs24\lang1038\langfe2057\cgrid\langnp1038\langfenp2057 \sbasedon0 \snext24 \spriority0 \styrsid1399184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8\langfe2057\cgrid\langnp1038\langfenp2057 \sbasedon0 \snext25 \spriority0 \styrsid13991842 AMNumberTabs;}{\s26\ql \li0\ri0\sb240\nowidctlpar\wrapdefault\aspalpha\aspnum\faauto\adjustright\rin0\lin0\itap0 \rtlch\fcs1 _x000d__x000a_\af0\afs20\alang1025 \ltrch\fcs0 \b\fs24\lang1038\langfe2057\cgrid\langnp1038\langfenp2057 \sbasedon0 \snext26 \spriority0 \styrsid13991842 NormalBold12b;}}{\*\rsidtbl \rsid24658\rsid735077\rsid2892074\rsid3886623\rsid4666813\rsid6641733\rsid9636012_x000d__x000a_\rsid11215221\rsid12154954\rsid13991842\rsid14424199\rsid15204470\rsid15285974\rsid15950462\rsid16324206\rsid16662270}{\mmathPr\mmathFont34\mbrkBin0\mbrkBinSub0\msmallFrac0\mdispDef1\mlMargin0\mrMargin0\mdefJc1\mwrapIndent1440\mintLim0\mnaryLim1}{\info_x000d__x000a_{\author WOIDICH Alexandra}{\operator WOIDICH Alexandra}{\creatim\yr2018\mo12\dy17\hr9\min12}{\revtim\yr2018\mo12\dy17\hr9\min12}{\version1}{\edmins0}{\nofpages1}{\nofwords94}{\nofchars538}{\*\company European Parliament}{\nofcharsws631}{\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91842\utinl \fet0{\*\wgrffmtfilter 013f}\ilfomacatclnup0{\*\template D:\\USERS\\awoidich\\AppData\\Local\\Temp\\Blank1.dot}{\*\ftnsep \ltrpar \pard\plain \ltrpar_x000d__x000a_\ql \li0\ri0\widctlpar\wrapdefault\aspalpha\aspnum\faauto\adjustright\rin0\lin0\itap0 \rtlch\fcs1 \af0\afs20\alang1025 \ltrch\fcs0 \fs24\lang2057\langfe2057\cgrid\langnp2057\langfenp2057 {\rtlch\fcs1 \af0 \ltrch\fcs0 \insrsid3886623 \chftnsep _x000d__x000a_\par }}{\*\ftnsepc \ltrpar \pard\plain \ltrpar\ql \li0\ri0\widctlpar\wrapdefault\aspalpha\aspnum\faauto\adjustright\rin0\lin0\itap0 \rtlch\fcs1 \af0\afs20\alang1025 \ltrch\fcs0 \fs24\lang2057\langfe2057\cgrid\langnp2057\langfenp2057 {\rtlch\fcs1 \af0 _x000d__x000a_\ltrch\fcs0 \insrsid3886623 \chftnsepc _x000d__x000a_\par }}{\*\aftnsep \ltrpar \pard\plain \ltrpar\ql \li0\ri0\widctlpar\wrapdefault\aspalpha\aspnum\faauto\adjustright\rin0\lin0\itap0 \rtlch\fcs1 \af0\afs20\alang1025 \ltrch\fcs0 \fs24\lang2057\langfe2057\cgrid\langnp2057\langfenp2057 {\rtlch\fcs1 \af0 _x000d__x000a_\ltrch\fcs0 \insrsid3886623 \chftnsep _x000d__x000a_\par }}{\*\aftnsepc \ltrpar \pard\plain \ltrpar\ql \li0\ri0\widctlpar\wrapdefault\aspalpha\aspnum\faauto\adjustright\rin0\lin0\itap0 \rtlch\fcs1 \af0\afs20\alang1025 \ltrch\fcs0 \fs24\lang2057\langfe2057\cgrid\langnp2057\langfenp2057 {\rtlch\fcs1 \af0 _x000d__x000a_\ltrch\fcs0 \insrsid38866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168121 \rtlch\fcs1 \af0\afs20\alang1025 \ltrch\fcs0 \b\fs24\lang1038\langfe2057\cgrid\langnp1038\langfenp2057 {\rtlch\fcs1 \af0 \ltrch\fcs0 \cs15\b0\v\f1\fs20\cf9\insrsid13991842\charrsid5655818 {\*\bkmkstart restart}&lt;Amend&gt;}{_x000d__x000a_\rtlch\fcs1 \af0 \ltrch\fcs0 \insrsid13991842\charrsid5655818 M\'f3dos\'edt\'e1s\tab \tab }{\rtlch\fcs1 \af0 \ltrch\fcs0 \cs15\b0\v\f1\fs20\cf9\insrsid13991842\charrsid5655818 &lt;NumAm&gt;}{\rtlch\fcs1 \af0 \ltrch\fcs0 \insrsid13991842\charrsid5655818 #}{_x000d__x000a_\rtlch\fcs1 \af0 \ltrch\fcs0 \cs16\v\cf15\insrsid13991842\charrsid5655818 ENMIENDA@NRAM@}{\rtlch\fcs1 \af0 \ltrch\fcs0 \insrsid13991842\charrsid5655818 #}{\rtlch\fcs1 \af0 \ltrch\fcs0 \cs15\b0\v\f1\fs20\cf9\insrsid13991842\charrsid5655818 &lt;/NumAm&gt;}{_x000d__x000a_\rtlch\fcs1 \af0 \ltrch\fcs0 \insrsid13991842\charrsid5655818 _x000d__x000a_\par }\pard\plain \ltrpar\s26\ql \li0\ri0\sb240\keepn\nowidctlpar\wrapdefault\aspalpha\aspnum\faauto\adjustright\rin0\lin0\itap0\pararsid15168121 \rtlch\fcs1 \af0\afs20\alang1025 \ltrch\fcs0 \b\fs24\lang1038\langfe2057\cgrid\langnp1038\langfenp2057 {_x000d__x000a_\rtlch\fcs1 \af0 \ltrch\fcs0 \cs15\b0\v\f1\fs20\cf9\insrsid13991842\charrsid5655818 &lt;DocAmend&gt;}{\rtlch\fcs1 \af0 \ltrch\fcs0 \insrsid13991842\charrsid5655818 #}{\rtlch\fcs1 \af0 \ltrch\fcs0 \cs16\v\cf15\insrsid13991842\charrsid5655818 _x000d__x000a_MNU[DOC1a][DOC2a][DOC3a]@DOCMSG@DOCMNU}{\rtlch\fcs1 \af0 \ltrch\fcs0 \insrsid13991842\charrsid5655818 # ir\'e1nyul\'f3 javaslat#}{\rtlch\fcs1 \af0 \ltrch\fcs0 \cs16\v\cf15\insrsid13991842\charrsid5655818 MNU[AMACTYES][NOTAPP]@CHOICE@AMACTMNU}{\rtlch\fcs1 _x000d__x000a_\af0 \ltrch\fcs0 \insrsid13991842\charrsid5655818 #}{\rtlch\fcs1 \af0 \ltrch\fcs0 \cs15\b0\v\f1\fs20\cf9\insrsid13991842\charrsid5655818 &lt;/DocAmend&gt;}{\rtlch\fcs1 \af0 \ltrch\fcs0 \insrsid13991842\charrsid5655818 _x000d__x000a_\par }\pard\plain \ltrpar\s19\ql \li0\ri0\keepn\nowidctlpar\wrapdefault\aspalpha\aspnum\faauto\adjustright\rin0\lin0\itap0\pararsid15168121 \rtlch\fcs1 \af0\afs20\alang1025 \ltrch\fcs0 \b\fs24\lang1038\langfe2057\cgrid\langnp1038\langfenp2057 {\rtlch\fcs1 _x000d__x000a_\af0 \ltrch\fcs0 \cs15\b0\v\f1\fs20\cf9\insrsid13991842\charrsid5655818 &lt;Article&gt;}{\rtlch\fcs1 \af0 \ltrch\fcs0 \insrsid13991842\charrsid5655818 #}{\rtlch\fcs1 \af0 \ltrch\fcs0 \cs16\v\cf15\insrsid13991842\charrsid5655818 _x000d__x000a_MNU[AMACTPARTYES][AMACTPARTNO]@CHOICE@AMACTMNU}{\rtlch\fcs1 \af0 \ltrch\fcs0 \insrsid13991842\charrsid5655818 #}{\rtlch\fcs1 \af0 \ltrch\fcs0 \cs15\b0\v\f1\fs20\cf9\insrsid13991842\charrsid5655818 &lt;/Article&gt;}{\rtlch\fcs1 \af0 \ltrch\fcs0 _x000d__x000a_\insrsid13991842\charrsid5655818 _x000d__x000a_\par }\pard\plain \ltrpar\ql \li0\ri0\keepn\widctlpar\wrapdefault\aspalpha\aspnum\faauto\adjustright\rin0\lin0\itap0\pararsid15168121 \rtlch\fcs1 \af0\afs20\alang1025 \ltrch\fcs0 \fs24\lang2057\langfe2057\cgrid\langnp2057\langfenp2057 {\rtlch\fcs1 \af0 _x000d__x000a_\ltrch\fcs0 \cs15\v\f1\fs20\cf9\lang1038\langfe2057\langnp1038\insrsid13991842\charrsid5655818 &lt;DocAmend2&gt;&lt;OptDel&gt;}{\rtlch\fcs1 \af0 \ltrch\fcs0 \lang1038\langfe2057\langnp1038\insrsid13991842\charrsid5655818 #}{\rtlch\fcs1 \af0 \ltrch\fcs0 _x000d__x000a_\cs16\v\cf15\lang1038\langfe2057\langnp1038\insrsid13991842\charrsid5655818 MNU[OPTNRACTYES][NOTAPP]@CHOICE@AMACTMNU}{\rtlch\fcs1 \af0 \ltrch\fcs0 \lang1038\langfe2057\langnp1038\insrsid13991842\charrsid5655818 #}{\rtlch\fcs1 \af0 \ltrch\fcs0 _x000d__x000a_\cs15\v\f1\fs20\cf9\lang1038\langfe2057\langnp1038\insrsid13991842\charrsid5655818 &lt;/OptDel&gt;&lt;/DocAmend2&gt;}{\rtlch\fcs1 \af0 \ltrch\fcs0 \lang1038\langfe2057\langnp1038\insrsid13991842\charrsid5655818 _x000d__x000a_\par }\pard \ltrpar\ql \li0\ri0\widctlpar\wrapdefault\aspalpha\aspnum\faauto\adjustright\rin0\lin0\itap0\pararsid15168121 {\rtlch\fcs1 \af0 \ltrch\fcs0 \cs15\v\f1\fs20\cf9\lang1038\langfe2057\langnp1038\insrsid13991842\charrsid5655818 &lt;Article2&gt;&lt;OptDel&gt;}{_x000d__x000a_\rtlch\fcs1 \af0 \ltrch\fcs0 \lang1038\langfe2057\langnp1038\insrsid13991842\charrsid5655818 #}{\rtlch\fcs1 \af0 \ltrch\fcs0 \cs16\v\cf15\lang1038\langfe2057\langnp1038\insrsid13991842\charrsid5655818 MNU[OPTACTPARTYES][NOTAPP]@CHOICE@AMACTMNU}{_x000d__x000a_\rtlch\fcs1 \af0 \ltrch\fcs0 \lang1038\langfe2057\langnp1038\insrsid13991842\charrsid5655818 #}{\rtlch\fcs1 \af0 \ltrch\fcs0 \cs15\v\f1\fs20\cf9\lang1038\langfe2057\langnp1038\insrsid13991842\charrsid5655818 &lt;/OptDel&gt;&lt;/Article2&gt;}{\rtlch\fcs1 \af0 _x000d__x000a_\ltrch\fcs0 \lang1038\langfe2057\langnp1038\insrsid13991842\charrsid5655818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8\langfe2057\langnp1038\insrsid13991842\charrsid5655818 \cell }\pard \ltrpar\ql \li0\ri0\widctlpar\intbl\wrapdefault\aspalpha\aspnum\faauto\adjustright\rin0\lin0 {\rtlch\fcs1 \af0 \ltrch\fcs0 _x000d__x000a_\lang1038\langfe2057\langnp1038\insrsid13991842\charrsid5655818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8\langfe2057\cgrid\langnp1038\langfenp2057 {\rtlch\fcs1 \af0 \ltrch\fcs0 _x000d__x000a_\insrsid13991842\charrsid5655818 #}{\rtlch\fcs1 \af0 \ltrch\fcs0 \cs16\v\cf15\insrsid13991842\charrsid5655818 MNU[OPTLEFTAMACT][LEFTPROP]@CHOICE@AMACTMNU}{\rtlch\fcs1 \af0 \ltrch\fcs0 \insrsid13991842\charrsid5655818 #\cell M\'f3dos\'edt\'e1s\cell _x000d__x000a_}\pard\plain \ltrpar\ql \li0\ri0\widctlpar\intbl\wrapdefault\aspalpha\aspnum\faauto\adjustright\rin0\lin0 \rtlch\fcs1 \af0\afs20\alang1025 \ltrch\fcs0 \fs24\lang2057\langfe2057\cgrid\langnp2057\langfenp2057 {\rtlch\fcs1 \af0 \ltrch\fcs0 _x000d__x000a_\lang1038\langfe2057\langnp1038\insrsid13991842\charrsid5655818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38\langfe2057\cgrid\langnp1038\langfenp2057 {\rtlch\fcs1 \af0 \ltrch\fcs0 \insrsid13991842\charrsid5655818 ##\cell ##}{\rtlch\fcs1 \af0\afs24 \ltrch\fcs0 \insrsid13991842\charrsid5655818 \cell }\pard\plain \ltrpar_x000d__x000a_\ql \li0\ri0\widctlpar\intbl\wrapdefault\aspalpha\aspnum\faauto\adjustright\rin0\lin0 \rtlch\fcs1 \af0\afs20\alang1025 \ltrch\fcs0 \fs24\lang2057\langfe2057\cgrid\langnp2057\langfenp2057 {\rtlch\fcs1 \af0 \ltrch\fcs0 _x000d__x000a_\lang1038\langfe2057\langnp1038\insrsid13991842\charrsid5655818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15168121 \rtlch\fcs1 \af0\afs20\alang1025 \ltrch\fcs0 _x000d__x000a_\i\fs24\lang1038\langfe2057\cgrid\langnp1038\langfenp2057 {\rtlch\fcs1 \af0 \ltrch\fcs0 \cs15\i0\v\f1\fs20\cf9\insrsid13991842\charrsid5655818 &lt;OptDel&gt;}{\rtlch\fcs1 \af0 \ltrch\fcs0 \insrsid13991842\charrsid5655818 #}{\rtlch\fcs1 \af0 \ltrch\fcs0 _x000d__x000a_\cs16\v\cf15\insrsid13991842\charrsid5655818 MNU[CROSSREFNO][CROSSREFYES]@CHOICE@}{\rtlch\fcs1 \af0 \ltrch\fcs0 \insrsid13991842\charrsid5655818 #}{\rtlch\fcs1 \af0 \ltrch\fcs0 \cs15\i0\v\f1\fs20\cf9\insrsid13991842\charrsid5655818 &lt;/OptDel&gt;}{\rtlch\fcs1 _x000d__x000a_\af0 \ltrch\fcs0 \insrsid13991842\charrsid5655818 _x000d__x000a_\par }\pard\plain \ltrpar\s23\qc \li0\ri0\sb240\keepn\nowidctlpar\wrapdefault\aspalpha\aspnum\faauto\adjustright\rin0\lin0\itap0\pararsid15168121 \rtlch\fcs1 \af0\afs20\alang1025 \ltrch\fcs0 \i\fs24\lang1038\langfe2057\cgrid\langnp1038\langfenp2057 {_x000d__x000a_\rtlch\fcs1 \af0 \ltrch\fcs0 \cs15\i0\v\f1\fs20\cf9\insrsid13991842\charrsid5655818 &lt;TitreJust&gt;}{\rtlch\fcs1 \af0 \ltrch\fcs0 \insrsid13991842\charrsid5655818 Indokol\'e1s}{\rtlch\fcs1 \af0 \ltrch\fcs0 _x000d__x000a_\cs15\i0\v\f1\fs20\cf9\insrsid13991842\charrsid5655818 &lt;/TitreJust&gt;}{\rtlch\fcs1 \af0 \ltrch\fcs0 \insrsid13991842\charrsid5655818 _x000d__x000a_\par }\pard\plain \ltrpar\s21\ql \li0\ri0\sb240\nowidctlpar\wrapdefault\aspalpha\aspnum\faauto\adjustright\rin0\lin0\itap0\pararsid15168121 \rtlch\fcs1 \af0\afs20\alang1025 \ltrch\fcs0 \i\fs24\lang1038\langfe2057\cgrid\langnp1038\langfenp2057 {\rtlch\fcs1 _x000d__x000a_\af0 \ltrch\fcs0 \cs15\i0\v\f1\fs20\cf9\insrsid13991842\charrsid5655818 &lt;OptDelPrev&gt;}{\rtlch\fcs1 \af0 \ltrch\fcs0 \insrsid13991842\charrsid5655818 #}{\rtlch\fcs1 \af0 \ltrch\fcs0 \cs16\v\cf15\insrsid13991842\charrsid5655818 _x000d__x000a_MNU[TEXTJUSTYES][TEXTJUSTNO]@CHOICE@}{\rtlch\fcs1 \af0 \ltrch\fcs0 \insrsid13991842\charrsid5655818 #}{\rtlch\fcs1 \af0 \ltrch\fcs0 \cs15\i0\v\f1\fs20\cf9\insrsid13991842\charrsid5655818 &lt;/OptDelPrev&gt;}{\rtlch\fcs1 \af0 \ltrch\fcs0 _x000d__x000a_\insrsid13991842\charrsid5655818 _x000d__x000a_\par }\pard\plain \ltrpar\ql \li0\ri0\widctlpar\wrapdefault\aspalpha\aspnum\faauto\adjustright\rin0\lin0\itap0\pararsid15168121 \rtlch\fcs1 \af0\afs20\alang1025 \ltrch\fcs0 \fs24\lang2057\langfe2057\cgrid\langnp2057\langfenp2057 {\rtlch\fcs1 \af0 \ltrch\fcs0 _x000d__x000a_\cs15\v\f1\fs20\cf9\lang1038\langfe2057\langnp1038\insrsid13991842\charrsid5655818 &lt;/Amend&gt;}{\rtlch\fcs1 \af0 \ltrch\fcs0 \insrsid1399184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0_x000d__x000a_8f49e09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21418 HideTWBExt;}{\s16\ql \li0\ri0\sa120\nowidctlpar\wrapdefault\aspalpha\aspnum\faauto\adjustright\rin0\lin0\itap0 \rtlch\fcs1 \af0\afs20\alang1025 \ltrch\fcs0 _x000d__x000a_\fs24\lang2057\langfe2057\cgrid\langnp2057\langfenp2057 \sbasedon0 \snext16 \slink17 \spriority0 \styrsid3821418 Normal6;}{\*\cs17 \additive \fs24 \slink16 \slocked \spriority0 \styrsid3821418 Normal6 Char;}{_x000d__x000a_\s18\ql \li0\ri0\nowidctlpar\wrapdefault\aspalpha\aspnum\faauto\adjustright\rin0\lin0\itap0 \rtlch\fcs1 \af0\afs20\alang1025 \ltrch\fcs0 \b\fs24\lang2057\langfe2057\cgrid\langnp2057\langfenp2057 \sbasedon0 \snext18 \slink19 \spriority0 \styrsid3821418 _x000d__x000a_NormalBold;}{\*\cs19 \additive \b\fs24 \slink18 \slocked \spriority0 \styrsid3821418 NormalBold Char;}{\s20\ql \li0\ri0\sb240\nowidctlpar\wrapdefault\aspalpha\aspnum\faauto\adjustright\rin0\lin0\itap0 \rtlch\fcs1 \af0\afs20\alang1025 \ltrch\fcs0 _x000d__x000a_\i\fs24\lang2057\langfe2057\cgrid\langnp2057\langfenp2057 \sbasedon0 \snext20 \spriority0 \styrsid3821418 Normal12Italic;}{\s21\qc \li0\ri0\sb240\nowidctlpar\wrapdefault\aspalpha\aspnum\faauto\adjustright\rin0\lin0\itap0 \rtlch\fcs1 \af0\afs20\alang1025 _x000d__x000a_\ltrch\fcs0 \i\fs24\lang2057\langfe2057\cgrid\langnp2057\langfenp2057 \sbasedon0 \snext21 \spriority0 \styrsid3821418 CrossRef;}{\s22\qc \li0\ri0\sb240\keepn\nowidctlpar\wrapdefault\aspalpha\aspnum\faauto\adjustright\rin0\lin0\itap0 \rtlch\fcs1 _x000d__x000a_\af0\afs20\alang1025 \ltrch\fcs0 \i\fs24\lang2057\langfe2057\cgrid\langnp2057\langfenp2057 \sbasedon0 \snext0 \spriority0 \styrsid3821418 JustificationTitle;}{_x000d__x000a_\s23\qc \li0\ri0\sa240\nowidctlpar\wrapdefault\aspalpha\aspnum\faauto\adjustright\rin0\lin0\itap0 \rtlch\fcs1 \af0\afs20\alang1025 \ltrch\fcs0 \i\fs24\lang2057\langfe2057\cgrid\langnp2057\langfenp2057 \sbasedon0 \snext23 \spriority0 \styrsid382141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821418 AMNumberTabs;}{_x000d__x000a_\s25\ql \li0\ri0\sb240\nowidctlpar\wrapdefault\aspalpha\aspnum\faauto\adjustright\rin0\lin0\itap0 \rtlch\fcs1 \af0\afs20\alang1025 \ltrch\fcs0 \b\fs24\lang2057\langfe2057\cgrid\langnp2057\langfenp2057 \sbasedon0 \snext25 \spriority0 \styrsid3821418 _x000d__x000a_NormalBold12b;}}{\*\rsidtbl \rsid24658\rsid735077\rsid2892074\rsid3821418\rsid4666813\rsid6433100\rsid6641733\rsid9636012\rsid11215221\rsid12154954\rsid14424199\rsid15204470\rsid15285974\rsid15950462\rsid16324206\rsid16662270}{\mmathPr\mmathFont34_x000d__x000a_\mbrkBin0\mbrkBinSub0\msmallFrac0\mdispDef1\mlMargin0\mrMargin0\mdefJc1\mwrapIndent1440\mintLim0\mnaryLim1}{\info{\author WOIDICH Alexandra}{\operator WOIDICH Alexandra}{\creatim\yr2018\mo12\dy17\hr9\min12}{\revtim\yr2018\mo12\dy17\hr9\min12}{\version1}_x000d__x000a_{\edmins0}{\nofpages1}{\nofwords54}{\nofchars313}{\*\company European Parliament}{\nofcharsws366}{\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21418\utinl \fet0{\*\wgrffmtfilter 013f}\ilfomacatclnup0{\*\template D:\\USERS\\awoidich\\AppData\\Local\\Temp\\Blank1.dot}{\*\ftnsep \ltrpar \pard\plain \ltrpar_x000d__x000a_\ql \li0\ri0\widctlpar\wrapdefault\aspalpha\aspnum\faauto\adjustright\rin0\lin0\itap0 \rtlch\fcs1 \af0\afs20\alang1025 \ltrch\fcs0 \fs24\lang2057\langfe2057\cgrid\langnp2057\langfenp2057 {\rtlch\fcs1 \af0 \ltrch\fcs0 \insrsid6433100 \chftnsep _x000d__x000a_\par }}{\*\ftnsepc \ltrpar \pard\plain \ltrpar\ql \li0\ri0\widctlpar\wrapdefault\aspalpha\aspnum\faauto\adjustright\rin0\lin0\itap0 \rtlch\fcs1 \af0\afs20\alang1025 \ltrch\fcs0 \fs24\lang2057\langfe2057\cgrid\langnp2057\langfenp2057 {\rtlch\fcs1 \af0 _x000d__x000a_\ltrch\fcs0 \insrsid6433100 \chftnsepc _x000d__x000a_\par }}{\*\aftnsep \ltrpar \pard\plain \ltrpar\ql \li0\ri0\widctlpar\wrapdefault\aspalpha\aspnum\faauto\adjustright\rin0\lin0\itap0 \rtlch\fcs1 \af0\afs20\alang1025 \ltrch\fcs0 \fs24\lang2057\langfe2057\cgrid\langnp2057\langfenp2057 {\rtlch\fcs1 \af0 _x000d__x000a_\ltrch\fcs0 \insrsid6433100 \chftnsep _x000d__x000a_\par }}{\*\aftnsepc \ltrpar \pard\plain \ltrpar\ql \li0\ri0\widctlpar\wrapdefault\aspalpha\aspnum\faauto\adjustright\rin0\lin0\itap0 \rtlch\fcs1 \af0\afs20\alang1025 \ltrch\fcs0 \fs24\lang2057\langfe2057\cgrid\langnp2057\langfenp2057 {\rtlch\fcs1 \af0 _x000d__x000a_\ltrch\fcs0 \insrsid64331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3821418\charrsid4593153 {\*\bkmkstart restart}&lt;Amend&gt;}{_x000d__x000a_\rtlch\fcs1 \af0 \ltrch\fcs0 \insrsid3821418\charrsid4593153 [ZAMENDMENT]\tab \tab }{\rtlch\fcs1 \af0 \ltrch\fcs0 \cs15\b0\v\f1\fs20\cf9\insrsid3821418\charrsid4593153 &lt;NumAm&gt;}{\rtlch\fcs1 \af0 \ltrch\fcs0 \insrsid3821418\charrsid4593153 [ZNRAM]}{_x000d__x000a_\rtlch\fcs1 \af0 \ltrch\fcs0 \cs15\b0\v\f1\fs20\cf9\insrsid3821418\charrsid4593153 &lt;/NumAm&gt;}{\rtlch\fcs1 \af0 \ltrch\fcs0 \insrsid3821418\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3821418\charrsid4593153 &lt;DocAmend&gt;}{\rtlch\fcs1 \af0 \ltrch\fcs0 \insrsid3821418\charrsid4593153 [ZPROPOSAL][ZAMACT]}{\rtlch\fcs1 \af0 \ltrch\fcs0 _x000d__x000a_\cs15\b0\v\f1\fs20\cf9\insrsid3821418\charrsid4593153 &lt;/DocAmend&gt;}{\rtlch\fcs1 \af0 \ltrch\fcs0 \insrsid3821418\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3821418\charrsid4593153 &lt;Article&gt;}{\rtlch\fcs1 \af0 \ltrch\fcs0 \insrsid3821418\charrsid4593153 [ZAMPART]}{\rtlch\fcs1 \af0 \ltrch\fcs0 \cs15\b0\v\f1\fs20\cf9\insrsid3821418\charrsid4593153 &lt;/Article&gt;}{_x000d__x000a_\rtlch\fcs1 \af0 \ltrch\fcs0 \insrsid3821418\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3821418\charrsid4593153 &lt;DocAmend2&gt;&lt;OptDel&gt;}{\rtlch\fcs1 \af0 \ltrch\fcs0 \insrsid3821418\charrsid4593153 [ZNRACT]}{\rtlch\fcs1 \af0 \ltrch\fcs0 \cs15\v\f1\fs20\cf9\insrsid3821418\charrsid4593153 _x000d__x000a_&lt;/OptDel&gt;&lt;/DocAmend2&gt;}{\rtlch\fcs1 \af0 \ltrch\fcs0 \insrsid3821418\charrsid4593153 _x000d__x000a_\par }\pard \ltrpar\ql \li0\ri0\widctlpar\wrapdefault\aspalpha\aspnum\faauto\adjustright\rin0\lin0\itap0\pararsid2517430 {\rtlch\fcs1 \af0 \ltrch\fcs0 \cs15\v\f1\fs20\cf9\insrsid3821418\charrsid4593153 &lt;Article2&gt;&lt;OptDel&gt;}{\rtlch\fcs1 \af0 \ltrch\fcs0 _x000d__x000a_\insrsid3821418\charrsid4593153 [ZACTPART]}{\rtlch\fcs1 \af0 \ltrch\fcs0 \cs15\v\f1\fs20\cf9\insrsid3821418\charrsid4593153 &lt;/OptDel&gt;&lt;/Article2&gt;}{\rtlch\fcs1 \af0 \ltrch\fcs0 \insrsid3821418\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3821418\charrsid4593153 _x000d__x000a_\cell }\pard \ltrpar\ql \li0\ri0\widctlpar\intbl\wrapdefault\aspalpha\aspnum\faauto\adjustright\rin0\lin0 {\rtlch\fcs1 \af0 \ltrch\fcs0 \insrsid3821418\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3821418\charrsid4593153 [ZLEFT]\cell [ZRIGHT]\cell }\pard\plain \ltrpar\ql \li0\ri0\widctlpar\intbl\wrapdefault\aspalpha\aspnum\faauto\adjustright\rin0\lin0 \rtlch\fcs1 \af0\afs20\alang1025 \ltrch\fcs0 _x000d__x000a_\fs24\lang2057\langfe2057\cgrid\langnp2057\langfenp2057 {\rtlch\fcs1 \af0 \ltrch\fcs0 \insrsid3821418\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3821418\charrsid4593153 [ZTEXTL]\cell [ZTEXTR]}{\rtlch\fcs1 \af0\afs24 \ltrch\fcs0 \insrsid3821418\charrsid4593153 \cell }\pard\plain \ltrpar\ql \li0\ri0\widctlpar\intbl\wrapdefault\aspalpha\aspnum\faauto\adjustright\rin0\lin0 \rtlch\fcs1 _x000d__x000a_\af0\afs20\alang1025 \ltrch\fcs0 \fs24\lang2057\langfe2057\cgrid\langnp2057\langfenp2057 {\rtlch\fcs1 \af0 \ltrch\fcs0 \insrsid3821418\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3821418\charrsid4593153 &lt;OptDel&gt;}{\rtlch\fcs1 \af0 \ltrch\fcs0 \insrsid3821418\charrsid4593153 [ZCROSSREF]}{\rtlch\fcs1 \af0 \ltrch\fcs0 \cs15\i0\v\f1\fs20\cf9\insrsid3821418\charrsid4593153 &lt;/OptDel&gt;}{\rtlch\fcs1 \af0 _x000d__x000a_\ltrch\fcs0 \insrsid3821418\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3821418\charrsid4593153 &lt;TitreJust&gt;}{\rtlch\fcs1 \af0 \ltrch\fcs0 \insrsid3821418\charrsid4593153 [ZJUSTIFICATION]}{\rtlch\fcs1 \af0 \ltrch\fcs0 _x000d__x000a_\cs15\i0\v\f1\fs20\cf9\insrsid3821418\charrsid4593153 &lt;/TitreJust&gt;}{\rtlch\fcs1 \af0 \ltrch\fcs0 \insrsid3821418\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3821418\charrsid4593153 &lt;OptDelPrev&gt;}{\rtlch\fcs1 \af0 \ltrch\fcs0 \insrsid3821418\charrsid4593153 [ZTEXTJUST]}{\rtlch\fcs1 \af0 \ltrch\fcs0 \cs15\i0\v\f1\fs20\cf9\insrsid3821418\charrsid4593153 &lt;/OptDelPrev&gt;}{_x000d__x000a_\rtlch\fcs1 \af0 \ltrch\fcs0 \insrsid3821418\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3821418\charrsid4593153 &lt;/Amend&gt;}{\rtlch\fcs1 \af0 \ltrch\fcs0 \insrsid3821418\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4_x000d__x000a_fe4ae09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2"/>
    <w:docVar w:name="TXTAUTHOR" w:val="Maria Grapini"/>
    <w:docVar w:name="TXTLANGUE" w:val="HU"/>
    <w:docVar w:name="TXTLANGUEMIN" w:val="hu"/>
    <w:docVar w:name="TXTNRC" w:val="0261/2018"/>
    <w:docVar w:name="TXTNRCOD" w:val="2018/0232"/>
    <w:docVar w:name="TXTNRCOM" w:val="(2018)0442"/>
    <w:docVar w:name="TXTNRPE" w:val="628.618"/>
    <w:docVar w:name="TXTPEorAP" w:val="PE"/>
    <w:docVar w:name="TXTROUTE" w:val="RR\1172208HU.docx"/>
    <w:docVar w:name="TXTVERSION" w:val="03-00"/>
  </w:docVars>
  <w:rsids>
    <w:rsidRoot w:val="006634AB"/>
    <w:rsid w:val="00011AAB"/>
    <w:rsid w:val="00012351"/>
    <w:rsid w:val="00075A38"/>
    <w:rsid w:val="00084E89"/>
    <w:rsid w:val="000F1096"/>
    <w:rsid w:val="001115D8"/>
    <w:rsid w:val="00123DD5"/>
    <w:rsid w:val="00142215"/>
    <w:rsid w:val="001767E2"/>
    <w:rsid w:val="00184051"/>
    <w:rsid w:val="00187008"/>
    <w:rsid w:val="001C5592"/>
    <w:rsid w:val="001C5B44"/>
    <w:rsid w:val="001C6FFC"/>
    <w:rsid w:val="00212B84"/>
    <w:rsid w:val="002346B0"/>
    <w:rsid w:val="002667C3"/>
    <w:rsid w:val="002669B6"/>
    <w:rsid w:val="00290BED"/>
    <w:rsid w:val="002941EE"/>
    <w:rsid w:val="002F40BB"/>
    <w:rsid w:val="002F4B02"/>
    <w:rsid w:val="00323EF8"/>
    <w:rsid w:val="00370AC3"/>
    <w:rsid w:val="00376173"/>
    <w:rsid w:val="003C2068"/>
    <w:rsid w:val="003C37CF"/>
    <w:rsid w:val="004100B1"/>
    <w:rsid w:val="00421C39"/>
    <w:rsid w:val="004604F7"/>
    <w:rsid w:val="00461601"/>
    <w:rsid w:val="004C0915"/>
    <w:rsid w:val="004D424E"/>
    <w:rsid w:val="004E42C8"/>
    <w:rsid w:val="0051271F"/>
    <w:rsid w:val="00521F46"/>
    <w:rsid w:val="0052612B"/>
    <w:rsid w:val="00551123"/>
    <w:rsid w:val="00570A6A"/>
    <w:rsid w:val="00572719"/>
    <w:rsid w:val="00586E50"/>
    <w:rsid w:val="005D1A99"/>
    <w:rsid w:val="005D7609"/>
    <w:rsid w:val="005D7EE8"/>
    <w:rsid w:val="005F14BC"/>
    <w:rsid w:val="00621123"/>
    <w:rsid w:val="006634AB"/>
    <w:rsid w:val="006B075F"/>
    <w:rsid w:val="006F7907"/>
    <w:rsid w:val="00742C65"/>
    <w:rsid w:val="00743189"/>
    <w:rsid w:val="007932B3"/>
    <w:rsid w:val="00793EA9"/>
    <w:rsid w:val="007D6F68"/>
    <w:rsid w:val="008517E5"/>
    <w:rsid w:val="008633CC"/>
    <w:rsid w:val="00865190"/>
    <w:rsid w:val="008719B9"/>
    <w:rsid w:val="00894ECE"/>
    <w:rsid w:val="00896BB4"/>
    <w:rsid w:val="008A7FB8"/>
    <w:rsid w:val="008E13A6"/>
    <w:rsid w:val="009022B8"/>
    <w:rsid w:val="009143DC"/>
    <w:rsid w:val="00917CC4"/>
    <w:rsid w:val="009763DA"/>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85407"/>
    <w:rsid w:val="00B95702"/>
    <w:rsid w:val="00BC6489"/>
    <w:rsid w:val="00BD480C"/>
    <w:rsid w:val="00BE42FC"/>
    <w:rsid w:val="00C73602"/>
    <w:rsid w:val="00CF60C8"/>
    <w:rsid w:val="00D25233"/>
    <w:rsid w:val="00D32924"/>
    <w:rsid w:val="00D503A3"/>
    <w:rsid w:val="00DA6ED0"/>
    <w:rsid w:val="00DC5011"/>
    <w:rsid w:val="00E171B6"/>
    <w:rsid w:val="00E85185"/>
    <w:rsid w:val="00EB1753"/>
    <w:rsid w:val="00EB6CFF"/>
    <w:rsid w:val="00EE3996"/>
    <w:rsid w:val="00F904AE"/>
    <w:rsid w:val="00F934F8"/>
    <w:rsid w:val="00FB52FE"/>
    <w:rsid w:val="00FB7886"/>
    <w:rsid w:val="00FC0A34"/>
    <w:rsid w:val="00FD16D7"/>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9306E40-10FD-4C58-A502-C78F0797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u-HU"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u-HU"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1115D8"/>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1115D8"/>
    <w:pPr>
      <w:spacing w:before="240" w:after="240"/>
    </w:pPr>
    <w:rPr>
      <w:b/>
      <w:i/>
      <w:snapToGrid w:val="0"/>
      <w:lang w:eastAsia="en-US"/>
    </w:rPr>
  </w:style>
  <w:style w:type="paragraph" w:customStyle="1" w:styleId="Lgendestandard">
    <w:name w:val="Légende standard"/>
    <w:basedOn w:val="Lgendesigne"/>
    <w:rsid w:val="001115D8"/>
    <w:pPr>
      <w:ind w:left="0" w:firstLine="0"/>
    </w:pPr>
  </w:style>
  <w:style w:type="paragraph" w:customStyle="1" w:styleId="msonormal0">
    <w:name w:val="msonormal"/>
    <w:basedOn w:val="Normal"/>
    <w:rsid w:val="001115D8"/>
    <w:pPr>
      <w:widowControl/>
      <w:spacing w:before="100" w:beforeAutospacing="1" w:after="100" w:afterAutospacing="1"/>
    </w:pPr>
    <w:rPr>
      <w:szCs w:val="24"/>
    </w:rPr>
  </w:style>
  <w:style w:type="character" w:customStyle="1" w:styleId="FooterChar">
    <w:name w:val="Footer Char"/>
    <w:link w:val="Footer"/>
    <w:rsid w:val="001115D8"/>
    <w:rPr>
      <w:sz w:val="22"/>
      <w:lang w:val="hu-HU"/>
    </w:rPr>
  </w:style>
  <w:style w:type="character" w:customStyle="1" w:styleId="Normal12Char">
    <w:name w:val="Normal12 Char"/>
    <w:link w:val="Normal12"/>
    <w:locked/>
    <w:rsid w:val="001115D8"/>
    <w:rPr>
      <w:sz w:val="24"/>
      <w:lang w:val="hu-HU"/>
    </w:rPr>
  </w:style>
  <w:style w:type="paragraph" w:customStyle="1" w:styleId="CommitteeAM">
    <w:name w:val="CommitteeAM"/>
    <w:basedOn w:val="Normal"/>
    <w:rsid w:val="001115D8"/>
    <w:pPr>
      <w:spacing w:before="240" w:after="600"/>
      <w:jc w:val="center"/>
    </w:pPr>
    <w:rPr>
      <w:i/>
    </w:rPr>
  </w:style>
  <w:style w:type="paragraph" w:customStyle="1" w:styleId="ZDateAM">
    <w:name w:val="ZDateAM"/>
    <w:basedOn w:val="Normal"/>
    <w:rsid w:val="001115D8"/>
    <w:pPr>
      <w:tabs>
        <w:tab w:val="right" w:pos="9356"/>
      </w:tabs>
      <w:spacing w:after="480"/>
    </w:pPr>
    <w:rPr>
      <w:noProof/>
    </w:rPr>
  </w:style>
  <w:style w:type="paragraph" w:customStyle="1" w:styleId="ProjRap">
    <w:name w:val="ProjRap"/>
    <w:basedOn w:val="Normal"/>
    <w:rsid w:val="001115D8"/>
    <w:pPr>
      <w:tabs>
        <w:tab w:val="right" w:pos="9356"/>
      </w:tabs>
    </w:pPr>
    <w:rPr>
      <w:b/>
      <w:noProof/>
    </w:rPr>
  </w:style>
  <w:style w:type="paragraph" w:customStyle="1" w:styleId="PELeft">
    <w:name w:val="PELeft"/>
    <w:basedOn w:val="Normal"/>
    <w:rsid w:val="001115D8"/>
    <w:pPr>
      <w:spacing w:before="40" w:after="40"/>
    </w:pPr>
    <w:rPr>
      <w:rFonts w:ascii="Arial" w:hAnsi="Arial" w:cs="Arial"/>
      <w:sz w:val="22"/>
      <w:szCs w:val="22"/>
    </w:rPr>
  </w:style>
  <w:style w:type="paragraph" w:customStyle="1" w:styleId="PERight">
    <w:name w:val="PERight"/>
    <w:basedOn w:val="Normal"/>
    <w:next w:val="Normal"/>
    <w:rsid w:val="001115D8"/>
    <w:pPr>
      <w:jc w:val="right"/>
    </w:pPr>
    <w:rPr>
      <w:rFonts w:ascii="Arial" w:hAnsi="Arial" w:cs="Arial"/>
      <w:sz w:val="22"/>
      <w:szCs w:val="22"/>
    </w:rPr>
  </w:style>
  <w:style w:type="character" w:customStyle="1" w:styleId="Footer2Middle">
    <w:name w:val="Footer2Middle"/>
    <w:rsid w:val="001115D8"/>
    <w:rPr>
      <w:rFonts w:ascii="Arial" w:hAnsi="Arial" w:cs="Arial" w:hint="default"/>
      <w:b w:val="0"/>
      <w:bCs w:val="0"/>
      <w:i/>
      <w:iCs w:val="0"/>
      <w:color w:val="C0C0C0"/>
      <w:sz w:val="22"/>
    </w:rPr>
  </w:style>
  <w:style w:type="paragraph" w:customStyle="1" w:styleId="EntPE">
    <w:name w:val="EntPE"/>
    <w:basedOn w:val="Normal12"/>
    <w:rsid w:val="001115D8"/>
    <w:pPr>
      <w:jc w:val="center"/>
    </w:pPr>
    <w:rPr>
      <w:sz w:val="56"/>
    </w:rPr>
  </w:style>
  <w:style w:type="paragraph" w:styleId="BalloonText">
    <w:name w:val="Balloon Text"/>
    <w:basedOn w:val="Normal"/>
    <w:link w:val="BalloonTextChar"/>
    <w:rsid w:val="001115D8"/>
    <w:rPr>
      <w:rFonts w:ascii="Segoe UI" w:hAnsi="Segoe UI" w:cs="Segoe UI"/>
      <w:sz w:val="18"/>
      <w:szCs w:val="18"/>
    </w:rPr>
  </w:style>
  <w:style w:type="character" w:customStyle="1" w:styleId="BalloonTextChar">
    <w:name w:val="Balloon Text Char"/>
    <w:basedOn w:val="DefaultParagraphFont"/>
    <w:link w:val="BalloonText"/>
    <w:rsid w:val="001115D8"/>
    <w:rPr>
      <w:rFonts w:ascii="Segoe UI" w:hAnsi="Segoe UI" w:cs="Segoe UI"/>
      <w:sz w:val="18"/>
      <w:szCs w:val="18"/>
    </w:rPr>
  </w:style>
  <w:style w:type="character" w:styleId="CommentReference">
    <w:name w:val="annotation reference"/>
    <w:basedOn w:val="DefaultParagraphFont"/>
    <w:rsid w:val="001115D8"/>
    <w:rPr>
      <w:sz w:val="16"/>
      <w:szCs w:val="16"/>
    </w:rPr>
  </w:style>
  <w:style w:type="paragraph" w:styleId="CommentText">
    <w:name w:val="annotation text"/>
    <w:basedOn w:val="Normal"/>
    <w:link w:val="CommentTextChar"/>
    <w:rsid w:val="001115D8"/>
    <w:rPr>
      <w:sz w:val="20"/>
    </w:rPr>
  </w:style>
  <w:style w:type="character" w:customStyle="1" w:styleId="CommentTextChar">
    <w:name w:val="Comment Text Char"/>
    <w:basedOn w:val="DefaultParagraphFont"/>
    <w:link w:val="CommentText"/>
    <w:rsid w:val="001115D8"/>
  </w:style>
  <w:style w:type="paragraph" w:styleId="CommentSubject">
    <w:name w:val="annotation subject"/>
    <w:basedOn w:val="CommentText"/>
    <w:next w:val="CommentText"/>
    <w:link w:val="CommentSubjectChar"/>
    <w:rsid w:val="001115D8"/>
    <w:rPr>
      <w:b/>
      <w:bCs/>
    </w:rPr>
  </w:style>
  <w:style w:type="character" w:customStyle="1" w:styleId="CommentSubjectChar">
    <w:name w:val="Comment Subject Char"/>
    <w:basedOn w:val="CommentTextChar"/>
    <w:link w:val="CommentSubject"/>
    <w:rsid w:val="001115D8"/>
    <w:rPr>
      <w:b/>
      <w:bCs/>
    </w:rPr>
  </w:style>
  <w:style w:type="paragraph" w:styleId="Revision">
    <w:name w:val="Revision"/>
    <w:hidden/>
    <w:uiPriority w:val="99"/>
    <w:semiHidden/>
    <w:rsid w:val="001115D8"/>
    <w:rPr>
      <w:sz w:val="24"/>
    </w:rPr>
  </w:style>
  <w:style w:type="character" w:customStyle="1" w:styleId="Sup">
    <w:name w:val="Sup"/>
    <w:rsid w:val="008E13A6"/>
    <w:rPr>
      <w:color w:val="000000"/>
      <w:vertAlign w:val="superscript"/>
    </w:rPr>
  </w:style>
  <w:style w:type="paragraph" w:customStyle="1" w:styleId="PageHeadingNotTOC">
    <w:name w:val="PageHeadingNotTOC"/>
    <w:basedOn w:val="Normal"/>
    <w:rsid w:val="008E13A6"/>
    <w:pPr>
      <w:keepNext/>
      <w:spacing w:before="240" w:after="240"/>
      <w:jc w:val="center"/>
    </w:pPr>
    <w:rPr>
      <w:rFonts w:ascii="Arial" w:hAnsi="Arial"/>
      <w:b/>
    </w:rPr>
  </w:style>
  <w:style w:type="paragraph" w:customStyle="1" w:styleId="NormalTabs">
    <w:name w:val="NormalTabs"/>
    <w:basedOn w:val="Normal"/>
    <w:qFormat/>
    <w:rsid w:val="008E13A6"/>
    <w:pPr>
      <w:tabs>
        <w:tab w:val="center" w:pos="284"/>
        <w:tab w:val="left" w:pos="426"/>
      </w:tabs>
    </w:pPr>
    <w:rPr>
      <w:snapToGrid w:val="0"/>
      <w:lang w:eastAsia="en-US"/>
    </w:rPr>
  </w:style>
  <w:style w:type="character" w:customStyle="1" w:styleId="SupBoldItalic">
    <w:name w:val="SupBoldItalic"/>
    <w:rsid w:val="008E13A6"/>
    <w:rPr>
      <w:b/>
      <w:i/>
      <w:color w:val="000000"/>
      <w:vertAlign w:val="superscript"/>
    </w:rPr>
  </w:style>
  <w:style w:type="character" w:styleId="Hyperlink">
    <w:name w:val="Hyperlink"/>
    <w:basedOn w:val="DefaultParagraphFont"/>
    <w:rsid w:val="008E13A6"/>
    <w:rPr>
      <w:color w:val="0563C1" w:themeColor="hyperlink"/>
      <w:u w:val="single"/>
    </w:rPr>
  </w:style>
  <w:style w:type="paragraph" w:customStyle="1" w:styleId="ConclusionsPA">
    <w:name w:val="ConclusionsPA"/>
    <w:basedOn w:val="Normal12"/>
    <w:rsid w:val="008E13A6"/>
    <w:pPr>
      <w:spacing w:before="480"/>
      <w:jc w:val="center"/>
    </w:pPr>
    <w:rPr>
      <w:rFonts w:ascii="Arial" w:hAnsi="Arial"/>
      <w:b/>
      <w:caps/>
      <w:snapToGrid w:val="0"/>
      <w:lang w:eastAsia="en-US"/>
    </w:rPr>
  </w:style>
  <w:style w:type="character" w:styleId="PageNumber">
    <w:name w:val="page number"/>
    <w:basedOn w:val="DefaultParagraphFont"/>
    <w:rsid w:val="008E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BEA7-9D80-4413-91C8-C288A579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13627</Words>
  <Characters>111880</Characters>
  <Application>Microsoft Office Word</Application>
  <DocSecurity>0</DocSecurity>
  <Lines>3995</Lines>
  <Paragraphs>2614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KOVACS-BOKOR Karoly</dc:creator>
  <cp:keywords/>
  <dc:description/>
  <cp:lastModifiedBy>WOIDICH Alexandra</cp:lastModifiedBy>
  <cp:revision>2</cp:revision>
  <cp:lastPrinted>2004-11-04T09:41:00Z</cp:lastPrinted>
  <dcterms:created xsi:type="dcterms:W3CDTF">2019-01-11T11:10:00Z</dcterms:created>
  <dcterms:modified xsi:type="dcterms:W3CDTF">2019-01-11T11:10:00Z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1172208</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\\eiciLUXpr1\pdocep$\DocEP\TRANSFIL\HU\PR_COD_1amCom.HU(07/11/2017 12:27:27)</vt:lpwstr>
  </property>
  <property fmtid="{D5CDD505-2E9C-101B-9397-08002B2CF9AE}" pid="8" name="&lt;Model&gt;">
    <vt:lpwstr>PR_COD_1amCom</vt:lpwstr>
  </property>
  <property fmtid="{D5CDD505-2E9C-101B-9397-08002B2CF9AE}" pid="9" name="FooterPath">
    <vt:lpwstr>RR\1172208HU.docx</vt:lpwstr>
  </property>
  <property fmtid="{D5CDD505-2E9C-101B-9397-08002B2CF9AE}" pid="10" name="PE number">
    <vt:lpwstr>628.618</vt:lpwstr>
  </property>
  <property fmtid="{D5CDD505-2E9C-101B-9397-08002B2CF9AE}" pid="11" name="Bookout">
    <vt:lpwstr>OK - 2019/01/11 12:09</vt:lpwstr>
  </property>
  <property fmtid="{D5CDD505-2E9C-101B-9397-08002B2CF9AE}" pid="12" name="SubscribeElise">
    <vt:lpwstr/>
  </property>
  <property fmtid="{D5CDD505-2E9C-101B-9397-08002B2CF9AE}" pid="13" name="SDLStudio">
    <vt:lpwstr/>
  </property>
  <property fmtid="{D5CDD505-2E9C-101B-9397-08002B2CF9AE}" pid="14" name="&lt;Extension&gt;">
    <vt:lpwstr>HU</vt:lpwstr>
  </property>
</Properties>
</file>