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56CC" w:rsidRDefault="000056CC" w:rsidP="000056CC">
      <w:pPr>
        <w:tabs>
          <w:tab w:val="right" w:pos="9184"/>
        </w:tabs>
      </w:pPr>
    </w:p>
    <w:p w:rsidR="000056CC" w:rsidRDefault="000056CC" w:rsidP="000056CC">
      <w:pPr>
        <w:tabs>
          <w:tab w:val="right" w:pos="9184"/>
        </w:tabs>
      </w:pPr>
    </w:p>
    <w:p w:rsidR="000056CC" w:rsidRDefault="000056CC" w:rsidP="000056CC">
      <w:pPr>
        <w:tabs>
          <w:tab w:val="right" w:pos="9184"/>
        </w:tabs>
      </w:pPr>
    </w:p>
    <w:p w:rsidR="000056CC" w:rsidRDefault="000056CC" w:rsidP="000056CC">
      <w:pPr>
        <w:tabs>
          <w:tab w:val="right" w:pos="9184"/>
        </w:tabs>
      </w:pPr>
    </w:p>
    <w:p w:rsidR="000056CC" w:rsidRDefault="000056CC" w:rsidP="000056CC">
      <w:pPr>
        <w:tabs>
          <w:tab w:val="right" w:pos="9184"/>
        </w:tabs>
      </w:pPr>
      <w:r w:rsidRPr="000056CC">
        <w:rPr>
          <w:rStyle w:val="HideTWBExt"/>
        </w:rPr>
        <w:t>&lt;Date&gt;</w:t>
      </w:r>
      <w:r>
        <w:t>11.4.2019</w:t>
      </w:r>
      <w:r w:rsidRPr="000056CC">
        <w:rPr>
          <w:rStyle w:val="HideTWBExt"/>
        </w:rPr>
        <w:t>&lt;/Date&gt;</w:t>
      </w:r>
      <w:r>
        <w:tab/>
        <w:t xml:space="preserve">A8-0011/ </w:t>
      </w:r>
      <w:r w:rsidRPr="000056CC">
        <w:rPr>
          <w:rStyle w:val="HideTWBExt"/>
        </w:rPr>
        <w:t>&lt;NumOfAM&gt;</w:t>
      </w:r>
      <w:r>
        <w:t>001-001</w:t>
      </w:r>
      <w:bookmarkStart w:id="0" w:name="_GoBack"/>
      <w:bookmarkEnd w:id="0"/>
      <w:r w:rsidRPr="000056CC">
        <w:rPr>
          <w:rStyle w:val="HideTWBExt"/>
        </w:rPr>
        <w:t>&lt;/NumOfAM&gt;</w:t>
      </w:r>
    </w:p>
    <w:p w:rsidR="000056CC" w:rsidRDefault="000056CC" w:rsidP="000056CC">
      <w:pPr>
        <w:tabs>
          <w:tab w:val="right" w:pos="9184"/>
        </w:tabs>
      </w:pPr>
    </w:p>
    <w:p w:rsidR="000056CC" w:rsidRDefault="000056CC" w:rsidP="000056CC">
      <w:pPr>
        <w:tabs>
          <w:tab w:val="right" w:pos="9184"/>
        </w:tabs>
      </w:pPr>
    </w:p>
    <w:p w:rsidR="000056CC" w:rsidRDefault="000056CC" w:rsidP="000056CC">
      <w:pPr>
        <w:tabs>
          <w:tab w:val="right" w:pos="9184"/>
        </w:tabs>
      </w:pPr>
      <w:r>
        <w:rPr>
          <w:b/>
        </w:rPr>
        <w:t xml:space="preserve">MUUDATUSETTEPANEKUD 001-001 </w:t>
      </w:r>
    </w:p>
    <w:p w:rsidR="000056CC" w:rsidRDefault="000056CC" w:rsidP="000056CC">
      <w:pPr>
        <w:tabs>
          <w:tab w:val="right" w:pos="9184"/>
        </w:tabs>
      </w:pPr>
      <w:r w:rsidRPr="000056CC">
        <w:rPr>
          <w:rStyle w:val="HideTWBExt"/>
        </w:rPr>
        <w:t>&lt;Committee&gt;</w:t>
      </w:r>
      <w:r>
        <w:t>Majandus- ja rahanduskomisjon</w:t>
      </w:r>
      <w:r w:rsidRPr="000056CC">
        <w:rPr>
          <w:rStyle w:val="HideTWBExt"/>
        </w:rPr>
        <w:t>&lt;/Committee&gt;</w:t>
      </w:r>
    </w:p>
    <w:p w:rsidR="000056CC" w:rsidRDefault="000056CC" w:rsidP="000056CC">
      <w:pPr>
        <w:tabs>
          <w:tab w:val="right" w:pos="9184"/>
        </w:tabs>
      </w:pPr>
    </w:p>
    <w:p w:rsidR="000056CC" w:rsidRDefault="000056CC" w:rsidP="000056CC">
      <w:pPr>
        <w:tabs>
          <w:tab w:val="right" w:pos="9184"/>
        </w:tabs>
        <w:rPr>
          <w:b/>
        </w:rPr>
      </w:pPr>
      <w:r>
        <w:rPr>
          <w:b/>
        </w:rPr>
        <w:t>Raport</w:t>
      </w:r>
    </w:p>
    <w:p w:rsidR="000056CC" w:rsidRDefault="000056CC" w:rsidP="000056CC">
      <w:pPr>
        <w:tabs>
          <w:tab w:val="right" w:pos="9184"/>
        </w:tabs>
        <w:rPr>
          <w:b/>
        </w:rPr>
      </w:pPr>
      <w:r w:rsidRPr="000056CC">
        <w:rPr>
          <w:rStyle w:val="HideTWBExt"/>
        </w:rPr>
        <w:t>&lt;Chairman&gt;</w:t>
      </w:r>
      <w:r>
        <w:rPr>
          <w:b/>
        </w:rPr>
        <w:t>Othmar Karas, Pervenche Berès</w:t>
      </w:r>
      <w:r w:rsidRPr="000056CC">
        <w:rPr>
          <w:rStyle w:val="HideTWBExt"/>
        </w:rPr>
        <w:t>&lt;/Chairman&gt;</w:t>
      </w:r>
      <w:r>
        <w:rPr>
          <w:b/>
        </w:rPr>
        <w:tab/>
      </w:r>
      <w:r w:rsidRPr="000056CC">
        <w:rPr>
          <w:rStyle w:val="HideTWBExt"/>
        </w:rPr>
        <w:t>&lt;A5Nr&gt;</w:t>
      </w:r>
      <w:r>
        <w:rPr>
          <w:b/>
        </w:rPr>
        <w:t>A8-0011/2019</w:t>
      </w:r>
      <w:r w:rsidRPr="000056CC">
        <w:rPr>
          <w:rStyle w:val="HideTWBExt"/>
        </w:rPr>
        <w:t>&lt;/A5Nr&gt;</w:t>
      </w:r>
    </w:p>
    <w:p w:rsidR="000056CC" w:rsidRDefault="000056CC" w:rsidP="000056CC">
      <w:pPr>
        <w:tabs>
          <w:tab w:val="right" w:pos="9184"/>
        </w:tabs>
      </w:pPr>
      <w:r w:rsidRPr="000056CC">
        <w:rPr>
          <w:rStyle w:val="HideTWBExt"/>
        </w:rPr>
        <w:t>&lt;ShortTitel&gt;</w:t>
      </w:r>
      <w:r>
        <w:t>Finantssüsteemi makrotasandi usaldatavusjärelevalve Euroopa Liidus ja Euroopa Süsteemsete Riskide Nõukogu asutamine</w:t>
      </w:r>
      <w:r w:rsidRPr="000056CC">
        <w:rPr>
          <w:rStyle w:val="HideTWBExt"/>
        </w:rPr>
        <w:t>&lt;/ShortTitel&gt;</w:t>
      </w:r>
    </w:p>
    <w:p w:rsidR="000056CC" w:rsidRDefault="000056CC" w:rsidP="000056CC">
      <w:pPr>
        <w:tabs>
          <w:tab w:val="right" w:pos="9184"/>
        </w:tabs>
      </w:pPr>
    </w:p>
    <w:p w:rsidR="000056CC" w:rsidRDefault="000056CC" w:rsidP="000056CC">
      <w:pPr>
        <w:tabs>
          <w:tab w:val="right" w:pos="9184"/>
        </w:tabs>
      </w:pPr>
      <w:r w:rsidRPr="000056CC">
        <w:rPr>
          <w:rStyle w:val="HideTWBExt"/>
        </w:rPr>
        <w:t>&lt;Procedure&gt;</w:t>
      </w:r>
      <w:r>
        <w:t>Ettepanek võtta vastu määrus</w:t>
      </w:r>
      <w:r w:rsidRPr="000056CC">
        <w:rPr>
          <w:rStyle w:val="HideTWBExt"/>
        </w:rPr>
        <w:t>&lt;/Procedure&gt;</w:t>
      </w:r>
      <w:r>
        <w:t xml:space="preserve"> </w:t>
      </w:r>
      <w:r w:rsidRPr="000056CC">
        <w:rPr>
          <w:rStyle w:val="HideTWBExt"/>
        </w:rPr>
        <w:t>&lt;ReferenceNo&gt;</w:t>
      </w:r>
      <w:r w:rsidR="00666480">
        <w:t>(COM(2017)0538 – C8</w:t>
      </w:r>
      <w:r w:rsidR="00666480">
        <w:noBreakHyphen/>
      </w:r>
      <w:r>
        <w:t>0317/2017 – 2017/0232(COD))</w:t>
      </w:r>
      <w:r w:rsidRPr="000056CC">
        <w:rPr>
          <w:rStyle w:val="HideTWBExt"/>
        </w:rPr>
        <w:t>&lt;/ReferenceNo&gt;</w:t>
      </w:r>
    </w:p>
    <w:p w:rsidR="000056CC" w:rsidRDefault="000056CC" w:rsidP="000056CC">
      <w:pPr>
        <w:tabs>
          <w:tab w:val="right" w:pos="9184"/>
        </w:tabs>
      </w:pPr>
    </w:p>
    <w:p w:rsidR="000056CC" w:rsidRDefault="000056CC" w:rsidP="000056CC">
      <w:pPr>
        <w:tabs>
          <w:tab w:val="right" w:pos="9184"/>
        </w:tabs>
      </w:pPr>
    </w:p>
    <w:p w:rsidR="000056CC" w:rsidRDefault="000056CC" w:rsidP="000056CC">
      <w:pPr>
        <w:tabs>
          <w:tab w:val="right" w:pos="9184"/>
        </w:tabs>
      </w:pPr>
    </w:p>
    <w:p w:rsidR="000056CC" w:rsidRDefault="000056CC" w:rsidP="000056CC">
      <w:pPr>
        <w:tabs>
          <w:tab w:val="right" w:pos="9184"/>
        </w:tabs>
        <w:jc w:val="center"/>
      </w:pPr>
      <w:r>
        <w:t>_____________________________________________________________</w:t>
      </w:r>
    </w:p>
    <w:p w:rsidR="000056CC" w:rsidRDefault="000056CC" w:rsidP="000056CC">
      <w:pPr>
        <w:tabs>
          <w:tab w:val="right" w:pos="9184"/>
        </w:tabs>
        <w:jc w:val="center"/>
      </w:pPr>
    </w:p>
    <w:p w:rsidR="00E4163C" w:rsidRPr="000056CC" w:rsidRDefault="00E4163C" w:rsidP="000056CC">
      <w:pPr>
        <w:pStyle w:val="AMNumberTabs"/>
      </w:pPr>
      <w:r w:rsidRPr="000056CC">
        <w:t>Muudatusettepanek</w:t>
      </w:r>
      <w:r w:rsidRPr="000056CC">
        <w:tab/>
      </w:r>
      <w:r w:rsidRPr="000056CC">
        <w:tab/>
        <w:t>1</w:t>
      </w:r>
    </w:p>
    <w:p w:rsidR="00E4163C" w:rsidRPr="000056CC" w:rsidRDefault="00E4163C" w:rsidP="00E4163C">
      <w:pPr>
        <w:pStyle w:val="ConsHeading"/>
      </w:pPr>
      <w:r w:rsidRPr="000056CC">
        <w:t>EUROOPA PARLAMENDI MUUDATUSED</w:t>
      </w:r>
      <w:r w:rsidRPr="000056CC">
        <w:rPr>
          <w:rStyle w:val="FootnoteReference"/>
          <w:b/>
        </w:rPr>
        <w:footnoteReference w:customMarkFollows="1" w:id="1"/>
        <w:t>*</w:t>
      </w:r>
    </w:p>
    <w:p w:rsidR="00E4163C" w:rsidRPr="000056CC" w:rsidRDefault="00E4163C" w:rsidP="00E4163C">
      <w:pPr>
        <w:pStyle w:val="NormalCentre"/>
      </w:pPr>
      <w:r w:rsidRPr="000056CC">
        <w:t>komisjoni ettepanekule</w:t>
      </w:r>
    </w:p>
    <w:p w:rsidR="00E4163C" w:rsidRPr="000056CC" w:rsidRDefault="00E4163C" w:rsidP="00E4163C">
      <w:pPr>
        <w:pStyle w:val="ConsLine"/>
      </w:pPr>
      <w:r w:rsidRPr="000056CC">
        <w:t>---------------------------------------------------------</w:t>
      </w:r>
    </w:p>
    <w:p w:rsidR="00E4163C" w:rsidRPr="000056CC" w:rsidRDefault="00E4163C" w:rsidP="003B471C">
      <w:pPr>
        <w:pStyle w:val="Normal12Centre"/>
        <w:spacing w:line="360" w:lineRule="auto"/>
      </w:pPr>
    </w:p>
    <w:p w:rsidR="00E4163C" w:rsidRPr="000056CC" w:rsidRDefault="00E4163C" w:rsidP="003B471C">
      <w:pPr>
        <w:pStyle w:val="Statut"/>
        <w:spacing w:line="360" w:lineRule="auto"/>
      </w:pPr>
      <w:r w:rsidRPr="000056CC">
        <w:t>Ettepanek:</w:t>
      </w:r>
    </w:p>
    <w:p w:rsidR="00E4163C" w:rsidRPr="000056CC" w:rsidRDefault="00E4163C" w:rsidP="003B471C">
      <w:pPr>
        <w:pStyle w:val="Typedudocument"/>
        <w:spacing w:line="360" w:lineRule="auto"/>
      </w:pPr>
      <w:r w:rsidRPr="000056CC">
        <w:t>EUROOPA PARLAMENDI JA NÕUKOGU MÄÄRUS,</w:t>
      </w:r>
    </w:p>
    <w:p w:rsidR="00E4163C" w:rsidRPr="000056CC" w:rsidRDefault="00E4163C" w:rsidP="003B471C">
      <w:pPr>
        <w:pStyle w:val="Titreobjet"/>
        <w:spacing w:line="360" w:lineRule="auto"/>
      </w:pPr>
      <w:r w:rsidRPr="000056CC">
        <w:t>millega muudetakse määrust (EL) nr 1092/2010 finantssüsteemi makrotasandi usaldatavusjärelevalve kohta Euroopa Liidus ja Euroopa Süsteemsete Riskide Nõukogu asutamise kohta</w:t>
      </w:r>
    </w:p>
    <w:p w:rsidR="00E4163C" w:rsidRPr="000056CC" w:rsidRDefault="00E4163C" w:rsidP="003B471C">
      <w:pPr>
        <w:pStyle w:val="IntrtEEE"/>
        <w:spacing w:line="360" w:lineRule="auto"/>
      </w:pPr>
      <w:r w:rsidRPr="000056CC">
        <w:lastRenderedPageBreak/>
        <w:t>(EMPs kohaldatav tekst)</w:t>
      </w:r>
    </w:p>
    <w:p w:rsidR="00E4163C" w:rsidRPr="000056CC" w:rsidRDefault="00E4163C" w:rsidP="003B471C">
      <w:pPr>
        <w:pStyle w:val="Institutionquiagit"/>
        <w:spacing w:line="360" w:lineRule="auto"/>
      </w:pPr>
      <w:r w:rsidRPr="000056CC">
        <w:t>EUROOPA PARLAMENT JA EUROOPA LIIDU NÕUKOGU,</w:t>
      </w:r>
    </w:p>
    <w:p w:rsidR="00E4163C" w:rsidRPr="000056CC" w:rsidRDefault="00E4163C" w:rsidP="003B471C">
      <w:pPr>
        <w:spacing w:before="120" w:after="120" w:line="360" w:lineRule="auto"/>
        <w:jc w:val="both"/>
      </w:pPr>
      <w:r w:rsidRPr="000056CC">
        <w:t>võttes arvesse Euroopa Liidu toimimise lepingut, eriti selle artiklit 114,</w:t>
      </w:r>
    </w:p>
    <w:p w:rsidR="00E4163C" w:rsidRPr="000056CC" w:rsidRDefault="00E4163C" w:rsidP="003B471C">
      <w:pPr>
        <w:spacing w:before="120" w:after="120" w:line="360" w:lineRule="auto"/>
        <w:jc w:val="both"/>
      </w:pPr>
      <w:r w:rsidRPr="000056CC">
        <w:t>võttes arvesse Euroopa Komisjoni ettepanekut,</w:t>
      </w:r>
    </w:p>
    <w:p w:rsidR="00E4163C" w:rsidRPr="000056CC" w:rsidRDefault="00E4163C" w:rsidP="003B471C">
      <w:pPr>
        <w:spacing w:before="120" w:after="120" w:line="360" w:lineRule="auto"/>
        <w:jc w:val="both"/>
      </w:pPr>
      <w:r w:rsidRPr="000056CC">
        <w:t>olles edastanud seadusandliku akti eelnõu liikmesriikide parlamentidele,</w:t>
      </w:r>
    </w:p>
    <w:p w:rsidR="00E4163C" w:rsidRPr="000056CC" w:rsidRDefault="00E4163C" w:rsidP="003B471C">
      <w:pPr>
        <w:spacing w:before="120" w:after="120" w:line="360" w:lineRule="auto"/>
        <w:jc w:val="both"/>
      </w:pPr>
      <w:r w:rsidRPr="000056CC">
        <w:t>võttes arvesse Euroopa Majandus- ja Sotsiaalkomitee arvamust</w:t>
      </w:r>
      <w:r w:rsidRPr="000056CC">
        <w:rPr>
          <w:rStyle w:val="FootnoteReference"/>
        </w:rPr>
        <w:footnoteReference w:id="2"/>
      </w:r>
      <w:r w:rsidRPr="000056CC">
        <w:t>,</w:t>
      </w:r>
    </w:p>
    <w:p w:rsidR="00E4163C" w:rsidRPr="000056CC" w:rsidRDefault="00E4163C" w:rsidP="003B471C">
      <w:pPr>
        <w:spacing w:before="120" w:after="120" w:line="360" w:lineRule="auto"/>
        <w:jc w:val="both"/>
      </w:pPr>
      <w:r w:rsidRPr="000056CC">
        <w:t>toimides seadusandliku tavamenetluse kohaselt</w:t>
      </w:r>
    </w:p>
    <w:p w:rsidR="00E4163C" w:rsidRPr="000056CC" w:rsidRDefault="00E4163C" w:rsidP="003B471C">
      <w:pPr>
        <w:spacing w:line="360" w:lineRule="auto"/>
      </w:pPr>
    </w:p>
    <w:p w:rsidR="00E4163C" w:rsidRPr="000056CC" w:rsidRDefault="00E4163C" w:rsidP="003B471C">
      <w:pPr>
        <w:spacing w:line="360" w:lineRule="auto"/>
      </w:pPr>
      <w:r w:rsidRPr="000056CC">
        <w:t>ning arvestades järgmist:</w:t>
      </w:r>
    </w:p>
    <w:p w:rsidR="00E4163C" w:rsidRPr="000056CC" w:rsidRDefault="00E4163C" w:rsidP="003B471C">
      <w:pPr>
        <w:pStyle w:val="ManualConsidrant"/>
        <w:spacing w:line="360" w:lineRule="auto"/>
      </w:pPr>
      <w:r w:rsidRPr="000056CC">
        <w:t>(1)</w:t>
      </w:r>
      <w:r w:rsidRPr="000056CC">
        <w:tab/>
        <w:t>Euroopa Parlament ja nõukogu on kooskõlas määruse (EL) nr 1092/2010</w:t>
      </w:r>
      <w:r w:rsidRPr="000056CC">
        <w:rPr>
          <w:rStyle w:val="FootnoteReference"/>
        </w:rPr>
        <w:footnoteReference w:id="3"/>
      </w:r>
      <w:r w:rsidRPr="000056CC">
        <w:t xml:space="preserve"> (Euroopa Süsteemsete Riskide Nõukogu määrus) artikliga 20 kõnealuse määruse komisjoni aruandele</w:t>
      </w:r>
      <w:r w:rsidRPr="000056CC">
        <w:rPr>
          <w:rStyle w:val="FootnoteReference"/>
        </w:rPr>
        <w:footnoteReference w:id="4"/>
      </w:r>
      <w:r w:rsidRPr="000056CC">
        <w:t xml:space="preserve"> tuginedes läbi vaadanud, et otsustada, kas Euroopa Süsteemsete Riskide Nõukogu ülesandeid ja korraldust on vaja muuta. Samuti on läbi vaadatud Euroopa Süsteemsete Riskide Nõukogu eesistuja määramise kord.</w:t>
      </w:r>
    </w:p>
    <w:p w:rsidR="00E4163C" w:rsidRPr="000056CC" w:rsidRDefault="00E4163C" w:rsidP="003B471C">
      <w:pPr>
        <w:pStyle w:val="ManualConsidrant"/>
        <w:spacing w:line="360" w:lineRule="auto"/>
      </w:pPr>
      <w:r w:rsidRPr="000056CC">
        <w:t>(2)</w:t>
      </w:r>
      <w:r w:rsidRPr="000056CC">
        <w:tab/>
        <w:t>Komisjoni 2017. aasta aruandes Euroopa Süsteemsete Riskide Nõukogu ülesannete ja korralduse kohta</w:t>
      </w:r>
      <w:r w:rsidRPr="000056CC">
        <w:rPr>
          <w:rStyle w:val="FootnoteReference"/>
        </w:rPr>
        <w:footnoteReference w:id="5"/>
      </w:r>
      <w:r w:rsidRPr="000056CC">
        <w:t xml:space="preserve"> järeldati, et kuigi Euroopa Süsteemsete Riskide Nõukogu toimib üldiselt hästi, tuleb teatavates konkreetsetes punktides parandusi teha.</w:t>
      </w:r>
      <w:r w:rsidRPr="000056CC">
        <w:rPr>
          <w:b/>
          <w:i/>
        </w:rPr>
        <w:t xml:space="preserve"> Lisaks on Euroopa Süsteemsete Riskide Nõukogu tegevuskeskkonda võrreldes ajaga, mil see oma tööd alustas, oluliselt muutnud hiljutised pangandusliiduga seotud institutsioonilised muudatused koostoimes kapitaliturgude liidu väljakujundamise alaste jõupingutuste ning tehnoloogiliste muutustega. Euroopa Süsteemsete Riskide </w:t>
      </w:r>
      <w:r w:rsidRPr="000056CC">
        <w:rPr>
          <w:b/>
          <w:i/>
        </w:rPr>
        <w:lastRenderedPageBreak/>
        <w:t>Nõukogu asutamine peaks otseselt aitama saavutada siseturu eesmärke. Liidu finantssüsteemi makrotasandi usaldatavusjärelevalve on liidu üldise uue järelevalvekorra osa, kuna makrotasandi usaldatavusjärelevalve on tihedalt seotud mikrotasandi järelevalvega, mis on tehtud ülesandeks Euroopa järelevalveasutustele. Ainult niisuguse korra kehtestamisega, milles võetakse nõuetekohaselt arvesse mikro- ja makrotasandi riskide vastastikust seost, saab anda kõikidele sidusrühmadele piisava kindlustunde piiriüleste finantstehingute tegemiseks. Euroopa Süsteemsete Riskide Nõukogu peaks jälgima ja hindama finantsstabiilsusega seotud riske, mis tulenevad arengutendentsidest, millel võib olla mõju valdkondlikul tasandil või finantssüsteemile tervikunna, sealhulgas riske ja haavatavusi, mis on tingitud tehnoloogilistest muutustest või keskkonna- või sotsiaalsetest teguritest. Selliste riskide hindajana peaks Euroopa Süsteemsete Riskide Nõukogu toetama liidu integreeritud järelevalvestruktuuri, mida on vaja selleks, et soodustada poliitiliste meetmete õigeaegset ja järjekindlat võtmist liikmesriikides ning seeläbi vältida erinevaid lähenemisviise ja parandada siseturu toimimist. Oma eesmärkide täitmiseks peaks Euroopa Süsteemsete Riskide Nõukogu analüüsima kogu asjakohast teavet, sealhulgas arengutendentse, mis aitavad kaasa kapitaliturgude liidu väljakujundamisele.</w:t>
      </w:r>
    </w:p>
    <w:p w:rsidR="00E4163C" w:rsidRPr="000056CC" w:rsidRDefault="00E4163C" w:rsidP="003B471C">
      <w:pPr>
        <w:pStyle w:val="ManualConsidrant"/>
        <w:spacing w:line="360" w:lineRule="auto"/>
      </w:pPr>
      <w:r w:rsidRPr="000056CC">
        <w:t>(3)</w:t>
      </w:r>
      <w:r w:rsidRPr="000056CC">
        <w:tab/>
        <w:t>Euroopa Süsteemsete Riskide Nõukogu haldusnõukogu laiapõhjaline liikmeskond on suur väärtus. Hiljutised suundumused liidu finantsjärelevalve ülesehituses ning eelkõige pangandusliidu loomine haldusnõukogu koosseisus kahjuks ei kajastu. Seetõttu peaksid Euroopa Keskpanga (EKP) järelevalvenõukogu esimees ja Ühtse Kriisilahendusnõukogu esimees saama Euroopa Süsteemsete Riskide Nõukogu haldusnõukogu hääleõigusega liikmeteks. Sellele vastavad muudatused tuleks teha ka juhtkomitees ja tehnilises nõuandekomitees.</w:t>
      </w:r>
    </w:p>
    <w:p w:rsidR="00E4163C" w:rsidRPr="000056CC" w:rsidRDefault="00E4163C" w:rsidP="003B471C">
      <w:pPr>
        <w:pStyle w:val="ManualConsidrant"/>
        <w:spacing w:line="360" w:lineRule="auto"/>
      </w:pPr>
      <w:r w:rsidRPr="000056CC">
        <w:t>(4)</w:t>
      </w:r>
      <w:r w:rsidRPr="000056CC">
        <w:tab/>
        <w:t>EKP president oli Euroopa Süsteemsete Riskide Nõukogu eesistuja selle viiel esimesel tegutsemisaastal ning pärast seda on EKP president jätkanud eesistumist ajutiselt. Selle aja jooksul on EKP president andnud Euroopa Süsteemsete Riskide Nõukogule volitused ja usaldusväärsuse ning taganud, et Euroopa Süsteemsete Riskide Nõukogu saab tulemuslikult lähtuda EKP eksperditeadmistest finantsstabiilsuse alal ning neile toetuda. Seetõttu on asjakohane, et EKP president tegutseks Euroopa Süsteemsete Riskide Nõukogu eesistujana alaliselt.</w:t>
      </w:r>
    </w:p>
    <w:p w:rsidR="00E4163C" w:rsidRPr="000056CC" w:rsidRDefault="00E4163C" w:rsidP="003B471C">
      <w:pPr>
        <w:pStyle w:val="ManualConsidrant"/>
        <w:spacing w:line="360" w:lineRule="auto"/>
      </w:pPr>
      <w:r w:rsidRPr="000056CC">
        <w:lastRenderedPageBreak/>
        <w:t>(5)</w:t>
      </w:r>
      <w:r w:rsidRPr="000056CC">
        <w:tab/>
        <w:t xml:space="preserve">Selleks et parandada Euroopa Süsteemsete Riskide Nõukogu kui oma üksikliikmetest eraldiseisva asutuse nähtavust, peaks Euroopa Süsteemsete Riskide Nõukogu eesistuja saama delegeerida Euroopa Süsteemsete Riskide Nõukogu asutusevälise esindamisega seotud ülesandeid </w:t>
      </w:r>
      <w:r w:rsidRPr="000056CC">
        <w:rPr>
          <w:b/>
          <w:i/>
        </w:rPr>
        <w:t>eesistuja asetäitjatele ning</w:t>
      </w:r>
      <w:r w:rsidRPr="000056CC">
        <w:t xml:space="preserve"> Euroopa Süsteemsete Riskide Nõukogu </w:t>
      </w:r>
      <w:r w:rsidRPr="000056CC">
        <w:rPr>
          <w:b/>
          <w:i/>
        </w:rPr>
        <w:t>sekretariaadi juhatajale, välja arvatud Euroopa Parlamendis suletud uste taga toimuvatel kuulamistel ja aruteludel osalemise korral</w:t>
      </w:r>
      <w:r w:rsidRPr="000056CC">
        <w:t xml:space="preserve">. </w:t>
      </w:r>
    </w:p>
    <w:p w:rsidR="00E4163C" w:rsidRPr="000056CC" w:rsidRDefault="00E4163C" w:rsidP="003B471C">
      <w:pPr>
        <w:pStyle w:val="ManualConsidrant"/>
        <w:spacing w:line="360" w:lineRule="auto"/>
      </w:pPr>
      <w:r w:rsidRPr="000056CC">
        <w:t>(6)</w:t>
      </w:r>
      <w:r w:rsidRPr="000056CC">
        <w:tab/>
        <w:t>Nõukogu määruse (EL) nr 1096/2010</w:t>
      </w:r>
      <w:r w:rsidRPr="000056CC">
        <w:rPr>
          <w:rStyle w:val="FootnoteReference"/>
        </w:rPr>
        <w:footnoteReference w:id="6"/>
      </w:r>
      <w:r w:rsidRPr="000056CC">
        <w:t xml:space="preserve"> artikli 3 lõikes 2 on sätestatud, et Euroopa Süsteemsete Riskide Nõukogu sekretariaadi juhataja määratakse ametisse EKP poolt, kes konsulteerib sellel teemal Euroopa Süsteemsete Riskide Nõukogu haldusnõukoguga. Euroopa Süsteemsete Riskide Nõukogu sekretariaadi juhataja autoriteedi suurendamiseks peaks Euroopa Süsteemsete Riskide Nõukogu haldusnõukogu avatud ja läbipaistva menetluse raames hindama, kas Euroopa Süsteemsete Riskide Nõukogu sekretariaadi juhataja ametikohale esitatud kandidaatidel on sekretariaadi töö juhtimiseks vajalikud omadused ja kogemused. Haldusnõukogu peaks hindamismenetlusest teavitama Euroopa Parlamenti ja nõukogu. Lisaks sellele tuleks täpsustada Euroopa Süsteemsete Riskide Nõukogu sekretariaadi juhataja ametiülesandeid.</w:t>
      </w:r>
    </w:p>
    <w:p w:rsidR="00E4163C" w:rsidRPr="000056CC" w:rsidRDefault="00E4163C" w:rsidP="003B471C">
      <w:pPr>
        <w:pStyle w:val="ManualConsidrant"/>
        <w:spacing w:line="360" w:lineRule="auto"/>
      </w:pPr>
      <w:r w:rsidRPr="000056CC">
        <w:t>(7)</w:t>
      </w:r>
      <w:r w:rsidRPr="000056CC">
        <w:tab/>
        <w:t xml:space="preserve">Kooskõlas määruse (EL) nr 1092/2010 artikli 5 lõikega 2 on Euroopa Süsteemsete Riskide Nõukogu eesistuja esimene asetäitja valitud siiani EKP üldnõukogu liikmete poolt nende endi seast, võttes arvesse vajadust tagada kõikide liikmesriikide tasakaalustatud esindatus ning tasakaalustatud esindatus nende liikmesriikide vahel, kus on käibel euro, ja nende liikmesriikide vahel, kus euro käibel ei ole. </w:t>
      </w:r>
      <w:r w:rsidRPr="000056CC">
        <w:rPr>
          <w:b/>
          <w:i/>
        </w:rPr>
        <w:t>See ei ole enam asjakohane, kuigi Euroopa Süsteemsete Riskide Nõukogu juhtkomitee puhul tuleks niisugust tasakaalustatud esindatust jätkuvalt arvesse võtta. Lisaks on</w:t>
      </w:r>
      <w:r w:rsidRPr="000056CC">
        <w:t xml:space="preserve"> pangandusliidu loomise järel ▌asjakohane asendada viide liikmesriikidele, kus on käibel euro, ja nendele liikmesriikidele, kus ei ole käibel euro, viitega liikmesriikidele, kes osalevad pangandusliidus, ja liikmesriikidele, kes pangandusliidus ei osale.</w:t>
      </w:r>
    </w:p>
    <w:p w:rsidR="00E4163C" w:rsidRPr="000056CC" w:rsidRDefault="00E4163C" w:rsidP="003B471C">
      <w:pPr>
        <w:pStyle w:val="ManualConsidrant"/>
        <w:spacing w:line="360" w:lineRule="auto"/>
      </w:pPr>
      <w:r w:rsidRPr="000056CC">
        <w:t>(8)</w:t>
      </w:r>
      <w:r w:rsidRPr="000056CC">
        <w:tab/>
        <w:t xml:space="preserve">▌ </w:t>
      </w:r>
    </w:p>
    <w:p w:rsidR="00E4163C" w:rsidRPr="000056CC" w:rsidRDefault="00E4163C" w:rsidP="003B471C">
      <w:pPr>
        <w:pStyle w:val="ManualConsidrant"/>
        <w:spacing w:line="360" w:lineRule="auto"/>
      </w:pPr>
      <w:r w:rsidRPr="000056CC">
        <w:lastRenderedPageBreak/>
        <w:t>(9)</w:t>
      </w:r>
      <w:r w:rsidRPr="000056CC">
        <w:tab/>
        <w:t>Kulude vähendamiseks ja menetlustõhususe suurendamiseks tuleks Euroopa Süsteemsete Riskide Nõukogu tehnilises nõuandekomitees vähendada komisjoni esindajate arvu praeguselt kahelt esindajalt ühele esindajale.</w:t>
      </w:r>
    </w:p>
    <w:p w:rsidR="00E4163C" w:rsidRPr="000056CC" w:rsidRDefault="00E4163C" w:rsidP="003B471C">
      <w:pPr>
        <w:pStyle w:val="ManualConsidrant"/>
        <w:spacing w:line="360" w:lineRule="auto"/>
      </w:pPr>
      <w:r w:rsidRPr="000056CC">
        <w:t>(10)</w:t>
      </w:r>
      <w:r w:rsidRPr="000056CC">
        <w:tab/>
        <w:t>Määruse (EL) nr 1092/2010 artikli 16 lõike 3 kohaselt tuleb Euroopa Süsteemsete Riskide Nõukogu hoiatused ja soovitused edastada nõukogule ja komisjonile ning juhul, kui need on adresseeritud ühele või mitmele liikmesriigi järelevalveasutusele, tuleb need edastada ka Euroopa järelevalveasutustele. Demokraatliku kontrolli ja läbipaistvuse suurendamiseks tuleks kõnealused hoiatused ja soovitused edastada ka Euroopa Parlamendile ja Euroopa järelevalveasutustele.</w:t>
      </w:r>
    </w:p>
    <w:p w:rsidR="00E4163C" w:rsidRPr="000056CC" w:rsidRDefault="00E4163C" w:rsidP="003B471C">
      <w:pPr>
        <w:pStyle w:val="ManualConsidrant"/>
        <w:spacing w:line="360" w:lineRule="auto"/>
      </w:pPr>
      <w:r w:rsidRPr="000056CC">
        <w:t>(11)</w:t>
      </w:r>
      <w:r w:rsidRPr="000056CC">
        <w:tab/>
        <w:t xml:space="preserve">Euroopa Süsteemsete Riskide Nõukogu arvamuste, soovituste ja otsuste kvaliteedi ning asjakohasuse tagamiseks peaksid tehniline nõuandekomitee ja teaduslik nõuandekomitee konsulteerima vajaduse korral varajases etapis ning avatud ja läbipaistval viisil sidusrühmadega </w:t>
      </w:r>
      <w:r w:rsidRPr="000056CC">
        <w:rPr>
          <w:b/>
          <w:i/>
        </w:rPr>
        <w:t>ning tegema seda võimalikult ulatuslikult, et tagada kõiki huvitatud isikuid kaasav lähenemisviis</w:t>
      </w:r>
      <w:r w:rsidRPr="000056CC">
        <w:t>.</w:t>
      </w:r>
    </w:p>
    <w:p w:rsidR="00E4163C" w:rsidRPr="000056CC" w:rsidRDefault="00E4163C" w:rsidP="003B471C">
      <w:pPr>
        <w:pStyle w:val="ManualConsidrant"/>
        <w:spacing w:line="360" w:lineRule="auto"/>
      </w:pPr>
      <w:r w:rsidRPr="000056CC">
        <w:t>(12)</w:t>
      </w:r>
      <w:r w:rsidRPr="000056CC">
        <w:tab/>
        <w:t>Seepärast tuleks määrust (EL) nr 1092/2010 vastavalt muuta,</w:t>
      </w:r>
    </w:p>
    <w:p w:rsidR="00E4163C" w:rsidRPr="000056CC" w:rsidRDefault="00E4163C" w:rsidP="003B471C">
      <w:pPr>
        <w:spacing w:line="360" w:lineRule="auto"/>
      </w:pPr>
    </w:p>
    <w:p w:rsidR="00E4163C" w:rsidRPr="000056CC" w:rsidRDefault="00E4163C" w:rsidP="003B471C">
      <w:pPr>
        <w:pStyle w:val="Formuledadoption"/>
        <w:spacing w:line="360" w:lineRule="auto"/>
      </w:pPr>
      <w:r w:rsidRPr="000056CC">
        <w:t>ON VASTU VÕTNUD KÄESOLEVA MÄÄRUSE:</w:t>
      </w:r>
    </w:p>
    <w:p w:rsidR="00E4163C" w:rsidRPr="000056CC" w:rsidRDefault="00E4163C" w:rsidP="003B471C">
      <w:pPr>
        <w:pStyle w:val="Titrearticle"/>
        <w:spacing w:line="360" w:lineRule="auto"/>
        <w:rPr>
          <w:i w:val="0"/>
        </w:rPr>
      </w:pPr>
      <w:r w:rsidRPr="000056CC">
        <w:rPr>
          <w:i w:val="0"/>
        </w:rPr>
        <w:t>Artikkel 1</w:t>
      </w:r>
    </w:p>
    <w:p w:rsidR="00E4163C" w:rsidRPr="000056CC" w:rsidRDefault="00E4163C" w:rsidP="003B471C">
      <w:pPr>
        <w:spacing w:before="120" w:after="120" w:line="360" w:lineRule="auto"/>
      </w:pPr>
      <w:r w:rsidRPr="000056CC">
        <w:t>Määrust (EL) nr 1092/2010 muudetakse järgmiselt.</w:t>
      </w:r>
    </w:p>
    <w:p w:rsidR="00E4163C" w:rsidRPr="000056CC" w:rsidRDefault="00E4163C" w:rsidP="003B471C">
      <w:pPr>
        <w:tabs>
          <w:tab w:val="left" w:pos="567"/>
        </w:tabs>
        <w:spacing w:before="120" w:after="120" w:line="360" w:lineRule="auto"/>
        <w:rPr>
          <w:b/>
          <w:i/>
        </w:rPr>
      </w:pPr>
      <w:r w:rsidRPr="000056CC">
        <w:rPr>
          <w:b/>
          <w:i/>
        </w:rPr>
        <w:t>-1)</w:t>
      </w:r>
      <w:r w:rsidRPr="000056CC">
        <w:rPr>
          <w:b/>
          <w:i/>
        </w:rPr>
        <w:tab/>
        <w:t>Artikli 2 punkt c asendatakse järgmisega:</w:t>
      </w:r>
    </w:p>
    <w:p w:rsidR="00E4163C" w:rsidRPr="000056CC" w:rsidRDefault="00E4163C" w:rsidP="003B471C">
      <w:pPr>
        <w:tabs>
          <w:tab w:val="left" w:pos="1701"/>
        </w:tabs>
        <w:spacing w:before="120" w:after="120" w:line="360" w:lineRule="auto"/>
        <w:ind w:left="1134"/>
        <w:jc w:val="both"/>
      </w:pPr>
      <w:r w:rsidRPr="000056CC">
        <w:rPr>
          <w:b/>
          <w:i/>
        </w:rPr>
        <w:t>„</w:t>
      </w:r>
      <w:r w:rsidRPr="000056CC">
        <w:t>c)</w:t>
      </w:r>
      <w:r w:rsidRPr="000056CC">
        <w:tab/>
        <w:t xml:space="preserve">„süsteemne risk“ – finantssüsteemi häire risk, millel võivad olla tõsised negatiivsed tagajärjed </w:t>
      </w:r>
      <w:r w:rsidRPr="000056CC">
        <w:rPr>
          <w:b/>
          <w:i/>
        </w:rPr>
        <w:t>liidu või ühe või mitme liikmesriigi finantsstabiilsusele või</w:t>
      </w:r>
      <w:r w:rsidRPr="000056CC">
        <w:t xml:space="preserve"> reaalmajandusele </w:t>
      </w:r>
      <w:r w:rsidRPr="000056CC">
        <w:rPr>
          <w:b/>
          <w:i/>
        </w:rPr>
        <w:t>ja siseturu toimimisele</w:t>
      </w:r>
      <w:r w:rsidRPr="000056CC">
        <w:t xml:space="preserve">. Kõik finantsvahendajate, -turgude ja </w:t>
      </w:r>
      <w:r w:rsidRPr="000056CC">
        <w:noBreakHyphen/>
        <w:t>infrastruktuuri liigid võivad olla teataval määral süsteemselt olulised.</w:t>
      </w:r>
      <w:r w:rsidRPr="000056CC">
        <w:rPr>
          <w:b/>
          <w:i/>
        </w:rPr>
        <w:t>“.</w:t>
      </w:r>
    </w:p>
    <w:p w:rsidR="00E4163C" w:rsidRPr="000056CC" w:rsidRDefault="00E4163C" w:rsidP="003B471C">
      <w:pPr>
        <w:tabs>
          <w:tab w:val="left" w:pos="567"/>
        </w:tabs>
        <w:spacing w:before="120" w:after="120" w:line="360" w:lineRule="auto"/>
        <w:rPr>
          <w:b/>
          <w:i/>
        </w:rPr>
      </w:pPr>
      <w:r w:rsidRPr="000056CC">
        <w:rPr>
          <w:b/>
          <w:i/>
        </w:rPr>
        <w:t>-1 a)</w:t>
      </w:r>
      <w:r w:rsidRPr="000056CC">
        <w:rPr>
          <w:b/>
          <w:i/>
        </w:rPr>
        <w:tab/>
        <w:t>Artikli 3 lõike 2 punkt d asendatakse järgmisega:</w:t>
      </w:r>
    </w:p>
    <w:p w:rsidR="00E4163C" w:rsidRPr="000056CC" w:rsidRDefault="00E4163C" w:rsidP="003B471C">
      <w:pPr>
        <w:tabs>
          <w:tab w:val="left" w:pos="1701"/>
        </w:tabs>
        <w:spacing w:before="120" w:after="120" w:line="360" w:lineRule="auto"/>
        <w:ind w:left="1134"/>
        <w:jc w:val="both"/>
      </w:pPr>
      <w:r w:rsidRPr="000056CC">
        <w:rPr>
          <w:b/>
          <w:i/>
        </w:rPr>
        <w:t>„</w:t>
      </w:r>
      <w:r w:rsidRPr="000056CC">
        <w:t>d)</w:t>
      </w:r>
      <w:r w:rsidRPr="000056CC">
        <w:tab/>
        <w:t xml:space="preserve">esitab </w:t>
      </w:r>
      <w:r w:rsidRPr="000056CC">
        <w:rPr>
          <w:b/>
          <w:i/>
        </w:rPr>
        <w:t>liidu institutsioonidele ja liikmesriikidele</w:t>
      </w:r>
      <w:r w:rsidRPr="000056CC">
        <w:t xml:space="preserve"> soovitusi parandusmeetmete võtmiseks, et reageerida tuvastatud riskidele, ja vajaduse </w:t>
      </w:r>
      <w:r w:rsidRPr="000056CC">
        <w:lastRenderedPageBreak/>
        <w:t>korral avalikustab need soovitused;</w:t>
      </w:r>
      <w:r w:rsidRPr="000056CC">
        <w:rPr>
          <w:b/>
          <w:i/>
        </w:rPr>
        <w:t>“.</w:t>
      </w:r>
    </w:p>
    <w:p w:rsidR="00E4163C" w:rsidRPr="000056CC" w:rsidRDefault="00E4163C" w:rsidP="003B471C">
      <w:pPr>
        <w:tabs>
          <w:tab w:val="left" w:pos="567"/>
        </w:tabs>
        <w:spacing w:before="120" w:after="120" w:line="360" w:lineRule="auto"/>
      </w:pPr>
      <w:r w:rsidRPr="000056CC">
        <w:t>1)</w:t>
      </w:r>
      <w:r w:rsidRPr="000056CC">
        <w:tab/>
        <w:t>Artiklit 4 muudetakse järgmiselt:</w:t>
      </w:r>
    </w:p>
    <w:p w:rsidR="00E4163C" w:rsidRPr="000056CC" w:rsidRDefault="00E4163C" w:rsidP="003B471C">
      <w:pPr>
        <w:spacing w:before="120" w:after="120" w:line="360" w:lineRule="auto"/>
        <w:ind w:left="1134" w:hanging="567"/>
      </w:pPr>
      <w:r w:rsidRPr="000056CC">
        <w:t>a)</w:t>
      </w:r>
      <w:r w:rsidRPr="000056CC">
        <w:tab/>
        <w:t>lisatakse järgmine lõige 2a:</w:t>
      </w:r>
    </w:p>
    <w:p w:rsidR="00E4163C" w:rsidRPr="000056CC" w:rsidRDefault="00E4163C" w:rsidP="003B471C">
      <w:pPr>
        <w:tabs>
          <w:tab w:val="left" w:pos="1701"/>
        </w:tabs>
        <w:spacing w:before="120" w:after="120" w:line="360" w:lineRule="auto"/>
        <w:ind w:left="1134"/>
        <w:jc w:val="both"/>
      </w:pPr>
      <w:r w:rsidRPr="000056CC">
        <w:t>„2a.</w:t>
      </w:r>
      <w:r w:rsidRPr="000056CC">
        <w:tab/>
        <w:t>Kui haldusnõukoguga konsulteeritakse nõukogu määruse (EL) nr 1096/2010* artikli 3 lõike 2 alusel Euroopa Süsteemsete Riskide Nõukogu sekretariaadi juhataja ametisse määramise küsimuses, hindab haldusnõukogu avatud ja läbipaistva menetluse raames, kas Euroopa Süsteemsete Riskide Nõukogu sekretariaadi juhataja ametikohale esitatud kandidaatidel on sekretariaadi töö juhtimiseks vajalikud omadused</w:t>
      </w:r>
      <w:r w:rsidRPr="000056CC">
        <w:rPr>
          <w:b/>
          <w:i/>
        </w:rPr>
        <w:t>, sõltumatus</w:t>
      </w:r>
      <w:r w:rsidRPr="000056CC">
        <w:t xml:space="preserve"> ja kogemused. Haldusnõukogu teavitab Euroopa Parlamenti ja nõukogu </w:t>
      </w:r>
      <w:r w:rsidRPr="000056CC">
        <w:rPr>
          <w:b/>
          <w:i/>
        </w:rPr>
        <w:t>hindamis- ja</w:t>
      </w:r>
      <w:r w:rsidRPr="000056CC">
        <w:t xml:space="preserve"> konsulteerimismenetlusest </w:t>
      </w:r>
      <w:r w:rsidRPr="000056CC">
        <w:rPr>
          <w:b/>
          <w:i/>
        </w:rPr>
        <w:t>piisava üksikasjalikkusega</w:t>
      </w:r>
      <w:r w:rsidRPr="000056CC">
        <w:t>.</w:t>
      </w:r>
    </w:p>
    <w:p w:rsidR="00E4163C" w:rsidRPr="000056CC" w:rsidRDefault="00E4163C" w:rsidP="003B471C">
      <w:pPr>
        <w:tabs>
          <w:tab w:val="left" w:pos="1701"/>
        </w:tabs>
        <w:spacing w:before="120" w:after="120" w:line="360" w:lineRule="auto"/>
        <w:ind w:left="1134"/>
        <w:jc w:val="both"/>
        <w:rPr>
          <w:sz w:val="20"/>
        </w:rPr>
      </w:pPr>
      <w:r w:rsidRPr="000056CC">
        <w:rPr>
          <w:sz w:val="20"/>
        </w:rPr>
        <w:t>*</w:t>
      </w:r>
      <w:r w:rsidRPr="000056CC">
        <w:rPr>
          <w:sz w:val="20"/>
        </w:rPr>
        <w:tab/>
        <w:t>Nõukogu 17. novembri 2010. aasta määrus (EL) nr 1096/2010, millega antakse Euroopa Keskpangale eriülesanded seoses Euroopa Süsteemsete Riskide Nõukogu tegevusega (ELT L 331, 15.12.2010, lk 162).“;</w:t>
      </w:r>
    </w:p>
    <w:p w:rsidR="00E4163C" w:rsidRPr="000056CC" w:rsidRDefault="00E4163C" w:rsidP="003B471C">
      <w:pPr>
        <w:tabs>
          <w:tab w:val="left" w:pos="1701"/>
        </w:tabs>
        <w:spacing w:before="120" w:after="120" w:line="360" w:lineRule="auto"/>
        <w:ind w:left="1134"/>
        <w:jc w:val="both"/>
        <w:rPr>
          <w:sz w:val="20"/>
        </w:rPr>
      </w:pPr>
      <w:r w:rsidRPr="000056CC">
        <w:rPr>
          <w:sz w:val="20"/>
        </w:rPr>
        <w:t>_______________________________________________________________________________</w:t>
      </w:r>
    </w:p>
    <w:p w:rsidR="00E4163C" w:rsidRPr="000056CC" w:rsidRDefault="00E4163C" w:rsidP="003B471C">
      <w:pPr>
        <w:spacing w:before="120" w:after="120" w:line="360" w:lineRule="auto"/>
        <w:ind w:left="1134" w:hanging="567"/>
        <w:jc w:val="both"/>
        <w:rPr>
          <w:rFonts w:eastAsia="Calibri"/>
          <w:szCs w:val="22"/>
        </w:rPr>
      </w:pPr>
      <w:r w:rsidRPr="000056CC">
        <w:t>b)</w:t>
      </w:r>
      <w:r w:rsidRPr="000056CC">
        <w:tab/>
        <w:t>lisatakse järgmine lõige 3a:</w:t>
      </w:r>
    </w:p>
    <w:p w:rsidR="00E4163C" w:rsidRPr="000056CC" w:rsidRDefault="00E4163C" w:rsidP="003B471C">
      <w:pPr>
        <w:tabs>
          <w:tab w:val="left" w:pos="1701"/>
        </w:tabs>
        <w:spacing w:before="120" w:after="120" w:line="360" w:lineRule="auto"/>
        <w:ind w:left="1134"/>
        <w:jc w:val="both"/>
      </w:pPr>
      <w:r w:rsidRPr="000056CC">
        <w:t>„3a.</w:t>
      </w:r>
      <w:r w:rsidRPr="000056CC">
        <w:tab/>
        <w:t>Euroopa Süsteemsete Riskide Nõukogu sekretariaadi juhatajale nõukogu määruse (EL) nr 1096/2010 artikli 4 lõike 1 alusel juhiseid andes võivad Euroopa Süsteemsete Riskide Nõukogu eesistuja ja juhtkomitee käsitleda eelkõige järgmisi küsimusi:</w:t>
      </w:r>
    </w:p>
    <w:p w:rsidR="00E4163C" w:rsidRPr="000056CC" w:rsidRDefault="00E4163C" w:rsidP="003B471C">
      <w:pPr>
        <w:spacing w:before="120" w:after="120" w:line="360" w:lineRule="auto"/>
        <w:ind w:left="1701" w:hanging="567"/>
        <w:jc w:val="both"/>
      </w:pPr>
      <w:r w:rsidRPr="000056CC">
        <w:t>a)</w:t>
      </w:r>
      <w:r w:rsidRPr="000056CC">
        <w:tab/>
        <w:t>Euroopa Süsteemsete Riskide Nõukogu sekretariaadi igapäevase töö juhtimine;</w:t>
      </w:r>
    </w:p>
    <w:p w:rsidR="00E4163C" w:rsidRPr="000056CC" w:rsidRDefault="00E4163C" w:rsidP="003B471C">
      <w:pPr>
        <w:spacing w:before="120" w:after="120" w:line="360" w:lineRule="auto"/>
        <w:ind w:left="1701" w:hanging="567"/>
        <w:jc w:val="both"/>
      </w:pPr>
      <w:r w:rsidRPr="000056CC">
        <w:t>b)</w:t>
      </w:r>
      <w:r w:rsidRPr="000056CC">
        <w:tab/>
        <w:t>Euroopa Süsteemsete Riskide Nõukogu sekretariaadiga seotud haldus- ja eelarveküsimused;</w:t>
      </w:r>
    </w:p>
    <w:p w:rsidR="00E4163C" w:rsidRPr="000056CC" w:rsidRDefault="00E4163C" w:rsidP="003B471C">
      <w:pPr>
        <w:spacing w:before="120" w:after="120" w:line="360" w:lineRule="auto"/>
        <w:ind w:left="1701" w:hanging="567"/>
        <w:jc w:val="both"/>
      </w:pPr>
      <w:r w:rsidRPr="000056CC">
        <w:t>c)</w:t>
      </w:r>
      <w:r w:rsidRPr="000056CC">
        <w:tab/>
        <w:t>haldusnõukogu töö ja otsustusprotsessi koordineerimine ja ettevalmistamine;</w:t>
      </w:r>
    </w:p>
    <w:p w:rsidR="00E4163C" w:rsidRPr="000056CC" w:rsidRDefault="00E4163C" w:rsidP="003B471C">
      <w:pPr>
        <w:spacing w:before="120" w:after="120" w:line="360" w:lineRule="auto"/>
        <w:ind w:left="1701" w:hanging="567"/>
        <w:jc w:val="both"/>
      </w:pPr>
      <w:r w:rsidRPr="000056CC">
        <w:t>d)</w:t>
      </w:r>
      <w:r w:rsidRPr="000056CC">
        <w:tab/>
        <w:t xml:space="preserve">Euroopa Süsteemsete Riskide Nõukogu aastaprogrammi projekti </w:t>
      </w:r>
      <w:r w:rsidRPr="000056CC">
        <w:lastRenderedPageBreak/>
        <w:t>ettevalmistamine ja selle rakendamine;</w:t>
      </w:r>
    </w:p>
    <w:p w:rsidR="00E4163C" w:rsidRPr="000056CC" w:rsidRDefault="00E4163C" w:rsidP="003B471C">
      <w:pPr>
        <w:spacing w:before="120" w:after="120" w:line="360" w:lineRule="auto"/>
        <w:ind w:left="1701" w:hanging="567"/>
        <w:jc w:val="both"/>
      </w:pPr>
      <w:r w:rsidRPr="000056CC">
        <w:t>e)</w:t>
      </w:r>
      <w:r w:rsidRPr="000056CC">
        <w:tab/>
        <w:t>Euroopa Süsteemsete Riskide Nõukogu tegevust käsitleva aastaaruande ettevalmistamine ning selle rakendamise kohta haldusnõukogule aruandmine.“.</w:t>
      </w:r>
    </w:p>
    <w:p w:rsidR="00E4163C" w:rsidRPr="000056CC" w:rsidRDefault="00E4163C" w:rsidP="003B471C">
      <w:pPr>
        <w:tabs>
          <w:tab w:val="left" w:pos="567"/>
        </w:tabs>
        <w:spacing w:before="120" w:after="120" w:line="360" w:lineRule="auto"/>
        <w:jc w:val="both"/>
      </w:pPr>
      <w:r w:rsidRPr="000056CC">
        <w:t>2)</w:t>
      </w:r>
      <w:r w:rsidRPr="000056CC">
        <w:tab/>
        <w:t>Artiklit 5 muudetakse järgmiselt:</w:t>
      </w:r>
    </w:p>
    <w:p w:rsidR="00E4163C" w:rsidRPr="000056CC" w:rsidRDefault="00E4163C" w:rsidP="003B471C">
      <w:pPr>
        <w:spacing w:before="120" w:after="120" w:line="360" w:lineRule="auto"/>
        <w:ind w:left="1134" w:hanging="567"/>
        <w:jc w:val="both"/>
      </w:pPr>
      <w:r w:rsidRPr="000056CC">
        <w:t>a)</w:t>
      </w:r>
      <w:r w:rsidRPr="000056CC">
        <w:tab/>
        <w:t>lõiked 1 ja 2 asendatakse järgmistega:</w:t>
      </w:r>
    </w:p>
    <w:p w:rsidR="00E4163C" w:rsidRPr="000056CC" w:rsidRDefault="00E4163C" w:rsidP="003B471C">
      <w:pPr>
        <w:tabs>
          <w:tab w:val="left" w:pos="1701"/>
        </w:tabs>
        <w:spacing w:before="120" w:after="120" w:line="360" w:lineRule="auto"/>
        <w:ind w:left="1134"/>
        <w:jc w:val="both"/>
      </w:pPr>
      <w:r w:rsidRPr="000056CC">
        <w:t>„1.</w:t>
      </w:r>
      <w:r w:rsidRPr="000056CC">
        <w:tab/>
        <w:t>Euroopa Süsteemsete Riskide Nõukogu eesistujaks on EKP president.</w:t>
      </w:r>
    </w:p>
    <w:p w:rsidR="00E4163C" w:rsidRPr="000056CC" w:rsidRDefault="00E4163C" w:rsidP="003B471C">
      <w:pPr>
        <w:tabs>
          <w:tab w:val="left" w:pos="1701"/>
        </w:tabs>
        <w:spacing w:before="120" w:after="120" w:line="360" w:lineRule="auto"/>
        <w:ind w:left="1134"/>
        <w:jc w:val="both"/>
        <w:rPr>
          <w:szCs w:val="24"/>
        </w:rPr>
      </w:pPr>
      <w:r w:rsidRPr="000056CC">
        <w:t>2.</w:t>
      </w:r>
      <w:r w:rsidRPr="000056CC">
        <w:tab/>
        <w:t>Eesistuja esimese asetäitja valivad viieks aastaks endi seast EKP üldnõukogu liikmed▌. Eesistuja esimese asetäitja võib üks kord tagasi valida.</w:t>
      </w:r>
    </w:p>
    <w:p w:rsidR="00E4163C" w:rsidRPr="000056CC" w:rsidRDefault="00E4163C" w:rsidP="003B471C">
      <w:pPr>
        <w:spacing w:before="120" w:after="120" w:line="360" w:lineRule="auto"/>
        <w:ind w:left="1134"/>
        <w:jc w:val="both"/>
        <w:rPr>
          <w:szCs w:val="24"/>
        </w:rPr>
      </w:pPr>
      <w:r w:rsidRPr="000056CC">
        <w:t>__________________________________________________________________</w:t>
      </w:r>
    </w:p>
    <w:p w:rsidR="00E4163C" w:rsidRPr="000056CC" w:rsidRDefault="00E4163C" w:rsidP="003B471C">
      <w:pPr>
        <w:spacing w:before="120" w:after="120" w:line="360" w:lineRule="auto"/>
        <w:ind w:left="1134" w:hanging="567"/>
        <w:jc w:val="both"/>
        <w:rPr>
          <w:szCs w:val="24"/>
        </w:rPr>
      </w:pPr>
      <w:r w:rsidRPr="000056CC">
        <w:t>b)</w:t>
      </w:r>
      <w:r w:rsidRPr="000056CC">
        <w:tab/>
        <w:t>lõige 8 asendatakse järgmisega:</w:t>
      </w:r>
    </w:p>
    <w:p w:rsidR="00E4163C" w:rsidRPr="000056CC" w:rsidRDefault="00E4163C" w:rsidP="003B471C">
      <w:pPr>
        <w:tabs>
          <w:tab w:val="left" w:pos="1701"/>
        </w:tabs>
        <w:spacing w:before="120" w:after="120" w:line="360" w:lineRule="auto"/>
        <w:ind w:left="1134"/>
        <w:jc w:val="both"/>
        <w:rPr>
          <w:szCs w:val="24"/>
        </w:rPr>
      </w:pPr>
      <w:r w:rsidRPr="000056CC">
        <w:t>„8.</w:t>
      </w:r>
      <w:r w:rsidRPr="000056CC">
        <w:tab/>
        <w:t>Eesistuja esindab Euroopa Süsteemsete Riskide Nõukogu asutuseväliselt. Eesistuja võib delegeerida Euroopa Süsteemsete Riskide Nõukogu asutusevälise esindamisega seotud ülesanded</w:t>
      </w:r>
      <w:r w:rsidRPr="000056CC">
        <w:rPr>
          <w:b/>
          <w:i/>
          <w:szCs w:val="24"/>
        </w:rPr>
        <w:t xml:space="preserve"> Euroopa Süsteemsete Riskide Nõukogu eesistuja asetäitjatele või</w:t>
      </w:r>
      <w:r w:rsidRPr="000056CC">
        <w:t xml:space="preserve"> sekretariaadi juhatajale</w:t>
      </w:r>
      <w:r w:rsidRPr="000056CC">
        <w:rPr>
          <w:b/>
          <w:i/>
          <w:szCs w:val="24"/>
        </w:rPr>
        <w:t>, välja arvatud ülesanded, mis on sätestatud artikli 19 lõigetes 1, 4 ja 5</w:t>
      </w:r>
      <w:r w:rsidRPr="000056CC">
        <w:t>.“.</w:t>
      </w:r>
    </w:p>
    <w:p w:rsidR="00E4163C" w:rsidRPr="000056CC" w:rsidRDefault="00E4163C" w:rsidP="003B471C">
      <w:pPr>
        <w:tabs>
          <w:tab w:val="left" w:pos="567"/>
        </w:tabs>
        <w:spacing w:before="120" w:after="120" w:line="360" w:lineRule="auto"/>
        <w:jc w:val="both"/>
        <w:rPr>
          <w:rFonts w:eastAsia="Calibri"/>
          <w:szCs w:val="22"/>
        </w:rPr>
      </w:pPr>
      <w:r w:rsidRPr="000056CC">
        <w:t>3)</w:t>
      </w:r>
      <w:r w:rsidRPr="000056CC">
        <w:tab/>
        <w:t>Artiklit 6 muudetakse järgmiselt:</w:t>
      </w:r>
    </w:p>
    <w:p w:rsidR="00E4163C" w:rsidRPr="000056CC" w:rsidRDefault="00E4163C" w:rsidP="003B471C">
      <w:pPr>
        <w:spacing w:before="120" w:after="120" w:line="360" w:lineRule="auto"/>
        <w:ind w:left="1134" w:hanging="567"/>
        <w:jc w:val="both"/>
      </w:pPr>
      <w:r w:rsidRPr="000056CC">
        <w:t>a)</w:t>
      </w:r>
      <w:r w:rsidRPr="000056CC">
        <w:tab/>
        <w:t>lõiget 1 muudetakse järgmiselt:</w:t>
      </w:r>
    </w:p>
    <w:p w:rsidR="00E4163C" w:rsidRPr="000056CC" w:rsidRDefault="00E4163C" w:rsidP="003B471C">
      <w:pPr>
        <w:spacing w:before="120" w:after="120" w:line="360" w:lineRule="auto"/>
        <w:ind w:left="1701" w:hanging="567"/>
        <w:jc w:val="both"/>
      </w:pPr>
      <w:r w:rsidRPr="000056CC">
        <w:t>i)</w:t>
      </w:r>
      <w:r w:rsidRPr="000056CC">
        <w:tab/>
        <w:t>lisatakse järgmised punktid fa ja fb:</w:t>
      </w:r>
    </w:p>
    <w:p w:rsidR="00E4163C" w:rsidRPr="000056CC" w:rsidRDefault="00E4163C" w:rsidP="003B471C">
      <w:pPr>
        <w:spacing w:before="120" w:after="120" w:line="360" w:lineRule="auto"/>
        <w:ind w:left="2268" w:hanging="567"/>
        <w:jc w:val="both"/>
        <w:rPr>
          <w:szCs w:val="24"/>
        </w:rPr>
      </w:pPr>
      <w:r w:rsidRPr="000056CC">
        <w:t>„fa)</w:t>
      </w:r>
      <w:r w:rsidRPr="000056CC">
        <w:tab/>
        <w:t>EKP järelevalvenõukogu esimees;</w:t>
      </w:r>
    </w:p>
    <w:p w:rsidR="00E4163C" w:rsidRPr="000056CC" w:rsidRDefault="00E4163C" w:rsidP="003B471C">
      <w:pPr>
        <w:spacing w:before="120" w:after="120" w:line="360" w:lineRule="auto"/>
        <w:ind w:left="2268" w:hanging="567"/>
        <w:jc w:val="both"/>
        <w:rPr>
          <w:szCs w:val="24"/>
        </w:rPr>
      </w:pPr>
      <w:r w:rsidRPr="000056CC">
        <w:t>fb)</w:t>
      </w:r>
      <w:r w:rsidRPr="000056CC">
        <w:tab/>
        <w:t>Ühtse Kriisilahendusnõukogu esimees;“;</w:t>
      </w:r>
    </w:p>
    <w:p w:rsidR="00E4163C" w:rsidRPr="000056CC" w:rsidRDefault="00E4163C" w:rsidP="003B471C">
      <w:pPr>
        <w:spacing w:before="120" w:after="120" w:line="360" w:lineRule="auto"/>
        <w:ind w:left="1701" w:hanging="567"/>
        <w:jc w:val="both"/>
        <w:rPr>
          <w:szCs w:val="24"/>
        </w:rPr>
      </w:pPr>
      <w:r w:rsidRPr="000056CC">
        <w:t>ii)</w:t>
      </w:r>
      <w:r w:rsidRPr="000056CC">
        <w:tab/>
        <w:t>▌</w:t>
      </w:r>
    </w:p>
    <w:p w:rsidR="00E4163C" w:rsidRPr="000056CC" w:rsidRDefault="00E4163C" w:rsidP="003B471C">
      <w:pPr>
        <w:spacing w:before="120" w:after="120" w:line="360" w:lineRule="auto"/>
        <w:ind w:left="1134" w:hanging="567"/>
        <w:jc w:val="both"/>
        <w:rPr>
          <w:szCs w:val="24"/>
        </w:rPr>
      </w:pPr>
      <w:r w:rsidRPr="000056CC">
        <w:t>b)</w:t>
      </w:r>
      <w:r w:rsidRPr="000056CC">
        <w:tab/>
        <w:t>lõiget 2 muudetakse järgmiselt:</w:t>
      </w:r>
    </w:p>
    <w:p w:rsidR="00E4163C" w:rsidRPr="000056CC" w:rsidRDefault="00E4163C" w:rsidP="003B471C">
      <w:pPr>
        <w:spacing w:before="120" w:after="120" w:line="360" w:lineRule="auto"/>
        <w:ind w:left="1701" w:hanging="567"/>
        <w:jc w:val="both"/>
        <w:rPr>
          <w:rFonts w:eastAsia="Calibri"/>
          <w:szCs w:val="22"/>
        </w:rPr>
      </w:pPr>
      <w:r w:rsidRPr="000056CC">
        <w:t>i)</w:t>
      </w:r>
      <w:r w:rsidRPr="000056CC">
        <w:tab/>
        <w:t>punkt a asendatakse järgmisega:</w:t>
      </w:r>
    </w:p>
    <w:p w:rsidR="00E4163C" w:rsidRPr="000056CC" w:rsidRDefault="00E4163C" w:rsidP="003B471C">
      <w:pPr>
        <w:spacing w:before="120" w:after="120" w:line="360" w:lineRule="auto"/>
        <w:ind w:left="2268" w:hanging="567"/>
        <w:jc w:val="both"/>
        <w:rPr>
          <w:szCs w:val="24"/>
        </w:rPr>
      </w:pPr>
      <w:r w:rsidRPr="000056CC">
        <w:lastRenderedPageBreak/>
        <w:t>„a)</w:t>
      </w:r>
      <w:r w:rsidRPr="000056CC">
        <w:tab/>
        <w:t>kooskõlas lõikega 3 igast liikmesriigist üks kõrgetasemeline esindaja, kes esindab riigi pädevaid asutusi või riigi asutusi, mis on määratud kohaldama süsteemseid riske või makrotasandi usaldatavusriske käsitlevaid meetmeid;“;</w:t>
      </w:r>
    </w:p>
    <w:p w:rsidR="00E4163C" w:rsidRPr="000056CC" w:rsidRDefault="00E4163C" w:rsidP="003B471C">
      <w:pPr>
        <w:spacing w:before="120" w:after="120" w:line="360" w:lineRule="auto"/>
        <w:ind w:left="1134" w:hanging="567"/>
        <w:jc w:val="both"/>
        <w:rPr>
          <w:szCs w:val="24"/>
        </w:rPr>
      </w:pPr>
      <w:r w:rsidRPr="000056CC">
        <w:t>c)</w:t>
      </w:r>
      <w:r w:rsidRPr="000056CC">
        <w:tab/>
        <w:t>lõige 3 asendatakse järgmisega:</w:t>
      </w:r>
    </w:p>
    <w:p w:rsidR="00E4163C" w:rsidRPr="000056CC" w:rsidRDefault="00E4163C" w:rsidP="003B471C">
      <w:pPr>
        <w:tabs>
          <w:tab w:val="left" w:pos="1701"/>
        </w:tabs>
        <w:spacing w:before="120" w:after="120" w:line="360" w:lineRule="auto"/>
        <w:ind w:left="1134"/>
        <w:jc w:val="both"/>
        <w:rPr>
          <w:szCs w:val="24"/>
        </w:rPr>
      </w:pPr>
      <w:r w:rsidRPr="000056CC">
        <w:t>„3.</w:t>
      </w:r>
      <w:r w:rsidRPr="000056CC">
        <w:tab/>
        <w:t>Lõike 2 punktis a osutatud riigi asutuste esindamisel vahetub iga liikmesriigi kõrgetasemeline esindaja vastavalt käsitlemisel olevale küsimusele, välja arvatud juhul, kui mõne liikmesriigi asutused on kokku leppinud ühise esindaja kasutamises.“.</w:t>
      </w:r>
    </w:p>
    <w:p w:rsidR="00E4163C" w:rsidRPr="000056CC" w:rsidRDefault="00E4163C" w:rsidP="003B471C">
      <w:pPr>
        <w:tabs>
          <w:tab w:val="left" w:pos="567"/>
        </w:tabs>
        <w:spacing w:before="120" w:after="120" w:line="360" w:lineRule="auto"/>
        <w:jc w:val="both"/>
        <w:rPr>
          <w:b/>
          <w:i/>
          <w:szCs w:val="24"/>
        </w:rPr>
      </w:pPr>
      <w:r w:rsidRPr="000056CC">
        <w:rPr>
          <w:b/>
          <w:i/>
        </w:rPr>
        <w:t>3 a)</w:t>
      </w:r>
      <w:r w:rsidRPr="000056CC">
        <w:rPr>
          <w:b/>
          <w:i/>
        </w:rPr>
        <w:tab/>
        <w:t>Artikli 7 lõige 1 asendatakse järgmisega:</w:t>
      </w:r>
    </w:p>
    <w:p w:rsidR="00E4163C" w:rsidRPr="000056CC" w:rsidRDefault="00E4163C" w:rsidP="003B471C">
      <w:pPr>
        <w:spacing w:before="120" w:after="120" w:line="360" w:lineRule="auto"/>
        <w:ind w:left="2268" w:hanging="567"/>
        <w:jc w:val="both"/>
        <w:rPr>
          <w:szCs w:val="24"/>
        </w:rPr>
      </w:pPr>
      <w:r w:rsidRPr="000056CC">
        <w:rPr>
          <w:b/>
          <w:i/>
          <w:szCs w:val="24"/>
        </w:rPr>
        <w:t>„</w:t>
      </w:r>
      <w:r w:rsidRPr="000056CC">
        <w:t>1.</w:t>
      </w:r>
      <w:r w:rsidRPr="000056CC">
        <w:tab/>
        <w:t xml:space="preserve">Haldusnõukogu ja juhtkomitee tegevuses osaledes või seoses Euroopa Süsteemsete Riskide Nõukogu mis tahes muu tegevusega täidavad Euroopa Süsteemsete Riskide Nõukogu liikmed oma ülesandeid erapooletult ning üksnes liidu kui terviku huvides. Nad ei taotle ega võta vastu juhiseid </w:t>
      </w:r>
      <w:r w:rsidRPr="000056CC">
        <w:rPr>
          <w:b/>
          <w:i/>
          <w:szCs w:val="24"/>
        </w:rPr>
        <w:t>üheltki valitsuselt</w:t>
      </w:r>
      <w:r w:rsidRPr="000056CC">
        <w:t>, liidu institutsioonidelt ega üheltki teiselt avalik-õiguslikult või eraõiguslikult organilt.</w:t>
      </w:r>
      <w:r w:rsidRPr="000056CC">
        <w:rPr>
          <w:b/>
          <w:i/>
          <w:szCs w:val="24"/>
        </w:rPr>
        <w:t>“.</w:t>
      </w:r>
    </w:p>
    <w:p w:rsidR="00E4163C" w:rsidRPr="000056CC" w:rsidRDefault="00E4163C" w:rsidP="003B471C">
      <w:pPr>
        <w:tabs>
          <w:tab w:val="left" w:pos="567"/>
        </w:tabs>
        <w:spacing w:before="120" w:after="120" w:line="360" w:lineRule="auto"/>
        <w:jc w:val="both"/>
        <w:rPr>
          <w:b/>
          <w:i/>
          <w:szCs w:val="24"/>
        </w:rPr>
      </w:pPr>
      <w:r w:rsidRPr="000056CC">
        <w:rPr>
          <w:b/>
          <w:i/>
        </w:rPr>
        <w:t>3 b)</w:t>
      </w:r>
      <w:r w:rsidRPr="000056CC">
        <w:rPr>
          <w:b/>
          <w:i/>
        </w:rPr>
        <w:tab/>
        <w:t>Artikli 8 lõikesse 1 lisatakse järgmised lõigud:</w:t>
      </w:r>
    </w:p>
    <w:p w:rsidR="00E4163C" w:rsidRPr="000056CC" w:rsidRDefault="00E4163C" w:rsidP="003B471C">
      <w:pPr>
        <w:tabs>
          <w:tab w:val="left" w:pos="1701"/>
        </w:tabs>
        <w:spacing w:before="120" w:after="120" w:line="360" w:lineRule="auto"/>
        <w:ind w:left="1134"/>
        <w:jc w:val="both"/>
        <w:rPr>
          <w:b/>
          <w:i/>
          <w:szCs w:val="24"/>
        </w:rPr>
      </w:pPr>
      <w:r w:rsidRPr="000056CC">
        <w:rPr>
          <w:b/>
          <w:i/>
          <w:szCs w:val="24"/>
        </w:rPr>
        <w:t>„Käesolevat lõiget ei kohaldata isikute suhtes, kes teatavad oma töösuhte raames avaliku huvi ohustamisest või kahjustamisest või avalikustavad sellise teabe.</w:t>
      </w:r>
    </w:p>
    <w:p w:rsidR="00E4163C" w:rsidRPr="000056CC" w:rsidRDefault="00E4163C" w:rsidP="003B471C">
      <w:pPr>
        <w:tabs>
          <w:tab w:val="left" w:pos="1701"/>
        </w:tabs>
        <w:spacing w:before="120" w:after="120" w:line="360" w:lineRule="auto"/>
        <w:ind w:left="1134"/>
        <w:jc w:val="both"/>
        <w:rPr>
          <w:szCs w:val="24"/>
        </w:rPr>
      </w:pPr>
      <w:r w:rsidRPr="000056CC">
        <w:rPr>
          <w:b/>
          <w:i/>
          <w:szCs w:val="24"/>
        </w:rPr>
        <w:t>Käesolev lõige ei piira artikli 19 lõike 5 kohaselt peetavaid konfidentsiaalseid suulisi arutelusid.“.</w:t>
      </w:r>
    </w:p>
    <w:p w:rsidR="00E4163C" w:rsidRPr="000056CC" w:rsidRDefault="00E4163C" w:rsidP="003B471C">
      <w:pPr>
        <w:spacing w:before="120" w:after="120" w:line="360" w:lineRule="auto"/>
        <w:ind w:left="567" w:hanging="567"/>
        <w:jc w:val="both"/>
        <w:rPr>
          <w:szCs w:val="24"/>
        </w:rPr>
      </w:pPr>
      <w:r w:rsidRPr="000056CC">
        <w:t>4)</w:t>
      </w:r>
      <w:r w:rsidRPr="000056CC">
        <w:tab/>
      </w:r>
      <w:r w:rsidRPr="000056CC">
        <w:rPr>
          <w:b/>
          <w:i/>
          <w:szCs w:val="24"/>
        </w:rPr>
        <w:t>Artiklit</w:t>
      </w:r>
      <w:r w:rsidRPr="000056CC">
        <w:t xml:space="preserve"> 9 </w:t>
      </w:r>
      <w:r w:rsidRPr="000056CC">
        <w:rPr>
          <w:b/>
          <w:i/>
          <w:szCs w:val="24"/>
        </w:rPr>
        <w:t>muudetakse järgmiselt:</w:t>
      </w:r>
      <w:r w:rsidRPr="000056CC">
        <w:t xml:space="preserve"> </w:t>
      </w:r>
    </w:p>
    <w:p w:rsidR="00E4163C" w:rsidRPr="000056CC" w:rsidRDefault="00E4163C" w:rsidP="003B471C">
      <w:pPr>
        <w:spacing w:before="120" w:after="120" w:line="360" w:lineRule="auto"/>
        <w:ind w:left="1134" w:hanging="567"/>
        <w:jc w:val="both"/>
        <w:rPr>
          <w:b/>
          <w:i/>
          <w:szCs w:val="24"/>
        </w:rPr>
      </w:pPr>
      <w:r w:rsidRPr="000056CC">
        <w:rPr>
          <w:b/>
          <w:i/>
          <w:szCs w:val="24"/>
        </w:rPr>
        <w:t>a)</w:t>
      </w:r>
      <w:r w:rsidRPr="000056CC">
        <w:rPr>
          <w:b/>
          <w:i/>
          <w:szCs w:val="24"/>
        </w:rPr>
        <w:tab/>
      </w:r>
      <w:r w:rsidRPr="000056CC">
        <w:rPr>
          <w:b/>
          <w:i/>
        </w:rPr>
        <w:t>lõige 4 asendatakse järgmisega:</w:t>
      </w:r>
    </w:p>
    <w:p w:rsidR="00E4163C" w:rsidRPr="000056CC" w:rsidRDefault="00E4163C" w:rsidP="003B471C">
      <w:pPr>
        <w:spacing w:before="120" w:after="120" w:line="360" w:lineRule="auto"/>
        <w:ind w:left="2268" w:hanging="567"/>
        <w:jc w:val="both"/>
        <w:rPr>
          <w:szCs w:val="24"/>
        </w:rPr>
      </w:pPr>
      <w:r w:rsidRPr="000056CC">
        <w:rPr>
          <w:b/>
          <w:i/>
          <w:szCs w:val="24"/>
        </w:rPr>
        <w:t>„</w:t>
      </w:r>
      <w:r w:rsidRPr="000056CC">
        <w:t>4.</w:t>
      </w:r>
      <w:r w:rsidRPr="000056CC">
        <w:tab/>
        <w:t xml:space="preserve">Vajaduse korral võib haldusnõukogu koosolekutele kutsuda osalema kõrgetasemelisi esindajaid rahvusvahelistest finantsorganisatsioonidest </w:t>
      </w:r>
      <w:r w:rsidRPr="000056CC">
        <w:rPr>
          <w:b/>
          <w:i/>
          <w:szCs w:val="24"/>
        </w:rPr>
        <w:t>või Euroopa Parlamendist</w:t>
      </w:r>
      <w:r w:rsidRPr="000056CC">
        <w:t xml:space="preserve">, mille tegevus </w:t>
      </w:r>
      <w:r w:rsidRPr="000056CC">
        <w:lastRenderedPageBreak/>
        <w:t>on otseselt seotud Euroopa Süsteemsete Riskide Nõukogu ülesannetega, mis on sätestatud artikli 3 lõikes 2.</w:t>
      </w:r>
      <w:r w:rsidRPr="000056CC">
        <w:rPr>
          <w:b/>
          <w:i/>
          <w:szCs w:val="24"/>
        </w:rPr>
        <w:t>“;</w:t>
      </w:r>
    </w:p>
    <w:p w:rsidR="00E4163C" w:rsidRPr="000056CC" w:rsidRDefault="00E4163C" w:rsidP="003B471C">
      <w:pPr>
        <w:spacing w:before="120" w:after="120" w:line="360" w:lineRule="auto"/>
        <w:ind w:left="1134" w:hanging="567"/>
        <w:jc w:val="both"/>
        <w:rPr>
          <w:b/>
          <w:i/>
          <w:szCs w:val="24"/>
        </w:rPr>
      </w:pPr>
      <w:r w:rsidRPr="000056CC">
        <w:rPr>
          <w:b/>
          <w:i/>
          <w:szCs w:val="24"/>
        </w:rPr>
        <w:t>b)</w:t>
      </w:r>
      <w:r w:rsidRPr="000056CC">
        <w:rPr>
          <w:b/>
          <w:i/>
          <w:szCs w:val="24"/>
        </w:rPr>
        <w:tab/>
      </w:r>
      <w:r w:rsidRPr="000056CC">
        <w:rPr>
          <w:b/>
          <w:i/>
        </w:rPr>
        <w:t>lõige 5 asendatakse järgmisega:</w:t>
      </w:r>
    </w:p>
    <w:p w:rsidR="00E4163C" w:rsidRPr="000056CC" w:rsidRDefault="00E4163C" w:rsidP="003B471C">
      <w:pPr>
        <w:spacing w:before="120" w:after="120" w:line="360" w:lineRule="auto"/>
        <w:ind w:left="2268" w:hanging="567"/>
        <w:jc w:val="both"/>
        <w:rPr>
          <w:szCs w:val="24"/>
        </w:rPr>
      </w:pPr>
      <w:r w:rsidRPr="000056CC">
        <w:rPr>
          <w:b/>
          <w:i/>
          <w:szCs w:val="24"/>
        </w:rPr>
        <w:t>„</w:t>
      </w:r>
      <w:r w:rsidRPr="000056CC">
        <w:t>5.</w:t>
      </w:r>
      <w:r w:rsidRPr="000056CC">
        <w:tab/>
        <w:t>Euroopa Süsteemsete Riskide Nõukogu töös võivad osaleda ka kõrgetasemelised esindajad ▌ EMP riikide asjakohastest ametiasutustest, kuid rangelt ainult nende riikide jaoks eriti olulistes küsimustes. Euroopa Süsteemsete Riskide Nõukogu võib kehtestada korra, milles määratakse eelkõige kindlaks nende ▌ riikide Euroopa Süsteemsete Riskide Nõukogu töös osalemise laad, ulatus ja menetluslikud aspektid. Kõnealuse korraga võib ette näha, et need riigid on haldusnõukogus üksikjuhtumipõhiselt vaatlejatena esindatud ning seda ainult nende riikide jaoks oluliste küsimuste puhul, jättes igal juhul välja kõik juhtumid, kus võidakse arutada konkreetsete finantseerimisasutuste või liikmesriikide olukorda.</w:t>
      </w:r>
      <w:r w:rsidRPr="000056CC">
        <w:rPr>
          <w:b/>
          <w:i/>
          <w:szCs w:val="24"/>
        </w:rPr>
        <w:t>“.</w:t>
      </w:r>
    </w:p>
    <w:p w:rsidR="00E4163C" w:rsidRPr="000056CC" w:rsidRDefault="00E4163C" w:rsidP="003B471C">
      <w:pPr>
        <w:spacing w:before="120" w:after="120" w:line="360" w:lineRule="auto"/>
        <w:ind w:left="567" w:hanging="567"/>
        <w:jc w:val="both"/>
        <w:rPr>
          <w:szCs w:val="24"/>
        </w:rPr>
      </w:pPr>
      <w:r w:rsidRPr="000056CC">
        <w:t>5)</w:t>
      </w:r>
      <w:r w:rsidRPr="000056CC">
        <w:tab/>
        <w:t>Artiklit 11 muudetakse järgmiselt:</w:t>
      </w:r>
    </w:p>
    <w:p w:rsidR="00E4163C" w:rsidRPr="000056CC" w:rsidRDefault="00E4163C" w:rsidP="003B471C">
      <w:pPr>
        <w:spacing w:before="120" w:after="120" w:line="360" w:lineRule="auto"/>
        <w:ind w:left="1134" w:hanging="567"/>
        <w:jc w:val="both"/>
        <w:rPr>
          <w:szCs w:val="24"/>
        </w:rPr>
      </w:pPr>
      <w:r w:rsidRPr="000056CC">
        <w:t>a)</w:t>
      </w:r>
      <w:r w:rsidRPr="000056CC">
        <w:tab/>
        <w:t>lõiget 1 muudetakse järgmiselt:</w:t>
      </w:r>
    </w:p>
    <w:p w:rsidR="00E4163C" w:rsidRPr="000056CC" w:rsidRDefault="00E4163C" w:rsidP="003B471C">
      <w:pPr>
        <w:spacing w:before="120" w:after="120" w:line="360" w:lineRule="auto"/>
        <w:ind w:left="1701" w:hanging="567"/>
        <w:jc w:val="both"/>
        <w:rPr>
          <w:szCs w:val="24"/>
        </w:rPr>
      </w:pPr>
      <w:r w:rsidRPr="000056CC">
        <w:t>i)</w:t>
      </w:r>
      <w:r w:rsidRPr="000056CC">
        <w:tab/>
        <w:t>punkt c asendatakse järgmisega:</w:t>
      </w:r>
    </w:p>
    <w:p w:rsidR="00E4163C" w:rsidRPr="000056CC" w:rsidRDefault="00E4163C" w:rsidP="003B471C">
      <w:pPr>
        <w:spacing w:before="120" w:after="120" w:line="360" w:lineRule="auto"/>
        <w:ind w:left="2268" w:hanging="567"/>
        <w:jc w:val="both"/>
        <w:rPr>
          <w:szCs w:val="24"/>
        </w:rPr>
      </w:pPr>
      <w:r w:rsidRPr="000056CC">
        <w:t>„c)</w:t>
      </w:r>
      <w:r w:rsidRPr="000056CC">
        <w:tab/>
        <w:t>neli teist haldusnõukogu liiget, kes on ühtlasi EKP üldnõukogu liikmed, võttes arvesse vajadust tagada kõikide liikmesriikide tasakaalustatud esindatus ning tasakaalustatud esindatus nende liikmesriikide vahel, mis on nõukogu määruse (EL) nr 1024/2013 artikli 2 punkti 1 kohaselt määratletud osalevad liikmesriigid, ja nende liikmesriikide vahel, mis ei ole osalevad liikmesriigid. Haldusnõukogu liikmed, kes on ühtlasi EKP üldnõukogu liikmed, valivad need liikmed endi hulgast kolmeks aastaks;“;</w:t>
      </w:r>
    </w:p>
    <w:p w:rsidR="00E4163C" w:rsidRPr="000056CC" w:rsidRDefault="00E4163C" w:rsidP="003B471C">
      <w:pPr>
        <w:spacing w:before="120" w:after="120" w:line="360" w:lineRule="auto"/>
        <w:ind w:left="1701" w:hanging="567"/>
        <w:jc w:val="both"/>
        <w:rPr>
          <w:szCs w:val="24"/>
        </w:rPr>
      </w:pPr>
      <w:r w:rsidRPr="000056CC">
        <w:t>ii)</w:t>
      </w:r>
      <w:r w:rsidRPr="000056CC">
        <w:tab/>
        <w:t>lisatakse järgmised punktid ga</w:t>
      </w:r>
      <w:r w:rsidRPr="000056CC">
        <w:rPr>
          <w:b/>
          <w:i/>
          <w:szCs w:val="24"/>
        </w:rPr>
        <w:t xml:space="preserve">, </w:t>
      </w:r>
      <w:r w:rsidRPr="000056CC">
        <w:t xml:space="preserve">gb </w:t>
      </w:r>
      <w:r w:rsidRPr="000056CC">
        <w:rPr>
          <w:b/>
          <w:i/>
          <w:szCs w:val="24"/>
        </w:rPr>
        <w:t>ja gb a</w:t>
      </w:r>
      <w:r w:rsidRPr="000056CC">
        <w:t>:</w:t>
      </w:r>
    </w:p>
    <w:p w:rsidR="00E4163C" w:rsidRPr="000056CC" w:rsidRDefault="00E4163C" w:rsidP="003B471C">
      <w:pPr>
        <w:spacing w:before="120" w:after="120" w:line="360" w:lineRule="auto"/>
        <w:ind w:left="2268" w:hanging="567"/>
        <w:jc w:val="both"/>
        <w:rPr>
          <w:szCs w:val="24"/>
        </w:rPr>
      </w:pPr>
      <w:r w:rsidRPr="000056CC">
        <w:t>„ga)</w:t>
      </w:r>
      <w:r w:rsidRPr="000056CC">
        <w:tab/>
        <w:t>EKP järelevalvenõukogu esimees;</w:t>
      </w:r>
    </w:p>
    <w:p w:rsidR="00E4163C" w:rsidRPr="000056CC" w:rsidRDefault="00E4163C" w:rsidP="003B471C">
      <w:pPr>
        <w:spacing w:before="120" w:after="120" w:line="360" w:lineRule="auto"/>
        <w:ind w:left="2268" w:hanging="567"/>
        <w:jc w:val="both"/>
        <w:rPr>
          <w:szCs w:val="24"/>
        </w:rPr>
      </w:pPr>
      <w:r w:rsidRPr="000056CC">
        <w:t>gb)</w:t>
      </w:r>
      <w:r w:rsidRPr="000056CC">
        <w:tab/>
        <w:t>Ühtse Kriisilahendusnõukogu esimees;</w:t>
      </w:r>
    </w:p>
    <w:p w:rsidR="00E4163C" w:rsidRPr="000056CC" w:rsidRDefault="00E4163C" w:rsidP="003B471C">
      <w:pPr>
        <w:spacing w:before="120" w:after="120" w:line="360" w:lineRule="auto"/>
        <w:ind w:left="2268" w:hanging="567"/>
        <w:jc w:val="both"/>
        <w:rPr>
          <w:szCs w:val="24"/>
        </w:rPr>
      </w:pPr>
      <w:r w:rsidRPr="000056CC">
        <w:rPr>
          <w:b/>
          <w:i/>
          <w:szCs w:val="24"/>
        </w:rPr>
        <w:lastRenderedPageBreak/>
        <w:t>gb a)</w:t>
      </w:r>
      <w:r w:rsidRPr="000056CC">
        <w:rPr>
          <w:b/>
          <w:i/>
          <w:szCs w:val="24"/>
        </w:rPr>
        <w:tab/>
        <w:t>Euroopa Süsteemsete Riskide Nõukogu sekretariaadi juhataja;</w:t>
      </w:r>
      <w:r w:rsidRPr="000056CC">
        <w:t>“.</w:t>
      </w:r>
    </w:p>
    <w:p w:rsidR="00E4163C" w:rsidRPr="000056CC" w:rsidRDefault="00E4163C" w:rsidP="003B471C">
      <w:pPr>
        <w:tabs>
          <w:tab w:val="left" w:pos="567"/>
        </w:tabs>
        <w:spacing w:before="120" w:after="120" w:line="360" w:lineRule="auto"/>
        <w:jc w:val="both"/>
        <w:rPr>
          <w:szCs w:val="24"/>
        </w:rPr>
      </w:pPr>
      <w:r w:rsidRPr="000056CC">
        <w:t>6)</w:t>
      </w:r>
      <w:r w:rsidRPr="000056CC">
        <w:tab/>
        <w:t>Artiklit 12 muudetakse järgmiselt:</w:t>
      </w:r>
    </w:p>
    <w:p w:rsidR="00E4163C" w:rsidRPr="000056CC" w:rsidRDefault="00E4163C" w:rsidP="003B471C">
      <w:pPr>
        <w:spacing w:before="120" w:after="120" w:line="360" w:lineRule="auto"/>
        <w:ind w:left="1134" w:hanging="567"/>
        <w:jc w:val="both"/>
        <w:rPr>
          <w:b/>
          <w:i/>
          <w:szCs w:val="24"/>
        </w:rPr>
      </w:pPr>
      <w:r w:rsidRPr="000056CC">
        <w:rPr>
          <w:b/>
          <w:i/>
          <w:szCs w:val="24"/>
        </w:rPr>
        <w:t>-a)</w:t>
      </w:r>
      <w:r w:rsidRPr="000056CC">
        <w:rPr>
          <w:b/>
          <w:i/>
          <w:szCs w:val="24"/>
        </w:rPr>
        <w:tab/>
        <w:t>lõige 1 asendatakse järgmisega:</w:t>
      </w:r>
    </w:p>
    <w:p w:rsidR="00E4163C" w:rsidRPr="000056CC" w:rsidRDefault="00E4163C" w:rsidP="003B471C">
      <w:pPr>
        <w:tabs>
          <w:tab w:val="left" w:pos="1701"/>
        </w:tabs>
        <w:spacing w:before="120" w:after="120" w:line="360" w:lineRule="auto"/>
        <w:ind w:left="1134"/>
        <w:jc w:val="both"/>
        <w:rPr>
          <w:szCs w:val="24"/>
        </w:rPr>
      </w:pPr>
      <w:r w:rsidRPr="000056CC">
        <w:rPr>
          <w:b/>
          <w:i/>
          <w:szCs w:val="24"/>
        </w:rPr>
        <w:t>„</w:t>
      </w:r>
      <w:r w:rsidRPr="000056CC">
        <w:t>1. Teaduslik nõuandekomitee koosneb tehnilise nõuandekomitee eesistujast ja 15 eksperdist, kellel on erinevad oskused</w:t>
      </w:r>
      <w:r w:rsidRPr="000056CC">
        <w:rPr>
          <w:b/>
          <w:i/>
          <w:szCs w:val="22"/>
        </w:rPr>
        <w:t xml:space="preserve">, </w:t>
      </w:r>
      <w:r w:rsidRPr="000056CC">
        <w:t xml:space="preserve">kogemused </w:t>
      </w:r>
      <w:r w:rsidRPr="000056CC">
        <w:rPr>
          <w:b/>
          <w:i/>
          <w:szCs w:val="24"/>
        </w:rPr>
        <w:t xml:space="preserve">ja teadmised kõikide asjakohaste finantsturu sektorite alal </w:t>
      </w:r>
      <w:r w:rsidRPr="000056CC">
        <w:t>ning kelle on esitanud juhtkomitee ja heaks kiitnud haldusnõukogu neljaks aastaks koos võimalusega mandaati pikendada. Kandidaadid ei tohi olla Euroopa järelevalveasutuste liikmed ja nende valimisel võetakse arvesse nii nende üldist pädevust kui ka mitmekülgset kogemust akadeemilistes valdkondades või muudes sektorites, eelkõige väikeste ja keskmise suurusega ettevõtjate ning ametiühingute tegevuse alal, või finantsteenuste osutajate või tarbijatena.</w:t>
      </w:r>
      <w:r w:rsidRPr="000056CC">
        <w:rPr>
          <w:b/>
          <w:i/>
          <w:szCs w:val="24"/>
        </w:rPr>
        <w:t>“;</w:t>
      </w:r>
    </w:p>
    <w:p w:rsidR="00E4163C" w:rsidRPr="000056CC" w:rsidRDefault="00E4163C" w:rsidP="003B471C">
      <w:pPr>
        <w:spacing w:before="120" w:after="120" w:line="360" w:lineRule="auto"/>
        <w:ind w:left="1134" w:hanging="567"/>
        <w:jc w:val="both"/>
        <w:rPr>
          <w:b/>
          <w:i/>
          <w:szCs w:val="24"/>
        </w:rPr>
      </w:pPr>
      <w:r w:rsidRPr="000056CC">
        <w:rPr>
          <w:b/>
          <w:i/>
          <w:szCs w:val="24"/>
        </w:rPr>
        <w:t>-a a)</w:t>
      </w:r>
      <w:r w:rsidRPr="000056CC">
        <w:rPr>
          <w:b/>
          <w:i/>
          <w:szCs w:val="24"/>
        </w:rPr>
        <w:tab/>
        <w:t>lõige 2 asendatakse järgmisega:</w:t>
      </w:r>
    </w:p>
    <w:p w:rsidR="00E4163C" w:rsidRPr="000056CC" w:rsidRDefault="00E4163C" w:rsidP="003B471C">
      <w:pPr>
        <w:tabs>
          <w:tab w:val="left" w:pos="1701"/>
        </w:tabs>
        <w:spacing w:before="120" w:after="120" w:line="360" w:lineRule="auto"/>
        <w:ind w:left="1134"/>
        <w:jc w:val="both"/>
        <w:rPr>
          <w:szCs w:val="24"/>
        </w:rPr>
      </w:pPr>
      <w:r w:rsidRPr="000056CC">
        <w:rPr>
          <w:b/>
          <w:i/>
          <w:szCs w:val="24"/>
        </w:rPr>
        <w:t>„</w:t>
      </w:r>
      <w:r w:rsidRPr="000056CC">
        <w:t xml:space="preserve">2. Haldusnõukogu nimetab Euroopa Süsteemsete Riskide Nõukogu eesistuja ettepaneku alusel ametisse teadusliku nõuandekomitee esimehe ja kaks aseesimeest ning neil peaksid olema asjakohased põhjalikud teadmised ja asjatundlikkus, nt </w:t>
      </w:r>
      <w:r w:rsidRPr="000056CC">
        <w:rPr>
          <w:b/>
          <w:i/>
          <w:szCs w:val="24"/>
        </w:rPr>
        <w:t>asjakohane</w:t>
      </w:r>
      <w:r w:rsidRPr="000056CC">
        <w:t xml:space="preserve"> akadeemiline </w:t>
      </w:r>
      <w:r w:rsidRPr="000056CC">
        <w:rPr>
          <w:b/>
          <w:i/>
          <w:szCs w:val="24"/>
        </w:rPr>
        <w:t>kutsealane</w:t>
      </w:r>
      <w:r w:rsidRPr="000056CC">
        <w:t xml:space="preserve"> taust panganduse, väärtpaberiturgude või kindlustuse ning tööandjapensionide valdkonnas. Teadusliku nõuandekomitee eesistumine peaks nimetatud kolme isiku vahel roteeruma.</w:t>
      </w:r>
      <w:r w:rsidRPr="000056CC">
        <w:rPr>
          <w:b/>
          <w:i/>
          <w:szCs w:val="24"/>
        </w:rPr>
        <w:t>“;</w:t>
      </w:r>
    </w:p>
    <w:p w:rsidR="00E4163C" w:rsidRPr="000056CC" w:rsidRDefault="00E4163C" w:rsidP="003B471C">
      <w:pPr>
        <w:spacing w:before="120" w:after="120" w:line="360" w:lineRule="auto"/>
        <w:ind w:left="1134" w:hanging="567"/>
        <w:jc w:val="both"/>
        <w:rPr>
          <w:b/>
          <w:i/>
          <w:szCs w:val="24"/>
        </w:rPr>
      </w:pPr>
      <w:r w:rsidRPr="000056CC">
        <w:rPr>
          <w:b/>
          <w:i/>
          <w:szCs w:val="24"/>
        </w:rPr>
        <w:t>-a b)</w:t>
      </w:r>
      <w:r w:rsidRPr="000056CC">
        <w:rPr>
          <w:b/>
          <w:i/>
          <w:szCs w:val="24"/>
        </w:rPr>
        <w:tab/>
        <w:t>lõige 3 asendatakse järgmisega:</w:t>
      </w:r>
    </w:p>
    <w:p w:rsidR="00E4163C" w:rsidRPr="000056CC" w:rsidRDefault="00E4163C" w:rsidP="003B471C">
      <w:pPr>
        <w:tabs>
          <w:tab w:val="left" w:pos="1701"/>
        </w:tabs>
        <w:spacing w:before="120" w:after="120" w:line="360" w:lineRule="auto"/>
        <w:ind w:left="1134"/>
        <w:jc w:val="both"/>
        <w:rPr>
          <w:szCs w:val="24"/>
        </w:rPr>
      </w:pPr>
      <w:r w:rsidRPr="000056CC">
        <w:rPr>
          <w:b/>
          <w:i/>
          <w:szCs w:val="24"/>
        </w:rPr>
        <w:t xml:space="preserve"> „</w:t>
      </w:r>
      <w:r w:rsidRPr="000056CC">
        <w:t xml:space="preserve">3. Teaduslik nõuandekomitee nõustab ja toetab Euroopa Süsteemsete Riskide Nõukogu vastavalt artikli 4 lõikele 5 Euroopa Süsteemsete Riskide Nõukogu eesistuja </w:t>
      </w:r>
      <w:r w:rsidRPr="000056CC">
        <w:rPr>
          <w:b/>
          <w:i/>
          <w:szCs w:val="24"/>
        </w:rPr>
        <w:t>või haldusnõukogu</w:t>
      </w:r>
      <w:r w:rsidRPr="000056CC">
        <w:t xml:space="preserve"> taotluse alusel.</w:t>
      </w:r>
      <w:r w:rsidRPr="000056CC">
        <w:rPr>
          <w:b/>
          <w:i/>
          <w:szCs w:val="24"/>
        </w:rPr>
        <w:t>“;</w:t>
      </w:r>
    </w:p>
    <w:p w:rsidR="00E4163C" w:rsidRPr="000056CC" w:rsidRDefault="00E4163C" w:rsidP="003B471C">
      <w:pPr>
        <w:spacing w:before="120" w:after="120" w:line="360" w:lineRule="auto"/>
        <w:ind w:left="1134" w:hanging="567"/>
        <w:jc w:val="both"/>
        <w:rPr>
          <w:szCs w:val="24"/>
        </w:rPr>
      </w:pPr>
      <w:r w:rsidRPr="000056CC">
        <w:t xml:space="preserve"> a)</w:t>
      </w:r>
      <w:r w:rsidRPr="000056CC">
        <w:tab/>
        <w:t>lõige 5 asendatakse järgmisega:</w:t>
      </w:r>
    </w:p>
    <w:p w:rsidR="00E4163C" w:rsidRPr="000056CC" w:rsidRDefault="00E4163C" w:rsidP="003B471C">
      <w:pPr>
        <w:tabs>
          <w:tab w:val="left" w:pos="1701"/>
        </w:tabs>
        <w:spacing w:before="120" w:after="120" w:line="360" w:lineRule="auto"/>
        <w:ind w:left="1134"/>
        <w:jc w:val="both"/>
        <w:rPr>
          <w:szCs w:val="24"/>
        </w:rPr>
      </w:pPr>
      <w:r w:rsidRPr="000056CC">
        <w:t>„5.</w:t>
      </w:r>
      <w:r w:rsidRPr="000056CC">
        <w:tab/>
        <w:t>Vajaduse korral konsulteerib teaduslik nõuandekomitee varajases etapis ning avatud ja läbipaistval viisil sidusrühmadega</w:t>
      </w:r>
      <w:r w:rsidRPr="000056CC">
        <w:rPr>
          <w:b/>
          <w:i/>
          <w:szCs w:val="24"/>
        </w:rPr>
        <w:t>, nagu turuosalised, tarbijaorganisatsioonid ja teaduseksperdid</w:t>
      </w:r>
      <w:r w:rsidRPr="000056CC">
        <w:t xml:space="preserve">, võttes seejuures arvesse </w:t>
      </w:r>
      <w:r w:rsidRPr="000056CC">
        <w:lastRenderedPageBreak/>
        <w:t>konfidentsiaalsusnõuet.</w:t>
      </w:r>
      <w:r w:rsidRPr="000056CC">
        <w:rPr>
          <w:b/>
          <w:i/>
        </w:rPr>
        <w:t xml:space="preserve"> </w:t>
      </w:r>
      <w:r w:rsidRPr="000056CC">
        <w:rPr>
          <w:b/>
          <w:i/>
          <w:szCs w:val="24"/>
        </w:rPr>
        <w:t>Niisuguseid konsultatsioone peetakse võimalikult laialdaselt, et tagada kõiki huvitatud isikuid ja asjaomaseid finantssektoreid kaasav lähenemisviis, ning nende raames antakse sidusrühmadele mõistlik aeg vastamiseks.</w:t>
      </w:r>
      <w:r w:rsidRPr="000056CC">
        <w:t>“.</w:t>
      </w:r>
    </w:p>
    <w:p w:rsidR="00E4163C" w:rsidRPr="000056CC" w:rsidRDefault="00E4163C" w:rsidP="003B471C">
      <w:pPr>
        <w:tabs>
          <w:tab w:val="left" w:pos="567"/>
        </w:tabs>
        <w:spacing w:before="120" w:after="120" w:line="360" w:lineRule="auto"/>
        <w:jc w:val="both"/>
        <w:rPr>
          <w:szCs w:val="24"/>
        </w:rPr>
      </w:pPr>
      <w:r w:rsidRPr="000056CC">
        <w:t>7)</w:t>
      </w:r>
      <w:r w:rsidRPr="000056CC">
        <w:tab/>
        <w:t>Artiklit 13 muudetakse järgmiselt:</w:t>
      </w:r>
    </w:p>
    <w:p w:rsidR="00E4163C" w:rsidRPr="000056CC" w:rsidRDefault="00E4163C" w:rsidP="003B471C">
      <w:pPr>
        <w:spacing w:before="120" w:after="120" w:line="360" w:lineRule="auto"/>
        <w:ind w:left="1134" w:hanging="567"/>
        <w:jc w:val="both"/>
        <w:rPr>
          <w:szCs w:val="24"/>
        </w:rPr>
      </w:pPr>
      <w:r w:rsidRPr="000056CC">
        <w:t>a)</w:t>
      </w:r>
      <w:r w:rsidRPr="000056CC">
        <w:tab/>
        <w:t>lõiget 1 muudetakse järgmiselt:</w:t>
      </w:r>
    </w:p>
    <w:p w:rsidR="00E4163C" w:rsidRPr="000056CC" w:rsidRDefault="00E4163C" w:rsidP="003B471C">
      <w:pPr>
        <w:spacing w:before="120" w:after="120" w:line="360" w:lineRule="auto"/>
        <w:ind w:left="1701" w:hanging="567"/>
        <w:jc w:val="both"/>
        <w:rPr>
          <w:b/>
          <w:i/>
          <w:szCs w:val="24"/>
        </w:rPr>
      </w:pPr>
      <w:r w:rsidRPr="000056CC">
        <w:rPr>
          <w:b/>
          <w:i/>
          <w:szCs w:val="24"/>
        </w:rPr>
        <w:t>-i)</w:t>
      </w:r>
      <w:r w:rsidRPr="000056CC">
        <w:rPr>
          <w:b/>
          <w:i/>
          <w:szCs w:val="24"/>
        </w:rPr>
        <w:tab/>
        <w:t>punkt a asendatakse järgmisega:</w:t>
      </w:r>
    </w:p>
    <w:p w:rsidR="00E4163C" w:rsidRPr="000056CC" w:rsidRDefault="00E4163C" w:rsidP="003B471C">
      <w:pPr>
        <w:spacing w:before="120" w:after="120" w:line="360" w:lineRule="auto"/>
        <w:ind w:left="2268" w:hanging="567"/>
        <w:jc w:val="both"/>
        <w:rPr>
          <w:szCs w:val="24"/>
        </w:rPr>
      </w:pPr>
      <w:r w:rsidRPr="000056CC">
        <w:rPr>
          <w:b/>
          <w:i/>
          <w:szCs w:val="24"/>
        </w:rPr>
        <w:t>„</w:t>
      </w:r>
      <w:r w:rsidRPr="000056CC">
        <w:t>a)</w:t>
      </w:r>
      <w:r w:rsidRPr="000056CC">
        <w:tab/>
        <w:t>iga liikmesriigi keskpanga esindaja▌;</w:t>
      </w:r>
      <w:r w:rsidRPr="000056CC">
        <w:rPr>
          <w:b/>
          <w:i/>
          <w:szCs w:val="24"/>
        </w:rPr>
        <w:t>“;</w:t>
      </w:r>
    </w:p>
    <w:p w:rsidR="00E4163C" w:rsidRPr="000056CC" w:rsidRDefault="00E4163C" w:rsidP="003B471C">
      <w:pPr>
        <w:spacing w:before="120" w:after="120" w:line="360" w:lineRule="auto"/>
        <w:ind w:left="1701" w:hanging="567"/>
        <w:jc w:val="both"/>
        <w:rPr>
          <w:szCs w:val="24"/>
        </w:rPr>
      </w:pPr>
      <w:r w:rsidRPr="000056CC">
        <w:t xml:space="preserve"> i)</w:t>
      </w:r>
      <w:r w:rsidRPr="000056CC">
        <w:tab/>
        <w:t>punkt f asendatakse järgmisega:</w:t>
      </w:r>
    </w:p>
    <w:p w:rsidR="00E4163C" w:rsidRPr="000056CC" w:rsidRDefault="00E4163C" w:rsidP="003B471C">
      <w:pPr>
        <w:spacing w:before="120" w:after="120" w:line="360" w:lineRule="auto"/>
        <w:ind w:left="2268" w:hanging="567"/>
        <w:jc w:val="both"/>
        <w:rPr>
          <w:szCs w:val="24"/>
        </w:rPr>
      </w:pPr>
      <w:r w:rsidRPr="000056CC">
        <w:t>„f)</w:t>
      </w:r>
      <w:r w:rsidRPr="000056CC">
        <w:tab/>
        <w:t>komisjoni esindaja;“;</w:t>
      </w:r>
    </w:p>
    <w:p w:rsidR="00E4163C" w:rsidRPr="000056CC" w:rsidRDefault="00E4163C" w:rsidP="003B471C">
      <w:pPr>
        <w:spacing w:before="120" w:after="120" w:line="360" w:lineRule="auto"/>
        <w:ind w:left="1701" w:hanging="567"/>
        <w:jc w:val="both"/>
        <w:rPr>
          <w:szCs w:val="24"/>
        </w:rPr>
      </w:pPr>
      <w:r w:rsidRPr="000056CC">
        <w:t>ii)</w:t>
      </w:r>
      <w:r w:rsidRPr="000056CC">
        <w:tab/>
        <w:t>lisatakse järgmised punktid fa ja fb:</w:t>
      </w:r>
    </w:p>
    <w:p w:rsidR="00E4163C" w:rsidRPr="000056CC" w:rsidRDefault="00E4163C" w:rsidP="003B471C">
      <w:pPr>
        <w:spacing w:before="120" w:after="120" w:line="360" w:lineRule="auto"/>
        <w:ind w:left="2268" w:hanging="567"/>
        <w:jc w:val="both"/>
        <w:rPr>
          <w:szCs w:val="24"/>
        </w:rPr>
      </w:pPr>
      <w:r w:rsidRPr="000056CC">
        <w:t>„fa)</w:t>
      </w:r>
      <w:r w:rsidRPr="000056CC">
        <w:tab/>
        <w:t>EKP järelevalvenõukogu esindaja;</w:t>
      </w:r>
    </w:p>
    <w:p w:rsidR="00E4163C" w:rsidRPr="000056CC" w:rsidRDefault="00E4163C" w:rsidP="003B471C">
      <w:pPr>
        <w:spacing w:before="120" w:after="120" w:line="360" w:lineRule="auto"/>
        <w:ind w:left="2268" w:hanging="567"/>
        <w:jc w:val="both"/>
        <w:rPr>
          <w:szCs w:val="24"/>
        </w:rPr>
      </w:pPr>
      <w:r w:rsidRPr="000056CC">
        <w:t>fb)</w:t>
      </w:r>
      <w:r w:rsidRPr="000056CC">
        <w:tab/>
        <w:t>Ühtse Kriisilahendusnõukogu esindaja;“;</w:t>
      </w:r>
    </w:p>
    <w:p w:rsidR="00E4163C" w:rsidRPr="000056CC" w:rsidRDefault="00E4163C" w:rsidP="003B471C">
      <w:pPr>
        <w:spacing w:before="120" w:after="120" w:line="360" w:lineRule="auto"/>
        <w:ind w:left="1134" w:hanging="567"/>
        <w:jc w:val="both"/>
        <w:rPr>
          <w:b/>
          <w:i/>
          <w:szCs w:val="24"/>
        </w:rPr>
      </w:pPr>
      <w:r w:rsidRPr="000056CC">
        <w:rPr>
          <w:b/>
          <w:i/>
          <w:szCs w:val="24"/>
        </w:rPr>
        <w:t>a a)</w:t>
      </w:r>
      <w:r w:rsidRPr="000056CC">
        <w:rPr>
          <w:b/>
          <w:i/>
          <w:szCs w:val="24"/>
        </w:rPr>
        <w:tab/>
        <w:t>lõige 3 asendatakse järgmisega:</w:t>
      </w:r>
    </w:p>
    <w:p w:rsidR="00E4163C" w:rsidRPr="000056CC" w:rsidRDefault="00E4163C" w:rsidP="003B471C">
      <w:pPr>
        <w:tabs>
          <w:tab w:val="left" w:pos="1701"/>
        </w:tabs>
        <w:spacing w:before="120" w:after="120" w:line="360" w:lineRule="auto"/>
        <w:ind w:left="1134"/>
        <w:jc w:val="both"/>
        <w:rPr>
          <w:szCs w:val="24"/>
        </w:rPr>
      </w:pPr>
      <w:r w:rsidRPr="000056CC">
        <w:rPr>
          <w:b/>
          <w:i/>
          <w:szCs w:val="24"/>
        </w:rPr>
        <w:t>„</w:t>
      </w:r>
      <w:r w:rsidRPr="000056CC">
        <w:t>3.</w:t>
      </w:r>
      <w:r w:rsidRPr="000056CC">
        <w:tab/>
        <w:t xml:space="preserve">Tehniline nõuandekomitee nõustab ja toetab Euroopa Süsteemsete Riskide Nõukogu vastavalt artikli 4 lõikele 5 Euroopa Süsteemsete Riskide Nõukogu eesistuja </w:t>
      </w:r>
      <w:r w:rsidRPr="000056CC">
        <w:rPr>
          <w:b/>
          <w:i/>
          <w:szCs w:val="24"/>
        </w:rPr>
        <w:t>või haldusnõukogu</w:t>
      </w:r>
      <w:r w:rsidRPr="000056CC">
        <w:t xml:space="preserve"> taotluse alusel.</w:t>
      </w:r>
      <w:r w:rsidRPr="000056CC">
        <w:rPr>
          <w:b/>
          <w:i/>
          <w:szCs w:val="24"/>
        </w:rPr>
        <w:t>“;</w:t>
      </w:r>
    </w:p>
    <w:p w:rsidR="00E4163C" w:rsidRPr="000056CC" w:rsidRDefault="00E4163C" w:rsidP="003B471C">
      <w:pPr>
        <w:spacing w:before="120" w:after="120" w:line="360" w:lineRule="auto"/>
        <w:ind w:left="1134" w:hanging="567"/>
        <w:jc w:val="both"/>
        <w:rPr>
          <w:szCs w:val="24"/>
        </w:rPr>
      </w:pPr>
      <w:r w:rsidRPr="000056CC">
        <w:t>b)</w:t>
      </w:r>
      <w:r w:rsidRPr="000056CC">
        <w:tab/>
        <w:t>lisatakse järgmine lõige 4a:</w:t>
      </w:r>
    </w:p>
    <w:p w:rsidR="00E4163C" w:rsidRPr="000056CC" w:rsidRDefault="00E4163C" w:rsidP="003B471C">
      <w:pPr>
        <w:tabs>
          <w:tab w:val="left" w:pos="1701"/>
        </w:tabs>
        <w:spacing w:before="120" w:after="120" w:line="360" w:lineRule="auto"/>
        <w:ind w:left="1134"/>
        <w:jc w:val="both"/>
        <w:rPr>
          <w:szCs w:val="24"/>
        </w:rPr>
      </w:pPr>
      <w:r w:rsidRPr="000056CC">
        <w:t>„4a.</w:t>
      </w:r>
      <w:r w:rsidRPr="000056CC">
        <w:tab/>
        <w:t xml:space="preserve">Vajaduse korral konsulteerib tehniline nõuandekomitee varajases etapis ning avatud ja läbipaistval viisil sidusrühmadega, võttes seejuures arvesse konfidentsiaalsusnõuet. </w:t>
      </w:r>
      <w:r w:rsidRPr="000056CC">
        <w:rPr>
          <w:b/>
          <w:i/>
          <w:szCs w:val="24"/>
        </w:rPr>
        <w:t>Niisuguseid konsultatsioone peetakse võimalikult laialdaselt, et tagada kõiki huvitatud isikuid ja asjaomaseid finantssektoreid kaasav lähenemisviis, ning nende raames antakse sidusrühmadele mõistlik aeg vastamiseks.</w:t>
      </w:r>
      <w:r w:rsidRPr="000056CC">
        <w:t>“.</w:t>
      </w:r>
    </w:p>
    <w:p w:rsidR="00E4163C" w:rsidRPr="000056CC" w:rsidRDefault="00E4163C" w:rsidP="003B471C">
      <w:pPr>
        <w:tabs>
          <w:tab w:val="left" w:pos="567"/>
        </w:tabs>
        <w:spacing w:before="120" w:after="120" w:line="360" w:lineRule="auto"/>
        <w:jc w:val="both"/>
        <w:rPr>
          <w:b/>
          <w:i/>
          <w:szCs w:val="24"/>
        </w:rPr>
      </w:pPr>
      <w:r w:rsidRPr="000056CC">
        <w:rPr>
          <w:b/>
          <w:i/>
          <w:szCs w:val="24"/>
        </w:rPr>
        <w:t>7 a)</w:t>
      </w:r>
      <w:r w:rsidRPr="000056CC">
        <w:rPr>
          <w:b/>
          <w:i/>
          <w:szCs w:val="24"/>
        </w:rPr>
        <w:tab/>
        <w:t>Artikkel 14 asendatakse järgmisega:</w:t>
      </w:r>
    </w:p>
    <w:p w:rsidR="00E4163C" w:rsidRPr="000056CC" w:rsidRDefault="00E4163C" w:rsidP="003B471C">
      <w:pPr>
        <w:tabs>
          <w:tab w:val="left" w:pos="1701"/>
        </w:tabs>
        <w:spacing w:before="120" w:after="120" w:line="360" w:lineRule="auto"/>
        <w:ind w:left="1134"/>
        <w:jc w:val="both"/>
        <w:rPr>
          <w:szCs w:val="24"/>
        </w:rPr>
      </w:pPr>
      <w:r w:rsidRPr="000056CC">
        <w:rPr>
          <w:b/>
          <w:i/>
          <w:szCs w:val="24"/>
        </w:rPr>
        <w:lastRenderedPageBreak/>
        <w:t>„</w:t>
      </w:r>
      <w:r w:rsidRPr="000056CC">
        <w:t>Artikli 3 lõikes 2 sätestatud ülesannete täitmisel küsib Euroopa Süsteemsete Riskide Nõukogu vajaduse korral asjaomastelt erasektori sidusrühmadelt nende arvamust.</w:t>
      </w:r>
      <w:r w:rsidRPr="000056CC">
        <w:rPr>
          <w:b/>
          <w:i/>
        </w:rPr>
        <w:t xml:space="preserve"> </w:t>
      </w:r>
      <w:r w:rsidRPr="000056CC">
        <w:rPr>
          <w:b/>
          <w:i/>
          <w:szCs w:val="24"/>
        </w:rPr>
        <w:t>Niisuguseid konsultatsioone peetakse võimalikult laialdaselt, et tagada kõiki huvitatud isikuid ja asjaomaseid finantssektoreid kaasav lähenemisviis, ning nende raames antakse sidusrühmadele mõistlik aeg vastamiseks.“.</w:t>
      </w:r>
    </w:p>
    <w:p w:rsidR="00E4163C" w:rsidRPr="000056CC" w:rsidRDefault="00E4163C" w:rsidP="003B471C">
      <w:pPr>
        <w:tabs>
          <w:tab w:val="left" w:pos="567"/>
        </w:tabs>
        <w:spacing w:before="120" w:after="120" w:line="360" w:lineRule="auto"/>
        <w:jc w:val="both"/>
        <w:rPr>
          <w:b/>
          <w:i/>
          <w:szCs w:val="24"/>
        </w:rPr>
      </w:pPr>
      <w:r w:rsidRPr="000056CC">
        <w:rPr>
          <w:b/>
          <w:i/>
          <w:szCs w:val="24"/>
        </w:rPr>
        <w:t>7 b)</w:t>
      </w:r>
      <w:r w:rsidRPr="000056CC">
        <w:rPr>
          <w:b/>
          <w:i/>
          <w:szCs w:val="24"/>
        </w:rPr>
        <w:tab/>
        <w:t>Artikli 15 lõige 7 asendatakse järgmisega:</w:t>
      </w:r>
    </w:p>
    <w:p w:rsidR="00E4163C" w:rsidRPr="000056CC" w:rsidRDefault="00E4163C" w:rsidP="003B471C">
      <w:pPr>
        <w:tabs>
          <w:tab w:val="left" w:pos="1701"/>
        </w:tabs>
        <w:spacing w:before="120" w:after="120" w:line="360" w:lineRule="auto"/>
        <w:ind w:left="1134"/>
        <w:jc w:val="both"/>
        <w:rPr>
          <w:szCs w:val="24"/>
        </w:rPr>
      </w:pPr>
      <w:r w:rsidRPr="000056CC">
        <w:rPr>
          <w:b/>
          <w:i/>
          <w:szCs w:val="24"/>
        </w:rPr>
        <w:t>„</w:t>
      </w:r>
      <w:r w:rsidRPr="000056CC">
        <w:t>7.</w:t>
      </w:r>
      <w:r w:rsidRPr="000056CC">
        <w:tab/>
        <w:t xml:space="preserve">Euroopa Süsteemsete Riskide Nõukogu konsulteerib enne iga niisuguse taotluse esitamist, mis käsitleb </w:t>
      </w:r>
      <w:r w:rsidRPr="000056CC">
        <w:rPr>
          <w:b/>
          <w:i/>
          <w:szCs w:val="24"/>
        </w:rPr>
        <w:t>järelevalvealaseid</w:t>
      </w:r>
      <w:r w:rsidRPr="000056CC">
        <w:t xml:space="preserve"> andmeid, mis ei ole esitatud kokkuvõtlikul kujul või koondatuna, nõuetekohaselt asjaomase Euroopa järelevalveasutusega, et tagada taotluse põhjendatus ja proportsionaalsus. Kui asjaomane Euroopa järelevalveasutus on seisukohal, et taotlus ei ole põhjendatud ja proportsionaalne, saadab ta taotluse viivitamata Euroopa Süsteemsete Riskide Nõukogule tagasi ja palub esitada täiendavaid põhjendusi. Pärast seda, kui Euroopa Süsteemsete Riskide Nõukogu on asjaomasele Euroopa järelevalveasutusele esitanud sellised täiendavad põhjendused, edastab taotluse adressaat taotletud teabe Euroopa Süsteemsete Riskide Nõukogule, tingimusel et adressaadil on õiguslikult tagatud juurdepääs asjaomasele teabele.</w:t>
      </w:r>
      <w:r w:rsidRPr="000056CC">
        <w:rPr>
          <w:b/>
          <w:i/>
          <w:szCs w:val="24"/>
        </w:rPr>
        <w:t>“.</w:t>
      </w:r>
    </w:p>
    <w:p w:rsidR="00E4163C" w:rsidRPr="000056CC" w:rsidRDefault="00E4163C" w:rsidP="003B471C">
      <w:pPr>
        <w:tabs>
          <w:tab w:val="left" w:pos="567"/>
        </w:tabs>
        <w:spacing w:before="120" w:after="120" w:line="360" w:lineRule="auto"/>
        <w:jc w:val="both"/>
        <w:rPr>
          <w:szCs w:val="24"/>
        </w:rPr>
      </w:pPr>
      <w:r w:rsidRPr="000056CC">
        <w:t>8)</w:t>
      </w:r>
      <w:r w:rsidRPr="000056CC">
        <w:tab/>
        <w:t>Artiklit 16 muudetakse järgmiselt:</w:t>
      </w:r>
    </w:p>
    <w:p w:rsidR="00E4163C" w:rsidRPr="000056CC" w:rsidRDefault="00E4163C" w:rsidP="003B471C">
      <w:pPr>
        <w:spacing w:before="120" w:after="120" w:line="360" w:lineRule="auto"/>
        <w:ind w:left="1134" w:hanging="567"/>
        <w:jc w:val="both"/>
        <w:rPr>
          <w:szCs w:val="24"/>
        </w:rPr>
      </w:pPr>
      <w:r w:rsidRPr="000056CC">
        <w:t>a)</w:t>
      </w:r>
      <w:r w:rsidRPr="000056CC">
        <w:tab/>
        <w:t>lõike 2 esimene lause asendatakse järgmisega:</w:t>
      </w:r>
    </w:p>
    <w:p w:rsidR="00E4163C" w:rsidRPr="000056CC" w:rsidRDefault="00E4163C" w:rsidP="003B471C">
      <w:pPr>
        <w:spacing w:before="120" w:after="120" w:line="360" w:lineRule="auto"/>
        <w:ind w:left="1134"/>
        <w:jc w:val="both"/>
        <w:rPr>
          <w:szCs w:val="24"/>
        </w:rPr>
      </w:pPr>
      <w:r w:rsidRPr="000056CC">
        <w:t xml:space="preserve">„Euroopa Süsteemsete Riskide Nõukogu hoiatused ja soovitused, mis on antud välja vastavalt artikli 3 lõike 2 punktidele c ja d, võivad olla üldised või konkreetsed ning on adresseeritud eelkõige liidule, ühele või mitmele liikmesriigile, ühele või mitmele Euroopa järelevalveasutusele või ühele või mitmele liikmesriigi pädevale asutusele või </w:t>
      </w:r>
      <w:r w:rsidRPr="000056CC">
        <w:rPr>
          <w:b/>
          <w:i/>
          <w:szCs w:val="24"/>
        </w:rPr>
        <w:t>kriisilahendusasutusele,</w:t>
      </w:r>
      <w:r w:rsidRPr="000056CC">
        <w:t xml:space="preserve"> EKP-le määruse (EL) nr 1024/2013 artikli 4 lõigetega 1 ja 2 ning artikli 5 lõikega 2 EKP</w:t>
      </w:r>
      <w:r w:rsidRPr="000056CC">
        <w:noBreakHyphen/>
        <w:t xml:space="preserve">le antud ülesannete täitmiseks </w:t>
      </w:r>
      <w:r w:rsidRPr="000056CC">
        <w:rPr>
          <w:b/>
          <w:i/>
          <w:szCs w:val="24"/>
        </w:rPr>
        <w:t>või Ühtsele Kriisilahendusnõukogule</w:t>
      </w:r>
      <w:r w:rsidRPr="000056CC">
        <w:t>.</w:t>
      </w:r>
      <w:r w:rsidRPr="000056CC">
        <w:rPr>
          <w:b/>
          <w:i/>
          <w:szCs w:val="24"/>
        </w:rPr>
        <w:t xml:space="preserve"> Kui hoiatus või soovitus on adresseeritud ühele või mitmele liikmesriigi järelevalveasutusele, teavitatakse sellest ka asjaomast liikmesriiki või asjaomaseid liikmesriike. Soovitused sisaldavad kindlaksmääratud tähtaega </w:t>
      </w:r>
      <w:r w:rsidRPr="000056CC">
        <w:rPr>
          <w:b/>
          <w:i/>
          <w:szCs w:val="24"/>
        </w:rPr>
        <w:lastRenderedPageBreak/>
        <w:t>nendele poliitiliselt reageerimiseks. Soovitused võivad seoses asjakohaste liidu õigusaktidega olla adresseeritud ka komisjonile. Hoiatused ja soovitused peavad olema piisavalt üksikasjalikud ja põhjendatud ning nendega peab kaasnema asjakohane ja põhjalik põhjendus.</w:t>
      </w:r>
      <w:r w:rsidRPr="000056CC">
        <w:t>“;</w:t>
      </w:r>
    </w:p>
    <w:p w:rsidR="00E4163C" w:rsidRPr="000056CC" w:rsidRDefault="00E4163C" w:rsidP="003B471C">
      <w:pPr>
        <w:spacing w:before="120" w:after="120" w:line="360" w:lineRule="auto"/>
        <w:ind w:left="1134" w:hanging="567"/>
        <w:jc w:val="both"/>
        <w:rPr>
          <w:szCs w:val="24"/>
        </w:rPr>
      </w:pPr>
      <w:r w:rsidRPr="000056CC">
        <w:t>b)</w:t>
      </w:r>
      <w:r w:rsidRPr="000056CC">
        <w:tab/>
        <w:t>lõige 3 asendatakse järgmisega:</w:t>
      </w:r>
    </w:p>
    <w:p w:rsidR="00E4163C" w:rsidRPr="000056CC" w:rsidRDefault="00E4163C" w:rsidP="003B471C">
      <w:pPr>
        <w:tabs>
          <w:tab w:val="left" w:pos="1701"/>
        </w:tabs>
        <w:spacing w:before="120" w:after="120" w:line="360" w:lineRule="auto"/>
        <w:ind w:left="1134"/>
        <w:jc w:val="both"/>
        <w:rPr>
          <w:szCs w:val="24"/>
        </w:rPr>
      </w:pPr>
      <w:r w:rsidRPr="000056CC">
        <w:t>„3.</w:t>
      </w:r>
      <w:r w:rsidRPr="000056CC">
        <w:tab/>
        <w:t xml:space="preserve">Samal ajal kui hoiatused ja soovitused edastatakse lõike 2 kohaselt adressaatidele, edastatakse need ka kooskõlas rangete konfidentsiaalsusnõuetega nõukogule, Euroopa Parlamendile, komisjonile ja Euroopa järelevalveasutustele.“. </w:t>
      </w:r>
    </w:p>
    <w:p w:rsidR="00E4163C" w:rsidRPr="000056CC" w:rsidRDefault="00E4163C" w:rsidP="003B471C">
      <w:pPr>
        <w:tabs>
          <w:tab w:val="left" w:pos="567"/>
        </w:tabs>
        <w:spacing w:before="120" w:after="120" w:line="360" w:lineRule="auto"/>
        <w:jc w:val="both"/>
        <w:rPr>
          <w:szCs w:val="24"/>
        </w:rPr>
      </w:pPr>
      <w:r w:rsidRPr="000056CC">
        <w:t>9)</w:t>
      </w:r>
      <w:r w:rsidRPr="000056CC">
        <w:tab/>
        <w:t>Artikli 17 lõiked 1 ja 2 asendatakse järgmistega:</w:t>
      </w:r>
    </w:p>
    <w:p w:rsidR="00E4163C" w:rsidRPr="000056CC" w:rsidRDefault="00E4163C" w:rsidP="003B471C">
      <w:pPr>
        <w:tabs>
          <w:tab w:val="left" w:pos="1701"/>
        </w:tabs>
        <w:spacing w:before="120" w:after="120" w:line="360" w:lineRule="auto"/>
        <w:ind w:left="1134"/>
        <w:jc w:val="both"/>
        <w:rPr>
          <w:szCs w:val="24"/>
        </w:rPr>
      </w:pPr>
      <w:r w:rsidRPr="000056CC">
        <w:t>„1.</w:t>
      </w:r>
      <w:r w:rsidRPr="000056CC">
        <w:tab/>
        <w:t>Kui artikli 3 lõike 2 punktis d osutatud soovitus on adresseeritud komisjonile, ühele või mitmele liikmesriigile, ühele või mitmele Euroopa järelevalveasutusele või ühele või mitmele liikmesriigi pädevale asutusele, teatavad adressaadid soovituse alusel võetud meetmetest Euroopa Parlamendile, nõukogule</w:t>
      </w:r>
      <w:r w:rsidRPr="000056CC">
        <w:rPr>
          <w:b/>
          <w:i/>
          <w:szCs w:val="24"/>
        </w:rPr>
        <w:t>, komisjonile</w:t>
      </w:r>
      <w:r w:rsidRPr="000056CC">
        <w:t xml:space="preserve"> ja Euroopa Süsteemsete Riskide Nõukogule ning esitavad meetmete võtmata jätmise korral põhjendused. Vajaduse korral teavitab Euroopa Süsteemsete Riskide Nõukogu kooskõlas range konfidentsiaalsusnõudega viivitamata Euroopa järelevalveasutusi saadud vastustest.</w:t>
      </w:r>
    </w:p>
    <w:p w:rsidR="00E4163C" w:rsidRPr="000056CC" w:rsidRDefault="00E4163C" w:rsidP="003B471C">
      <w:pPr>
        <w:tabs>
          <w:tab w:val="left" w:pos="1701"/>
        </w:tabs>
        <w:spacing w:before="120" w:after="120" w:line="360" w:lineRule="auto"/>
        <w:ind w:left="1134"/>
        <w:jc w:val="both"/>
        <w:rPr>
          <w:szCs w:val="24"/>
        </w:rPr>
      </w:pPr>
      <w:r w:rsidRPr="000056CC">
        <w:t>2.</w:t>
      </w:r>
      <w:r w:rsidRPr="000056CC">
        <w:tab/>
        <w:t>Kui Euroopa Süsteemsete Riskide Nõukogu otsustab, et soovitust ei ole järgitud või adressaatide põhjendused meetmete võtmata jätmise kohta ei ole piisavad, teavitab Euroopa Süsteemsete Riskide Nõukogu sellest kooskõlas range konfidentsiaalsusnõudega adressaate, Euroopa Parlamenti, nõukogu</w:t>
      </w:r>
      <w:r w:rsidRPr="000056CC">
        <w:rPr>
          <w:b/>
          <w:i/>
          <w:szCs w:val="24"/>
        </w:rPr>
        <w:t>, komisjoni</w:t>
      </w:r>
      <w:r w:rsidRPr="000056CC">
        <w:t xml:space="preserve"> ja asjaomaseid Euroopa järelevalveasutusi.“.</w:t>
      </w:r>
    </w:p>
    <w:p w:rsidR="00E4163C" w:rsidRPr="000056CC" w:rsidRDefault="00E4163C" w:rsidP="003B471C">
      <w:pPr>
        <w:spacing w:before="120" w:after="120" w:line="360" w:lineRule="auto"/>
        <w:ind w:left="567" w:hanging="567"/>
        <w:jc w:val="both"/>
        <w:rPr>
          <w:b/>
          <w:i/>
          <w:szCs w:val="24"/>
        </w:rPr>
      </w:pPr>
      <w:r w:rsidRPr="000056CC">
        <w:rPr>
          <w:b/>
          <w:i/>
          <w:szCs w:val="24"/>
        </w:rPr>
        <w:t>9 a)</w:t>
      </w:r>
      <w:r w:rsidRPr="000056CC">
        <w:rPr>
          <w:b/>
          <w:i/>
          <w:szCs w:val="24"/>
        </w:rPr>
        <w:tab/>
        <w:t>Artiklit 19 muudetakse järgmiselt:</w:t>
      </w:r>
    </w:p>
    <w:p w:rsidR="00E4163C" w:rsidRPr="000056CC" w:rsidRDefault="00E4163C" w:rsidP="003B471C">
      <w:pPr>
        <w:spacing w:before="120" w:after="120" w:line="360" w:lineRule="auto"/>
        <w:ind w:left="1134" w:hanging="567"/>
        <w:jc w:val="both"/>
        <w:rPr>
          <w:b/>
          <w:i/>
          <w:szCs w:val="24"/>
        </w:rPr>
      </w:pPr>
      <w:r w:rsidRPr="000056CC">
        <w:rPr>
          <w:b/>
          <w:i/>
          <w:szCs w:val="24"/>
        </w:rPr>
        <w:t>a)</w:t>
      </w:r>
      <w:r w:rsidRPr="000056CC">
        <w:rPr>
          <w:b/>
          <w:i/>
          <w:szCs w:val="24"/>
        </w:rPr>
        <w:tab/>
        <w:t>lõiked 1 ja 2 asendatakse järgmistega:</w:t>
      </w:r>
    </w:p>
    <w:p w:rsidR="00E4163C" w:rsidRPr="000056CC" w:rsidRDefault="00E4163C" w:rsidP="003B471C">
      <w:pPr>
        <w:tabs>
          <w:tab w:val="left" w:pos="1701"/>
        </w:tabs>
        <w:spacing w:before="120" w:after="120" w:line="360" w:lineRule="auto"/>
        <w:ind w:left="1134"/>
        <w:jc w:val="both"/>
        <w:rPr>
          <w:szCs w:val="24"/>
        </w:rPr>
      </w:pPr>
      <w:r w:rsidRPr="000056CC">
        <w:rPr>
          <w:b/>
          <w:i/>
          <w:szCs w:val="24"/>
        </w:rPr>
        <w:t>„</w:t>
      </w:r>
      <w:r w:rsidRPr="000056CC">
        <w:t>1.</w:t>
      </w:r>
      <w:r w:rsidRPr="000056CC">
        <w:tab/>
        <w:t xml:space="preserve">Vähemalt kord aastas, kuid ulatuslike finantsprobleemide korral sagedamini, </w:t>
      </w:r>
      <w:r w:rsidRPr="000056CC">
        <w:rPr>
          <w:b/>
          <w:i/>
          <w:szCs w:val="24"/>
        </w:rPr>
        <w:t>kutsub Euroopa Parlamendi pädev komisjon</w:t>
      </w:r>
      <w:r w:rsidRPr="000056CC">
        <w:t xml:space="preserve"> Euroopa Süsteemsete Riskide Nõukogu eesistuja Euroopa Parlamenti iga-aastasele kuulamisele, mis on seotud Euroopa Parlamendile ja nõukogule esitatava Euroopa Süsteemsete Riskide </w:t>
      </w:r>
      <w:r w:rsidRPr="000056CC">
        <w:lastRenderedPageBreak/>
        <w:t>Nõukogu aastaaruande avaldamisega. Kõnealune kuulamine toimub muul ajal kui Euroopa Parlamendi ja EKP presidendi vaheline rahandusalane dialoog.</w:t>
      </w:r>
    </w:p>
    <w:p w:rsidR="00E4163C" w:rsidRPr="000056CC" w:rsidRDefault="00E4163C" w:rsidP="003B471C">
      <w:pPr>
        <w:tabs>
          <w:tab w:val="left" w:pos="1701"/>
        </w:tabs>
        <w:spacing w:before="120" w:after="120" w:line="360" w:lineRule="auto"/>
        <w:ind w:left="1134"/>
        <w:jc w:val="both"/>
        <w:rPr>
          <w:szCs w:val="24"/>
        </w:rPr>
      </w:pPr>
      <w:r w:rsidRPr="000056CC">
        <w:t>2.</w:t>
      </w:r>
      <w:r w:rsidRPr="000056CC">
        <w:tab/>
        <w:t>Lõikes 1 osutatud aastaaruanne sisaldab teavet, mille haldusnõukogu otsustab vastavalt artiklile 18 avalikustada. Aastaaruanne tehakse avalikkusele kättesaadavaks.</w:t>
      </w:r>
      <w:r w:rsidRPr="000056CC">
        <w:rPr>
          <w:b/>
          <w:i/>
        </w:rPr>
        <w:t xml:space="preserve"> </w:t>
      </w:r>
      <w:r w:rsidRPr="000056CC">
        <w:rPr>
          <w:b/>
          <w:i/>
          <w:szCs w:val="24"/>
        </w:rPr>
        <w:t>See hõlmab ülevaadet määruse (EL) nr 1096/2010 artikli 3 lõike 1 kohaselt Euroopa Süsteemsete Riskide Nõukogule kättesaadavaks tehtud ressurssidest.“;</w:t>
      </w:r>
      <w:r w:rsidRPr="000056CC">
        <w:t xml:space="preserve"> </w:t>
      </w:r>
    </w:p>
    <w:p w:rsidR="00E4163C" w:rsidRPr="000056CC" w:rsidRDefault="00E4163C" w:rsidP="003B471C">
      <w:pPr>
        <w:spacing w:before="120" w:after="120" w:line="360" w:lineRule="auto"/>
        <w:ind w:left="1134" w:hanging="567"/>
        <w:jc w:val="both"/>
        <w:rPr>
          <w:b/>
          <w:i/>
          <w:szCs w:val="24"/>
        </w:rPr>
      </w:pPr>
      <w:r w:rsidRPr="000056CC">
        <w:rPr>
          <w:b/>
          <w:i/>
          <w:szCs w:val="24"/>
        </w:rPr>
        <w:t>b)</w:t>
      </w:r>
      <w:r w:rsidRPr="000056CC">
        <w:rPr>
          <w:b/>
          <w:i/>
          <w:szCs w:val="24"/>
        </w:rPr>
        <w:tab/>
        <w:t>lisatakse järgmine lõige:</w:t>
      </w:r>
    </w:p>
    <w:p w:rsidR="00E4163C" w:rsidRPr="000056CC" w:rsidRDefault="00E4163C" w:rsidP="003B471C">
      <w:pPr>
        <w:tabs>
          <w:tab w:val="left" w:pos="1701"/>
        </w:tabs>
        <w:spacing w:before="120" w:after="120" w:line="360" w:lineRule="auto"/>
        <w:ind w:left="1134"/>
        <w:jc w:val="both"/>
        <w:rPr>
          <w:b/>
          <w:i/>
          <w:szCs w:val="24"/>
        </w:rPr>
      </w:pPr>
      <w:r w:rsidRPr="000056CC">
        <w:rPr>
          <w:b/>
          <w:i/>
          <w:szCs w:val="24"/>
        </w:rPr>
        <w:t>„5 a.</w:t>
      </w:r>
      <w:r w:rsidRPr="000056CC">
        <w:rPr>
          <w:b/>
          <w:i/>
          <w:szCs w:val="24"/>
        </w:rPr>
        <w:tab/>
        <w:t>Euroopa Süsteemsete Riskide Nõukogu vastab suuliselt või kirjalikult Euroopa Parlamendi või nõukogu esitatud küsimustele. Ta vastab küsimustele viivitamata ning igal juhul viie nädala jooksul alates nende Euroopa Süsteemsete Riskide Nõukogule edastamise kuupäevast.“.</w:t>
      </w:r>
    </w:p>
    <w:p w:rsidR="00E4163C" w:rsidRPr="000056CC" w:rsidRDefault="00E4163C" w:rsidP="003B471C">
      <w:pPr>
        <w:spacing w:before="120" w:after="120" w:line="360" w:lineRule="auto"/>
        <w:ind w:left="567" w:hanging="567"/>
        <w:jc w:val="both"/>
        <w:rPr>
          <w:szCs w:val="24"/>
        </w:rPr>
      </w:pPr>
      <w:r w:rsidRPr="000056CC">
        <w:t>10)</w:t>
      </w:r>
      <w:r w:rsidRPr="000056CC">
        <w:tab/>
        <w:t>Artikkel 20 asendatakse järgmisega:</w:t>
      </w:r>
    </w:p>
    <w:p w:rsidR="00E4163C" w:rsidRPr="000056CC" w:rsidRDefault="00E4163C" w:rsidP="003B471C">
      <w:pPr>
        <w:spacing w:before="120" w:after="120" w:line="360" w:lineRule="auto"/>
        <w:ind w:left="567"/>
        <w:jc w:val="both"/>
        <w:rPr>
          <w:szCs w:val="24"/>
        </w:rPr>
      </w:pPr>
      <w:r w:rsidRPr="000056CC">
        <w:t xml:space="preserve">„Mitte varem kui viis aastat pärast ... [ELT: palun sisestada jõustumiskuupäev] hindab komisjon käesolevat määrust ja esitab peamiste tulemuste kohta aruande Euroopa Parlamendile, nõukogule ning Euroopa Majandus- ja Sotsiaalkomiteele.“. </w:t>
      </w:r>
    </w:p>
    <w:p w:rsidR="00E4163C" w:rsidRPr="000056CC" w:rsidRDefault="00E4163C" w:rsidP="003B471C">
      <w:pPr>
        <w:pStyle w:val="Titrearticle"/>
        <w:spacing w:before="120" w:line="360" w:lineRule="auto"/>
        <w:rPr>
          <w:i w:val="0"/>
        </w:rPr>
      </w:pPr>
      <w:r w:rsidRPr="000056CC">
        <w:rPr>
          <w:i w:val="0"/>
        </w:rPr>
        <w:t>Artikkel 2</w:t>
      </w:r>
    </w:p>
    <w:p w:rsidR="00E4163C" w:rsidRPr="000056CC" w:rsidRDefault="00E4163C" w:rsidP="003B471C">
      <w:pPr>
        <w:spacing w:before="120" w:after="120" w:line="360" w:lineRule="auto"/>
      </w:pPr>
      <w:r w:rsidRPr="000056CC">
        <w:t xml:space="preserve">Käesolev määrus jõustub […] päeval pärast selle avaldamist </w:t>
      </w:r>
      <w:r w:rsidRPr="000056CC">
        <w:rPr>
          <w:i/>
        </w:rPr>
        <w:t>Euroopa Liidu Teatajas</w:t>
      </w:r>
      <w:r w:rsidRPr="000056CC">
        <w:t>.</w:t>
      </w:r>
    </w:p>
    <w:p w:rsidR="00E4163C" w:rsidRPr="000056CC" w:rsidRDefault="00E4163C" w:rsidP="003B471C">
      <w:pPr>
        <w:pStyle w:val="Applicationdirecte"/>
        <w:spacing w:before="120" w:line="360" w:lineRule="auto"/>
      </w:pPr>
      <w:r w:rsidRPr="000056CC">
        <w:t>Käesolev määrus on tervikuna siduv ja vahetult kohaldatav kõikides liikmesriikides.</w:t>
      </w:r>
    </w:p>
    <w:p w:rsidR="00E4163C" w:rsidRPr="000056CC" w:rsidRDefault="00E4163C" w:rsidP="003B471C">
      <w:pPr>
        <w:pStyle w:val="Fait"/>
        <w:spacing w:after="120" w:line="360" w:lineRule="auto"/>
      </w:pPr>
      <w:r w:rsidRPr="000056CC">
        <w:t>Brüssel,</w:t>
      </w:r>
    </w:p>
    <w:p w:rsidR="00E4163C" w:rsidRPr="000056CC" w:rsidRDefault="00E4163C" w:rsidP="003B471C">
      <w:pPr>
        <w:pStyle w:val="Institutionquisigne"/>
        <w:spacing w:line="360" w:lineRule="auto"/>
      </w:pPr>
      <w:r w:rsidRPr="000056CC">
        <w:t>Euroopa Parlamendi nimel</w:t>
      </w:r>
      <w:r w:rsidRPr="000056CC">
        <w:tab/>
        <w:t>Nõukogu nimel</w:t>
      </w:r>
    </w:p>
    <w:p w:rsidR="00E4163C" w:rsidRPr="000056CC" w:rsidRDefault="00E4163C" w:rsidP="003B471C">
      <w:pPr>
        <w:pStyle w:val="Personnequisigne"/>
        <w:spacing w:line="360" w:lineRule="auto"/>
      </w:pPr>
      <w:r w:rsidRPr="000056CC">
        <w:t>president</w:t>
      </w:r>
      <w:r w:rsidRPr="000056CC">
        <w:tab/>
        <w:t>eesistuja</w:t>
      </w:r>
    </w:p>
    <w:p w:rsidR="00E4163C" w:rsidRPr="000056CC" w:rsidRDefault="00E4163C" w:rsidP="003B471C">
      <w:pPr>
        <w:spacing w:line="360" w:lineRule="auto"/>
      </w:pPr>
    </w:p>
    <w:p w:rsidR="00E4163C" w:rsidRPr="000056CC" w:rsidRDefault="00E4163C" w:rsidP="003B471C">
      <w:pPr>
        <w:spacing w:line="360" w:lineRule="auto"/>
      </w:pPr>
    </w:p>
    <w:p w:rsidR="00E4163C" w:rsidRPr="000056CC" w:rsidRDefault="00E4163C" w:rsidP="003B471C">
      <w:pPr>
        <w:spacing w:line="360" w:lineRule="auto"/>
      </w:pPr>
    </w:p>
    <w:p w:rsidR="00E365E1" w:rsidRPr="000056CC" w:rsidRDefault="00E365E1" w:rsidP="003B471C">
      <w:pPr>
        <w:spacing w:line="360" w:lineRule="auto"/>
      </w:pPr>
      <w:bookmarkStart w:id="1" w:name="TextBodyEnd"/>
      <w:bookmarkEnd w:id="1"/>
    </w:p>
    <w:sectPr w:rsidR="00E365E1" w:rsidRPr="000056CC" w:rsidSect="00A55861">
      <w:headerReference w:type="even" r:id="rId7"/>
      <w:headerReference w:type="default" r:id="rId8"/>
      <w:footerReference w:type="even" r:id="rId9"/>
      <w:footerReference w:type="default" r:id="rId10"/>
      <w:headerReference w:type="first" r:id="rId11"/>
      <w:footerReference w:type="first" r:id="rId12"/>
      <w:footnotePr>
        <w:numRestart w:val="eachPage"/>
      </w:footnotePr>
      <w:endnotePr>
        <w:numFmt w:val="decimal"/>
      </w:endnotePr>
      <w:pgSz w:w="11906" w:h="16838" w:code="9"/>
      <w:pgMar w:top="1134" w:right="1418" w:bottom="1418" w:left="1418" w:header="1134" w:footer="56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3E92" w:rsidRPr="00A55861" w:rsidRDefault="009B3E92">
      <w:r w:rsidRPr="00A55861">
        <w:separator/>
      </w:r>
    </w:p>
  </w:endnote>
  <w:endnote w:type="continuationSeparator" w:id="0">
    <w:p w:rsidR="009B3E92" w:rsidRPr="00A55861" w:rsidRDefault="009B3E92">
      <w:r w:rsidRPr="00A55861">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56CC" w:rsidRDefault="000056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5861" w:rsidRDefault="00A55861" w:rsidP="000056CC">
    <w:pPr>
      <w:pStyle w:val="Footer"/>
      <w:tabs>
        <w:tab w:val="clear" w:pos="9639"/>
        <w:tab w:val="right" w:pos="9184"/>
      </w:tabs>
    </w:pPr>
  </w:p>
  <w:p w:rsidR="000056CC" w:rsidRDefault="000056CC" w:rsidP="000056CC">
    <w:pPr>
      <w:pStyle w:val="Footer"/>
      <w:pBdr>
        <w:top w:val="single" w:sz="2" w:space="1" w:color="000000"/>
      </w:pBdr>
      <w:tabs>
        <w:tab w:val="clear" w:pos="9639"/>
        <w:tab w:val="right" w:pos="9184"/>
      </w:tabs>
    </w:pPr>
    <w:r>
      <w:tab/>
    </w:r>
    <w:r w:rsidRPr="000056CC">
      <w:rPr>
        <w:rStyle w:val="HideTWBExt"/>
      </w:rPr>
      <w:t>&lt;NuPE&gt;</w:t>
    </w:r>
    <w:r>
      <w:t>PE637.722</w:t>
    </w:r>
    <w:r w:rsidRPr="000056CC">
      <w:rPr>
        <w:rStyle w:val="HideTWBExt"/>
      </w:rPr>
      <w:t>&lt;/NuPE&gt;</w:t>
    </w:r>
    <w:r>
      <w:t xml:space="preserve">/ </w:t>
    </w:r>
    <w:r>
      <w:fldChar w:fldCharType="begin"/>
    </w:r>
    <w:r>
      <w:instrText xml:space="preserve"> PAGE  \* MERGEFORMAT </w:instrText>
    </w:r>
    <w:r>
      <w:fldChar w:fldCharType="separate"/>
    </w:r>
    <w:r w:rsidR="00666480">
      <w:rPr>
        <w:noProof/>
      </w:rPr>
      <w:t>1</w:t>
    </w:r>
    <w:r>
      <w:fldChar w:fldCharType="end"/>
    </w:r>
  </w:p>
  <w:p w:rsidR="000056CC" w:rsidRPr="000056CC" w:rsidRDefault="000056CC" w:rsidP="000056CC">
    <w:pPr>
      <w:pStyle w:val="Footer"/>
      <w:pBdr>
        <w:top w:val="single" w:sz="2" w:space="1" w:color="000000"/>
      </w:pBdr>
      <w:tabs>
        <w:tab w:val="clear" w:pos="9639"/>
        <w:tab w:val="right" w:pos="9638"/>
      </w:tabs>
      <w:rPr>
        <w:rFonts w:ascii="Arial" w:hAnsi="Arial" w:cs="Arial"/>
        <w:b/>
        <w:sz w:val="48"/>
      </w:rPr>
    </w:pPr>
    <w:r>
      <w:tab/>
    </w:r>
    <w:r>
      <w:rPr>
        <w:rFonts w:ascii="Arial" w:hAnsi="Arial" w:cs="Arial"/>
        <w:b/>
        <w:sz w:val="48"/>
      </w:rPr>
      <w:t>ET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56CC" w:rsidRDefault="000056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3E92" w:rsidRPr="00A55861" w:rsidRDefault="009B3E92">
      <w:r w:rsidRPr="00A55861">
        <w:separator/>
      </w:r>
    </w:p>
  </w:footnote>
  <w:footnote w:type="continuationSeparator" w:id="0">
    <w:p w:rsidR="009B3E92" w:rsidRPr="00A55861" w:rsidRDefault="009B3E92">
      <w:r w:rsidRPr="00A55861">
        <w:continuationSeparator/>
      </w:r>
    </w:p>
  </w:footnote>
  <w:footnote w:id="1">
    <w:p w:rsidR="00E4163C" w:rsidRPr="00666480" w:rsidRDefault="00E4163C" w:rsidP="00666480">
      <w:pPr>
        <w:pStyle w:val="FootnoteText"/>
        <w:ind w:left="567" w:hanging="567"/>
        <w:rPr>
          <w:sz w:val="24"/>
          <w:lang w:val="et-EE"/>
        </w:rPr>
      </w:pPr>
      <w:r w:rsidRPr="00666480">
        <w:rPr>
          <w:rStyle w:val="FootnoteReference"/>
          <w:sz w:val="24"/>
          <w:lang w:val="et-EE"/>
        </w:rPr>
        <w:t>*</w:t>
      </w:r>
      <w:r w:rsidR="00666480" w:rsidRPr="00666480">
        <w:rPr>
          <w:sz w:val="24"/>
          <w:lang w:val="et-EE"/>
        </w:rPr>
        <w:t xml:space="preserve"> </w:t>
      </w:r>
      <w:r w:rsidR="00666480" w:rsidRPr="00666480">
        <w:rPr>
          <w:sz w:val="24"/>
          <w:lang w:val="et-EE"/>
        </w:rPr>
        <w:tab/>
      </w:r>
      <w:r w:rsidRPr="00666480">
        <w:rPr>
          <w:sz w:val="24"/>
          <w:lang w:val="et-EE"/>
        </w:rPr>
        <w:t xml:space="preserve">Muudatused: uus või muudetud tekst on märgistatud </w:t>
      </w:r>
      <w:r w:rsidRPr="00666480">
        <w:rPr>
          <w:b/>
          <w:i/>
          <w:sz w:val="24"/>
          <w:lang w:val="et-EE"/>
        </w:rPr>
        <w:t>paksus kaldkirjas</w:t>
      </w:r>
      <w:r w:rsidRPr="00666480">
        <w:rPr>
          <w:sz w:val="24"/>
          <w:lang w:val="et-EE"/>
        </w:rPr>
        <w:t>, välja jäetud tekst on tähistatud sümboliga ▌.</w:t>
      </w:r>
    </w:p>
  </w:footnote>
  <w:footnote w:id="2">
    <w:p w:rsidR="00E4163C" w:rsidRPr="00666480" w:rsidRDefault="00E4163C" w:rsidP="00666480">
      <w:pPr>
        <w:pStyle w:val="FootnoteText"/>
        <w:ind w:left="567" w:hanging="567"/>
        <w:rPr>
          <w:sz w:val="24"/>
          <w:lang w:val="et-EE"/>
        </w:rPr>
      </w:pPr>
      <w:r w:rsidRPr="00666480">
        <w:rPr>
          <w:rStyle w:val="FootnoteReference"/>
          <w:sz w:val="24"/>
          <w:lang w:val="et-EE"/>
        </w:rPr>
        <w:footnoteRef/>
      </w:r>
      <w:r w:rsidR="00666480" w:rsidRPr="00666480">
        <w:rPr>
          <w:sz w:val="24"/>
          <w:lang w:val="et-EE"/>
        </w:rPr>
        <w:t xml:space="preserve"> </w:t>
      </w:r>
      <w:r w:rsidR="00666480" w:rsidRPr="00666480">
        <w:rPr>
          <w:sz w:val="24"/>
          <w:lang w:val="et-EE"/>
        </w:rPr>
        <w:tab/>
      </w:r>
      <w:r w:rsidRPr="00666480">
        <w:rPr>
          <w:sz w:val="24"/>
          <w:lang w:val="et-EE"/>
        </w:rPr>
        <w:t>ELT C ..., ..., lk ....</w:t>
      </w:r>
    </w:p>
  </w:footnote>
  <w:footnote w:id="3">
    <w:p w:rsidR="00E4163C" w:rsidRPr="00666480" w:rsidRDefault="00E4163C" w:rsidP="00666480">
      <w:pPr>
        <w:pStyle w:val="FootnoteText"/>
        <w:ind w:left="567" w:hanging="567"/>
        <w:rPr>
          <w:sz w:val="24"/>
          <w:lang w:val="et-EE"/>
        </w:rPr>
      </w:pPr>
      <w:r w:rsidRPr="00666480">
        <w:rPr>
          <w:rStyle w:val="FootnoteReference"/>
          <w:sz w:val="24"/>
          <w:lang w:val="et-EE"/>
        </w:rPr>
        <w:footnoteRef/>
      </w:r>
      <w:r w:rsidR="00666480" w:rsidRPr="00666480">
        <w:rPr>
          <w:sz w:val="24"/>
          <w:lang w:val="et-EE"/>
        </w:rPr>
        <w:t xml:space="preserve"> </w:t>
      </w:r>
      <w:r w:rsidR="00666480" w:rsidRPr="00666480">
        <w:rPr>
          <w:sz w:val="24"/>
          <w:lang w:val="et-EE"/>
        </w:rPr>
        <w:tab/>
      </w:r>
      <w:r w:rsidRPr="00666480">
        <w:rPr>
          <w:sz w:val="24"/>
          <w:lang w:val="et-EE"/>
        </w:rPr>
        <w:t>Euroopa parlamendi ja nõukogu 24. novembri 2010. aasta määrus (EL) nr 1092/2010 finantssüsteemi makrotasandi usaldatavusjärelevalve kohta Euroopa Liidus ja Euroopa Süsteemsete Riskide Nõukogu asutamise kohta (ELT L 331, 15.12.2010, lk 1).</w:t>
      </w:r>
    </w:p>
  </w:footnote>
  <w:footnote w:id="4">
    <w:p w:rsidR="00E4163C" w:rsidRPr="00666480" w:rsidRDefault="00E4163C" w:rsidP="00666480">
      <w:pPr>
        <w:pStyle w:val="FootnoteText"/>
        <w:ind w:left="567" w:hanging="567"/>
        <w:rPr>
          <w:sz w:val="24"/>
          <w:lang w:val="et-EE"/>
        </w:rPr>
      </w:pPr>
      <w:r w:rsidRPr="00666480">
        <w:rPr>
          <w:rStyle w:val="FootnoteReference"/>
          <w:sz w:val="24"/>
          <w:lang w:val="et-EE"/>
        </w:rPr>
        <w:footnoteRef/>
      </w:r>
      <w:r w:rsidR="00666480" w:rsidRPr="00666480">
        <w:rPr>
          <w:sz w:val="24"/>
          <w:lang w:val="et-EE"/>
        </w:rPr>
        <w:t xml:space="preserve"> </w:t>
      </w:r>
      <w:r w:rsidR="00666480" w:rsidRPr="00666480">
        <w:rPr>
          <w:sz w:val="24"/>
          <w:lang w:val="et-EE"/>
        </w:rPr>
        <w:tab/>
      </w:r>
      <w:r w:rsidRPr="00666480">
        <w:rPr>
          <w:sz w:val="24"/>
          <w:lang w:val="et-EE"/>
        </w:rPr>
        <w:t>Komisjoni aruanne Euroopa Parlamendile ja nõukogule Euroopa Süsteemsete Riskide Nõukogu (ESRB) ülesannete ja korralduse kohta (COM(2014) 508 final).</w:t>
      </w:r>
    </w:p>
  </w:footnote>
  <w:footnote w:id="5">
    <w:p w:rsidR="00E4163C" w:rsidRPr="00666480" w:rsidRDefault="00E4163C" w:rsidP="00666480">
      <w:pPr>
        <w:pStyle w:val="FootnoteText"/>
        <w:ind w:left="567" w:hanging="567"/>
        <w:rPr>
          <w:sz w:val="24"/>
          <w:lang w:val="et-EE"/>
        </w:rPr>
      </w:pPr>
      <w:r w:rsidRPr="00666480">
        <w:rPr>
          <w:rStyle w:val="FootnoteReference"/>
          <w:sz w:val="24"/>
          <w:lang w:val="et-EE"/>
        </w:rPr>
        <w:footnoteRef/>
      </w:r>
      <w:r w:rsidR="00666480" w:rsidRPr="00666480">
        <w:rPr>
          <w:sz w:val="24"/>
          <w:lang w:val="et-EE"/>
        </w:rPr>
        <w:t xml:space="preserve"> </w:t>
      </w:r>
      <w:r w:rsidR="00666480" w:rsidRPr="00666480">
        <w:rPr>
          <w:sz w:val="24"/>
          <w:lang w:val="et-EE"/>
        </w:rPr>
        <w:tab/>
      </w:r>
      <w:r w:rsidRPr="00666480">
        <w:rPr>
          <w:sz w:val="24"/>
          <w:lang w:val="et-EE"/>
        </w:rPr>
        <w:t>Komisjoni talituste töödokument „Mõju analüüs. Euroopa Süsteemsete Riskide Nõukogu määruse parandamine“, COM(2017).</w:t>
      </w:r>
    </w:p>
  </w:footnote>
  <w:footnote w:id="6">
    <w:p w:rsidR="00E4163C" w:rsidRPr="00666480" w:rsidRDefault="00E4163C" w:rsidP="00666480">
      <w:pPr>
        <w:pStyle w:val="FootnoteText"/>
        <w:ind w:left="567" w:hanging="567"/>
        <w:rPr>
          <w:sz w:val="24"/>
          <w:lang w:val="et-EE"/>
        </w:rPr>
      </w:pPr>
      <w:r w:rsidRPr="00666480">
        <w:rPr>
          <w:rStyle w:val="FootnoteReference"/>
          <w:sz w:val="24"/>
          <w:lang w:val="et-EE"/>
        </w:rPr>
        <w:footnoteRef/>
      </w:r>
      <w:r w:rsidR="00666480" w:rsidRPr="00666480">
        <w:rPr>
          <w:sz w:val="24"/>
          <w:lang w:val="et-EE"/>
        </w:rPr>
        <w:t xml:space="preserve"> </w:t>
      </w:r>
      <w:r w:rsidR="00666480" w:rsidRPr="00666480">
        <w:rPr>
          <w:sz w:val="24"/>
          <w:lang w:val="et-EE"/>
        </w:rPr>
        <w:tab/>
      </w:r>
      <w:r w:rsidRPr="00666480">
        <w:rPr>
          <w:sz w:val="24"/>
          <w:lang w:val="et-EE"/>
        </w:rPr>
        <w:t>Nõukogu 17. novembri 2010. aasta määrus (EL) nr 1096/2010, millega antakse Euroopa Keskpangale eriülesanded seoses Euroopa Süsteemsete Riskide Nõukogu tegevusega (ELT L 331, 15.12.2010, lk 162).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56CC" w:rsidRDefault="000056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56CC" w:rsidRDefault="000056C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56CC" w:rsidRDefault="000056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3C6E60"/>
    <w:multiLevelType w:val="multilevel"/>
    <w:tmpl w:val="BC64E536"/>
    <w:lvl w:ilvl="0">
      <w:start w:val="1"/>
      <w:numFmt w:val="decimal"/>
      <w:lvlText w:val="%1."/>
      <w:lvlJc w:val="left"/>
      <w:pPr>
        <w:tabs>
          <w:tab w:val="num" w:pos="360"/>
        </w:tabs>
        <w:ind w:left="360" w:hanging="360"/>
      </w:pPr>
    </w:lvl>
    <w:lvl w:ilvl="1">
      <w:start w:val="1"/>
      <w:numFmt w:val="decimal"/>
      <w:pStyle w:val="Heading2"/>
      <w:lvlText w:val="%1.%2."/>
      <w:lvlJc w:val="left"/>
      <w:pPr>
        <w:tabs>
          <w:tab w:val="num" w:pos="792"/>
        </w:tabs>
        <w:ind w:left="792" w:hanging="792"/>
      </w:pPr>
    </w:lvl>
    <w:lvl w:ilvl="2">
      <w:start w:val="1"/>
      <w:numFmt w:val="decimal"/>
      <w:pStyle w:val="Heading3"/>
      <w:lvlText w:val="%1.%2.%3."/>
      <w:lvlJc w:val="left"/>
      <w:pPr>
        <w:tabs>
          <w:tab w:val="num" w:pos="1224"/>
        </w:tabs>
        <w:ind w:left="1224" w:hanging="1224"/>
      </w:pPr>
    </w:lvl>
    <w:lvl w:ilvl="3">
      <w:start w:val="1"/>
      <w:numFmt w:val="decimal"/>
      <w:pStyle w:val="Heading4"/>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11" w15:restartNumberingAfterBreak="0">
    <w:nsid w:val="39692AE2"/>
    <w:multiLevelType w:val="multilevel"/>
    <w:tmpl w:val="975EA0B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pStyle w:val="Heading5"/>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0"/>
  </w:num>
  <w:num w:numId="42">
    <w:abstractNumId w:val="10"/>
  </w:num>
  <w:num w:numId="43">
    <w:abstractNumId w:val="10"/>
  </w:num>
  <w:num w:numId="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567"/>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vdocse" w:val="A8-0011/2019"/>
    <w:docVar w:name="dvlangue" w:val="ET"/>
    <w:docVar w:name="dvnumam" w:val="37"/>
    <w:docVar w:name="dvpe" w:val="625.360"/>
    <w:docVar w:name="dvrapporteur" w:val="Raportöörid: "/>
    <w:docVar w:name="dvtitre" w:val="Euroopa Parlamendi .... 2019. aasta seadusandlik resolutsioon ettepaneku kohta võtta vastu Euroopa Parlamendi ja nõukogu määrus, millega muudetakse määrust (EL) nr 1092/2010 finantssüsteemi makrotasandi usaldatavusjärelevalve kohta Euroopa Liidus ja Euroopa Süsteemsete Riskide Nõukogu asutamise kohta (COM(2017)0538 – C8-0317/2017 – 2017/0232(COD))"/>
    <w:docVar w:name="TA_Comm_A5Nr" w:val="A8-0011/2019"/>
    <w:docVar w:name="TA_Comm_Langue" w:val="ET"/>
    <w:docVar w:name="TA_Comm_NrAM" w:val="001-001"/>
    <w:docVar w:name="TA_Type" w:val="TA_COMM"/>
  </w:docVars>
  <w:rsids>
    <w:rsidRoot w:val="009B3E92"/>
    <w:rsid w:val="00002272"/>
    <w:rsid w:val="000056CC"/>
    <w:rsid w:val="000677B9"/>
    <w:rsid w:val="000E7DD9"/>
    <w:rsid w:val="0010095E"/>
    <w:rsid w:val="00125B37"/>
    <w:rsid w:val="002767FF"/>
    <w:rsid w:val="002B5493"/>
    <w:rsid w:val="00361C00"/>
    <w:rsid w:val="00395FA1"/>
    <w:rsid w:val="003B471C"/>
    <w:rsid w:val="003E15D4"/>
    <w:rsid w:val="00411CCE"/>
    <w:rsid w:val="0041666E"/>
    <w:rsid w:val="00421060"/>
    <w:rsid w:val="00494A28"/>
    <w:rsid w:val="0050519A"/>
    <w:rsid w:val="005072A1"/>
    <w:rsid w:val="00514517"/>
    <w:rsid w:val="006037C0"/>
    <w:rsid w:val="00666480"/>
    <w:rsid w:val="00680577"/>
    <w:rsid w:val="006F74FA"/>
    <w:rsid w:val="00731ADD"/>
    <w:rsid w:val="00734777"/>
    <w:rsid w:val="00751A4A"/>
    <w:rsid w:val="00756632"/>
    <w:rsid w:val="007D1690"/>
    <w:rsid w:val="00820629"/>
    <w:rsid w:val="00865F67"/>
    <w:rsid w:val="00881A7B"/>
    <w:rsid w:val="008840E5"/>
    <w:rsid w:val="008C2AC6"/>
    <w:rsid w:val="009509D8"/>
    <w:rsid w:val="00981893"/>
    <w:rsid w:val="009B3E92"/>
    <w:rsid w:val="00A4678D"/>
    <w:rsid w:val="00A55861"/>
    <w:rsid w:val="00AF3B82"/>
    <w:rsid w:val="00B558F0"/>
    <w:rsid w:val="00BC0E7C"/>
    <w:rsid w:val="00BD7BD8"/>
    <w:rsid w:val="00C05BFE"/>
    <w:rsid w:val="00C23CD4"/>
    <w:rsid w:val="00C941CB"/>
    <w:rsid w:val="00C942DC"/>
    <w:rsid w:val="00CC2357"/>
    <w:rsid w:val="00D058B8"/>
    <w:rsid w:val="00D834A0"/>
    <w:rsid w:val="00D91E21"/>
    <w:rsid w:val="00E365E1"/>
    <w:rsid w:val="00E4163C"/>
    <w:rsid w:val="00ED4235"/>
    <w:rsid w:val="00F04346"/>
    <w:rsid w:val="00F075DC"/>
    <w:rsid w:val="00F5134D"/>
    <w:rsid w:val="00FD0C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1374AE"/>
  <w15:chartTrackingRefBased/>
  <w15:docId w15:val="{BDF1D7CD-7DCC-463B-84BE-C7C65082A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lang w:val="et-EE"/>
    </w:rPr>
  </w:style>
  <w:style w:type="paragraph" w:styleId="Heading1">
    <w:name w:val="heading 1"/>
    <w:basedOn w:val="Normal"/>
    <w:next w:val="Normal"/>
    <w:qFormat/>
    <w:rsid w:val="00395FA1"/>
    <w:pPr>
      <w:keepNext/>
      <w:keepLines/>
      <w:widowControl/>
      <w:spacing w:after="120"/>
      <w:ind w:left="510" w:hanging="510"/>
      <w:outlineLvl w:val="0"/>
    </w:pPr>
    <w:rPr>
      <w:b/>
      <w:kern w:val="28"/>
      <w:sz w:val="28"/>
      <w:lang w:val="fr-FR" w:eastAsia="fr-FR"/>
    </w:rPr>
  </w:style>
  <w:style w:type="paragraph" w:styleId="Heading2">
    <w:name w:val="heading 2"/>
    <w:basedOn w:val="Normal"/>
    <w:next w:val="Normal"/>
    <w:qFormat/>
    <w:rsid w:val="00395FA1"/>
    <w:pPr>
      <w:keepNext/>
      <w:widowControl/>
      <w:numPr>
        <w:ilvl w:val="1"/>
        <w:numId w:val="43"/>
      </w:numPr>
      <w:spacing w:before="240" w:after="60"/>
      <w:outlineLvl w:val="1"/>
    </w:pPr>
    <w:rPr>
      <w:lang w:val="fr-FR" w:eastAsia="fr-FR"/>
    </w:rPr>
  </w:style>
  <w:style w:type="paragraph" w:styleId="Heading3">
    <w:name w:val="heading 3"/>
    <w:basedOn w:val="Normal"/>
    <w:next w:val="Normal"/>
    <w:qFormat/>
    <w:rsid w:val="00395FA1"/>
    <w:pPr>
      <w:keepNext/>
      <w:widowControl/>
      <w:numPr>
        <w:ilvl w:val="2"/>
        <w:numId w:val="43"/>
      </w:numPr>
      <w:spacing w:before="240" w:after="60"/>
      <w:outlineLvl w:val="2"/>
    </w:pPr>
    <w:rPr>
      <w:rFonts w:ascii="Arial" w:hAnsi="Arial"/>
      <w:lang w:val="fr-FR" w:eastAsia="fr-FR"/>
    </w:rPr>
  </w:style>
  <w:style w:type="paragraph" w:styleId="Heading4">
    <w:name w:val="heading 4"/>
    <w:basedOn w:val="Normal"/>
    <w:next w:val="Normal"/>
    <w:qFormat/>
    <w:rsid w:val="00395FA1"/>
    <w:pPr>
      <w:keepNext/>
      <w:widowControl/>
      <w:numPr>
        <w:ilvl w:val="3"/>
        <w:numId w:val="43"/>
      </w:numPr>
      <w:spacing w:before="240" w:after="60"/>
      <w:outlineLvl w:val="3"/>
    </w:pPr>
    <w:rPr>
      <w:lang w:val="en-US" w:eastAsia="fr-FR"/>
    </w:rPr>
  </w:style>
  <w:style w:type="paragraph" w:styleId="Heading5">
    <w:name w:val="heading 5"/>
    <w:basedOn w:val="Normal"/>
    <w:next w:val="Normal"/>
    <w:qFormat/>
    <w:rsid w:val="00395FA1"/>
    <w:pPr>
      <w:widowControl/>
      <w:numPr>
        <w:ilvl w:val="4"/>
        <w:numId w:val="44"/>
      </w:numPr>
      <w:spacing w:before="240" w:after="60"/>
      <w:outlineLvl w:val="4"/>
    </w:pPr>
    <w:rPr>
      <w:lang w:val="en-US" w:eastAsia="fr-FR"/>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
    <w:rsid w:val="00395FA1"/>
    <w:pPr>
      <w:widowControl/>
      <w:tabs>
        <w:tab w:val="right" w:pos="9639"/>
      </w:tabs>
    </w:pPr>
    <w:rPr>
      <w:sz w:val="22"/>
      <w:lang w:val="fr-FR" w:eastAsia="fr-FR"/>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link w:val="Normal12Char"/>
    <w:qFormat/>
    <w:pPr>
      <w:spacing w:after="240"/>
    </w:pPr>
  </w:style>
  <w:style w:type="paragraph" w:styleId="TOC1">
    <w:name w:val="toc 1"/>
    <w:basedOn w:val="Normal"/>
    <w:next w:val="Normal"/>
    <w:autoRedefine/>
    <w:semiHidden/>
    <w:rsid w:val="00395FA1"/>
    <w:pPr>
      <w:keepNext/>
      <w:keepLines/>
      <w:widowControl/>
      <w:spacing w:before="200"/>
    </w:pPr>
    <w:rPr>
      <w:b/>
      <w:noProof/>
      <w:lang w:val="fr-FR" w:eastAsia="fr-FR"/>
    </w:rPr>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pPr>
      <w:spacing w:after="120"/>
    </w:pPr>
  </w:style>
  <w:style w:type="paragraph" w:customStyle="1" w:styleId="PageHeading">
    <w:name w:val="PageHeading"/>
    <w:basedOn w:val="Normal12a12b"/>
    <w:pPr>
      <w:keepNext/>
      <w:jc w:val="center"/>
    </w:pPr>
    <w:rPr>
      <w:rFonts w:ascii="Arial" w:hAnsi="Arial"/>
      <w:b/>
    </w:rPr>
  </w:style>
  <w:style w:type="paragraph" w:customStyle="1" w:styleId="Normal12Bold">
    <w:name w:val="Normal12Bold"/>
    <w:basedOn w:val="Normal12"/>
    <w:rPr>
      <w:b/>
    </w:rPr>
  </w:style>
  <w:style w:type="paragraph" w:customStyle="1" w:styleId="Normal12Hanging">
    <w:name w:val="Normal12Hanging"/>
    <w:basedOn w:val="Normal12"/>
    <w:pPr>
      <w:ind w:left="567" w:hanging="567"/>
    </w:pPr>
  </w:style>
  <w:style w:type="paragraph" w:customStyle="1" w:styleId="CoverBold">
    <w:name w:val="CoverBold"/>
    <w:basedOn w:val="CoverNormal"/>
    <w:rsid w:val="00F04346"/>
    <w:rPr>
      <w:b/>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EntPE">
    <w:name w:val="EntPE"/>
    <w:basedOn w:val="Normal12"/>
    <w:pPr>
      <w:jc w:val="center"/>
    </w:pPr>
    <w:rPr>
      <w:sz w:val="56"/>
    </w:rPr>
  </w:style>
  <w:style w:type="paragraph" w:customStyle="1" w:styleId="Normal36Bold">
    <w:name w:val="Normal36Bold"/>
    <w:basedOn w:val="Normal"/>
    <w:pPr>
      <w:spacing w:after="720"/>
    </w:pPr>
    <w:rPr>
      <w:b/>
    </w:rPr>
  </w:style>
  <w:style w:type="paragraph" w:customStyle="1" w:styleId="RefProc">
    <w:name w:val="RefProc"/>
    <w:basedOn w:val="Normal"/>
    <w:pPr>
      <w:jc w:val="right"/>
    </w:pPr>
    <w:rPr>
      <w:rFonts w:ascii="Arial" w:hAnsi="Arial"/>
      <w:b/>
      <w:caps/>
    </w:rPr>
  </w:style>
  <w:style w:type="paragraph" w:customStyle="1" w:styleId="RefStatus">
    <w:name w:val="RefStatus"/>
    <w:basedOn w:val="Normal"/>
    <w:pPr>
      <w:jc w:val="right"/>
    </w:pPr>
    <w:rPr>
      <w:rFonts w:ascii="Arial" w:hAnsi="Arial"/>
      <w:caps/>
    </w:rPr>
  </w:style>
  <w:style w:type="paragraph" w:customStyle="1" w:styleId="RefVer">
    <w:name w:val="RefVer"/>
    <w:basedOn w:val="Normal12"/>
    <w:pPr>
      <w:jc w:val="right"/>
    </w:pPr>
    <w:rPr>
      <w:rFonts w:ascii="Arial" w:hAnsi="Arial"/>
    </w:rPr>
  </w:style>
  <w:style w:type="paragraph" w:customStyle="1" w:styleId="Term">
    <w:name w:val="Term"/>
    <w:basedOn w:val="Normal"/>
    <w:pPr>
      <w:jc w:val="center"/>
    </w:pPr>
    <w:rPr>
      <w:i/>
      <w:sz w:val="28"/>
    </w:rPr>
  </w:style>
  <w:style w:type="paragraph" w:customStyle="1" w:styleId="Normal12Centre">
    <w:name w:val="Normal12Centre"/>
    <w:basedOn w:val="Normal12"/>
    <w:rsid w:val="00E4163C"/>
    <w:pPr>
      <w:jc w:val="center"/>
    </w:pPr>
  </w:style>
  <w:style w:type="paragraph" w:customStyle="1" w:styleId="ZDateRes">
    <w:name w:val="ZDateRes"/>
    <w:basedOn w:val="Normal"/>
    <w:pPr>
      <w:tabs>
        <w:tab w:val="right" w:pos="9072"/>
      </w:tabs>
      <w:spacing w:before="1920" w:after="1200"/>
    </w:pPr>
  </w:style>
  <w:style w:type="paragraph" w:styleId="Header">
    <w:name w:val="header"/>
    <w:basedOn w:val="Normal"/>
    <w:rsid w:val="00395FA1"/>
    <w:pPr>
      <w:widowControl/>
      <w:tabs>
        <w:tab w:val="right" w:pos="9639"/>
      </w:tabs>
    </w:pPr>
    <w:rPr>
      <w:lang w:val="fr-FR" w:eastAsia="fr-FR"/>
    </w:rPr>
  </w:style>
  <w:style w:type="table" w:styleId="TableGrid">
    <w:name w:val="Table Grid"/>
    <w:basedOn w:val="TableNormal"/>
    <w:rsid w:val="00D058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rsid w:val="00D058B8"/>
    <w:pPr>
      <w:jc w:val="center"/>
    </w:pPr>
    <w:rPr>
      <w:rFonts w:ascii="Arial" w:hAnsi="Arial" w:cs="Arial"/>
      <w:i/>
      <w:sz w:val="22"/>
      <w:szCs w:val="22"/>
    </w:rPr>
  </w:style>
  <w:style w:type="paragraph" w:customStyle="1" w:styleId="LineTop">
    <w:name w:val="LineTop"/>
    <w:basedOn w:val="Normal"/>
    <w:next w:val="ZSessionDoc"/>
    <w:rsid w:val="00D058B8"/>
    <w:pPr>
      <w:pBdr>
        <w:top w:val="single" w:sz="4" w:space="1" w:color="auto"/>
      </w:pBdr>
      <w:jc w:val="center"/>
    </w:pPr>
    <w:rPr>
      <w:rFonts w:ascii="Arial" w:hAnsi="Arial"/>
      <w:sz w:val="16"/>
      <w:szCs w:val="16"/>
      <w:lang w:val="fr-FR"/>
    </w:rPr>
  </w:style>
  <w:style w:type="paragraph" w:customStyle="1" w:styleId="LineBottom">
    <w:name w:val="LineBottom"/>
    <w:basedOn w:val="Normal"/>
    <w:next w:val="Normal"/>
    <w:rsid w:val="00D058B8"/>
    <w:pPr>
      <w:pBdr>
        <w:bottom w:val="single" w:sz="4" w:space="1" w:color="auto"/>
      </w:pBdr>
      <w:spacing w:after="240"/>
      <w:jc w:val="center"/>
    </w:pPr>
    <w:rPr>
      <w:rFonts w:ascii="Arial" w:hAnsi="Arial"/>
      <w:sz w:val="16"/>
      <w:szCs w:val="16"/>
    </w:rPr>
  </w:style>
  <w:style w:type="paragraph" w:customStyle="1" w:styleId="PELeft">
    <w:name w:val="PELeft"/>
    <w:basedOn w:val="Normal"/>
    <w:rsid w:val="00D058B8"/>
    <w:pPr>
      <w:spacing w:before="40" w:after="40"/>
    </w:pPr>
    <w:rPr>
      <w:rFonts w:ascii="Arial" w:hAnsi="Arial" w:cs="Arial"/>
      <w:sz w:val="22"/>
      <w:szCs w:val="22"/>
      <w:lang w:val="fr-FR"/>
    </w:rPr>
  </w:style>
  <w:style w:type="paragraph" w:customStyle="1" w:styleId="PERight">
    <w:name w:val="PERight"/>
    <w:basedOn w:val="Normal"/>
    <w:next w:val="Normal"/>
    <w:rsid w:val="00D058B8"/>
    <w:pPr>
      <w:jc w:val="right"/>
    </w:pPr>
    <w:rPr>
      <w:rFonts w:ascii="Arial" w:hAnsi="Arial" w:cs="Arial"/>
      <w:sz w:val="22"/>
      <w:szCs w:val="22"/>
      <w:lang w:val="fr-FR"/>
    </w:rPr>
  </w:style>
  <w:style w:type="paragraph" w:customStyle="1" w:styleId="NormalBold">
    <w:name w:val="NormalBold"/>
    <w:basedOn w:val="Normal"/>
    <w:rsid w:val="006037C0"/>
    <w:rPr>
      <w:b/>
    </w:rPr>
  </w:style>
  <w:style w:type="paragraph" w:customStyle="1" w:styleId="Normal24Bold">
    <w:name w:val="Normal24Bold"/>
    <w:basedOn w:val="Normal"/>
    <w:rsid w:val="006037C0"/>
    <w:pPr>
      <w:spacing w:after="480"/>
    </w:pPr>
    <w:rPr>
      <w:b/>
    </w:rPr>
  </w:style>
  <w:style w:type="paragraph" w:customStyle="1" w:styleId="ATHeading1">
    <w:name w:val="AT Heading 1"/>
    <w:basedOn w:val="Normal"/>
    <w:next w:val="Normal"/>
    <w:rsid w:val="00F5134D"/>
    <w:pPr>
      <w:keepNext/>
      <w:keepLines/>
      <w:widowControl/>
      <w:spacing w:before="480" w:after="120"/>
      <w:outlineLvl w:val="0"/>
    </w:pPr>
    <w:rPr>
      <w:b/>
      <w:noProof/>
      <w:sz w:val="28"/>
      <w:lang w:val="fr-FR" w:eastAsia="fr-FR"/>
    </w:rPr>
  </w:style>
  <w:style w:type="paragraph" w:customStyle="1" w:styleId="ATHeading2">
    <w:name w:val="AT Heading 2"/>
    <w:basedOn w:val="Normal"/>
    <w:next w:val="Normal"/>
    <w:rsid w:val="00395FA1"/>
    <w:pPr>
      <w:widowControl/>
      <w:spacing w:before="120" w:after="120"/>
      <w:outlineLvl w:val="1"/>
    </w:pPr>
    <w:rPr>
      <w:b/>
      <w:noProof/>
      <w:sz w:val="28"/>
      <w:lang w:val="fr-FR" w:eastAsia="fr-FR"/>
    </w:rPr>
  </w:style>
  <w:style w:type="paragraph" w:customStyle="1" w:styleId="ATHeading3">
    <w:name w:val="AT Heading 3"/>
    <w:basedOn w:val="Normal"/>
    <w:next w:val="Normal"/>
    <w:rsid w:val="00395FA1"/>
    <w:pPr>
      <w:keepNext/>
      <w:keepLines/>
      <w:widowControl/>
      <w:spacing w:before="120" w:after="120"/>
      <w:outlineLvl w:val="2"/>
    </w:pPr>
    <w:rPr>
      <w:b/>
      <w:noProof/>
      <w:lang w:val="fr-FR" w:eastAsia="fr-FR"/>
    </w:rPr>
  </w:style>
  <w:style w:type="paragraph" w:customStyle="1" w:styleId="ATHeading4">
    <w:name w:val="AT Heading 4"/>
    <w:basedOn w:val="Normal"/>
    <w:next w:val="Normal"/>
    <w:rsid w:val="00395FA1"/>
    <w:pPr>
      <w:keepNext/>
      <w:keepLines/>
      <w:widowControl/>
      <w:spacing w:before="120" w:after="120"/>
    </w:pPr>
    <w:rPr>
      <w:b/>
      <w:i/>
      <w:noProof/>
      <w:lang w:val="fr-FR" w:eastAsia="fr-FR"/>
    </w:rPr>
  </w:style>
  <w:style w:type="paragraph" w:customStyle="1" w:styleId="ATHeading5">
    <w:name w:val="AT Heading 5"/>
    <w:basedOn w:val="Normal"/>
    <w:next w:val="Normal"/>
    <w:rsid w:val="00395FA1"/>
    <w:pPr>
      <w:keepNext/>
      <w:keepLines/>
      <w:widowControl/>
      <w:spacing w:before="120" w:after="120"/>
    </w:pPr>
    <w:rPr>
      <w:i/>
      <w:noProof/>
      <w:lang w:val="fr-FR" w:eastAsia="fr-FR"/>
    </w:rPr>
  </w:style>
  <w:style w:type="paragraph" w:customStyle="1" w:styleId="ATHeading6">
    <w:name w:val="AT Heading 6"/>
    <w:basedOn w:val="Normal"/>
    <w:next w:val="Normal"/>
    <w:rsid w:val="00395FA1"/>
    <w:pPr>
      <w:keepNext/>
      <w:keepLines/>
      <w:widowControl/>
      <w:spacing w:before="120" w:after="120"/>
    </w:pPr>
    <w:rPr>
      <w:smallCaps/>
      <w:noProof/>
      <w:lang w:val="fr-FR" w:eastAsia="fr-FR"/>
    </w:rPr>
  </w:style>
  <w:style w:type="paragraph" w:customStyle="1" w:styleId="ATHeadingMotiv">
    <w:name w:val="AT Heading Motiv"/>
    <w:basedOn w:val="Normal"/>
    <w:next w:val="Normal"/>
    <w:rsid w:val="00395FA1"/>
    <w:pPr>
      <w:keepNext/>
      <w:widowControl/>
      <w:spacing w:before="60" w:after="60"/>
      <w:jc w:val="center"/>
    </w:pPr>
    <w:rPr>
      <w:i/>
      <w:lang w:val="fr-FR" w:eastAsia="fr-FR"/>
    </w:rPr>
  </w:style>
  <w:style w:type="paragraph" w:customStyle="1" w:styleId="ATTOCTitle">
    <w:name w:val="AT TOC Title"/>
    <w:basedOn w:val="Normal"/>
    <w:rsid w:val="00395FA1"/>
    <w:pPr>
      <w:keepNext/>
      <w:keepLines/>
      <w:widowControl/>
      <w:spacing w:after="240"/>
      <w:jc w:val="center"/>
    </w:pPr>
    <w:rPr>
      <w:b/>
      <w:caps/>
      <w:sz w:val="28"/>
      <w:lang w:val="fr-FR" w:eastAsia="fr-FR"/>
    </w:rPr>
  </w:style>
  <w:style w:type="character" w:styleId="FootnoteReference">
    <w:name w:val="footnote reference"/>
    <w:uiPriority w:val="99"/>
    <w:rsid w:val="00395FA1"/>
    <w:rPr>
      <w:b w:val="0"/>
      <w:vertAlign w:val="superscript"/>
    </w:rPr>
  </w:style>
  <w:style w:type="paragraph" w:styleId="FootnoteText">
    <w:name w:val="footnote text"/>
    <w:basedOn w:val="Normal"/>
    <w:link w:val="FootnoteTextChar"/>
    <w:uiPriority w:val="99"/>
    <w:rsid w:val="00395FA1"/>
    <w:pPr>
      <w:keepLines/>
      <w:widowControl/>
      <w:spacing w:line="260" w:lineRule="exact"/>
      <w:ind w:left="425" w:hanging="425"/>
    </w:pPr>
    <w:rPr>
      <w:sz w:val="22"/>
      <w:lang w:val="fr-FR" w:eastAsia="fr-FR"/>
    </w:rPr>
  </w:style>
  <w:style w:type="character" w:customStyle="1" w:styleId="FootnoteTextChar">
    <w:name w:val="Footnote Text Char"/>
    <w:link w:val="FootnoteText"/>
    <w:uiPriority w:val="99"/>
    <w:rsid w:val="00395FA1"/>
    <w:rPr>
      <w:sz w:val="22"/>
    </w:rPr>
  </w:style>
  <w:style w:type="paragraph" w:customStyle="1" w:styleId="Numroamendement">
    <w:name w:val="Numéro amendement"/>
    <w:basedOn w:val="Normal"/>
    <w:next w:val="Normal"/>
    <w:rsid w:val="00395FA1"/>
    <w:pPr>
      <w:jc w:val="center"/>
    </w:pPr>
    <w:rPr>
      <w:snapToGrid w:val="0"/>
      <w:lang w:val="fr-FR" w:eastAsia="en-US"/>
    </w:rPr>
  </w:style>
  <w:style w:type="character" w:styleId="PageNumber">
    <w:name w:val="page number"/>
    <w:rsid w:val="00395FA1"/>
  </w:style>
  <w:style w:type="paragraph" w:styleId="TOC2">
    <w:name w:val="toc 2"/>
    <w:basedOn w:val="Normal"/>
    <w:next w:val="Normal"/>
    <w:autoRedefine/>
    <w:rsid w:val="00395FA1"/>
    <w:pPr>
      <w:keepNext/>
      <w:keepLines/>
      <w:widowControl/>
    </w:pPr>
    <w:rPr>
      <w:b/>
      <w:noProof/>
      <w:lang w:val="fr-FR" w:eastAsia="fr-FR"/>
    </w:rPr>
  </w:style>
  <w:style w:type="paragraph" w:styleId="TOC3">
    <w:name w:val="toc 3"/>
    <w:basedOn w:val="Normal"/>
    <w:next w:val="Normal"/>
    <w:autoRedefine/>
    <w:rsid w:val="00395FA1"/>
    <w:pPr>
      <w:keepLines/>
      <w:widowControl/>
      <w:ind w:right="510"/>
    </w:pPr>
    <w:rPr>
      <w:noProof/>
      <w:lang w:val="fr-FR" w:eastAsia="fr-FR"/>
    </w:rPr>
  </w:style>
  <w:style w:type="paragraph" w:customStyle="1" w:styleId="EPName">
    <w:name w:val="EPName"/>
    <w:basedOn w:val="Normal"/>
    <w:rsid w:val="00751A4A"/>
    <w:pPr>
      <w:spacing w:before="80" w:after="80"/>
    </w:pPr>
    <w:rPr>
      <w:rFonts w:ascii="Arial Narrow" w:hAnsi="Arial Narrow" w:cs="Arial"/>
      <w:b/>
      <w:color w:val="000000"/>
      <w:sz w:val="32"/>
      <w:szCs w:val="22"/>
      <w:lang w:val="fr-FR"/>
    </w:rPr>
  </w:style>
  <w:style w:type="paragraph" w:customStyle="1" w:styleId="EPTerm">
    <w:name w:val="EPTerm"/>
    <w:basedOn w:val="Normal"/>
    <w:next w:val="Normal"/>
    <w:rsid w:val="00751A4A"/>
    <w:pPr>
      <w:spacing w:after="80"/>
    </w:pPr>
    <w:rPr>
      <w:rFonts w:ascii="Arial" w:hAnsi="Arial" w:cs="Arial"/>
      <w:sz w:val="20"/>
      <w:szCs w:val="22"/>
      <w:lang w:val="fr-FR"/>
    </w:rPr>
  </w:style>
  <w:style w:type="paragraph" w:customStyle="1" w:styleId="EPLogo">
    <w:name w:val="EPLogo"/>
    <w:basedOn w:val="Normal"/>
    <w:qFormat/>
    <w:rsid w:val="00751A4A"/>
    <w:pPr>
      <w:jc w:val="right"/>
    </w:pPr>
  </w:style>
  <w:style w:type="paragraph" w:customStyle="1" w:styleId="AMNumberTabs">
    <w:name w:val="AMNumberTabs"/>
    <w:basedOn w:val="Normal"/>
    <w:rsid w:val="00E4163C"/>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paragraph" w:customStyle="1" w:styleId="ConsHeading">
    <w:name w:val="ConsHeading"/>
    <w:basedOn w:val="Normal12Centre"/>
    <w:rsid w:val="00E4163C"/>
    <w:pPr>
      <w:spacing w:before="720"/>
    </w:pPr>
  </w:style>
  <w:style w:type="paragraph" w:customStyle="1" w:styleId="ConsLine">
    <w:name w:val="ConsLine"/>
    <w:basedOn w:val="Normal"/>
    <w:rsid w:val="00E4163C"/>
    <w:pPr>
      <w:spacing w:before="240" w:after="240"/>
      <w:jc w:val="center"/>
    </w:pPr>
    <w:rPr>
      <w:bCs/>
    </w:rPr>
  </w:style>
  <w:style w:type="paragraph" w:customStyle="1" w:styleId="NormalCentre">
    <w:name w:val="NormalCentre"/>
    <w:basedOn w:val="Normal"/>
    <w:rsid w:val="00E4163C"/>
    <w:pPr>
      <w:jc w:val="center"/>
    </w:pPr>
  </w:style>
  <w:style w:type="paragraph" w:customStyle="1" w:styleId="Fait">
    <w:name w:val="Fait à"/>
    <w:basedOn w:val="Normal"/>
    <w:next w:val="Institutionquisigne"/>
    <w:rsid w:val="00E4163C"/>
    <w:pPr>
      <w:keepNext/>
      <w:widowControl/>
      <w:spacing w:before="120"/>
      <w:jc w:val="both"/>
    </w:pPr>
    <w:rPr>
      <w:rFonts w:eastAsia="Calibri"/>
      <w:szCs w:val="22"/>
      <w:lang w:eastAsia="en-US"/>
    </w:rPr>
  </w:style>
  <w:style w:type="paragraph" w:customStyle="1" w:styleId="Applicationdirecte">
    <w:name w:val="Application directe"/>
    <w:basedOn w:val="Normal"/>
    <w:next w:val="Fait"/>
    <w:rsid w:val="00E4163C"/>
    <w:pPr>
      <w:widowControl/>
      <w:spacing w:before="480" w:after="120"/>
      <w:jc w:val="both"/>
    </w:pPr>
    <w:rPr>
      <w:rFonts w:eastAsia="Calibri"/>
      <w:szCs w:val="22"/>
      <w:lang w:eastAsia="en-US"/>
    </w:rPr>
  </w:style>
  <w:style w:type="paragraph" w:customStyle="1" w:styleId="Institutionquisigne">
    <w:name w:val="Institution qui signe"/>
    <w:basedOn w:val="Normal"/>
    <w:next w:val="Personnequisigne"/>
    <w:rsid w:val="00E4163C"/>
    <w:pPr>
      <w:keepNext/>
      <w:widowControl/>
      <w:tabs>
        <w:tab w:val="left" w:pos="4252"/>
      </w:tabs>
      <w:spacing w:before="720"/>
      <w:jc w:val="both"/>
    </w:pPr>
    <w:rPr>
      <w:rFonts w:eastAsia="Calibri"/>
      <w:i/>
      <w:szCs w:val="22"/>
      <w:lang w:eastAsia="en-US"/>
    </w:rPr>
  </w:style>
  <w:style w:type="paragraph" w:customStyle="1" w:styleId="Titrearticle">
    <w:name w:val="Titre article"/>
    <w:basedOn w:val="Normal"/>
    <w:next w:val="Normal"/>
    <w:rsid w:val="00E4163C"/>
    <w:pPr>
      <w:keepNext/>
      <w:widowControl/>
      <w:spacing w:before="360" w:after="120"/>
      <w:jc w:val="center"/>
    </w:pPr>
    <w:rPr>
      <w:rFonts w:eastAsia="Calibri"/>
      <w:i/>
      <w:szCs w:val="22"/>
      <w:lang w:eastAsia="en-US"/>
    </w:rPr>
  </w:style>
  <w:style w:type="paragraph" w:customStyle="1" w:styleId="Formuledadoption">
    <w:name w:val="Formule d'adoption"/>
    <w:basedOn w:val="Normal"/>
    <w:next w:val="Titrearticle"/>
    <w:rsid w:val="00E4163C"/>
    <w:pPr>
      <w:keepNext/>
      <w:widowControl/>
      <w:spacing w:before="120" w:after="120"/>
      <w:jc w:val="both"/>
    </w:pPr>
    <w:rPr>
      <w:rFonts w:eastAsia="Calibri"/>
      <w:szCs w:val="22"/>
      <w:lang w:eastAsia="en-US"/>
    </w:rPr>
  </w:style>
  <w:style w:type="paragraph" w:customStyle="1" w:styleId="Institutionquiagit">
    <w:name w:val="Institution qui agit"/>
    <w:basedOn w:val="Normal"/>
    <w:next w:val="Normal"/>
    <w:rsid w:val="00E4163C"/>
    <w:pPr>
      <w:keepNext/>
      <w:widowControl/>
      <w:spacing w:before="600" w:after="120"/>
      <w:jc w:val="both"/>
    </w:pPr>
    <w:rPr>
      <w:rFonts w:eastAsia="Calibri"/>
      <w:szCs w:val="22"/>
      <w:lang w:eastAsia="en-US"/>
    </w:rPr>
  </w:style>
  <w:style w:type="paragraph" w:customStyle="1" w:styleId="Personnequisigne">
    <w:name w:val="Personne qui signe"/>
    <w:basedOn w:val="Normal"/>
    <w:next w:val="Institutionquisigne"/>
    <w:rsid w:val="00E4163C"/>
    <w:pPr>
      <w:widowControl/>
      <w:tabs>
        <w:tab w:val="left" w:pos="4252"/>
      </w:tabs>
    </w:pPr>
    <w:rPr>
      <w:rFonts w:eastAsia="Calibri"/>
      <w:i/>
      <w:szCs w:val="22"/>
      <w:lang w:eastAsia="en-US"/>
    </w:rPr>
  </w:style>
  <w:style w:type="paragraph" w:customStyle="1" w:styleId="ManualConsidrant">
    <w:name w:val="Manual Considérant"/>
    <w:basedOn w:val="Normal"/>
    <w:rsid w:val="00E4163C"/>
    <w:pPr>
      <w:widowControl/>
      <w:spacing w:before="120" w:after="120"/>
      <w:ind w:left="709" w:hanging="709"/>
      <w:jc w:val="both"/>
    </w:pPr>
    <w:rPr>
      <w:rFonts w:eastAsia="Calibri"/>
      <w:szCs w:val="22"/>
      <w:lang w:eastAsia="en-US"/>
    </w:rPr>
  </w:style>
  <w:style w:type="paragraph" w:customStyle="1" w:styleId="Typedudocument">
    <w:name w:val="Type du document"/>
    <w:basedOn w:val="Normal"/>
    <w:next w:val="Titreobjet"/>
    <w:rsid w:val="00E4163C"/>
    <w:pPr>
      <w:widowControl/>
      <w:spacing w:before="360"/>
      <w:jc w:val="center"/>
    </w:pPr>
    <w:rPr>
      <w:rFonts w:eastAsia="Calibri"/>
      <w:b/>
      <w:szCs w:val="22"/>
      <w:lang w:eastAsia="en-US"/>
    </w:rPr>
  </w:style>
  <w:style w:type="paragraph" w:customStyle="1" w:styleId="Statut">
    <w:name w:val="Statut"/>
    <w:basedOn w:val="Normal"/>
    <w:next w:val="Typedudocument"/>
    <w:rsid w:val="00E4163C"/>
    <w:pPr>
      <w:widowControl/>
      <w:spacing w:before="360"/>
      <w:jc w:val="center"/>
    </w:pPr>
    <w:rPr>
      <w:rFonts w:eastAsia="Calibri"/>
      <w:szCs w:val="22"/>
      <w:lang w:eastAsia="en-US"/>
    </w:rPr>
  </w:style>
  <w:style w:type="paragraph" w:customStyle="1" w:styleId="Titreobjet">
    <w:name w:val="Titre objet"/>
    <w:basedOn w:val="Normal"/>
    <w:next w:val="Normal"/>
    <w:rsid w:val="00E4163C"/>
    <w:pPr>
      <w:widowControl/>
      <w:spacing w:before="360" w:after="360"/>
      <w:jc w:val="center"/>
    </w:pPr>
    <w:rPr>
      <w:rFonts w:eastAsia="Calibri"/>
      <w:b/>
      <w:szCs w:val="22"/>
      <w:lang w:eastAsia="en-US"/>
    </w:rPr>
  </w:style>
  <w:style w:type="paragraph" w:customStyle="1" w:styleId="IntrtEEE">
    <w:name w:val="Intérêt EEE"/>
    <w:basedOn w:val="Normal"/>
    <w:next w:val="Normal"/>
    <w:rsid w:val="00E4163C"/>
    <w:pPr>
      <w:widowControl/>
      <w:spacing w:before="360" w:after="240"/>
      <w:jc w:val="center"/>
    </w:pPr>
    <w:rPr>
      <w:rFonts w:eastAsia="Calibri"/>
      <w:szCs w:val="22"/>
      <w:lang w:eastAsia="en-US"/>
    </w:rPr>
  </w:style>
  <w:style w:type="character" w:customStyle="1" w:styleId="Normal12Char">
    <w:name w:val="Normal12 Char"/>
    <w:link w:val="Normal12"/>
    <w:locked/>
    <w:rsid w:val="00E4163C"/>
    <w:rPr>
      <w:sz w:val="24"/>
      <w:lang w:val="et-EE"/>
    </w:rPr>
  </w:style>
  <w:style w:type="paragraph" w:styleId="BalloonText">
    <w:name w:val="Balloon Text"/>
    <w:basedOn w:val="Normal"/>
    <w:link w:val="BalloonTextChar"/>
    <w:rsid w:val="003B471C"/>
    <w:rPr>
      <w:rFonts w:ascii="Segoe UI" w:hAnsi="Segoe UI" w:cs="Segoe UI"/>
      <w:sz w:val="18"/>
      <w:szCs w:val="18"/>
    </w:rPr>
  </w:style>
  <w:style w:type="character" w:customStyle="1" w:styleId="BalloonTextChar">
    <w:name w:val="Balloon Text Char"/>
    <w:basedOn w:val="DefaultParagraphFont"/>
    <w:link w:val="BalloonText"/>
    <w:rsid w:val="003B471C"/>
    <w:rPr>
      <w:rFonts w:ascii="Segoe UI" w:hAnsi="Segoe UI" w:cs="Segoe UI"/>
      <w:sz w:val="18"/>
      <w:szCs w:val="18"/>
      <w:lang w:val="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2637</Words>
  <Characters>20080</Characters>
  <Application>Microsoft Office Word</Application>
  <DocSecurity>0</DocSecurity>
  <Lines>386</Lines>
  <Paragraphs>156</Paragraphs>
  <ScaleCrop>false</ScaleCrop>
  <HeadingPairs>
    <vt:vector size="2" baseType="variant">
      <vt:variant>
        <vt:lpstr>Title</vt:lpstr>
      </vt:variant>
      <vt:variant>
        <vt:i4>1</vt:i4>
      </vt:variant>
    </vt:vector>
  </HeadingPairs>
  <TitlesOfParts>
    <vt:vector size="1" baseType="lpstr">
      <vt:lpstr>TA</vt:lpstr>
    </vt:vector>
  </TitlesOfParts>
  <Company>European Parliament</Company>
  <LinksUpToDate>false</LinksUpToDate>
  <CharactersWithSpaces>22561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dc:title>
  <dc:subject/>
  <dc:creator>HIRV Joel</dc:creator>
  <cp:keywords/>
  <cp:lastModifiedBy>HIRV Joel</cp:lastModifiedBy>
  <cp:revision>2</cp:revision>
  <cp:lastPrinted>2004-11-19T15:42:00Z</cp:lastPrinted>
  <dcterms:created xsi:type="dcterms:W3CDTF">2019-04-11T15:28:00Z</dcterms:created>
  <dcterms:modified xsi:type="dcterms:W3CDTF">2019-04-11T15:28:00Z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ET</vt:lpwstr>
  </property>
  <property fmtid="{D5CDD505-2E9C-101B-9397-08002B2CF9AE}" pid="3" name="&lt;FdR&gt;">
    <vt:lpwstr>A8-0011/2019</vt:lpwstr>
  </property>
  <property fmtid="{D5CDD505-2E9C-101B-9397-08002B2CF9AE}" pid="4" name="&lt;Type&gt;">
    <vt:lpwstr>RR</vt:lpwstr>
  </property>
</Properties>
</file>