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</w:pPr>
      <w:r w:rsidRPr="002B4806">
        <w:rPr>
          <w:rStyle w:val="HideTWBExt"/>
        </w:rPr>
        <w:t>&lt;Date&gt;</w:t>
      </w:r>
      <w:r>
        <w:t>11.4.2019</w:t>
      </w:r>
      <w:r w:rsidRPr="002B4806">
        <w:rPr>
          <w:rStyle w:val="HideTWBExt"/>
        </w:rPr>
        <w:t>&lt;/Date&gt;</w:t>
      </w:r>
      <w:r>
        <w:tab/>
        <w:t xml:space="preserve">A8-0017/ </w:t>
      </w:r>
      <w:r w:rsidRPr="002B4806">
        <w:rPr>
          <w:rStyle w:val="HideTWBExt"/>
        </w:rPr>
        <w:t>&lt;NumOfAM&gt;</w:t>
      </w:r>
      <w:r>
        <w:t>001-081</w:t>
      </w:r>
      <w:bookmarkStart w:id="0" w:name="_GoBack"/>
      <w:bookmarkEnd w:id="0"/>
      <w:r w:rsidRPr="002B4806">
        <w:rPr>
          <w:rStyle w:val="HideTWBExt"/>
        </w:rPr>
        <w:t>&lt;/NumOfAM&gt;</w:t>
      </w:r>
    </w:p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</w:pPr>
      <w:r>
        <w:rPr>
          <w:b/>
        </w:rPr>
        <w:t xml:space="preserve">POPRAWKI 001-081 </w:t>
      </w:r>
    </w:p>
    <w:p w:rsidR="002B4806" w:rsidRDefault="00562215" w:rsidP="002B4806">
      <w:pPr>
        <w:tabs>
          <w:tab w:val="right" w:pos="9184"/>
        </w:tabs>
      </w:pPr>
      <w:r>
        <w:t>Poprawki</w:t>
      </w:r>
      <w:r w:rsidR="002B4806">
        <w:t xml:space="preserve"> złożył</w:t>
      </w:r>
      <w:r>
        <w:t>a</w:t>
      </w:r>
      <w:r w:rsidR="002B4806">
        <w:t xml:space="preserve"> </w:t>
      </w:r>
      <w:r w:rsidR="002B4806" w:rsidRPr="002B4806">
        <w:rPr>
          <w:rStyle w:val="HideTWBExt"/>
        </w:rPr>
        <w:t>&lt;Committee&gt;</w:t>
      </w:r>
      <w:r w:rsidR="002B4806">
        <w:t>Komisja Rybołówstwa</w:t>
      </w:r>
      <w:r w:rsidR="002B4806" w:rsidRPr="002B4806">
        <w:rPr>
          <w:rStyle w:val="HideTWBExt"/>
        </w:rPr>
        <w:t>&lt;/Committee&gt;</w:t>
      </w:r>
    </w:p>
    <w:p w:rsidR="002B4806" w:rsidRDefault="002B4806" w:rsidP="002B4806">
      <w:pPr>
        <w:tabs>
          <w:tab w:val="right" w:pos="9184"/>
        </w:tabs>
      </w:pPr>
    </w:p>
    <w:p w:rsidR="002B4806" w:rsidRPr="00562215" w:rsidRDefault="002B4806" w:rsidP="002B4806">
      <w:pPr>
        <w:tabs>
          <w:tab w:val="right" w:pos="9184"/>
        </w:tabs>
        <w:rPr>
          <w:b/>
          <w:lang w:val="pt-PT"/>
        </w:rPr>
      </w:pPr>
      <w:r w:rsidRPr="00562215">
        <w:rPr>
          <w:b/>
          <w:lang w:val="pt-PT"/>
        </w:rPr>
        <w:t>Sprawozdanie</w:t>
      </w:r>
    </w:p>
    <w:p w:rsidR="002B4806" w:rsidRPr="00562215" w:rsidRDefault="002B4806" w:rsidP="002B4806">
      <w:pPr>
        <w:tabs>
          <w:tab w:val="right" w:pos="9184"/>
        </w:tabs>
        <w:rPr>
          <w:b/>
          <w:lang w:val="pt-PT"/>
        </w:rPr>
      </w:pPr>
      <w:r w:rsidRPr="00562215">
        <w:rPr>
          <w:rStyle w:val="HideTWBExt"/>
          <w:lang w:val="pt-PT"/>
        </w:rPr>
        <w:t>&lt;Chairman&gt;</w:t>
      </w:r>
      <w:r w:rsidRPr="00562215">
        <w:rPr>
          <w:b/>
          <w:lang w:val="pt-PT"/>
        </w:rPr>
        <w:t>Ricardo Serrão Santos</w:t>
      </w:r>
      <w:r w:rsidRPr="00562215">
        <w:rPr>
          <w:rStyle w:val="HideTWBExt"/>
          <w:lang w:val="pt-PT"/>
        </w:rPr>
        <w:t>&lt;/Chairman&gt;</w:t>
      </w:r>
      <w:r w:rsidRPr="00562215">
        <w:rPr>
          <w:b/>
          <w:lang w:val="pt-PT"/>
        </w:rPr>
        <w:tab/>
      </w:r>
      <w:r w:rsidRPr="00562215">
        <w:rPr>
          <w:rStyle w:val="HideTWBExt"/>
          <w:lang w:val="pt-PT"/>
        </w:rPr>
        <w:t>&lt;A5Nr&gt;</w:t>
      </w:r>
      <w:r w:rsidRPr="00562215">
        <w:rPr>
          <w:b/>
          <w:lang w:val="pt-PT"/>
        </w:rPr>
        <w:t>A8-0017/2019</w:t>
      </w:r>
      <w:r w:rsidRPr="00562215">
        <w:rPr>
          <w:rStyle w:val="HideTWBExt"/>
          <w:lang w:val="pt-PT"/>
        </w:rPr>
        <w:t>&lt;/A5Nr&gt;</w:t>
      </w:r>
    </w:p>
    <w:p w:rsidR="002B4806" w:rsidRDefault="002B4806" w:rsidP="002B4806">
      <w:pPr>
        <w:tabs>
          <w:tab w:val="right" w:pos="9184"/>
        </w:tabs>
      </w:pPr>
      <w:r w:rsidRPr="002B4806">
        <w:rPr>
          <w:rStyle w:val="HideTWBExt"/>
        </w:rPr>
        <w:t>&lt;ShortTitel&gt;</w:t>
      </w:r>
      <w:r>
        <w:t>Środki ochrony zasobów i jej egzekwowania mające zastosowanie na obszarze podlegającym regulacji Organizacji Rybołówstwa Północno-Zachodniego Atlantyku</w:t>
      </w:r>
      <w:r w:rsidRPr="002B4806">
        <w:rPr>
          <w:rStyle w:val="HideTWBExt"/>
        </w:rPr>
        <w:t>&lt;/ShortTitel&gt;</w:t>
      </w:r>
    </w:p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</w:pPr>
      <w:r w:rsidRPr="002B4806">
        <w:rPr>
          <w:rStyle w:val="HideTWBExt"/>
        </w:rPr>
        <w:t>&lt;Procedure&gt;</w:t>
      </w:r>
      <w:r>
        <w:t>Wniosek dotyczący rozporządzenia</w:t>
      </w:r>
      <w:r w:rsidRPr="002B4806">
        <w:rPr>
          <w:rStyle w:val="HideTWBExt"/>
        </w:rPr>
        <w:t>&lt;/Procedure&gt;</w:t>
      </w:r>
      <w:r>
        <w:t xml:space="preserve"> </w:t>
      </w:r>
      <w:r w:rsidRPr="002B4806">
        <w:rPr>
          <w:rStyle w:val="HideTWBExt"/>
        </w:rPr>
        <w:t>&lt;ReferenceNo&gt;</w:t>
      </w:r>
      <w:r>
        <w:t>(COM(2018)0577 – C8-0391/2018 – 2018/0304(COD))</w:t>
      </w:r>
      <w:r w:rsidRPr="002B4806">
        <w:rPr>
          <w:rStyle w:val="HideTWBExt"/>
        </w:rPr>
        <w:t>&lt;/ReferenceNo&gt;</w:t>
      </w:r>
    </w:p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</w:pPr>
    </w:p>
    <w:p w:rsidR="002B4806" w:rsidRDefault="002B4806" w:rsidP="002B4806">
      <w:pPr>
        <w:tabs>
          <w:tab w:val="right" w:pos="9184"/>
        </w:tabs>
        <w:jc w:val="center"/>
      </w:pPr>
      <w:r>
        <w:t>_____________________________________________________________</w:t>
      </w:r>
    </w:p>
    <w:p w:rsidR="002B4806" w:rsidRDefault="002B4806" w:rsidP="002B4806">
      <w:pPr>
        <w:tabs>
          <w:tab w:val="right" w:pos="9184"/>
        </w:tabs>
        <w:jc w:val="center"/>
      </w:pPr>
    </w:p>
    <w:p w:rsidR="001D14BC" w:rsidRPr="002B4806" w:rsidRDefault="001D14BC" w:rsidP="002B4806">
      <w:pPr>
        <w:pStyle w:val="AMNumberTabs"/>
      </w:pPr>
      <w:r w:rsidRPr="002B4806">
        <w:t>Poprawka</w:t>
      </w:r>
      <w:r w:rsidRPr="002B4806">
        <w:tab/>
      </w:r>
      <w:r w:rsidRPr="002B4806">
        <w:tab/>
        <w:t>1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Motyw 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(7)</w:t>
            </w:r>
            <w:r w:rsidRPr="002B4806">
              <w:tab/>
            </w:r>
            <w:r w:rsidRPr="002B4806">
              <w:rPr>
                <w:b/>
                <w:i/>
              </w:rPr>
              <w:t>Biorąc pod uwagę fakt, że pewne przepisy dotyczące środków NAFO dotyczących ochrony zasobów i jej egzekwowania są częściej zmieniane przez umawiające się strony NAFO i prawdopodobnie będą też zmieniane w przyszłości, w celu szybkiego włączenia</w:t>
            </w:r>
            <w:r w:rsidRPr="002B4806">
              <w:t xml:space="preserve"> do prawa Unii przyszłych </w:t>
            </w:r>
            <w:r w:rsidRPr="002B4806">
              <w:rPr>
                <w:b/>
                <w:i/>
              </w:rPr>
              <w:t>zmian środków</w:t>
            </w:r>
            <w:r w:rsidRPr="002B4806">
              <w:t xml:space="preserve"> NAFO </w:t>
            </w:r>
            <w:r w:rsidRPr="002B4806">
              <w:rPr>
                <w:b/>
                <w:i/>
              </w:rPr>
              <w:t>dotyczących</w:t>
            </w:r>
            <w:r w:rsidRPr="002B4806">
              <w:t xml:space="preserve"> ochrony zasobów i jej egzekwowania </w:t>
            </w:r>
            <w:r w:rsidRPr="002B4806">
              <w:rPr>
                <w:b/>
                <w:i/>
              </w:rPr>
              <w:t xml:space="preserve">należy przekazać Komisji uprawnienia do przyjęcia aktów zgodnie z art. 290 Traktatu o funkcjonowaniu Unii Europejskiej w odniesieniu do następujących aspektów: ograniczeń czasowych sprawozdawczości, terminów składania sprawozdań; definicji; wykazu działań zakazanych dla statków badawczych; pewnych ograniczeń połowowych i ograniczeń nakładu </w:t>
            </w:r>
            <w:r w:rsidRPr="002B4806">
              <w:rPr>
                <w:b/>
                <w:i/>
              </w:rPr>
              <w:lastRenderedPageBreak/>
              <w:t xml:space="preserve">połowowego; obowiązków związanych z zamykaniem łowisk; sytuacji, gdy gatunki wymienione w uprawnieniach do połowów są klasyfikowane jako przyłów; określonych maksymalnych ilości gatunków sklasyfikowanych jako przyłów, jakie można zatrzymać na burcie; pewnych obowiązków w przypadku przekroczenia limitów przyłowu w danym zaciągu; środków dotyczących połowów rai; środków dotyczących połowów krewetki północnej; zmian głębokości połowów i odesłań do stref ograniczonych połowów lub obszarów zamkniętych; procedur dotyczących upoważnionych statków, które posiadają na burcie całkowity połów o masie w relacji pełnej ponad 50 ton pochodzący spoza obszaru podlegającego regulacji i które wchodzą na ten obszar w celu połowu halibuta niebieskiego, warunków wstępnych rozpoczęcia połowu halibuta niebieskiego; geograficznego i czasowego zamykania łowisk krewetki północnej; środków ochrony rekina, w tym sprawozdawczości, zakazu obcinania płetw rekinom na statku oraz ich zatrzymywania na burcie, przeładunku i wyładunku; charakterystyki technicznej rozmiaru oczek sieci; odesłań do mapy śladu połowowego; oraz odesłań do obszarowych ograniczeń połowów dennych; przepisów dotyczących definicji napotkania gatunków wskaźnikowych wrażliwych ekosystemów morskich oraz obowiązków obserwatora skierowanego na statek; treści przekazywanych drogą elektroniczną, wykazu ważnych dokumentów pokładowych na statku, planów ładowni; dokumentów pokładowych na statku dotyczących umów czarterowych; obowiązków związanych ze stosowaniem dzienników połowowych, dzienników produkcyjnych i planów rozmieszczenia i mocowania, w tym obowiązków sprawozdawczych i dotyczących przekazywania; danych VMS (satelitarnego systemu monitorowania statków); przepisów dotyczących elektronicznego </w:t>
            </w:r>
            <w:r w:rsidRPr="002B4806">
              <w:rPr>
                <w:b/>
                <w:i/>
              </w:rPr>
              <w:lastRenderedPageBreak/>
              <w:t>raportowania na temat treści powiadomień; obowiązków kapitana statku rybackiego podczas inspekcji; obowiązków inspektorów i państw członkowskich dokonujących inspekcji; wykazu naruszeń przepisów stanowiących poważne naruszenia; obowiązków państw członkowskich bandery i państw członkowskich portu; obowiązków kapitana statku rybackiego; warunków wejścia do portu i inspekcji dokonywanych przez kraje niebędące umawiającymi się stronami; wykazu środków, które państwa członkowskie mogą podjąć wobec statków wymienionych w wykazie statków NNN oraz rocznych obowiązków sprawozdawczych</w:t>
            </w:r>
            <w:r w:rsidRPr="002B4806">
              <w:t>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lastRenderedPageBreak/>
              <w:t>(7)</w:t>
            </w:r>
            <w:r w:rsidRPr="002B4806">
              <w:tab/>
            </w:r>
            <w:r w:rsidRPr="002B4806">
              <w:rPr>
                <w:b/>
                <w:i/>
              </w:rPr>
              <w:t>Transpozycja</w:t>
            </w:r>
            <w:r w:rsidRPr="002B4806">
              <w:t xml:space="preserve"> do prawa Unii </w:t>
            </w:r>
            <w:r w:rsidRPr="002B4806">
              <w:rPr>
                <w:b/>
                <w:i/>
              </w:rPr>
              <w:t xml:space="preserve">wszelkich </w:t>
            </w:r>
            <w:r w:rsidRPr="002B4806">
              <w:t xml:space="preserve">przyszłych </w:t>
            </w:r>
            <w:r w:rsidRPr="002B4806">
              <w:rPr>
                <w:b/>
                <w:i/>
              </w:rPr>
              <w:t>zaleceń zmieniających środki</w:t>
            </w:r>
            <w:r w:rsidRPr="002B4806">
              <w:t xml:space="preserve"> NAFO </w:t>
            </w:r>
            <w:r w:rsidRPr="002B4806">
              <w:rPr>
                <w:b/>
                <w:i/>
              </w:rPr>
              <w:t>dotyczące</w:t>
            </w:r>
            <w:r w:rsidRPr="002B4806">
              <w:t xml:space="preserve"> ochrony zasobów i jej egzekwowania </w:t>
            </w:r>
            <w:r w:rsidRPr="002B4806">
              <w:rPr>
                <w:b/>
                <w:i/>
              </w:rPr>
              <w:t>odbywa się</w:t>
            </w:r>
            <w:r w:rsidRPr="002B4806">
              <w:t xml:space="preserve"> na </w:t>
            </w:r>
            <w:r w:rsidRPr="002B4806">
              <w:rPr>
                <w:b/>
                <w:i/>
              </w:rPr>
              <w:t>mocy zwykłej procedury ustawodawczej</w:t>
            </w:r>
            <w:r w:rsidRPr="002B4806">
              <w:t>.</w:t>
            </w:r>
          </w:p>
        </w:tc>
      </w:tr>
    </w:tbl>
    <w:p w:rsidR="001D14BC" w:rsidRPr="002B4806" w:rsidRDefault="001D14BC" w:rsidP="001D14BC">
      <w:pPr>
        <w:pStyle w:val="JustificationTitle"/>
      </w:pPr>
      <w:r w:rsidRPr="002B4806">
        <w:lastRenderedPageBreak/>
        <w:t>Uzasadnienie</w:t>
      </w:r>
    </w:p>
    <w:p w:rsidR="001D14BC" w:rsidRPr="002B4806" w:rsidRDefault="001D14BC" w:rsidP="001D14BC">
      <w:pPr>
        <w:pStyle w:val="Normal12Italic"/>
      </w:pPr>
      <w:r w:rsidRPr="002B4806">
        <w:t>Komisja proponuje dokonanie transpozycji przyszłych zmian środka NAFO dotyczącego ochrony zasobów i jej egzekwowania w drodze aktów delegowanych. Oznaczałoby to w praktyce, że PE nie ma żadnego wpływu w NAFO, a w przyszłości również na innych forach międzynarodowych. Transpozycja zaleceń RFMO powinna pozostać wspólnym uprawnieniem Parlamentu Europejskiego i Rady w ramach zwykłej procedury ustawodawczej (współdecyzji).</w:t>
      </w:r>
    </w:p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Motyw 9 a (nowy)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(9a)</w:t>
            </w:r>
            <w:r w:rsidRPr="002B4806">
              <w:tab/>
            </w:r>
            <w:r w:rsidRPr="002B4806">
              <w:rPr>
                <w:b/>
                <w:i/>
              </w:rPr>
              <w:t>Zauważa, że w obecnym rozporządzeniu zwraca się uwagę na status gatunków spodoustych, takich jak rekiny i płaszczki, jako gatunki zagrożone, oraz że z badań Międzynarodowej Unii Ochrony Przyrody wynika, iż populacje rekinów, a co za tym idzie ekosystemy morskie, są poważnie zagrożone.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3 – akapit 1 – punkt 17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17)</w:t>
            </w:r>
            <w:r w:rsidRPr="002B4806">
              <w:tab/>
              <w:t>„ślad połowowy”, znany również jako „istniejące obszary połowów dennych”, oznacza część obszaru podlegającego regulacji, na której w przeszłości prowadzono połowy denne i która jest określona współrzędnymi wskazanymi w tabeli 4 i przedstawiona na rysunku 2 zawartych w CEM;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17)</w:t>
            </w:r>
            <w:r w:rsidRPr="002B4806">
              <w:tab/>
              <w:t xml:space="preserve">„ślad połowowy”, znany również jako „istniejące obszary połowów dennych”, oznacza część obszaru podlegającego regulacji, na której w przeszłości prowadzono połowy denne i która jest określona współrzędnymi wskazanymi w tabeli 4 i przedstawiona na rysunku 2 zawartych w CEM </w:t>
            </w:r>
            <w:r w:rsidRPr="002B4806">
              <w:rPr>
                <w:b/>
                <w:i/>
              </w:rPr>
              <w:t>określonych w pkt 1 i 2 załącznika do niniejszego rozporządzenia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3 – akapit 1 – punkt 21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21)</w:t>
            </w:r>
            <w:r w:rsidRPr="002B4806">
              <w:tab/>
              <w:t>„gatunki wskaźnikowe wrażliwych ekosystemów morskich” oznaczają gatunki, które sygnalizują występowanie wrażliwych ekosystemów morskich, jak określono w części VI załącznika I.E do CEM;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21)</w:t>
            </w:r>
            <w:r w:rsidRPr="002B4806">
              <w:tab/>
              <w:t xml:space="preserve">„gatunki wskaźnikowe wrażliwych ekosystemów morskich” oznaczają gatunki, które sygnalizują występowanie wrażliwych ekosystemów morskich, jak określono w części VI załącznika I.E do CEM </w:t>
            </w:r>
            <w:r w:rsidRPr="002B4806">
              <w:rPr>
                <w:b/>
                <w:i/>
              </w:rPr>
              <w:t>określonych w pkt 3 załącznika do niniejszego rozporządzenia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3 – akapit 1 – punkt 29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29)</w:t>
            </w:r>
            <w:r w:rsidRPr="002B4806">
              <w:tab/>
              <w:t>„element wskaźnikowy wrażliwych ekosystemów morskich” oznacza element wskaźnikowy wrażliwych ekosystemów morskich stanowiący jedną z cech topograficznych, hydrofizycznych i geograficznych, które potencjalnie wspierają wrażliwe ekosystemy morskie, określonych w części VII załącznika I.E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29)</w:t>
            </w:r>
            <w:r w:rsidRPr="002B4806">
              <w:tab/>
              <w:t xml:space="preserve">„element wskaźnikowy wrażliwych ekosystemów morskich” oznacza element wskaźnikowy wrażliwych ekosystemów morskich stanowiący jedną z cech topograficznych, hydrofizycznych i geograficznych, które potencjalnie wspierają wrażliwe ekosystemy morskie, określonych w części VII załącznika I.E do CEM </w:t>
            </w:r>
            <w:r w:rsidRPr="002B4806">
              <w:rPr>
                <w:b/>
                <w:i/>
              </w:rPr>
              <w:t>określonych w pkt 4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  <w:keepNext/>
      </w:pPr>
      <w:r w:rsidRPr="002B4806">
        <w:lastRenderedPageBreak/>
        <w:t>Poprawka</w:t>
      </w:r>
      <w:r w:rsidRPr="002B4806">
        <w:tab/>
      </w:r>
      <w:r w:rsidRPr="002B4806">
        <w:tab/>
      </w:r>
      <w:r w:rsidRPr="002B4806">
        <w:rPr>
          <w:bCs/>
        </w:rPr>
        <w:t>6</w:t>
      </w:r>
    </w:p>
    <w:p w:rsidR="001D14BC" w:rsidRPr="002B4806" w:rsidRDefault="001D14BC" w:rsidP="001D14BC">
      <w:pPr>
        <w:pStyle w:val="NormalBold12b"/>
        <w:keepNext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>Artykuł 4 – akapit 2 – litera a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nie prowadzi działalności połowowej niezgodnej z jego planem badań</w:t>
            </w:r>
            <w:r w:rsidRPr="002B4806">
              <w:rPr>
                <w:b/>
                <w:i/>
              </w:rPr>
              <w:t xml:space="preserve"> ani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t>a)</w:t>
            </w:r>
            <w:r w:rsidRPr="002B4806">
              <w:tab/>
              <w:t>nie prowadzi działalności połowowej niezgodnej z jego planem badań</w:t>
            </w:r>
            <w:r w:rsidRPr="002B4806">
              <w:rPr>
                <w:b/>
                <w:i/>
              </w:rPr>
              <w:t>, w tym działalności prowadzonej poza obszarem podlegającym regulacji;</w:t>
            </w:r>
            <w:r w:rsidRPr="002B4806">
              <w:t xml:space="preserve"> or</w:t>
            </w:r>
          </w:p>
        </w:tc>
      </w:tr>
    </w:tbl>
    <w:p w:rsidR="001D14BC" w:rsidRPr="002B4806" w:rsidRDefault="001D14BC" w:rsidP="001D14BC">
      <w:pPr>
        <w:pStyle w:val="JustificationTitle"/>
      </w:pPr>
      <w:r w:rsidRPr="002B4806">
        <w:t>Uzasadnienie</w:t>
      </w:r>
    </w:p>
    <w:p w:rsidR="001D14BC" w:rsidRPr="002B4806" w:rsidRDefault="001D14BC" w:rsidP="001D14BC">
      <w:pPr>
        <w:pStyle w:val="Normal12Italic"/>
      </w:pPr>
      <w:r w:rsidRPr="002B4806">
        <w:t>Statki badawcze będą musiały włączać do swoich planów badawczych wszelką planowaną działalność połowową, w tym poza obszarem podlegającym regulacji. Nie można zezwalać na prowadzenie działalności badawczej innej niż działalność przewidziana w planach badań.</w:t>
      </w:r>
    </w:p>
    <w:p w:rsidR="001D14BC" w:rsidRPr="002B4806" w:rsidRDefault="001D14BC" w:rsidP="001D14BC">
      <w:pPr>
        <w:pStyle w:val="AMNumberTabs"/>
        <w:keepNext/>
      </w:pPr>
      <w:r w:rsidRPr="002B4806">
        <w:t>Poprawka</w:t>
      </w:r>
      <w:r w:rsidRPr="002B4806">
        <w:tab/>
      </w:r>
      <w:r w:rsidRPr="002B4806">
        <w:tab/>
        <w:t>7</w:t>
      </w:r>
    </w:p>
    <w:p w:rsidR="001D14BC" w:rsidRPr="002B4806" w:rsidRDefault="001D14BC" w:rsidP="001D14BC">
      <w:pPr>
        <w:pStyle w:val="NormalBold12b"/>
        <w:keepNext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>Artykuł 4 – ustęp 2 – litera b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nie poławia krewetki północnej w rejonie 3L w ilości przekraczającej przydział danego państwa członkowskiego.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t>b)</w:t>
            </w:r>
            <w:r w:rsidRPr="002B4806">
              <w:tab/>
              <w:t>nie poławia krewetki północnej w rejonie 3L w ilości przekraczającej przydział danego państwa członkowskiego</w:t>
            </w:r>
            <w:r w:rsidRPr="002B4806">
              <w:rPr>
                <w:b/>
                <w:i/>
              </w:rPr>
              <w:t xml:space="preserve"> bandery statku</w:t>
            </w:r>
            <w:r w:rsidRPr="002B4806">
              <w:t>.</w:t>
            </w:r>
          </w:p>
        </w:tc>
      </w:tr>
    </w:tbl>
    <w:p w:rsidR="001D14BC" w:rsidRPr="002B4806" w:rsidRDefault="001D14BC" w:rsidP="001D14BC">
      <w:pPr>
        <w:pStyle w:val="JustificationTitle"/>
      </w:pPr>
      <w:r w:rsidRPr="002B4806">
        <w:t>Uzasadnienie</w:t>
      </w:r>
    </w:p>
    <w:p w:rsidR="001D14BC" w:rsidRPr="002B4806" w:rsidRDefault="001D14BC" w:rsidP="001D14BC">
      <w:pPr>
        <w:pStyle w:val="Normal12Italic"/>
      </w:pPr>
      <w:r w:rsidRPr="002B4806">
        <w:t>Należy wyjaśnić, że maksymalna ilość krewetki północnej, którą można poławiać w obszarze 3L, to ilość ustalona dla państwa członkowskiego bandery statku badawczego.</w:t>
      </w:r>
    </w:p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8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 – ustęp 3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i/>
              </w:rPr>
            </w:pPr>
            <w:r w:rsidRPr="002B4806">
              <w:t>a)</w:t>
            </w:r>
            <w:r w:rsidRPr="002B4806">
              <w:rPr>
                <w:b/>
                <w:i/>
              </w:rPr>
              <w:tab/>
            </w:r>
            <w:r w:rsidRPr="002B4806">
              <w:t xml:space="preserve">informuje Komisję drogą elektroniczną w formacie przewidzianym w załączniku II.C do CEM o wszystkich statkach badawczych uprawnionych do pływania pod jego banderą, które państwo </w:t>
            </w:r>
            <w:r w:rsidRPr="002B4806">
              <w:lastRenderedPageBreak/>
              <w:t>to upoważniło do prowadzenia działalności badawczej na obszarze podlegającym regulacji oraz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i/>
              </w:rPr>
            </w:pPr>
            <w:r w:rsidRPr="002B4806">
              <w:lastRenderedPageBreak/>
              <w:t>a)</w:t>
            </w:r>
            <w:r w:rsidRPr="002B4806">
              <w:rPr>
                <w:b/>
                <w:i/>
              </w:rPr>
              <w:tab/>
            </w:r>
            <w:r w:rsidRPr="002B4806">
              <w:t>informuje Komisję drogą elektroniczną w formacie przewidzianym w załączniku II.C do CEM</w:t>
            </w:r>
            <w:r w:rsidRPr="002B4806">
              <w:rPr>
                <w:b/>
                <w:i/>
              </w:rPr>
              <w:t xml:space="preserve"> określonych w pkt 5 załącznika do niniejszego rozporządzenia,</w:t>
            </w:r>
            <w:r w:rsidRPr="002B4806">
              <w:t xml:space="preserve"> o wszystkich statkach </w:t>
            </w:r>
            <w:r w:rsidRPr="002B4806">
              <w:lastRenderedPageBreak/>
              <w:t>badawczych uprawnionych do pływania pod jego banderą, które państwo to upoważniło do prowadzenia działalności badawczej na obszarze podlegającym regulacji oraz</w:t>
            </w:r>
            <w:r w:rsidRPr="002B4806">
              <w:rPr>
                <w:b/>
                <w:i/>
              </w:rPr>
              <w:t>,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9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5 – ustęp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Każde państwo członkowskie zapewnia, aby do stad określonych w obowiązujących uprawnieniach do połowów miały zastosowanie wszystkie ograniczenia połowowe </w:t>
            </w:r>
            <w:r w:rsidRPr="002B4806">
              <w:rPr>
                <w:b/>
                <w:i/>
              </w:rPr>
              <w:t>i </w:t>
            </w:r>
            <w:r w:rsidRPr="002B4806">
              <w:t>ograniczenia nakładu połowowego oraz, o ile nie określono inaczej, aby wszystkie kwoty były wyrażone jako masa w relacji pełnej w tonach metrycznych.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Każde państwo członkowskie zapewnia, aby do stad określonych w obowiązujących uprawnieniach do połowów miały zastosowanie wszystkie ograniczenia połowowe </w:t>
            </w:r>
            <w:r w:rsidRPr="002B4806">
              <w:rPr>
                <w:b/>
                <w:i/>
              </w:rPr>
              <w:t xml:space="preserve">lub </w:t>
            </w:r>
            <w:r w:rsidRPr="002B4806">
              <w:t>ograniczenia nakładu połowowego oraz, o ile nie określono inaczej, aby wszystkie kwoty były wyrażone jako masa w relacji pełnej w tonach metrycznych.</w:t>
            </w:r>
          </w:p>
        </w:tc>
      </w:tr>
    </w:tbl>
    <w:p w:rsidR="001D14BC" w:rsidRPr="002B4806" w:rsidRDefault="001D14BC" w:rsidP="001D14BC">
      <w:pPr>
        <w:pStyle w:val="JustificationTitle"/>
      </w:pPr>
      <w:r w:rsidRPr="002B4806">
        <w:t>Uzasadnienie</w:t>
      </w:r>
    </w:p>
    <w:p w:rsidR="001D14BC" w:rsidRPr="002B4806" w:rsidRDefault="001D14BC" w:rsidP="001D14BC">
      <w:pPr>
        <w:pStyle w:val="Normal12Italic"/>
      </w:pPr>
      <w:r w:rsidRPr="002B4806">
        <w:t>Należy wyjaśnić, że istnieją ograniczenia połowowe i ograniczenia nakładu połowowego, które mają zastosowanie do stad niezależnie od siebie.</w:t>
      </w:r>
    </w:p>
    <w:p w:rsidR="001D14BC" w:rsidRPr="002B4806" w:rsidRDefault="001D14BC" w:rsidP="001D14BC"/>
    <w:p w:rsidR="001D14BC" w:rsidRPr="002B4806" w:rsidRDefault="001D14BC" w:rsidP="001D14BC">
      <w:pPr>
        <w:rPr>
          <w:b/>
        </w:rPr>
      </w:pPr>
      <w:r w:rsidRPr="002B4806">
        <w:rPr>
          <w:b/>
        </w:rPr>
        <w:t>Poprawka</w:t>
      </w:r>
      <w:r w:rsidRPr="002B4806">
        <w:rPr>
          <w:b/>
        </w:rPr>
        <w:tab/>
        <w:t>10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5 – ustęp 2 – litera c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c)</w:t>
            </w:r>
            <w:r w:rsidRPr="002B4806">
              <w:tab/>
              <w:t>zapewnia, by po szacowanej dacie, z którą połowy sięgną 100 % całkowitego dopuszczalnego połowu (TAC) karmazyna w rejonie 3M, na burcie jego statków nie zatrzymywano już karmazyna z rejonu 3M;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c)</w:t>
            </w:r>
            <w:r w:rsidRPr="002B4806">
              <w:tab/>
              <w:t>zapewnia, by po szacowanej dacie, z którą połowy sięgną 100 % całkowitego dopuszczalnego połowu (TAC) karmazyna w rejonie 3M, na burcie jego statków nie zatrzymywano już karmazyna z rejonu 3M</w:t>
            </w:r>
            <w:r w:rsidRPr="002B4806">
              <w:rPr>
                <w:b/>
                <w:i/>
              </w:rPr>
              <w:t>, z wyjątkiem przypadków dopuszczonych przez CEM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11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9 – ustęp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>Do celów niniejszego artykułu przyjmuje się, że rejon 3M obejmuje część rejonu 3L wyznaczoną liniami łączącymi punkty opisane w tabeli 1 i przedstawione na rysunku 1(1) zawartych w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Do celów niniejszego artykułu przyjmuje się, że rejon 3M obejmuje część rejonu 3L wyznaczoną liniami łączącymi punkty opisane w tabeli 1 i przedstawione na rysunku 1(1) zawartych w CEM </w:t>
            </w:r>
            <w:r w:rsidRPr="002B4806">
              <w:rPr>
                <w:b/>
                <w:i/>
              </w:rPr>
              <w:t>określonych w pkt 6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12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9 – ustęp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4.</w:t>
            </w:r>
            <w:r w:rsidRPr="002B4806">
              <w:tab/>
              <w:t>W rejonie 3M żaden statek nie może dokonywać połowów krewetki północnej pomiędzy godziną 00:01 uniwersalnego czasu koordynowanego (czasu UTC) w dniu 1 czerwca a godziną 24:00 czasu UTC w dniu 31 grudnia na obszarze opisanym w tabeli 2 i przedstawionym na rysunku 1(2) zawartych w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4.</w:t>
            </w:r>
            <w:r w:rsidRPr="002B4806">
              <w:tab/>
              <w:t>W rejonie 3M żaden statek nie może dokonywać połowów krewetki północnej pomiędzy godziną 00:01 uniwersalnego czasu koordynowanego (czasu UTC) w dniu 1 czerwca a godziną 24:00 czasu UTC w dniu 31 grudnia na obszarze opisanym w tabeli 2 i przedstawionym na rysunku 1(2) zawartych w CEM</w:t>
            </w:r>
            <w:r w:rsidRPr="002B4806">
              <w:rPr>
                <w:b/>
                <w:i/>
              </w:rPr>
              <w:t xml:space="preserve"> określonych w pkt 7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13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9 – ustęp 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5.</w:t>
            </w:r>
            <w:r w:rsidRPr="002B4806">
              <w:tab/>
              <w:t>Wszystkie połowy krewetki północnej w rejonie 3L są prowadzone na głębokości większej niż 200 m. Połowy na obszarze podlegającym regulacji są ograniczone do obszaru na wschód od linii wyznaczonej przez współrzędne opisane w tabeli 3 i przedstawione na rysunku 1(3) zawartych w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5.</w:t>
            </w:r>
            <w:r w:rsidRPr="002B4806">
              <w:tab/>
              <w:t>Wszystkie połowy krewetki północnej w rejonie 3L są prowadzone na głębokości większej niż 200 m. Połowy na obszarze podlegającym regulacji są ograniczone do obszaru na wschód od linii wyznaczonej przez współrzędne opisane w tabeli 3 i przedstawione na rysunku 1(3) zawartych w CEM</w:t>
            </w:r>
            <w:r w:rsidRPr="002B4806">
              <w:rPr>
                <w:b/>
                <w:i/>
              </w:rPr>
              <w:t xml:space="preserve"> określonych w pkt 8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14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10 – ustęp 1 – litera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upoważniony statek wyładowuje połowy halibuta niebieskiego tylko w wyznaczonym porcie. W tym celu każde państwo członkowskie wyznacza co najmniej jeden port</w:t>
            </w:r>
            <w:r w:rsidRPr="002B4806">
              <w:rPr>
                <w:b/>
                <w:i/>
              </w:rPr>
              <w:t xml:space="preserve"> na swoim terytorium</w:t>
            </w:r>
            <w:r w:rsidRPr="002B4806">
              <w:t>, w którym upoważnione statki mogą wyładowywać halibuta niebieskiego;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upoważniony statek wyładowuje połowy halibuta niebieskiego tylko w wyznaczonym porcie. W tym celu każde państwo członkowskie wyznacza co najmniej jeden port, w którym upoważnione statki mogą wyładowywać halibuta niebieskiego;</w:t>
            </w:r>
          </w:p>
        </w:tc>
      </w:tr>
    </w:tbl>
    <w:p w:rsidR="001D14BC" w:rsidRPr="002B4806" w:rsidRDefault="001D14BC" w:rsidP="001D14BC">
      <w:pPr>
        <w:pStyle w:val="JustificationTitle"/>
      </w:pPr>
      <w:r w:rsidRPr="002B4806">
        <w:t>Uzasadnienie</w:t>
      </w:r>
    </w:p>
    <w:p w:rsidR="001D14BC" w:rsidRPr="002B4806" w:rsidRDefault="001D14BC" w:rsidP="001D14BC">
      <w:pPr>
        <w:pStyle w:val="Normal12Italic"/>
      </w:pPr>
      <w:r w:rsidRPr="002B4806">
        <w:t>Artykuł 10 ust. 1 lit. b) można rozumieć tak, że wyładowywanie halibuta niebieskiego jest dozwolone tylko w jednym wyznaczonym porcie na terytorium danego państwa członkowskiego. Dotychczas zazwyczaj tak nie jest i nie jest to konieczne.</w:t>
      </w:r>
    </w:p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15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10 – ustęp 1 – litera d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 xml:space="preserve">najpóźniej 48 godzin przed przewidywanym czasem przybycia do portu upoważniony statek lub przedstawiciel w jego imieniu informuje właściwy organ </w:t>
            </w:r>
            <w:r w:rsidRPr="002B4806">
              <w:rPr>
                <w:b/>
                <w:i/>
              </w:rPr>
              <w:t>portowy</w:t>
            </w:r>
            <w:r w:rsidRPr="002B4806">
              <w:t xml:space="preserve"> o przewidywanym czasie przybycia statku, szacowanej ilości halibuta niebieskiego zatrzymanej na burcie i o </w:t>
            </w:r>
            <w:r w:rsidRPr="002B4806">
              <w:rPr>
                <w:b/>
                <w:i/>
              </w:rPr>
              <w:t>rejonie</w:t>
            </w:r>
            <w:r w:rsidRPr="002B4806">
              <w:t xml:space="preserve"> lub </w:t>
            </w:r>
            <w:r w:rsidRPr="002B4806">
              <w:rPr>
                <w:b/>
                <w:i/>
              </w:rPr>
              <w:t>rejonach</w:t>
            </w:r>
            <w:r w:rsidRPr="002B4806">
              <w:t>, z których te połowy pochodzą;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 xml:space="preserve">najpóźniej 48 godzin przed przewidywanym czasem przybycia do portu upoważniony statek lub przedstawiciel w jego imieniu informuje właściwy organ </w:t>
            </w:r>
            <w:r w:rsidRPr="002B4806">
              <w:rPr>
                <w:b/>
                <w:i/>
              </w:rPr>
              <w:t>kontroli rybołówstwa w porcie</w:t>
            </w:r>
            <w:r w:rsidRPr="002B4806">
              <w:t xml:space="preserve"> o przewidywanym czasie przybycia statku, szacowanej</w:t>
            </w:r>
            <w:r w:rsidRPr="002B4806">
              <w:rPr>
                <w:b/>
                <w:i/>
              </w:rPr>
              <w:t xml:space="preserve"> łącznej</w:t>
            </w:r>
            <w:r w:rsidRPr="002B4806">
              <w:t xml:space="preserve"> ilości halibuta niebieskiego zatrzymanej na burcie i o </w:t>
            </w:r>
            <w:r w:rsidRPr="002B4806">
              <w:rPr>
                <w:b/>
                <w:i/>
              </w:rPr>
              <w:t>szacowanych ilościach według rejonu</w:t>
            </w:r>
            <w:r w:rsidRPr="002B4806">
              <w:t xml:space="preserve"> lub </w:t>
            </w:r>
            <w:r w:rsidRPr="002B4806">
              <w:rPr>
                <w:b/>
                <w:i/>
              </w:rPr>
              <w:t>rejonów</w:t>
            </w:r>
            <w:r w:rsidRPr="002B4806">
              <w:t>, z których te połowy pochodzą;</w:t>
            </w:r>
          </w:p>
        </w:tc>
      </w:tr>
    </w:tbl>
    <w:p w:rsidR="001D14BC" w:rsidRPr="002B4806" w:rsidRDefault="001D14BC" w:rsidP="001D14BC">
      <w:pPr>
        <w:pStyle w:val="JustificationTitle"/>
      </w:pPr>
      <w:r w:rsidRPr="002B4806">
        <w:t>Uzasadnienie</w:t>
      </w:r>
    </w:p>
    <w:p w:rsidR="001D14BC" w:rsidRPr="002B4806" w:rsidRDefault="001D14BC" w:rsidP="001D14BC">
      <w:pPr>
        <w:pStyle w:val="Normal12Italic"/>
      </w:pPr>
      <w:r w:rsidRPr="002B4806">
        <w:t>Zmiana w celu dostosowania do systemu podziału kompetencji w Hiszpanii.</w:t>
      </w:r>
    </w:p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16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10 – ustęp 1 – litera 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e)</w:t>
            </w:r>
            <w:r w:rsidRPr="002B4806">
              <w:tab/>
              <w:t xml:space="preserve">każde państwo członkowskie prowadzi inspekcje każdego wyładunku halibuta niebieskiego w swoim porcie, sporządza sprawozdanie z inspekcji w formacie przewidzianym w załączniku IV.C do CEM i wysyła je Komisji z kopią do EFCA, w ciągu </w:t>
            </w:r>
            <w:r w:rsidRPr="002B4806">
              <w:rPr>
                <w:b/>
                <w:i/>
              </w:rPr>
              <w:t>10</w:t>
            </w:r>
            <w:r w:rsidRPr="002B4806">
              <w:t xml:space="preserve"> dni roboczych od daty zakończenia inspekcji. W sprawozdaniu z kontroli przeprowadzanej przez państwo portu (PSC-3) wskazuje się i szczegółowo opisuje wszelkie naruszenia przepisów rozporządzenia, które zostały wykryte podczas inspekcji w porcie. Sprawozdanie zawiera wszystkie dostępne istotne informacje o naruszeniach wykrytych na morzu podczas bieżącego rejsu statku rybackiego, którego dotyczy inspekcja. Komisja publikuje te informacje na stronie internetowej MCS NAFO.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e)</w:t>
            </w:r>
            <w:r w:rsidRPr="002B4806">
              <w:tab/>
              <w:t xml:space="preserve">każde państwo członkowskie prowadzi inspekcje każdego wyładunku halibuta niebieskiego w swoim porcie, sporządza sprawozdanie z inspekcji w formacie przewidzianym w załączniku IV.C do CEM </w:t>
            </w:r>
            <w:r w:rsidRPr="002B4806">
              <w:rPr>
                <w:b/>
                <w:i/>
              </w:rPr>
              <w:t xml:space="preserve">określonych w pkt 9 załącznika do niniejszego rozporządzenia, </w:t>
            </w:r>
            <w:r w:rsidRPr="002B4806">
              <w:t xml:space="preserve">i wysyła je Komisji z kopią do EFCA, w ciągu </w:t>
            </w:r>
            <w:r w:rsidRPr="002B4806">
              <w:rPr>
                <w:b/>
                <w:i/>
              </w:rPr>
              <w:t>14</w:t>
            </w:r>
            <w:r w:rsidRPr="002B4806">
              <w:t xml:space="preserve"> dni roboczych od daty zakończenia inspekcji. W sprawozdaniu z kontroli przeprowadzanej przez państwo portu (PSC-3) wskazuje się i szczegółowo opisuje wszelkie naruszenia przepisów rozporządzenia, które zostały wykryte podczas inspekcji w porcie. Sprawozdanie zawiera wszystkie dostępne istotne informacje o naruszeniach wykrytych na morzu podczas bieżącego rejsu statku rybackiego, którego dotyczy inspekcja. Komisja publikuje te informacje na stronie internetowej MCS NAFO.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17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12 – ustęp 5 – wprowadzenie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i/>
              </w:rPr>
            </w:pPr>
            <w:r w:rsidRPr="002B4806">
              <w:t>5.</w:t>
            </w:r>
            <w:r w:rsidRPr="002B4806">
              <w:rPr>
                <w:b/>
                <w:i/>
              </w:rPr>
              <w:tab/>
              <w:t>W miarę możliwości</w:t>
            </w:r>
            <w:r w:rsidRPr="002B4806">
              <w:t xml:space="preserve"> państwa członkowskie: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i/>
              </w:rPr>
            </w:pPr>
            <w:r w:rsidRPr="002B4806">
              <w:t>5.</w:t>
            </w:r>
            <w:r w:rsidRPr="002B4806">
              <w:rPr>
                <w:b/>
                <w:i/>
              </w:rPr>
              <w:tab/>
            </w:r>
            <w:r w:rsidRPr="002B4806">
              <w:t>Państwa członkowskie: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18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12 – ustęp 5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podejmują badania, aby określić metody zwiększenia selektywności narzędzi połowowych w celu ochrony rekinów;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podejmują badania, aby określić metody zwiększenia selektywności narzędzi połowowych w celu ochrony rekinów</w:t>
            </w:r>
            <w:r w:rsidRPr="002B4806">
              <w:rPr>
                <w:b/>
                <w:i/>
              </w:rPr>
              <w:t xml:space="preserve"> i gatunków spodoustych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19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12 – ustęp 5 – litera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prowadzą badania dotyczące kluczowych parametrów biologicznych i ekologicznych, historii życia, charakterystyki behawioralnej i tras wędrówek, jak również dotyczące określenia potencjalnego mapowania najważniejszych gatunków rekina oraz ich obszarów rozrodu i obszarów dojrzewania narybku.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 xml:space="preserve">prowadzą badania dotyczące kluczowych parametrów biologicznych i ekologicznych, historii życia, charakterystyki behawioralnej i tras wędrówek, jak również dotyczące określenia potencjalnego mapowania najważniejszych gatunków rekina </w:t>
            </w:r>
            <w:r w:rsidRPr="002B4806">
              <w:rPr>
                <w:b/>
                <w:i/>
              </w:rPr>
              <w:t xml:space="preserve">i spodoustych </w:t>
            </w:r>
            <w:r w:rsidRPr="002B4806">
              <w:t>oraz ich obszarów rozrodu i obszarów dojrzewania narybku.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20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13 – ustęp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>Do celów niniejszego artykułu rozmiar oczka sieci jest mierzony zgodnie z załącznikiem III.A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Do celów niniejszego artykułu rozmiar oczka sieci jest mierzony zgodnie z załącznikiem III.A do CEM </w:t>
            </w:r>
            <w:r w:rsidRPr="002B4806">
              <w:rPr>
                <w:b/>
                <w:i/>
              </w:rPr>
              <w:t>określonych w pkt 10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21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13 – ustęp 2 – litera d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>130 mm w przypadku wszystkich innych ryb dennych, zgodnie z załącznikiem I.C do CEM;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 xml:space="preserve">130 mm w przypadku wszystkich innych ryb dennych, zgodnie z załącznikiem I.C do CEM </w:t>
            </w:r>
            <w:r w:rsidRPr="002B4806">
              <w:rPr>
                <w:b/>
                <w:i/>
              </w:rPr>
              <w:t>określonych w pkt 11 załącznika do niniejszego rozporządzenia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22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14 – ustęp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Żaden statek nie może stosować elementów ani urządzeń, które blokują oczka lub ograniczają ich rozmiar. Statki mogą jednak przymocowywać urządzenia opisane w załączniku III.B do CEM – „Dozwolone górne fartuchy włoka / łańcuchy przegubowe włoków krewetkowych” – do górnej części worka włoka w taki sposób, aby nie blokowały oczek sieci worka włoka, w tym oczek ewentualnych przedłużaczy. Do dolnej części worka włoka można przymocować płótno, tkaninę sieciową lub inny materiał jedynie w takim stopniu, jaki jest niezbędny do zminimalizowania uszkodzeń worka włoka lub zapobiegania im.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Żaden statek nie może stosować elementów ani urządzeń, które blokują oczka lub ograniczają ich rozmiar. Statki mogą jednak przymocowywać urządzenia opisane w załączniku III.B do CEM</w:t>
            </w:r>
            <w:r w:rsidRPr="002B4806">
              <w:rPr>
                <w:b/>
                <w:i/>
              </w:rPr>
              <w:t xml:space="preserve"> określonych w pkt 12 załącznika do niniejszego rozporządzenia</w:t>
            </w:r>
            <w:r w:rsidRPr="002B4806">
              <w:t xml:space="preserve"> – „Dozwolone górne fartuchy włoka / łańcuchy przegubowe włoków krewetkowych” – do górnej części worka włoka w taki sposób, aby nie blokowały oczek sieci worka włoka, w tym oczek ewentualnych przedłużaczy. Do dolnej części worka włoka można przymocować płótno, tkaninę sieciową lub inny materiał jedynie w takim stopniu, jaki jest niezbędny do zminimalizowania uszkodzeń worka włoka lub zapobiegania im.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23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14 – ustęp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3.</w:t>
            </w:r>
            <w:r w:rsidRPr="002B4806">
              <w:tab/>
              <w:t>Statki prowadzące połowy krewetki północnej w rejonach 3L lub 3M stosują kratownice sortujące lub kratownice o maksymalnym rozstawie prętów wynoszącym 22 mm. Statki prowadzące połowy krewetki północnej w rejonie 3L są ponadto wyposażone w łańcuchy przegubowe o długości co najmniej 72 cm, mierzone zgodnie z załącznikiem III.B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3.</w:t>
            </w:r>
            <w:r w:rsidRPr="002B4806">
              <w:tab/>
              <w:t xml:space="preserve">Statki prowadzące połowy krewetki północnej w rejonach 3L lub 3M stosują kratownice sortujące lub kratownice o maksymalnym rozstawie prętów wynoszącym 22 mm. Statki prowadzące połowy krewetki północnej w rejonie 3L są ponadto wyposażone w łańcuchy przegubowe o długości co najmniej 72 cm, mierzone zgodnie z załącznikiem III.B do CEM </w:t>
            </w:r>
            <w:r w:rsidRPr="002B4806">
              <w:rPr>
                <w:b/>
                <w:i/>
              </w:rPr>
              <w:t>określonych w pkt 12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24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16 – ustęp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>Żaden statek nie zatrzymuje na burcie ryb mniejszych niż minimalny rozmiar ustanowiony zgodnie z załącznikiem I.D do CEM; takie ryby są niezwłocznie wrzucane do morza.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Żaden statek nie zatrzymuje na burcie ryb mniejszych niż minimalny rozmiar ustanowiony zgodnie z załącznikiem I.D do CEM </w:t>
            </w:r>
            <w:r w:rsidRPr="002B4806">
              <w:rPr>
                <w:b/>
                <w:i/>
              </w:rPr>
              <w:t>określonych w pkt 13 załącznika do niniejszego rozporządzenia</w:t>
            </w:r>
            <w:r w:rsidRPr="002B4806">
              <w:t>; takie ryby są niezwłocznie wrzucane do morza.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25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16 – ustęp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Przetworzone ryby, których długość jest mniejsza niż określono dla danego gatunku w załączniku I.D do CEM, uznaje się za pochodzące z ryb mniejszych niż minimalny rozmiar ryb określony dla danego gatunku.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Przetworzone ryby, których długość jest mniejsza niż określono dla danego gatunku w załączniku I.D do CEM</w:t>
            </w:r>
            <w:r w:rsidRPr="002B4806">
              <w:rPr>
                <w:b/>
                <w:i/>
              </w:rPr>
              <w:t xml:space="preserve"> określonych w pkt 13 załącznika do niniejszego rozporządzenia, </w:t>
            </w:r>
            <w:r w:rsidRPr="002B4806">
              <w:t>uznaje się za pochodzące z ryb mniejszych niż minimalny rozmiar ryb określony dla danego gatunku.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26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17 – ustęp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Na mapie istniejących obszarów połowów dennych dokonywanych na obszarze podlegającym regulacji, przedstawionej na rysunku 2 zawartym w CEM, granicę tych obszarów po stronie zachodniej wyznacza granica wyłącznej strefy ekonomicznej Kanady, a po stronie wschodniej wyznaczają ją współrzędne przedstawione w tabeli 4 zawartej w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 xml:space="preserve">Na mapie istniejących obszarów połowów dennych dokonywanych na obszarze podlegającym regulacji, przedstawionej na rysunku 2 zawartym w CEM </w:t>
            </w:r>
            <w:r w:rsidRPr="002B4806">
              <w:rPr>
                <w:b/>
                <w:i/>
              </w:rPr>
              <w:t xml:space="preserve">określonych w pkt 2 załącznika do niniejszego rozporządzenia, </w:t>
            </w:r>
            <w:r w:rsidRPr="002B4806">
              <w:t>granicę tych obszarów po stronie zachodniej wyznacza granica wyłącznej strefy ekonomicznej Kanady, a po stronie wschodniej wyznaczają ją współrzędne przedstawione w tabeli 4 zawartej w CEM</w:t>
            </w:r>
            <w:r w:rsidRPr="002B4806">
              <w:rPr>
                <w:b/>
                <w:i/>
              </w:rPr>
              <w:t xml:space="preserve"> określonych w pkt 14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27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18 – ustęp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>Do dnia 31 grudnia 2020 r. żaden statek nie może prowadzić połowów dennych na żadnym z obszarów przedstawionych na rysunku 3 zawartym w CEM i </w:t>
            </w:r>
            <w:r w:rsidRPr="002B4806">
              <w:rPr>
                <w:b/>
                <w:i/>
              </w:rPr>
              <w:t>określonych</w:t>
            </w:r>
            <w:r w:rsidRPr="002B4806">
              <w:t xml:space="preserve"> poprzez połączenie – w kolejności numerycznej i kończąc na współrzędnej 1 – współrzędnych wskazanych w tabeli 5 zawartej w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Do dnia 31 grudnia 2020 r. żaden statek nie może prowadzić połowów dennych na żadnym z obszarów przedstawionych na rysunku 3 zawartym w CEM </w:t>
            </w:r>
            <w:r w:rsidRPr="002B4806">
              <w:rPr>
                <w:b/>
                <w:i/>
              </w:rPr>
              <w:t xml:space="preserve">(określonych w pkt 1 załącznika do niniejszego rozporządzenia) </w:t>
            </w:r>
            <w:r w:rsidRPr="002B4806">
              <w:t>i </w:t>
            </w:r>
            <w:r w:rsidRPr="002B4806">
              <w:rPr>
                <w:b/>
                <w:i/>
              </w:rPr>
              <w:t>ustalonych</w:t>
            </w:r>
            <w:r w:rsidRPr="002B4806">
              <w:t xml:space="preserve"> poprzez połączenie – w kolejności numerycznej i kończąc na współrzędnej 1 – współrzędnych wskazanych w tabeli 5 zawartej w CEM</w:t>
            </w:r>
            <w:r w:rsidRPr="002B4806">
              <w:rPr>
                <w:b/>
                <w:i/>
              </w:rPr>
              <w:t xml:space="preserve"> określonych w pkt 16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28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18 – ustęp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Do dnia 31 grudnia 2020 r. żaden statek nie może prowadzić połowów dennych na obszarze rejonu 3O przedstawionym na rysunku 4 zawartym w CEM i określonym poprzez połączenie – w porządku liczbowym i kończąc na współrzędnej 1 – współrzędnych wskazanych w tabeli 6 zawartej w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 xml:space="preserve">Do dnia 31 grudnia 2020 r. żaden statek nie może prowadzić połowów dennych na obszarze rejonu 3O przedstawionym na rysunku 4 zawartym w CEM </w:t>
            </w:r>
            <w:r w:rsidRPr="002B4806">
              <w:rPr>
                <w:b/>
                <w:i/>
              </w:rPr>
              <w:t>określonych w pkt 17 załącznika do niniejszego rozporządzenia,</w:t>
            </w:r>
            <w:r w:rsidRPr="002B4806">
              <w:t xml:space="preserve"> i określonym poprzez połączenie – w porządku liczbowym i kończąc na współrzędnej 1 – współrzędnych wskazanych w tabeli 6 zawartej w CEM </w:t>
            </w:r>
            <w:r w:rsidRPr="002B4806">
              <w:rPr>
                <w:b/>
                <w:i/>
              </w:rPr>
              <w:t>określonych w pkt 18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29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18 – ustęp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3.</w:t>
            </w:r>
            <w:r w:rsidRPr="002B4806">
              <w:tab/>
              <w:t>Do dnia 31 grudnia 2020 r. żaden statek nie może prowadzić połowów dennych na obszarach 1</w:t>
            </w:r>
            <w:r w:rsidRPr="002B4806">
              <w:rPr>
                <w:b/>
                <w:i/>
              </w:rPr>
              <w:t>–</w:t>
            </w:r>
            <w:r w:rsidRPr="002B4806">
              <w:t>13 przedstawionych na rysunku 5 zawartym w CEM i określonych poprzez połączenie – w porządku liczbowym i kończąc na współrzędnej 1 – współrzędnych wskazanych w tabeli 7 zawartej w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3.</w:t>
            </w:r>
            <w:r w:rsidRPr="002B4806">
              <w:tab/>
              <w:t>Do dnia 31 grudnia 2020 r. żaden statek nie może prowadzić połowów dennych na obszarach 1</w:t>
            </w:r>
            <w:r w:rsidRPr="002B4806">
              <w:rPr>
                <w:b/>
                <w:i/>
              </w:rPr>
              <w:t>-</w:t>
            </w:r>
            <w:r w:rsidRPr="002B4806">
              <w:t xml:space="preserve">13 przedstawionych na rysunku 5 zawartym w CEM </w:t>
            </w:r>
            <w:r w:rsidRPr="002B4806">
              <w:rPr>
                <w:b/>
                <w:i/>
              </w:rPr>
              <w:t>określonych w pkt 19 załącznika do niniejszego rozporządzenia,</w:t>
            </w:r>
            <w:r w:rsidRPr="002B4806">
              <w:t xml:space="preserve"> i określonych poprzez połączenie – w porządku liczbowym i kończąc na współrzędnej 1 – współrzędnych wskazanych w tabeli 7 zawartej w CEM</w:t>
            </w:r>
            <w:r w:rsidRPr="002B4806">
              <w:rPr>
                <w:b/>
                <w:i/>
              </w:rPr>
              <w:t xml:space="preserve"> określonych w pkt 20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30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18 – ustęp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4.</w:t>
            </w:r>
            <w:r w:rsidRPr="002B4806">
              <w:tab/>
              <w:t>Do dnia 31 grudnia 2018 r. żaden statek nie może prowadzić połowów dennych na obszarze 14 przedstawionym na rysunku 5 zawartym w CEM i określonym poprzez połączenie – w porządku liczbowym i kończąc na współrzędnej 1 – współrzędnych wskazanych w tabeli 7 zawartej w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4.</w:t>
            </w:r>
            <w:r w:rsidRPr="002B4806">
              <w:tab/>
              <w:t>Do dnia 31 grudnia 2018 r. żaden statek nie może prowadzić połowów dennych na obszarze 14 przedstawionym na rysunku 5 zawartym w CEM</w:t>
            </w:r>
            <w:r w:rsidRPr="002B4806">
              <w:rPr>
                <w:b/>
                <w:i/>
              </w:rPr>
              <w:t xml:space="preserve"> określonych w pkt 19 załącznika do niniejszego rozporządzenia,</w:t>
            </w:r>
            <w:r w:rsidRPr="002B4806">
              <w:t xml:space="preserve"> i określonym poprzez połączenie – w porządku liczbowym i kończąc na współrzędnej 1 – współrzędnych wskazanych w tabeli 7 zawartej w CEM</w:t>
            </w:r>
            <w:r w:rsidRPr="002B4806">
              <w:rPr>
                <w:b/>
                <w:i/>
              </w:rPr>
              <w:t xml:space="preserve"> określonych w pkt 20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31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19 – ustęp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>Denne zwiady rybackie są poprzedzone zwiadami prowadzonymi zgodnie z protokołem zwiadów rybackich określonym w załączniku I.E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Denne zwiady rybackie są poprzedzone zwiadami prowadzonymi zgodnie z protokołem zwiadów rybackich określonym w załączniku I.E do CEM </w:t>
            </w:r>
            <w:r w:rsidRPr="002B4806">
              <w:rPr>
                <w:b/>
                <w:i/>
              </w:rPr>
              <w:t>określonych w pkt 21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32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19 – ustęp 2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przekazują Komisji powiadomienie o zamiarze prowadzenia dennych zwiadów rybackich zgodnie z załącznikiem I.E do CEM, wraz z oceną wymaganą na podstawie art. 20 ust. 1;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 xml:space="preserve">przekazują Komisji powiadomienie o zamiarze prowadzenia dennych zwiadów rybackich zgodnie z załącznikiem I.E do CEM </w:t>
            </w:r>
            <w:r w:rsidRPr="002B4806">
              <w:rPr>
                <w:b/>
                <w:i/>
              </w:rPr>
              <w:t xml:space="preserve">określonych w pkt 22 załącznika do niniejszego rozporządzenia, </w:t>
            </w:r>
            <w:r w:rsidRPr="002B4806">
              <w:t>wraz z oceną wymaganą na podstawie art. 20 ust. 1;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33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19 – ustęp 2 – litera d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>przedstawiają Komisji sprawozdanie z rejsu w odniesieniu do dennych zwiadów rybackich, zgodnie z załącznikiem I.E do CEM, w ciągu 2 miesięcy od daty zakończenia dennych zwiadów rybackich.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>przedstawiają Komisji sprawozdanie z rejsu w odniesieniu do dennych zwiadów rybackich, zgodnie z załącznikiem I.E do CEM</w:t>
            </w:r>
            <w:r w:rsidRPr="002B4806">
              <w:rPr>
                <w:b/>
                <w:i/>
              </w:rPr>
              <w:t xml:space="preserve"> określonych w pkt 23 załącznika do niniejszego rozporządzenia</w:t>
            </w:r>
            <w:r w:rsidRPr="002B4806">
              <w:t>, w ciągu 2 miesięcy od daty zakończenia dennych zwiadów rybackich.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34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20 – ustęp 2 – litera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uwzględniać elementy wymienione w</w:t>
            </w:r>
            <w:r w:rsidRPr="002B4806">
              <w:rPr>
                <w:b/>
                <w:i/>
              </w:rPr>
              <w:t> </w:t>
            </w:r>
            <w:r w:rsidRPr="002B4806">
              <w:t>załączniku I.E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 xml:space="preserve">uwzględniać elementy </w:t>
            </w:r>
            <w:r w:rsidRPr="002B4806">
              <w:rPr>
                <w:b/>
                <w:i/>
              </w:rPr>
              <w:t xml:space="preserve">oceny proponowanych dennych zwiadów rybackich </w:t>
            </w:r>
            <w:r w:rsidRPr="002B4806">
              <w:t>wymienione w</w:t>
            </w:r>
            <w:r w:rsidRPr="002B4806">
              <w:rPr>
                <w:b/>
                <w:i/>
              </w:rPr>
              <w:t xml:space="preserve"> </w:t>
            </w:r>
            <w:r w:rsidRPr="002B4806">
              <w:t xml:space="preserve">załączniku I.E do CEM </w:t>
            </w:r>
            <w:r w:rsidRPr="002B4806">
              <w:rPr>
                <w:b/>
                <w:i/>
              </w:rPr>
              <w:t>określonych w pkt 24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35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21 – ustęp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Każde państwo członkowskie wymaga, aby kapitanowie statków uprawnionych do pływania pod jego banderą i prowadzących połowy denne na obszarze podlegającym regulacji dokonywali oceny ilościowej gatunków wskaźnikowych wrażliwych ekosystemów morskich w przypadku napotkania podczas operacji połowowych elementów, które świadczą o obecności gatunków wskaźnikowych wrażliwych ekosystemów morskich, zgodnie z załącznikiem I.E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 xml:space="preserve">Każde państwo członkowskie wymaga, aby kapitanowie statków uprawnionych do pływania pod jego banderą i prowadzących połowy denne na obszarze podlegającym regulacji dokonywali oceny ilościowej gatunków wskaźnikowych wrażliwych ekosystemów morskich w przypadku napotkania podczas operacji połowowych elementów, które świadczą o obecności gatunków wskaźnikowych wrażliwych ekosystemów morskich, zgodnie z załącznikiem I.E do CEM </w:t>
            </w:r>
            <w:r w:rsidRPr="002B4806">
              <w:rPr>
                <w:b/>
                <w:i/>
              </w:rPr>
              <w:t>określonych w pkt 25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36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21 – ustęp 4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klasyfikował korale, gąbki i inne organizmy do najniższego możliwego poziomu taksonomicznego za pomocą formularza danych zwiadów rybackich zawartego w załączniku I.E do CEM oraz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klasyfikował korale, gąbki i inne organizmy do najniższego możliwego poziomu taksonomicznego za pomocą formularza danych zwiadów rybackich zawartego w załączniku I.E do CEM</w:t>
            </w:r>
            <w:r w:rsidRPr="002B4806">
              <w:rPr>
                <w:b/>
                <w:i/>
              </w:rPr>
              <w:t xml:space="preserve"> określonych w pkt 26 załącznika do niniejszego rozporządzenia,</w:t>
            </w:r>
            <w:r w:rsidRPr="002B4806">
              <w:t xml:space="preserve"> oraz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37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22 – ustęp 1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wykaz statków uprawnionych do pływania pod jego banderą, które dane państwo może upoważnić do prowadzenia działalności połowowej na obszarze podlegającym regulacji, zwanych dalej „statkami zgłoszonymi”, w formacie przewidzianym w załączniku II.C1 do CEM;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 xml:space="preserve">wykaz statków uprawnionych do pływania pod jego banderą, które dane państwo może upoważnić do prowadzenia działalności połowowej na obszarze podlegającym regulacji, zwanych dalej „statkami zgłoszonymi”, w formacie przewidzianym w załączniku II.C1 do CEM </w:t>
            </w:r>
            <w:r w:rsidRPr="002B4806">
              <w:rPr>
                <w:b/>
                <w:i/>
              </w:rPr>
              <w:t>określonych w pkt 27 załącznika do niniejszego rozporządzenia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38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22 – ustęp 1 – litera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okresowo informacje o wszelkich statkach usuniętych z wykazu statków zgłoszonych, niezwłocznie, w formacie przewidzianym w załączniku II.C2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 xml:space="preserve">okresowo informacje o wszelkich statkach usuniętych z wykazu statków zgłoszonych, niezwłocznie, w formacie przewidzianym w załączniku II.C2 do CEM </w:t>
            </w:r>
            <w:r w:rsidRPr="002B4806">
              <w:rPr>
                <w:b/>
                <w:i/>
              </w:rPr>
              <w:t>określonych w pkt 28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39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22 – ustęp 5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indywidualne upoważnienie dla każdego statku z wykazu statków zgłoszonych, który państwo to upoważniło do prowadzenia działalności połowowej na obszarze podlegającym regulacji, zwanego dalej „statkiem upoważnionym”, w formacie określonym w załączniku II.C3 do CEM, nie później niż 20 dni przed rozpoczęciem działalności połowowej w danym roku kalendarzowym.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 xml:space="preserve">indywidualne upoważnienie dla każdego statku z wykazu statków zgłoszonych, który państwo to upoważniło do prowadzenia działalności połowowej na obszarze podlegającym regulacji, zwanego dalej „statkiem upoważnionym”, w formacie określonym w załączniku II.C3 do CEM </w:t>
            </w:r>
            <w:r w:rsidRPr="002B4806">
              <w:rPr>
                <w:b/>
                <w:i/>
              </w:rPr>
              <w:t xml:space="preserve">określonych w pkt 29 załącznika do niniejszego rozporządzenia, </w:t>
            </w:r>
            <w:r w:rsidRPr="002B4806">
              <w:t>nie później niż 20 dni przed rozpoczęciem działalności połowowej w danym roku kalendarzowym.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W każdym upoważnieniu określa się w szczególności początkową i końcową datę jego ważności oraz gatunki, których połowy ukierunkowane są dozwolone, chyba że są one zwolnione zgodnie z załącznikiem II.C3 do CEM. Jeżeli statek zamierza dokonywać połowów gatunków podlegających regulacji, o których mowa w uprawnieniach do połowów, określenie to dotyczy danego stada, przy czym gatunek podlegający regulacji jest powiązany z obszarem, którego te połowy dotyczą;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 xml:space="preserve">W każdym upoważnieniu określa się w szczególności początkową i końcową datę jego ważności oraz gatunki, których połowy ukierunkowane są dozwolone, chyba że są one zwolnione zgodnie z załącznikiem II.C3 do CEM </w:t>
            </w:r>
            <w:r w:rsidRPr="002B4806">
              <w:rPr>
                <w:b/>
                <w:i/>
              </w:rPr>
              <w:t>określonych w pkt 29 załącznika do niniejszego rozporządzenia</w:t>
            </w:r>
            <w:r w:rsidRPr="002B4806">
              <w:t>. Jeżeli statek zamierza dokonywać połowów gatunków podlegających regulacji, o których mowa w uprawnieniach do połowów, określenie to dotyczy danego stada, przy czym gatunek podlegający regulacji jest powiązany z obszarem, którego te połowy dotyczą;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40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22 – ustęp 5 – litera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zawieszenie upoważnienia, w formacie przewidzianym w załączniku II.C4 do CEM, niezwłocznie w przypadku cofnięcia danego upoważnienia lub wprowadzenia zmian do jego treści, jeżeli cofnięcie lub zmiany mają miejsce w okresie jego ważności;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 xml:space="preserve">zawieszenie upoważnienia, w formacie przewidzianym w załączniku II.C4 do CEM </w:t>
            </w:r>
            <w:r w:rsidRPr="002B4806">
              <w:rPr>
                <w:b/>
                <w:i/>
              </w:rPr>
              <w:t xml:space="preserve">określonych w pkt 30 załącznika do niniejszego rozporządzenia, </w:t>
            </w:r>
            <w:r w:rsidRPr="002B4806">
              <w:t>niezwłocznie w przypadku cofnięcia danego upoważnienia lub wprowadzenia zmian do jego treści, jeżeli cofnięcie lub zmiany mają miejsce w okresie jego ważności;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41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24 – ustęp 1 – litera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kod alfa-3 dla każdego gatunku wymienionego w załączniku I.C do CEM;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 xml:space="preserve">kod alfa-3 dla każdego gatunku wymienionego w załączniku I.C do CEM </w:t>
            </w:r>
            <w:r w:rsidRPr="002B4806">
              <w:rPr>
                <w:b/>
                <w:i/>
              </w:rPr>
              <w:t>określonych w pkt 31 załącznika do niniejszego rozporządzenia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42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24 – ustęp 1 – litera 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e)</w:t>
            </w:r>
            <w:r w:rsidRPr="002B4806">
              <w:tab/>
              <w:t>kod postaci produktu zgodnie z wykazem w załączniku II.K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e)</w:t>
            </w:r>
            <w:r w:rsidRPr="002B4806">
              <w:tab/>
              <w:t xml:space="preserve">kod postaci produktu zgodnie z wykazem w załączniku II.K do CEM </w:t>
            </w:r>
            <w:r w:rsidRPr="002B4806">
              <w:rPr>
                <w:b/>
                <w:i/>
              </w:rPr>
              <w:t>określonych w pkt 32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43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25 – ustęp 2 – wprowadzenie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Każdy statek rybacki prowadzi dziennik połowowy, który jest przechowywany na statku przez co najmniej 12 miesięcy i w którym zgodnie z załącznikiem II.A do CEM: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 xml:space="preserve">Każdy statek rybacki prowadzi dziennik połowowy, który jest przechowywany na statku przez co najmniej 12 miesięcy i w którym zgodnie z załącznikiem II.A do CEM </w:t>
            </w:r>
            <w:r w:rsidRPr="002B4806">
              <w:rPr>
                <w:b/>
                <w:i/>
              </w:rPr>
              <w:t>określonych w pkt 33 załącznika do niniejszego rozporządzenia</w:t>
            </w:r>
            <w:r w:rsidRPr="002B4806">
              <w:t>: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  <w:keepNext/>
      </w:pPr>
      <w:r w:rsidRPr="002B4806">
        <w:t>Poprawka</w:t>
      </w:r>
      <w:r w:rsidRPr="002B4806">
        <w:tab/>
      </w:r>
      <w:r w:rsidRPr="002B4806">
        <w:tab/>
        <w:t>44</w:t>
      </w:r>
    </w:p>
    <w:p w:rsidR="001D14BC" w:rsidRPr="002B4806" w:rsidRDefault="001D14BC" w:rsidP="001D14BC">
      <w:pPr>
        <w:pStyle w:val="NormalBold12b"/>
        <w:keepNext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>Artykuł 25 – ustęp 5 – litera d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 xml:space="preserve">jest przechowywany na statku, dopóki </w:t>
            </w:r>
            <w:r w:rsidRPr="002B4806">
              <w:rPr>
                <w:b/>
                <w:i/>
              </w:rPr>
              <w:t xml:space="preserve">statek </w:t>
            </w:r>
            <w:r w:rsidRPr="002B4806">
              <w:t xml:space="preserve">nie </w:t>
            </w:r>
            <w:r w:rsidRPr="002B4806">
              <w:rPr>
                <w:b/>
                <w:i/>
              </w:rPr>
              <w:t>zostanie całkowicie rozładowany</w:t>
            </w:r>
            <w:r w:rsidRPr="002B4806">
              <w:t>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t>d)</w:t>
            </w:r>
            <w:r w:rsidRPr="002B4806">
              <w:tab/>
              <w:t xml:space="preserve">jest przechowywany na statku, dopóki nie </w:t>
            </w:r>
            <w:r w:rsidRPr="002B4806">
              <w:rPr>
                <w:b/>
                <w:i/>
              </w:rPr>
              <w:t>zostaną wyładowane wszystkie połowy statku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45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25 – ustęp 6 – wprowadzenie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6.</w:t>
            </w:r>
            <w:r w:rsidRPr="002B4806">
              <w:tab/>
              <w:t>Każdy statek rybacki, zgodnie z formatem i treścią przewidzianą dla każdego rodzaju raportu w załączniku II.D i załączniku II.F do CEM, przesyła drogą elektroniczną do swojego ośrodka monitorowania rybołówstwa raporty dotyczące: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6.</w:t>
            </w:r>
            <w:r w:rsidRPr="002B4806">
              <w:tab/>
              <w:t xml:space="preserve">Każdy statek rybacki, zgodnie z formatem i treścią przewidzianą dla każdego rodzaju raportu w załączniku II.D i załączniku II.F do CEM </w:t>
            </w:r>
            <w:r w:rsidRPr="002B4806">
              <w:rPr>
                <w:b/>
                <w:i/>
              </w:rPr>
              <w:t xml:space="preserve">określonych w pkt 34 i 35 załącznika do niniejszego rozporządzenia, </w:t>
            </w:r>
            <w:r w:rsidRPr="002B4806">
              <w:t>przesyła drogą elektroniczną do swojego ośrodka monitorowania rybołówstwa raporty dotyczące: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46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25 – ustęp 6 – litera g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g)</w:t>
            </w:r>
            <w:r w:rsidRPr="002B4806">
              <w:tab/>
              <w:t>połowów gatunków wymienionych w wykazie gatunków zawartym w załączniku I.C do CEM, w przypadku których całkowita masa w relacji pełnej na burcie jest mniejsza niż 100 kg; z wyjątkiem rekinów mogą być one raportowane za pomocą kodu alfa-3 MZZ (gatunki morskie niesklasyfikowane). Wszystkie rekiny są w miarę możliwości raportowane na poziomie gatunku zgodnie z przypisanym im kodem alfa-3. Kiedy raportowanie na poziomie gatunku nie jest możliwe, gatunki rekina raportuje się albo jako koleniokształtne (SHX), albo koleniowate (DGX), w stosownych przypadkach i zgodnie z kodem alfa-3 przedstawionym w załączniku I.C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g)</w:t>
            </w:r>
            <w:r w:rsidRPr="002B4806">
              <w:tab/>
              <w:t>połowów gatunków wymienionych w wykazie gatunków zawartym w załączniku I.C do CEM</w:t>
            </w:r>
            <w:r w:rsidRPr="002B4806">
              <w:rPr>
                <w:b/>
                <w:i/>
              </w:rPr>
              <w:t xml:space="preserve"> określonych w pkt 31 załącznika do niniejszego rozporządzenia</w:t>
            </w:r>
            <w:r w:rsidRPr="002B4806">
              <w:t>, w przypadku których całkowita masa w relacji pełnej na burcie jest mniejsza niż 100 kg; z wyjątkiem rekinów mogą być one raportowane za pomocą kodu alfa-3 MZZ (gatunki morskie niesklasyfikowane). Wszystkie rekiny są w miarę możliwości raportowane na poziomie gatunku zgodnie z przypisanym im kodem alfa-3. Kiedy raportowanie na poziomie gatunku nie jest możliwe, gatunki rekina raportuje się albo jako koleniokształtne (SHX), albo koleniowate (DGX), w stosownych przypadkach i zgodnie z kodem alfa-3 przedstawionym w załączniku I.C do CEM</w:t>
            </w:r>
            <w:r w:rsidRPr="002B4806">
              <w:rPr>
                <w:b/>
                <w:i/>
              </w:rPr>
              <w:t xml:space="preserve"> określonych w pkt 31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47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25 – ustęp 7 – akapit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Raporty, o których mowa w ust. 6, można anulować, używając formatu określonego w załączniku II.F (8) do CEM. Jeżeli którykolwiek z wyżej wymienionych raportów poddawany jest korekcie, niezwłocznie po raporcie anulującym wysyła się nowy raport, zgodnie z terminami ustalonymi w niniejszym artykule.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 xml:space="preserve">Raporty, o których mowa w ust. 6, można anulować, używając formatu określonego w załączniku II.F (8) do CEM </w:t>
            </w:r>
            <w:r w:rsidRPr="002B4806">
              <w:rPr>
                <w:b/>
                <w:i/>
              </w:rPr>
              <w:t>określonych w pkt 35 załącznika do niniejszego rozporządzenia</w:t>
            </w:r>
            <w:r w:rsidRPr="002B4806">
              <w:t>. Jeżeli którykolwiek z wyżej wymienionych raportów poddawany jest korekcie, niezwłocznie po raporcie anulującym wysyła się nowy raport, zgodnie z terminami ustalonymi w niniejszym artykule.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48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25 – ustęp 8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8.</w:t>
            </w:r>
            <w:r w:rsidRPr="002B4806">
              <w:tab/>
              <w:t>Każde państwo członkowskie zapewnia, aby ośrodek monitorowania rybołówstwa tego państwa niezwłocznie po otrzymaniu przesłał drogą elektroniczną raport, o którym mowa w ust. 6, sekretarzowi wykonawczemu NAFO w formacie przewidzianym w załączniku II.D do CEM, z kopią do Komisji i EFCA.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8.</w:t>
            </w:r>
            <w:r w:rsidRPr="002B4806">
              <w:tab/>
              <w:t>Każde państwo członkowskie zapewnia, aby ośrodek monitorowania rybołówstwa tego państwa niezwłocznie po otrzymaniu przesłał drogą elektroniczną raport, o którym mowa w ust. 6, sekretarzowi wykonawczemu NAFO w formacie przewidzianym w załączniku II.D do CEM</w:t>
            </w:r>
            <w:r w:rsidRPr="002B4806">
              <w:rPr>
                <w:b/>
                <w:i/>
              </w:rPr>
              <w:t xml:space="preserve"> określonych w pkt 34 załącznika do niniejszego rozporządzenia</w:t>
            </w:r>
            <w:r w:rsidRPr="002B4806">
              <w:t>, z kopią do Komisji i EFCA.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49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25 – ustęp 9 – litera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zapewnia, aby informacje zawarte w dzienniku połowowym były przedkładane Komisji w formacie pliku XML (extensible markup language) lub Microsoft Excel w ciągu 60 dni po zakończeniu każdego rejsu połowowego i aby zawierały one co najmniej informacje wymienione w załączniku II.N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 xml:space="preserve">zapewnia, aby informacje zawarte w dzienniku połowowym były przedkładane Komisji w formacie pliku XML (extensible markup language) lub Microsoft Excel w ciągu 60 dni po zakończeniu każdego rejsu połowowego i aby zawierały one co najmniej informacje wymienione w załączniku II.N do CEM </w:t>
            </w:r>
            <w:r w:rsidRPr="002B4806">
              <w:rPr>
                <w:b/>
                <w:i/>
              </w:rPr>
              <w:t>określonych w pkt 36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50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26 – ustęp 9 – litera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dane VMS o pozycji przekazane sekretarzowi wykonawczemu NAFO były zgodne z formatem wymiany danych określonym w załączniku II.E do CEM i szczegółowo opisanym w załączniku II.D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dane VMS o pozycji przekazane sekretarzowi wykonawczemu NAFO były zgodne z formatem wymiany danych określonym w załączniku II.E do CEM</w:t>
            </w:r>
            <w:r w:rsidRPr="002B4806">
              <w:rPr>
                <w:b/>
                <w:i/>
              </w:rPr>
              <w:t xml:space="preserve"> (określonych w pkt 37 załącznika do niniejszego rozporządzenia)</w:t>
            </w:r>
            <w:r w:rsidRPr="002B4806">
              <w:t xml:space="preserve"> i szczegółowo opisanym w załączniku II.D do CEM</w:t>
            </w:r>
            <w:r w:rsidRPr="002B4806">
              <w:rPr>
                <w:b/>
                <w:i/>
              </w:rPr>
              <w:t xml:space="preserve"> (określonych w pkt 34 załącznika do niniejszego rozporządzenia)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51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27 – ustęp 3 – litera d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>w przypadku połowów na zamkniętych obszarach gór podwodnych, o których mowa w art. 18 ust. 1, zgłaszanie w części „Uwagi” w sprawozdaniu obserwatora, o którym mowa w załączniku II.M do CEM, wszelkich ilości gatunków wskaźnikowych wrażliwych ekosystemów morskich, o których mowa w załączniku I.E. do CEM, dla każdego zaciągu;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>w przypadku połowów na zamkniętych obszarach gór podwodnych, o których mowa w art. 18 ust. 1, zgłaszanie w części „Uwagi” w sprawozdaniu obserwatora, o którym mowa w załączniku II.M do CEM</w:t>
            </w:r>
            <w:r w:rsidRPr="002B4806">
              <w:rPr>
                <w:b/>
                <w:i/>
              </w:rPr>
              <w:t xml:space="preserve"> określonych w pkt 38 załącznika do niniejszego rozporządzenia</w:t>
            </w:r>
            <w:r w:rsidRPr="002B4806">
              <w:t>, wszelkich ilości gatunków wskaźnikowych wrażliwych ekosystemów morskich, o których mowa w załączniku I.E. do CEM</w:t>
            </w:r>
            <w:r w:rsidRPr="002B4806">
              <w:rPr>
                <w:b/>
                <w:i/>
              </w:rPr>
              <w:t xml:space="preserve"> określonych w pkt 25 załącznika do niniejszego rozporządzenia</w:t>
            </w:r>
            <w:r w:rsidRPr="002B4806">
              <w:t>, dla każdego zaciągu;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52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27 – ustęp 3 – litera h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h)</w:t>
            </w:r>
            <w:r w:rsidRPr="002B4806">
              <w:tab/>
              <w:t>najwcześniej jak to możliwe po opuszczeniu obszaru podlegającego regulacji, a najpóźniej w momencie przybycia statku do portu, przedłożenie sprawozdania zgodnie ze wzorem w załączniku II.M do CEM, w formacie elektronicznym, państwu członkowskiemu bandery oraz, w przypadku inspekcji w porcie, również lokalnym portowym organom inspekcyjnym. Państwo członkowskie bandery przekazuje Komisji sprawozdanie w formacie pliku Microsoft Excel w ciągu 25 dni od przybycia statku do portu. Komisja przesyła to sprawozdanie sekretarzowi wykonawczemu NAFO.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h)</w:t>
            </w:r>
            <w:r w:rsidRPr="002B4806">
              <w:tab/>
              <w:t>najwcześniej jak to możliwe po opuszczeniu obszaru podlegającego regulacji, a najpóźniej w momencie przybycia statku do portu, przedłożenie sprawozdania zgodnie ze wzorem w załączniku II.M do CEM</w:t>
            </w:r>
            <w:r w:rsidRPr="002B4806">
              <w:rPr>
                <w:b/>
                <w:i/>
              </w:rPr>
              <w:t xml:space="preserve"> określonych w pkt 38 załącznika do niniejszego rozporządzenia</w:t>
            </w:r>
            <w:r w:rsidRPr="002B4806">
              <w:t>, w formacie elektronicznym, państwu członkowskiemu bandery oraz, w przypadku inspekcji w porcie, również lokalnym portowym organom inspekcyjnym. Państwo członkowskie bandery przekazuje Komisji sprawozdanie w formacie pliku Microsoft Excel w ciągu 25 dni od przybycia statku do portu. Komisja przesyła to sprawozdanie sekretarzowi wykonawczemu NAFO.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53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28 – ustęp 9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oprócz obowiązków opisanych w art. 27 ust. 3, codziennie przekazuje sprawozdanie obserwatora (OBR), zgodnie z załącznikiem II.G do CEM, do ośrodka monitorowania rybołówstwa państwa członkowskiego bandery, który nie później niż do godziny 12:00 czasu UTC w dniu następnym po otrzymaniu sprawozdania przekazuje je Komisji, która z kolei przekazuje je sekretarzowi wykonawczemu NAFO, oraz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oprócz obowiązków opisanych w art. 27 ust. 3, codziennie przekazuje sprawozdanie obserwatora (OBR), zgodnie z załącznikiem II.G do CEM, do ośrodka monitorowania rybołówstwa państwa członkowskiego bandery</w:t>
            </w:r>
            <w:r w:rsidRPr="002B4806">
              <w:rPr>
                <w:b/>
                <w:i/>
              </w:rPr>
              <w:t xml:space="preserve"> określonego w pkt 39 załącznika do niniejszego rozporządzenia</w:t>
            </w:r>
            <w:r w:rsidRPr="002B4806">
              <w:t>, który nie później niż do godziny 12:00 czasu UTC w dniu następnym po otrzymaniu sprawozdania przekazuje je Komisji, która z kolei przekazuje je sekretarzowi wykonawczemu NAFO, oraz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54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28 – ustęp 10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zgodnie z załącznikiem II.F (3) do CEM przekazuje ośrodkowi monitorowania rybołówstwa państwa członkowskiego bandery dzienne raporty połowowe (CAT) i zapewnia, aby zgłoszone w ten sposób połowy pokrywały się z wpisami do dziennika połowowego. Ośrodek monitorowania rybołówstwa nie później niż do godziny 12:00 czasu UTC w dniu następnym po otrzymaniu raportu przekazuje go Komisji, która z kolei przesyła go sekretarzowi wykonawczemu NAFO, oraz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 xml:space="preserve">zgodnie z załącznikiem II.F (3) do CEM przekazuje ośrodkowi monitorowania rybołówstwa państwa członkowskiego bandery </w:t>
            </w:r>
            <w:r w:rsidRPr="002B4806">
              <w:rPr>
                <w:b/>
                <w:i/>
              </w:rPr>
              <w:t xml:space="preserve">określonemu w pkt 40 załącznika do niniejszego rozporządzenia </w:t>
            </w:r>
            <w:r w:rsidRPr="002B4806">
              <w:t>dzienne raporty połowowe (CAT) i zapewnia, aby zgłoszone w ten sposób połowy pokrywały się z wpisami do dziennika połowowego. Ośrodek monitorowania rybołówstwa nie później niż do godziny 12:00 czasu UTC w dniu następnym po otrzymaniu raportu przekazuje go Komisji, która z kolei przesyła go sekretarzowi wykonawczemu NAFO, oraz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55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29 – ustęp 10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10.</w:t>
            </w:r>
            <w:r w:rsidRPr="002B4806">
              <w:tab/>
              <w:t>Wszystkie sprawozdania z nadzoru, inspekcji i śledztwa, o których mowa w niniejszym rozdziale VII, a także powiązane z nimi zdjęcia lub dowody traktowane są jako poufne, zgodnie z załącznikiem II.B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10.</w:t>
            </w:r>
            <w:r w:rsidRPr="002B4806">
              <w:tab/>
              <w:t>Wszystkie sprawozdania z nadzoru, inspekcji i śledztwa, o których mowa w niniejszym rozdziale VII, a także powiązane z nimi zdjęcia lub dowody traktowane są jako poufne, zgodnie z załącznikiem II.B do CEM</w:t>
            </w:r>
            <w:r w:rsidRPr="002B4806">
              <w:rPr>
                <w:b/>
                <w:i/>
              </w:rPr>
              <w:t xml:space="preserve"> określonych w pkt 41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56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31 – ustęp 1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 xml:space="preserve">wypełnia formularz sprawozdania z nadzoru </w:t>
            </w:r>
            <w:r w:rsidRPr="002B4806">
              <w:rPr>
                <w:b/>
                <w:i/>
              </w:rPr>
              <w:t>zawarty w załączniku</w:t>
            </w:r>
            <w:r w:rsidRPr="002B4806">
              <w:t xml:space="preserve"> IV.A do CEM. Jeżeli inspektor dokonał oceny objętościowej lub oceny składu połowu z jednego zaciągu, sprawozdanie z nadzoru obejmuje wszystkie istotne informacje dotyczące składu zaciągu i odnotowuje się w nim metodę dokonania oceny objętościowej;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 xml:space="preserve">wypełnia formularz sprawozdania z nadzoru </w:t>
            </w:r>
            <w:r w:rsidRPr="002B4806">
              <w:rPr>
                <w:b/>
                <w:i/>
              </w:rPr>
              <w:t>zgodnie z załącznikiem</w:t>
            </w:r>
            <w:r w:rsidRPr="002B4806">
              <w:t xml:space="preserve"> IV.A do CEM</w:t>
            </w:r>
            <w:r w:rsidRPr="002B4806">
              <w:rPr>
                <w:b/>
                <w:i/>
              </w:rPr>
              <w:t xml:space="preserve"> określonych w pkt 42 załącznika do niniejszego rozporządzenia</w:t>
            </w:r>
            <w:r w:rsidRPr="002B4806">
              <w:t>. Jeżeli inspektor dokonał oceny objętościowej lub oceny składu połowu z jednego zaciągu, sprawozdanie z nadzoru obejmuje wszystkie istotne informacje dotyczące składu zaciągu i odnotowuje się w nim metodę dokonania oceny objętościowej;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57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32 – ustęp 1 – litera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umieszczali na statku inspekcyjnym i na statku poddawanym inspekcji proporczyk przedstawiony w załączniku IV.E do CEM;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umieszczali na statku inspekcyjnym i na statku poddawanym inspekcji proporczyk przedstawiony w załączniku IV.E do CEM</w:t>
            </w:r>
            <w:r w:rsidRPr="002B4806">
              <w:rPr>
                <w:b/>
                <w:i/>
              </w:rPr>
              <w:t xml:space="preserve"> określonych w pkt 43 załącznika do niniejszego rozporządzenia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58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33 – ustęp 1 – litera c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c)</w:t>
            </w:r>
            <w:r w:rsidRPr="002B4806">
              <w:tab/>
              <w:t>zapewnia drabinkę wejściową zgodnie z załącznikiem IV.G do CEM</w:t>
            </w:r>
            <w:r w:rsidRPr="002B4806">
              <w:rPr>
                <w:b/>
                <w:i/>
              </w:rPr>
              <w:t>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c)</w:t>
            </w:r>
            <w:r w:rsidRPr="002B4806">
              <w:tab/>
              <w:t>zapewnia drabinkę wejściową zgodnie z załącznikiem IV.G do CEM</w:t>
            </w:r>
            <w:r w:rsidRPr="002B4806">
              <w:rPr>
                <w:b/>
                <w:i/>
              </w:rPr>
              <w:t xml:space="preserve"> określonych w pkt 44 załącznika do niniejszego rozporządzenia.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  <w:keepNext/>
      </w:pPr>
      <w:r w:rsidRPr="002B4806">
        <w:t>Poprawka</w:t>
      </w:r>
      <w:r w:rsidRPr="002B4806">
        <w:tab/>
      </w:r>
      <w:r w:rsidRPr="002B4806">
        <w:tab/>
        <w:t>59</w:t>
      </w:r>
    </w:p>
    <w:p w:rsidR="001D14BC" w:rsidRPr="002B4806" w:rsidRDefault="001D14BC" w:rsidP="001D14BC">
      <w:pPr>
        <w:pStyle w:val="NormalBold12b"/>
        <w:keepNext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>Artykuł 33 – ustęp 1 – litera h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h)</w:t>
            </w:r>
            <w:r w:rsidRPr="002B4806">
              <w:tab/>
              <w:t>nie utrudnia kontaktów między inspektorem a obserwatorem;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t>h)</w:t>
            </w:r>
            <w:r w:rsidRPr="002B4806">
              <w:tab/>
              <w:t>nie utrudnia kontaktów między inspektorem a obserwatorem</w:t>
            </w:r>
            <w:r w:rsidRPr="002B4806">
              <w:rPr>
                <w:b/>
                <w:i/>
              </w:rPr>
              <w:t>, ułatwiając w tym celu korzystanie z zarezerwowanego obszaru lub miejsca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60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34 – ustęp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Każde państwo członkowskie zapewnia, aby w odniesieniu do każdej inspekcji jego inspektorzy wypełniali sprawozdanie z inspekcji w formacie </w:t>
            </w:r>
            <w:r w:rsidRPr="002B4806">
              <w:rPr>
                <w:b/>
                <w:i/>
              </w:rPr>
              <w:t>przewidzianym</w:t>
            </w:r>
            <w:r w:rsidRPr="002B4806">
              <w:t xml:space="preserve"> w załączniku IV.B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Każde państwo członkowskie zapewnia, aby w odniesieniu do każdej inspekcji jego inspektorzy wypełniali sprawozdanie z inspekcji w formacie </w:t>
            </w:r>
            <w:r w:rsidRPr="002B4806">
              <w:rPr>
                <w:b/>
                <w:i/>
              </w:rPr>
              <w:t>ustanowionym</w:t>
            </w:r>
            <w:r w:rsidRPr="002B4806">
              <w:t xml:space="preserve"> w załączniku IV.B do CEM</w:t>
            </w:r>
            <w:r w:rsidRPr="002B4806">
              <w:rPr>
                <w:b/>
                <w:i/>
              </w:rPr>
              <w:t xml:space="preserve"> określonych w pkt 45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  <w:keepNext/>
      </w:pPr>
      <w:r w:rsidRPr="002B4806">
        <w:t>Poprawka</w:t>
      </w:r>
      <w:r w:rsidRPr="002B4806">
        <w:tab/>
      </w:r>
      <w:r w:rsidRPr="002B4806">
        <w:tab/>
        <w:t>61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 xml:space="preserve"> Artykuł 34 – ustęp 2 – litera b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b)</w:t>
            </w:r>
            <w:r w:rsidRPr="002B4806">
              <w:tab/>
              <w:t>dokonując porównania wpisów w dzienniku produkcyjnym z wpisami w dzienniku połowowym, inspektor przelicza masę produkcyjną na masę w relacji pełnej, w oparciu o współczynniki przeliczeniowe, które zastosował kapitan;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t>b)</w:t>
            </w:r>
            <w:r w:rsidRPr="002B4806">
              <w:tab/>
              <w:t>dokonując porównania wpisów w dzienniku produkcyjnym z wpisami w dzienniku połowowym, inspektor przelicza masę produkcyjną na masę w relacji pełnej, w oparciu o współczynniki przeliczeniowe</w:t>
            </w:r>
            <w:r w:rsidRPr="002B4806">
              <w:rPr>
                <w:b/>
                <w:i/>
              </w:rPr>
              <w:t xml:space="preserve"> określone w załącznikach XIII, XIV i XV do rozporządzenia (UE) nr 404/2011; w odniesieniu do gatunków i form nieobjętych tymi załącznikami stosuje się współczynniki przeliczeniowe</w:t>
            </w:r>
            <w:r w:rsidRPr="002B4806">
              <w:t>, które zastosował kapitan;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62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35 – ustęp 1 – litera d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 xml:space="preserve">w stosownych przypadkach dokładnie przytwierdzili plombę inspekcyjną NAFO </w:t>
            </w:r>
            <w:r w:rsidRPr="002B4806">
              <w:rPr>
                <w:b/>
                <w:i/>
              </w:rPr>
              <w:t>przedstawioną</w:t>
            </w:r>
            <w:r w:rsidRPr="002B4806">
              <w:t xml:space="preserve"> w załączniku IV.F do CEM i należycie odnotowali w sprawozdaniu z inspekcji podjęte działania i numer seryjny każdej plomby;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d)</w:t>
            </w:r>
            <w:r w:rsidRPr="002B4806">
              <w:tab/>
              <w:t xml:space="preserve">w stosownych przypadkach dokładnie przytwierdzili plombę inspekcyjną NAFO </w:t>
            </w:r>
            <w:r w:rsidRPr="002B4806">
              <w:rPr>
                <w:b/>
                <w:i/>
              </w:rPr>
              <w:t>przewidzianą</w:t>
            </w:r>
            <w:r w:rsidRPr="002B4806">
              <w:t xml:space="preserve"> w załączniku IV.F do CEM</w:t>
            </w:r>
            <w:r w:rsidRPr="002B4806">
              <w:rPr>
                <w:b/>
                <w:i/>
              </w:rPr>
              <w:t xml:space="preserve"> określonych w pkt 46 załącznika do niniejszego rozporządzenia</w:t>
            </w:r>
            <w:r w:rsidRPr="002B4806">
              <w:t xml:space="preserve"> i należycie odnotowali w sprawozdaniu z inspekcji podjęte działania i numer seryjny każdej plomby;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63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35 – ustęp 2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w ciągu 24 godzin od wykrycia naruszenia przesyła Komisji i EFCA pisemne powiadomienie o naruszeniu zgłoszonym przez inspektorów, a te następnie przesyłają je właściwemu organowi państwa bandery będącego umawiającą się stroną lub państwa członkowskiego, jeżeli nie jest to państwo członkowskie dokonujące inspekcji, a także sekretarzowi wykonawczemu NAFO. W pisemnym powiadomieniu podaje się informacje wpisane w pkt 15 sprawozdania z inspekcji zawartego w załączniku IV.B do CEM; wskazuje się odpowiednie środki i szczegółowo opisuje się podstawę wydania powiadomienia o naruszeniu oraz dowody na poparcie tego powiadomienia; w miarę możliwości do powiadomienia dołącza się również dokumentację fotograficzną każdego narzędzia, połowu lub innego dowodu związanego z naruszeniem, o którym mowa w ust. 1 niniejszego artykułu;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w ciągu 24 godzin od wykrycia naruszenia przesyła Komisji i EFCA pisemne powiadomienie o naruszeniu zgłoszonym przez inspektorów, a te następnie przesyłają je właściwemu organowi państwa bandery będącego umawiającą się stroną lub państwa członkowskiego, jeżeli nie jest to państwo członkowskie dokonujące inspekcji, a także sekretarzowi wykonawczemu NAFO. W pisemnym powiadomieniu podaje się informacje wpisane w pkt 15 sprawozdania z inspekcji zawartego w załączniku IV.B do CEM</w:t>
            </w:r>
            <w:r w:rsidRPr="002B4806">
              <w:rPr>
                <w:b/>
                <w:i/>
              </w:rPr>
              <w:t xml:space="preserve"> określonych w pkt 45 załącznika do niniejszego rozporządzenia</w:t>
            </w:r>
            <w:r w:rsidRPr="002B4806">
              <w:t>; wskazuje się odpowiednie środki i szczegółowo opisuje się podstawę wydania powiadomienia o naruszeniu oraz dowody na poparcie tego powiadomienia; w miarę możliwości do powiadomienia dołącza się również dokumentację fotograficzną każdego narzędzia, połowu lub innego dowodu związanego z naruszeniem, o którym mowa w ust. 1 niniejszego artykułu;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  <w:keepNext/>
      </w:pPr>
      <w:r w:rsidRPr="002B4806">
        <w:t>Poprawka</w:t>
      </w:r>
      <w:r w:rsidRPr="002B4806">
        <w:tab/>
      </w:r>
      <w:r w:rsidRPr="002B4806">
        <w:tab/>
        <w:t>64</w:t>
      </w:r>
    </w:p>
    <w:p w:rsidR="001D14BC" w:rsidRPr="002B4806" w:rsidRDefault="001D14BC" w:rsidP="001D14BC">
      <w:pPr>
        <w:pStyle w:val="NormalBold12b"/>
        <w:keepNext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>Artykuł 36 – ustęp 1 – punkt 1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l)</w:t>
            </w:r>
            <w:r w:rsidRPr="002B4806">
              <w:tab/>
              <w:t>zastraszanie inspektorów lub obserwatorów, przeszkadzanie im, ingerowanie w ich pracę lub w inny sposób utrudnianie im wykonywania swoich obowiązków;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rPr>
                <w:szCs w:val="24"/>
              </w:rPr>
              <w:t>l)</w:t>
            </w:r>
            <w:r w:rsidRPr="002B4806">
              <w:rPr>
                <w:szCs w:val="24"/>
              </w:rPr>
              <w:tab/>
              <w:t>zastraszanie inspektorów lub obserwatorów, przeszkadzanie im, ingerowanie w ich pracę lub w inny sposób utrudnianie im wykonywania swoich obowiązków</w:t>
            </w:r>
            <w:r w:rsidRPr="002B4806">
              <w:rPr>
                <w:b/>
                <w:i/>
                <w:szCs w:val="24"/>
              </w:rPr>
              <w:t>, lub niebezpośrednie formy wywierania presji, takie jak uniemożliwianie im odpoczynku lub naruszanie ich prawa do prywatności</w:t>
            </w:r>
            <w:r w:rsidRPr="002B4806">
              <w:rPr>
                <w:szCs w:val="24"/>
              </w:rPr>
              <w:t xml:space="preserve">; </w:t>
            </w:r>
          </w:p>
        </w:tc>
      </w:tr>
    </w:tbl>
    <w:p w:rsidR="001D14BC" w:rsidRPr="002B4806" w:rsidRDefault="001D14BC" w:rsidP="001D14BC">
      <w:pPr>
        <w:pStyle w:val="JustificationTitle"/>
      </w:pPr>
      <w:r w:rsidRPr="002B4806">
        <w:t>Uzasadnienie</w:t>
      </w:r>
    </w:p>
    <w:p w:rsidR="001D14BC" w:rsidRPr="002B4806" w:rsidRDefault="001D14BC" w:rsidP="001D14BC">
      <w:pPr>
        <w:pStyle w:val="Normal12Italic"/>
      </w:pPr>
      <w:r w:rsidRPr="002B4806">
        <w:t>Obserwatorzy spędzają dużo czasu na pokładzie statków rybackich i, mimo że nie istnieją wyraźne przeszkody dla ich pracy, próby uniemożliwiania im odpoczynku i naruszania ich prawa do prywatności stanowią niebezpośrednie formy ograniczania ich zdolności do pracy.</w:t>
      </w:r>
    </w:p>
    <w:p w:rsidR="001D14BC" w:rsidRPr="002B4806" w:rsidRDefault="001D14BC" w:rsidP="001D14BC"/>
    <w:p w:rsidR="001D14BC" w:rsidRPr="002B4806" w:rsidRDefault="001D14BC" w:rsidP="001D14BC">
      <w:pPr>
        <w:pStyle w:val="AMNumberTabs"/>
        <w:keepNext/>
      </w:pPr>
      <w:r w:rsidRPr="002B4806">
        <w:t>Poprawka</w:t>
      </w:r>
      <w:r w:rsidRPr="002B4806">
        <w:tab/>
      </w:r>
      <w:r w:rsidRPr="002B4806">
        <w:tab/>
        <w:t>65</w:t>
      </w:r>
    </w:p>
    <w:p w:rsidR="001D14BC" w:rsidRPr="002B4806" w:rsidRDefault="001D14BC" w:rsidP="001D14BC">
      <w:pPr>
        <w:pStyle w:val="NormalBold12b"/>
        <w:keepNext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>Artykuł 39 – ustęp 1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 xml:space="preserve">Przepisy niniejszego rozdziału mają zastosowanie do wyładunku, przeładunku lub korzystania z portów państw członkowskich przez statki rybackie uprawnione do pływania pod banderą innej umawiającej się strony NAFO, prowadzące działalność połowową na obszarze podlegającym regulacji. Przepisy te mają zastosowanie do </w:t>
            </w:r>
            <w:r w:rsidRPr="002B4806">
              <w:rPr>
                <w:b/>
                <w:i/>
              </w:rPr>
              <w:t>ryb</w:t>
            </w:r>
            <w:r w:rsidRPr="002B4806">
              <w:t xml:space="preserve"> złowionych na obszarze podlegającym regulacji lub produktów z</w:t>
            </w:r>
            <w:r w:rsidRPr="002B4806">
              <w:rPr>
                <w:b/>
                <w:i/>
              </w:rPr>
              <w:t> tych ryb</w:t>
            </w:r>
            <w:r w:rsidRPr="002B4806">
              <w:t>, które nie zostały uprzednio wyładowane ani przeładowane w porcie.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t xml:space="preserve">Przepisy niniejszego rozdziału mają zastosowanie do wyładunku, przeładunku lub korzystania z portów państw członkowskich przez statki rybackie uprawnione do pływania pod banderą innej umawiającej się strony NAFO, prowadzące działalność połowową na obszarze podlegającym regulacji. Przepisy te mają zastosowanie do </w:t>
            </w:r>
            <w:r w:rsidRPr="002B4806">
              <w:rPr>
                <w:b/>
                <w:i/>
              </w:rPr>
              <w:t>zasobów</w:t>
            </w:r>
            <w:r w:rsidRPr="002B4806">
              <w:t xml:space="preserve"> złowionych na obszarze podlegającym regulacji lub </w:t>
            </w:r>
            <w:r w:rsidRPr="002B4806">
              <w:rPr>
                <w:b/>
                <w:i/>
              </w:rPr>
              <w:t xml:space="preserve">do </w:t>
            </w:r>
            <w:r w:rsidRPr="002B4806">
              <w:t>produktów z</w:t>
            </w:r>
            <w:r w:rsidRPr="002B4806">
              <w:rPr>
                <w:b/>
                <w:i/>
              </w:rPr>
              <w:t xml:space="preserve"> nich przetworzonych</w:t>
            </w:r>
            <w:r w:rsidRPr="002B4806">
              <w:t>, które nie zostały uprzednio wyładowane ani przeładowane w porcie.</w:t>
            </w:r>
          </w:p>
        </w:tc>
      </w:tr>
    </w:tbl>
    <w:p w:rsidR="001D14BC" w:rsidRPr="002B4806" w:rsidRDefault="001D14BC" w:rsidP="001D14BC">
      <w:pPr>
        <w:pStyle w:val="JustificationTitle"/>
      </w:pPr>
      <w:r w:rsidRPr="002B4806">
        <w:t>Uzasadnienie</w:t>
      </w:r>
    </w:p>
    <w:p w:rsidR="001D14BC" w:rsidRPr="002B4806" w:rsidRDefault="001D14BC" w:rsidP="001D14BC">
      <w:pPr>
        <w:pStyle w:val="Normal12Italic"/>
      </w:pPr>
      <w:r w:rsidRPr="002B4806">
        <w:t>Przepisy te mają zastosowanie do wszystkich zasobów rybnych, a nie tylko do samych ryb.</w:t>
      </w:r>
    </w:p>
    <w:p w:rsidR="001D14BC" w:rsidRPr="002B4806" w:rsidRDefault="001D14BC" w:rsidP="001D14BC"/>
    <w:p w:rsidR="001D14BC" w:rsidRPr="002B4806" w:rsidRDefault="001D14BC" w:rsidP="001D14BC">
      <w:pPr>
        <w:pStyle w:val="AMNumberTabs"/>
        <w:keepNext/>
      </w:pPr>
      <w:r w:rsidRPr="002B4806">
        <w:t>Poprawka</w:t>
      </w:r>
      <w:r w:rsidRPr="002B4806">
        <w:tab/>
      </w:r>
      <w:r w:rsidRPr="002B4806">
        <w:tab/>
        <w:t>66</w:t>
      </w:r>
    </w:p>
    <w:p w:rsidR="001D14BC" w:rsidRPr="002B4806" w:rsidRDefault="001D14BC" w:rsidP="001D14BC">
      <w:pPr>
        <w:pStyle w:val="NormalBold12b"/>
        <w:keepNext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 xml:space="preserve">Artykuł 40 – ustęp 2 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 xml:space="preserve">Państwo członkowskie portu ustanawia </w:t>
            </w:r>
            <w:r w:rsidRPr="002B4806">
              <w:rPr>
                <w:b/>
                <w:i/>
              </w:rPr>
              <w:t>minimalny termin wstępnego zgłoszenia.</w:t>
            </w:r>
            <w:r w:rsidRPr="002B4806">
              <w:t xml:space="preserve"> </w:t>
            </w:r>
            <w:r w:rsidRPr="002B4806">
              <w:rPr>
                <w:b/>
                <w:i/>
              </w:rPr>
              <w:t>Termin wstępnego zgłoszenia wynosi 3 dni robocze przed przewidywanym czasem przybycia do portu.</w:t>
            </w:r>
            <w:r w:rsidRPr="002B4806">
              <w:t xml:space="preserve">  Państwo członkowskie portu może jednak, w porozumieniu z Komisją, przewidzieć inny termin wstępnego zgłoszenia, z uwzględnieniem między innymi rodzaju produktu będącego przedmiotem połowów lub odległości między łowiskami a swoimi portami. Państwo członkowskie portu przekazuje Komisji informacje o terminie wstępnego zgłoszenia, a ta publikuje je na stronie internetowej MCS NAFO w formacie PDF.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t>2.</w:t>
            </w:r>
            <w:r w:rsidRPr="002B4806">
              <w:tab/>
              <w:t xml:space="preserve">Państwo członkowskie portu ustanawia </w:t>
            </w:r>
            <w:r w:rsidRPr="002B4806">
              <w:rPr>
                <w:b/>
                <w:i/>
              </w:rPr>
              <w:t>okres trzech</w:t>
            </w:r>
            <w:r w:rsidRPr="002B4806">
              <w:t xml:space="preserve"> dni </w:t>
            </w:r>
            <w:r w:rsidRPr="002B4806">
              <w:rPr>
                <w:b/>
                <w:i/>
              </w:rPr>
              <w:t>roboczych</w:t>
            </w:r>
            <w:r w:rsidRPr="002B4806">
              <w:t xml:space="preserve"> przed czasem przybycia do portu</w:t>
            </w:r>
            <w:r w:rsidRPr="002B4806">
              <w:rPr>
                <w:b/>
                <w:i/>
              </w:rPr>
              <w:t xml:space="preserve"> jako minimalny termin wstępnego zgłoszenia.</w:t>
            </w:r>
            <w:r w:rsidRPr="002B4806">
              <w:t xml:space="preserve"> Państwo członkowskie portu może jednak, w porozumieniu z Komisją, przewidzieć inny termin wstępnego zgłoszenia, z uwzględnieniem między innymi rodzaju produktu będącego przedmiotem połowów lub odległości między łowiskami a swoimi portami. Państwo członkowskie portu przekazuje Komisji informacje o terminie wstępnego zgłoszenia, a ta publikuje je na stronie internetowej MCS NAFO w formacie PDF.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  <w:keepNext/>
      </w:pPr>
      <w:r w:rsidRPr="002B4806">
        <w:t>Poprawka</w:t>
      </w:r>
      <w:r w:rsidRPr="002B4806">
        <w:tab/>
      </w:r>
      <w:r w:rsidRPr="002B4806">
        <w:tab/>
        <w:t>67</w:t>
      </w:r>
    </w:p>
    <w:p w:rsidR="001D14BC" w:rsidRPr="002B4806" w:rsidRDefault="001D14BC" w:rsidP="001D14BC">
      <w:pPr>
        <w:pStyle w:val="NormalBold12b"/>
        <w:keepNext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>Artykuł 40 – ustęp 7 – litera c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c)</w:t>
            </w:r>
            <w:r w:rsidRPr="002B4806">
              <w:tab/>
              <w:t xml:space="preserve">jeżeli w ciągu 14 dni od </w:t>
            </w:r>
            <w:r w:rsidRPr="002B4806">
              <w:rPr>
                <w:b/>
                <w:i/>
              </w:rPr>
              <w:t>wyładunku</w:t>
            </w:r>
            <w:r w:rsidRPr="002B4806">
              <w:t xml:space="preserve"> nie otrzymano potwierdzenia, państwo członkowskie portu może skonfiskować i zbyć ryby zgodnie z przepisami krajowymi.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t>c)</w:t>
            </w:r>
            <w:r w:rsidRPr="002B4806">
              <w:tab/>
              <w:t xml:space="preserve">jeżeli w ciągu 14 dni od </w:t>
            </w:r>
            <w:r w:rsidRPr="002B4806">
              <w:rPr>
                <w:b/>
                <w:i/>
              </w:rPr>
              <w:t>zakończenia operacji związanych z wyładunkiem</w:t>
            </w:r>
            <w:r w:rsidRPr="002B4806">
              <w:t xml:space="preserve"> nie otrzymano potwierdzenia, państwo członkowskie portu może skonfiskować i zbyć ryby zgodnie z przepisami krajowymi.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68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40 – ustęp 8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8.</w:t>
            </w:r>
            <w:r w:rsidRPr="002B4806">
              <w:tab/>
              <w:t>Państwo członkowskie portu niezwłocznie powiadamia kapitana statku rybackiego o swojej decyzji dotyczącej udzielenia lub odmowy udzielenia zezwolenia na wejście do portu, a jeżeli statek jest już w porcie, o decyzji dotyczącej wyładunku, przeładunku i innego korzystania z portu. Jeżeli zezwolono na wejście statku, państwo członkowskie portu zwraca kapitanowi kopię formularza zawartego w załączniku II.L do CEM „Formularz wstępnego zgłoszenia na potrzeby kontroli przeprowadzanej przez państwo portu”, z odpowiednio wypełnioną częścią C. Kopię niezwłocznie przesyła się również Komisji, która publikuje ją na stronie internetowej MCS NAFO. W przypadku odmowy państwo członkowskie portu powiadamia również państwo bandery będące umawiającą się stroną NAFO.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8.</w:t>
            </w:r>
            <w:r w:rsidRPr="002B4806">
              <w:tab/>
              <w:t xml:space="preserve">Państwo członkowskie portu niezwłocznie powiadamia kapitana statku rybackiego o swojej decyzji dotyczącej udzielenia lub odmowy udzielenia zezwolenia na wejście do portu, a jeżeli statek jest już w porcie, o decyzji dotyczącej wyładunku, przeładunku i innego korzystania z portu. Jeżeli zezwolono na wejście statku, państwo członkowskie portu zwraca kapitanowi kopię formularza zawartego w załączniku II.L do CEM </w:t>
            </w:r>
            <w:r w:rsidRPr="002B4806">
              <w:rPr>
                <w:b/>
                <w:i/>
              </w:rPr>
              <w:t xml:space="preserve">(określonych w pkt 47 załącznika do niniejszego rozporządzenia) </w:t>
            </w:r>
            <w:r w:rsidRPr="002B4806">
              <w:t>„Formularz wstępnego zgłoszenia na potrzeby kontroli przeprowadzanej przez państwo portu”, z odpowiednio wypełnioną częścią C. Kopię niezwłocznie przesyła się również Komisji, która publikuje ją na stronie internetowej MCS NAFO. W przypadku odmowy państwo członkowskie portu powiadamia również państwo bandery będące umawiającą się stroną NAFO.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69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40 – ustęp 11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11.</w:t>
            </w:r>
            <w:r w:rsidRPr="002B4806">
              <w:tab/>
              <w:t xml:space="preserve">Inspekcje </w:t>
            </w:r>
            <w:r w:rsidRPr="002B4806">
              <w:rPr>
                <w:b/>
                <w:i/>
              </w:rPr>
              <w:t xml:space="preserve">przeprowadzane </w:t>
            </w:r>
            <w:r w:rsidRPr="002B4806">
              <w:t xml:space="preserve">są </w:t>
            </w:r>
            <w:r w:rsidRPr="002B4806">
              <w:rPr>
                <w:b/>
                <w:i/>
              </w:rPr>
              <w:t>zgodnie</w:t>
            </w:r>
            <w:r w:rsidRPr="002B4806">
              <w:t xml:space="preserve"> z zasadami zawartymi w załączniku IV.H do CEM </w:t>
            </w:r>
            <w:r w:rsidRPr="002B4806">
              <w:rPr>
                <w:b/>
                <w:i/>
              </w:rPr>
              <w:t>przez upoważnionych inspektorów</w:t>
            </w:r>
            <w:r w:rsidRPr="002B4806">
              <w:t xml:space="preserve"> państwa członkowskiego portu, którzy przed inspekcją przedstawiają kapitanowi statku dokumenty identyfikacyjne.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11.</w:t>
            </w:r>
            <w:r w:rsidRPr="002B4806">
              <w:tab/>
              <w:t xml:space="preserve">Inspekcje są </w:t>
            </w:r>
            <w:r w:rsidRPr="002B4806">
              <w:rPr>
                <w:b/>
                <w:i/>
              </w:rPr>
              <w:t>zgodne</w:t>
            </w:r>
            <w:r w:rsidRPr="002B4806">
              <w:t xml:space="preserve"> z zasadami zawartymi w załączniku IV.H do CEM </w:t>
            </w:r>
            <w:r w:rsidRPr="002B4806">
              <w:rPr>
                <w:b/>
                <w:i/>
              </w:rPr>
              <w:t>określonych w pkt 48 załącznika do niniejszego rozporządzenia i przeprowadzają je upoważnieni inspektorzy</w:t>
            </w:r>
            <w:r w:rsidRPr="002B4806">
              <w:t xml:space="preserve"> państwa członkowskiego portu, którzy przed inspekcją przedstawiają kapitanowi statku dokumenty identyfikacyjne.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70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40 – ustęp 13 – litera a – podpunkt iii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(iii)</w:t>
            </w:r>
            <w:r w:rsidRPr="002B4806">
              <w:tab/>
              <w:t>wszelkimi informacjami na temat połowów podanymi w formularzu wstępnego zgłoszenia na potrzeby kontroli przeprowadzanej przez państwo portu zawartym w załączniku II.L do CEM;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(iii)</w:t>
            </w:r>
            <w:r w:rsidRPr="002B4806">
              <w:tab/>
              <w:t>wszelkimi informacjami na temat połowów podanymi w formularzu wstępnego zgłoszenia na potrzeby kontroli przeprowadzanej przez państwo portu zawartym w załączniku II.L do CEM</w:t>
            </w:r>
            <w:r w:rsidRPr="002B4806">
              <w:rPr>
                <w:b/>
                <w:i/>
              </w:rPr>
              <w:t xml:space="preserve"> określonych w pkt 47 załącznika do niniejszego rozporządzenia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71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40 – ustęp 16 – wprowadzenie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16.</w:t>
            </w:r>
            <w:r w:rsidRPr="002B4806">
              <w:tab/>
              <w:t>Każda inspekcja jest dokumentowana poprzez wypełnienie formularza PSC 3 (formularz kontroli przeprowadzanej przez państwo portu) zawartego w załączniku IV.C do CEM. Procedura wypełniania sprawozdania z inspekcji w ramach kontroli przeprowadzanej przez państwo portu obejmuje następujące czynności: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16.</w:t>
            </w:r>
            <w:r w:rsidRPr="002B4806">
              <w:tab/>
              <w:t>Każda inspekcja jest dokumentowana poprzez wypełnienie formularza PSC 3 (formularz kontroli przeprowadzanej przez państwo portu) zawartego w załączniku IV.C do CEM</w:t>
            </w:r>
            <w:r w:rsidRPr="002B4806">
              <w:rPr>
                <w:b/>
                <w:i/>
              </w:rPr>
              <w:t xml:space="preserve"> określonych w pkt 49 załącznika do niniejszego rozporządzenia</w:t>
            </w:r>
            <w:r w:rsidRPr="002B4806">
              <w:t>. Procedura wypełniania sprawozdania z inspekcji w ramach kontroli przeprowadzanej przez państwo portu obejmuje następujące czynności: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72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41 – ustęp 2 – wprowadzenie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Państwo członkowskie statku rybackiego, który zamierza dokonać wyładunku lub przeładunku połowu lub który prowadził operacje przeładunku poza portem, potwierdza w drodze odesłania kopii formularza wstępnego zgłoszenia na potrzeby kontroli przeprowadzanej przez państwo portu, zawartego w załączniku II.L do CEM, przekazanego zgodnie z art. 40 ust. 5, z odpowiednio wypełnioną częścią B, w którym to formularzu oświadcza, że: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Państwo członkowskie statku rybackiego, który zamierza dokonać wyładunku lub przeładunku połowu lub który prowadził operacje przeładunku poza portem, potwierdza w drodze odesłania kopii formularza wstępnego zgłoszenia na potrzeby kontroli przeprowadzanej przez państwo portu, zawartego w załączniku II.L do CEM</w:t>
            </w:r>
            <w:r w:rsidRPr="002B4806">
              <w:rPr>
                <w:b/>
                <w:i/>
              </w:rPr>
              <w:t xml:space="preserve"> określonych w pkt 47 załącznika do niniejszego rozporządzenia</w:t>
            </w:r>
            <w:r w:rsidRPr="002B4806">
              <w:t>, przekazanego zgodnie z art. 40 ust. 5, z odpowiednio wypełnioną częścią B, w którym to formularzu oświadcza, że: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73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42 – ustęp 1 – wprowadzenie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>Kapitan statku rybackiego zamierzającego wejść do portu lub jego przedstawiciel przekazuje zgłoszenie wejścia do portu właściwym organom państwa członkowskiego portu w terminie przewidzianym na dokonanie zgłoszenia, o którym mowa w art. 40 ust. 2. Zgłoszenie to przesyłane jest wraz z odpowiednio wypełnioną częścią A formularza wstępnego zgłoszenia na potrzeby kontroli przeprowadzanej przez państwo portu, zawartego w załączniku II.L do CEM, zgodnie z następującymi zasadami: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>Kapitan statku rybackiego zamierzającego wejść do portu lub jego przedstawiciel przekazuje zgłoszenie wejścia do portu właściwym organom państwa członkowskiego portu w terminie przewidzianym na dokonanie zgłoszenia, o którym mowa w art. 40 ust. 2. Zgłoszenie to przesyłane jest wraz z odpowiednio wypełnioną częścią A formularza wstępnego zgłoszenia na potrzeby kontroli przeprowadzanej przez państwo portu, zawartego w załączniku II.L do CEM</w:t>
            </w:r>
            <w:r w:rsidRPr="002B4806">
              <w:rPr>
                <w:b/>
                <w:i/>
              </w:rPr>
              <w:t xml:space="preserve"> określonych w pkt 47 załącznika do niniejszego rozporządzenia</w:t>
            </w:r>
            <w:r w:rsidRPr="002B4806">
              <w:t>, zgodnie z następującymi zasadami: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74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42 – ustęp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Kapitan statku lub jego przedstawiciel mogą anulować wstępne zgłoszenie, informując właściwe organy portu, z którego zamierzali oni skorzystać. Do zgłoszenia dołącza się kopię oryginalnego formularza wstępnego zgłoszenia na potrzeby kontroli przeprowadzanej przez państwo portu, zawartego w załączniku II.L do CEM, z naniesioną na środku adnotacją „CANCELLED”.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2.</w:t>
            </w:r>
            <w:r w:rsidRPr="002B4806">
              <w:tab/>
              <w:t>Kapitan statku lub jego przedstawiciel mogą anulować wstępne zgłoszenie, informując właściwe organy portu, z którego zamierzali oni skorzystać. Do zgłoszenia dołącza się kopię oryginalnego formularza wstępnego zgłoszenia na potrzeby kontroli przeprowadzanej przez państwo portu, zawartego w załączniku II.L do CEM</w:t>
            </w:r>
            <w:r w:rsidRPr="002B4806">
              <w:rPr>
                <w:b/>
                <w:i/>
              </w:rPr>
              <w:t xml:space="preserve"> określonych w pkt 47 załącznika do niniejszego rozporządzenia</w:t>
            </w:r>
            <w:r w:rsidRPr="002B4806">
              <w:t>, z naniesioną na środku adnotacją „CANCELLED”.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75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44 – ustęp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Państwa członkowskie, właściwe organy, operatorzy, kapitanowie i załoga statków traktują wszystkie sprawozdania z inspekcji i postępowania wyjaśniającego, a także towarzyszącą im dokumentację fotograficzną lub inne dowody oraz formularze, o których mowa w niniejszym rozdziale, jako poufne, zgodnie z załącznikiem II.B do CEM.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Państwa członkowskie, właściwe organy, operatorzy, kapitanowie i załoga statków traktują wszystkie sprawozdania z inspekcji i postępowania wyjaśniającego, a także towarzyszącą im dokumentację fotograficzną lub inne dowody oraz formularze, o których mowa w niniejszym rozdziale, jako poufne, zgodnie z załącznikiem II.B do CEM</w:t>
            </w:r>
            <w:r w:rsidRPr="002B4806">
              <w:rPr>
                <w:b/>
                <w:i/>
              </w:rPr>
              <w:t xml:space="preserve"> określonych w pkt 41 załącznika do niniejszego rozporządzenia</w:t>
            </w:r>
            <w:r w:rsidRPr="002B4806">
              <w:t>.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76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46 – ustęp 1 – litera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niezwłocznie przekazuje te informacje Komisji według wzoru sprawozdania z nadzoru określonego w załączniku IV.A do CEM;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a)</w:t>
            </w:r>
            <w:r w:rsidRPr="002B4806">
              <w:tab/>
              <w:t>niezwłocznie przekazuje te informacje Komisji według wzoru sprawozdania z nadzoru określonego w załączniku IV.A do CEM</w:t>
            </w:r>
            <w:r w:rsidRPr="002B4806">
              <w:rPr>
                <w:b/>
                <w:i/>
              </w:rPr>
              <w:t xml:space="preserve"> określonych w pkt 42 załącznika do niniejszego rozporządzenia</w:t>
            </w:r>
            <w:r w:rsidRPr="002B4806">
              <w:t>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77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46 – ustęp 1 – litera d – podpunkt i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(i)</w:t>
            </w:r>
            <w:r w:rsidRPr="002B4806">
              <w:tab/>
              <w:t>niezwłocznie przekazuje Komisji wyniki inspekcji za pomocą formularza sprawozdania z inspekcji określonego w załączniku IV.B do CEM; and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(i)</w:t>
            </w:r>
            <w:r w:rsidRPr="002B4806">
              <w:tab/>
              <w:t>niezwłocznie przekazuje Komisji wyniki inspekcji za pomocą formularza sprawozdania z inspekcji określonego w załączniku IV.B do CEM</w:t>
            </w:r>
            <w:r w:rsidRPr="002B4806">
              <w:rPr>
                <w:b/>
                <w:i/>
              </w:rPr>
              <w:t xml:space="preserve"> określonych w pkt 45 załącznika do niniejszego rozporządzenia</w:t>
            </w:r>
            <w:r w:rsidRPr="002B4806">
              <w:t>; and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78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52 – ustęp 1 – wprowadzenie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>Komisja jest uprawniona do przyjęcia aktów delegowanych</w:t>
            </w:r>
            <w:r w:rsidRPr="002B4806">
              <w:rPr>
                <w:b/>
                <w:i/>
              </w:rPr>
              <w:t>,</w:t>
            </w:r>
            <w:r w:rsidRPr="002B4806">
              <w:t xml:space="preserve"> zgodnie z art. 53, </w:t>
            </w:r>
            <w:r w:rsidRPr="002B4806">
              <w:rPr>
                <w:b/>
                <w:i/>
              </w:rPr>
              <w:t>dotyczących</w:t>
            </w:r>
            <w:r w:rsidRPr="002B4806">
              <w:t>: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t>1.</w:t>
            </w:r>
            <w:r w:rsidRPr="002B4806">
              <w:tab/>
              <w:t xml:space="preserve">Komisja jest uprawniona do przyjęcia aktów delegowanych zgodnie z art. 53, </w:t>
            </w:r>
            <w:r w:rsidRPr="002B4806">
              <w:rPr>
                <w:b/>
                <w:i/>
              </w:rPr>
              <w:t>zmieniających niniejsze rozporządzenie w celu dostosowania go do środków przyjętych przez NAFO w odniesieniu do</w:t>
            </w:r>
            <w:r w:rsidRPr="002B4806">
              <w:t>: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79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52 – ustęp 1 – litera d a (nowa)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da)</w:t>
            </w:r>
            <w:r w:rsidRPr="002B4806">
              <w:tab/>
            </w:r>
            <w:r w:rsidRPr="002B4806">
              <w:rPr>
                <w:b/>
                <w:i/>
              </w:rPr>
              <w:t>Załącznik;</w:t>
            </w: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</w:pPr>
      <w:r w:rsidRPr="002B4806">
        <w:t>Poprawka</w:t>
      </w:r>
      <w:r w:rsidRPr="002B4806">
        <w:tab/>
      </w:r>
      <w:r w:rsidRPr="002B4806">
        <w:tab/>
        <w:t>80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</w:pPr>
      <w:r w:rsidRPr="002B4806">
        <w:t>Artykuł 54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D14BC" w:rsidRPr="002B4806" w:rsidTr="007C4F9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/>
        </w:tc>
      </w:tr>
      <w:tr w:rsidR="001D14BC" w:rsidRPr="002B4806" w:rsidTr="007C4F90">
        <w:trPr>
          <w:trHeight w:val="240"/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</w:rPr>
            </w:pPr>
            <w:r w:rsidRPr="002B4806">
              <w:rPr>
                <w:b/>
                <w:bCs/>
                <w:i/>
                <w:iCs/>
              </w:rPr>
              <w:t>Artykuł 54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</w:rPr>
            </w:pPr>
            <w:r w:rsidRPr="002B4806">
              <w:rPr>
                <w:b/>
                <w:bCs/>
                <w:i/>
                <w:iCs/>
              </w:rPr>
              <w:t>skreśla się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</w:rPr>
            </w:pPr>
            <w:r w:rsidRPr="002B4806">
              <w:rPr>
                <w:b/>
                <w:bCs/>
                <w:i/>
                <w:iCs/>
              </w:rPr>
              <w:t>Wdrożenie niektórych części CEM i załączników do nich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</w:rPr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1.</w:t>
            </w:r>
            <w:r w:rsidRPr="002B4806">
              <w:rPr>
                <w:b/>
                <w:i/>
              </w:rPr>
              <w:tab/>
              <w:t>Części CEM i załączniki do nich przywołane w poniższych przepisach niniejszego rozporządzenia są bezpośrednio stosowane we wszystkich państwach członkowskich i egzekwowane wobec osób fizycznych i prawnych, począwszy od dwudziestego dnia po opublikowaniu, o którym mowa w ust. 2: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a) art. 3 ust. 17, 21 i 29;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562215" w:rsidTr="007C4F90">
        <w:trPr>
          <w:jc w:val="center"/>
        </w:trPr>
        <w:tc>
          <w:tcPr>
            <w:tcW w:w="4876" w:type="dxa"/>
          </w:tcPr>
          <w:p w:rsidR="001D14BC" w:rsidRPr="00562215" w:rsidRDefault="001D14BC" w:rsidP="007C4F90">
            <w:pPr>
              <w:pStyle w:val="Normal6"/>
              <w:rPr>
                <w:lang w:val="en-GB"/>
              </w:rPr>
            </w:pPr>
            <w:r w:rsidRPr="00562215">
              <w:rPr>
                <w:b/>
                <w:i/>
                <w:lang w:val="en-GB"/>
              </w:rPr>
              <w:t>b) art. 4 ust. 3 lit. a);</w:t>
            </w:r>
          </w:p>
        </w:tc>
        <w:tc>
          <w:tcPr>
            <w:tcW w:w="4876" w:type="dxa"/>
          </w:tcPr>
          <w:p w:rsidR="001D14BC" w:rsidRPr="00562215" w:rsidRDefault="001D14BC" w:rsidP="007C4F90">
            <w:pPr>
              <w:pStyle w:val="Normal6"/>
              <w:rPr>
                <w:lang w:val="en-GB"/>
              </w:rPr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c) art. 9 ust. 1, 4 i 5;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d) art. 10 ust. 1 lit. e);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e) art. 13 ust. 1 i ust. 2 lit. d);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(f) art. 14 ust. 2 i 3;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g) art. 16 ust. 1 i 2;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h) art. 17;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i) art. 18 ust. 1–4;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j) art. 19 ust. 1 i ust. 2 lit. a) i d);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k) art. 20 ust. 2 lit. b);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l) art. 21 ust. 2 i ust. 4 lit. a);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m) art. 22 ust. 1 lit. a) i b) oraz ust. 5) lit. a);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n) art. 22 ust. 5 lit. a) i b);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o) art. 24 ust. 1 lit. b) i e);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p) art. 25 ust. 2 i 6, ust. 6 lit. g), ust. 7 i 8 oraz ust. 9 lit. b);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q) art. 26 ust. 9 lit. b);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r) art. 27 ust. 3 lit. d) i h);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562215" w:rsidTr="007C4F90">
        <w:trPr>
          <w:jc w:val="center"/>
        </w:trPr>
        <w:tc>
          <w:tcPr>
            <w:tcW w:w="4876" w:type="dxa"/>
          </w:tcPr>
          <w:p w:rsidR="001D14BC" w:rsidRPr="00562215" w:rsidRDefault="001D14BC" w:rsidP="007C4F90">
            <w:pPr>
              <w:pStyle w:val="Normal6"/>
              <w:rPr>
                <w:lang w:val="en-GB"/>
              </w:rPr>
            </w:pPr>
            <w:r w:rsidRPr="00562215">
              <w:rPr>
                <w:b/>
                <w:i/>
                <w:lang w:val="en-GB"/>
              </w:rPr>
              <w:t>s) art. 28 ust. 9 lit. a) i ust. 10 lit. a);</w:t>
            </w:r>
          </w:p>
        </w:tc>
        <w:tc>
          <w:tcPr>
            <w:tcW w:w="4876" w:type="dxa"/>
          </w:tcPr>
          <w:p w:rsidR="001D14BC" w:rsidRPr="00562215" w:rsidRDefault="001D14BC" w:rsidP="007C4F90">
            <w:pPr>
              <w:pStyle w:val="Normal6"/>
              <w:rPr>
                <w:lang w:val="en-GB"/>
              </w:rPr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t) art. 29 ust. 10;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u) art. 31 ust. 1 lit. a);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v) art. 32 lit. b);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w) art. 33 lit. c);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x) art. 34 ust. 1;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562215" w:rsidTr="007C4F90">
        <w:trPr>
          <w:jc w:val="center"/>
        </w:trPr>
        <w:tc>
          <w:tcPr>
            <w:tcW w:w="4876" w:type="dxa"/>
          </w:tcPr>
          <w:p w:rsidR="001D14BC" w:rsidRPr="00562215" w:rsidRDefault="001D14BC" w:rsidP="007C4F90">
            <w:pPr>
              <w:pStyle w:val="Normal6"/>
              <w:rPr>
                <w:lang w:val="en-GB"/>
              </w:rPr>
            </w:pPr>
            <w:r w:rsidRPr="00562215">
              <w:rPr>
                <w:b/>
                <w:i/>
                <w:lang w:val="en-GB"/>
              </w:rPr>
              <w:t>y) art. 35 ust. 1 lit. d) i ust. 2 lit. a);</w:t>
            </w:r>
          </w:p>
        </w:tc>
        <w:tc>
          <w:tcPr>
            <w:tcW w:w="4876" w:type="dxa"/>
          </w:tcPr>
          <w:p w:rsidR="001D14BC" w:rsidRPr="00562215" w:rsidRDefault="001D14BC" w:rsidP="007C4F90">
            <w:pPr>
              <w:pStyle w:val="Normal6"/>
              <w:rPr>
                <w:lang w:val="en-GB"/>
              </w:rPr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z) art. 40 ust. 8 i 11, ust. 13 lit. a) ppkt (iii) oraz ust. 16;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aa) art. 41 ust. 2;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bb) art. 42 ust. 1, ust. 1 lit. a) i b) oraz ust. 2;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cc) art. 43;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dd) art. 44; and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562215" w:rsidTr="007C4F90">
        <w:trPr>
          <w:jc w:val="center"/>
        </w:trPr>
        <w:tc>
          <w:tcPr>
            <w:tcW w:w="4876" w:type="dxa"/>
          </w:tcPr>
          <w:p w:rsidR="001D14BC" w:rsidRPr="00562215" w:rsidRDefault="001D14BC" w:rsidP="007C4F90">
            <w:pPr>
              <w:pStyle w:val="Normal6"/>
              <w:rPr>
                <w:lang w:val="en-GB"/>
              </w:rPr>
            </w:pPr>
            <w:r w:rsidRPr="00562215">
              <w:rPr>
                <w:b/>
                <w:i/>
                <w:lang w:val="en-GB"/>
              </w:rPr>
              <w:t>(ee) art. 46 ust. 1 lit. a) i d).</w:t>
            </w:r>
          </w:p>
        </w:tc>
        <w:tc>
          <w:tcPr>
            <w:tcW w:w="4876" w:type="dxa"/>
          </w:tcPr>
          <w:p w:rsidR="001D14BC" w:rsidRPr="00562215" w:rsidRDefault="001D14BC" w:rsidP="007C4F90">
            <w:pPr>
              <w:pStyle w:val="Normal6"/>
              <w:rPr>
                <w:lang w:val="en-GB"/>
              </w:rPr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2.</w:t>
            </w:r>
            <w:r w:rsidRPr="002B4806">
              <w:rPr>
                <w:b/>
                <w:i/>
              </w:rPr>
              <w:tab/>
              <w:t>Komisja publikuje w Dzienniku Urzędowym Unii Europejskiej części CEM i załączniki do nich określone w ust. 1 w ciągu jednego miesiąca od daty wejścia w życie niniejszego rozporządzenia.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  <w:r w:rsidRPr="002B4806">
              <w:rPr>
                <w:b/>
                <w:i/>
              </w:rPr>
              <w:t>Komisja publikuje w Dzienniku Urzędowym Unii Europejskiej późniejsze zmiany już opublikowanych części CEM i załączników do nich, zgodnie z akapitem pierwszym, w ciągu jednego miesiąca od dnia, w którym zmiany te stają się wiążące dla Unii i państw członkowskich.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</w:tr>
    </w:tbl>
    <w:p w:rsidR="001D14BC" w:rsidRPr="002B4806" w:rsidRDefault="001D14BC" w:rsidP="001D14BC"/>
    <w:p w:rsidR="001D14BC" w:rsidRPr="002B4806" w:rsidRDefault="001D14BC" w:rsidP="001D14BC">
      <w:pPr>
        <w:pStyle w:val="AMNumberTabs"/>
        <w:keepNext/>
      </w:pPr>
      <w:r w:rsidRPr="002B4806">
        <w:t>Poprawka</w:t>
      </w:r>
      <w:r w:rsidRPr="002B4806">
        <w:tab/>
      </w:r>
      <w:r w:rsidRPr="002B4806">
        <w:tab/>
        <w:t>81</w:t>
      </w:r>
    </w:p>
    <w:p w:rsidR="001D14BC" w:rsidRPr="002B4806" w:rsidRDefault="001D14BC" w:rsidP="001D14BC">
      <w:pPr>
        <w:pStyle w:val="NormalBold12b"/>
      </w:pPr>
      <w:r w:rsidRPr="002B4806">
        <w:t>Wniosek dotyczący rozporządzenia</w:t>
      </w:r>
    </w:p>
    <w:p w:rsidR="001D14BC" w:rsidRPr="002B4806" w:rsidRDefault="001D14BC" w:rsidP="001D14BC">
      <w:pPr>
        <w:pStyle w:val="NormalBold"/>
        <w:keepNext/>
      </w:pPr>
      <w:r w:rsidRPr="002B4806">
        <w:t>Załącznik (nowy)</w:t>
      </w:r>
    </w:p>
    <w:p w:rsidR="001D14BC" w:rsidRPr="002B4806" w:rsidRDefault="001D14BC" w:rsidP="001D14B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14BC" w:rsidRPr="002B4806" w:rsidTr="007C4F90">
        <w:trPr>
          <w:jc w:val="center"/>
        </w:trPr>
        <w:tc>
          <w:tcPr>
            <w:tcW w:w="9752" w:type="dxa"/>
            <w:gridSpan w:val="2"/>
          </w:tcPr>
          <w:p w:rsidR="001D14BC" w:rsidRPr="002B4806" w:rsidRDefault="001D14BC" w:rsidP="007C4F90">
            <w:pPr>
              <w:keepNext/>
            </w:pP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Tekst proponowany przez Komisję</w:t>
            </w: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ColumnHeading"/>
              <w:keepNext/>
            </w:pPr>
            <w:r w:rsidRPr="002B4806">
              <w:t>Poprawka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Załącznik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[każdą pozycję [należy] wypełnić treścią środka, o którym mowa]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1) Tabela 4 zawarta w CEM, o której mowa w art. 3 pkt 17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2) Rysunek 2 zawarty w CEM, o którym mowa w art. 3 pkt 17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3) Część VI załącznika I.E do CEM, o której mowa w art. 3 pkt 21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4) Część VII załącznika I.E do CEM, o której mowa w art. 3 pkt 29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5) Format przewidziany w załączniku II.C do CEM, o którym mowa w art. 4 ust. 3 lit. a)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6) Tabela 1 i rysunek 1(1) zawarte w CEM, o których mowa w art. 9 ust. 1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7) Tabela 2 i rysunek 1(2) zawarte w CEM, o których mowa w art. 9 ust. 4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8) Tabela 3 i rysunek 1(3) zawarte w CEM, o których mowa w art. 9 ust. 5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9) Format przewidziany w załączniku IV.C do CEM, o którym mowa w art. 10 ust. 1 lit. e)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10) Załącznik III.A do CEM, o którym mowa w art. 13 ust. 1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11) Załącznik I.C do CEM, o którym mowa w art. 13 ust. 2 lit. d)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12) Załącznik III.B do CEM, o którym mowa w art. 14 ust. 2 i 3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13) Załącznik I.D do CEM, o którym mowa w art. 16 ust. 1 i 2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14) Tabela 4 zawarta w CEM, o której mowa w art. 17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15) Rysunek 3 zawarty w CEM, o którym mowa w art. 18 ust. 1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16) Tabela 5 zawarta w CEM, o której mowa w art. 18 ust. 1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17) Rysunek 4 zawarty w CEM, o którym mowa w art. 18 ust. 2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18) Tabela 6 zawarta w CEM, o której mowa w art. 18 ust. 2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19) Rysunek 5 zawarty w CEM, o którym mowa w art. 18 ust. 3 i 4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20) Tabela 7 zawarta w CEM, o której mowa w art. 18 ust. 3 i 4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21) Protokół zwiadów określony w załączniku I.E do CEM, o którym mowa w art. 19 ust. 1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22) Powiadomienie o zamiarze prowadzenia dennych zwiadów rybackich określone w załączniku I.E do CEM, o którym mowa w art. 19 ust. 2 lit. a)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23) Sprawozdanie z rejsu w odniesieniu do dennych zwiadów rybackich określone w załączniku I.E do CEM, o którym mowa w art. 19 ust. 2 lit. d)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24) Elementy oceny wstępnej proponowanych dennych zwiadów rybackich określone w załączniku I.E do CEM, o których mowa w art. 20 ust. 2 lit. b)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25) Wykaz gatunków wskaźnikowych wrażliwych systemów morskich określony w załączniku I.E do CEM, o którym mowa w art. 21 ust. 2 i art. 27 ust. 3 lit. d)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26) Formularz danych zwiadów rybackich określony w załączniku I.E do CEM, o którym mowa w art. 21 ust. 4 lit. a)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27) Format przewidziany dla wykazu statków w załączniku II.C1 do CEM, o którym mowa w art. 22 ust. 1 lit. a)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28) Format przewidziany dla usuwania z wykazu statków w załączniku II.C2 do CEM, o którym mowa w art. 22 ust. 1 lit. b)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29) Format określony dla indywidualnych upoważnień dla każdego statku w załączniku II.C3 do CEM, o którym mowa w art. 22 ust. 5 lit. a)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30) Format przewidziany dla zawieszenia upoważnienia w załączniku II.C4 do CEM, o którym mowa w art. 22 ust. 5 lit. b)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31) Wykaz gatunków określony w załączniku I.C do CEM, o którym mowa w art. 24 ust. 1 lit. b) i art. 25 ust. 6 lit. g)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32) Kod postaci produktu zgodnie z wykazem w załączniku II.K do CEM, o którym mowa w art. 24 ust. 1 lit. e)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33) Dziennik połowowy określony w załączniku II.A do CEM, o którym mowa w art. 25 ust. 2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34) Format raportu połowów określony w załączniku II.D do CEM, o którym mowa w art. 25 ust. 6 i 8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35) Format raportu anulującego określony w załączniku II.F do CEM, o którym mowa w art. 25 ust. 6 i 7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36) Załącznik II.N do CEM, o którym mowa w art. 25 ust. 9 lit. b)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37) Format wymiany danych określony w załączniku II.E do CEM, o którym mowa w art. 26 ust. 9 lit. b)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38) Sprawozdanie obserwatora określone w załączniku II.M do CEM, o którym mowa w art. 27 ust. 3 lit. d) i h)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39) Sprawozdanie obserwatora przekazywane codziennie określone w załączniku II.G do CEM, o którym mowa w art. 28 ust. 9 lit. a)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40) Dzienne raporty połowowe (CAT) określone w załączniku II.F (3) do CEM, o których mowa w art. 28 ust. 10 lit. a)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41) Zasady poufności określone w załączniku II.B do CEM, o których mowa w art. 29 ust. 10 i art. 44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42) Formularz sprawozdania z nadzoru zawarty w załączniku IV.A do CEM, o którym mowa w art. 31 ust. 1 lit. a) i art. 46 ust. 1 lit. a)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43) Proporczyk przedstawiony w załączniku IV.E do CEM, o którym mowa w art. 32 lit. b)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44) Zasady zapewniania drabinki wejściowej zgodnie z załącznikiem IV.G do CEM, o których mowa w art. 33 lit. c)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45) Sprawozdanie z inspekcji określone w załączniku IV.B do CEM, o którym mowa w art. 34 ust. 1, art. 35 ust. 2 lit. a) i art. 46 ust. 1 lit. d)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46) Plomba inspekcyjna NAFO przedstawiona w załączniku IV.F do CEM, o której mowa w art. 35 ust. 1 lit. d)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47) Formularz wstępnego zgłoszenia na potrzeby kontroli przeprowadzanej przez państwo portu określony w załączniku II.L do CEM, o którym mowa w art. 40 ust. 8 i 13 lit. a) pkt (iii), art. 41 ust. 2 oraz art. 42 ust. 1 i 2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48) Załącznik IV.H do CEM dotyczący inspekcji, o których mowa w art. 40 ust. 11</w:t>
            </w:r>
          </w:p>
        </w:tc>
      </w:tr>
      <w:tr w:rsidR="001D14BC" w:rsidRPr="002B4806" w:rsidTr="007C4F90">
        <w:trPr>
          <w:jc w:val="center"/>
        </w:trPr>
        <w:tc>
          <w:tcPr>
            <w:tcW w:w="4876" w:type="dxa"/>
          </w:tcPr>
          <w:p w:rsidR="001D14BC" w:rsidRPr="002B4806" w:rsidRDefault="001D14BC" w:rsidP="007C4F90">
            <w:pPr>
              <w:pStyle w:val="Normal6"/>
            </w:pPr>
          </w:p>
        </w:tc>
        <w:tc>
          <w:tcPr>
            <w:tcW w:w="4876" w:type="dxa"/>
          </w:tcPr>
          <w:p w:rsidR="001D14BC" w:rsidRPr="002B4806" w:rsidRDefault="001D14BC" w:rsidP="007C4F90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2B4806">
              <w:rPr>
                <w:b/>
                <w:bCs/>
                <w:i/>
                <w:iCs/>
                <w:szCs w:val="24"/>
              </w:rPr>
              <w:t>49) Formularz kontroli przeprowadzanej przez państwo portu przewidziany w załączniku IV.C do CEM, o którym mowa w art. 40 ust. 16</w:t>
            </w:r>
          </w:p>
        </w:tc>
      </w:tr>
    </w:tbl>
    <w:p w:rsidR="001D14BC" w:rsidRPr="002B4806" w:rsidRDefault="001D14BC" w:rsidP="001D14BC"/>
    <w:p w:rsidR="001D14BC" w:rsidRPr="002B4806" w:rsidRDefault="001D14BC" w:rsidP="001D14BC"/>
    <w:p w:rsidR="001D14BC" w:rsidRPr="002B4806" w:rsidRDefault="001D14BC" w:rsidP="001D14BC"/>
    <w:p w:rsidR="001D14BC" w:rsidRPr="002B4806" w:rsidRDefault="001D14BC" w:rsidP="001D14BC"/>
    <w:p w:rsidR="00E365E1" w:rsidRPr="002B4806" w:rsidRDefault="00E365E1" w:rsidP="001D14BC">
      <w:bookmarkStart w:id="1" w:name="TextBodyEnd"/>
      <w:bookmarkEnd w:id="1"/>
    </w:p>
    <w:sectPr w:rsidR="00E365E1" w:rsidRPr="002B4806" w:rsidSect="000C5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E1" w:rsidRPr="000C5FB5" w:rsidRDefault="00FB50E1">
      <w:r w:rsidRPr="000C5FB5">
        <w:separator/>
      </w:r>
    </w:p>
  </w:endnote>
  <w:endnote w:type="continuationSeparator" w:id="0">
    <w:p w:rsidR="00FB50E1" w:rsidRPr="000C5FB5" w:rsidRDefault="00FB50E1">
      <w:r w:rsidRPr="000C5F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06" w:rsidRDefault="002B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B5" w:rsidRDefault="000C5FB5" w:rsidP="002B4806">
    <w:pPr>
      <w:pStyle w:val="Footer"/>
      <w:tabs>
        <w:tab w:val="clear" w:pos="9639"/>
        <w:tab w:val="right" w:pos="9184"/>
      </w:tabs>
    </w:pPr>
  </w:p>
  <w:p w:rsidR="002B4806" w:rsidRDefault="002B4806" w:rsidP="002B4806">
    <w:pPr>
      <w:pStyle w:val="Footer"/>
      <w:pBdr>
        <w:top w:val="single" w:sz="2" w:space="1" w:color="000000"/>
      </w:pBdr>
      <w:tabs>
        <w:tab w:val="clear" w:pos="9639"/>
        <w:tab w:val="right" w:pos="9184"/>
      </w:tabs>
    </w:pPr>
    <w:r>
      <w:tab/>
    </w:r>
    <w:r w:rsidRPr="002B4806">
      <w:rPr>
        <w:rStyle w:val="HideTWBExt"/>
      </w:rPr>
      <w:t>&lt;NuPE&gt;</w:t>
    </w:r>
    <w:r>
      <w:t>PE637.725</w:t>
    </w:r>
    <w:r w:rsidRPr="002B4806">
      <w:rPr>
        <w:rStyle w:val="HideTWBExt"/>
      </w:rPr>
      <w:t>&lt;/NuPE&gt;</w:t>
    </w:r>
    <w:r>
      <w:t xml:space="preserve">/ </w:t>
    </w:r>
    <w:r>
      <w:fldChar w:fldCharType="begin"/>
    </w:r>
    <w:r>
      <w:instrText xml:space="preserve"> PAGE  \* MERGEFORMAT </w:instrText>
    </w:r>
    <w:r>
      <w:fldChar w:fldCharType="separate"/>
    </w:r>
    <w:r w:rsidR="00562215">
      <w:rPr>
        <w:noProof/>
      </w:rPr>
      <w:t>1</w:t>
    </w:r>
    <w:r>
      <w:fldChar w:fldCharType="end"/>
    </w:r>
  </w:p>
  <w:p w:rsidR="002B4806" w:rsidRPr="002B4806" w:rsidRDefault="002B4806" w:rsidP="002B4806">
    <w:pPr>
      <w:pStyle w:val="Footer"/>
      <w:pBdr>
        <w:top w:val="single" w:sz="2" w:space="1" w:color="000000"/>
      </w:pBdr>
      <w:tabs>
        <w:tab w:val="clear" w:pos="9639"/>
        <w:tab w:val="right" w:pos="9638"/>
      </w:tabs>
      <w:rPr>
        <w:rFonts w:ascii="Arial" w:hAnsi="Arial" w:cs="Arial"/>
        <w:b/>
        <w:sz w:val="48"/>
      </w:rPr>
    </w:pP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06" w:rsidRDefault="002B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E1" w:rsidRPr="000C5FB5" w:rsidRDefault="00FB50E1">
      <w:r w:rsidRPr="000C5FB5">
        <w:separator/>
      </w:r>
    </w:p>
  </w:footnote>
  <w:footnote w:type="continuationSeparator" w:id="0">
    <w:p w:rsidR="00FB50E1" w:rsidRPr="000C5FB5" w:rsidRDefault="00FB50E1">
      <w:r w:rsidRPr="000C5F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06" w:rsidRDefault="002B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06" w:rsidRDefault="002B4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06" w:rsidRDefault="002B4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 w15:restartNumberingAfterBreak="0">
    <w:nsid w:val="5B395AAA"/>
    <w:multiLevelType w:val="singleLevel"/>
    <w:tmpl w:val="96D02E8A"/>
    <w:name w:val="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17/2019"/>
    <w:docVar w:name="dvlangue" w:val="PL"/>
    <w:docVar w:name="dvnumam" w:val="0"/>
    <w:docVar w:name="dvpe" w:val="627.630"/>
    <w:docVar w:name="dvrapporteur" w:val="Sprawozdawca: "/>
    <w:docVar w:name="dvtitre" w:val="Rezolucja ustawodawcza Parlamentu Europejskiego z dnia  2019 r. w sprawie wniosku dotyczącego rozporządzenia Parlamentu Europejskiego i Rady ustanawiającego środki ochrony zasobów i jej egzekwowania mające zastosowanie na obszarze podlegającym regulacji Organizacji Rybołówstwa Północno-Zachodniego Atlantyku oraz uchylającego rozporządzenie Rady (WE) nr 2115/2005 i rozporządzenie Rady (WE) nr 1386/2007(COM(2018)0577 – C8-0391/2018 – 2018/0304(COD))"/>
    <w:docVar w:name="TA_Comm_A5Nr" w:val="A8-0017/2019"/>
    <w:docVar w:name="TA_Comm_Langue" w:val="PL"/>
    <w:docVar w:name="TA_Comm_NrAM" w:val="001-081"/>
    <w:docVar w:name="TA_Type" w:val="TA_COMM"/>
  </w:docVars>
  <w:rsids>
    <w:rsidRoot w:val="00FB50E1"/>
    <w:rsid w:val="00002272"/>
    <w:rsid w:val="000677B9"/>
    <w:rsid w:val="000C5FB5"/>
    <w:rsid w:val="000E7DD9"/>
    <w:rsid w:val="0010095E"/>
    <w:rsid w:val="00125B37"/>
    <w:rsid w:val="001D14BC"/>
    <w:rsid w:val="002767FF"/>
    <w:rsid w:val="002B4806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62215"/>
    <w:rsid w:val="005E72E3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A735D"/>
    <w:rsid w:val="00A4678D"/>
    <w:rsid w:val="00AF3B82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81E52"/>
    <w:rsid w:val="00FB50E1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6F7D3"/>
  <w15:chartTrackingRefBased/>
  <w15:docId w15:val="{B4D8E62A-5F4D-4881-A048-5E160CFE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link w:val="Heading1Char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rsid w:val="001D14BC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rsid w:val="001D14BC"/>
    <w:rPr>
      <w:sz w:val="24"/>
      <w:lang w:val="fr-FR" w:eastAsia="fr-FR"/>
    </w:rPr>
  </w:style>
  <w:style w:type="character" w:customStyle="1" w:styleId="Heading3Char">
    <w:name w:val="Heading 3 Char"/>
    <w:link w:val="Heading3"/>
    <w:rsid w:val="001D14BC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rsid w:val="001D14BC"/>
    <w:rPr>
      <w:sz w:val="24"/>
      <w:lang w:val="en-US" w:eastAsia="fr-FR"/>
    </w:rPr>
  </w:style>
  <w:style w:type="character" w:customStyle="1" w:styleId="Heading5Char">
    <w:name w:val="Heading 5 Char"/>
    <w:link w:val="Heading5"/>
    <w:rsid w:val="001D14BC"/>
    <w:rPr>
      <w:sz w:val="24"/>
      <w:lang w:val="en-US" w:eastAsia="fr-FR"/>
    </w:rPr>
  </w:style>
  <w:style w:type="character" w:customStyle="1" w:styleId="Heading6Char">
    <w:name w:val="Heading 6 Char"/>
    <w:link w:val="Heading6"/>
    <w:rsid w:val="001D14BC"/>
    <w:rPr>
      <w:i/>
      <w:sz w:val="22"/>
      <w:lang w:val="pl-PL"/>
    </w:rPr>
  </w:style>
  <w:style w:type="character" w:customStyle="1" w:styleId="Heading7Char">
    <w:name w:val="Heading 7 Char"/>
    <w:link w:val="Heading7"/>
    <w:rsid w:val="001D14BC"/>
    <w:rPr>
      <w:rFonts w:ascii="Arial" w:hAnsi="Arial"/>
      <w:sz w:val="24"/>
      <w:lang w:val="pl-PL"/>
    </w:rPr>
  </w:style>
  <w:style w:type="character" w:customStyle="1" w:styleId="Heading8Char">
    <w:name w:val="Heading 8 Char"/>
    <w:link w:val="Heading8"/>
    <w:rsid w:val="001D14BC"/>
    <w:rPr>
      <w:rFonts w:ascii="Arial" w:hAnsi="Arial"/>
      <w:i/>
      <w:sz w:val="24"/>
      <w:lang w:val="pl-PL"/>
    </w:rPr>
  </w:style>
  <w:style w:type="character" w:customStyle="1" w:styleId="Heading9Char">
    <w:name w:val="Heading 9 Char"/>
    <w:link w:val="Heading9"/>
    <w:rsid w:val="001D14BC"/>
    <w:rPr>
      <w:rFonts w:ascii="Arial" w:hAnsi="Arial"/>
      <w:b/>
      <w:i/>
      <w:sz w:val="18"/>
      <w:lang w:val="pl-PL"/>
    </w:rPr>
  </w:style>
  <w:style w:type="character" w:customStyle="1" w:styleId="FooterChar">
    <w:name w:val="Footer Char"/>
    <w:link w:val="Footer"/>
    <w:rsid w:val="001D14BC"/>
    <w:rPr>
      <w:sz w:val="22"/>
      <w:lang w:val="fr-FR" w:eastAsia="fr-FR"/>
    </w:rPr>
  </w:style>
  <w:style w:type="character" w:customStyle="1" w:styleId="Normal6Char">
    <w:name w:val="Normal6 Char"/>
    <w:link w:val="Normal6"/>
    <w:rsid w:val="001D14BC"/>
    <w:rPr>
      <w:sz w:val="24"/>
      <w:lang w:val="pl-PL"/>
    </w:rPr>
  </w:style>
  <w:style w:type="character" w:customStyle="1" w:styleId="NormalBoldChar">
    <w:name w:val="NormalBold Char"/>
    <w:link w:val="NormalBold"/>
    <w:rsid w:val="001D14BC"/>
    <w:rPr>
      <w:b/>
      <w:sz w:val="24"/>
      <w:lang w:val="pl-PL"/>
    </w:rPr>
  </w:style>
  <w:style w:type="paragraph" w:customStyle="1" w:styleId="Normal12Italic">
    <w:name w:val="Normal12Italic"/>
    <w:basedOn w:val="Normal"/>
    <w:rsid w:val="001D14BC"/>
    <w:pPr>
      <w:spacing w:before="240"/>
    </w:pPr>
    <w:rPr>
      <w:i/>
    </w:rPr>
  </w:style>
  <w:style w:type="paragraph" w:customStyle="1" w:styleId="CrossRef">
    <w:name w:val="CrossRef"/>
    <w:basedOn w:val="Normal"/>
    <w:rsid w:val="001D14BC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1D14BC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rsid w:val="001D14BC"/>
    <w:pPr>
      <w:jc w:val="center"/>
    </w:pPr>
  </w:style>
  <w:style w:type="paragraph" w:customStyle="1" w:styleId="Normal12Keep">
    <w:name w:val="Normal12Keep"/>
    <w:basedOn w:val="Normal12"/>
    <w:rsid w:val="001D14BC"/>
    <w:pPr>
      <w:keepNext/>
    </w:pPr>
  </w:style>
  <w:style w:type="paragraph" w:customStyle="1" w:styleId="Normal12Tab">
    <w:name w:val="Normal12Tab"/>
    <w:basedOn w:val="Normal12"/>
    <w:rsid w:val="001D14BC"/>
    <w:pPr>
      <w:tabs>
        <w:tab w:val="left" w:pos="567"/>
      </w:tabs>
    </w:pPr>
  </w:style>
  <w:style w:type="paragraph" w:customStyle="1" w:styleId="StarsAndIs">
    <w:name w:val="StarsAndIs"/>
    <w:basedOn w:val="Normal"/>
    <w:rsid w:val="001D14BC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1D14BC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TypeDoc">
    <w:name w:val="TypeDoc"/>
    <w:basedOn w:val="Normal24"/>
    <w:rsid w:val="001D14BC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1D14BC"/>
    <w:pPr>
      <w:spacing w:after="1200"/>
    </w:pPr>
  </w:style>
  <w:style w:type="character" w:customStyle="1" w:styleId="HeaderChar">
    <w:name w:val="Header Char"/>
    <w:link w:val="Header"/>
    <w:rsid w:val="001D14BC"/>
    <w:rPr>
      <w:sz w:val="24"/>
      <w:lang w:val="fr-FR" w:eastAsia="fr-FR"/>
    </w:rPr>
  </w:style>
  <w:style w:type="paragraph" w:customStyle="1" w:styleId="Olang">
    <w:name w:val="Olang"/>
    <w:basedOn w:val="Normal"/>
    <w:rsid w:val="001D14BC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1D14BC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1D14B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1D14BC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1D14BC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titre">
    <w:name w:val="Légende titre"/>
    <w:basedOn w:val="Normal"/>
    <w:rsid w:val="001D14BC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1D14BC"/>
    <w:pPr>
      <w:ind w:left="0" w:firstLine="0"/>
    </w:pPr>
  </w:style>
  <w:style w:type="character" w:customStyle="1" w:styleId="Normal12Char">
    <w:name w:val="Normal12 Char"/>
    <w:link w:val="Normal12"/>
    <w:locked/>
    <w:rsid w:val="001D14BC"/>
    <w:rPr>
      <w:sz w:val="24"/>
      <w:lang w:val="pl-PL"/>
    </w:rPr>
  </w:style>
  <w:style w:type="paragraph" w:customStyle="1" w:styleId="Bullet1">
    <w:name w:val="Bullet 1"/>
    <w:basedOn w:val="Normal"/>
    <w:rsid w:val="001D14BC"/>
    <w:pPr>
      <w:widowControl/>
      <w:numPr>
        <w:numId w:val="45"/>
      </w:numPr>
      <w:spacing w:before="120" w:after="120"/>
      <w:jc w:val="both"/>
    </w:pPr>
    <w:rPr>
      <w:rFonts w:eastAsia="SimSun"/>
      <w:szCs w:val="22"/>
      <w:lang w:eastAsia="hr-HR"/>
    </w:rPr>
  </w:style>
  <w:style w:type="paragraph" w:styleId="BalloonText">
    <w:name w:val="Balloon Text"/>
    <w:basedOn w:val="Normal"/>
    <w:link w:val="BalloonTextChar"/>
    <w:rsid w:val="001D1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14BC"/>
    <w:rPr>
      <w:rFonts w:ascii="Segoe UI" w:hAnsi="Segoe UI" w:cs="Segoe UI"/>
      <w:sz w:val="18"/>
      <w:szCs w:val="18"/>
      <w:lang w:val="pl-PL"/>
    </w:rPr>
  </w:style>
  <w:style w:type="character" w:styleId="CommentReference">
    <w:name w:val="annotation reference"/>
    <w:rsid w:val="001D14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4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14BC"/>
    <w:rPr>
      <w:lang w:val="pl-PL"/>
    </w:rPr>
  </w:style>
  <w:style w:type="paragraph" w:styleId="CommentSubject">
    <w:name w:val="annotation subject"/>
    <w:basedOn w:val="CommentText"/>
    <w:next w:val="CommentText"/>
    <w:link w:val="CommentSubjectChar"/>
    <w:rsid w:val="001D1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4BC"/>
    <w:rPr>
      <w:b/>
      <w:bCs/>
      <w:lang w:val="pl-PL"/>
    </w:rPr>
  </w:style>
  <w:style w:type="paragraph" w:styleId="Revision">
    <w:name w:val="Revision"/>
    <w:hidden/>
    <w:uiPriority w:val="99"/>
    <w:semiHidden/>
    <w:rsid w:val="001D14BC"/>
    <w:rPr>
      <w:sz w:val="24"/>
      <w:lang w:val="pl-PL"/>
    </w:rPr>
  </w:style>
  <w:style w:type="paragraph" w:customStyle="1" w:styleId="NormalTabs">
    <w:name w:val="NormalTabs"/>
    <w:basedOn w:val="Normal"/>
    <w:qFormat/>
    <w:rsid w:val="001D14BC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9696</Words>
  <Characters>59261</Characters>
  <Application>Microsoft Office Word</Application>
  <DocSecurity>0</DocSecurity>
  <Lines>2469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68165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ZALESKI Tomasz</cp:lastModifiedBy>
  <cp:revision>2</cp:revision>
  <cp:lastPrinted>2004-11-19T15:42:00Z</cp:lastPrinted>
  <dcterms:created xsi:type="dcterms:W3CDTF">2019-04-11T14:45:00Z</dcterms:created>
  <dcterms:modified xsi:type="dcterms:W3CDTF">2019-04-11T14:45:00Z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A8-0017/2019</vt:lpwstr>
  </property>
  <property fmtid="{D5CDD505-2E9C-101B-9397-08002B2CF9AE}" pid="4" name="&lt;Type&gt;">
    <vt:lpwstr>RR</vt:lpwstr>
  </property>
</Properties>
</file>