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F7" w:rsidRDefault="009639F7" w:rsidP="009639F7">
      <w:pPr>
        <w:tabs>
          <w:tab w:val="right" w:pos="9184"/>
        </w:tabs>
      </w:pPr>
    </w:p>
    <w:p w:rsidR="009639F7" w:rsidRDefault="009639F7" w:rsidP="009639F7">
      <w:pPr>
        <w:tabs>
          <w:tab w:val="right" w:pos="9184"/>
        </w:tabs>
      </w:pPr>
    </w:p>
    <w:p w:rsidR="009639F7" w:rsidRDefault="009639F7" w:rsidP="009639F7">
      <w:pPr>
        <w:tabs>
          <w:tab w:val="right" w:pos="9184"/>
        </w:tabs>
      </w:pPr>
    </w:p>
    <w:p w:rsidR="009639F7" w:rsidRDefault="009639F7" w:rsidP="009639F7">
      <w:pPr>
        <w:tabs>
          <w:tab w:val="right" w:pos="9184"/>
        </w:tabs>
      </w:pPr>
    </w:p>
    <w:p w:rsidR="009639F7" w:rsidRDefault="009639F7" w:rsidP="009639F7">
      <w:pPr>
        <w:tabs>
          <w:tab w:val="right" w:pos="9184"/>
        </w:tabs>
      </w:pPr>
      <w:r w:rsidRPr="009639F7">
        <w:rPr>
          <w:rStyle w:val="HideTWBExt"/>
        </w:rPr>
        <w:t>&lt;Date&gt;</w:t>
      </w:r>
      <w:r>
        <w:t>8.2.2019</w:t>
      </w:r>
      <w:r w:rsidRPr="009639F7">
        <w:rPr>
          <w:rStyle w:val="HideTWBExt"/>
        </w:rPr>
        <w:t>&lt;/Date&gt;</w:t>
      </w:r>
      <w:r>
        <w:tab/>
        <w:t xml:space="preserve">A8-0052/ </w:t>
      </w:r>
      <w:r w:rsidRPr="009639F7">
        <w:rPr>
          <w:rStyle w:val="HideTWBExt"/>
        </w:rPr>
        <w:t>&lt;NumOfAM&gt;</w:t>
      </w:r>
      <w:r>
        <w:t>001-149</w:t>
      </w:r>
      <w:bookmarkStart w:id="0" w:name="_GoBack"/>
      <w:bookmarkEnd w:id="0"/>
      <w:r w:rsidRPr="009639F7">
        <w:rPr>
          <w:rStyle w:val="HideTWBExt"/>
        </w:rPr>
        <w:t>&lt;/NumOfAM&gt;</w:t>
      </w:r>
    </w:p>
    <w:p w:rsidR="009639F7" w:rsidRDefault="009639F7" w:rsidP="009639F7">
      <w:pPr>
        <w:tabs>
          <w:tab w:val="right" w:pos="9184"/>
        </w:tabs>
      </w:pPr>
    </w:p>
    <w:p w:rsidR="009639F7" w:rsidRDefault="009639F7" w:rsidP="009639F7">
      <w:pPr>
        <w:tabs>
          <w:tab w:val="right" w:pos="9184"/>
        </w:tabs>
      </w:pPr>
    </w:p>
    <w:p w:rsidR="009639F7" w:rsidRDefault="009639F7" w:rsidP="009639F7">
      <w:pPr>
        <w:tabs>
          <w:tab w:val="right" w:pos="9184"/>
        </w:tabs>
      </w:pPr>
      <w:r>
        <w:rPr>
          <w:b/>
        </w:rPr>
        <w:t xml:space="preserve">MUUDATUSETTEPANEKUD 001-149 </w:t>
      </w:r>
    </w:p>
    <w:p w:rsidR="009639F7" w:rsidRDefault="009639F7" w:rsidP="009639F7">
      <w:pPr>
        <w:tabs>
          <w:tab w:val="right" w:pos="9184"/>
        </w:tabs>
      </w:pPr>
      <w:r w:rsidRPr="009639F7">
        <w:rPr>
          <w:rStyle w:val="HideTWBExt"/>
        </w:rPr>
        <w:t>&lt;Committee&gt;</w:t>
      </w:r>
      <w:r>
        <w:t>Siseturu- ja tarbijakaitsekomisjon</w:t>
      </w:r>
      <w:r w:rsidRPr="009639F7">
        <w:rPr>
          <w:rStyle w:val="HideTWBExt"/>
        </w:rPr>
        <w:t>&lt;/Committee&gt;</w:t>
      </w:r>
    </w:p>
    <w:p w:rsidR="009639F7" w:rsidRDefault="009639F7" w:rsidP="009639F7">
      <w:pPr>
        <w:tabs>
          <w:tab w:val="right" w:pos="9184"/>
        </w:tabs>
      </w:pPr>
    </w:p>
    <w:p w:rsidR="009639F7" w:rsidRDefault="009639F7" w:rsidP="009639F7">
      <w:pPr>
        <w:tabs>
          <w:tab w:val="right" w:pos="9184"/>
        </w:tabs>
        <w:rPr>
          <w:b/>
        </w:rPr>
      </w:pPr>
      <w:r>
        <w:rPr>
          <w:b/>
        </w:rPr>
        <w:t>Raport</w:t>
      </w:r>
    </w:p>
    <w:p w:rsidR="009639F7" w:rsidRDefault="009639F7" w:rsidP="009639F7">
      <w:pPr>
        <w:tabs>
          <w:tab w:val="right" w:pos="9184"/>
        </w:tabs>
        <w:rPr>
          <w:b/>
        </w:rPr>
      </w:pPr>
      <w:r w:rsidRPr="009639F7">
        <w:rPr>
          <w:rStyle w:val="HideTWBExt"/>
        </w:rPr>
        <w:t>&lt;Chairman&gt;</w:t>
      </w:r>
      <w:r>
        <w:rPr>
          <w:b/>
        </w:rPr>
        <w:t>Nicola Danti</w:t>
      </w:r>
      <w:r w:rsidRPr="009639F7">
        <w:rPr>
          <w:rStyle w:val="HideTWBExt"/>
        </w:rPr>
        <w:t>&lt;/Chairman&gt;</w:t>
      </w:r>
      <w:r>
        <w:rPr>
          <w:b/>
        </w:rPr>
        <w:tab/>
      </w:r>
      <w:r w:rsidRPr="009639F7">
        <w:rPr>
          <w:rStyle w:val="HideTWBExt"/>
        </w:rPr>
        <w:t>&lt;A5Nr&gt;</w:t>
      </w:r>
      <w:r>
        <w:rPr>
          <w:b/>
        </w:rPr>
        <w:t>A8-0052/2019</w:t>
      </w:r>
      <w:r w:rsidRPr="009639F7">
        <w:rPr>
          <w:rStyle w:val="HideTWBExt"/>
        </w:rPr>
        <w:t>&lt;/A5Nr&gt;</w:t>
      </w:r>
    </w:p>
    <w:p w:rsidR="009639F7" w:rsidRDefault="009639F7" w:rsidP="009639F7">
      <w:pPr>
        <w:tabs>
          <w:tab w:val="right" w:pos="9184"/>
        </w:tabs>
      </w:pPr>
      <w:r w:rsidRPr="009639F7">
        <w:rPr>
          <w:rStyle w:val="HideTWBExt"/>
        </w:rPr>
        <w:t>&lt;ShortTitel&gt;</w:t>
      </w:r>
      <w:r>
        <w:t>Ühtse turu, ettevõtete konkurentsivõime ja Euroopa statistika programmi loomine</w:t>
      </w:r>
      <w:r w:rsidRPr="009639F7">
        <w:rPr>
          <w:rStyle w:val="HideTWBExt"/>
        </w:rPr>
        <w:t>&lt;/ShortTitel&gt;</w:t>
      </w:r>
    </w:p>
    <w:p w:rsidR="009639F7" w:rsidRDefault="009639F7" w:rsidP="009639F7">
      <w:pPr>
        <w:tabs>
          <w:tab w:val="right" w:pos="9184"/>
        </w:tabs>
      </w:pPr>
    </w:p>
    <w:p w:rsidR="009639F7" w:rsidRDefault="009639F7" w:rsidP="009639F7">
      <w:pPr>
        <w:tabs>
          <w:tab w:val="right" w:pos="9184"/>
        </w:tabs>
      </w:pPr>
      <w:r w:rsidRPr="009639F7">
        <w:rPr>
          <w:rStyle w:val="HideTWBExt"/>
        </w:rPr>
        <w:t>&lt;Procedure&gt;</w:t>
      </w:r>
      <w:r>
        <w:t>Ettepanek võtta vastu määrus</w:t>
      </w:r>
      <w:r w:rsidRPr="009639F7">
        <w:rPr>
          <w:rStyle w:val="HideTWBExt"/>
        </w:rPr>
        <w:t>&lt;/Procedure&gt;</w:t>
      </w:r>
      <w:r>
        <w:t xml:space="preserve"> </w:t>
      </w:r>
      <w:r w:rsidRPr="009639F7">
        <w:rPr>
          <w:rStyle w:val="HideTWBExt"/>
        </w:rPr>
        <w:t>&lt;ReferenceNo&gt;</w:t>
      </w:r>
      <w:r>
        <w:t>(COM(2018)0441 – C8-0254/2018 – 2018/0231(COD))</w:t>
      </w:r>
      <w:r w:rsidRPr="009639F7">
        <w:rPr>
          <w:rStyle w:val="HideTWBExt"/>
        </w:rPr>
        <w:t>&lt;/ReferenceNo&gt;</w:t>
      </w:r>
    </w:p>
    <w:p w:rsidR="009639F7" w:rsidRDefault="009639F7" w:rsidP="009639F7">
      <w:pPr>
        <w:tabs>
          <w:tab w:val="right" w:pos="9184"/>
        </w:tabs>
      </w:pPr>
    </w:p>
    <w:p w:rsidR="009639F7" w:rsidRDefault="009639F7" w:rsidP="009639F7">
      <w:pPr>
        <w:tabs>
          <w:tab w:val="right" w:pos="9184"/>
        </w:tabs>
      </w:pPr>
    </w:p>
    <w:p w:rsidR="009639F7" w:rsidRDefault="009639F7" w:rsidP="009639F7">
      <w:pPr>
        <w:tabs>
          <w:tab w:val="right" w:pos="9184"/>
        </w:tabs>
      </w:pPr>
    </w:p>
    <w:p w:rsidR="009639F7" w:rsidRDefault="009639F7" w:rsidP="009639F7">
      <w:pPr>
        <w:tabs>
          <w:tab w:val="right" w:pos="9184"/>
        </w:tabs>
        <w:jc w:val="center"/>
      </w:pPr>
      <w:r>
        <w:t>_____________________________________________________________</w:t>
      </w:r>
    </w:p>
    <w:p w:rsidR="009639F7" w:rsidRDefault="009639F7" w:rsidP="009639F7">
      <w:pPr>
        <w:tabs>
          <w:tab w:val="right" w:pos="9184"/>
        </w:tabs>
        <w:jc w:val="center"/>
      </w:pPr>
    </w:p>
    <w:p w:rsidR="001C700C" w:rsidRPr="009639F7" w:rsidRDefault="001C700C" w:rsidP="009639F7">
      <w:pPr>
        <w:pStyle w:val="AMNumberTabs"/>
      </w:pPr>
      <w:r w:rsidRPr="009639F7">
        <w:t>Muudatusettepanek</w:t>
      </w:r>
      <w:r w:rsidRPr="009639F7">
        <w:tab/>
      </w:r>
      <w:r w:rsidRPr="009639F7">
        <w:tab/>
        <w:t>1</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(1)</w:t>
            </w:r>
            <w:r w:rsidRPr="009639F7">
              <w:tab/>
              <w:t>Siseturg on Euroopa Liidu nurgakivi. Alates selle loomisest on siseturg olnud oluline majanduskasvu, konkurentsivõime ja tööhõive edendaja. See on loonud uusi võimalusi ja mastaabisäästu Euroopa ettevõtetele, eelkõige mikro-, väikestele ja keskmise suurusega ettevõtjatele (VKEd), ning tugevdanud nende tööstusalast konkurentsivõimet. Siseturg on aidanud luua töökohti ning pakkunud tarbijatele laiemat valikut madalamate hindadega. Seda võib jätkuvalt käsitada vahendina, mis aitab üles ehitada tugevamat, tasakaalustatumat ja õiglasemat majandust. Siseturg on üks liidu tähtsamatest saavutustest ja suurim vara süveneva üleilmastumise tingimustes.</w:t>
            </w:r>
          </w:p>
        </w:tc>
        <w:tc>
          <w:tcPr>
            <w:tcW w:w="4876" w:type="dxa"/>
            <w:hideMark/>
          </w:tcPr>
          <w:p w:rsidR="001C700C" w:rsidRPr="009639F7" w:rsidRDefault="001C700C" w:rsidP="00464712">
            <w:pPr>
              <w:pStyle w:val="Normal6"/>
              <w:rPr>
                <w:szCs w:val="24"/>
              </w:rPr>
            </w:pPr>
            <w:r w:rsidRPr="009639F7">
              <w:t>(1)</w:t>
            </w:r>
            <w:r w:rsidRPr="009639F7">
              <w:tab/>
              <w:t>Siseturg on Euroopa Liidu nurgakivi. Alates selle loomisest on siseturg olnud oluline majanduskasvu, konkurentsivõime ja tööhõive edendaja. See on loonud uusi võimalusi ja mastaabisäästu Euroopa ettevõtetele, eelkõige mikro-, väikestele ja keskmise suurusega ettevõtjatele (VKEd), ning tugevdanud nende tööstusalast konkurentsivõimet</w:t>
            </w:r>
            <w:r w:rsidRPr="009639F7">
              <w:rPr>
                <w:b/>
                <w:i/>
              </w:rPr>
              <w:t>, ja see peaks ka edaspidi tooma kasu võrdselt kõigile kodanikele</w:t>
            </w:r>
            <w:r w:rsidRPr="009639F7">
              <w:t>. Siseturg on aidanud luua töökohti ning pakkunud tarbijatele laiemat valikut madalamate hindadega</w:t>
            </w:r>
            <w:r w:rsidRPr="009639F7">
              <w:rPr>
                <w:b/>
                <w:i/>
              </w:rPr>
              <w:t>, tagades samas pakutavate toodete ja teenuste kõrge kvaliteedi</w:t>
            </w:r>
            <w:r w:rsidRPr="009639F7">
              <w:t xml:space="preserve">. Seda võib jätkuvalt käsitada vahendina, mis aitab üles ehitada </w:t>
            </w:r>
            <w:r w:rsidRPr="009639F7">
              <w:rPr>
                <w:b/>
                <w:i/>
              </w:rPr>
              <w:t xml:space="preserve">integreeritumat turgu ning </w:t>
            </w:r>
            <w:r w:rsidRPr="009639F7">
              <w:t xml:space="preserve">tugevamat, tasakaalustatumat ja õiglasemat majandust. Siseturg on üks liidu tähtsamatest saavutustest ja suurim vara süveneva </w:t>
            </w:r>
            <w:r w:rsidRPr="009639F7">
              <w:lastRenderedPageBreak/>
              <w:t>üleilmastumise tingimustes</w:t>
            </w:r>
            <w:r w:rsidRPr="009639F7">
              <w:rPr>
                <w:b/>
                <w:i/>
              </w:rPr>
              <w:t xml:space="preserve"> ning keskne element ressursi- ja energiatõhusale kestlikule majandusele ülemineku saavutamisel, et reageerida kliimamuutustest tulenevale suurenevale survele</w:t>
            </w:r>
            <w:r w:rsidRPr="009639F7">
              <w: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2</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(2)</w:t>
            </w:r>
            <w:r w:rsidRPr="009639F7">
              <w:tab/>
              <w:t>Siseturg peab pidevalt kohanema kiiresti muutuva keskkonnaga, mida iseloomustab digitaalne revolutsioon ja üleilmastumine. Digitaalse innovatsiooni uus ajastu pakub ettevõtjatele ja üksikisikutele jätkuvalt võimalusi, loob uusi tooteid ja ärimudeleid, kuid tekitab ka küsimusi reguleerimise ja jõustamise valdkonnas.</w:t>
            </w:r>
          </w:p>
        </w:tc>
        <w:tc>
          <w:tcPr>
            <w:tcW w:w="4876" w:type="dxa"/>
            <w:hideMark/>
          </w:tcPr>
          <w:p w:rsidR="001C700C" w:rsidRPr="009639F7" w:rsidRDefault="001C700C" w:rsidP="00464712">
            <w:pPr>
              <w:pStyle w:val="Normal6"/>
              <w:rPr>
                <w:szCs w:val="24"/>
              </w:rPr>
            </w:pPr>
            <w:r w:rsidRPr="009639F7">
              <w:t>(2)</w:t>
            </w:r>
            <w:r w:rsidRPr="009639F7">
              <w:tab/>
              <w:t xml:space="preserve">Siseturg peab pidevalt kohanema kiiresti muutuva keskkonnaga, mida iseloomustab digitaalne revolutsioon ja üleilmastumine. Digitaalse innovatsiooni uus ajastu pakub </w:t>
            </w:r>
            <w:r w:rsidRPr="009639F7">
              <w:rPr>
                <w:b/>
                <w:i/>
              </w:rPr>
              <w:t xml:space="preserve">majandusele ja meie igapäevaelule, eelkõige </w:t>
            </w:r>
            <w:r w:rsidRPr="009639F7">
              <w:t>ettevõtjatele ja üksikisikutele jätkuvalt võimalusi</w:t>
            </w:r>
            <w:r w:rsidRPr="009639F7">
              <w:rPr>
                <w:b/>
                <w:i/>
              </w:rPr>
              <w:t xml:space="preserve"> ja kasu</w:t>
            </w:r>
            <w:r w:rsidRPr="009639F7">
              <w:t>, loob uusi tooteid ja ärimudeleid, kuid tekitab ka küsimusi reguleerimise ja jõustamise</w:t>
            </w:r>
            <w:r w:rsidRPr="009639F7">
              <w:rPr>
                <w:b/>
                <w:i/>
              </w:rPr>
              <w:t xml:space="preserve"> ning tarbijakaitse ja -ohutuse</w:t>
            </w:r>
            <w:r w:rsidRPr="009639F7">
              <w:t xml:space="preserve"> valdkonnas.</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3</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(3)</w:t>
            </w:r>
            <w:r w:rsidRPr="009639F7">
              <w:tab/>
              <w:t>Märkimisväärne osa liidu õigusaktidest käsitleb siseturu toimimist. Need hõlmavad eelkõige konkurentsivõimet, standardimist, tarbijakaitset, turujärelevalvet ja toiduahelat, kuid samuti eeskirju, mis käsitlevad äri-, kaubandus- ja finantstehinguid ning ausa konkurentsi edendamist, tagades seejuures võrdsed võimalused, mis on siseturu toimimiseks hädavajalik.</w:t>
            </w:r>
          </w:p>
        </w:tc>
        <w:tc>
          <w:tcPr>
            <w:tcW w:w="4876" w:type="dxa"/>
            <w:hideMark/>
          </w:tcPr>
          <w:p w:rsidR="001C700C" w:rsidRPr="009639F7" w:rsidRDefault="001C700C" w:rsidP="00464712">
            <w:pPr>
              <w:pStyle w:val="Normal6"/>
              <w:rPr>
                <w:szCs w:val="24"/>
              </w:rPr>
            </w:pPr>
            <w:r w:rsidRPr="009639F7">
              <w:t>(3)</w:t>
            </w:r>
            <w:r w:rsidRPr="009639F7">
              <w:tab/>
              <w:t xml:space="preserve">Märkimisväärne osa liidu õigusaktidest käsitleb siseturu toimimist. Need hõlmavad eelkõige konkurentsivõimet, standardimist, </w:t>
            </w:r>
            <w:r w:rsidRPr="009639F7">
              <w:rPr>
                <w:b/>
                <w:i/>
              </w:rPr>
              <w:t xml:space="preserve">vastastikku tunnustamist, </w:t>
            </w:r>
            <w:r w:rsidRPr="009639F7">
              <w:t>tarbijakaitset, turujärelevalvet ja toiduahelat, kuid samuti eeskirju, mis käsitlevad äri-, kaubandus- ja finantstehinguid ning ausa konkurentsi edendamist, tagades seejuures võrdsed võimalused, mis on siseturu toimimiseks hädavajalik</w:t>
            </w:r>
            <w:r w:rsidRPr="009639F7">
              <w:rPr>
                <w:b/>
                <w:i/>
              </w:rPr>
              <w:t>, et tuua kasu tarbijatele ja ettevõtjatele</w:t>
            </w:r>
            <w:r w:rsidRPr="009639F7">
              <w:t>.</w:t>
            </w:r>
          </w:p>
        </w:tc>
      </w:tr>
    </w:tbl>
    <w:p w:rsidR="001C700C" w:rsidRPr="009639F7" w:rsidRDefault="001C700C" w:rsidP="001C700C"/>
    <w:p w:rsidR="001C700C" w:rsidRPr="009639F7" w:rsidRDefault="001C700C" w:rsidP="001C700C">
      <w:pPr>
        <w:pStyle w:val="AMNumberTabs"/>
        <w:keepNext/>
      </w:pPr>
      <w:r w:rsidRPr="009639F7">
        <w:lastRenderedPageBreak/>
        <w:t>Muudatusettepanek</w:t>
      </w:r>
      <w:r w:rsidRPr="009639F7">
        <w:tab/>
      </w:r>
      <w:r w:rsidRPr="009639F7">
        <w:tab/>
        <w:t>4</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(4)</w:t>
            </w:r>
            <w:r w:rsidRPr="009639F7">
              <w:tab/>
              <w:t xml:space="preserve">Samas esineb endiselt tõkkeid ja tekib uusi, mis takistavad siseturu nõuetekohast toimimist. Eeskirjade vastuvõtmine on vaid esimene samm, samavõrd tähtis on nende rakendamine. Lõpuks on </w:t>
            </w:r>
            <w:r w:rsidRPr="009639F7">
              <w:rPr>
                <w:b/>
                <w:i/>
              </w:rPr>
              <w:t>siin</w:t>
            </w:r>
            <w:r w:rsidRPr="009639F7">
              <w:t xml:space="preserve"> küsimus kodanike usalduses liidu vastu ja usus selle suutlikkusse saavutada tulemusi, luua töökohti ja hoogustada majanduskasvu, kaitstes samal ajal avalikku huvi.</w:t>
            </w:r>
          </w:p>
        </w:tc>
        <w:tc>
          <w:tcPr>
            <w:tcW w:w="4876" w:type="dxa"/>
            <w:hideMark/>
          </w:tcPr>
          <w:p w:rsidR="001C700C" w:rsidRPr="009639F7" w:rsidRDefault="001C700C" w:rsidP="00464712">
            <w:pPr>
              <w:pStyle w:val="Normal6"/>
              <w:rPr>
                <w:szCs w:val="24"/>
              </w:rPr>
            </w:pPr>
            <w:r w:rsidRPr="009639F7">
              <w:t>(4)</w:t>
            </w:r>
            <w:r w:rsidRPr="009639F7">
              <w:tab/>
              <w:t xml:space="preserve">Samas esineb endiselt </w:t>
            </w:r>
            <w:r w:rsidRPr="009639F7">
              <w:rPr>
                <w:b/>
                <w:i/>
              </w:rPr>
              <w:t xml:space="preserve">põhjendamatuid, diskrimineerivaid ja ebaproportsionaalseid </w:t>
            </w:r>
            <w:r w:rsidRPr="009639F7">
              <w:t xml:space="preserve">tõkkeid ja tekib uusi, mis takistavad siseturu nõuetekohast toimimist. Eeskirjade vastuvõtmine on vaid esimene samm, samavõrd tähtis on nende rakendamine. </w:t>
            </w:r>
            <w:r w:rsidRPr="009639F7">
              <w:rPr>
                <w:b/>
                <w:i/>
              </w:rPr>
              <w:t xml:space="preserve">Olemasolevate eeskirjade ebapiisav jõustamine, tõkked toodete ja teenuste vabale liikumisele ning piiriüleste riigihangete vähesus piiravad ettevõtjate ja tarbijate võimalusi. </w:t>
            </w:r>
            <w:r w:rsidRPr="009639F7">
              <w:t xml:space="preserve">Lõpuks on </w:t>
            </w:r>
            <w:r w:rsidRPr="009639F7">
              <w:rPr>
                <w:b/>
                <w:i/>
              </w:rPr>
              <w:t>nende takistuste kõrvaldamise puhul</w:t>
            </w:r>
            <w:r w:rsidRPr="009639F7">
              <w:t xml:space="preserve"> küsimus kodanike usalduses liidu vastu ja usus selle suutlikkusse saavutada tulemusi, luua töökohti ja hoogustada majanduskasvu, kaitstes samal ajal avalikku huvi.</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5</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(5)</w:t>
            </w:r>
            <w:r w:rsidRPr="009639F7">
              <w:tab/>
              <w:t xml:space="preserve">Praegu on olemas mitu liidu tasandi programmi, mis käsitlevad ettevõtete, </w:t>
            </w:r>
            <w:r w:rsidRPr="009639F7">
              <w:rPr>
                <w:b/>
                <w:i/>
              </w:rPr>
              <w:t>sealhulgas VKEde</w:t>
            </w:r>
            <w:r w:rsidRPr="009639F7">
              <w:t xml:space="preserve"> konkurentsivõimet, tarbijakaitset, finantsteenuste tarbijaid ja lõppkasutajaid, poliitika kujundamist finantsteenuste valdkonnas ja toiduahelat. Mõningaid täiendavaid meetmeid rahastatakse otseselt siseturu eelarveridadelt. On vaja ühtlustada ja kasutada eri meetmete vahelist sünergiat ning tagada paindlikum ja sujuvam raamistik, et rahastada meetmeid, mille eesmärk on saavutada hästi toimiv </w:t>
            </w:r>
            <w:r w:rsidRPr="009639F7">
              <w:rPr>
                <w:b/>
                <w:i/>
              </w:rPr>
              <w:t>siseturg kõige kulutasuvamal viisil</w:t>
            </w:r>
            <w:r w:rsidRPr="009639F7">
              <w:t xml:space="preserve">. Seetõttu on vaja uut programmi, mis koondaks kokku varem nendest muudest programmidest rahastatud meetmed ja muude asjaomaste </w:t>
            </w:r>
            <w:r w:rsidRPr="009639F7">
              <w:lastRenderedPageBreak/>
              <w:t>eelarveridade alt rahastatud meetmed. Programm peaks sisaldama ka uusi algatusi, mille eesmärk on parandada siseturu toimimist.</w:t>
            </w:r>
          </w:p>
        </w:tc>
        <w:tc>
          <w:tcPr>
            <w:tcW w:w="4876" w:type="dxa"/>
            <w:hideMark/>
          </w:tcPr>
          <w:p w:rsidR="001C700C" w:rsidRPr="009639F7" w:rsidRDefault="001C700C" w:rsidP="00464712">
            <w:pPr>
              <w:pStyle w:val="Normal6"/>
              <w:rPr>
                <w:szCs w:val="24"/>
              </w:rPr>
            </w:pPr>
            <w:r w:rsidRPr="009639F7">
              <w:lastRenderedPageBreak/>
              <w:t>(5)</w:t>
            </w:r>
            <w:r w:rsidRPr="009639F7">
              <w:tab/>
              <w:t xml:space="preserve">Praegu on olemas mitu liidu tasandi programmi, mis käsitlevad ettevõtete, </w:t>
            </w:r>
            <w:r w:rsidRPr="009639F7">
              <w:rPr>
                <w:b/>
                <w:i/>
              </w:rPr>
              <w:t>eelkõige mikro-, väikeste ja keskmise suurusega ettevõtjate</w:t>
            </w:r>
            <w:r w:rsidRPr="009639F7">
              <w:t xml:space="preserve"> konkurentsivõimet, tarbijakaitset, finantsteenuste tarbijaid ja lõppkasutajaid, poliitika kujundamist finantsteenuste valdkonnas ja toiduahelat. Mõningaid täiendavaid meetmeid rahastatakse otseselt siseturu eelarveridadelt. On vaja ühtlustada ja kasutada eri meetmete vahelist sünergiat ning tagada paindlikum</w:t>
            </w:r>
            <w:r w:rsidRPr="009639F7">
              <w:rPr>
                <w:b/>
                <w:i/>
              </w:rPr>
              <w:t>, läbipaistvam, lihtsustatum</w:t>
            </w:r>
            <w:r w:rsidRPr="009639F7">
              <w:t xml:space="preserve"> ja sujuvam raamistik, et rahastada meetmeid, mille eesmärk on saavutada hästi toimiv </w:t>
            </w:r>
            <w:r w:rsidRPr="009639F7">
              <w:rPr>
                <w:b/>
                <w:i/>
              </w:rPr>
              <w:t>ja kestlik siseturg</w:t>
            </w:r>
            <w:r w:rsidRPr="009639F7">
              <w:t xml:space="preserve">. Seetõttu on vaja uut programmi, mis koondaks kokku varem nendest muudest </w:t>
            </w:r>
            <w:r w:rsidRPr="009639F7">
              <w:lastRenderedPageBreak/>
              <w:t>programmidest rahastatud meetmed ja muude asjaomaste eelarveridade alt rahastatud meetmed</w:t>
            </w:r>
            <w:r w:rsidRPr="009639F7">
              <w:rPr>
                <w:b/>
                <w:i/>
              </w:rPr>
              <w:t>, mis tuginevad olemasolevatest programmidest saadud kogemustele</w:t>
            </w:r>
            <w:r w:rsidRPr="009639F7">
              <w:t>. Programm peaks sisaldama ka uusi algatusi, mille eesmärk on parandada siseturu toimimist</w:t>
            </w:r>
            <w:r w:rsidRPr="009639F7">
              <w:rPr>
                <w:b/>
                <w:i/>
              </w:rPr>
              <w:t>, vältides seotud liidu programmide ja meetmete dubleerimist</w:t>
            </w:r>
            <w:r w:rsidRPr="009639F7">
              <w:t>.</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6</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t>Põhjendus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(6)</w:t>
            </w:r>
            <w:r w:rsidRPr="009639F7">
              <w:tab/>
              <w:t>Euroopa statistika arendamise, tegemise ja levitamise suhtes kohaldatakse eraldi Euroopa statistikaprogrammi, mis on loodud Euroopa Parlamendi ja nõukogu määrusega (EL) nr 99/2013</w:t>
            </w:r>
            <w:r w:rsidRPr="009639F7">
              <w:rPr>
                <w:vertAlign w:val="superscript"/>
              </w:rPr>
              <w:t>47</w:t>
            </w:r>
            <w:r w:rsidRPr="009639F7">
              <w:t xml:space="preserve">. Euroopa statistika tegemise ja levitamise järjepidevuse tagamiseks peaks uus programm sisaldama ka Euroopa statistikaprogrammiga hõlmatud tegevusi, luues raamistiku Euroopa statistika arendamiseks, tegemiseks ja levitamiseks. Uue programmiga tuleks kehtestada Euroopa statistika finantsraamistik, et tagada kvaliteetne, võrreldav ja usaldusväärne </w:t>
            </w:r>
            <w:r w:rsidRPr="009639F7">
              <w:rPr>
                <w:b/>
                <w:i/>
              </w:rPr>
              <w:t>Euroopat käsitlev statistika</w:t>
            </w:r>
            <w:r w:rsidRPr="009639F7">
              <w:t>, mis toetaks kõigi liidu poliitikavaldkondade kujundamist, elluviimist, järelevalvet ja hindamist.</w:t>
            </w:r>
          </w:p>
        </w:tc>
        <w:tc>
          <w:tcPr>
            <w:tcW w:w="4876" w:type="dxa"/>
            <w:hideMark/>
          </w:tcPr>
          <w:p w:rsidR="001C700C" w:rsidRPr="009639F7" w:rsidRDefault="001C700C" w:rsidP="00464712">
            <w:pPr>
              <w:pStyle w:val="Normal6"/>
              <w:rPr>
                <w:szCs w:val="24"/>
              </w:rPr>
            </w:pPr>
            <w:r w:rsidRPr="009639F7">
              <w:t>(6)</w:t>
            </w:r>
            <w:r w:rsidRPr="009639F7">
              <w:tab/>
              <w:t>Euroopa statistika arendamise, koostamise ja levitamise suhtes kohaldatakse eraldi Euroopa statistikaprogrammi, mis on loodud Euroopa Parlamendi ja nõukogu määrusega (EL) nr</w:t>
            </w:r>
            <w:r w:rsidR="00464712" w:rsidRPr="009639F7">
              <w:t> </w:t>
            </w:r>
            <w:r w:rsidRPr="009639F7">
              <w:t>99/2013</w:t>
            </w:r>
            <w:r w:rsidRPr="009639F7">
              <w:rPr>
                <w:vertAlign w:val="superscript"/>
              </w:rPr>
              <w:t>47</w:t>
            </w:r>
            <w:r w:rsidRPr="009639F7">
              <w:t xml:space="preserve">. Euroopa statistika koostamise ja levitamise järjepidevuse tagamiseks peaks uus programm sisaldama ka </w:t>
            </w:r>
            <w:r w:rsidRPr="009639F7">
              <w:rPr>
                <w:b/>
                <w:i/>
              </w:rPr>
              <w:t xml:space="preserve">olemasoleva </w:t>
            </w:r>
            <w:r w:rsidRPr="009639F7">
              <w:t xml:space="preserve">Euroopa statistikaprogrammiga hõlmatud tegevusi, luues raamistiku </w:t>
            </w:r>
            <w:r w:rsidRPr="009639F7">
              <w:rPr>
                <w:b/>
                <w:i/>
              </w:rPr>
              <w:t xml:space="preserve">andmete kogumiseks ning </w:t>
            </w:r>
            <w:r w:rsidRPr="009639F7">
              <w:t>Euroopa statistika arendamiseks, koostamiseks</w:t>
            </w:r>
            <w:r w:rsidRPr="009639F7">
              <w:rPr>
                <w:b/>
                <w:i/>
              </w:rPr>
              <w:t>, korrektseks kasutamiseks, kohaldamiseks</w:t>
            </w:r>
            <w:r w:rsidRPr="009639F7">
              <w:t xml:space="preserve"> ja levitamiseks. Uue programmiga tuleks kehtestada Euroopa statistika finantsraamistik, et tagada kvaliteetne, võrreldav ja usaldusväärne </w:t>
            </w:r>
            <w:r w:rsidRPr="009639F7">
              <w:rPr>
                <w:b/>
                <w:i/>
              </w:rPr>
              <w:t>Euroopa statistika, ka sellistel teemadel nagu kaubandus ja ränne</w:t>
            </w:r>
            <w:r w:rsidRPr="009639F7">
              <w:t>, mis toetaks</w:t>
            </w:r>
            <w:r w:rsidRPr="009639F7">
              <w:rPr>
                <w:b/>
                <w:i/>
              </w:rPr>
              <w:t xml:space="preserve"> kooskõlas Euroopa Liidu lepingu artikliga 3</w:t>
            </w:r>
            <w:r w:rsidRPr="009639F7">
              <w:t xml:space="preserve"> kõigi liidu poliitikavaldkondade kujundamist, elluviimist, järelevalvet ja hindamist.</w:t>
            </w:r>
          </w:p>
        </w:tc>
      </w:tr>
      <w:tr w:rsidR="001C700C" w:rsidRPr="009639F7" w:rsidTr="00464712">
        <w:trPr>
          <w:jc w:val="center"/>
        </w:trPr>
        <w:tc>
          <w:tcPr>
            <w:tcW w:w="4876" w:type="dxa"/>
            <w:hideMark/>
          </w:tcPr>
          <w:p w:rsidR="001C700C" w:rsidRPr="009639F7" w:rsidRDefault="001C700C" w:rsidP="00464712">
            <w:pPr>
              <w:pStyle w:val="Normal6"/>
            </w:pPr>
            <w:r w:rsidRPr="009639F7">
              <w:t>__________________</w:t>
            </w:r>
          </w:p>
        </w:tc>
        <w:tc>
          <w:tcPr>
            <w:tcW w:w="4876" w:type="dxa"/>
            <w:hideMark/>
          </w:tcPr>
          <w:p w:rsidR="001C700C" w:rsidRPr="009639F7" w:rsidRDefault="001C700C" w:rsidP="00464712">
            <w:pPr>
              <w:pStyle w:val="Normal6"/>
              <w:rPr>
                <w:szCs w:val="24"/>
              </w:rPr>
            </w:pPr>
            <w:r w:rsidRPr="009639F7">
              <w:t>__________________</w:t>
            </w:r>
          </w:p>
        </w:tc>
      </w:tr>
      <w:tr w:rsidR="001C700C" w:rsidRPr="009639F7" w:rsidTr="00464712">
        <w:trPr>
          <w:jc w:val="center"/>
        </w:trPr>
        <w:tc>
          <w:tcPr>
            <w:tcW w:w="4876" w:type="dxa"/>
            <w:hideMark/>
          </w:tcPr>
          <w:p w:rsidR="001C700C" w:rsidRPr="009639F7" w:rsidRDefault="001C700C" w:rsidP="00464712">
            <w:pPr>
              <w:pStyle w:val="Normal6"/>
            </w:pPr>
            <w:r w:rsidRPr="009639F7">
              <w:rPr>
                <w:vertAlign w:val="superscript"/>
              </w:rPr>
              <w:t>47</w:t>
            </w:r>
            <w:r w:rsidRPr="009639F7">
              <w:t xml:space="preserve"> Euroopa Parlamendi ja nõukogu 15. jaanuari 2013. aasta määrus (EL) nr 99/2013 Euroopa statistikaprogrammi 2013–2017 kohta (ELT L 39, 9.2.2013, lk 12).</w:t>
            </w:r>
          </w:p>
        </w:tc>
        <w:tc>
          <w:tcPr>
            <w:tcW w:w="4876" w:type="dxa"/>
            <w:hideMark/>
          </w:tcPr>
          <w:p w:rsidR="001C700C" w:rsidRPr="009639F7" w:rsidRDefault="001C700C" w:rsidP="00464712">
            <w:pPr>
              <w:pStyle w:val="Normal6"/>
              <w:rPr>
                <w:szCs w:val="24"/>
              </w:rPr>
            </w:pPr>
            <w:r w:rsidRPr="009639F7">
              <w:rPr>
                <w:vertAlign w:val="superscript"/>
              </w:rPr>
              <w:t>47</w:t>
            </w:r>
            <w:r w:rsidRPr="009639F7">
              <w:t xml:space="preserve"> Eu</w:t>
            </w:r>
            <w:r w:rsidR="00464712" w:rsidRPr="009639F7">
              <w:t>roopa Parlamendi ja nõukogu 15. </w:t>
            </w:r>
            <w:r w:rsidRPr="009639F7">
              <w:t>jaanuari 2013. aasta määrus (EL) n</w:t>
            </w:r>
            <w:r w:rsidR="00464712" w:rsidRPr="009639F7">
              <w:t>r </w:t>
            </w:r>
            <w:r w:rsidRPr="009639F7">
              <w:t>99/2013 Euroopa statistikaprogrammi 2013–201</w:t>
            </w:r>
            <w:r w:rsidR="00464712" w:rsidRPr="009639F7">
              <w:t>7 kohta (ELT L 39, 9.2.2013, lk </w:t>
            </w:r>
            <w:r w:rsidRPr="009639F7">
              <w:t>12).</w:t>
            </w:r>
          </w:p>
        </w:tc>
      </w:tr>
    </w:tbl>
    <w:p w:rsidR="001C700C" w:rsidRPr="009639F7" w:rsidRDefault="001C700C" w:rsidP="001C700C"/>
    <w:p w:rsidR="001C700C" w:rsidRPr="009639F7" w:rsidRDefault="001C700C" w:rsidP="001C700C">
      <w:pPr>
        <w:pStyle w:val="AMNumberTabs"/>
        <w:keepNext/>
      </w:pPr>
      <w:r w:rsidRPr="009639F7">
        <w:lastRenderedPageBreak/>
        <w:t>Muudatusettepanek</w:t>
      </w:r>
      <w:r w:rsidRPr="009639F7">
        <w:tab/>
      </w:r>
      <w:r w:rsidRPr="009639F7">
        <w:tab/>
        <w:t>7</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(7)</w:t>
            </w:r>
            <w:r w:rsidRPr="009639F7">
              <w:tab/>
              <w:t xml:space="preserve">Seepärast on asjakohane luua </w:t>
            </w:r>
            <w:r w:rsidRPr="009639F7">
              <w:rPr>
                <w:b/>
                <w:i/>
              </w:rPr>
              <w:t>siseturu</w:t>
            </w:r>
            <w:r w:rsidRPr="009639F7">
              <w:t xml:space="preserve">, ettevõtete, </w:t>
            </w:r>
            <w:r w:rsidRPr="009639F7">
              <w:rPr>
                <w:b/>
                <w:i/>
              </w:rPr>
              <w:t>sealhulgas</w:t>
            </w:r>
            <w:r w:rsidRPr="009639F7">
              <w:t xml:space="preserve"> mikro-, väikeste ja keskmise suurusega ettevõtjate konkurentsivõime ja Euroopa statistika </w:t>
            </w:r>
            <w:r w:rsidRPr="009639F7">
              <w:rPr>
                <w:b/>
                <w:i/>
              </w:rPr>
              <w:t>programm</w:t>
            </w:r>
            <w:r w:rsidRPr="009639F7">
              <w:t xml:space="preserve"> (edaspidi „programm“). Programm peaks kehtima seitse aastat (2021–2027).</w:t>
            </w:r>
          </w:p>
        </w:tc>
        <w:tc>
          <w:tcPr>
            <w:tcW w:w="4876" w:type="dxa"/>
            <w:hideMark/>
          </w:tcPr>
          <w:p w:rsidR="001C700C" w:rsidRPr="009639F7" w:rsidRDefault="001C700C" w:rsidP="00464712">
            <w:pPr>
              <w:pStyle w:val="Normal6"/>
              <w:rPr>
                <w:szCs w:val="24"/>
              </w:rPr>
            </w:pPr>
            <w:r w:rsidRPr="009639F7">
              <w:t>(7)</w:t>
            </w:r>
            <w:r w:rsidRPr="009639F7">
              <w:tab/>
              <w:t xml:space="preserve">Seepärast on asjakohane luua </w:t>
            </w:r>
            <w:r w:rsidRPr="009639F7">
              <w:rPr>
                <w:b/>
                <w:i/>
              </w:rPr>
              <w:t>ühtse turu programm</w:t>
            </w:r>
            <w:r w:rsidRPr="009639F7">
              <w:t xml:space="preserve">, </w:t>
            </w:r>
            <w:r w:rsidRPr="009639F7">
              <w:rPr>
                <w:b/>
                <w:i/>
              </w:rPr>
              <w:t xml:space="preserve">et tugevdada siseturgu ja parandada selle toimimist </w:t>
            </w:r>
            <w:r w:rsidRPr="009639F7">
              <w:t xml:space="preserve">ettevõtete, </w:t>
            </w:r>
            <w:r w:rsidRPr="009639F7">
              <w:rPr>
                <w:b/>
                <w:i/>
              </w:rPr>
              <w:t>eelkõige</w:t>
            </w:r>
            <w:r w:rsidRPr="009639F7">
              <w:t xml:space="preserve"> mikro-, väikeste ja keskmise suurusega ettevõtjate konkurentsivõime ja </w:t>
            </w:r>
            <w:r w:rsidRPr="009639F7">
              <w:rPr>
                <w:b/>
                <w:i/>
              </w:rPr>
              <w:t xml:space="preserve">kestlikkuse, standardimise, turujärelevalve, tarbijakaitse, toiduainete tarneahela ja </w:t>
            </w:r>
            <w:r w:rsidRPr="009639F7">
              <w:t xml:space="preserve">Euroopa statistika </w:t>
            </w:r>
            <w:r w:rsidRPr="009639F7">
              <w:rPr>
                <w:b/>
                <w:i/>
              </w:rPr>
              <w:t>valdkonnas</w:t>
            </w:r>
            <w:r w:rsidRPr="009639F7">
              <w:t xml:space="preserve"> (edaspidi „programm“). Programm peaks kehtima seitse aastat (2021–2027).</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8</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(8)</w:t>
            </w:r>
            <w:r w:rsidRPr="009639F7">
              <w:tab/>
              <w:t xml:space="preserve">Programm peaks toetama siseturu nõuetekohast toimimist toetavate liidu õigusaktide kavandamist, rakendamist ja jõustamist. Programm peaks toetama õigete tingimuste loomist, et anda suurem mõjuvõim kõigile siseturu osalistele: ettevõtetele, kodanikele, sealhulgas tarbijatele, kodanikuühiskonnale ja riigiasutustele. Seega peaks programmi eesmärk olema tagada ettevõtete ja </w:t>
            </w:r>
            <w:r w:rsidRPr="009639F7">
              <w:rPr>
                <w:b/>
                <w:i/>
              </w:rPr>
              <w:t>eriti VKEde</w:t>
            </w:r>
            <w:r w:rsidRPr="009639F7">
              <w:t xml:space="preserve"> konkurentsivõime, aga ka toetada </w:t>
            </w:r>
            <w:r w:rsidRPr="009639F7">
              <w:rPr>
                <w:b/>
                <w:i/>
              </w:rPr>
              <w:t>tarbijakaitse</w:t>
            </w:r>
            <w:r w:rsidRPr="009639F7">
              <w:t xml:space="preserve"> ja ohutuseeskirjade täitmist ning suurendada ettevõtete ja üksikisikute teadlikkust, andes neile õiged vahendid, teadmised ja pädevused teadlike otsuste tegemiseks ning oma osaluse suurendamiseks liidu poliitika kujundamises. Lisaks peaks programm tugevdama õigus- ja halduskoostööd, eelkõige parimate tavade vahetamise, teadmiste ja pädevuste arendamise kaudu, kasutades muu hulgas strateegilisi riigihankeid. Programmi eesmärk peaks </w:t>
            </w:r>
            <w:r w:rsidRPr="009639F7">
              <w:lastRenderedPageBreak/>
              <w:t>olema ka toetada selliste kvaliteetsete rahvusvaheliste standardite väljatöötamist, mis aitavad liidu õigusakte rakendada. See hõlmab ka standardite kehtestamist finantsaruandluse ja auditeerimise valdkonnas, aidates nõnda kaasa liidu kapitaliturgude läbipaistvuse ja sujuva toimimise tagamisele ning investorikaitse parandamisele. Programm peaks toetama eeskirjade koostamist ja standardite kehtestamist ka sidusrühmade võimalikult laialdase kaasamise kaudu. Programmi eesmärk peaks olema ka selliste liidu õigusaktide rakendamise ja jõustamise toetamine, mis tagavad inimeste, loomade ja taimede tervise kõrge taseme kogu toiduahelas ning loomade heaolu paranemise.</w:t>
            </w:r>
          </w:p>
        </w:tc>
        <w:tc>
          <w:tcPr>
            <w:tcW w:w="4876" w:type="dxa"/>
            <w:hideMark/>
          </w:tcPr>
          <w:p w:rsidR="001C700C" w:rsidRPr="009639F7" w:rsidRDefault="001C700C" w:rsidP="00464712">
            <w:pPr>
              <w:pStyle w:val="Normal6"/>
              <w:rPr>
                <w:szCs w:val="24"/>
              </w:rPr>
            </w:pPr>
            <w:r w:rsidRPr="009639F7">
              <w:lastRenderedPageBreak/>
              <w:t>(8)</w:t>
            </w:r>
            <w:r w:rsidRPr="009639F7">
              <w:tab/>
              <w:t>Programm peaks toetama siseturu nõuetekohast toimimist toetavate liidu õigusaktide kavandamist, rakendamist ja jõustamist. Programm peaks toetama õigete tingimuste loomist, et anda suurem mõjuvõim kõigile siseturu osalistele: ettevõtetele, kodanikele, sealhulgas tarbijatele</w:t>
            </w:r>
            <w:r w:rsidRPr="009639F7">
              <w:rPr>
                <w:b/>
                <w:i/>
              </w:rPr>
              <w:t xml:space="preserve"> ja töötajatele</w:t>
            </w:r>
            <w:r w:rsidRPr="009639F7">
              <w:t>, kodanikuühiskonnale ja riigiasutustele. Seega peaks programmi eesmärk olema tagada ettevõtete</w:t>
            </w:r>
            <w:r w:rsidRPr="009639F7">
              <w:rPr>
                <w:b/>
                <w:i/>
              </w:rPr>
              <w:t>, eelkõige mikro-, väikeste</w:t>
            </w:r>
            <w:r w:rsidRPr="009639F7">
              <w:t xml:space="preserve"> ja </w:t>
            </w:r>
            <w:r w:rsidRPr="009639F7">
              <w:rPr>
                <w:b/>
                <w:i/>
              </w:rPr>
              <w:t>keskmise suurusega ettevõtjate</w:t>
            </w:r>
            <w:r w:rsidRPr="009639F7">
              <w:t xml:space="preserve"> konkurentsivõime</w:t>
            </w:r>
            <w:r w:rsidRPr="009639F7">
              <w:rPr>
                <w:b/>
                <w:i/>
              </w:rPr>
              <w:t xml:space="preserve"> ja kestlikkus</w:t>
            </w:r>
            <w:r w:rsidRPr="009639F7">
              <w:t xml:space="preserve">, aga ka toetada </w:t>
            </w:r>
            <w:r w:rsidRPr="009639F7">
              <w:rPr>
                <w:b/>
                <w:i/>
              </w:rPr>
              <w:t>tarbijakaitse-</w:t>
            </w:r>
            <w:r w:rsidRPr="009639F7">
              <w:t xml:space="preserve"> ja ohutuseeskirjade</w:t>
            </w:r>
            <w:r w:rsidRPr="009639F7">
              <w:rPr>
                <w:b/>
                <w:i/>
              </w:rPr>
              <w:t>, samuti keskkonna- ja sotsiaalsete standardite</w:t>
            </w:r>
            <w:r w:rsidRPr="009639F7">
              <w:t xml:space="preserve"> täitmist ning suurendada ettevõtete ja üksikisikute teadlikkust, andes neile õiged vahendid, </w:t>
            </w:r>
            <w:r w:rsidRPr="009639F7">
              <w:rPr>
                <w:b/>
                <w:i/>
              </w:rPr>
              <w:t xml:space="preserve">asjakohase teabe ja abi, </w:t>
            </w:r>
            <w:r w:rsidRPr="009639F7">
              <w:t xml:space="preserve">teadmised ja pädevused teadlike otsuste tegemiseks ning oma osaluse suurendamiseks liidu poliitika kujundamises. Lisaks peaks programm tugevdama õigus- ja halduskoostööd, </w:t>
            </w:r>
            <w:r w:rsidRPr="009639F7">
              <w:lastRenderedPageBreak/>
              <w:t>eelkõige</w:t>
            </w:r>
            <w:r w:rsidRPr="009639F7">
              <w:rPr>
                <w:b/>
                <w:i/>
              </w:rPr>
              <w:t xml:space="preserve"> koolitusprogrammide,</w:t>
            </w:r>
            <w:r w:rsidRPr="009639F7">
              <w:t xml:space="preserve"> parimate tavade vahetamise, teadmiste ja pädevuste arendamise kaudu, kasutades muu hulgas strateegilisi riigihankeid. Programmi eesmärk peaks olema ka toetada selliste kvaliteetsete rahvusvaheliste standardite väljatöötamist, mis aitavad liidu õigusakte rakendada. See hõlmab ka standardite kehtestamist finantsaruandluse ja auditeerimise valdkonnas, aidates nõnda kaasa liidu kapitaliturgude läbipaistvuse ja sujuva toimimise tagamisele ning investorikaitse parandamisele. Programm peaks toetama eeskirjade koostamist ja standardite kehtestamist ka sidusrühmade võimalikult laialdase kaasamise kaudu. Programmi eesmärk peaks olema ka selliste liidu õigusaktide rakendamise ja jõustamise toetamine, mis tagavad inimeste, loomade ja taimede tervise kõrge taseme kogu toiduahelas ning loomade heaolu paranemise.</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9</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(9)</w:t>
            </w:r>
            <w:r w:rsidRPr="009639F7">
              <w:tab/>
              <w:t xml:space="preserve">Kaasaegne siseturg edendab konkurentsi ja toob kasu tarbijatele, ettevõtetele ja töötajatele. Pidevalt muutuva siseturu võimaluste parem ärakasutamine peaks aitama Euroopa ettevõtetel luua töökohti ja laieneda piiriüleselt, pakkuda suuremat valikut teenuseid parema hinnaga ning säilitada samal ajal kõrged standardid nii tarbijatele kui ka töötajatele. Selle saavutamiseks peaks programm aitama </w:t>
            </w:r>
            <w:r w:rsidRPr="009639F7">
              <w:rPr>
                <w:b/>
                <w:i/>
              </w:rPr>
              <w:t>kõrvaldada</w:t>
            </w:r>
            <w:r w:rsidRPr="009639F7">
              <w:t xml:space="preserve"> allesjäänud </w:t>
            </w:r>
            <w:r w:rsidRPr="009639F7">
              <w:rPr>
                <w:b/>
                <w:i/>
              </w:rPr>
              <w:t>tõkkeid</w:t>
            </w:r>
            <w:r w:rsidRPr="009639F7">
              <w:t xml:space="preserve"> ja tagama</w:t>
            </w:r>
            <w:r w:rsidRPr="009639F7">
              <w:rPr>
                <w:b/>
                <w:i/>
              </w:rPr>
              <w:t xml:space="preserve"> õigusraamistiku</w:t>
            </w:r>
            <w:r w:rsidRPr="009639F7">
              <w:t xml:space="preserve">, </w:t>
            </w:r>
            <w:r w:rsidRPr="009639F7">
              <w:rPr>
                <w:b/>
                <w:i/>
              </w:rPr>
              <w:t>mis</w:t>
            </w:r>
            <w:r w:rsidRPr="009639F7">
              <w:t xml:space="preserve"> arvestaks uute uuenduslike ärimudelitega.</w:t>
            </w:r>
          </w:p>
        </w:tc>
        <w:tc>
          <w:tcPr>
            <w:tcW w:w="4876" w:type="dxa"/>
            <w:hideMark/>
          </w:tcPr>
          <w:p w:rsidR="001C700C" w:rsidRPr="009639F7" w:rsidRDefault="001C700C" w:rsidP="00464712">
            <w:pPr>
              <w:pStyle w:val="Normal6"/>
              <w:rPr>
                <w:szCs w:val="24"/>
              </w:rPr>
            </w:pPr>
            <w:r w:rsidRPr="009639F7">
              <w:t>(9)</w:t>
            </w:r>
            <w:r w:rsidRPr="009639F7">
              <w:tab/>
              <w:t>Kaasaegne siseturg</w:t>
            </w:r>
            <w:r w:rsidRPr="009639F7">
              <w:rPr>
                <w:b/>
                <w:i/>
              </w:rPr>
              <w:t>, mis põhineb õigluse, läbipaistvuse ja vastastikuse usalduse põhimõtetel,</w:t>
            </w:r>
            <w:r w:rsidRPr="009639F7">
              <w:t xml:space="preserve"> edendab konkurentsi ja toob kasu tarbijatele, ettevõtetele ja töötajatele. Pidevalt muutuva siseturu võimaluste parem ärakasutamine peaks aitama Euroopa ettevõtetel luua töökohti ja laieneda piiriüleselt, pakkuda suuremat valikut teenuseid parema hinnaga ning säilitada samal ajal kõrged standardid nii tarbijatele kui ka töötajatele. Selle saavutamiseks peaks programm aitama </w:t>
            </w:r>
            <w:r w:rsidRPr="009639F7">
              <w:rPr>
                <w:b/>
                <w:i/>
              </w:rPr>
              <w:t>paremini jälgida siseturu arengut, sealhulgas uute tehnoloogiate mõju, tuvastama ja kõrvaldama</w:t>
            </w:r>
            <w:r w:rsidRPr="009639F7">
              <w:t xml:space="preserve"> allesjäänud </w:t>
            </w:r>
            <w:r w:rsidRPr="009639F7">
              <w:rPr>
                <w:b/>
                <w:i/>
              </w:rPr>
              <w:t>põhjendamatud, diskrimineerivad ja ebaproportsionaalsed tõkked</w:t>
            </w:r>
            <w:r w:rsidRPr="009639F7">
              <w:t xml:space="preserve"> ja tagama, </w:t>
            </w:r>
            <w:r w:rsidRPr="009639F7">
              <w:rPr>
                <w:b/>
                <w:i/>
              </w:rPr>
              <w:t>et õigusraamistik</w:t>
            </w:r>
            <w:r w:rsidRPr="009639F7">
              <w:t xml:space="preserve"> </w:t>
            </w:r>
            <w:r w:rsidRPr="009639F7">
              <w:lastRenderedPageBreak/>
              <w:t>arvestaks uute uuenduslike ärimudelitega</w:t>
            </w:r>
            <w:r w:rsidRPr="009639F7">
              <w:rPr>
                <w:b/>
                <w:i/>
              </w:rPr>
              <w:t>, sealhulgas koostöömajanduse mudelite ja sotsiaalse ettevõtlusega, kindlustades seejuures sotsiaalse kaitse kõrge taseme, sh ettevõtjatele</w:t>
            </w:r>
            <w:r w:rsidRPr="009639F7">
              <w: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10</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(10)</w:t>
            </w:r>
            <w:r w:rsidRPr="009639F7">
              <w:tab/>
              <w:t>Õiguslikud siseturutakistused on paljude tööstustoodete puhul kõrvaldatud ennetusmehhanismide ja ühiste eeskirjade vastuvõtmise kaudu ning vastavate liidu eeskirjade puudumise korral vastastikuse tunnustamise põhimõtte rakendamise kaudu. Valdkondades, kus liidu õigusaktid puuduvad, tähendab vastastikuse tunnustamise põhimõte seda, et ühes liikmesriigis seaduslikult turustatavate toodete suhtes kehtib vaba liikumise õigus ja neid võib müüa teises liikmesriigis. Kui aga vastastikuse tunnustamise kohaldamine on puudulik, raskendab see äriühingute pääsu teiste liikmesriikide turgudele. Vaatamata turu suurele integreeritusele kaupade valdkonnas, tähendab see kaotatud võimalusi majanduse jaoks üldiselt. Seepärast peaks programmi eesmärk olema parandada vastastikuse tunnustamise kohaldamist kaupade valdkonnas ja piirata ebaseaduslike ja nõuetele mittevastavate kaupade turule jõudmist.</w:t>
            </w:r>
          </w:p>
        </w:tc>
        <w:tc>
          <w:tcPr>
            <w:tcW w:w="4876" w:type="dxa"/>
            <w:hideMark/>
          </w:tcPr>
          <w:p w:rsidR="001C700C" w:rsidRPr="009639F7" w:rsidRDefault="001C700C" w:rsidP="00464712">
            <w:pPr>
              <w:pStyle w:val="Normal6"/>
              <w:rPr>
                <w:szCs w:val="24"/>
              </w:rPr>
            </w:pPr>
            <w:r w:rsidRPr="009639F7">
              <w:t>(10)</w:t>
            </w:r>
            <w:r w:rsidRPr="009639F7">
              <w:tab/>
              <w:t xml:space="preserve">Õiguslikud siseturutakistused on paljude tööstustoodete puhul kõrvaldatud ennetusmehhanismide ja ühiste eeskirjade </w:t>
            </w:r>
            <w:r w:rsidRPr="009639F7">
              <w:rPr>
                <w:b/>
                <w:i/>
              </w:rPr>
              <w:t xml:space="preserve">ja standardite </w:t>
            </w:r>
            <w:r w:rsidRPr="009639F7">
              <w:t>vastuvõtmise kaudu ning vastavate liidu eeskirjade puudumise korral vastastikuse tunnustamise põhimõtte rakendamise kaudu. Valdkondades, kus liidu õigusaktid puuduvad, tähendab vastastikuse tunnustamise põhimõte seda, et ühes liikmesriigis seaduslikult turustatavate toodete suhtes kehtib vaba liikumise õigus ja neid võib müüa teises liikmesriigis</w:t>
            </w:r>
            <w:r w:rsidRPr="009639F7">
              <w:rPr>
                <w:b/>
                <w:i/>
              </w:rPr>
              <w:t>, välja arvatud juhul, kui asjaomasel liikmesriigil on põhjust olla nende kaupade turustamise vastu, tingimusel et selline piirang on mittediskrimineeriv, põhjendatud avaliku huvi eesmärkidega, mis on sätestatud aluslepingu artiklis 36 või mida tunnustab Euroopa Kohtu kohtupraktika, ning proportsionaalne taotletava eesmärgiga</w:t>
            </w:r>
            <w:r w:rsidRPr="009639F7">
              <w:t xml:space="preserve">. Kui aga vastastikuse tunnustamise kohaldamine on puudulik, </w:t>
            </w:r>
            <w:r w:rsidRPr="009639F7">
              <w:rPr>
                <w:b/>
                <w:i/>
              </w:rPr>
              <w:t xml:space="preserve">näiteks kehtestatakse põhjendamatud või ebaproportsionaalsed piirangud, </w:t>
            </w:r>
            <w:r w:rsidRPr="009639F7">
              <w:t xml:space="preserve">raskendab see äriühingute pääsu teiste liikmesriikide turgudele. Vaatamata turu suurele integreeritusele kaupade valdkonnas, tähendab see kaotatud võimalusi majanduse jaoks üldiselt. </w:t>
            </w:r>
            <w:r w:rsidRPr="009639F7">
              <w:rPr>
                <w:b/>
                <w:i/>
              </w:rPr>
              <w:t xml:space="preserve">Vastastikuse tunnustamise määruse (EL) nr xxx/2018 läbivaatamine aitab suurendada majanduslikku kasu selles valdkonnas. </w:t>
            </w:r>
            <w:r w:rsidRPr="009639F7">
              <w:t xml:space="preserve">Seepärast peaks programmi eesmärk olema parandada vastastikuse </w:t>
            </w:r>
            <w:r w:rsidRPr="009639F7">
              <w:lastRenderedPageBreak/>
              <w:t>tunnustamise kohaldamist kaupade valdkonnas</w:t>
            </w:r>
            <w:r w:rsidRPr="009639F7">
              <w:rPr>
                <w:b/>
                <w:i/>
              </w:rPr>
              <w:t>, realiseerides selle täieliku potentsiaali,</w:t>
            </w:r>
            <w:r w:rsidRPr="009639F7">
              <w:t xml:space="preserve"> ja piirata ebaseaduslike ja nõuetele mittevastavate kaupade turule jõudmist</w:t>
            </w:r>
            <w:r w:rsidRPr="009639F7">
              <w:rPr>
                <w:b/>
                <w:i/>
              </w:rPr>
              <w:t>, tõstes sihipäraselt teadlikkust ja pakkudes koolitusi, toetades toodete kontaktpunkte, parandades pädevate asutuste vahelist vastastikuse tunnustamise alast koostööd ning parandades turujärelevalvet</w:t>
            </w:r>
            <w:r w:rsidRPr="009639F7">
              <w: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11</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(11)</w:t>
            </w:r>
            <w:r w:rsidRPr="009639F7">
              <w:tab/>
              <w:t>Uued õigusliku reguleerimise ja jõustamisega seotud probleemid on seotud digitaalsest revolutsioonist tingitud kiiresti muutuva keskkonnaga, hõlmates näiteks selliseid probleeme nagu küberturvalisus, asjade internet</w:t>
            </w:r>
            <w:r w:rsidRPr="009639F7">
              <w:rPr>
                <w:b/>
                <w:i/>
              </w:rPr>
              <w:t xml:space="preserve"> ja</w:t>
            </w:r>
            <w:r w:rsidRPr="009639F7">
              <w:t xml:space="preserve"> tehisintellekt. Kahju tekkimise korral on oluline tooteohutust</w:t>
            </w:r>
            <w:r w:rsidRPr="009639F7">
              <w:rPr>
                <w:b/>
                <w:i/>
              </w:rPr>
              <w:t xml:space="preserve"> ja vastutust</w:t>
            </w:r>
            <w:r w:rsidRPr="009639F7">
              <w:t xml:space="preserve"> käsitlevate rangete eeskirjade olemasolu, </w:t>
            </w:r>
            <w:r w:rsidRPr="009639F7">
              <w:rPr>
                <w:b/>
                <w:i/>
              </w:rPr>
              <w:t>millega</w:t>
            </w:r>
            <w:r w:rsidRPr="009639F7">
              <w:t xml:space="preserve"> tagada selline poliitiline reageering, mis võimaldab Euroopa kodanikel, sealhulgas tarbijatel ja ettevõtetel sellistest eeskirjadest kasu saada. Seepärast peaks programm kaasa aitama innovatsiooni edendava liidu tootevastutuse korra kiirele kohandamisele ja jõustamisele.</w:t>
            </w:r>
          </w:p>
        </w:tc>
        <w:tc>
          <w:tcPr>
            <w:tcW w:w="4876" w:type="dxa"/>
            <w:hideMark/>
          </w:tcPr>
          <w:p w:rsidR="001C700C" w:rsidRPr="009639F7" w:rsidRDefault="001C700C" w:rsidP="00464712">
            <w:pPr>
              <w:pStyle w:val="Normal6"/>
              <w:rPr>
                <w:szCs w:val="24"/>
              </w:rPr>
            </w:pPr>
            <w:r w:rsidRPr="009639F7">
              <w:t>(11)</w:t>
            </w:r>
            <w:r w:rsidRPr="009639F7">
              <w:tab/>
              <w:t xml:space="preserve">Uued õigusliku reguleerimise ja jõustamisega seotud probleemid on seotud digitaalsest revolutsioonist tingitud kiiresti muutuva keskkonnaga, hõlmates näiteks selliseid probleeme nagu küberturvalisus, </w:t>
            </w:r>
            <w:r w:rsidRPr="009639F7">
              <w:rPr>
                <w:b/>
                <w:i/>
              </w:rPr>
              <w:t xml:space="preserve">andmekaitse ja eraelu puutumatus, </w:t>
            </w:r>
            <w:r w:rsidRPr="009639F7">
              <w:t>asjade internet</w:t>
            </w:r>
            <w:r w:rsidRPr="009639F7">
              <w:rPr>
                <w:b/>
                <w:i/>
              </w:rPr>
              <w:t>,</w:t>
            </w:r>
            <w:r w:rsidRPr="009639F7">
              <w:t xml:space="preserve"> tehisintellekt</w:t>
            </w:r>
            <w:r w:rsidRPr="009639F7">
              <w:rPr>
                <w:b/>
                <w:i/>
              </w:rPr>
              <w:t xml:space="preserve"> ja nendega seotud eetikanormid</w:t>
            </w:r>
            <w:r w:rsidRPr="009639F7">
              <w:t>. Kahju tekkimise korral on oluline tooteohutust käsitlevate rangete eeskirjade olemasolu</w:t>
            </w:r>
            <w:r w:rsidRPr="009639F7">
              <w:rPr>
                <w:b/>
                <w:i/>
              </w:rPr>
              <w:t xml:space="preserve"> ja selgus vastutuse osas ning eeskirjade range täitmise tagamine</w:t>
            </w:r>
            <w:r w:rsidRPr="009639F7">
              <w:t xml:space="preserve">, </w:t>
            </w:r>
            <w:r w:rsidRPr="009639F7">
              <w:rPr>
                <w:b/>
                <w:i/>
              </w:rPr>
              <w:t>et</w:t>
            </w:r>
            <w:r w:rsidRPr="009639F7">
              <w:t xml:space="preserve"> tagada selline poliitiline reageering, mis võimaldab Euroopa kodanikel, sealhulgas tarbijatel ja ettevõtetel sellistest eeskirjadest kasu saada. Seepärast peaks programm kaasa aitama innovatsiooni edendava liidu tootevastutuse korra kiirele kohandamisele ja </w:t>
            </w:r>
            <w:r w:rsidRPr="009639F7">
              <w:rPr>
                <w:b/>
                <w:i/>
              </w:rPr>
              <w:t xml:space="preserve">paremale </w:t>
            </w:r>
            <w:r w:rsidRPr="009639F7">
              <w:t>jõustamisele</w:t>
            </w:r>
            <w:r w:rsidRPr="009639F7">
              <w:rPr>
                <w:b/>
                <w:i/>
              </w:rPr>
              <w:t>, tagades samas kasutajate ohutuse ja turvalisuse</w:t>
            </w:r>
            <w:r w:rsidRPr="009639F7">
              <w: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12</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(12)</w:t>
            </w:r>
            <w:r w:rsidRPr="009639F7">
              <w:tab/>
              <w:t xml:space="preserve">Liidu õigusaktidele mittevastavate </w:t>
            </w:r>
            <w:r w:rsidRPr="009639F7">
              <w:lastRenderedPageBreak/>
              <w:t>toodete turuleviimine</w:t>
            </w:r>
            <w:r w:rsidRPr="009639F7">
              <w:rPr>
                <w:b/>
                <w:i/>
              </w:rPr>
              <w:t xml:space="preserve"> seab ebasoodsasse olukorda</w:t>
            </w:r>
            <w:r w:rsidRPr="009639F7">
              <w:t xml:space="preserve"> need, </w:t>
            </w:r>
            <w:r w:rsidRPr="009639F7">
              <w:rPr>
                <w:b/>
                <w:i/>
              </w:rPr>
              <w:t>kes nõudeid järgivad</w:t>
            </w:r>
            <w:r w:rsidRPr="009639F7">
              <w:t xml:space="preserve">, </w:t>
            </w:r>
            <w:r w:rsidRPr="009639F7">
              <w:rPr>
                <w:b/>
                <w:i/>
              </w:rPr>
              <w:t>ning võib ohustada tarbijaid</w:t>
            </w:r>
            <w:r w:rsidRPr="009639F7">
              <w:t>.</w:t>
            </w:r>
            <w:r w:rsidRPr="009639F7">
              <w:rPr>
                <w:b/>
                <w:i/>
              </w:rPr>
              <w:t xml:space="preserve"> Mitmed</w:t>
            </w:r>
            <w:r w:rsidRPr="009639F7">
              <w:t xml:space="preserve"> ettevõtjad eiravad eeskirju kas teadmatusest või tahtlikult, et saada konkurentsieelist. Turujärelevalveasutused on sageli alarahastatud ja nende tegevusulatus jääb ühe riigi piiresse, samal ajal kui ettevõtjad kauplevad liidu või isegi ülemaailmsel tasandil. Turujärelevalveasutustel on eelkõige e-kaubanduse puhul suuri raskusi kolmandatest riikidest imporditud, kuid nõuetele mittevastavate toodete jälgimisega </w:t>
            </w:r>
            <w:r w:rsidRPr="009639F7">
              <w:rPr>
                <w:b/>
                <w:i/>
              </w:rPr>
              <w:t>ja</w:t>
            </w:r>
            <w:r w:rsidRPr="009639F7">
              <w:t xml:space="preserve"> nende jurisdiktsioonis vastutava asutuse kindlakstegemisega. Seepärast peaks programm püüdma parandada toodete nõuetele vastavust, pakkudes ettevõtjatele </w:t>
            </w:r>
            <w:r w:rsidRPr="009639F7">
              <w:rPr>
                <w:b/>
                <w:i/>
              </w:rPr>
              <w:t>sobilikke stiimuleid</w:t>
            </w:r>
            <w:r w:rsidRPr="009639F7">
              <w:t>, tõhustades vastavuse kontrollimist ning edendades täitevasutuste tihedamat piiriülest koostööd. Samuti peaks programm kaasa aitama olemasoleva turujärelevalve raamistiku tugevdamisele, toetama eri liikmesriikide turujärelevalveasutuste ühismeetmeid, parandama teabevahetust ning edendama turujärelevalvetoimingute lähenemist ja tihedamat lõimumist.</w:t>
            </w:r>
          </w:p>
        </w:tc>
        <w:tc>
          <w:tcPr>
            <w:tcW w:w="4876" w:type="dxa"/>
            <w:hideMark/>
          </w:tcPr>
          <w:p w:rsidR="001C700C" w:rsidRPr="009639F7" w:rsidRDefault="001C700C" w:rsidP="00464712">
            <w:pPr>
              <w:pStyle w:val="Normal6"/>
              <w:rPr>
                <w:szCs w:val="24"/>
              </w:rPr>
            </w:pPr>
            <w:r w:rsidRPr="009639F7">
              <w:lastRenderedPageBreak/>
              <w:t>(12)</w:t>
            </w:r>
            <w:r w:rsidRPr="009639F7">
              <w:tab/>
              <w:t xml:space="preserve">Liidu õigusaktidele mittevastavate </w:t>
            </w:r>
            <w:r w:rsidRPr="009639F7">
              <w:lastRenderedPageBreak/>
              <w:t>toodete turuleviimine</w:t>
            </w:r>
            <w:r w:rsidRPr="009639F7">
              <w:rPr>
                <w:b/>
                <w:i/>
              </w:rPr>
              <w:t>, olenemata sellest, kas</w:t>
            </w:r>
            <w:r w:rsidRPr="009639F7">
              <w:t xml:space="preserve"> need</w:t>
            </w:r>
            <w:r w:rsidRPr="009639F7">
              <w:rPr>
                <w:b/>
                <w:i/>
              </w:rPr>
              <w:t xml:space="preserve"> tooted viiakse turule tavapäraste või elektrooniliste vahenditega</w:t>
            </w:r>
            <w:r w:rsidRPr="009639F7">
              <w:t xml:space="preserve">, </w:t>
            </w:r>
            <w:r w:rsidRPr="009639F7">
              <w:rPr>
                <w:b/>
                <w:i/>
              </w:rPr>
              <w:t>ja olenemata sellest, kas need on toodetud liidus või pärinevad kolmandatest riikidest</w:t>
            </w:r>
            <w:r w:rsidRPr="009639F7">
              <w:t xml:space="preserve">, </w:t>
            </w:r>
            <w:r w:rsidRPr="009639F7">
              <w:rPr>
                <w:b/>
                <w:i/>
              </w:rPr>
              <w:t>paneb liidu kodanikud ja tarbijad ohtu</w:t>
            </w:r>
            <w:r w:rsidRPr="009639F7">
              <w:t>.</w:t>
            </w:r>
            <w:r w:rsidRPr="009639F7">
              <w:rPr>
                <w:b/>
                <w:i/>
              </w:rPr>
              <w:t xml:space="preserve"> Nõuetele vastavaid tooteid müüvad</w:t>
            </w:r>
            <w:r w:rsidRPr="009639F7">
              <w:t xml:space="preserve"> ettevõtjad </w:t>
            </w:r>
            <w:r w:rsidRPr="009639F7">
              <w:rPr>
                <w:b/>
                <w:i/>
              </w:rPr>
              <w:t xml:space="preserve">seisavad silmitsi konkurentsiga nende ettevõtjate poolt, kes </w:t>
            </w:r>
            <w:r w:rsidRPr="009639F7">
              <w:t xml:space="preserve">eiravad eeskirju kas teadmatusest või tahtlikult, et saada konkurentsieelist. Turujärelevalveasutused on sageli alarahastatud ja nende tegevusulatus jääb ühe riigi piiresse, samal ajal kui ettevõtjad kauplevad liidu või isegi ülemaailmsel tasandil. Turujärelevalveasutustel on eelkõige e-kaubanduse puhul suuri raskusi kolmandatest riikidest imporditud, kuid nõuetele mittevastavate toodete jälgimisega </w:t>
            </w:r>
            <w:r w:rsidRPr="009639F7">
              <w:rPr>
                <w:b/>
                <w:i/>
              </w:rPr>
              <w:t>ning</w:t>
            </w:r>
            <w:r w:rsidRPr="009639F7">
              <w:t xml:space="preserve"> nende jurisdiktsioonis vastutava asutuse kindlakstegemisega</w:t>
            </w:r>
            <w:r w:rsidRPr="009639F7">
              <w:rPr>
                <w:b/>
                <w:i/>
              </w:rPr>
              <w:t xml:space="preserve"> ja riskihinnangute või ohutustestide läbiviimisega, sest neil puudub toodetele füüsiline juurdepääs</w:t>
            </w:r>
            <w:r w:rsidRPr="009639F7">
              <w:t xml:space="preserve">. Seepärast peaks programm püüdma parandada toodete nõuetele vastavust, </w:t>
            </w:r>
            <w:r w:rsidRPr="009639F7">
              <w:rPr>
                <w:b/>
                <w:i/>
              </w:rPr>
              <w:t xml:space="preserve">tugevdades turujärelevalvet, </w:t>
            </w:r>
            <w:r w:rsidRPr="009639F7">
              <w:t xml:space="preserve">pakkudes ettevõtjatele </w:t>
            </w:r>
            <w:r w:rsidRPr="009639F7">
              <w:rPr>
                <w:b/>
                <w:i/>
              </w:rPr>
              <w:t>selgeid, läbipaistvaid ja kõikehõlmavaid eeskirju, suurendades teadlikkust kohaldatavatest liidu tooteohutuse eeskirjadest</w:t>
            </w:r>
            <w:r w:rsidRPr="009639F7">
              <w:t>, tõhustades vastavuse kontrollimist</w:t>
            </w:r>
            <w:r w:rsidRPr="009639F7">
              <w:rPr>
                <w:b/>
                <w:i/>
              </w:rPr>
              <w:t>, sealhulgas igast turule lastud tooteliigist olulist protsentuaalset osa esindavate toodete näidiste järjepideva kontrollimise ning turujärelevalveasutuste tehtavate kontrollostude abil,</w:t>
            </w:r>
            <w:r w:rsidRPr="009639F7">
              <w:t xml:space="preserve"> ning edendades täitevasutuste tihedamat piiriülest koostööd. Samuti peaks programm kaasa aitama olemasoleva turujärelevalve raamistiku tugevdamisele, toetama eri liikmesriikide turujärelevalveasutuste ühismeetmeid, parandama teabevahetust ning edendama turujärelevalvetoimingute lähenemist ja tihedamat lõimumist</w:t>
            </w:r>
            <w:r w:rsidRPr="009639F7">
              <w:rPr>
                <w:b/>
                <w:i/>
              </w:rPr>
              <w:t>, eelkõige sellega, et tagatakse Euroopa Parlamendi ja nõukogu määrusega (EL) 2018/858</w:t>
            </w:r>
            <w:r w:rsidRPr="009639F7">
              <w:rPr>
                <w:b/>
                <w:i/>
                <w:vertAlign w:val="superscript"/>
              </w:rPr>
              <w:t>1a</w:t>
            </w:r>
            <w:r w:rsidRPr="009639F7">
              <w:rPr>
                <w:b/>
                <w:i/>
              </w:rPr>
              <w:t xml:space="preserve"> kehtestatud uute nõuete range rakendamine, et vältida nõuetele </w:t>
            </w:r>
            <w:r w:rsidRPr="009639F7">
              <w:rPr>
                <w:b/>
                <w:i/>
              </w:rPr>
              <w:lastRenderedPageBreak/>
              <w:t>mittevastavate toodete müümist Euroopa kodanikele.</w:t>
            </w:r>
            <w:r w:rsidRPr="009639F7">
              <w:t xml:space="preserve"> </w:t>
            </w:r>
            <w:r w:rsidRPr="009639F7">
              <w:rPr>
                <w:b/>
                <w:i/>
              </w:rPr>
              <w:t>Seega peaks programm suurendama kogu liidu turujärelevalveasutuste suutlikkust ja aitama kaasa suurema ühtsuse saavutamisele liikmesriikide vahel, saades siseturust võrdselt kasu nii majandusliku heaolu kui ka kestliku majanduskasvu seisukohast, ning lahendades nende konkreetseid vajadusi kohandatud viisil.</w:t>
            </w:r>
          </w:p>
        </w:tc>
      </w:tr>
      <w:tr w:rsidR="001C700C" w:rsidRPr="009639F7" w:rsidTr="00464712">
        <w:trPr>
          <w:jc w:val="center"/>
        </w:trPr>
        <w:tc>
          <w:tcPr>
            <w:tcW w:w="4876" w:type="dxa"/>
          </w:tcPr>
          <w:p w:rsidR="001C700C" w:rsidRPr="009639F7" w:rsidRDefault="001C700C" w:rsidP="00464712">
            <w:pPr>
              <w:pStyle w:val="Normal6"/>
            </w:pPr>
          </w:p>
        </w:tc>
        <w:tc>
          <w:tcPr>
            <w:tcW w:w="4876" w:type="dxa"/>
          </w:tcPr>
          <w:p w:rsidR="001C700C" w:rsidRPr="009639F7" w:rsidRDefault="001C700C" w:rsidP="00464712">
            <w:pPr>
              <w:pStyle w:val="Normal6"/>
            </w:pPr>
            <w:r w:rsidRPr="009639F7">
              <w:rPr>
                <w:b/>
                <w:i/>
              </w:rPr>
              <w:t>_____________________</w:t>
            </w:r>
          </w:p>
        </w:tc>
      </w:tr>
      <w:tr w:rsidR="001C700C" w:rsidRPr="009639F7" w:rsidTr="00464712">
        <w:trPr>
          <w:jc w:val="center"/>
        </w:trPr>
        <w:tc>
          <w:tcPr>
            <w:tcW w:w="4876" w:type="dxa"/>
          </w:tcPr>
          <w:p w:rsidR="001C700C" w:rsidRPr="009639F7" w:rsidRDefault="001C700C" w:rsidP="00464712">
            <w:pPr>
              <w:pStyle w:val="Normal6"/>
            </w:pPr>
          </w:p>
        </w:tc>
        <w:tc>
          <w:tcPr>
            <w:tcW w:w="4876" w:type="dxa"/>
          </w:tcPr>
          <w:p w:rsidR="001C700C" w:rsidRPr="009639F7" w:rsidRDefault="001C700C" w:rsidP="00464712">
            <w:pPr>
              <w:pStyle w:val="Normal6"/>
            </w:pPr>
            <w:r w:rsidRPr="009639F7">
              <w:rPr>
                <w:b/>
                <w:i/>
                <w:vertAlign w:val="superscript"/>
              </w:rPr>
              <w:t>1a</w:t>
            </w:r>
            <w:r w:rsidRPr="009639F7">
              <w:t xml:space="preserve"> </w:t>
            </w:r>
            <w:r w:rsidRPr="009639F7">
              <w:rPr>
                <w:b/>
                <w:i/>
              </w:rPr>
              <w:t xml:space="preserve">Euroopa Parlamendi ja nõukogu 30. mai 2018. aasta määrus </w:t>
            </w:r>
            <w:r w:rsidR="00F66F22">
              <w:rPr>
                <w:b/>
                <w:i/>
              </w:rPr>
              <w:t>(EL) </w:t>
            </w:r>
            <w:r w:rsidRPr="009639F7">
              <w:rPr>
                <w:b/>
                <w:i/>
              </w:rPr>
              <w:t>2018/858 mootorsõidukite ja mootorsõidukite haagiste ning nende jaoks ette nähtud süsteemide, osade ja eraldi seadmestike tüübikinnituse ja turujärelevalve kohta, ning millega muudetakse määruseid (EÜ) nr 715/2007 ja (EÜ) nr 595/2009 ning tunnistatakse kehtetuks direktiiv 2007/46/EÜ (ELT L 151, 14.6.2018, lk 1).</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13</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(13)</w:t>
            </w:r>
            <w:r w:rsidRPr="009639F7">
              <w:tab/>
              <w:t xml:space="preserve">Tooteohutus on meie ühine mure. Vastavushindamisasutused kontrollivad enne toodete turulelaskmist nende vastavust kehtestatud ohutusnõuetele. Seetõttu on ülimalt oluline, et vastavushindamisasutused oleksid usaldusväärsed ja pädevad. Liit on loonud vastavushindamisasutuste akrediteerimissüsteemi, mille raames kontrollitakse nende pädevust, erapooletust ja sõltumatust. Praegu on peamine ülesanne hoida kogu akrediteerimissüsteem vastavuses tehnika viimase tasemega ja tagada, et süsteemi kohaldatakse ühetaolise rangusega kogu liidus. Seepärast tuleks programmiga toetada meetmeid, mis tagavad vastavushindamisasutustes regulatiivsete nõuete jätkuva täitmise ning </w:t>
            </w:r>
            <w:r w:rsidRPr="009639F7">
              <w:lastRenderedPageBreak/>
              <w:t>tõhustavad Euroopa akrediteerimissüsteemi eelkõige uutes poliitikavaldkondades, toetades Euroopa Parlamendi ja nõukogu määruse (EÜ) nr 765/2008</w:t>
            </w:r>
            <w:r w:rsidRPr="009639F7">
              <w:rPr>
                <w:b/>
                <w:i/>
                <w:vertAlign w:val="superscript"/>
              </w:rPr>
              <w:t>48</w:t>
            </w:r>
            <w:r w:rsidRPr="009639F7">
              <w:t xml:space="preserve"> artiklis 14 osutatud Euroopa akrediteerimiskoostöö organisatsiooni (EA) loomist.</w:t>
            </w:r>
          </w:p>
        </w:tc>
        <w:tc>
          <w:tcPr>
            <w:tcW w:w="4876" w:type="dxa"/>
            <w:hideMark/>
          </w:tcPr>
          <w:p w:rsidR="001C700C" w:rsidRPr="009639F7" w:rsidRDefault="001C700C" w:rsidP="00464712">
            <w:pPr>
              <w:pStyle w:val="Normal6"/>
              <w:rPr>
                <w:szCs w:val="24"/>
              </w:rPr>
            </w:pPr>
            <w:r w:rsidRPr="009639F7">
              <w:lastRenderedPageBreak/>
              <w:t>(13)</w:t>
            </w:r>
            <w:r w:rsidRPr="009639F7">
              <w:tab/>
              <w:t xml:space="preserve">Tooteohutus on meie ühine mure. Vastavushindamisasutused kontrollivad enne toodete turulelaskmist nende vastavust kehtestatud ohutusnõuetele. Seetõttu on ülimalt oluline, et vastavushindamisasutused oleksid usaldusväärsed ja pädevad. Liit on loonud vastavushindamisasutuste akrediteerimissüsteemi, mille raames kontrollitakse nende pädevust, erapooletust ja sõltumatust. </w:t>
            </w:r>
            <w:r w:rsidRPr="009639F7">
              <w:rPr>
                <w:b/>
                <w:i/>
              </w:rPr>
              <w:t>Euroopa Parlamendi ja nõukogu määrust (EÜ) nr 765/2008</w:t>
            </w:r>
            <w:r w:rsidRPr="009639F7">
              <w:rPr>
                <w:b/>
                <w:i/>
                <w:vertAlign w:val="superscript"/>
              </w:rPr>
              <w:t>48</w:t>
            </w:r>
            <w:r w:rsidRPr="009639F7">
              <w:rPr>
                <w:b/>
                <w:i/>
              </w:rPr>
              <w:t xml:space="preserve"> on liikmesriikide tasandil rakendatud siiski mitmel erineval moel. Erinevused puudutavad pädevuse jaotust turujärelevalveasutuste ja riigisiseste järelevalvemehhanismide vahel riiklikul tasandil, turujärelevalvele ettenähtud </w:t>
            </w:r>
            <w:r w:rsidRPr="009639F7">
              <w:rPr>
                <w:b/>
                <w:i/>
              </w:rPr>
              <w:lastRenderedPageBreak/>
              <w:t>rahaliste vahendite kasutamise määra ning turujärelevalve strateegiaid ja lähenemisviise, aga ka mittevastavate toodete suhtes kasutatavaid pädevusi ja karistuste taset rikkumiste puhul, mis kõik on tekitanud killustatuse liidu ühtlustatud õigusaktide täitmise tagamisel. Niisugune killustumine on tekitanud olukorra, kus mõnes liikmesriigis on turujärelevalve rangem kui mõnes teises, mis võib vähendada õigusaktide heidutusjõu tõhusust, luua mõnes liikmesriigis ettevõtetele ebavõrdsed tingimused ning tekitada tasakaalustamatuse liidu tooteohutuse tasemes.</w:t>
            </w:r>
            <w:r w:rsidRPr="009639F7">
              <w:t xml:space="preserve"> Praegu on peamine ülesanne hoida kogu akrediteerimissüsteem vastavuses tehnika viimase tasemega ja tagada, et süsteemi kohaldatakse ühetaolise rangusega kogu liidus. Seepärast tuleks programmiga toetada meetmeid, mis tagavad vastavushindamisasutustes regulatiivsete nõuete jätkuva täitmise</w:t>
            </w:r>
            <w:r w:rsidRPr="009639F7">
              <w:rPr>
                <w:b/>
                <w:i/>
              </w:rPr>
              <w:t>, kasutades selleks eelkõige kolmanda isiku hindamist, eesmärgiga edendada erapooletuid ja sõltumatuid menetlusi,</w:t>
            </w:r>
            <w:r w:rsidRPr="009639F7">
              <w:t xml:space="preserve"> ning tõhustavad Euroopa akrediteerimissüsteemi eelkõige uutes poliitikavaldkondades, toetades </w:t>
            </w:r>
            <w:r w:rsidRPr="009639F7">
              <w:rPr>
                <w:b/>
                <w:i/>
              </w:rPr>
              <w:t xml:space="preserve">kontrollide ja sanktsioonide ühtsust ning </w:t>
            </w:r>
            <w:r w:rsidRPr="009639F7">
              <w:t>Euroopa Parlamendi ja nõukogu määruse (EÜ) nr 765/2008 artiklis 14 osutatud Euroopa akrediteerimiskoostöö organisatsiooni (EA) loomist.</w:t>
            </w:r>
          </w:p>
        </w:tc>
      </w:tr>
      <w:tr w:rsidR="001C700C" w:rsidRPr="009639F7" w:rsidTr="00464712">
        <w:trPr>
          <w:jc w:val="center"/>
        </w:trPr>
        <w:tc>
          <w:tcPr>
            <w:tcW w:w="4876" w:type="dxa"/>
            <w:hideMark/>
          </w:tcPr>
          <w:p w:rsidR="001C700C" w:rsidRPr="009639F7" w:rsidRDefault="001C700C" w:rsidP="00464712">
            <w:pPr>
              <w:pStyle w:val="Normal6"/>
            </w:pPr>
            <w:r w:rsidRPr="009639F7">
              <w:lastRenderedPageBreak/>
              <w:t>__________________</w:t>
            </w:r>
          </w:p>
        </w:tc>
        <w:tc>
          <w:tcPr>
            <w:tcW w:w="4876" w:type="dxa"/>
            <w:hideMark/>
          </w:tcPr>
          <w:p w:rsidR="001C700C" w:rsidRPr="009639F7" w:rsidRDefault="001C700C" w:rsidP="00464712">
            <w:pPr>
              <w:pStyle w:val="Normal6"/>
              <w:rPr>
                <w:szCs w:val="24"/>
              </w:rPr>
            </w:pPr>
            <w:r w:rsidRPr="009639F7">
              <w:t>__________________</w:t>
            </w:r>
          </w:p>
        </w:tc>
      </w:tr>
      <w:tr w:rsidR="001C700C" w:rsidRPr="009639F7" w:rsidTr="00464712">
        <w:trPr>
          <w:jc w:val="center"/>
        </w:trPr>
        <w:tc>
          <w:tcPr>
            <w:tcW w:w="4876" w:type="dxa"/>
            <w:hideMark/>
          </w:tcPr>
          <w:p w:rsidR="001C700C" w:rsidRPr="009639F7" w:rsidRDefault="001C700C" w:rsidP="00464712">
            <w:pPr>
              <w:pStyle w:val="Normal6"/>
            </w:pPr>
            <w:r w:rsidRPr="009639F7">
              <w:rPr>
                <w:vertAlign w:val="superscript"/>
              </w:rPr>
              <w:t>48</w:t>
            </w:r>
            <w:r w:rsidRPr="009639F7">
              <w:t xml:space="preserve"> Euroopa Parlamendi ja nõukogu 9. juuli 2008. aasta määrus (EÜ) nr 765/2008, millega sätestatakse akrediteerimise ja turujärelevalve nõuded seoses toodete turustamisega ja tunnistatakse kehtetuks määrus (EMÜ) nr 339/93 (ELT L 218, 13.8.2008, lk 30).</w:t>
            </w:r>
          </w:p>
        </w:tc>
        <w:tc>
          <w:tcPr>
            <w:tcW w:w="4876" w:type="dxa"/>
            <w:hideMark/>
          </w:tcPr>
          <w:p w:rsidR="001C700C" w:rsidRPr="009639F7" w:rsidRDefault="001C700C" w:rsidP="00464712">
            <w:pPr>
              <w:pStyle w:val="Normal6"/>
              <w:rPr>
                <w:szCs w:val="24"/>
              </w:rPr>
            </w:pPr>
            <w:r w:rsidRPr="009639F7">
              <w:rPr>
                <w:vertAlign w:val="superscript"/>
              </w:rPr>
              <w:t>48</w:t>
            </w:r>
            <w:r w:rsidRPr="009639F7">
              <w:t xml:space="preserve"> Euroopa Parlamendi ja nõukogu 9. juuli 2008. aasta määrus (EÜ) nr 765/2008, millega sätestatakse akrediteerimise ja turujärelevalve nõuded seoses toodete turustamisega ja tunnistatakse kehtetuks määrus (EMÜ) nr 339/93 (ELT L 218, 13.8.2008, lk 30).</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14</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(14)</w:t>
            </w:r>
            <w:r w:rsidRPr="009639F7">
              <w:tab/>
              <w:t xml:space="preserve">Võrgupõhiste kaubandus- ja reisiteenuste tõttu ei tunne tarbijaturud enam riigipiire ja seepärast on oluline tagada, et liidus elavatele tarbijatele oleks tagatud </w:t>
            </w:r>
            <w:r w:rsidRPr="009639F7">
              <w:rPr>
                <w:b/>
                <w:i/>
              </w:rPr>
              <w:t>piisav</w:t>
            </w:r>
            <w:r w:rsidRPr="009639F7">
              <w:t xml:space="preserve"> kaitse kolmandates riikides asuvatelt ettevõtjatelt kaupade ja teenuste importimisel. Seepärast peaks programm võimaldama vajaduse korral toetada koostööd peamisteks kaubanduspartneriteks olevate kolmandate riikide asutustega.</w:t>
            </w:r>
          </w:p>
        </w:tc>
        <w:tc>
          <w:tcPr>
            <w:tcW w:w="4876" w:type="dxa"/>
            <w:hideMark/>
          </w:tcPr>
          <w:p w:rsidR="001C700C" w:rsidRPr="009639F7" w:rsidRDefault="001C700C" w:rsidP="00464712">
            <w:pPr>
              <w:pStyle w:val="Normal6"/>
              <w:rPr>
                <w:szCs w:val="24"/>
              </w:rPr>
            </w:pPr>
            <w:r w:rsidRPr="009639F7">
              <w:t>(14)</w:t>
            </w:r>
            <w:r w:rsidRPr="009639F7">
              <w:tab/>
            </w:r>
            <w:r w:rsidRPr="009639F7">
              <w:rPr>
                <w:b/>
                <w:i/>
              </w:rPr>
              <w:t>E-kaubanduse areng võib tekitada teatavaid probleeme seoses küsimusega, kuidas kaitsta lõppkasutajate tervist ja ohutust nõuetele mittevastavate toodete eest.</w:t>
            </w:r>
            <w:r w:rsidRPr="009639F7">
              <w:t xml:space="preserve"> Võrgupõhiste kaubandus- ja reisiteenuste tõttu ei tunne tarbijaturud enam riigipiire ja seepärast on oluline tagada, et liidus elavatele tarbijatele oleks tagatud </w:t>
            </w:r>
            <w:r w:rsidRPr="009639F7">
              <w:rPr>
                <w:b/>
                <w:i/>
              </w:rPr>
              <w:t>võrdväärne</w:t>
            </w:r>
            <w:r w:rsidRPr="009639F7">
              <w:t xml:space="preserve"> kaitse kolmandates riikides asuvatelt ettevõtjatelt kaupade ja teenuste importimisel. Seepärast peaks programm võimaldama vajaduse korral toetada koostööd peamisteks kaubanduspartneriteks olevate kolmandate riikide asutustega</w:t>
            </w:r>
            <w:r w:rsidRPr="009639F7">
              <w:rPr>
                <w:b/>
                <w:i/>
              </w:rPr>
              <w:t>, et vahetada teavet nõuetele mittevastavate toodete, teaduse uusimate avastuste ja uute tehnoloogiate, alles kujunevate riskide ning kontrollitegevusega seotud muude aspektide kohta</w:t>
            </w:r>
            <w:r w:rsidRPr="009639F7">
              <w: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15</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(15)</w:t>
            </w:r>
            <w:r w:rsidRPr="009639F7">
              <w:tab/>
              <w:t>Avaliku sektori asutused kasutavad avalikke hankeid selleks, et saada kulutatud avaliku sektori raha eest suuremat väärtust ning muuta siseturg innovatiivsemaks, jätkusuutlikumaks, kaasavamaks ja konkurentsivõimelisemaks. Euroopa Parlamendi ja nõukogu direktiivis 2014/23/EL</w:t>
            </w:r>
            <w:r w:rsidRPr="009639F7">
              <w:rPr>
                <w:vertAlign w:val="superscript"/>
              </w:rPr>
              <w:t>49</w:t>
            </w:r>
            <w:r w:rsidRPr="009639F7">
              <w:t>, Euroopa Parlamendi ja nõukogu direktiivis 2014/24/EL</w:t>
            </w:r>
            <w:r w:rsidRPr="009639F7">
              <w:rPr>
                <w:vertAlign w:val="superscript"/>
              </w:rPr>
              <w:t>50</w:t>
            </w:r>
            <w:r w:rsidRPr="009639F7">
              <w:t xml:space="preserve"> ja Euroopa Parlamendi ja nõukogu direktiivis 2014/25/EL</w:t>
            </w:r>
            <w:r w:rsidRPr="009639F7">
              <w:rPr>
                <w:vertAlign w:val="superscript"/>
              </w:rPr>
              <w:t>51</w:t>
            </w:r>
            <w:r w:rsidRPr="009639F7">
              <w:t xml:space="preserve"> on sätestatud liidu sisemajanduse koguproduktist 14 % moodustava avalike hangete turu integratsiooni ja tõhusa toimimise õigusraamistik, mis on kasulik avaliku sektori asutustele, ettevõtetele ja kodanikele, sealhulgas tarbijatele. Seepärast tuleks programmiga toetada </w:t>
            </w:r>
            <w:r w:rsidRPr="009639F7">
              <w:lastRenderedPageBreak/>
              <w:t xml:space="preserve">meetmeid, millega tagatakse strateegiliste riigihangete laialdasem kasutuselevõtt, avaliku sektori hankijate tegevuse kutseliseks muutmine, VKEde </w:t>
            </w:r>
            <w:r w:rsidRPr="009639F7">
              <w:rPr>
                <w:b/>
                <w:i/>
              </w:rPr>
              <w:t>parem pääs</w:t>
            </w:r>
            <w:r w:rsidRPr="009639F7">
              <w:t xml:space="preserve"> riigihanketurgudele, paremad andmed, läbipaistvus ja ausus, hangete kiirem üleviimine digitaalsesse keskkonda ja ühishangete edendamine, tugevdades selleks partnerlust liikmesriikidega, parandades andmete kogumist ja analüüsimist muu hulgas asjaomaste IT-vahendite arendamise kaudu, toetades kogemuste ja heade tavade vahetamist, andes suuniseid, edendades kasulikke kaubanduslepinguid, tugevdades koostööd riigi ametiasutuste vahel ja käivitades katseprojekte.</w:t>
            </w:r>
          </w:p>
        </w:tc>
        <w:tc>
          <w:tcPr>
            <w:tcW w:w="4876" w:type="dxa"/>
            <w:hideMark/>
          </w:tcPr>
          <w:p w:rsidR="001C700C" w:rsidRPr="009639F7" w:rsidRDefault="001C700C" w:rsidP="00464712">
            <w:pPr>
              <w:pStyle w:val="Normal6"/>
              <w:rPr>
                <w:szCs w:val="24"/>
              </w:rPr>
            </w:pPr>
            <w:r w:rsidRPr="009639F7">
              <w:lastRenderedPageBreak/>
              <w:t>(15)</w:t>
            </w:r>
            <w:r w:rsidRPr="009639F7">
              <w:tab/>
              <w:t>Avaliku sektori asutused kasutavad avalikke hankeid selleks, et saada kulutatud avaliku sektori raha eest suuremat väärtust ning muuta siseturg innovatiivsemaks, jätkusuutlikumaks, kaasavamaks ja konkurentsivõimelisemaks</w:t>
            </w:r>
            <w:r w:rsidRPr="009639F7">
              <w:rPr>
                <w:b/>
                <w:i/>
              </w:rPr>
              <w:t>, sealhulgas kohaldades, eeldusel et see on kooskõlas kohaldatava liidu õigusega, muid kriteeriumeid kui lihtsalt kõige odavam hind või kulutõhusus, võttes muu hulgas arvesse kvalitatiivseid, keskkondlikke, õiglase kaubanduse ja sotsiaalseid aspekte ning hõlbustades suurte taristutööde puhul hankelepingute osadeks jagamist</w:t>
            </w:r>
            <w:r w:rsidRPr="009639F7">
              <w:t>. Euroopa Parlamendi ja nõukogu direktiivis 2014/23/EL</w:t>
            </w:r>
            <w:r w:rsidRPr="009639F7">
              <w:rPr>
                <w:vertAlign w:val="superscript"/>
              </w:rPr>
              <w:t>49</w:t>
            </w:r>
            <w:r w:rsidRPr="009639F7">
              <w:t>, Euroopa Parlamendi ja nõukogu direktiivi</w:t>
            </w:r>
            <w:r w:rsidR="00464712" w:rsidRPr="009639F7">
              <w:t>s </w:t>
            </w:r>
            <w:r w:rsidRPr="009639F7">
              <w:t>2014/24/EL</w:t>
            </w:r>
            <w:r w:rsidRPr="009639F7">
              <w:rPr>
                <w:vertAlign w:val="superscript"/>
              </w:rPr>
              <w:t>50</w:t>
            </w:r>
            <w:r w:rsidRPr="009639F7">
              <w:t xml:space="preserve"> ja Euroopa </w:t>
            </w:r>
            <w:r w:rsidRPr="009639F7">
              <w:lastRenderedPageBreak/>
              <w:t>Parlamendi ja nõukogu direktiivis 2014/25/EL</w:t>
            </w:r>
            <w:r w:rsidRPr="009639F7">
              <w:rPr>
                <w:vertAlign w:val="superscript"/>
              </w:rPr>
              <w:t>51</w:t>
            </w:r>
            <w:r w:rsidRPr="009639F7">
              <w:t xml:space="preserve"> on sätestatud liidu sisemajanduse koguproduktist 14 % moodustava avalike hangete turu integratsiooni ja tõhusa toimimise õigusraamistik, mis on kasulik avaliku sektori asutustele, ettevõtetele ja kodanikele, sealhulgas tarbijatele. </w:t>
            </w:r>
            <w:r w:rsidRPr="009639F7">
              <w:rPr>
                <w:b/>
                <w:i/>
              </w:rPr>
              <w:t>Nõuetekohaselt rakendatud riigihanke-eeskirjad on tugevama ühtse turu ning ELi ettevõtete kasvu ja töökohtade suurendamise oluline vahend.</w:t>
            </w:r>
            <w:r w:rsidRPr="009639F7">
              <w:t xml:space="preserve"> Seepärast tuleks programmiga toetada meetmeid, millega tagatakse strateegiliste riigihangete laialdasem kasutuselevõtt, avaliku sektori hankijate tegevuse kutseliseks muutmine, </w:t>
            </w:r>
            <w:r w:rsidRPr="009639F7">
              <w:rPr>
                <w:b/>
                <w:i/>
              </w:rPr>
              <w:t xml:space="preserve">et lihtsustada ja parandada </w:t>
            </w:r>
            <w:r w:rsidRPr="009639F7">
              <w:t xml:space="preserve">VKEde </w:t>
            </w:r>
            <w:r w:rsidRPr="009639F7">
              <w:rPr>
                <w:b/>
                <w:i/>
              </w:rPr>
              <w:t>ja mikroettevõtjate pääsu</w:t>
            </w:r>
            <w:r w:rsidRPr="009639F7">
              <w:t xml:space="preserve"> riigihanketurgudele, </w:t>
            </w:r>
            <w:r w:rsidRPr="009639F7">
              <w:rPr>
                <w:b/>
                <w:i/>
              </w:rPr>
              <w:t xml:space="preserve">eelkõige nõustamisteenuste ja koolituse abil, </w:t>
            </w:r>
            <w:r w:rsidRPr="009639F7">
              <w:t xml:space="preserve">paremad andmed, läbipaistvus ja ausus, hangete kiirem üleviimine digitaalsesse keskkonda ja ühishangete edendamine, tugevdades selleks partnerlust liikmesriikidega, parandades andmete kogumist ja analüüsimist muu hulgas asjaomaste IT-vahendite arendamise kaudu, toetades kogemuste ja heade tavade vahetamist, </w:t>
            </w:r>
            <w:r w:rsidRPr="009639F7">
              <w:rPr>
                <w:b/>
                <w:i/>
              </w:rPr>
              <w:t xml:space="preserve">tuginedes Euroopa ja rahvusvahelistele standarditele, </w:t>
            </w:r>
            <w:r w:rsidRPr="009639F7">
              <w:t xml:space="preserve">andes suuniseid, edendades kasulikke kaubanduslepinguid, tugevdades koostööd riigi ametiasutuste vahel ja käivitades katseprojekte. </w:t>
            </w:r>
          </w:p>
        </w:tc>
      </w:tr>
      <w:tr w:rsidR="001C700C" w:rsidRPr="009639F7" w:rsidTr="00464712">
        <w:trPr>
          <w:jc w:val="center"/>
        </w:trPr>
        <w:tc>
          <w:tcPr>
            <w:tcW w:w="4876" w:type="dxa"/>
            <w:hideMark/>
          </w:tcPr>
          <w:p w:rsidR="001C700C" w:rsidRPr="009639F7" w:rsidRDefault="001C700C" w:rsidP="00464712">
            <w:pPr>
              <w:pStyle w:val="Normal6"/>
            </w:pPr>
            <w:r w:rsidRPr="009639F7">
              <w:lastRenderedPageBreak/>
              <w:t>__________________</w:t>
            </w:r>
          </w:p>
        </w:tc>
        <w:tc>
          <w:tcPr>
            <w:tcW w:w="4876" w:type="dxa"/>
            <w:hideMark/>
          </w:tcPr>
          <w:p w:rsidR="001C700C" w:rsidRPr="009639F7" w:rsidRDefault="001C700C" w:rsidP="00464712">
            <w:pPr>
              <w:pStyle w:val="Normal6"/>
              <w:rPr>
                <w:szCs w:val="24"/>
              </w:rPr>
            </w:pPr>
            <w:r w:rsidRPr="009639F7">
              <w:t>__________________</w:t>
            </w:r>
          </w:p>
        </w:tc>
      </w:tr>
      <w:tr w:rsidR="001C700C" w:rsidRPr="009639F7" w:rsidTr="00464712">
        <w:trPr>
          <w:jc w:val="center"/>
        </w:trPr>
        <w:tc>
          <w:tcPr>
            <w:tcW w:w="4876" w:type="dxa"/>
            <w:hideMark/>
          </w:tcPr>
          <w:p w:rsidR="001C700C" w:rsidRPr="009639F7" w:rsidRDefault="001C700C" w:rsidP="00464712">
            <w:pPr>
              <w:pStyle w:val="Normal6"/>
            </w:pPr>
            <w:r w:rsidRPr="009639F7">
              <w:rPr>
                <w:vertAlign w:val="superscript"/>
              </w:rPr>
              <w:t>49</w:t>
            </w:r>
            <w:r w:rsidRPr="009639F7">
              <w:t xml:space="preserve"> Euroopa Parlamendi ja nõukogu 26. veebruari 2014. aasta direktiiv 2014/23/EL kontsessioonilepingute sõlmimise kohta (ELT L 94, 28.3.2014, lk 1).</w:t>
            </w:r>
          </w:p>
        </w:tc>
        <w:tc>
          <w:tcPr>
            <w:tcW w:w="4876" w:type="dxa"/>
            <w:hideMark/>
          </w:tcPr>
          <w:p w:rsidR="001C700C" w:rsidRPr="009639F7" w:rsidRDefault="001C700C" w:rsidP="00464712">
            <w:pPr>
              <w:pStyle w:val="Normal6"/>
              <w:rPr>
                <w:szCs w:val="24"/>
              </w:rPr>
            </w:pPr>
            <w:r w:rsidRPr="009639F7">
              <w:rPr>
                <w:vertAlign w:val="superscript"/>
              </w:rPr>
              <w:t>49</w:t>
            </w:r>
            <w:r w:rsidRPr="009639F7">
              <w:t xml:space="preserve"> Eu</w:t>
            </w:r>
            <w:r w:rsidR="00464712" w:rsidRPr="009639F7">
              <w:t>roopa Parlamendi ja nõukogu 26. veebruari 2014. aasta direktiiv </w:t>
            </w:r>
            <w:r w:rsidRPr="009639F7">
              <w:t>2014/23/EL kontsessioonilepingute sõlmimise kohta (ELT L 94, 28.3.2014, lk 1).</w:t>
            </w:r>
          </w:p>
        </w:tc>
      </w:tr>
      <w:tr w:rsidR="001C700C" w:rsidRPr="009639F7" w:rsidTr="00464712">
        <w:trPr>
          <w:jc w:val="center"/>
        </w:trPr>
        <w:tc>
          <w:tcPr>
            <w:tcW w:w="4876" w:type="dxa"/>
            <w:hideMark/>
          </w:tcPr>
          <w:p w:rsidR="001C700C" w:rsidRPr="009639F7" w:rsidRDefault="001C700C" w:rsidP="00464712">
            <w:pPr>
              <w:pStyle w:val="Normal6"/>
            </w:pPr>
            <w:r w:rsidRPr="009639F7">
              <w:rPr>
                <w:vertAlign w:val="superscript"/>
              </w:rPr>
              <w:t>50</w:t>
            </w:r>
            <w:r w:rsidRPr="009639F7">
              <w:t xml:space="preserve"> Euroopa Parlamendi ja nõukogu 26. veebruari 2014. aasta direktiiv 2014/24/EL riigihangete kohta ja direktiivi 2004/18/EÜ kehtetuks tunnistamise kohta (ELT L 94, 28.3.2014, lk 65).</w:t>
            </w:r>
          </w:p>
        </w:tc>
        <w:tc>
          <w:tcPr>
            <w:tcW w:w="4876" w:type="dxa"/>
            <w:hideMark/>
          </w:tcPr>
          <w:p w:rsidR="001C700C" w:rsidRPr="009639F7" w:rsidRDefault="001C700C" w:rsidP="00464712">
            <w:pPr>
              <w:pStyle w:val="Normal6"/>
              <w:rPr>
                <w:szCs w:val="24"/>
              </w:rPr>
            </w:pPr>
            <w:r w:rsidRPr="009639F7">
              <w:rPr>
                <w:vertAlign w:val="superscript"/>
              </w:rPr>
              <w:t>50</w:t>
            </w:r>
            <w:r w:rsidRPr="009639F7">
              <w:t xml:space="preserve"> Euroopa Parlamendi ja nõu</w:t>
            </w:r>
            <w:r w:rsidR="00464712" w:rsidRPr="009639F7">
              <w:t>kogu 26. veebruari 2014. aasta direktiiv </w:t>
            </w:r>
            <w:r w:rsidRPr="009639F7">
              <w:t>2014/24/EL riigihangete kohta ja direktiivi 2004/18/EÜ kehtetuks tunnistamise kohta (ELT L 94, 28.3.2014, lk 65).</w:t>
            </w:r>
          </w:p>
        </w:tc>
      </w:tr>
      <w:tr w:rsidR="001C700C" w:rsidRPr="009639F7" w:rsidTr="00464712">
        <w:trPr>
          <w:jc w:val="center"/>
        </w:trPr>
        <w:tc>
          <w:tcPr>
            <w:tcW w:w="4876" w:type="dxa"/>
            <w:hideMark/>
          </w:tcPr>
          <w:p w:rsidR="001C700C" w:rsidRPr="009639F7" w:rsidRDefault="001C700C" w:rsidP="00464712">
            <w:pPr>
              <w:pStyle w:val="Normal6"/>
            </w:pPr>
            <w:r w:rsidRPr="009639F7">
              <w:rPr>
                <w:vertAlign w:val="superscript"/>
              </w:rPr>
              <w:t>51</w:t>
            </w:r>
            <w:r w:rsidRPr="009639F7">
              <w:t xml:space="preserve"> Euroopa Parlamendi ja nõukogu 26. veebruari 2014. aasta direktiiv 2014/25/EL, </w:t>
            </w:r>
            <w:r w:rsidRPr="009639F7">
              <w:lastRenderedPageBreak/>
              <w:t>milles käsitletakse vee-, energeetika-, transpordi- ja postiteenuste sektoris tegutsevate üksuste riigihankeid ja millega tunnistatakse kehtetuks direktiiv 2004/17/EÜ (ELT L 94, 28.3.2014, lk 243).</w:t>
            </w:r>
          </w:p>
        </w:tc>
        <w:tc>
          <w:tcPr>
            <w:tcW w:w="4876" w:type="dxa"/>
            <w:hideMark/>
          </w:tcPr>
          <w:p w:rsidR="001C700C" w:rsidRPr="009639F7" w:rsidRDefault="001C700C" w:rsidP="00464712">
            <w:pPr>
              <w:pStyle w:val="Normal6"/>
              <w:rPr>
                <w:szCs w:val="24"/>
              </w:rPr>
            </w:pPr>
            <w:r w:rsidRPr="009639F7">
              <w:rPr>
                <w:vertAlign w:val="superscript"/>
              </w:rPr>
              <w:lastRenderedPageBreak/>
              <w:t>51</w:t>
            </w:r>
            <w:r w:rsidRPr="009639F7">
              <w:t xml:space="preserve"> Eu</w:t>
            </w:r>
            <w:r w:rsidR="00464712" w:rsidRPr="009639F7">
              <w:t xml:space="preserve">roopa Parlamendi ja nõukogu 26. veebruari 2014. aasta </w:t>
            </w:r>
            <w:r w:rsidR="00464712" w:rsidRPr="009639F7">
              <w:lastRenderedPageBreak/>
              <w:t>direktiiv </w:t>
            </w:r>
            <w:r w:rsidRPr="009639F7">
              <w:t>2014/25/EL, milles käsitletakse vee-, energeetika-, transpordi- ja postiteenuste sektoris tegutsevate üksuste riigihankeid ja millega tunnistatakse kehtetuks direktiiv 2004</w:t>
            </w:r>
            <w:r w:rsidR="00464712" w:rsidRPr="009639F7">
              <w:t>/17/EÜ (ELT L 94, 28.3.2014, lk </w:t>
            </w:r>
            <w:r w:rsidRPr="009639F7">
              <w:t>243).</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16</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(16)</w:t>
            </w:r>
            <w:r w:rsidRPr="009639F7">
              <w:tab/>
              <w:t xml:space="preserve">Programmi eesmärkide saavutamiseks ning kodanike ja ettevõtete elu lihtsustamiseks on vaja kvaliteetseid kasutajakeskseid avalikke teenuseid. See tähendab, et haldusasutused peavad hakkama kasutama uusi töövõtteid, </w:t>
            </w:r>
            <w:r w:rsidRPr="009639F7">
              <w:rPr>
                <w:b/>
                <w:i/>
              </w:rPr>
              <w:t>kaotama</w:t>
            </w:r>
            <w:r w:rsidRPr="009639F7">
              <w:t xml:space="preserve"> barjäärid oma haldusala eri osade vahel ning osalema kõnealuste avalike teenuste loomises koos kodanike ja ettevõtetega. Piiriülese tegevuse pidev ja kindel kasv siseturul nõuab ajakohast teavet ettevõtete ja kodanike õiguste kohta, aga ka haldusformaalsusi selgitavat teavet. Lisaks muutub oluliseks õigusnõustamine ja abi riikidevahelisel tasandil tekkinud probleemide lahendamisel. Samuti tuleb lihtsal ja tõhusal viisil luua side riiklike haldusasutuste vahel ja hinnata siseturu toimimist kohapeal. Programm peaks seega toetama järgmisi olemasolevaid siseturu juhtimise vahendeid: portaali „Teie </w:t>
            </w:r>
            <w:r w:rsidRPr="009639F7">
              <w:rPr>
                <w:b/>
                <w:i/>
              </w:rPr>
              <w:t>Euroopa</w:t>
            </w:r>
            <w:r w:rsidRPr="009639F7">
              <w:t>,</w:t>
            </w:r>
            <w:r w:rsidRPr="009639F7">
              <w:rPr>
                <w:b/>
                <w:i/>
              </w:rPr>
              <w:t>“</w:t>
            </w:r>
            <w:r w:rsidRPr="009639F7">
              <w:t xml:space="preserve"> mis peaks olema tulevase ühtse digivärava alustala, portaali „Teie Euroopa </w:t>
            </w:r>
            <w:r w:rsidRPr="009639F7">
              <w:rPr>
                <w:b/>
                <w:i/>
              </w:rPr>
              <w:t>Nõuanne</w:t>
            </w:r>
            <w:r w:rsidRPr="009639F7">
              <w:t>,</w:t>
            </w:r>
            <w:r w:rsidRPr="009639F7">
              <w:rPr>
                <w:b/>
                <w:i/>
              </w:rPr>
              <w:t>“</w:t>
            </w:r>
            <w:r w:rsidRPr="009639F7">
              <w:t xml:space="preserve"> SOLVITit, siseturu infosüsteemi ja siseturu tulemustabelit, et parandada kodanike igapäevaelu ja suurendada ettevõtete suutlikkust piiriüleselt kaubelda.</w:t>
            </w:r>
          </w:p>
        </w:tc>
        <w:tc>
          <w:tcPr>
            <w:tcW w:w="4876" w:type="dxa"/>
            <w:hideMark/>
          </w:tcPr>
          <w:p w:rsidR="001C700C" w:rsidRPr="009639F7" w:rsidRDefault="001C700C" w:rsidP="00464712">
            <w:pPr>
              <w:pStyle w:val="Normal6"/>
              <w:rPr>
                <w:szCs w:val="24"/>
              </w:rPr>
            </w:pPr>
            <w:r w:rsidRPr="009639F7">
              <w:t>(16)</w:t>
            </w:r>
            <w:r w:rsidRPr="009639F7">
              <w:tab/>
              <w:t>Programmi eesmärkide saavutamiseks ning kodanike ja ettevõtete elu lihtsustamiseks on vaja kvaliteetseid kasutajakeskseid avalikke teenuseid</w:t>
            </w:r>
            <w:r w:rsidRPr="009639F7">
              <w:rPr>
                <w:b/>
                <w:i/>
              </w:rPr>
              <w:t>, mis oleksid järjest rohkem digitaalsed ja täielikult kättesaadavad, ning suuremaid pingutusi e-halduse ja e-valitsuse valdkonnas, tagades samas asjakohase andmete privaatsuse ja andmekaitse</w:t>
            </w:r>
            <w:r w:rsidRPr="009639F7">
              <w:t>. See tähendab, et haldusasutused peavad hakkama kasutama uusi</w:t>
            </w:r>
            <w:r w:rsidRPr="009639F7">
              <w:rPr>
                <w:b/>
                <w:i/>
              </w:rPr>
              <w:t>, uuenduslikumaid</w:t>
            </w:r>
            <w:r w:rsidRPr="009639F7">
              <w:t xml:space="preserve"> töövõtteid, </w:t>
            </w:r>
            <w:r w:rsidRPr="009639F7">
              <w:rPr>
                <w:b/>
                <w:i/>
              </w:rPr>
              <w:t>et kaotada</w:t>
            </w:r>
            <w:r w:rsidRPr="009639F7">
              <w:t xml:space="preserve"> barjäärid oma haldusala eri osade vahel</w:t>
            </w:r>
            <w:r w:rsidRPr="009639F7">
              <w:rPr>
                <w:b/>
                <w:i/>
              </w:rPr>
              <w:t>,</w:t>
            </w:r>
            <w:r w:rsidRPr="009639F7">
              <w:t xml:space="preserve"> ning osalema kõnealuste avalike teenuste loomises koos kodanike ja ettevõtetega. Piiriülese tegevuse pidev ja kindel kasv siseturul nõuab </w:t>
            </w:r>
            <w:r w:rsidRPr="009639F7">
              <w:rPr>
                <w:b/>
                <w:i/>
              </w:rPr>
              <w:t xml:space="preserve">kättesaadavat </w:t>
            </w:r>
            <w:r w:rsidRPr="009639F7">
              <w:t>ajakohast</w:t>
            </w:r>
            <w:r w:rsidRPr="009639F7">
              <w:rPr>
                <w:b/>
                <w:i/>
              </w:rPr>
              <w:t>, täpset ja lihtsasti mõistetavat</w:t>
            </w:r>
            <w:r w:rsidRPr="009639F7">
              <w:t xml:space="preserve"> teavet ettevõtete ja kodanike õiguste kohta, aga ka haldusformaalsusi selgitavat teavet</w:t>
            </w:r>
            <w:r w:rsidRPr="009639F7">
              <w:rPr>
                <w:b/>
                <w:i/>
              </w:rPr>
              <w:t xml:space="preserve"> ning nende lihtsustamist</w:t>
            </w:r>
            <w:r w:rsidRPr="009639F7">
              <w:t>. Lisaks muutub oluliseks õigusnõustamine ja abi riikidevahelisel tasandil tekkinud probleemide lahendamisel. Samuti tuleb lihtsal ja tõhusal viisil luua side riiklike haldusasutuste vahel</w:t>
            </w:r>
            <w:r w:rsidRPr="009639F7">
              <w:rPr>
                <w:b/>
                <w:i/>
              </w:rPr>
              <w:t>, toetades avaliku sektori asutusi nende eesmärkide saavutamisel,</w:t>
            </w:r>
            <w:r w:rsidRPr="009639F7">
              <w:t xml:space="preserve"> ja hinnata siseturu toimimist kohapeal. </w:t>
            </w:r>
            <w:r w:rsidRPr="009639F7">
              <w:rPr>
                <w:b/>
                <w:i/>
              </w:rPr>
              <w:t xml:space="preserve">Olemasolevad siseturu haldamise vahendid etendavad kõnealuste eesmärkide saavutamisel juba olulist rolli. Sellel eesmärgil ja ka selleks, et pidada sammu tehnoloogia ja turu arenguga ning uute regulatiivsete ja täitmise </w:t>
            </w:r>
            <w:r w:rsidRPr="009639F7">
              <w:rPr>
                <w:b/>
                <w:i/>
              </w:rPr>
              <w:lastRenderedPageBreak/>
              <w:t xml:space="preserve">tagamisega seotud probleemidega, tuleks programmiga toetada kvaliteedi, nähtavuse ja läbipaistvuse parandamist ning siseturu haldamise vahendite usaldusväärsust. </w:t>
            </w:r>
            <w:r w:rsidRPr="009639F7">
              <w:t>Programm peaks seega</w:t>
            </w:r>
            <w:r w:rsidRPr="009639F7">
              <w:rPr>
                <w:b/>
                <w:i/>
              </w:rPr>
              <w:t xml:space="preserve"> muu hulgas</w:t>
            </w:r>
            <w:r w:rsidRPr="009639F7">
              <w:t xml:space="preserve"> toetama järgmisi olemasolevaid siseturu juhtimise vahendeid: portaali „Teie </w:t>
            </w:r>
            <w:r w:rsidRPr="009639F7">
              <w:rPr>
                <w:b/>
                <w:i/>
              </w:rPr>
              <w:t>Euroopa“</w:t>
            </w:r>
            <w:r w:rsidRPr="009639F7">
              <w:t xml:space="preserve">, mis peaks olema tulevase ühtse digivärava alustala, portaali „Teie Euroopa </w:t>
            </w:r>
            <w:r w:rsidRPr="009639F7">
              <w:rPr>
                <w:b/>
                <w:i/>
              </w:rPr>
              <w:t>Nõuanne“</w:t>
            </w:r>
            <w:r w:rsidRPr="009639F7">
              <w:t>, SOLVITit, siseturu infosüsteemi ja siseturu tulemustabelit, et parandada kodanike igapäevaelu ja suurendada ettevõtete suutlikkust piiriüleselt kaubelda.</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17</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(17)</w:t>
            </w:r>
            <w:r w:rsidRPr="009639F7">
              <w:tab/>
              <w:t xml:space="preserve">Programm peaks toetama liidu õigusraamistiku väljatöötamist äriühinguõiguse ja äriühingu üldjuhtimise valdkonnas, aga ka lepinguõigust, et muuta äritegevus tõhusamaks ja konkurentsivõimelisemaks, pakkudes samal ajal kaitset sidusrühmadele, keda ettevõtete tegevus mõjutab, ning et reageerida uutele poliitilistele väljakutsetele. Samuti peaks programm tagama asjaomase õigustiku nõuetekohase hindamise, rakendamise ja jõustamise, sidusrühmade teavitamise ja abistamise ning teabevahetuse edendamise asjaomases valdkonnas. Programm peaks jätkuvalt toetama ka komisjoni algatusi andmepõhise majanduse ja innovatsiooni jaoks selge ja kohandatud õigusraamistiku loomiseks. Need algatused on vajalikud õiguskindluse suurendamiseks seoses lepinguõiguse ja lepinguvälise õigusega, eelkõige seoses vastutuse ja eetikaga selliste uute tehnoloogiate puhul nagu asjade internet, tehisintellekt, robootika ja 3D-printimine. Programmi eesmärk peaks </w:t>
            </w:r>
            <w:r w:rsidRPr="009639F7">
              <w:lastRenderedPageBreak/>
              <w:t>olema andmepõhise äritegevuse arendamine, kuna see määrab liidu majanduse positsiooni üleilmses konkurentsis.</w:t>
            </w:r>
          </w:p>
        </w:tc>
        <w:tc>
          <w:tcPr>
            <w:tcW w:w="4876" w:type="dxa"/>
            <w:hideMark/>
          </w:tcPr>
          <w:p w:rsidR="001C700C" w:rsidRPr="009639F7" w:rsidRDefault="001C700C" w:rsidP="00464712">
            <w:pPr>
              <w:pStyle w:val="Normal6"/>
              <w:rPr>
                <w:szCs w:val="24"/>
              </w:rPr>
            </w:pPr>
            <w:r w:rsidRPr="009639F7">
              <w:lastRenderedPageBreak/>
              <w:t>(17)</w:t>
            </w:r>
            <w:r w:rsidRPr="009639F7">
              <w:tab/>
              <w:t xml:space="preserve">Programm peaks toetama liidu õigusraamistiku väljatöötamist äriühinguõiguse ja äriühingu üldjuhtimise valdkonnas, aga ka lepinguõigust, et muuta äritegevus </w:t>
            </w:r>
            <w:r w:rsidRPr="009639F7">
              <w:rPr>
                <w:b/>
                <w:i/>
              </w:rPr>
              <w:t xml:space="preserve">ja eriti VKEd </w:t>
            </w:r>
            <w:r w:rsidRPr="009639F7">
              <w:t xml:space="preserve">tõhusamaks ja konkurentsivõimelisemaks, pakkudes samal ajal kaitset sidusrühmadele, keda ettevõtete tegevus mõjutab, ning et reageerida uutele poliitilistele väljakutsetele. Samuti peaks programm tagama asjaomase õigustiku nõuetekohase hindamise, rakendamise ja jõustamise, sidusrühmade teavitamise ja abistamise ning teabevahetuse edendamise asjaomases valdkonnas. Programm peaks jätkuvalt toetama ka komisjoni algatusi andmepõhise majanduse ja innovatsiooni jaoks selge ja kohandatud õigusraamistiku loomiseks. Need algatused on vajalikud õiguskindluse suurendamiseks seoses lepinguõiguse ja lepinguvälise õigusega, eelkõige seoses vastutuse ja eetikaga selliste uute tehnoloogiate puhul nagu asjade internet, tehisintellekt, robootika ja 3D-printimine. Programmi eesmärk peaks </w:t>
            </w:r>
            <w:r w:rsidRPr="009639F7">
              <w:lastRenderedPageBreak/>
              <w:t>olema andmepõhise äritegevuse arendamine</w:t>
            </w:r>
            <w:r w:rsidRPr="009639F7">
              <w:rPr>
                <w:b/>
                <w:i/>
              </w:rPr>
              <w:t>, tagades samas eraelu puutumatuse kaitse kõrge taseme</w:t>
            </w:r>
            <w:r w:rsidRPr="009639F7">
              <w:t>, kuna see määrab liidu majanduse positsiooni üleilmses konkurentsis.</w:t>
            </w:r>
          </w:p>
        </w:tc>
      </w:tr>
    </w:tbl>
    <w:p w:rsidR="001C700C" w:rsidRPr="009639F7" w:rsidRDefault="001C700C" w:rsidP="001C700C">
      <w:pPr>
        <w:pStyle w:val="AMNumberTabs"/>
      </w:pPr>
      <w:r w:rsidRPr="009639F7">
        <w:lastRenderedPageBreak/>
        <w:t>Muudatusettepanek</w:t>
      </w:r>
      <w:r w:rsidRPr="009639F7">
        <w:tab/>
      </w:r>
      <w:r w:rsidRPr="009639F7">
        <w:tab/>
        <w:t>18</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(20)</w:t>
            </w:r>
            <w:r w:rsidRPr="009639F7">
              <w:tab/>
            </w:r>
            <w:r w:rsidRPr="009639F7">
              <w:rPr>
                <w:b/>
                <w:i/>
              </w:rPr>
              <w:t>Arvestades,</w:t>
            </w:r>
            <w:r w:rsidRPr="009639F7">
              <w:t xml:space="preserve"> </w:t>
            </w:r>
            <w:r w:rsidRPr="009639F7">
              <w:rPr>
                <w:b/>
                <w:i/>
              </w:rPr>
              <w:t>et</w:t>
            </w:r>
            <w:r w:rsidRPr="009639F7">
              <w:t xml:space="preserve"> Euroopa Liidu </w:t>
            </w:r>
            <w:r w:rsidRPr="009639F7">
              <w:rPr>
                <w:b/>
                <w:i/>
              </w:rPr>
              <w:t>lepingu artiklis 3 sätestatud siseturg hõlmab</w:t>
            </w:r>
            <w:r w:rsidRPr="009639F7">
              <w:t xml:space="preserve"> süsteemi, mis tagab, et konkurentsi ei moonutata, </w:t>
            </w:r>
            <w:r w:rsidRPr="009639F7">
              <w:rPr>
                <w:b/>
                <w:i/>
              </w:rPr>
              <w:t>peaks programm toetama</w:t>
            </w:r>
            <w:r w:rsidRPr="009639F7">
              <w:t xml:space="preserve"> liidu konkurentsipoliitikat, </w:t>
            </w:r>
            <w:r w:rsidRPr="009639F7">
              <w:rPr>
                <w:b/>
                <w:i/>
              </w:rPr>
              <w:t>võrgustikke ning</w:t>
            </w:r>
            <w:r w:rsidRPr="009639F7">
              <w:t xml:space="preserve"> koostööd </w:t>
            </w:r>
            <w:r w:rsidRPr="009639F7">
              <w:rPr>
                <w:b/>
                <w:i/>
              </w:rPr>
              <w:t>liikmesriikide</w:t>
            </w:r>
            <w:r w:rsidRPr="009639F7">
              <w:t xml:space="preserve"> ametiasutuste ja kohtutega,</w:t>
            </w:r>
            <w:r w:rsidRPr="009639F7">
              <w:rPr>
                <w:b/>
                <w:i/>
              </w:rPr>
              <w:t xml:space="preserve"> aga ka laiema sidusrühmade ringi kaasamist, et tutvustada</w:t>
            </w:r>
            <w:r w:rsidRPr="009639F7">
              <w:t xml:space="preserve"> ja </w:t>
            </w:r>
            <w:r w:rsidRPr="009639F7">
              <w:rPr>
                <w:b/>
                <w:i/>
              </w:rPr>
              <w:t>selgitada</w:t>
            </w:r>
            <w:r w:rsidRPr="009639F7">
              <w:t xml:space="preserve"> liidu konkurentsipoliitikast tulenevaid õigusi, eeliseid ja kohustusi.</w:t>
            </w:r>
          </w:p>
        </w:tc>
        <w:tc>
          <w:tcPr>
            <w:tcW w:w="4876" w:type="dxa"/>
            <w:hideMark/>
          </w:tcPr>
          <w:p w:rsidR="001C700C" w:rsidRPr="009639F7" w:rsidRDefault="00464712" w:rsidP="00464712">
            <w:pPr>
              <w:pStyle w:val="Normal6"/>
              <w:rPr>
                <w:szCs w:val="24"/>
              </w:rPr>
            </w:pPr>
            <w:r w:rsidRPr="009639F7">
              <w:t>(20)</w:t>
            </w:r>
            <w:r w:rsidR="001C700C" w:rsidRPr="009639F7">
              <w:tab/>
            </w:r>
            <w:r w:rsidR="001C700C" w:rsidRPr="009639F7">
              <w:rPr>
                <w:b/>
                <w:i/>
              </w:rPr>
              <w:t>Kuna</w:t>
            </w:r>
            <w:r w:rsidR="001C700C" w:rsidRPr="009639F7">
              <w:t xml:space="preserve"> Euroopa Liidu </w:t>
            </w:r>
            <w:r w:rsidR="001C700C" w:rsidRPr="009639F7">
              <w:rPr>
                <w:b/>
                <w:i/>
              </w:rPr>
              <w:t>toimimise leping hõlmab eeskirjade</w:t>
            </w:r>
            <w:r w:rsidR="001C700C" w:rsidRPr="009639F7">
              <w:t xml:space="preserve"> süsteemi, mis tagab, et </w:t>
            </w:r>
            <w:r w:rsidR="001C700C" w:rsidRPr="009639F7">
              <w:rPr>
                <w:b/>
                <w:i/>
              </w:rPr>
              <w:t xml:space="preserve">siseturul </w:t>
            </w:r>
            <w:r w:rsidR="001C700C" w:rsidRPr="009639F7">
              <w:t xml:space="preserve">konkurentsi ei moonutata, </w:t>
            </w:r>
            <w:r w:rsidR="001C700C" w:rsidRPr="009639F7">
              <w:rPr>
                <w:b/>
                <w:i/>
              </w:rPr>
              <w:t>tuleks programmiga toetada</w:t>
            </w:r>
            <w:r w:rsidR="001C700C" w:rsidRPr="009639F7">
              <w:t xml:space="preserve"> liidu konkurentsipoliitikat, </w:t>
            </w:r>
            <w:r w:rsidR="001C700C" w:rsidRPr="009639F7">
              <w:rPr>
                <w:b/>
                <w:i/>
              </w:rPr>
              <w:t>parandades ja tihendades</w:t>
            </w:r>
            <w:r w:rsidR="001C700C" w:rsidRPr="009639F7">
              <w:t xml:space="preserve"> koostööd </w:t>
            </w:r>
            <w:r w:rsidR="001C700C" w:rsidRPr="009639F7">
              <w:rPr>
                <w:b/>
                <w:i/>
              </w:rPr>
              <w:t>Euroopa konkurentsivõrgustiku ning riikide</w:t>
            </w:r>
            <w:r w:rsidR="001C700C" w:rsidRPr="009639F7">
              <w:t xml:space="preserve"> ametiasutuste ja kohtutega, </w:t>
            </w:r>
            <w:r w:rsidR="001C700C" w:rsidRPr="009639F7">
              <w:rPr>
                <w:b/>
                <w:i/>
              </w:rPr>
              <w:t xml:space="preserve">tugevdades muu hulgas rahvusvahelist koostööd ning tutvustades </w:t>
            </w:r>
            <w:r w:rsidR="001C700C" w:rsidRPr="009639F7">
              <w:t xml:space="preserve">ja </w:t>
            </w:r>
            <w:r w:rsidR="001C700C" w:rsidRPr="009639F7">
              <w:rPr>
                <w:b/>
                <w:i/>
              </w:rPr>
              <w:t>selgitades</w:t>
            </w:r>
            <w:r w:rsidR="001C700C" w:rsidRPr="009639F7">
              <w:t xml:space="preserve"> liidu konkurentsipoliitikast tulenevaid õigusi, eeliseid ja kohustusi.</w:t>
            </w:r>
            <w:r w:rsidR="001C700C" w:rsidRPr="009639F7">
              <w:rPr>
                <w:b/>
                <w:i/>
              </w:rPr>
              <w:t xml:space="preserve"> Programm peaks eelkõige aitama komisjonil turusuundumusi paremini analüüsida ja hinnata, kasutades selleks muu hulgas ulatuslikult sektoriuuringuid ning jagades Euroopa konkurentsivõrgustikus korrapäraselt tulemusi ja parimaid tavasid.</w:t>
            </w:r>
            <w:r w:rsidR="001C700C" w:rsidRPr="009639F7">
              <w:t xml:space="preserve"> </w:t>
            </w:r>
            <w:r w:rsidR="001C700C" w:rsidRPr="009639F7">
              <w:rPr>
                <w:b/>
                <w:i/>
              </w:rPr>
              <w:t>See peaks aitama tagada ausa konkurentsi ja võrdsed tingimused (ka rahvusvahelisel tasandil) ning aitama suurendada ettevõtjate, eelkõige VKEde, ja tarbijate mõjuvõimu, et saada ühtsest turust kasu.</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19</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21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(21)</w:t>
            </w:r>
            <w:r w:rsidRPr="009639F7">
              <w:tab/>
              <w:t xml:space="preserve">Programm peaks tegelema majanduse ja ettevõtluskeskkonna jätkuva ümberkujundamise ning eeskätt </w:t>
            </w:r>
            <w:r w:rsidRPr="009639F7">
              <w:lastRenderedPageBreak/>
              <w:t xml:space="preserve">plahvatuslikult suureneva andmete hulga ja nende kasutamise radikaalse mõjuga konkurentsile ja siseturu toimimisele, arvestades seda, et nii ettevõtjad kui ka nende nõustajad kasutavad üha laialdasemalt tehisintellekti ja muid IT-vahendeid ja -pädevust. Samuti on oluline, et programm toetaks võrgustikke </w:t>
            </w:r>
            <w:r w:rsidRPr="009639F7">
              <w:rPr>
                <w:b/>
                <w:i/>
              </w:rPr>
              <w:t>ja koostööd</w:t>
            </w:r>
            <w:r w:rsidRPr="009639F7">
              <w:t xml:space="preserve"> liikmesriikide ametiasutuste ja </w:t>
            </w:r>
            <w:r w:rsidRPr="009639F7">
              <w:rPr>
                <w:b/>
                <w:i/>
              </w:rPr>
              <w:t>kohtutega</w:t>
            </w:r>
            <w:r w:rsidRPr="009639F7">
              <w:t>, arvestades et moonutamata konkurents ja siseturu toimimine sõltuvad olulisel määral just nende asutuste tegevusest. Pidades silmas konkurentsipoliitika erilist rolli väljaspool liitu toimuva konkurentsivastase tegevuse kaudu siseturule tekkiva kahju ärahoidmisel, peaks programm vajaduse korral toetama ka koostööd kolmandate riikide ametiasutustega. Teavitamistegevuse laiendamine on vajalik ka selleks, et rohkem kodanikke ja ettevõtteid saaks õiglasest konkurentsist siseturul täiel määral kasu. Arvestades, et mitmed programmi algatused on uued ning programmi konkurentsi käsitlevat osa mõjutavad kõige enam näiteks tehisintellekti, algoritmide, suurandmete, küberturvalisuse ja küberkriminalistika tehnoloogia valdkonnaga seotud siseturu konkurentsitingimuste dünaamilised arengud, mille tempot ja suurusjärku on raske hinnata, eeldatakse, et programmi selle osa muutuvatele vajadustele reageerimiseks on vaja paindlikkust.</w:t>
            </w:r>
          </w:p>
        </w:tc>
        <w:tc>
          <w:tcPr>
            <w:tcW w:w="4876" w:type="dxa"/>
            <w:hideMark/>
          </w:tcPr>
          <w:p w:rsidR="001C700C" w:rsidRPr="009639F7" w:rsidRDefault="001C700C" w:rsidP="00464712">
            <w:pPr>
              <w:pStyle w:val="Normal6"/>
              <w:rPr>
                <w:b/>
                <w:i/>
              </w:rPr>
            </w:pPr>
            <w:r w:rsidRPr="009639F7">
              <w:lastRenderedPageBreak/>
              <w:t>(21)</w:t>
            </w:r>
            <w:r w:rsidRPr="009639F7">
              <w:tab/>
              <w:t xml:space="preserve">Programm peaks tegelema majanduse ja ettevõtluskeskkonna jätkuva ümberkujundamise ning eeskätt </w:t>
            </w:r>
            <w:r w:rsidRPr="009639F7">
              <w:lastRenderedPageBreak/>
              <w:t>plahvatuslikult suureneva andmete hulga ja nende kasutamise radikaalse mõjuga konkurentsile ja siseturu toimimisele, arvestades seda, et nii ettevõtjad kui ka nende nõustajad kasutavad üha laialdasemalt tehisintellekti</w:t>
            </w:r>
            <w:r w:rsidRPr="009639F7">
              <w:rPr>
                <w:b/>
                <w:i/>
              </w:rPr>
              <w:t>, suurandmeid, algoritme</w:t>
            </w:r>
            <w:r w:rsidRPr="009639F7">
              <w:t xml:space="preserve"> ja muid IT-vahendeid ja -pädevust. Samuti on oluline, et programm toetaks võrgustikke </w:t>
            </w:r>
            <w:r w:rsidRPr="009639F7">
              <w:rPr>
                <w:b/>
                <w:i/>
              </w:rPr>
              <w:t>ning</w:t>
            </w:r>
            <w:r w:rsidRPr="009639F7">
              <w:t xml:space="preserve"> liikmesriikide ametiasutuste ja </w:t>
            </w:r>
            <w:r w:rsidRPr="009639F7">
              <w:rPr>
                <w:b/>
                <w:i/>
              </w:rPr>
              <w:t>kohtute laiemat ja süvendatumat kaasamist</w:t>
            </w:r>
            <w:r w:rsidRPr="009639F7">
              <w:t xml:space="preserve">, arvestades et moonutamata konkurents ja siseturu toimimine sõltuvad olulisel määral just nende asutuste tegevusest. Pidades silmas konkurentsipoliitika erilist rolli väljaspool liitu toimuva konkurentsivastase tegevuse kaudu siseturule tekkiva kahju ärahoidmisel, peaks programm vajaduse korral toetama ka koostööd kolmandate riikide ametiasutustega. Teavitamistegevuse laiendamine on vajalik ka selleks, et rohkem kodanikke ja ettevõtteid saaks õiglasest konkurentsist siseturul täiel määral kasu. </w:t>
            </w:r>
            <w:r w:rsidRPr="009639F7">
              <w:rPr>
                <w:b/>
                <w:i/>
              </w:rPr>
              <w:t>Eelkõige tuleb Euroopa kodanikele näidata liidu konkurentsipoliitika tegelikke hüvesid, kaasates selleks kodanikuühiskonna rühmitusi ja asjaomaseid otseselt mõjutatud sidusrühmi.</w:t>
            </w:r>
            <w:r w:rsidRPr="009639F7">
              <w:t xml:space="preserve"> Arvestades, et mitmed programmi algatused on uued ning programmi konkurentsi käsitlevat osa mõjutavad kõige enam näiteks</w:t>
            </w:r>
            <w:r w:rsidRPr="009639F7">
              <w:rPr>
                <w:b/>
                <w:i/>
              </w:rPr>
              <w:t xml:space="preserve"> digitaalarengu,</w:t>
            </w:r>
            <w:r w:rsidRPr="009639F7">
              <w:t xml:space="preserve"> tehisintellekti, algoritmide, suurandmete, küberturvalisuse ja küberkriminalistika tehnoloogia valdkonnaga seotud siseturu konkurentsitingimuste dünaamilised</w:t>
            </w:r>
            <w:r w:rsidRPr="009639F7">
              <w:rPr>
                <w:b/>
                <w:i/>
              </w:rPr>
              <w:t xml:space="preserve"> ja kiired</w:t>
            </w:r>
            <w:r w:rsidRPr="009639F7">
              <w:t xml:space="preserve"> arengud, mille tempot ja suurusjärku on raske hinnata, eeldatakse, et programmi selle osa muutuvatele vajadustele reageerimiseks on vaja paindlikkust.</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20</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22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(22)</w:t>
            </w:r>
            <w:r w:rsidRPr="009639F7">
              <w:tab/>
              <w:t>Äärmiselt oluline on Euroopa ettevõtete konkurentsivõime tugevdamine, tagades samal ajal võrdsed võimalused ning avatud ja konkurentsivõimelise siseturu. VKEd on Euroopa majanduse tõukejõuks, moodustades 99 % kõigist Euroopa ettevõtetest, andes kaks kolmandikku töökohtadest ja aidates oluliselt kaasa uute töökohtade loomisele nii piirkondlikul kui ka kohalikul tasandil.</w:t>
            </w:r>
          </w:p>
        </w:tc>
        <w:tc>
          <w:tcPr>
            <w:tcW w:w="4876" w:type="dxa"/>
            <w:hideMark/>
          </w:tcPr>
          <w:p w:rsidR="001C700C" w:rsidRPr="009639F7" w:rsidRDefault="001C700C" w:rsidP="00464712">
            <w:pPr>
              <w:pStyle w:val="Normal6"/>
              <w:rPr>
                <w:szCs w:val="24"/>
              </w:rPr>
            </w:pPr>
            <w:r w:rsidRPr="009639F7">
              <w:t>(22)</w:t>
            </w:r>
            <w:r w:rsidRPr="009639F7">
              <w:tab/>
              <w:t xml:space="preserve">Äärmiselt oluline on Euroopa ettevõtete konkurentsivõime </w:t>
            </w:r>
            <w:r w:rsidRPr="009639F7">
              <w:rPr>
                <w:b/>
                <w:i/>
              </w:rPr>
              <w:t xml:space="preserve">ja kestlikkuse </w:t>
            </w:r>
            <w:r w:rsidRPr="009639F7">
              <w:t xml:space="preserve">tugevdamine, tagades samal ajal võrdsed võimalused ning avatud ja konkurentsivõimelise siseturu. VKEd on Euroopa majanduse tõukejõuks, moodustades 99 % kõigist Euroopa ettevõtetest, andes kaks kolmandikku töökohtadest ja aidates oluliselt kaasa </w:t>
            </w:r>
            <w:r w:rsidRPr="009639F7">
              <w:rPr>
                <w:b/>
                <w:i/>
              </w:rPr>
              <w:t xml:space="preserve">kõigis sektorites kvaliteetsete </w:t>
            </w:r>
            <w:r w:rsidRPr="009639F7">
              <w:t>uute töökohtade loomisele nii piirkondlikul kui ka kohalikul tasandil</w:t>
            </w:r>
            <w:r w:rsidRPr="009639F7">
              <w:rPr>
                <w:b/>
                <w:i/>
              </w:rPr>
              <w:t xml:space="preserve"> ning seega sotsiaalsele ühtekuuluvusele</w:t>
            </w:r>
            <w:r w:rsidRPr="009639F7">
              <w:t>.</w:t>
            </w:r>
            <w:r w:rsidRPr="009639F7">
              <w:rPr>
                <w:b/>
                <w:i/>
              </w:rPr>
              <w:t xml:space="preserve"> VKEdel on tähtis roll energiasüsteemi ümberkujundamisel ja nad aitavad Pariisi kokkuleppest tulenevate liidu kliimaeesmärkide saavutamisele väga palju kaasa. Seetõttu tuleks programmiga parandada nende suutlikkust arendada kvaliteetseid keskkonnahoidlikke tooteid ja teenuseid ning toetada pingutusi, mida nad teevad kooskõlas energiatõhususe esikohale seadmise põhimõttega ressursitõhususe suurendamiseks. Nii aitab programm suurendada ka liidu VKEde konkurentsivõimet üleilmsel turul.</w:t>
            </w:r>
          </w:p>
        </w:tc>
      </w:tr>
    </w:tbl>
    <w:p w:rsidR="001C700C" w:rsidRPr="009639F7" w:rsidRDefault="001C700C" w:rsidP="001C700C">
      <w:pPr>
        <w:rPr>
          <w:szCs w:val="24"/>
        </w:rPr>
      </w:pPr>
    </w:p>
    <w:p w:rsidR="001C700C" w:rsidRPr="009639F7" w:rsidRDefault="001C700C" w:rsidP="001C700C">
      <w:pPr>
        <w:pStyle w:val="AMNumberTabs"/>
      </w:pPr>
      <w:r w:rsidRPr="009639F7">
        <w:t>Muudatusettepanek</w:t>
      </w:r>
      <w:r w:rsidRPr="009639F7">
        <w:tab/>
      </w:r>
      <w:r w:rsidRPr="009639F7">
        <w:tab/>
        <w:t>21</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23</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(23)</w:t>
            </w:r>
            <w:r w:rsidRPr="009639F7">
              <w:tab/>
              <w:t>VKEdel on ühised probleemid, mis suuremaid ettevõtteid samavõrd ei mõjuta, näiteks rahastamise ja oskustööliste leidmine, halduskoormuse leevendamine, loovuse ja innovatsiooni rakendamine, turulepääs ja rahvusvahelistumise edendamine. Programm peaks selliste turutõrgetega tegelema proportsionaalselt, moonutamata seejuures põhjendamatult konkurentsi siseturul.</w:t>
            </w:r>
          </w:p>
        </w:tc>
        <w:tc>
          <w:tcPr>
            <w:tcW w:w="4876" w:type="dxa"/>
            <w:hideMark/>
          </w:tcPr>
          <w:p w:rsidR="001C700C" w:rsidRPr="009639F7" w:rsidRDefault="001C700C" w:rsidP="00464712">
            <w:pPr>
              <w:pStyle w:val="Normal6"/>
              <w:rPr>
                <w:szCs w:val="24"/>
              </w:rPr>
            </w:pPr>
            <w:r w:rsidRPr="009639F7">
              <w:t>(23)</w:t>
            </w:r>
            <w:r w:rsidRPr="009639F7">
              <w:tab/>
              <w:t>VKEdel on ühised probleemid, mis suuremaid ettevõtteid samavõrd ei mõjuta, näiteks rahastamise ja oskustööliste leidmine, halduskoormuse leevendamine, loovuse ja innovatsiooni rakendamine, turulepääs ja rahvusvahelistumise edendamine. Programm peaks selliste turutõrgetega tegelema proportsionaalselt, moonutamata seejuures põhjendamatult konkurentsi siseturul.</w:t>
            </w:r>
            <w:r w:rsidRPr="009639F7">
              <w:rPr>
                <w:b/>
                <w:i/>
              </w:rPr>
              <w:t xml:space="preserve"> Programmiga tuleks eelkõige luua tingimused, mida on vaja, et hakata tootmisprotsessis juurutama </w:t>
            </w:r>
            <w:r w:rsidRPr="009639F7">
              <w:rPr>
                <w:b/>
                <w:i/>
              </w:rPr>
              <w:lastRenderedPageBreak/>
              <w:t>tehnoloogilist ja korralduslikku innovatsiooni, ning eritähelepanu tuleks pöörata spetsiifilistele VKEdele, nagu mikroettevõtjad, töönduseettevõtted, füüsilisest isikust ettevõtjad, vabakutselised ja sotsiaalsed ettevõtted. Tähelepanu tuleks pöörata ka potentsiaalsetele, uutele ja noortele ettevõtjatele ning naisettevõtjatele, aga ka teistele konkreetsetele sihtrühmadele, nagu vanemaealised inimesed, sisserändajad ning sotsiaalselt ebasoodsas olukorras olevad või haavatavatesse elanikkonnarühmadesse kuuluvad ettevõtjad, näiteks puudega inimesed.</w:t>
            </w:r>
          </w:p>
        </w:tc>
      </w:tr>
    </w:tbl>
    <w:p w:rsidR="001C700C" w:rsidRPr="009639F7" w:rsidRDefault="001C700C" w:rsidP="001C700C">
      <w:pPr>
        <w:rPr>
          <w:szCs w:val="24"/>
        </w:rPr>
      </w:pPr>
    </w:p>
    <w:p w:rsidR="001C700C" w:rsidRPr="009639F7" w:rsidRDefault="001C700C" w:rsidP="001C700C">
      <w:pPr>
        <w:pStyle w:val="AMNumberTabs"/>
      </w:pPr>
      <w:r w:rsidRPr="009639F7">
        <w:t>Muudatusettepanek</w:t>
      </w:r>
      <w:r w:rsidRPr="009639F7">
        <w:tab/>
      </w:r>
      <w:r w:rsidRPr="009639F7">
        <w:tab/>
        <w:t>22</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t>Põhjendus 23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(23a)</w:t>
            </w:r>
            <w:r w:rsidRPr="009639F7">
              <w:rPr>
                <w:b/>
                <w:i/>
              </w:rPr>
              <w:tab/>
              <w:t>Programm peaks toetama ja edendama innovatsioonikultuuri, arendades välja ökosüsteemi, mis soodustab ettevõtjate loomist ja kasvu, keskendudes eelkõige mikroettevõtjatele ja uuenduslikele VKEdele, kes suudavad toime tulla üha tihedamas konkurentsis ja kiiresti muutuvas keskkonnas. Täiesti uute innovatsiooniprotsesside tõttu tuleb välja töötada avatud innovatsiooni mudel, mille kohaselt peavad eri organisatsioonid tegema tihedamat teaduskoostööd ning teadmisi ja intellektuaalomandit rohkem jagama. Seetõttu peaks programmi eesmärk olema toetada innovatsiooniprotsessi, kaasates uusi koostööpõhiseid ärimudeleid ning keskendudes organisatsioonidevahelises kogukonnas võrgustike arendamisele ning teadmiste ja vahendite jagamisele.</w:t>
            </w:r>
          </w:p>
        </w:tc>
      </w:tr>
    </w:tbl>
    <w:p w:rsidR="001C700C" w:rsidRPr="009639F7" w:rsidRDefault="001C700C" w:rsidP="001C700C">
      <w:pPr>
        <w:pStyle w:val="JustificationTitle"/>
      </w:pPr>
      <w:r w:rsidRPr="009639F7">
        <w:t>Selgitus</w:t>
      </w:r>
    </w:p>
    <w:p w:rsidR="001C700C" w:rsidRPr="009639F7" w:rsidRDefault="001C700C" w:rsidP="001C700C">
      <w:pPr>
        <w:pStyle w:val="Normal12Italic"/>
      </w:pPr>
      <w:r w:rsidRPr="009639F7">
        <w:t>Oluline on välja töötada innovatsiooni ökosüsteem, mis võiks toimida majandusliku katalüsaatorina.</w:t>
      </w:r>
    </w:p>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23</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t>Põhjendus 23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(23b)</w:t>
            </w:r>
            <w:r w:rsidRPr="009639F7">
              <w:rPr>
                <w:b/>
                <w:i/>
              </w:rPr>
              <w:tab/>
              <w:t>Programm peaks selliste turutõrgetega tegelema proportsionaalselt, pöörates erilist tähelepanu VKEdele ja ettevõtlusvõrgustikele otsest kasu toovatele meetmetele, moonutamata seejuures põhjendamatult konkurentsi siseturul.</w:t>
            </w:r>
          </w:p>
        </w:tc>
      </w:tr>
    </w:tbl>
    <w:p w:rsidR="001C700C" w:rsidRPr="009639F7" w:rsidRDefault="001C700C" w:rsidP="001C700C">
      <w:pPr>
        <w:pStyle w:val="JustificationTitle"/>
      </w:pPr>
      <w:r w:rsidRPr="009639F7">
        <w:t>Selgitus</w:t>
      </w:r>
    </w:p>
    <w:p w:rsidR="001C700C" w:rsidRPr="009639F7" w:rsidRDefault="001C700C" w:rsidP="001C700C">
      <w:pPr>
        <w:pStyle w:val="Normal12Italic"/>
      </w:pPr>
      <w:r w:rsidRPr="009639F7">
        <w:t>Kõigis programmi meetmetes tuleks arvesse võtta VKEsid ja ettevõtlusvõrgustikke.</w:t>
      </w:r>
    </w:p>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24</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t>Põhjendus 24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(24)</w:t>
            </w:r>
            <w:r w:rsidRPr="009639F7">
              <w:tab/>
              <w:t>Paljud liidu konkurentsivõime probleemid on seotud sellega, et VKEdel on raske juurde pääseda rahastamisele, sest neil tuleb näha suurt vaeva, et tõestada oma krediidivõimelisust, ja neil pole piisavalt tagatisi. Täiendavad rahastamisprobleemid tulenevad VKEde konkurentsivõime säilitamise vajadusest, näiteks tegeledes digiteerimise, rahvusvahelistumise ja innovatsiooniga ning oma töötajate oskuste täiendamisega. Piiratud juurdepääs rahastamisele mõjutab negatiivselt uute ettevõtete loomist, nende kasvu ja püsimajäämise määra, samuti uute ettevõtjate valmisolekut võtta üle elujõulisi ettevõtteid ettevõtte omanikuvahetuse kontekstis.</w:t>
            </w:r>
          </w:p>
        </w:tc>
        <w:tc>
          <w:tcPr>
            <w:tcW w:w="4876" w:type="dxa"/>
            <w:hideMark/>
          </w:tcPr>
          <w:p w:rsidR="001C700C" w:rsidRPr="009639F7" w:rsidRDefault="001C700C" w:rsidP="00464712">
            <w:pPr>
              <w:pStyle w:val="Normal6"/>
              <w:rPr>
                <w:szCs w:val="24"/>
              </w:rPr>
            </w:pPr>
            <w:r w:rsidRPr="009639F7">
              <w:t>(24)</w:t>
            </w:r>
            <w:r w:rsidRPr="009639F7">
              <w:tab/>
              <w:t xml:space="preserve">Paljud liidu konkurentsivõime probleemid on seotud sellega, et VKEdel on raske juurde pääseda rahastamisele, sest neil </w:t>
            </w:r>
            <w:r w:rsidRPr="009639F7">
              <w:rPr>
                <w:b/>
                <w:i/>
              </w:rPr>
              <w:t xml:space="preserve">puudub teave, neil </w:t>
            </w:r>
            <w:r w:rsidRPr="009639F7">
              <w:t>tuleb näha suurt vaeva, et tõestada oma krediidivõimelisust, ja neil pole piisavalt tagatisi</w:t>
            </w:r>
            <w:r w:rsidRPr="009639F7">
              <w:rPr>
                <w:b/>
                <w:i/>
              </w:rPr>
              <w:t xml:space="preserve"> või on põhjuseks lihtsalt vähene teadlikkus olemasolevast mehhanismist nende tegevuse toetamiseks liidu, liikmesriigi või kohalikul tasandil</w:t>
            </w:r>
            <w:r w:rsidRPr="009639F7">
              <w:t>. Täiendavad rahastamisprobleemid tulenevad</w:t>
            </w:r>
            <w:r w:rsidRPr="009639F7">
              <w:rPr>
                <w:b/>
                <w:i/>
              </w:rPr>
              <w:t xml:space="preserve"> mikroettevõtete väiksusest ning</w:t>
            </w:r>
            <w:r w:rsidRPr="009639F7">
              <w:t xml:space="preserve"> VKEde konkurentsivõime säilitamise vajadusest, näiteks tegeledes digiteerimise, rahvusvahelistumise ja innovatsiooniga ning oma töötajate oskuste täiendamisega. Piiratud juurdepääs rahastamisele mõjutab negatiivselt uute ettevõtete loomist, nende kasvu ja püsimajäämise määra, samuti uute ettevõtjate valmisolekut võtta üle elujõulisi ettevõtteid ettevõtte omanikuvahetuse </w:t>
            </w:r>
            <w:r w:rsidRPr="009639F7">
              <w:lastRenderedPageBreak/>
              <w:t>kontekstis.</w:t>
            </w:r>
          </w:p>
        </w:tc>
      </w:tr>
    </w:tbl>
    <w:p w:rsidR="001C700C" w:rsidRPr="009639F7" w:rsidRDefault="001C700C" w:rsidP="001C700C">
      <w:pPr>
        <w:rPr>
          <w:szCs w:val="24"/>
        </w:rPr>
      </w:pPr>
    </w:p>
    <w:p w:rsidR="001C700C" w:rsidRPr="009639F7" w:rsidRDefault="001C700C" w:rsidP="001C700C">
      <w:pPr>
        <w:pStyle w:val="NormalBold"/>
      </w:pPr>
      <w:r w:rsidRPr="009639F7">
        <w:t>Muudatusettepanek</w:t>
      </w:r>
      <w:r w:rsidRPr="009639F7">
        <w:tab/>
        <w:t>25</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t>Põhjendus 25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(25)</w:t>
            </w:r>
            <w:r w:rsidRPr="009639F7">
              <w:tab/>
              <w:t>Et ületada need turutõrked ning tagada, et VKEd etendavad jätkuvalt oma rolli liidu majanduse konkurentsivõime tagamisel, tuleb väikeseid ja keskmise suurusega ettevõtjad täiendavalt toetada võla- ja omakapitaliinstrumentide kaudu, mis nähakse ette Euroopa Parlamendi ja nõukogu määrusega [...] loodava InvestEU fondi VKEde komponendi raames</w:t>
            </w:r>
            <w:r w:rsidRPr="009639F7">
              <w:rPr>
                <w:vertAlign w:val="superscript"/>
              </w:rPr>
              <w:t>52</w:t>
            </w:r>
            <w:r w:rsidRPr="009639F7">
              <w:t xml:space="preserve">. Euroopa Parlamendi ja nõukogu </w:t>
            </w:r>
            <w:r w:rsidRPr="009639F7">
              <w:rPr>
                <w:b/>
                <w:i/>
              </w:rPr>
              <w:t>määruse</w:t>
            </w:r>
            <w:r w:rsidRPr="009639F7">
              <w:t xml:space="preserve"> (EL) nr 1287/2013</w:t>
            </w:r>
            <w:r w:rsidRPr="009639F7">
              <w:rPr>
                <w:vertAlign w:val="superscript"/>
              </w:rPr>
              <w:t>53</w:t>
            </w:r>
            <w:r w:rsidRPr="009639F7">
              <w:t xml:space="preserve"> </w:t>
            </w:r>
            <w:r w:rsidRPr="009639F7">
              <w:rPr>
                <w:b/>
                <w:i/>
              </w:rPr>
              <w:t>alusel</w:t>
            </w:r>
            <w:r w:rsidRPr="009639F7">
              <w:t xml:space="preserve"> kasutusele võetud laenutagamisrahastu on tõestanud oma lisaväärtust ja eeldatavalt annab see positiivse panuse vähemalt 500 000 VKEle; jätkuprogramm luuakse InvestEU fondi VKEde komponendi raames.</w:t>
            </w:r>
          </w:p>
        </w:tc>
        <w:tc>
          <w:tcPr>
            <w:tcW w:w="4876" w:type="dxa"/>
            <w:hideMark/>
          </w:tcPr>
          <w:p w:rsidR="001C700C" w:rsidRPr="009639F7" w:rsidRDefault="001C700C" w:rsidP="00464712">
            <w:pPr>
              <w:pStyle w:val="Normal6"/>
              <w:rPr>
                <w:szCs w:val="24"/>
              </w:rPr>
            </w:pPr>
            <w:r w:rsidRPr="009639F7">
              <w:t>(25)</w:t>
            </w:r>
            <w:r w:rsidRPr="009639F7">
              <w:tab/>
              <w:t>Et ületada need turutõrked ning tagada, et VKEd etendavad jätkuvalt oma rolli liidu majanduse konkurentsivõime tagamisel</w:t>
            </w:r>
            <w:r w:rsidRPr="009639F7">
              <w:rPr>
                <w:b/>
                <w:i/>
              </w:rPr>
              <w:t xml:space="preserve"> ja tõukejõuna kestliku majanduse saavutamisel</w:t>
            </w:r>
            <w:r w:rsidRPr="009639F7">
              <w:t>, tuleb väikeseid ja keskmise suurusega ettevõtjad täiendavalt toetada võla- ja omakapitaliinstrumentide kaudu, mis nähakse ette Euroopa Parlamendi ja nõukogu määrusega [...] loodava InvestEU fondi VKEde komponendi raames</w:t>
            </w:r>
            <w:r w:rsidRPr="009639F7">
              <w:rPr>
                <w:vertAlign w:val="superscript"/>
              </w:rPr>
              <w:t>52</w:t>
            </w:r>
            <w:r w:rsidRPr="009639F7">
              <w:t xml:space="preserve">. Euroopa Parlamendi ja nõukogu </w:t>
            </w:r>
            <w:r w:rsidRPr="009639F7">
              <w:rPr>
                <w:b/>
                <w:i/>
              </w:rPr>
              <w:t>määrusega</w:t>
            </w:r>
            <w:r w:rsidRPr="009639F7">
              <w:t xml:space="preserve"> (EL) nr 1287/2013</w:t>
            </w:r>
            <w:r w:rsidRPr="009639F7">
              <w:rPr>
                <w:vertAlign w:val="superscript"/>
              </w:rPr>
              <w:t>53</w:t>
            </w:r>
            <w:r w:rsidRPr="009639F7">
              <w:t xml:space="preserve"> </w:t>
            </w:r>
            <w:r w:rsidRPr="009639F7">
              <w:rPr>
                <w:b/>
                <w:i/>
              </w:rPr>
              <w:t>loodud endise COSME programmi raames</w:t>
            </w:r>
            <w:r w:rsidRPr="009639F7">
              <w:t xml:space="preserve"> kasutusele võetud laenutagamisrahastu on tõestanud oma lisaväärtust ja eeldatavalt annab see positiivse panuse vähemalt 500 000 VKEle; jätkuprogramm luuakse InvestEU fondi VKEde komponendi raames. </w:t>
            </w:r>
            <w:r w:rsidRPr="009639F7">
              <w:rPr>
                <w:b/>
                <w:i/>
              </w:rPr>
              <w:t>Rohkem tuleks pöörata tähelepanu paremale teabevahetusele ja avalikele kampaaniatele, et tõsta võimalike toetusesaajate teadlikkust VKEdele mõeldud programmides osalemise võimalustest. Et VKEde toetamiseks võetavatest liidu meetmetest rohkem teataks, tuleks meetmete puhul, mida toetatakse käesolevast programmist kas täielikult või osaliselt, sh vahendajate puhul, kasutada Euroopa logo (lippu), mille juures on ka tekst, milles antakse teada, et toetust on saadud sellest programmist.</w:t>
            </w:r>
          </w:p>
        </w:tc>
      </w:tr>
      <w:tr w:rsidR="001C700C" w:rsidRPr="009639F7" w:rsidTr="00464712">
        <w:trPr>
          <w:jc w:val="center"/>
        </w:trPr>
        <w:tc>
          <w:tcPr>
            <w:tcW w:w="4876" w:type="dxa"/>
            <w:hideMark/>
          </w:tcPr>
          <w:p w:rsidR="001C700C" w:rsidRPr="009639F7" w:rsidRDefault="001C700C" w:rsidP="00464712">
            <w:pPr>
              <w:pStyle w:val="Normal6"/>
            </w:pPr>
            <w:r w:rsidRPr="009639F7">
              <w:t>__________________</w:t>
            </w:r>
          </w:p>
        </w:tc>
        <w:tc>
          <w:tcPr>
            <w:tcW w:w="4876" w:type="dxa"/>
            <w:hideMark/>
          </w:tcPr>
          <w:p w:rsidR="001C700C" w:rsidRPr="009639F7" w:rsidRDefault="001C700C" w:rsidP="00464712">
            <w:pPr>
              <w:pStyle w:val="Normal6"/>
              <w:rPr>
                <w:szCs w:val="24"/>
              </w:rPr>
            </w:pPr>
            <w:r w:rsidRPr="009639F7">
              <w:t>__________________</w:t>
            </w:r>
          </w:p>
        </w:tc>
      </w:tr>
      <w:tr w:rsidR="001C700C" w:rsidRPr="009639F7" w:rsidTr="00464712">
        <w:trPr>
          <w:jc w:val="center"/>
        </w:trPr>
        <w:tc>
          <w:tcPr>
            <w:tcW w:w="4876" w:type="dxa"/>
            <w:hideMark/>
          </w:tcPr>
          <w:p w:rsidR="001C700C" w:rsidRPr="009639F7" w:rsidRDefault="001C700C" w:rsidP="00464712">
            <w:pPr>
              <w:pStyle w:val="Normal6"/>
            </w:pPr>
            <w:r w:rsidRPr="009639F7">
              <w:rPr>
                <w:vertAlign w:val="superscript"/>
              </w:rPr>
              <w:t>52</w:t>
            </w:r>
            <w:r w:rsidRPr="009639F7">
              <w:t xml:space="preserve"> COM(2018</w:t>
            </w:r>
            <w:r w:rsidR="00464712" w:rsidRPr="009639F7">
              <w:t>)0</w:t>
            </w:r>
            <w:r w:rsidRPr="009639F7">
              <w:t>439 final</w:t>
            </w:r>
          </w:p>
        </w:tc>
        <w:tc>
          <w:tcPr>
            <w:tcW w:w="4876" w:type="dxa"/>
            <w:hideMark/>
          </w:tcPr>
          <w:p w:rsidR="001C700C" w:rsidRPr="009639F7" w:rsidRDefault="001C700C" w:rsidP="00464712">
            <w:pPr>
              <w:pStyle w:val="Normal6"/>
              <w:rPr>
                <w:szCs w:val="24"/>
              </w:rPr>
            </w:pPr>
            <w:r w:rsidRPr="009639F7">
              <w:rPr>
                <w:vertAlign w:val="superscript"/>
              </w:rPr>
              <w:t>52</w:t>
            </w:r>
            <w:r w:rsidRPr="009639F7">
              <w:t xml:space="preserve"> COM(2018</w:t>
            </w:r>
            <w:r w:rsidR="00464712" w:rsidRPr="009639F7">
              <w:t>)0</w:t>
            </w:r>
            <w:r w:rsidRPr="009639F7">
              <w:t>439 final</w:t>
            </w:r>
          </w:p>
        </w:tc>
      </w:tr>
      <w:tr w:rsidR="001C700C" w:rsidRPr="009639F7" w:rsidTr="00464712">
        <w:trPr>
          <w:jc w:val="center"/>
        </w:trPr>
        <w:tc>
          <w:tcPr>
            <w:tcW w:w="4876" w:type="dxa"/>
            <w:hideMark/>
          </w:tcPr>
          <w:p w:rsidR="001C700C" w:rsidRPr="009639F7" w:rsidRDefault="001C700C" w:rsidP="00464712">
            <w:pPr>
              <w:pStyle w:val="Normal6"/>
            </w:pPr>
            <w:r w:rsidRPr="009639F7">
              <w:rPr>
                <w:vertAlign w:val="superscript"/>
              </w:rPr>
              <w:t>53</w:t>
            </w:r>
            <w:r w:rsidRPr="009639F7">
              <w:t xml:space="preserve"> Euroopa Parlamendi ja nõukogu 11. detsembri 2013. aasta määrus (EL) nr 1287/2013, millega kehtestatakse ettevõtete konkurentsivõime ning väikeste </w:t>
            </w:r>
            <w:r w:rsidRPr="009639F7">
              <w:lastRenderedPageBreak/>
              <w:t>ja keskmise suurusega ettevõtjate programm (COSME) (2014–2020) ning millega tunnistatakse kehtetuks otsus nr 1639/2006/EÜ (ELT L 347, 20.12.2013, lk 33).</w:t>
            </w:r>
          </w:p>
        </w:tc>
        <w:tc>
          <w:tcPr>
            <w:tcW w:w="4876" w:type="dxa"/>
            <w:hideMark/>
          </w:tcPr>
          <w:p w:rsidR="001C700C" w:rsidRPr="009639F7" w:rsidRDefault="001C700C" w:rsidP="00464712">
            <w:pPr>
              <w:pStyle w:val="Normal6"/>
              <w:rPr>
                <w:szCs w:val="24"/>
              </w:rPr>
            </w:pPr>
            <w:r w:rsidRPr="009639F7">
              <w:rPr>
                <w:vertAlign w:val="superscript"/>
              </w:rPr>
              <w:lastRenderedPageBreak/>
              <w:t>53</w:t>
            </w:r>
            <w:r w:rsidRPr="009639F7">
              <w:t xml:space="preserve"> Euroopa Parlamendi ja nõukogu 11. detsembri 2013. aasta määrus (EL) nr 1287/2013, millega kehtestatakse ettevõtete konkurentsivõime ning väikeste </w:t>
            </w:r>
            <w:r w:rsidRPr="009639F7">
              <w:lastRenderedPageBreak/>
              <w:t xml:space="preserve">ja keskmise suurusega ettevõtjate programm (COSME) (2014–2020) ning millega tunnistatakse kehtetuks otsus nr 1639/2006/EÜ </w:t>
            </w:r>
            <w:r w:rsidR="00464712" w:rsidRPr="009639F7">
              <w:t>(ELT L 347, 20.12.2013, lk </w:t>
            </w:r>
            <w:r w:rsidRPr="009639F7">
              <w:t>33).</w:t>
            </w:r>
          </w:p>
        </w:tc>
      </w:tr>
    </w:tbl>
    <w:p w:rsidR="001C700C" w:rsidRPr="009639F7" w:rsidRDefault="001C700C" w:rsidP="001C700C">
      <w:pPr>
        <w:rPr>
          <w:szCs w:val="24"/>
        </w:rPr>
      </w:pPr>
    </w:p>
    <w:p w:rsidR="001C700C" w:rsidRPr="009639F7" w:rsidRDefault="001C700C" w:rsidP="001C700C">
      <w:pPr>
        <w:pStyle w:val="AMNumberTabs"/>
      </w:pPr>
      <w:r w:rsidRPr="009639F7">
        <w:t>Muudatusettepanek</w:t>
      </w:r>
      <w:r w:rsidRPr="009639F7">
        <w:tab/>
      </w:r>
      <w:r w:rsidRPr="009639F7">
        <w:tab/>
        <w:t>26</w:t>
      </w:r>
    </w:p>
    <w:p w:rsidR="001C700C" w:rsidRPr="009639F7" w:rsidRDefault="001C700C" w:rsidP="001C700C">
      <w:pPr>
        <w:pStyle w:val="AMNumberTabs"/>
      </w:pPr>
      <w:r w:rsidRPr="009639F7">
        <w:t>Ettepanek võtta vastu määrus</w:t>
      </w:r>
    </w:p>
    <w:p w:rsidR="001C700C" w:rsidRPr="009639F7" w:rsidRDefault="001C700C" w:rsidP="001C700C">
      <w:pPr>
        <w:pStyle w:val="AMNumberTabs"/>
      </w:pPr>
      <w:r w:rsidRPr="009639F7">
        <w:t>Põhjendus 26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(26)</w:t>
            </w:r>
            <w:r w:rsidRPr="009639F7">
              <w:tab/>
              <w:t>Käesoleva programmi poliitilisi eesmärke rahastatakse ka InvestEU fondi VKEde komponenti kuuluvate rahastamisvahendite ja eelarvetagatise kaudu. Turuprobleemide või mitteoptimaalsete investeerimisolukordade lahendamiseks tuleks rahalist toetust kasutada proportsionaalselt ning meetmed ei tohiks dubleerida või välja tõrjuda erasektori poolset rahastamist ega moonutada konkurentsi siseturul. Meetmetel peaks olema selge Euroopa tasandi lisaväärtus.</w:t>
            </w:r>
          </w:p>
        </w:tc>
        <w:tc>
          <w:tcPr>
            <w:tcW w:w="4876" w:type="dxa"/>
            <w:hideMark/>
          </w:tcPr>
          <w:p w:rsidR="001C700C" w:rsidRPr="009639F7" w:rsidRDefault="001C700C" w:rsidP="00464712">
            <w:pPr>
              <w:pStyle w:val="Normal6"/>
              <w:rPr>
                <w:szCs w:val="24"/>
              </w:rPr>
            </w:pPr>
            <w:r w:rsidRPr="009639F7">
              <w:t>(26)</w:t>
            </w:r>
            <w:r w:rsidRPr="009639F7">
              <w:tab/>
              <w:t>Käesoleva programmi poliitilisi eesmärke rahastatakse ka InvestEU fondi VKEde komponenti kuuluvate rahastamisvahendite ja eelarvetagatise kaudu.</w:t>
            </w:r>
            <w:r w:rsidRPr="009639F7">
              <w:rPr>
                <w:b/>
                <w:i/>
              </w:rPr>
              <w:t xml:space="preserve"> InvestEU fondi VKEde komponendil peaks olema üldine teabepunkt, mis annab programmi kohta teavet igas liikmesriigis, et suurendada VKEde rahastamisvõimalusi ja teadlikkust nendest.</w:t>
            </w:r>
            <w:r w:rsidRPr="009639F7">
              <w:t xml:space="preserve"> Turuprobleemide või mitteoptimaalsete investeerimisolukordade lahendamiseks tuleks rahalist toetust kasutada proportsionaalselt ning meetmed ei tohiks dubleerida või välja tõrjuda erasektori poolset rahastamist ega moonutada konkurentsi siseturul</w:t>
            </w:r>
            <w:r w:rsidRPr="009639F7">
              <w:rPr>
                <w:b/>
                <w:i/>
              </w:rPr>
              <w:t>. Meetmed peaksid olema selgelt täiendavad ja nendega tuleks suurendada koostoimet muude ELi programmidega</w:t>
            </w:r>
            <w:r w:rsidRPr="009639F7">
              <w:t>. Meetmetel peaks olema selge Euroopa tasandi lisaväärtus.</w:t>
            </w:r>
          </w:p>
        </w:tc>
      </w:tr>
    </w:tbl>
    <w:p w:rsidR="001C700C" w:rsidRPr="009639F7" w:rsidRDefault="001C700C" w:rsidP="001C700C">
      <w:pPr>
        <w:rPr>
          <w:szCs w:val="24"/>
        </w:rPr>
      </w:pPr>
    </w:p>
    <w:p w:rsidR="001C700C" w:rsidRPr="009639F7" w:rsidRDefault="001C700C" w:rsidP="001C700C">
      <w:pPr>
        <w:pStyle w:val="AMNumberTabs"/>
      </w:pPr>
      <w:r w:rsidRPr="009639F7">
        <w:t>Muudatusettepanek</w:t>
      </w:r>
      <w:r w:rsidRPr="009639F7">
        <w:tab/>
        <w:t>27</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t>Põhjendus 26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(26a)</w:t>
            </w:r>
            <w:r w:rsidRPr="009639F7">
              <w:rPr>
                <w:b/>
                <w:i/>
              </w:rPr>
              <w:tab/>
              <w:t xml:space="preserve">InvestEU fondist ELi või liikmesriikide komponendi kaudu toetatud meetmetega ei tohiks dubleerida erasektori rahaeraldisi, neid asendada ega </w:t>
            </w:r>
            <w:r w:rsidRPr="009639F7">
              <w:rPr>
                <w:b/>
                <w:i/>
              </w:rPr>
              <w:lastRenderedPageBreak/>
              <w:t>moonutada konkurentsi siseturul, vaid seoses juba kasutatavate kohalike avaliku ja erasektori tagatissüsteemidega peaksid need soodustama lõimumist kõnealuste süsteemidega, kusjuures selliste meetmete peamine eesmärk on kindlustada ja suurendada lõplike vahendite saajate (VKEd soovituse 2003/361/EÜ tähenduses) kasu, et saavutada sekkumismeetmete tegelik täiendavus.</w:t>
            </w:r>
          </w:p>
        </w:tc>
      </w:tr>
    </w:tbl>
    <w:p w:rsidR="001C700C" w:rsidRPr="009639F7" w:rsidRDefault="001C700C" w:rsidP="001C700C">
      <w:pPr>
        <w:rPr>
          <w:szCs w:val="24"/>
        </w:rPr>
      </w:pPr>
    </w:p>
    <w:p w:rsidR="001C700C" w:rsidRPr="009639F7" w:rsidRDefault="001C700C" w:rsidP="001C700C">
      <w:pPr>
        <w:pStyle w:val="AMNumberTabs"/>
      </w:pPr>
      <w:r w:rsidRPr="009639F7">
        <w:t>Muudatusettepanek</w:t>
      </w:r>
      <w:r w:rsidRPr="009639F7">
        <w:tab/>
      </w:r>
      <w:r w:rsidRPr="009639F7">
        <w:tab/>
        <w:t>28</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t>Põhjendus 26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(26b)</w:t>
            </w:r>
            <w:r w:rsidRPr="009639F7">
              <w:rPr>
                <w:b/>
                <w:i/>
              </w:rPr>
              <w:tab/>
              <w:t>Lisaks rahastamisvahenditele juurdepääsule on VKEde jaoks ülioluline ka juurdepääs oskustele, sealhulgas juhtimisalastele oskustele ja teadmistele, et pääseda ligi olemasolevatele rahalistele vahenditele, tegeleda innovatsiooniga, konkureerida ja areneda. InvestEU fondi raames ette nähtud rahastamisvahendite loomisega peaks seega kaasnema ka mentorlussüsteemide ja koolituskavade ning teadmuspõhiste äriteenuste väljatöötamine.</w:t>
            </w:r>
          </w:p>
        </w:tc>
      </w:tr>
    </w:tbl>
    <w:p w:rsidR="001C700C" w:rsidRPr="009639F7" w:rsidRDefault="001C700C" w:rsidP="001C700C">
      <w:pPr>
        <w:rPr>
          <w:szCs w:val="24"/>
        </w:rPr>
      </w:pPr>
    </w:p>
    <w:p w:rsidR="001C700C" w:rsidRPr="009639F7" w:rsidRDefault="001C700C" w:rsidP="001C700C">
      <w:pPr>
        <w:pStyle w:val="AMNumberTabs"/>
      </w:pPr>
      <w:r w:rsidRPr="009639F7">
        <w:t>Muudatusettepanek</w:t>
      </w:r>
      <w:r w:rsidRPr="009639F7">
        <w:tab/>
      </w:r>
      <w:r w:rsidRPr="009639F7">
        <w:tab/>
        <w:t>29</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t>Põhjendus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(27)</w:t>
            </w:r>
            <w:r w:rsidRPr="009639F7">
              <w:tab/>
              <w:t xml:space="preserve">Programm peaks pakkuma VKEdele tõhusat tuge kogu nende elutsükli vältel. See peaks tuginema VKEde ja </w:t>
            </w:r>
            <w:r w:rsidRPr="009639F7">
              <w:rPr>
                <w:b/>
                <w:i/>
              </w:rPr>
              <w:t>tööstussektoriga</w:t>
            </w:r>
            <w:r w:rsidRPr="009639F7">
              <w:t xml:space="preserve"> seoses saavutatud ainulaadsetele teadmistele ja asjatundlikkusele ning pikaajalisele koostöökogemusele Euroopa, riikliku ja piirkondliku tasandi sidusrühmadega. Toetus peaks tuginema</w:t>
            </w:r>
            <w:r w:rsidRPr="009639F7">
              <w:rPr>
                <w:b/>
                <w:i/>
              </w:rPr>
              <w:t xml:space="preserve"> heale</w:t>
            </w:r>
            <w:r w:rsidRPr="009639F7">
              <w:t xml:space="preserve"> kogemusele </w:t>
            </w:r>
            <w:r w:rsidRPr="009639F7">
              <w:lastRenderedPageBreak/>
              <w:t xml:space="preserve">seoses Euroopa ettevõtlusvõrgustikuga, mis on ühtne teeninduspunkt, mille kaudu aidatakse VKEdel parandada konkurentsivõimet ja arendada äritegevust nii siseturul kui ka muudel turgudel. Võrgustik kavatseb jätkata teenuste pakkumist teiste liidu programmide, eelkõige programmi „Horisont 2020“ raames, kasutades nende programmide rahalisi vahendeid. Lisaks sellele peaks uute ettevõtjate mentorlussüsteem jääma vahendiks, mis võimaldab värsketel ettevõtjatel või nendeks saada soovijatel hankida </w:t>
            </w:r>
            <w:r w:rsidRPr="009639F7">
              <w:rPr>
                <w:b/>
                <w:i/>
              </w:rPr>
              <w:t>ettevõtluskogemust</w:t>
            </w:r>
            <w:r w:rsidRPr="009639F7">
              <w:t xml:space="preserve"> kontakti kaudu mõne teise riigi kogenud ettevõtjaga ja seega parandada ettevõtlusalast võimekust. Programm peaks</w:t>
            </w:r>
            <w:r w:rsidRPr="009639F7">
              <w:rPr>
                <w:b/>
                <w:i/>
              </w:rPr>
              <w:t xml:space="preserve"> veelgi</w:t>
            </w:r>
            <w:r w:rsidRPr="009639F7">
              <w:t xml:space="preserve"> laienema ja suurendama oma geograafilist ulatust ning pakkuma seega ettevõtjatele rohkem selliseid kontaktivõimalusi, täiendades vajaduse korral liidu muid algatusi.</w:t>
            </w:r>
          </w:p>
        </w:tc>
        <w:tc>
          <w:tcPr>
            <w:tcW w:w="4876" w:type="dxa"/>
            <w:hideMark/>
          </w:tcPr>
          <w:p w:rsidR="001C700C" w:rsidRPr="009639F7" w:rsidRDefault="001C700C" w:rsidP="00464712">
            <w:pPr>
              <w:pStyle w:val="Normal6"/>
              <w:rPr>
                <w:szCs w:val="24"/>
              </w:rPr>
            </w:pPr>
            <w:r w:rsidRPr="009639F7">
              <w:lastRenderedPageBreak/>
              <w:t>(27)</w:t>
            </w:r>
            <w:r w:rsidRPr="009639F7">
              <w:tab/>
              <w:t>Programm peaks pakkuma VKEdele tõhusat tuge kogu nende elutsükli vältel</w:t>
            </w:r>
            <w:r w:rsidRPr="009639F7">
              <w:rPr>
                <w:b/>
                <w:i/>
              </w:rPr>
              <w:t>, olles abiks alates projekti ettevalmistamisest kuni turustamise ja turulepääsuni ning soodustades ettevõtlusvõrgustike loomist</w:t>
            </w:r>
            <w:r w:rsidRPr="009639F7">
              <w:t xml:space="preserve">. See peaks tuginema VKEde </w:t>
            </w:r>
            <w:r w:rsidRPr="009639F7">
              <w:rPr>
                <w:b/>
                <w:i/>
              </w:rPr>
              <w:t xml:space="preserve">ning majandus- </w:t>
            </w:r>
            <w:r w:rsidRPr="009639F7">
              <w:t xml:space="preserve">ja </w:t>
            </w:r>
            <w:r w:rsidRPr="009639F7">
              <w:rPr>
                <w:b/>
                <w:i/>
              </w:rPr>
              <w:t>ettevõtlussektoriga</w:t>
            </w:r>
            <w:r w:rsidRPr="009639F7">
              <w:t xml:space="preserve"> seoses saavutatud ainulaadsetele teadmistele ja </w:t>
            </w:r>
            <w:r w:rsidRPr="009639F7">
              <w:lastRenderedPageBreak/>
              <w:t xml:space="preserve">asjatundlikkusele ning pikaajalisele koostöökogemusele Euroopa, riikliku ja piirkondliku tasandi sidusrühmadega. Toetus peaks tuginema kogemusele seoses Euroopa ettevõtlusvõrgustikuga, mis on ühtne teeninduspunkt, mille kaudu aidatakse VKEdel parandada konkurentsivõimet ja arendada äritegevust nii siseturul kui ka muudel turgudel. Võrgustik kavatseb jätkata teenuste pakkumist teiste liidu programmide, eelkõige programmi „Horisont 2020“ raames, kasutades nende programmide rahalisi vahendeid. </w:t>
            </w:r>
            <w:r w:rsidRPr="009639F7">
              <w:rPr>
                <w:b/>
                <w:i/>
              </w:rPr>
              <w:t>Samuti peaks see toetama VKEde esindusorganisatsiooni laialdasemat osalemist ühtse turu poliitika algatuse, nagu riigihangete, standardimise protsesside ja intellektuaalomandiga seotud korra väljatöötamisel. Samuti peaks võrgustik suurendama meetmete arvu, millega antakse VKEdele sihipärasemat nõu projektide koostamisel ja toetatakse võrgustikke ning tehnoloogilist ja korralduslikku üleminekut. Ka peaks võrgustik rahastamisvõimaluste valdkonnas täiustama koostööd ja teabevahetust digitaalse programmi ja InvestEU fondi raames loodud teiste nõustamiskeskustega. Peale selle tuleks võrgustiku VKEdele suunatud meetmete kaudu osutada kvaliteetseid teenuseid kogu Euroopas, pöörates erilist tähelepanu liidu tegevusvaldkondadele ja geograafilistele piirkondadele, kus võrgustikud ja sidusrühmad ei saavuta oodatud tulemusi.</w:t>
            </w:r>
            <w:r w:rsidRPr="009639F7">
              <w:t xml:space="preserve"> Lisaks sellele peaks </w:t>
            </w:r>
            <w:r w:rsidRPr="009639F7">
              <w:rPr>
                <w:b/>
                <w:i/>
              </w:rPr>
              <w:t xml:space="preserve">tulemuslik </w:t>
            </w:r>
            <w:r w:rsidRPr="009639F7">
              <w:t xml:space="preserve">uute ettevõtjate mentorlussüsteem </w:t>
            </w:r>
            <w:r w:rsidRPr="009639F7">
              <w:rPr>
                <w:b/>
                <w:i/>
              </w:rPr>
              <w:t xml:space="preserve">– programm „Erasmus noortele ettevõtjatele“ – </w:t>
            </w:r>
            <w:r w:rsidRPr="009639F7">
              <w:t xml:space="preserve">jääma vahendiks, mis võimaldab värsketel ettevõtjatel või nendeks saada soovijatel hankida </w:t>
            </w:r>
            <w:r w:rsidRPr="009639F7">
              <w:rPr>
                <w:b/>
                <w:i/>
              </w:rPr>
              <w:t>ettevõtlus- ja juhtimiskogemusi</w:t>
            </w:r>
            <w:r w:rsidRPr="009639F7">
              <w:t xml:space="preserve"> kontakti kaudu mõne teise riigi kogenud ettevõtjaga ja seega parandada ettevõtlusalast võimekust. Programm peaks laienema ja suurendama oma geograafilist ulatust ning pakkuma seega ettevõtjatele rohkem selliseid kontaktivõimalusi, täiendades </w:t>
            </w:r>
            <w:r w:rsidRPr="009639F7">
              <w:lastRenderedPageBreak/>
              <w:t xml:space="preserve">vajaduse korral liidu muid algatusi. </w:t>
            </w:r>
            <w:r w:rsidRPr="009639F7">
              <w:rPr>
                <w:b/>
                <w:i/>
              </w:rPr>
              <w:t>Et suurendada ettevõtlusalgatuste edendamise abil loodavat lisaväärtust, tuleks erilist tähelepanu pöörata mikroettevõtetele, olemasolevast programmist vähim kasu saanutele ja piirkondadele, kus ettevõtluskultuur on endiselt väga algeline ja selle edendamisel esineb rohkem takistusi. Tuleks teha kõik mis võimalik, et saavutada rahaliste vahendite mõistlikult tasakaalustatud geograafiline jaotus.</w:t>
            </w:r>
          </w:p>
        </w:tc>
      </w:tr>
    </w:tbl>
    <w:p w:rsidR="001C700C" w:rsidRPr="009639F7" w:rsidRDefault="001C700C" w:rsidP="001C700C">
      <w:pPr>
        <w:rPr>
          <w:szCs w:val="24"/>
        </w:rPr>
      </w:pPr>
    </w:p>
    <w:p w:rsidR="001C700C" w:rsidRPr="009639F7" w:rsidRDefault="001C700C" w:rsidP="001C700C">
      <w:pPr>
        <w:pStyle w:val="AMNumberTabs"/>
      </w:pPr>
      <w:r w:rsidRPr="009639F7">
        <w:t>Muudatusettepanek</w:t>
      </w:r>
      <w:r w:rsidRPr="009639F7">
        <w:tab/>
      </w:r>
      <w:r w:rsidRPr="009639F7">
        <w:tab/>
        <w:t>30</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27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(27a)</w:t>
            </w:r>
            <w:r w:rsidRPr="009639F7">
              <w:rPr>
                <w:b/>
                <w:i/>
              </w:rPr>
              <w:tab/>
              <w:t>Suuremaid jõupingutusi tuleks teha halduskoormuse vähendamiseks ja programmide kättesaadavuse suurendamiseks, et vähendada VKEde ja mikroettevõtjate kulusid, mis tulenevad keerulistest taotlemismenetlustest ja osalemisnõuetest. Liikmesriigid peaksid samuti kaaluma ühtse teeninduspunktina toimiva ühtse teabepunkti loomist ettevõtjatele, keda huvitab liidu rahaliste vahendite kasutamine. Hindamismenetlus peaks olema võimalikult lihtne ja kiire, et programmist antavat toetust saaks hakata kiiresti kasutama.</w:t>
            </w:r>
          </w:p>
        </w:tc>
      </w:tr>
    </w:tbl>
    <w:p w:rsidR="001C700C" w:rsidRPr="009639F7" w:rsidRDefault="001C700C" w:rsidP="001C700C">
      <w:pPr>
        <w:rPr>
          <w:szCs w:val="24"/>
        </w:rPr>
      </w:pPr>
    </w:p>
    <w:p w:rsidR="001C700C" w:rsidRPr="009639F7" w:rsidRDefault="001C700C" w:rsidP="001C700C">
      <w:pPr>
        <w:pStyle w:val="AMNumberTabs"/>
      </w:pPr>
      <w:r w:rsidRPr="009639F7">
        <w:t>Muudatusettepanek</w:t>
      </w:r>
      <w:r w:rsidRPr="009639F7">
        <w:tab/>
      </w:r>
      <w:r w:rsidRPr="009639F7">
        <w:tab/>
        <w:t>31</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t>Põhjendus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(28)</w:t>
            </w:r>
            <w:r w:rsidRPr="009639F7">
              <w:tab/>
              <w:t xml:space="preserve">Klastrid on strateegiline vahend VKEde konkurentsivõime suurendamiseks ja laiendamiseks, sest need pakuvad soodsat ettevõtluskeskkonda. Klastrite ühistegevuse algatused peaksid saavutama </w:t>
            </w:r>
            <w:r w:rsidRPr="009639F7">
              <w:lastRenderedPageBreak/>
              <w:t xml:space="preserve">kriitilise massi, et kiirendada VKEde kasvu. Spetsiaalsete ökosüsteemide ühendamise kaudu loovad klastrid VKEdele uusi ärivõimalusi ja lõimivad need paremini Euroopa ja maailma strateegilistesse väärtusahelatesse. Tuleks toetada riikidevaheliste partnerlusstrateegiate väljatöötamist ja ühismeetmete elluviimist, mida toetab Euroopa klastrite koostööplatvorm. Jätkusuutlikku partnerlust tuleks toetada rahastamise jätkamisega, tingimusel et saavutatakse tulemuste ja osalemise suhtes seatud eesmärgid. Otsetoetust VKEdele tuleks anda klastriorganisatsioonide kaudu, kui tegemist on järgmisega: kõrgetasemelise tehnoloogia, uute ärimudelite, </w:t>
            </w:r>
            <w:r w:rsidRPr="009639F7">
              <w:rPr>
                <w:b/>
                <w:i/>
              </w:rPr>
              <w:t>vähese CO</w:t>
            </w:r>
            <w:r w:rsidRPr="009639F7">
              <w:rPr>
                <w:b/>
                <w:i/>
                <w:vertAlign w:val="subscript"/>
              </w:rPr>
              <w:t>2</w:t>
            </w:r>
            <w:r w:rsidRPr="009639F7">
              <w:rPr>
                <w:b/>
                <w:i/>
              </w:rPr>
              <w:t xml:space="preserve">-heitega ja ressursitõhusate </w:t>
            </w:r>
            <w:r w:rsidRPr="009639F7">
              <w:t xml:space="preserve">lahenduste kasutuselevõtt, loovuse ja disaini edendamine, oskuste täiendamine, andekate inimeste kaasamine, ettevõtluse kiirendamine ja rahvusvahelistumine. Kaasata tuleks muud VKEdele suunatud spetsiaalsed toetusmeetmed, mis on mõeldud tööstusliku ümberkujundamise ja aruka spetsialiseerumise strateegiate rakendamise hõlbustamiseks. Programm peaks seega aitama kaasa </w:t>
            </w:r>
            <w:r w:rsidRPr="009639F7">
              <w:rPr>
                <w:b/>
                <w:i/>
              </w:rPr>
              <w:t>majanduskasvule</w:t>
            </w:r>
            <w:r w:rsidRPr="009639F7">
              <w:t xml:space="preserve"> ja looma seoseid liidu (digitaalsete) innovatsioonikeskuste ning ühtekuuluvuspoliitika ja programmi „Euroopa horisont“ raames tehtavate investeeringutega. </w:t>
            </w:r>
            <w:r w:rsidRPr="009639F7">
              <w:rPr>
                <w:b/>
                <w:i/>
              </w:rPr>
              <w:t xml:space="preserve">Samuti võiks </w:t>
            </w:r>
            <w:r w:rsidRPr="009639F7">
              <w:t xml:space="preserve">uurida </w:t>
            </w:r>
            <w:r w:rsidRPr="009639F7">
              <w:rPr>
                <w:b/>
                <w:i/>
              </w:rPr>
              <w:t>sünergiaid Erasmuse</w:t>
            </w:r>
            <w:r w:rsidRPr="009639F7">
              <w:t xml:space="preserve"> programmiga.</w:t>
            </w:r>
          </w:p>
        </w:tc>
        <w:tc>
          <w:tcPr>
            <w:tcW w:w="4876" w:type="dxa"/>
            <w:hideMark/>
          </w:tcPr>
          <w:p w:rsidR="001C700C" w:rsidRPr="009639F7" w:rsidRDefault="001C700C" w:rsidP="00464712">
            <w:pPr>
              <w:pStyle w:val="Normal6"/>
              <w:rPr>
                <w:szCs w:val="24"/>
              </w:rPr>
            </w:pPr>
            <w:r w:rsidRPr="009639F7">
              <w:lastRenderedPageBreak/>
              <w:t>(28)</w:t>
            </w:r>
            <w:r w:rsidRPr="009639F7">
              <w:tab/>
              <w:t>Klastrid on strateegiline vahend VKEde konkurentsivõime suurendamiseks ja laiendamiseks, sest need pakuvad soodsat ettevõtluskeskkonda</w:t>
            </w:r>
            <w:r w:rsidRPr="009639F7">
              <w:rPr>
                <w:b/>
                <w:i/>
              </w:rPr>
              <w:t xml:space="preserve">, suurendavad tööstuse ning teenuste kestlikku arengut </w:t>
            </w:r>
            <w:r w:rsidRPr="009639F7">
              <w:rPr>
                <w:b/>
                <w:i/>
              </w:rPr>
              <w:lastRenderedPageBreak/>
              <w:t>ja tugevdavad kvaliteetsete töökohtade loomise kaudu piirkondade majandusarengut</w:t>
            </w:r>
            <w:r w:rsidRPr="009639F7">
              <w:t xml:space="preserve">. Klastrite ühistegevuse algatused peaksid saavutama kriitilise massi, et kiirendada VKEde kasvu. Spetsiaalsete ökosüsteemide ühendamise kaudu loovad klastrid VKEdele uusi ärivõimalusi ja lõimivad need paremini Euroopa ja maailma strateegilistesse väärtusahelatesse. Tuleks toetada riikidevaheliste partnerlusstrateegiate väljatöötamist ja ühismeetmete elluviimist, mida toetab Euroopa klastrite koostööplatvorm. Jätkusuutlikku partnerlust tuleks toetada rahastamise jätkamisega, tingimusel et saavutatakse tulemuste ja osalemise suhtes seatud eesmärgid. Otsetoetust VKEdele tuleks anda klastriorganisatsioonide kaudu, kui tegemist on järgmisega: kõrgetasemelise tehnoloogia, uute ärimudelite, lahenduste kasutuselevõtt, loovuse ja disaini edendamine, oskuste täiendamine, andekate inimeste kaasamine, ettevõtluse kiirendamine ja rahvusvahelistumine. Kaasata tuleks muud VKEdele suunatud spetsiaalsed toetusmeetmed, mis on mõeldud tööstusliku ümberkujundamise ja aruka spetsialiseerumise strateegiate rakendamise hõlbustamiseks. Programm peaks seega aitama kaasa </w:t>
            </w:r>
            <w:r w:rsidRPr="009639F7">
              <w:rPr>
                <w:b/>
                <w:i/>
              </w:rPr>
              <w:t>kestlikule majandusarengule</w:t>
            </w:r>
            <w:r w:rsidRPr="009639F7">
              <w:t xml:space="preserve"> ja looma seoseid liidu (digitaalsete) innovatsioonikeskuste ning ühtekuuluvuspoliitika ja programmi „Euroopa horisont“ raames tehtavate investeeringutega. Uurida </w:t>
            </w:r>
            <w:r w:rsidRPr="009639F7">
              <w:rPr>
                <w:b/>
                <w:i/>
              </w:rPr>
              <w:t>võib ka sünergiat</w:t>
            </w:r>
            <w:r w:rsidRPr="009639F7">
              <w:t xml:space="preserve"> programmiga</w:t>
            </w:r>
            <w:r w:rsidRPr="009639F7">
              <w:rPr>
                <w:b/>
                <w:i/>
              </w:rPr>
              <w:t xml:space="preserve"> „Erasmus“</w:t>
            </w:r>
            <w:r w:rsidRPr="009639F7">
              <w:t>.</w:t>
            </w:r>
          </w:p>
        </w:tc>
      </w:tr>
    </w:tbl>
    <w:p w:rsidR="001C700C" w:rsidRPr="009639F7" w:rsidRDefault="001C700C" w:rsidP="001C700C">
      <w:pPr>
        <w:rPr>
          <w:szCs w:val="24"/>
        </w:rPr>
      </w:pPr>
    </w:p>
    <w:p w:rsidR="001C700C" w:rsidRPr="009639F7" w:rsidRDefault="001C700C" w:rsidP="001C700C">
      <w:pPr>
        <w:pStyle w:val="AMNumberTabs"/>
      </w:pPr>
      <w:r w:rsidRPr="009639F7">
        <w:t>Muudatusettepanek</w:t>
      </w:r>
      <w:r w:rsidRPr="009639F7">
        <w:tab/>
      </w:r>
      <w:r w:rsidRPr="009639F7">
        <w:tab/>
        <w:t>32</w:t>
      </w:r>
    </w:p>
    <w:p w:rsidR="001C700C" w:rsidRPr="009639F7" w:rsidRDefault="001C700C" w:rsidP="001C700C">
      <w:pPr>
        <w:pStyle w:val="AMNumberTabs"/>
      </w:pPr>
      <w:r w:rsidRPr="009639F7">
        <w:t>Ettepanek võtta vastu määrus</w:t>
      </w:r>
    </w:p>
    <w:p w:rsidR="001C700C" w:rsidRPr="009639F7" w:rsidRDefault="001C700C" w:rsidP="001C700C">
      <w:pPr>
        <w:pStyle w:val="AMNumberTabs"/>
      </w:pPr>
      <w:r w:rsidRPr="009639F7">
        <w:t>Põhjendus 28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464712" w:rsidP="00464712">
            <w:pPr>
              <w:pStyle w:val="Normal6"/>
              <w:rPr>
                <w:szCs w:val="24"/>
              </w:rPr>
            </w:pPr>
            <w:r w:rsidRPr="009639F7">
              <w:rPr>
                <w:b/>
                <w:i/>
              </w:rPr>
              <w:t>(28</w:t>
            </w:r>
            <w:r w:rsidR="001C700C" w:rsidRPr="009639F7">
              <w:rPr>
                <w:b/>
                <w:i/>
              </w:rPr>
              <w:t>a)</w:t>
            </w:r>
            <w:r w:rsidR="001C700C" w:rsidRPr="009639F7">
              <w:rPr>
                <w:b/>
                <w:i/>
              </w:rPr>
              <w:tab/>
              <w:t xml:space="preserve">Programm võiks aidata luua ja/või parandada mikro-, väikeste ja keskmise suurusega ettevõtjate suhteid ülikoolide, </w:t>
            </w:r>
            <w:r w:rsidR="001C700C" w:rsidRPr="009639F7">
              <w:rPr>
                <w:b/>
                <w:i/>
              </w:rPr>
              <w:lastRenderedPageBreak/>
              <w:t>uurimiskeskuste ja muude teadmiste loomise ja levitamisega tegelevate institutsioonidega. Need suhted võiksid aidata parandada ettevõtjate suutlikkust lahendada strateegilisi probleeme, mida tekitab uus rahvusvaheline keskkond.</w:t>
            </w:r>
          </w:p>
        </w:tc>
      </w:tr>
    </w:tbl>
    <w:p w:rsidR="001C700C" w:rsidRPr="009639F7" w:rsidRDefault="001C700C" w:rsidP="001C700C">
      <w:pPr>
        <w:rPr>
          <w:szCs w:val="24"/>
        </w:rPr>
      </w:pPr>
    </w:p>
    <w:p w:rsidR="001C700C" w:rsidRPr="009639F7" w:rsidRDefault="001C700C" w:rsidP="001C700C">
      <w:pPr>
        <w:pStyle w:val="AMNumberTabs"/>
      </w:pPr>
      <w:r w:rsidRPr="009639F7">
        <w:t>Muudatusettepanek</w:t>
      </w:r>
      <w:r w:rsidRPr="009639F7">
        <w:tab/>
      </w:r>
      <w:r w:rsidRPr="009639F7">
        <w:tab/>
        <w:t>33</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t>Põhjendus 28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(28b)</w:t>
            </w:r>
            <w:r w:rsidRPr="009639F7">
              <w:rPr>
                <w:b/>
                <w:i/>
              </w:rPr>
              <w:tab/>
              <w:t>Kuna VKEd on oma suuruselt väiksemad, takistavad nende kasvu spetsiifilised tegurid ning neil on tõsiseid raskusi kasvamisel ja teatava majandustegevuse laiendamisel. Liit on majandustegevuse laiendamist toetanud eelkõige teadustegevuse uuendamisele keskendudes, peamiselt VKEde rahastamisvahendi ja hiljuti ka programmi „Horisont 2020“ raames elluviidava Euroopa innovatsiooninõukogu katseprojekti kaudu. VKEde rahastamisvahendiga seotud töömeetodite ja kogemuste põhjal tuleks ühtse turu programmist toetada ka VKEde tegevuse laiendamist, et täiendada uut Euroopa innovatsiooninõukogu, mille kaudu toetatakse programmist „Euroopa horisont“ peamiselt murrangulist innovatsiooni. Meetmed, mida käesolevas programmis võetakse VKEde laiendamiseks, peaksid näiteks aitama VKEdel laieneda turuleviimise, rahvusvahelistumise ja turupõhiste võimaluste abil.</w:t>
            </w:r>
          </w:p>
        </w:tc>
      </w:tr>
    </w:tbl>
    <w:p w:rsidR="001C700C" w:rsidRPr="009639F7" w:rsidRDefault="001C700C" w:rsidP="001C700C">
      <w:pPr>
        <w:rPr>
          <w:szCs w:val="24"/>
        </w:rPr>
      </w:pPr>
    </w:p>
    <w:p w:rsidR="001C700C" w:rsidRPr="009639F7" w:rsidRDefault="001C700C" w:rsidP="001C700C">
      <w:pPr>
        <w:pStyle w:val="AMNumberTabs"/>
      </w:pPr>
      <w:r w:rsidRPr="009639F7">
        <w:t>Muudatusettepanek</w:t>
      </w:r>
      <w:r w:rsidRPr="009639F7">
        <w:tab/>
        <w:t>34</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29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(29)</w:t>
            </w:r>
            <w:r w:rsidRPr="009639F7">
              <w:tab/>
              <w:t xml:space="preserve">Loovus ja innovatsioon on liidu tööstuse väärtusahelate konkurentsivõime seisukohast väga olulised. Need kiirendavad </w:t>
            </w:r>
            <w:r w:rsidRPr="009639F7">
              <w:rPr>
                <w:b/>
                <w:i/>
              </w:rPr>
              <w:t>tööstuse</w:t>
            </w:r>
            <w:r w:rsidRPr="009639F7">
              <w:t xml:space="preserve"> moderniseerimist ja aitavad kaasa aruka ja kaasava jätkusuutliku majanduskasvu saavutamisele. VKEd on aga loovuse ja innovatsiooni kasutamises maha jäänud. Programm peaks seega toetama loomepõhise innovatsiooniga seotud sihipäraseid meetmeid, võrgustikke ja partnerlusi kogu tööstuse väärtusahelas.</w:t>
            </w:r>
          </w:p>
        </w:tc>
        <w:tc>
          <w:tcPr>
            <w:tcW w:w="4876" w:type="dxa"/>
            <w:hideMark/>
          </w:tcPr>
          <w:p w:rsidR="001C700C" w:rsidRPr="009639F7" w:rsidRDefault="001C700C" w:rsidP="00464712">
            <w:pPr>
              <w:pStyle w:val="Normal6"/>
              <w:rPr>
                <w:szCs w:val="24"/>
              </w:rPr>
            </w:pPr>
            <w:r w:rsidRPr="009639F7">
              <w:t>(29)</w:t>
            </w:r>
            <w:r w:rsidRPr="009639F7">
              <w:tab/>
              <w:t>Loovus ja innovatsioon</w:t>
            </w:r>
            <w:r w:rsidRPr="009639F7">
              <w:rPr>
                <w:b/>
                <w:i/>
              </w:rPr>
              <w:t>, tehnoloogilised ümberkorraldused ja töökorralduse muutmine ning säästvam tootmisprotsess, eelkõige ressursi- ja energiatõhusus,</w:t>
            </w:r>
            <w:r w:rsidRPr="009639F7">
              <w:t xml:space="preserve"> on liidu tööstuse väärtusahelate konkurentsivõime seisukohast väga olulised. Need kiirendavad </w:t>
            </w:r>
            <w:r w:rsidRPr="009639F7">
              <w:rPr>
                <w:b/>
                <w:i/>
              </w:rPr>
              <w:t>ettevõtlus- ja tööstussektori</w:t>
            </w:r>
            <w:r w:rsidRPr="009639F7">
              <w:t xml:space="preserve"> moderniseerimist ja aitavad kaasa aruka ja kaasava jätkusuutliku majanduskasvu saavutamisele. VKEd on aga loovuse ja innovatsiooni kasutamises maha jäänud. Programm peaks seega toetama loomepõhise innovatsiooniga seotud sihipäraseid meetmeid, võrgustikke ja partnerlusi kogu tööstuse väärtusahelas.</w:t>
            </w:r>
          </w:p>
        </w:tc>
      </w:tr>
    </w:tbl>
    <w:p w:rsidR="001C700C" w:rsidRPr="009639F7" w:rsidRDefault="001C700C" w:rsidP="001C700C">
      <w:pPr>
        <w:rPr>
          <w:szCs w:val="24"/>
        </w:rPr>
      </w:pPr>
    </w:p>
    <w:p w:rsidR="001C700C" w:rsidRPr="009639F7" w:rsidRDefault="001C700C" w:rsidP="001C700C">
      <w:pPr>
        <w:pStyle w:val="AMNumberTabs"/>
      </w:pPr>
      <w:r w:rsidRPr="009639F7">
        <w:t>Muudatusettepanek</w:t>
      </w:r>
      <w:r w:rsidRPr="009639F7">
        <w:tab/>
      </w:r>
      <w:r w:rsidRPr="009639F7">
        <w:tab/>
        <w:t>35</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t>Põhjendus 29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464712" w:rsidP="00464712">
            <w:pPr>
              <w:pStyle w:val="Normal6"/>
              <w:rPr>
                <w:szCs w:val="24"/>
              </w:rPr>
            </w:pPr>
            <w:r w:rsidRPr="009639F7">
              <w:rPr>
                <w:b/>
                <w:i/>
              </w:rPr>
              <w:t>(29</w:t>
            </w:r>
            <w:r w:rsidR="001C700C" w:rsidRPr="009639F7">
              <w:rPr>
                <w:b/>
                <w:i/>
              </w:rPr>
              <w:t>a)</w:t>
            </w:r>
            <w:r w:rsidR="001C700C" w:rsidRPr="009639F7">
              <w:rPr>
                <w:b/>
                <w:i/>
              </w:rPr>
              <w:tab/>
              <w:t>Programmi „Horisont 2020“ VKEde rahastamisvahend on olnud ettevõtjate jaoks äärmiselt edukas nii esimese kui ka teise etapi toetuste puhul nende uue äriidee edendamisel ning prototüübi katsetamisel ja arendamisel. Kuna valikuprotsess on juba väga range, ei ole endiselt võimalik piiratud vahendite tõttu kõiki häid projekte rahastada. Väikeste ja Keskmise Suurusega Ettevõtjate Rakendusameti (EASME) raames on rakendamine toimunud väga tõhusalt. Kuigi kõnealune programm on keskendunud kõrgtehnoloogilistele projektidele, tuleks selle metoodikat laiendada iga liiki kasvavatele VKEdele.</w:t>
            </w:r>
          </w:p>
        </w:tc>
      </w:tr>
    </w:tbl>
    <w:p w:rsidR="001C700C" w:rsidRPr="009639F7" w:rsidRDefault="001C700C" w:rsidP="001C700C">
      <w:pPr>
        <w:rPr>
          <w:szCs w:val="24"/>
        </w:rPr>
      </w:pPr>
    </w:p>
    <w:p w:rsidR="001C700C" w:rsidRPr="009639F7" w:rsidRDefault="001C700C" w:rsidP="001C700C">
      <w:pPr>
        <w:pStyle w:val="AMNumberTabs"/>
      </w:pPr>
      <w:r w:rsidRPr="009639F7">
        <w:t>Muudatusettepanek</w:t>
      </w:r>
      <w:r w:rsidRPr="009639F7">
        <w:tab/>
      </w:r>
      <w:r w:rsidRPr="009639F7">
        <w:tab/>
        <w:t>36</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lastRenderedPageBreak/>
        <w:t>Põhjendus 29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(29b)</w:t>
            </w:r>
            <w:r w:rsidRPr="009639F7">
              <w:rPr>
                <w:b/>
                <w:i/>
              </w:rPr>
              <w:tab/>
              <w:t>Peale selle tuleks VKEdele suunatud meetmetes keskenduda sektoritele, kus on olnud suur majanduskasv ja suured sotsiaalsed võimalused ning kus on suur VKEde osakaal. Üks omanäoline sektor liidu majanduses, mis annab liidu SKPsse suure panuse ja kus tegutsevad peamiselt VKEd, on turism. Liit peaks jätkama selle sektori eripära toetavate meetmete elluviimist ja neid tugevdama.</w:t>
            </w:r>
          </w:p>
        </w:tc>
      </w:tr>
    </w:tbl>
    <w:p w:rsidR="001C700C" w:rsidRPr="009639F7" w:rsidRDefault="001C700C" w:rsidP="001C700C">
      <w:pPr>
        <w:pStyle w:val="JustificationTitle"/>
      </w:pPr>
      <w:r w:rsidRPr="009639F7">
        <w:t>Selgitus</w:t>
      </w:r>
    </w:p>
    <w:p w:rsidR="001C700C" w:rsidRPr="009639F7" w:rsidRDefault="001C700C" w:rsidP="001C700C">
      <w:pPr>
        <w:pStyle w:val="Normal12Italic"/>
      </w:pPr>
      <w:r w:rsidRPr="009639F7">
        <w:t>Programm peaks keskenduma turismisektorile, arvestades viimase tähtsust ELile.</w:t>
      </w:r>
    </w:p>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37</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30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(30)</w:t>
            </w:r>
            <w:r w:rsidRPr="009639F7">
              <w:tab/>
              <w:t>Euroopa standarditel on siseturul väga oluline roll. Standardid on ettevõtete, eriti VKEde konkurentsivõime seisukohalt üliolulised. Standardid on ka liidu õigusakte ja poliitikat toetav tähtis abivahend mitmes olulises valdkonnas, nagu energeetika, kliimamuutused, info- ja kommunikatsioonitehnoloogia, ressursside säästev kasutamine, innovatsioon, tooteohutus, tarbijakaitse, tööohutus ja töötingimused ning vananev elanikkond, andes seega positiivse panuse ühiskonnale tervikuna.</w:t>
            </w:r>
          </w:p>
        </w:tc>
        <w:tc>
          <w:tcPr>
            <w:tcW w:w="4876" w:type="dxa"/>
            <w:hideMark/>
          </w:tcPr>
          <w:p w:rsidR="001C700C" w:rsidRPr="009639F7" w:rsidRDefault="001C700C" w:rsidP="00464712">
            <w:pPr>
              <w:pStyle w:val="Normal6"/>
              <w:rPr>
                <w:szCs w:val="24"/>
              </w:rPr>
            </w:pPr>
            <w:r w:rsidRPr="009639F7">
              <w:t>(30)</w:t>
            </w:r>
            <w:r w:rsidRPr="009639F7">
              <w:tab/>
              <w:t>Euroopa standarditel on siseturul väga oluline roll. Standardid on ettevõtete, eriti VKEde konkurentsivõime seisukohalt üliolulised. Standardid on ka liidu õigusakte ja poliitikat toetav tähtis abivahend mitmes olulises valdkonnas, nagu energeetika</w:t>
            </w:r>
            <w:r w:rsidRPr="009639F7">
              <w:rPr>
                <w:b/>
                <w:i/>
              </w:rPr>
              <w:t xml:space="preserve"> ümberkujundamine</w:t>
            </w:r>
            <w:r w:rsidRPr="009639F7">
              <w:t>, kliimamuutused</w:t>
            </w:r>
            <w:r w:rsidRPr="009639F7">
              <w:rPr>
                <w:b/>
                <w:i/>
              </w:rPr>
              <w:t>, keskkonnakaitse</w:t>
            </w:r>
            <w:r w:rsidRPr="009639F7">
              <w:t>, info- ja kommunikatsioonitehnoloogia, ressursside säästev kasutamine</w:t>
            </w:r>
            <w:r w:rsidRPr="009639F7">
              <w:rPr>
                <w:b/>
                <w:i/>
              </w:rPr>
              <w:t xml:space="preserve"> ja ringlussevõtt</w:t>
            </w:r>
            <w:r w:rsidRPr="009639F7">
              <w:t xml:space="preserve">, innovatsioon, tooteohutus, tarbijakaitse, tööohutus ja töötingimused ning vananev elanikkond, andes seega positiivse panuse ühiskonnale tervikuna. </w:t>
            </w:r>
            <w:r w:rsidRPr="009639F7">
              <w:rPr>
                <w:b/>
                <w:i/>
              </w:rPr>
              <w:t>Kogemused on aga näidanud, et standardite väljatöötamise kiirust ja õigeaegsust tuleb parandada ning on vaja teha jõupingutusi, et paremini hõlmata kõiki asjaomaseid sidusrühmi, sh neid, kes esindavad tarbijaid.</w:t>
            </w:r>
          </w:p>
        </w:tc>
      </w:tr>
    </w:tbl>
    <w:p w:rsidR="001C700C" w:rsidRPr="009639F7" w:rsidRDefault="001C700C" w:rsidP="001C700C"/>
    <w:p w:rsidR="001C700C" w:rsidRPr="009639F7" w:rsidRDefault="001C700C" w:rsidP="001C700C">
      <w:pPr>
        <w:pStyle w:val="AMNumberTabs"/>
      </w:pPr>
      <w:r w:rsidRPr="009639F7">
        <w:lastRenderedPageBreak/>
        <w:t>Muudatusettepanek</w:t>
      </w:r>
      <w:r w:rsidRPr="009639F7">
        <w:tab/>
      </w:r>
      <w:r w:rsidRPr="009639F7">
        <w:tab/>
        <w:t>38</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t>Põhjendus 32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(32)</w:t>
            </w:r>
            <w:r w:rsidRPr="009639F7">
              <w:tab/>
              <w:t xml:space="preserve">Hästi toimiv ühine finantsaruandluse raamistik on esmatähtis siseturu jaoks ning </w:t>
            </w:r>
            <w:r w:rsidRPr="009639F7">
              <w:rPr>
                <w:b/>
                <w:i/>
              </w:rPr>
              <w:t>kapitaliturgude</w:t>
            </w:r>
            <w:r w:rsidRPr="009639F7">
              <w:t xml:space="preserve"> tulemuslikuks toimimiseks ja finantsteenuste integreeritud turu saavutamiseks kapitaliturgude liidu kontekstis.</w:t>
            </w:r>
          </w:p>
        </w:tc>
        <w:tc>
          <w:tcPr>
            <w:tcW w:w="4876" w:type="dxa"/>
            <w:hideMark/>
          </w:tcPr>
          <w:p w:rsidR="001C700C" w:rsidRPr="009639F7" w:rsidRDefault="001C700C" w:rsidP="00464712">
            <w:pPr>
              <w:pStyle w:val="Normal6"/>
              <w:rPr>
                <w:szCs w:val="24"/>
              </w:rPr>
            </w:pPr>
            <w:r w:rsidRPr="009639F7">
              <w:t>(32)</w:t>
            </w:r>
            <w:r w:rsidRPr="009639F7">
              <w:tab/>
              <w:t xml:space="preserve">Hästi toimiv ühine finantsaruandluse raamistik on esmatähtis siseturu jaoks ning </w:t>
            </w:r>
            <w:r w:rsidRPr="009639F7">
              <w:rPr>
                <w:b/>
                <w:i/>
              </w:rPr>
              <w:t>finantsturgude</w:t>
            </w:r>
            <w:r w:rsidRPr="009639F7">
              <w:t xml:space="preserve"> tulemuslikuks toimimiseks ja finantsteenuste integreeritud turu saavutamiseks</w:t>
            </w:r>
            <w:r w:rsidRPr="009639F7">
              <w:rPr>
                <w:b/>
                <w:i/>
              </w:rPr>
              <w:t xml:space="preserve"> pangandusliidu ja</w:t>
            </w:r>
            <w:r w:rsidRPr="009639F7">
              <w:t xml:space="preserve"> kapitaliturgude liidu kontekstis.</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39</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36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hRule="exac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tcPr>
          <w:p w:rsidR="001C700C" w:rsidRPr="009639F7" w:rsidRDefault="001C700C" w:rsidP="00464712">
            <w:pPr>
              <w:pStyle w:val="ColumnHeading"/>
            </w:pPr>
            <w:r w:rsidRPr="009639F7">
              <w:t>Komisjoni ettepanek</w:t>
            </w:r>
          </w:p>
        </w:tc>
        <w:tc>
          <w:tcPr>
            <w:tcW w:w="4876" w:type="dxa"/>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r w:rsidRPr="009639F7">
              <w:t>(36)</w:t>
            </w:r>
            <w:r w:rsidRPr="009639F7">
              <w:tab/>
              <w:t>Liit aitab kaasa tarbijakaitse kõrge taseme tagamisele ning tarbijatele suurema mõjuvõimu ja siseturul keskse koha andmisele liikmesriikide poliitika toetamise ja täiendamise teel, püüdes tagada, et kodanikud saavad tarbijatena täielikult osa siseturu hüvedest ning nende ohutus, õiguslikud ning majandushuvid on seejuures nõuetekohaselt kaitstud konkreetsete meetmete abil. Samuti peab liit tagama, et tarbija- ja tooteohutusalased õigusaktid oleksid kohapeal nõuetekohaselt ja võrdselt täidetud ning et ettevõtetele oleks siseturul tagatud võrdsed võimalused ja aus konkurents. Lisaks sellele on vaja suurendada tarbijate mõjuvõimu, neid julgustada ja abistada jätkusuutlike valikute tegemisel, toetades seega kestlikku energia- ja ressursitõhusat ringmajandust.</w:t>
            </w:r>
          </w:p>
        </w:tc>
        <w:tc>
          <w:tcPr>
            <w:tcW w:w="4876" w:type="dxa"/>
          </w:tcPr>
          <w:p w:rsidR="001C700C" w:rsidRPr="009639F7" w:rsidRDefault="001C700C" w:rsidP="00464712">
            <w:pPr>
              <w:pStyle w:val="Normal6"/>
            </w:pPr>
            <w:r w:rsidRPr="009639F7">
              <w:t>(36)</w:t>
            </w:r>
            <w:r w:rsidRPr="009639F7">
              <w:tab/>
              <w:t xml:space="preserve">Liit aitab kaasa tarbijakaitse kõrge taseme tagamisele ning tarbijatele suurema mõjuvõimu ja siseturul keskse koha andmisele liikmesriikide poliitika toetamise ja täiendamise teel, püüdes tagada, et kodanikud saavad tarbijatena täielikult osa siseturu hüvedest ning nende ohutus, õiguslikud ning majandushuvid on seejuures nõuetekohaselt kaitstud konkreetsete meetmete abil. Samuti peab liit tagama, et tarbija- ja tooteohutusalased õigusaktid oleksid kohapeal nõuetekohaselt ja võrdselt täidetud ning et ettevõtetele oleks siseturul tagatud võrdsed võimalused ja aus konkurents. Lisaks sellele on vaja suurendada tarbijate mõjuvõimu, neid julgustada ja abistada jätkusuutlike </w:t>
            </w:r>
            <w:r w:rsidRPr="009639F7">
              <w:rPr>
                <w:b/>
                <w:i/>
              </w:rPr>
              <w:t xml:space="preserve">ja teadlike </w:t>
            </w:r>
            <w:r w:rsidRPr="009639F7">
              <w:t>valikute tegemisel, toetades seega kestlikku energia- ja ressursitõhusat ringmajandust.</w:t>
            </w:r>
          </w:p>
        </w:tc>
      </w:tr>
    </w:tbl>
    <w:p w:rsidR="001C700C" w:rsidRPr="009639F7" w:rsidRDefault="001C700C" w:rsidP="001C700C"/>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40</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37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(37)</w:t>
            </w:r>
            <w:r w:rsidRPr="009639F7">
              <w:tab/>
              <w:t xml:space="preserve">Programmi eesmärk peaks olema suurendada tarbijate, ettevõtete, kodanikuühiskonna ja ametiasutuste teadlikkust liidu tarbija- ja ohutusalastest õigusaktidest ning anda tarbijatele ja nende esindusorganisatsioonidele riiklikul ja liidu tasandil rohkem võimalusi, toetades Euroopa Tarbijaliitude Ametit (BEUC), mis on kõigis asjakohastes liidu poliitikavaldkondades tarbijate huve esindav pikaajaline ja tunnustatud vabaühendus, ning tarbijate standardimises osalemise koordineerimise Euroopa ühingut (ANEC), mis esindab tarbijate huve standardimisküsimustes. Seda tehes tuleks erilist tähelepanu pöörata uutele turunõuetele, mis on seotud säästva tarbimise </w:t>
            </w:r>
            <w:r w:rsidRPr="009639F7">
              <w:rPr>
                <w:b/>
                <w:i/>
              </w:rPr>
              <w:t>edendamise ning</w:t>
            </w:r>
            <w:r w:rsidRPr="009639F7">
              <w:t xml:space="preserve"> haavatavuse ennetamisega, samuti majanduse digiteerimisest või uute tarbimisharjumuste ja ärimudelite arengust</w:t>
            </w:r>
            <w:r w:rsidRPr="009639F7">
              <w:rPr>
                <w:b/>
                <w:i/>
              </w:rPr>
              <w:t xml:space="preserve"> tulenevatele probleemidele</w:t>
            </w:r>
            <w:r w:rsidRPr="009639F7">
              <w:t xml:space="preserve">. </w:t>
            </w:r>
            <w:r w:rsidRPr="009639F7">
              <w:rPr>
                <w:b/>
                <w:i/>
              </w:rPr>
              <w:t>Programm peaks toetama</w:t>
            </w:r>
            <w:r w:rsidRPr="009639F7">
              <w:t xml:space="preserve"> asjakohase teabe väljatöötamist turgude, </w:t>
            </w:r>
            <w:r w:rsidRPr="009639F7">
              <w:rPr>
                <w:b/>
                <w:i/>
              </w:rPr>
              <w:t>poliitiliste probleemide</w:t>
            </w:r>
            <w:r w:rsidRPr="009639F7">
              <w:t xml:space="preserve">, </w:t>
            </w:r>
            <w:r w:rsidRPr="009639F7">
              <w:rPr>
                <w:b/>
                <w:i/>
              </w:rPr>
              <w:t>esilekerkivate küsimuste</w:t>
            </w:r>
            <w:r w:rsidRPr="009639F7">
              <w:t xml:space="preserve"> ja </w:t>
            </w:r>
            <w:r w:rsidRPr="009639F7">
              <w:rPr>
                <w:b/>
                <w:i/>
              </w:rPr>
              <w:t>käitumisviiside kohta</w:t>
            </w:r>
            <w:r w:rsidRPr="009639F7">
              <w:t xml:space="preserve"> ning liidu tarbijate tulemustabelite avaldamist.</w:t>
            </w:r>
          </w:p>
        </w:tc>
        <w:tc>
          <w:tcPr>
            <w:tcW w:w="4876" w:type="dxa"/>
            <w:hideMark/>
          </w:tcPr>
          <w:p w:rsidR="001C700C" w:rsidRPr="009639F7" w:rsidRDefault="001C700C" w:rsidP="00464712">
            <w:pPr>
              <w:pStyle w:val="Normal6"/>
              <w:rPr>
                <w:szCs w:val="24"/>
              </w:rPr>
            </w:pPr>
            <w:r w:rsidRPr="009639F7">
              <w:t>(37)</w:t>
            </w:r>
            <w:r w:rsidRPr="009639F7">
              <w:tab/>
              <w:t xml:space="preserve">Programmi eesmärk peaks olema suurendada tarbijate, ettevõtete, kodanikuühiskonna ja ametiasutuste teadlikkust liidu tarbija- ja ohutusalastest õigusaktidest ning anda tarbijatele ja nende esindusorganisatsioonidele riiklikul ja liidu tasandil rohkem võimalusi, toetades Euroopa Tarbijaliitude Ametit (BEUC), mis on kõigis asjakohastes liidu poliitikavaldkondades tarbijate huve esindav pikaajaline ja tunnustatud vabaühendus, ning tarbijate standardimises osalemise koordineerimise Euroopa ühingut (ANEC), mis esindab tarbijate huve standardimisküsimustes. Seda tehes tuleks erilist tähelepanu pöörata uutele turunõuetele, mis on seotud säästva tarbimise </w:t>
            </w:r>
            <w:r w:rsidRPr="009639F7">
              <w:rPr>
                <w:b/>
                <w:i/>
              </w:rPr>
              <w:t>edendamisega, pöörates erilist tähelepanu meetmetele, millega võideldakse toodete ettekavatsetud vananemise probleemi vastu,</w:t>
            </w:r>
            <w:r w:rsidRPr="009639F7">
              <w:t xml:space="preserve"> haavatavuse ennetamisega, samuti </w:t>
            </w:r>
            <w:r w:rsidRPr="009639F7">
              <w:rPr>
                <w:b/>
                <w:i/>
              </w:rPr>
              <w:t xml:space="preserve">probleemidele, mis on põhjustatud </w:t>
            </w:r>
            <w:r w:rsidRPr="009639F7">
              <w:t>majanduse digiteerimisest</w:t>
            </w:r>
            <w:r w:rsidRPr="009639F7">
              <w:rPr>
                <w:b/>
                <w:i/>
              </w:rPr>
              <w:t>, seotud toodetest, asjade internetist, tehisintellektist ja algoritmide kasutusest</w:t>
            </w:r>
            <w:r w:rsidRPr="009639F7">
              <w:t xml:space="preserve"> või uute tarbimisharjumuste ja ärimudelite arengust</w:t>
            </w:r>
            <w:r w:rsidRPr="009639F7">
              <w:rPr>
                <w:b/>
                <w:i/>
              </w:rPr>
              <w:t>, näiteks koostöömajandusest ja sotsiaalsest ettevõtlusest</w:t>
            </w:r>
            <w:r w:rsidRPr="009639F7">
              <w:t xml:space="preserve">. </w:t>
            </w:r>
            <w:r w:rsidRPr="009639F7">
              <w:rPr>
                <w:b/>
                <w:i/>
              </w:rPr>
              <w:t>Programmiga tuleks toetada</w:t>
            </w:r>
            <w:r w:rsidRPr="009639F7">
              <w:t xml:space="preserve"> asjakohase teabe väljatöötamist turgude</w:t>
            </w:r>
            <w:r w:rsidRPr="009639F7">
              <w:rPr>
                <w:b/>
                <w:i/>
              </w:rPr>
              <w:t xml:space="preserve"> kohta</w:t>
            </w:r>
            <w:r w:rsidRPr="009639F7">
              <w:t xml:space="preserve">, </w:t>
            </w:r>
            <w:r w:rsidRPr="009639F7">
              <w:rPr>
                <w:b/>
                <w:i/>
              </w:rPr>
              <w:t>sealhulgas meetmeid</w:t>
            </w:r>
            <w:r w:rsidRPr="009639F7">
              <w:t xml:space="preserve">, </w:t>
            </w:r>
            <w:r w:rsidRPr="009639F7">
              <w:rPr>
                <w:b/>
                <w:i/>
              </w:rPr>
              <w:t>mille eesmärk on parandada toodete jälgitavust kogu tarneahela ulatuses, kogu liitu hõlmavaid kvaliteedistandardeid</w:t>
            </w:r>
            <w:r w:rsidRPr="009639F7">
              <w:t xml:space="preserve"> ja </w:t>
            </w:r>
            <w:r w:rsidRPr="009639F7">
              <w:rPr>
                <w:b/>
                <w:i/>
              </w:rPr>
              <w:t>toodete kvaliteedierinevuste vähendamist, poliitilisi probleeme, esilekerkivaid küsimusi ja käitumisviise</w:t>
            </w:r>
            <w:r w:rsidRPr="009639F7">
              <w:t xml:space="preserve"> ning liidu tarbijate tulemustabelite avaldamist.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41</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38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(38)</w:t>
            </w:r>
            <w:r w:rsidRPr="009639F7">
              <w:tab/>
              <w:t>Programm peaks toetama riikide pädevaid asutusi, sealhulgas tooteohutuse järelevalve eest vastutavaid asutusi, kes teevad eelkõige koostööd ohtlikke tooteid käsitleva liidu kiire teabevahetuse süsteemi kaudu. Samuti peaks programm toetama Euroopa Parlamendi ja nõukogu direktiivi 2001/95/EÜ</w:t>
            </w:r>
            <w:r w:rsidRPr="009639F7">
              <w:rPr>
                <w:vertAlign w:val="superscript"/>
              </w:rPr>
              <w:t>58</w:t>
            </w:r>
            <w:r w:rsidRPr="009639F7">
              <w:t xml:space="preserve"> ja määruse (EÜ) nr 765/2008 nõuete täitmist seoses tarbijakaitse ja tooteohutuse, aga ka tarbijakaitsealase koostöö võrgustiku ning rahvusvahelise koostööga kolmandate riikide ja liidu asjaomaste ametiasutuste vahel. Lisaks peaks programm tagama, et </w:t>
            </w:r>
            <w:r w:rsidRPr="009639F7">
              <w:rPr>
                <w:b/>
                <w:i/>
              </w:rPr>
              <w:t>kõik tarbijad</w:t>
            </w:r>
            <w:r w:rsidRPr="009639F7">
              <w:t xml:space="preserve"> ja </w:t>
            </w:r>
            <w:r w:rsidRPr="009639F7">
              <w:rPr>
                <w:b/>
                <w:i/>
              </w:rPr>
              <w:t>kauplejad saaksid kasutada</w:t>
            </w:r>
            <w:r w:rsidRPr="009639F7">
              <w:t xml:space="preserve"> vaidluste </w:t>
            </w:r>
            <w:r w:rsidRPr="009639F7">
              <w:rPr>
                <w:b/>
                <w:i/>
              </w:rPr>
              <w:t>kohtuvälist lahendamist,</w:t>
            </w:r>
            <w:r w:rsidRPr="009639F7">
              <w:t xml:space="preserve"> vaidluste </w:t>
            </w:r>
            <w:r w:rsidRPr="009639F7">
              <w:rPr>
                <w:b/>
                <w:i/>
              </w:rPr>
              <w:t>internetipõhist lahendamist</w:t>
            </w:r>
            <w:r w:rsidRPr="009639F7">
              <w:t xml:space="preserve"> ning et nende käsutuses oleks teave</w:t>
            </w:r>
            <w:r w:rsidRPr="009639F7">
              <w:rPr>
                <w:b/>
                <w:i/>
              </w:rPr>
              <w:t xml:space="preserve"> õiguskaitsevõimaluste kohta</w:t>
            </w:r>
            <w:r w:rsidRPr="009639F7">
              <w:t>.</w:t>
            </w:r>
          </w:p>
        </w:tc>
        <w:tc>
          <w:tcPr>
            <w:tcW w:w="4876" w:type="dxa"/>
            <w:hideMark/>
          </w:tcPr>
          <w:p w:rsidR="001C700C" w:rsidRPr="009639F7" w:rsidRDefault="001C700C" w:rsidP="00464712">
            <w:pPr>
              <w:pStyle w:val="Normal6"/>
              <w:rPr>
                <w:szCs w:val="24"/>
              </w:rPr>
            </w:pPr>
            <w:r w:rsidRPr="009639F7">
              <w:t>(38)</w:t>
            </w:r>
            <w:r w:rsidRPr="009639F7">
              <w:tab/>
              <w:t>Programm peaks toetama riikide pädevaid asutusi, sealhulgas tooteohutuse järelevalve eest vastutavaid asutusi, kes teevad eelkõige koostööd ohtlikke tooteid käsitleva liidu kiire teabevahetuse süsteemi kaudu. Samuti peaks programm toetama Euroopa Parlamendi ja nõukogu direktiivi 2001/95/EÜ</w:t>
            </w:r>
            <w:r w:rsidRPr="009639F7">
              <w:rPr>
                <w:vertAlign w:val="superscript"/>
              </w:rPr>
              <w:t>58</w:t>
            </w:r>
            <w:r w:rsidRPr="009639F7">
              <w:t xml:space="preserve"> ja määruse (EÜ) nr 765/2008 nõuete täitmist seoses tarbijakaitse ja tooteohutuse, aga ka tarbijakaitsealase koostöö võrgustiku ning rahvusvahelise koostööga kolmandate riikide ja liidu asjaomaste ametiasutuste vahel. Lisaks peaks programm tagama, et </w:t>
            </w:r>
            <w:r w:rsidRPr="009639F7">
              <w:rPr>
                <w:b/>
                <w:i/>
              </w:rPr>
              <w:t>kõigil tarbijatel</w:t>
            </w:r>
            <w:r w:rsidRPr="009639F7">
              <w:t xml:space="preserve"> ja </w:t>
            </w:r>
            <w:r w:rsidRPr="009639F7">
              <w:rPr>
                <w:b/>
                <w:i/>
              </w:rPr>
              <w:t>kauplejatel oleks juurdepääs kvaliteetsele</w:t>
            </w:r>
            <w:r w:rsidRPr="009639F7">
              <w:t xml:space="preserve"> vaidluste </w:t>
            </w:r>
            <w:r w:rsidRPr="009639F7">
              <w:rPr>
                <w:b/>
                <w:i/>
              </w:rPr>
              <w:t>kohtuvälisele lahendamisele ja</w:t>
            </w:r>
            <w:r w:rsidRPr="009639F7">
              <w:t xml:space="preserve"> vaidluste </w:t>
            </w:r>
            <w:r w:rsidRPr="009639F7">
              <w:rPr>
                <w:b/>
                <w:i/>
              </w:rPr>
              <w:t>internetipõhisele lahendamisele</w:t>
            </w:r>
            <w:r w:rsidRPr="009639F7">
              <w:t xml:space="preserve"> ning et nende käsutuses oleks teave</w:t>
            </w:r>
            <w:r w:rsidRPr="009639F7">
              <w:rPr>
                <w:b/>
                <w:i/>
              </w:rPr>
              <w:t>, kuidas osaleda kahju hüvitamist taotlevates meetmetes võimalikult väikeste kuludega</w:t>
            </w:r>
            <w:r w:rsidRPr="009639F7">
              <w:t>.</w:t>
            </w:r>
          </w:p>
        </w:tc>
      </w:tr>
      <w:tr w:rsidR="001C700C" w:rsidRPr="009639F7" w:rsidTr="00464712">
        <w:trPr>
          <w:jc w:val="center"/>
        </w:trPr>
        <w:tc>
          <w:tcPr>
            <w:tcW w:w="4876" w:type="dxa"/>
            <w:hideMark/>
          </w:tcPr>
          <w:p w:rsidR="001C700C" w:rsidRPr="009639F7" w:rsidRDefault="001C700C" w:rsidP="00464712">
            <w:pPr>
              <w:pStyle w:val="Normal6"/>
            </w:pPr>
            <w:r w:rsidRPr="009639F7">
              <w:t>__________________</w:t>
            </w:r>
          </w:p>
        </w:tc>
        <w:tc>
          <w:tcPr>
            <w:tcW w:w="4876" w:type="dxa"/>
            <w:hideMark/>
          </w:tcPr>
          <w:p w:rsidR="001C700C" w:rsidRPr="009639F7" w:rsidRDefault="001C700C" w:rsidP="00464712">
            <w:pPr>
              <w:pStyle w:val="Normal6"/>
              <w:rPr>
                <w:szCs w:val="24"/>
              </w:rPr>
            </w:pPr>
            <w:r w:rsidRPr="009639F7">
              <w:t>__________________</w:t>
            </w:r>
          </w:p>
        </w:tc>
      </w:tr>
      <w:tr w:rsidR="001C700C" w:rsidRPr="009639F7" w:rsidTr="00464712">
        <w:trPr>
          <w:jc w:val="center"/>
        </w:trPr>
        <w:tc>
          <w:tcPr>
            <w:tcW w:w="4876" w:type="dxa"/>
            <w:hideMark/>
          </w:tcPr>
          <w:p w:rsidR="001C700C" w:rsidRPr="009639F7" w:rsidRDefault="001C700C" w:rsidP="00464712">
            <w:pPr>
              <w:pStyle w:val="Normal6"/>
            </w:pPr>
            <w:r w:rsidRPr="009639F7">
              <w:rPr>
                <w:vertAlign w:val="superscript"/>
              </w:rPr>
              <w:t>58</w:t>
            </w:r>
            <w:r w:rsidRPr="009639F7">
              <w:t xml:space="preserve"> Euroopa Parlamendi ja nõukogu 3. detsembri 2001. aasta direktiiv 2001/95/EÜ üldise tooteohutuse kohta (EÜT L 11, 15.1.2002, lk 4).</w:t>
            </w:r>
          </w:p>
        </w:tc>
        <w:tc>
          <w:tcPr>
            <w:tcW w:w="4876" w:type="dxa"/>
            <w:hideMark/>
          </w:tcPr>
          <w:p w:rsidR="001C700C" w:rsidRPr="009639F7" w:rsidRDefault="001C700C" w:rsidP="00464712">
            <w:pPr>
              <w:pStyle w:val="Normal6"/>
              <w:rPr>
                <w:szCs w:val="24"/>
              </w:rPr>
            </w:pPr>
            <w:r w:rsidRPr="009639F7">
              <w:rPr>
                <w:vertAlign w:val="superscript"/>
              </w:rPr>
              <w:t>58</w:t>
            </w:r>
            <w:r w:rsidRPr="009639F7">
              <w:t xml:space="preserve"> E</w:t>
            </w:r>
            <w:r w:rsidR="00464712" w:rsidRPr="009639F7">
              <w:t>uroopa Parlamendi ja nõukogu 3. </w:t>
            </w:r>
            <w:r w:rsidRPr="009639F7">
              <w:t>detsembri 2001. aasta direktiiv 2001/95/EÜ üldise tooteohutuse kohta (EÜT L 11, 15.1.2002, lk 4).</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42</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39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(39)</w:t>
            </w:r>
            <w:r w:rsidRPr="009639F7">
              <w:tab/>
            </w:r>
            <w:r w:rsidRPr="009639F7">
              <w:rPr>
                <w:b/>
                <w:i/>
              </w:rPr>
              <w:t>Euroopa</w:t>
            </w:r>
            <w:r w:rsidRPr="009639F7">
              <w:t xml:space="preserve"> tarbijakeskuste </w:t>
            </w:r>
            <w:r w:rsidRPr="009639F7">
              <w:rPr>
                <w:b/>
                <w:i/>
              </w:rPr>
              <w:t>võrgustik</w:t>
            </w:r>
            <w:r w:rsidRPr="009639F7">
              <w:t xml:space="preserve"> aitab kasu saada liidu tarbijaõigustest, kui tarbijad ostavad kas internetis või reisides piiriüleselt kaupu ja teenuseid siseturul ja EMPs. Seda kolmekümnest keskusest koosnevat võrgustikku rahastatakse ühiselt liidu tarbijakaitseprogrammidest ja oma rohkem kui kümne tegevusaasta jooksul on see tõestanud oma lisaväärtust tarbijate ja kauplejate usalduse suurendamisel siseturu vastu. Võrgustik menetleb aastas üle 100 </w:t>
            </w:r>
            <w:r w:rsidRPr="009639F7">
              <w:lastRenderedPageBreak/>
              <w:t>000 tarbijanõude ning jõuab ajakirjanduse ja veebipõhise teavitustegevuse kaudu miljonite kodanikeni. See on üks liidu kõige väärtuslikumatest kodanike abivõrgustikest ning enamikus selle keskustes on sisse seatud kontaktpunktid siseturu õigusaktide, näiteks Euroopa Parlamendi ja nõukogu direktiivi 2006/123/EÜ</w:t>
            </w:r>
            <w:r w:rsidRPr="009639F7">
              <w:rPr>
                <w:vertAlign w:val="superscript"/>
              </w:rPr>
              <w:t>59</w:t>
            </w:r>
            <w:r w:rsidRPr="009639F7">
              <w:t xml:space="preserve"> jaoks, ning selle tegevuse hinnangus rõhutatakse võrgustiku toimimise jätkamise tähtsust. Samuti kavatseb võrgustik välja töötada vastastikused kokkulepped kolmandata riikide sarnaste asutustega.</w:t>
            </w:r>
          </w:p>
        </w:tc>
        <w:tc>
          <w:tcPr>
            <w:tcW w:w="4876" w:type="dxa"/>
            <w:hideMark/>
          </w:tcPr>
          <w:p w:rsidR="001C700C" w:rsidRPr="009639F7" w:rsidRDefault="001C700C" w:rsidP="00464712">
            <w:pPr>
              <w:pStyle w:val="Normal6"/>
              <w:rPr>
                <w:szCs w:val="24"/>
              </w:rPr>
            </w:pPr>
            <w:r w:rsidRPr="009639F7">
              <w:lastRenderedPageBreak/>
              <w:t>(39)</w:t>
            </w:r>
            <w:r w:rsidRPr="009639F7">
              <w:tab/>
            </w:r>
            <w:r w:rsidRPr="009639F7">
              <w:rPr>
                <w:b/>
                <w:i/>
              </w:rPr>
              <w:t>Programm peaks ka toetama Euroopa</w:t>
            </w:r>
            <w:r w:rsidRPr="009639F7">
              <w:t xml:space="preserve"> tarbijakeskuste </w:t>
            </w:r>
            <w:r w:rsidRPr="009639F7">
              <w:rPr>
                <w:b/>
                <w:i/>
              </w:rPr>
              <w:t>võrgustikku, mis</w:t>
            </w:r>
            <w:r w:rsidRPr="009639F7">
              <w:t xml:space="preserve"> aitab kasu saada liidu tarbijaõigustest, kui tarbijad ostavad kas internetis või reisides piiriüleselt kaupu ja teenuseid siseturul ja EMPs. Seda kolmekümnest keskusest koosnevat võrgustikku rahastatakse ühiselt liidu tarbijakaitseprogrammidest ja oma rohkem kui kümne tegevusaasta jooksul on see tõestanud oma lisaväärtust tarbijate ja kauplejate usalduse suurendamisel siseturu </w:t>
            </w:r>
            <w:r w:rsidRPr="009639F7">
              <w:lastRenderedPageBreak/>
              <w:t>vastu. Võrgustik menetleb aastas üle 100 000 tarbijanõude ning jõuab ajakirjanduse ja veebipõhise teavitustegevuse kaudu miljonite kodanikeni. See on üks liidu kõige väärtuslikumatest kodanike abivõrgustikest ning enamikus selle keskustes on sisse seatud kontaktpunktid siseturu õigusaktide, näiteks Euroopa P</w:t>
            </w:r>
            <w:r w:rsidR="00464712" w:rsidRPr="009639F7">
              <w:t>arlamendi ja nõukogu direktiivi </w:t>
            </w:r>
            <w:r w:rsidRPr="009639F7">
              <w:t>2006/123/EÜ</w:t>
            </w:r>
            <w:r w:rsidRPr="009639F7">
              <w:rPr>
                <w:vertAlign w:val="superscript"/>
              </w:rPr>
              <w:t>59</w:t>
            </w:r>
            <w:r w:rsidRPr="009639F7">
              <w:t xml:space="preserve"> jaoks, ning selle tegevuse hinnangus rõhutatakse võrgustiku toimimise jätkamise tähtsust. </w:t>
            </w:r>
            <w:r w:rsidRPr="009639F7">
              <w:rPr>
                <w:b/>
                <w:i/>
              </w:rPr>
              <w:t>Euroopa tarbijakeskuste võrgustik võib olla ka oluline teabeallikas väljakutsete ja probleemide kohta, millega tarbijad puutuvad kokku kohalikul tasandil, mis on olulised liidu poliitika kujundamisel ja tarbijate huvide kaitsmisel. Seepärast peaks programm võimaldama luua ja edendada koostoimet tarbijate esindamisel kohalikul ja liidu tasandil, et tugevdada tarbijate huvide kaitset.</w:t>
            </w:r>
            <w:r w:rsidRPr="009639F7">
              <w:t xml:space="preserve"> Samuti kavatseb võrgustik välja töötada vastastikused kokkulepped kolmandata riikide sarnaste asutustega.</w:t>
            </w:r>
          </w:p>
        </w:tc>
      </w:tr>
      <w:tr w:rsidR="001C700C" w:rsidRPr="009639F7" w:rsidTr="00464712">
        <w:trPr>
          <w:jc w:val="center"/>
        </w:trPr>
        <w:tc>
          <w:tcPr>
            <w:tcW w:w="4876" w:type="dxa"/>
            <w:hideMark/>
          </w:tcPr>
          <w:p w:rsidR="001C700C" w:rsidRPr="009639F7" w:rsidRDefault="001C700C" w:rsidP="00464712">
            <w:pPr>
              <w:pStyle w:val="Normal6"/>
            </w:pPr>
            <w:r w:rsidRPr="009639F7">
              <w:lastRenderedPageBreak/>
              <w:t>__________________</w:t>
            </w:r>
          </w:p>
        </w:tc>
        <w:tc>
          <w:tcPr>
            <w:tcW w:w="4876" w:type="dxa"/>
            <w:hideMark/>
          </w:tcPr>
          <w:p w:rsidR="001C700C" w:rsidRPr="009639F7" w:rsidRDefault="001C700C" w:rsidP="00464712">
            <w:pPr>
              <w:pStyle w:val="Normal6"/>
              <w:rPr>
                <w:szCs w:val="24"/>
              </w:rPr>
            </w:pPr>
            <w:r w:rsidRPr="009639F7">
              <w:t>__________________</w:t>
            </w:r>
          </w:p>
        </w:tc>
      </w:tr>
      <w:tr w:rsidR="001C700C" w:rsidRPr="009639F7" w:rsidTr="00464712">
        <w:trPr>
          <w:jc w:val="center"/>
        </w:trPr>
        <w:tc>
          <w:tcPr>
            <w:tcW w:w="4876" w:type="dxa"/>
            <w:hideMark/>
          </w:tcPr>
          <w:p w:rsidR="001C700C" w:rsidRPr="009639F7" w:rsidRDefault="001C700C" w:rsidP="00464712">
            <w:pPr>
              <w:pStyle w:val="Normal6"/>
            </w:pPr>
            <w:r w:rsidRPr="009639F7">
              <w:rPr>
                <w:vertAlign w:val="superscript"/>
              </w:rPr>
              <w:t>59</w:t>
            </w:r>
            <w:r w:rsidRPr="009639F7">
              <w:t xml:space="preserve"> Euroopa Parlamendi ja nõukogu 12. detsembri 2006. aasta direktiiv 2006/123/EÜ teenuste kohta siseturul (EÜT L 376, 27.12.2006, lk 36).</w:t>
            </w:r>
          </w:p>
        </w:tc>
        <w:tc>
          <w:tcPr>
            <w:tcW w:w="4876" w:type="dxa"/>
            <w:hideMark/>
          </w:tcPr>
          <w:p w:rsidR="001C700C" w:rsidRPr="009639F7" w:rsidRDefault="001C700C" w:rsidP="00464712">
            <w:pPr>
              <w:pStyle w:val="Normal6"/>
              <w:rPr>
                <w:szCs w:val="24"/>
              </w:rPr>
            </w:pPr>
            <w:r w:rsidRPr="009639F7">
              <w:rPr>
                <w:vertAlign w:val="superscript"/>
              </w:rPr>
              <w:t>59</w:t>
            </w:r>
            <w:r w:rsidRPr="009639F7">
              <w:t xml:space="preserve"> Eu</w:t>
            </w:r>
            <w:r w:rsidR="00464712" w:rsidRPr="009639F7">
              <w:t>roopa Parlamendi ja nõukogu 12. detsembri 2006. aasta direktiiv </w:t>
            </w:r>
            <w:r w:rsidRPr="009639F7">
              <w:t>2006/123/EÜ teenuste kohta siseturul (EÜT L 376, 27.12.2006, lk</w:t>
            </w:r>
            <w:r w:rsidR="00464712" w:rsidRPr="009639F7">
              <w:t> </w:t>
            </w:r>
            <w:r w:rsidRPr="009639F7">
              <w:t>36).</w:t>
            </w:r>
          </w:p>
        </w:tc>
      </w:tr>
    </w:tbl>
    <w:p w:rsidR="001C700C" w:rsidRPr="009639F7" w:rsidRDefault="001C700C" w:rsidP="001C700C"/>
    <w:p w:rsidR="001C700C" w:rsidRPr="009639F7" w:rsidRDefault="001C700C" w:rsidP="001C700C">
      <w:pPr>
        <w:pStyle w:val="AMNumberTabs"/>
      </w:pPr>
      <w:r w:rsidRPr="009639F7">
        <w:t>Muudatusettepanek</w:t>
      </w:r>
      <w:r w:rsidRPr="009639F7">
        <w:tab/>
        <w:t>43</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t>Põhjendus 40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(40)</w:t>
            </w:r>
            <w:r w:rsidRPr="009639F7">
              <w:tab/>
              <w:t xml:space="preserve">Mais 2017 viis komisjon läbi liidu tarbija- ja turustamisõiguse toimivuskontrolli, mis tõi esile vajaduse tagada parem eeskirjade täitmine ja lihtsustada kahju hüvitamist tarbijatele, kes on kannatanud kahju tarbijaõiguse rikkumise tõttu. Selle tulemusena võttis komisjon aprillis 2018 vastu „Uue kokkuleppe tarbijatega“, et tagada muu hulgas tarbijate võrdne kohtlemine kõikjal </w:t>
            </w:r>
            <w:r w:rsidRPr="009639F7">
              <w:lastRenderedPageBreak/>
              <w:t xml:space="preserve">siseturul </w:t>
            </w:r>
            <w:r w:rsidRPr="009639F7">
              <w:rPr>
                <w:b/>
                <w:i/>
              </w:rPr>
              <w:t>kahetiste kvaliteedistandardite tingimustes</w:t>
            </w:r>
            <w:r w:rsidRPr="009639F7">
              <w:t>, liikmesriikide parem nõuete täitmise suutlikkus, tõhusam tooteohutus, parem rahvusvaheline koostöö ja uued võimalused õiguste kaitseks, eelkõige pädevate üksuste esindushagide kaudu. Programm peaks toetama tarbijapoliitikat teadlikkuse suurendamise ja teadmiste kogumise, tarbijaorganisatsioonide ja tarbijakaitseasutuste suutlikkuse suurendamise ja parimate tavade vahetamise, koostöövõrkude loomise ja turuteabe väljatöötamise, tarbijate jaoks siseturu toimimise tõendusbaasi tugevdamise, aga ka IT-süsteemide ja kommunikatsioonivahendite kaudu.</w:t>
            </w:r>
          </w:p>
        </w:tc>
        <w:tc>
          <w:tcPr>
            <w:tcW w:w="4876" w:type="dxa"/>
            <w:hideMark/>
          </w:tcPr>
          <w:p w:rsidR="001C700C" w:rsidRPr="009639F7" w:rsidRDefault="001C700C" w:rsidP="00464712">
            <w:pPr>
              <w:pStyle w:val="Normal6"/>
              <w:rPr>
                <w:szCs w:val="24"/>
              </w:rPr>
            </w:pPr>
            <w:r w:rsidRPr="009639F7">
              <w:lastRenderedPageBreak/>
              <w:t>(40)</w:t>
            </w:r>
            <w:r w:rsidRPr="009639F7">
              <w:tab/>
              <w:t xml:space="preserve">Mais 2017 viis komisjon läbi liidu tarbija- ja turustamisõiguse toimivuskontrolli, mis tõi esile vajaduse tagada parem eeskirjade täitmine ja lihtsustada kahju hüvitamist tarbijatele, kes on kannatanud kahju tarbijaõiguse rikkumise tõttu. Selle tulemusena võttis komisjon aprillis 2018 vastu „Uue kokkuleppe tarbijatega“, et tagada muu hulgas tarbijate võrdne kohtlemine kõikjal </w:t>
            </w:r>
            <w:r w:rsidRPr="009639F7">
              <w:lastRenderedPageBreak/>
              <w:t xml:space="preserve">siseturul </w:t>
            </w:r>
            <w:r w:rsidRPr="009639F7">
              <w:rPr>
                <w:b/>
                <w:i/>
              </w:rPr>
              <w:t>seoses piiriüleste juhtumitega, nagu nõuetele mittevastavate toodete müümine mootorsõidukite sektoris, toodete kahetised kvaliteedistandardid või paljude lendude tühistamisest tingitud ärasõiduvõimaluseta reisijate probleemid</w:t>
            </w:r>
            <w:r w:rsidRPr="009639F7">
              <w:t>, liikmesriikide parem nõuete täitmise suutlikkus, tõhusam tooteohutus, parem rahvusvaheline koostöö ja uued võimalused õiguste kaitseks, eelkõige pädevate üksuste esindushagide kaudu. Programm peaks toetama tarbijapoliitikat teadlikkuse suurendamise ja teadmiste kogumise, tarbijaorganisatsioonide ja tarbijakaitseasutuste suutlikkuse suurendamise ja parimate tavade vahetamise, koostöövõrkude loomise ja turuteabe väljatöötamise, tarbijate jaoks siseturu toimimise tõendusbaasi tugevdamise, aga ka IT-süsteemide ja kommunikatsioonivahendite kaudu.</w:t>
            </w:r>
          </w:p>
        </w:tc>
      </w:tr>
    </w:tbl>
    <w:p w:rsidR="001C700C" w:rsidRPr="009639F7" w:rsidRDefault="001C700C" w:rsidP="001C700C">
      <w:pPr>
        <w:pStyle w:val="AMNumberTabs"/>
      </w:pPr>
      <w:r w:rsidRPr="009639F7">
        <w:lastRenderedPageBreak/>
        <w:t>Muudatusettepanek</w:t>
      </w:r>
      <w:r w:rsidRPr="009639F7">
        <w:tab/>
      </w:r>
      <w:r w:rsidRPr="009639F7">
        <w:tab/>
        <w:t>44</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t>Põhjendus 41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(41)</w:t>
            </w:r>
            <w:r w:rsidRPr="009639F7">
              <w:tab/>
              <w:t xml:space="preserve">Kodanikke mõjutab eelkõige </w:t>
            </w:r>
            <w:r w:rsidRPr="009639F7">
              <w:rPr>
                <w:b/>
                <w:i/>
              </w:rPr>
              <w:t>finantsteenuste turgude toimimine</w:t>
            </w:r>
            <w:r w:rsidRPr="009639F7">
              <w:t xml:space="preserve">. Finantsteenused on siseturu põhikomponent ning nõuavad reguleerimist ja järelevalvet käsitlevat kindlat raamistikku, mis üksnes ei taga finantsstabiilsuse ja jätkusuutliku majanduse, vaid pakub kõrgetasemelist kaitset ka tarbijatele ja muudele finantsteenuste lõppkasutajatele, sealhulgas jaeinvestoritele, hoiustajatele, kindlustusvõtjatele, pensionifondi liikmetele ja neist tulu saajatele, üksikaktsionäridele, laenuvõtjatele ja VKEdele. </w:t>
            </w:r>
            <w:r w:rsidRPr="009639F7">
              <w:rPr>
                <w:b/>
                <w:i/>
              </w:rPr>
              <w:t>Oluline on</w:t>
            </w:r>
            <w:r w:rsidRPr="009639F7">
              <w:t xml:space="preserve"> suurendada nende võimet osaleda </w:t>
            </w:r>
            <w:r w:rsidRPr="009639F7">
              <w:rPr>
                <w:b/>
                <w:i/>
              </w:rPr>
              <w:t xml:space="preserve">finantssektori </w:t>
            </w:r>
            <w:r w:rsidRPr="009639F7">
              <w:t>poliitikakujundamises.</w:t>
            </w:r>
          </w:p>
        </w:tc>
        <w:tc>
          <w:tcPr>
            <w:tcW w:w="4876" w:type="dxa"/>
            <w:hideMark/>
          </w:tcPr>
          <w:p w:rsidR="001C700C" w:rsidRPr="009639F7" w:rsidRDefault="001C700C" w:rsidP="00464712">
            <w:pPr>
              <w:pStyle w:val="Normal6"/>
              <w:rPr>
                <w:szCs w:val="24"/>
              </w:rPr>
            </w:pPr>
            <w:r w:rsidRPr="009639F7">
              <w:t>(41)</w:t>
            </w:r>
            <w:r w:rsidRPr="009639F7">
              <w:tab/>
              <w:t xml:space="preserve">Kodanikke mõjutab eelkõige </w:t>
            </w:r>
            <w:r w:rsidRPr="009639F7">
              <w:rPr>
                <w:b/>
                <w:i/>
              </w:rPr>
              <w:t>finantsturgude toimimine ja seetõttu tuleks neid asjakohastest õigustest, riskidest ja kasust rohkem teavitada</w:t>
            </w:r>
            <w:r w:rsidRPr="009639F7">
              <w:t xml:space="preserve">. Finantsteenused on siseturu põhikomponent ning nõuavad reguleerimist ja järelevalvet käsitlevat kindlat raamistikku, mis üksnes ei taga finantsstabiilsuse ja jätkusuutliku majanduse, vaid pakub kõrgetasemelist kaitset ka tarbijatele ja muudele finantsteenuste lõppkasutajatele, sealhulgas jaeinvestoritele, hoiustajatele, kindlustusvõtjatele, pensionifondi liikmetele ja neist tulu saajatele, üksikaktsionäridele, laenuvõtjatele ja VKEdele. </w:t>
            </w:r>
            <w:r w:rsidRPr="009639F7">
              <w:rPr>
                <w:b/>
                <w:i/>
              </w:rPr>
              <w:t>Programmiga tuleks</w:t>
            </w:r>
            <w:r w:rsidRPr="009639F7">
              <w:t xml:space="preserve"> suurendada nende võimet osaleda poliitikakujundamises</w:t>
            </w:r>
            <w:r w:rsidRPr="009639F7">
              <w:rPr>
                <w:b/>
                <w:i/>
              </w:rPr>
              <w:t xml:space="preserve"> ning selleks tuleks muu hulgas koostada finantsturgudel </w:t>
            </w:r>
            <w:r w:rsidRPr="009639F7">
              <w:rPr>
                <w:b/>
                <w:i/>
              </w:rPr>
              <w:lastRenderedPageBreak/>
              <w:t>pakutavate toodete kohta selge, terviklik ja kasutusmugav teabematerjal ning seda levitada</w:t>
            </w:r>
            <w:r w:rsidRPr="009639F7">
              <w:t>.</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45</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t>Põhjendus 42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(42)</w:t>
            </w:r>
            <w:r w:rsidRPr="009639F7">
              <w:tab/>
              <w:t>Seepärast peaks programm jätkama suutlikkuse suurendamise programmiga (2017–2020) hõlmatud konkreetsete meetmete toetamist, millega laiendatakse tarbijate ja muude finantsteenuste lõppkasutajate kaasatust liidu poliitika kujundamisse, nagu see on ette nähtud Euroopa Parlamendi ja nõukogu määrusega (EL) 2017/826</w:t>
            </w:r>
            <w:r w:rsidRPr="009639F7">
              <w:rPr>
                <w:b/>
                <w:i/>
              </w:rPr>
              <w:t>,</w:t>
            </w:r>
            <w:r w:rsidRPr="009639F7">
              <w:rPr>
                <w:b/>
                <w:i/>
                <w:vertAlign w:val="superscript"/>
              </w:rPr>
              <w:t>60</w:t>
            </w:r>
            <w:r w:rsidRPr="009639F7">
              <w:t xml:space="preserve"> millega jätkati aastate 2012–2017 katseprogrammi ja ettevalmistavat tegevust. See on vajalik selleks, et poliitikakujundajad saaksid muude huvirühmade kui finantssektori töötajate arvamusi ning tarbijate ja muude finantsteenuste lõppkasutajate huvide paremaks esindamiseks. </w:t>
            </w:r>
            <w:r w:rsidRPr="009639F7">
              <w:rPr>
                <w:b/>
                <w:i/>
              </w:rPr>
              <w:t>Selle tulemuseks peaks olema parem</w:t>
            </w:r>
            <w:r w:rsidRPr="009639F7">
              <w:t xml:space="preserve"> finantsteenuste poliitika, eelkõige tänu üldsuse paremale arusaamisele finantsmääruses käsitletavatest küsimustest</w:t>
            </w:r>
            <w:r w:rsidRPr="009639F7">
              <w:rPr>
                <w:b/>
                <w:i/>
              </w:rPr>
              <w:t>, ja parem finantskirjaoskus</w:t>
            </w:r>
            <w:r w:rsidRPr="009639F7">
              <w:t>.</w:t>
            </w:r>
          </w:p>
        </w:tc>
        <w:tc>
          <w:tcPr>
            <w:tcW w:w="4876" w:type="dxa"/>
            <w:hideMark/>
          </w:tcPr>
          <w:p w:rsidR="001C700C" w:rsidRPr="009639F7" w:rsidRDefault="001C700C" w:rsidP="00464712">
            <w:pPr>
              <w:pStyle w:val="Normal6"/>
              <w:rPr>
                <w:szCs w:val="24"/>
              </w:rPr>
            </w:pPr>
            <w:r w:rsidRPr="009639F7">
              <w:t>(42)</w:t>
            </w:r>
            <w:r w:rsidRPr="009639F7">
              <w:tab/>
              <w:t>Seepärast peaks programm jätkama suutlikkuse suurendamise programmiga (2017–2020) hõlmatud konkreetsete meetmete toetamist, millega laiendatakse tarbijate ja muude finantsteenuste lõppkasutajate kaasatust liidu poliitika kujundamisse, nagu see on ette nähtud Euroopa Parlamendi ja nõukogu määrusega (EL) 2017/826</w:t>
            </w:r>
            <w:r w:rsidRPr="009639F7">
              <w:rPr>
                <w:b/>
                <w:i/>
                <w:vertAlign w:val="superscript"/>
              </w:rPr>
              <w:t>60</w:t>
            </w:r>
            <w:r w:rsidRPr="009639F7">
              <w:rPr>
                <w:b/>
                <w:i/>
              </w:rPr>
              <w:t xml:space="preserve">, </w:t>
            </w:r>
            <w:r w:rsidRPr="009639F7">
              <w:t xml:space="preserve">millega jätkati aastate 2012–2017 katseprogrammi ja ettevalmistavat tegevust. See on vajalik selleks, et poliitikakujundajad saaksid muude huvirühmade kui finantssektori töötajate arvamusi ning tarbijate ja muude finantsteenuste lõppkasutajate huvide paremaks esindamiseks. </w:t>
            </w:r>
            <w:r w:rsidRPr="009639F7">
              <w:rPr>
                <w:b/>
                <w:i/>
              </w:rPr>
              <w:t>Programm peaks pidevalt arendama oma metoodikat ja parimaid tavasid selle kohta, kuidas suurendada tarbijate ja finantsteenuste lõppkasutajate osalust, et selgitada välja liidu poliitika kujundamise jaoks olulised küsimused ja tagada tarbijate huvide kaitse finantsteenuste valdkonnas. Tänu sellele peaks</w:t>
            </w:r>
            <w:r w:rsidRPr="009639F7">
              <w:t xml:space="preserve"> finantsteenuste poliitika</w:t>
            </w:r>
            <w:r w:rsidRPr="009639F7">
              <w:rPr>
                <w:b/>
                <w:i/>
              </w:rPr>
              <w:t xml:space="preserve"> paranema</w:t>
            </w:r>
            <w:r w:rsidRPr="009639F7">
              <w:t>, eelkõige tänu üldsuse paremale arusaamisele finantsmääruses käsitletavatest küsimustest</w:t>
            </w:r>
            <w:r w:rsidRPr="009639F7">
              <w:rPr>
                <w:b/>
                <w:i/>
              </w:rPr>
              <w:t xml:space="preserve"> ja paremale finantskirjaoskusele</w:t>
            </w:r>
            <w:r w:rsidRPr="009639F7">
              <w:t xml:space="preserve">. </w:t>
            </w:r>
            <w:r w:rsidRPr="009639F7">
              <w:rPr>
                <w:b/>
                <w:i/>
              </w:rPr>
              <w:t>Käesolevas programmis kasutavate avaliku sektori vahendite puhul tuleks põhitähelepanu pöörata sellele, mis on kasulik lõppkasutajatele, ja vältida igasuguse otsese või kaudse rahalise toetuse maksmist erasektori finantsettevõtjate äritegevusele.</w:t>
            </w:r>
          </w:p>
        </w:tc>
      </w:tr>
      <w:tr w:rsidR="001C700C" w:rsidRPr="009639F7" w:rsidTr="00464712">
        <w:trPr>
          <w:jc w:val="center"/>
        </w:trPr>
        <w:tc>
          <w:tcPr>
            <w:tcW w:w="4876" w:type="dxa"/>
            <w:hideMark/>
          </w:tcPr>
          <w:p w:rsidR="001C700C" w:rsidRPr="009639F7" w:rsidRDefault="001C700C" w:rsidP="00464712">
            <w:pPr>
              <w:pStyle w:val="Normal6"/>
            </w:pPr>
            <w:r w:rsidRPr="009639F7">
              <w:t>__________________</w:t>
            </w:r>
          </w:p>
        </w:tc>
        <w:tc>
          <w:tcPr>
            <w:tcW w:w="4876" w:type="dxa"/>
            <w:hideMark/>
          </w:tcPr>
          <w:p w:rsidR="001C700C" w:rsidRPr="009639F7" w:rsidRDefault="001C700C" w:rsidP="00464712">
            <w:pPr>
              <w:pStyle w:val="Normal6"/>
              <w:rPr>
                <w:szCs w:val="24"/>
              </w:rPr>
            </w:pPr>
            <w:r w:rsidRPr="009639F7">
              <w:t>__________________</w:t>
            </w:r>
          </w:p>
        </w:tc>
      </w:tr>
      <w:tr w:rsidR="001C700C" w:rsidRPr="009639F7" w:rsidTr="00464712">
        <w:trPr>
          <w:jc w:val="center"/>
        </w:trPr>
        <w:tc>
          <w:tcPr>
            <w:tcW w:w="4876" w:type="dxa"/>
            <w:hideMark/>
          </w:tcPr>
          <w:p w:rsidR="001C700C" w:rsidRPr="009639F7" w:rsidRDefault="001C700C" w:rsidP="00464712">
            <w:pPr>
              <w:pStyle w:val="Normal6"/>
            </w:pPr>
            <w:r w:rsidRPr="009639F7">
              <w:rPr>
                <w:vertAlign w:val="superscript"/>
              </w:rPr>
              <w:t>60</w:t>
            </w:r>
            <w:r w:rsidRPr="009639F7">
              <w:t xml:space="preserve"> Euroopa Parlamendi ja nõukogu 17. mai </w:t>
            </w:r>
            <w:r w:rsidRPr="009639F7">
              <w:lastRenderedPageBreak/>
              <w:t>2017. aasta määrus (EL) 2017/826, millega luuakse liidu programm teatavate tegevuste toetamiseks, et suurendada tarbijate ja muude finantsteenuste lõppkasutajate kaasatust liidu poliitika kujundamisse finantsteenuste valdkonnas ajavahemikuks 2017–2020 (ELT L 129, 19.5.2017, lk 17).</w:t>
            </w:r>
          </w:p>
        </w:tc>
        <w:tc>
          <w:tcPr>
            <w:tcW w:w="4876" w:type="dxa"/>
            <w:hideMark/>
          </w:tcPr>
          <w:p w:rsidR="001C700C" w:rsidRPr="009639F7" w:rsidRDefault="001C700C" w:rsidP="00464712">
            <w:pPr>
              <w:pStyle w:val="Normal6"/>
              <w:rPr>
                <w:szCs w:val="24"/>
              </w:rPr>
            </w:pPr>
            <w:r w:rsidRPr="009639F7">
              <w:rPr>
                <w:vertAlign w:val="superscript"/>
              </w:rPr>
              <w:lastRenderedPageBreak/>
              <w:t>60</w:t>
            </w:r>
            <w:r w:rsidRPr="009639F7">
              <w:t xml:space="preserve"> Euroopa Parlamendi ja nõukogu 17. mai </w:t>
            </w:r>
            <w:r w:rsidRPr="009639F7">
              <w:lastRenderedPageBreak/>
              <w:t>2017. aasta määrus (EL) 2017/826, millega luuakse liidu programm teatavate tegevuste toetamiseks, et suurendada tarbijate ja muude finantsteenuste lõppkasutajate kaasatust liidu poliitika kujundamisse finantsteenuste valdkonnas ajavahemikuks 2017–2020 (ELT L 129, 19.5.2017, lk 17).</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46</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t>Põhjendus 43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(43)</w:t>
            </w:r>
            <w:r w:rsidRPr="009639F7">
              <w:tab/>
              <w:t>Komisjon andis aastatel 2012–2013 pilootprojekti ja aastatel 2014–2016 ettevalmistava tegevuse raames iga-aastase avaliku projektikonkursi kaudu toetust kahele organisatsioonile. Need kaks organisatsiooni on Finance Watch, mis loodi liidu toetuste abil 2011. aastal Belgia õiguse kohaselt rahvusvahelise mittetulundusühinguna, ja Better Finance, mis tekkis siis, kui alates 2009. aastast hakati varasemaid Euroopa föderatsioone ja osanike liitusid järjestikku ümber korraldama ja ümber nimetama. Määruse (EL) nr 2017/826 alusel kehtestatud suutlikkuse suurendamise programmi kohaselt on need kaks organisatsiooni ainsad toetusesaajad. Seepärast on vaja neid organisatsioone programmi raames ka edaspidi kaasrahastada. Kõnealune rahastamine tuleks siiski läbi vaadata.</w:t>
            </w:r>
          </w:p>
        </w:tc>
        <w:tc>
          <w:tcPr>
            <w:tcW w:w="4876" w:type="dxa"/>
            <w:hideMark/>
          </w:tcPr>
          <w:p w:rsidR="001C700C" w:rsidRPr="009639F7" w:rsidRDefault="001C700C" w:rsidP="00464712">
            <w:pPr>
              <w:pStyle w:val="Normal6"/>
              <w:rPr>
                <w:szCs w:val="24"/>
              </w:rPr>
            </w:pPr>
            <w:r w:rsidRPr="009639F7">
              <w:t>(43)</w:t>
            </w:r>
            <w:r w:rsidRPr="009639F7">
              <w:tab/>
              <w:t xml:space="preserve">Komisjon andis aastatel 2012–2013 pilootprojekti ja aastatel 2014–2016 ettevalmistava tegevuse raames iga-aastase avaliku projektikonkursi kaudu toetust kahele organisatsioonile. Need kaks organisatsiooni on Finance Watch, mis loodi liidu toetuste abil 2011. aastal Belgia õiguse kohaselt rahvusvahelise mittetulundusühinguna, ja Better Finance, mis tekkis siis, kui alates 2009. aastast hakati varasemaid Euroopa föderatsioone ja osanike liitusid järjestikku ümber korraldama ja ümber nimetama. Määruse (EL) nr 2017/826 alusel kehtestatud suutlikkuse suurendamise programmi kohaselt on need kaks organisatsiooni ainsad toetusesaajad. Seepärast on vaja neid organisatsioone programmi raames ka edaspidi kaasrahastada. Kõnealune rahastamine tuleks siiski läbi vaadata. </w:t>
            </w:r>
            <w:r w:rsidRPr="009639F7">
              <w:rPr>
                <w:b/>
                <w:i/>
              </w:rPr>
              <w:t>Seetõttu tuleks meeles pidada, et kui suutlikkuse suurendamise programmi ja selle rahastamist jätkatakse ka pärast 2020.</w:t>
            </w:r>
            <w:r w:rsidR="00464712" w:rsidRPr="009639F7">
              <w:rPr>
                <w:b/>
                <w:i/>
              </w:rPr>
              <w:t> </w:t>
            </w:r>
            <w:r w:rsidRPr="009639F7">
              <w:rPr>
                <w:b/>
                <w:i/>
              </w:rPr>
              <w:t>aastat ning kui tekib ka teisi võimalikke toetusesaajaid, peaks konkurss olema avatud ka kõigile teistele organisatsioonidele, kes vastavad kriteeriumidele ning aitavad kooskõlas määrusega (EL) 2017/826 saavutada programmi eesmärke.</w:t>
            </w:r>
          </w:p>
        </w:tc>
      </w:tr>
    </w:tbl>
    <w:p w:rsidR="001C700C" w:rsidRPr="009639F7" w:rsidRDefault="001C700C" w:rsidP="001C700C"/>
    <w:p w:rsidR="001C700C" w:rsidRPr="009639F7" w:rsidRDefault="001C700C" w:rsidP="001C700C">
      <w:pPr>
        <w:pStyle w:val="AMNumberTabs"/>
        <w:keepNext/>
      </w:pPr>
      <w:r w:rsidRPr="009639F7">
        <w:lastRenderedPageBreak/>
        <w:t>Muudatusettepanek</w:t>
      </w:r>
      <w:r w:rsidRPr="009639F7">
        <w:tab/>
      </w:r>
      <w:r w:rsidRPr="009639F7">
        <w:tab/>
        <w:t>47</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44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(44)</w:t>
            </w:r>
            <w:r w:rsidRPr="009639F7">
              <w:tab/>
              <w:t xml:space="preserve">Kõrgetasemeline tervisekaitse toiduainete tarneahelas on vajalik siseturu tõhusaks toimimiseks. Ohutu ja jätkusuutlik toiduainete tarneahel on nii ühiskonna kui ka siseturu toimimise eeltingimus. Piiriülesed terviseohud </w:t>
            </w:r>
            <w:r w:rsidRPr="009639F7">
              <w:rPr>
                <w:b/>
                <w:i/>
              </w:rPr>
              <w:t>ja</w:t>
            </w:r>
            <w:r w:rsidRPr="009639F7">
              <w:t xml:space="preserve"> toiduga seotud hirmud</w:t>
            </w:r>
            <w:r w:rsidRPr="009639F7">
              <w:rPr>
                <w:b/>
                <w:i/>
              </w:rPr>
              <w:t xml:space="preserve"> takistavad</w:t>
            </w:r>
            <w:r w:rsidRPr="009639F7">
              <w:t xml:space="preserve"> siseturu toimimist, piirates inimeste ja kaupade liikumist ning tekitades häireid tootmises.</w:t>
            </w:r>
          </w:p>
        </w:tc>
        <w:tc>
          <w:tcPr>
            <w:tcW w:w="4876" w:type="dxa"/>
            <w:hideMark/>
          </w:tcPr>
          <w:p w:rsidR="001C700C" w:rsidRPr="009639F7" w:rsidRDefault="001C700C" w:rsidP="00464712">
            <w:pPr>
              <w:pStyle w:val="Normal6"/>
              <w:rPr>
                <w:szCs w:val="24"/>
              </w:rPr>
            </w:pPr>
            <w:r w:rsidRPr="009639F7">
              <w:t>(44)</w:t>
            </w:r>
            <w:r w:rsidRPr="009639F7">
              <w:tab/>
              <w:t xml:space="preserve">Kõrgetasemeline tervisekaitse toiduainete </w:t>
            </w:r>
            <w:r w:rsidRPr="009639F7">
              <w:rPr>
                <w:b/>
                <w:i/>
              </w:rPr>
              <w:t xml:space="preserve">ja loomasööda </w:t>
            </w:r>
            <w:r w:rsidRPr="009639F7">
              <w:t>tarneahelas on vajalik</w:t>
            </w:r>
            <w:r w:rsidRPr="009639F7">
              <w:rPr>
                <w:b/>
                <w:i/>
              </w:rPr>
              <w:t xml:space="preserve"> tarbijate kaitseks ning</w:t>
            </w:r>
            <w:r w:rsidRPr="009639F7">
              <w:t xml:space="preserve"> siseturu tõhusaks </w:t>
            </w:r>
            <w:r w:rsidRPr="009639F7">
              <w:rPr>
                <w:b/>
                <w:i/>
              </w:rPr>
              <w:t xml:space="preserve">ja sujuvaks </w:t>
            </w:r>
            <w:r w:rsidRPr="009639F7">
              <w:t>toimimiseks. Ohutu ja jätkusuutlik</w:t>
            </w:r>
            <w:r w:rsidRPr="009639F7">
              <w:rPr>
                <w:b/>
                <w:i/>
              </w:rPr>
              <w:t xml:space="preserve"> põllumajanduslik ja</w:t>
            </w:r>
            <w:r w:rsidRPr="009639F7">
              <w:t xml:space="preserve"> toiduainete tarneahel on nii ühiskonna kui ka siseturu toimimise eeltingimus. </w:t>
            </w:r>
            <w:r w:rsidRPr="009639F7">
              <w:rPr>
                <w:b/>
                <w:i/>
              </w:rPr>
              <w:t>Nagu on näidanud äsjased vahejuhtumid, nt munad</w:t>
            </w:r>
            <w:r w:rsidR="00464712" w:rsidRPr="009639F7">
              <w:rPr>
                <w:b/>
                <w:i/>
              </w:rPr>
              <w:t>e saastumine fiproniiliga 2017. </w:t>
            </w:r>
            <w:r w:rsidRPr="009639F7">
              <w:rPr>
                <w:b/>
                <w:i/>
              </w:rPr>
              <w:t>aast</w:t>
            </w:r>
            <w:r w:rsidR="00464712" w:rsidRPr="009639F7">
              <w:rPr>
                <w:b/>
                <w:i/>
              </w:rPr>
              <w:t>al ja hobuseliha-skandaal 2013. </w:t>
            </w:r>
            <w:r w:rsidRPr="009639F7">
              <w:rPr>
                <w:b/>
                <w:i/>
              </w:rPr>
              <w:t xml:space="preserve">aastal, takistavad </w:t>
            </w:r>
            <w:r w:rsidRPr="009639F7">
              <w:t xml:space="preserve">piiriülesed terviseohud </w:t>
            </w:r>
            <w:r w:rsidRPr="009639F7">
              <w:rPr>
                <w:b/>
                <w:i/>
              </w:rPr>
              <w:t>nagu linnugripp või Aafrika seakatk ning</w:t>
            </w:r>
            <w:r w:rsidRPr="009639F7">
              <w:t xml:space="preserve"> toiduga seotud hirmud siseturu toimimist, piirates inimeste ja kaupade liikumist ning tekitades häireid tootmises. </w:t>
            </w:r>
            <w:r w:rsidRPr="009639F7">
              <w:rPr>
                <w:b/>
                <w:i/>
              </w:rPr>
              <w:t>Piiriüleste terviseohtude ja toiduga seotud hirmude ennetamine on äärmiselt oluline. Seetõttu tuleks programmist toetada konkreetseid meetmeid, nagu erakorraliste meetmete kehtestamine looma- ja taimetervist mõjutavate kriisiolukordade ja ettenägematute sündmuste puhul, luues seega mehhanismi otseseks juurdepääsuks hädaabireservile, et tegeleda nende hädaolukordadega kiiremini, tulemuslikumalt ja tõhusamalt.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48</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45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(45)</w:t>
            </w:r>
            <w:r w:rsidRPr="009639F7">
              <w:tab/>
              <w:t xml:space="preserve">Liidu õiguse üldine eesmärk toiduahela valdkonnas on </w:t>
            </w:r>
            <w:r w:rsidRPr="009639F7">
              <w:rPr>
                <w:b/>
                <w:i/>
              </w:rPr>
              <w:t>edendada</w:t>
            </w:r>
            <w:r w:rsidRPr="009639F7">
              <w:t xml:space="preserve"> inimeste, loomade ja taimede tervise kaitse </w:t>
            </w:r>
            <w:r w:rsidRPr="009639F7">
              <w:rPr>
                <w:b/>
                <w:i/>
              </w:rPr>
              <w:t>kõrget taset</w:t>
            </w:r>
            <w:r w:rsidRPr="009639F7">
              <w:t xml:space="preserve"> kogu toiduahelas, toetada loomade heaolu edendamist, tagada tarbijate kaitse ja teavitatuse kõrge tase ning kõrgetasemeline keskkonnakaitse, </w:t>
            </w:r>
            <w:r w:rsidRPr="009639F7">
              <w:lastRenderedPageBreak/>
              <w:t>sealhulgas bioloogilise mitmekesisuse säilitamine, parandades seejuures Euroopa toidu ja sööda tootmise jätkusuutlikkust, tõhustades kvaliteedistandardeid kogu liidus, suurendades liidu toidu- ja söödatööstuse konkurentsivõimet ning soodustades töökohtade loomist.</w:t>
            </w:r>
          </w:p>
        </w:tc>
        <w:tc>
          <w:tcPr>
            <w:tcW w:w="4876" w:type="dxa"/>
            <w:hideMark/>
          </w:tcPr>
          <w:p w:rsidR="001C700C" w:rsidRPr="009639F7" w:rsidRDefault="001C700C" w:rsidP="00464712">
            <w:pPr>
              <w:pStyle w:val="Normal6"/>
              <w:rPr>
                <w:szCs w:val="24"/>
              </w:rPr>
            </w:pPr>
            <w:r w:rsidRPr="009639F7">
              <w:lastRenderedPageBreak/>
              <w:t>(45)</w:t>
            </w:r>
            <w:r w:rsidRPr="009639F7">
              <w:tab/>
              <w:t xml:space="preserve">Liidu õiguse üldine eesmärk toiduahela valdkonnas on </w:t>
            </w:r>
            <w:r w:rsidRPr="009639F7">
              <w:rPr>
                <w:b/>
                <w:i/>
              </w:rPr>
              <w:t>tagada</w:t>
            </w:r>
            <w:r w:rsidRPr="009639F7">
              <w:t xml:space="preserve"> inimeste, loomade ja taimede tervise kaitse </w:t>
            </w:r>
            <w:r w:rsidRPr="009639F7">
              <w:rPr>
                <w:b/>
                <w:i/>
              </w:rPr>
              <w:t>kõrge tase</w:t>
            </w:r>
            <w:r w:rsidRPr="009639F7">
              <w:t xml:space="preserve"> kogu toiduahelas, toetada loomade heaolu edendamist, tagada tarbijate kaitse ja teavitatuse kõrge tase ning kõrgetasemeline keskkonnakaitse, </w:t>
            </w:r>
            <w:r w:rsidRPr="009639F7">
              <w:lastRenderedPageBreak/>
              <w:t xml:space="preserve">sealhulgas bioloogilise mitmekesisuse säilitamine, parandades seejuures Euroopa toidu ja sööda tootmise jätkusuutlikkust, </w:t>
            </w:r>
            <w:r w:rsidRPr="009639F7">
              <w:rPr>
                <w:b/>
                <w:i/>
              </w:rPr>
              <w:t xml:space="preserve">vähendades toidujäätmete hulka, </w:t>
            </w:r>
            <w:r w:rsidRPr="009639F7">
              <w:t>tõhustades</w:t>
            </w:r>
            <w:r w:rsidRPr="009639F7">
              <w:rPr>
                <w:b/>
                <w:i/>
              </w:rPr>
              <w:t xml:space="preserve"> toodete</w:t>
            </w:r>
            <w:r w:rsidRPr="009639F7">
              <w:t xml:space="preserve"> kvaliteedistandardeid kogu liidus, suurendades liidu toidu- ja söödatööstuse konkurentsivõimet ning soodustades töökohtade loomist.</w:t>
            </w:r>
          </w:p>
        </w:tc>
      </w:tr>
    </w:tbl>
    <w:p w:rsidR="001C700C" w:rsidRPr="009639F7" w:rsidRDefault="001C700C" w:rsidP="001C700C">
      <w:pPr>
        <w:pStyle w:val="AMNumberTabs"/>
      </w:pPr>
      <w:r w:rsidRPr="009639F7">
        <w:lastRenderedPageBreak/>
        <w:t>Muudatusettepanek</w:t>
      </w:r>
      <w:r w:rsidRPr="009639F7">
        <w:tab/>
        <w:t>49</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t>Põhjendus 46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hRule="exac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tcPr>
          <w:p w:rsidR="001C700C" w:rsidRPr="009639F7" w:rsidRDefault="001C700C" w:rsidP="00464712">
            <w:pPr>
              <w:pStyle w:val="ColumnHeading"/>
            </w:pPr>
            <w:r w:rsidRPr="009639F7">
              <w:t>Komisjoni ettepanek</w:t>
            </w:r>
          </w:p>
        </w:tc>
        <w:tc>
          <w:tcPr>
            <w:tcW w:w="4876" w:type="dxa"/>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r w:rsidRPr="009639F7">
              <w:t>(46)</w:t>
            </w:r>
            <w:r w:rsidRPr="009639F7">
              <w:tab/>
              <w:t>Arvestades selliste meetmete erilist iseloomu, mis on seotud inimeste, loomade ja taimede tervise kaitse kõrge tasemega kogu toiduahela ulatuses, tuleb käesolevas määruses sätestada toetuskõlblikkuse erikriteeriumid toetuste andmiseks ja avalike hangete kasutamiseks. Erandina Euroopa Parlamendi ja nõukogu määrusest (EL, Euratom)</w:t>
            </w:r>
            <w:r w:rsidRPr="009639F7">
              <w:rPr>
                <w:vertAlign w:val="superscript"/>
              </w:rPr>
              <w:t>61</w:t>
            </w:r>
            <w:r w:rsidRPr="009639F7">
              <w:t xml:space="preserve"> („finantsmäärus“) ja tagantjärele kohaldamise välistamise põhimõttest peaksid erakorraliste meetmete kulud nende kiireloomulisuse ja ettenägematu olemuse tõttu olema rahastamiskõlblikud ja hõlmama ka kulusid, mis on tekkinud seoses loomataudi või taimekahjustaja esinemise kahtlusega, tingimusel et selline kahtlus leiab hiljem kinnitust ja sellest teavitatakse komisjoni. Komisjon peaks võtma vastavad eelarvelised kulukohustused ja tegema rahastamiskõlblike kuludega seotud maksed pärast juriidilistele kohustustele allakirjutamist ja liikmesriikide esitatud maksetaotluste hindamist. Kulud peaksid olema rahastamiskõlblikud ka selliste kaitsemeetmete puhul, mida on võetud olukorras, kus mõni loomataudidest või zoonoosidest esineb või levib kolmandas riigis, liikmesriigis või ülemeremaades ja -territooriumidel ja ohustab otseselt tervisealast olukorda liidus, aga ka selliste kaitsemeetmete või muu asjassepuutuva tegevuse puhul, millega toetatakse </w:t>
            </w:r>
            <w:r w:rsidRPr="009639F7">
              <w:lastRenderedPageBreak/>
              <w:t>taimetervisealast olukorda liidus.</w:t>
            </w:r>
          </w:p>
        </w:tc>
        <w:tc>
          <w:tcPr>
            <w:tcW w:w="4876" w:type="dxa"/>
          </w:tcPr>
          <w:p w:rsidR="001C700C" w:rsidRPr="009639F7" w:rsidRDefault="001C700C" w:rsidP="00464712">
            <w:pPr>
              <w:pStyle w:val="Normal6"/>
            </w:pPr>
            <w:r w:rsidRPr="009639F7">
              <w:lastRenderedPageBreak/>
              <w:t>(46)</w:t>
            </w:r>
            <w:r w:rsidRPr="009639F7">
              <w:tab/>
              <w:t>Arvestades selliste meetmete erilist iseloomu, mis on seotud inimeste, loomade ja taimede tervise kaitse kõrge tasemega kogu toiduahela ulatuses, tuleb käesolevas määruses sätestada toetuskõlblikkuse erikriteeriumid toetuste andmiseks ja avalike hangete kasutamiseks. Erandina Euroopa Parlamendi ja nõukogu määrusest (EL, Euratom)</w:t>
            </w:r>
            <w:r w:rsidR="00464712" w:rsidRPr="009639F7">
              <w:t> </w:t>
            </w:r>
            <w:r w:rsidR="00464712" w:rsidRPr="00F66F22">
              <w:rPr>
                <w:b/>
                <w:i/>
              </w:rPr>
              <w:t>2018/1046</w:t>
            </w:r>
            <w:r w:rsidRPr="009639F7">
              <w:rPr>
                <w:vertAlign w:val="superscript"/>
              </w:rPr>
              <w:t>61</w:t>
            </w:r>
            <w:r w:rsidRPr="009639F7">
              <w:t xml:space="preserve"> („finantsmäärus“) ja tagantjärele kohaldamise välistamise põhimõttest peaksid erakorraliste meetmete kulud nende kiireloomulisuse ja ettenägematu olemuse tõttu olema rahastamiskõlblikud ja hõlmama ka kulusid, mis on tekkinud seoses loomataudi või taimekahjustaja esinemise kahtlusega, tingimusel et selline kahtlus leiab hiljem kinnitust ja sellest teavitatakse komisjoni. Komisjon peaks võtma vastavad eelarvelised kulukohustused ja tegema rahastamiskõlblike kuludega seotud maksed pärast juriidilistele kohustustele allakirjutamist ja liikmesriikide esitatud maksetaotluste hindamist. Kulud peaksid olema rahastamiskõlblikud ka selliste kaitsemeetmete puhul, mida on võetud olukorras, kus mõni loomataudidest või zoonoosidest esineb või levib kolmandas riigis, liikmesriigis või ülemeremaades ja -territooriumidel ja ohustab otseselt tervisealast olukorda liidus, aga ka selliste kaitsemeetmete või muu asjassepuutuva tegevuse puhul, millega toetatakse </w:t>
            </w:r>
            <w:r w:rsidRPr="009639F7">
              <w:lastRenderedPageBreak/>
              <w:t>taimetervisealast olukorda liidus.</w:t>
            </w:r>
          </w:p>
        </w:tc>
      </w:tr>
      <w:tr w:rsidR="001C700C" w:rsidRPr="009639F7" w:rsidTr="00464712">
        <w:trPr>
          <w:jc w:val="center"/>
        </w:trPr>
        <w:tc>
          <w:tcPr>
            <w:tcW w:w="4876" w:type="dxa"/>
          </w:tcPr>
          <w:p w:rsidR="001C700C" w:rsidRPr="009639F7" w:rsidRDefault="001C700C" w:rsidP="00464712">
            <w:pPr>
              <w:pStyle w:val="Normal6"/>
            </w:pPr>
            <w:r w:rsidRPr="009639F7">
              <w:lastRenderedPageBreak/>
              <w:t>_________________</w:t>
            </w:r>
          </w:p>
        </w:tc>
        <w:tc>
          <w:tcPr>
            <w:tcW w:w="4876" w:type="dxa"/>
          </w:tcPr>
          <w:p w:rsidR="001C700C" w:rsidRPr="009639F7" w:rsidRDefault="001C700C" w:rsidP="00464712">
            <w:pPr>
              <w:pStyle w:val="Normal6"/>
            </w:pPr>
            <w:r w:rsidRPr="009639F7">
              <w:t>_________________</w:t>
            </w:r>
          </w:p>
        </w:tc>
      </w:tr>
      <w:tr w:rsidR="001C700C" w:rsidRPr="009639F7" w:rsidTr="00464712">
        <w:trPr>
          <w:jc w:val="center"/>
        </w:trPr>
        <w:tc>
          <w:tcPr>
            <w:tcW w:w="4876" w:type="dxa"/>
          </w:tcPr>
          <w:p w:rsidR="001C700C" w:rsidRPr="009639F7" w:rsidRDefault="001C700C" w:rsidP="00464712">
            <w:pPr>
              <w:pStyle w:val="Normal6"/>
            </w:pPr>
            <w:r w:rsidRPr="009639F7">
              <w:rPr>
                <w:vertAlign w:val="superscript"/>
              </w:rPr>
              <w:t>61</w:t>
            </w:r>
            <w:r w:rsidRPr="009639F7">
              <w:t xml:space="preserve"> </w:t>
            </w:r>
            <w:r w:rsidRPr="009639F7">
              <w:rPr>
                <w:b/>
                <w:i/>
              </w:rPr>
              <w:t>[lisada]</w:t>
            </w:r>
          </w:p>
        </w:tc>
        <w:tc>
          <w:tcPr>
            <w:tcW w:w="4876" w:type="dxa"/>
          </w:tcPr>
          <w:p w:rsidR="001C700C" w:rsidRPr="009639F7" w:rsidRDefault="001C700C" w:rsidP="00464712">
            <w:pPr>
              <w:pStyle w:val="Normal6"/>
            </w:pPr>
            <w:r w:rsidRPr="009639F7">
              <w:rPr>
                <w:vertAlign w:val="superscript"/>
              </w:rPr>
              <w:t>61</w:t>
            </w:r>
            <w:r w:rsidRPr="009639F7">
              <w:t xml:space="preserve"> </w:t>
            </w:r>
            <w:r w:rsidRPr="009639F7">
              <w:rPr>
                <w:b/>
                <w:i/>
              </w:rPr>
              <w:t>Eu</w:t>
            </w:r>
            <w:r w:rsidR="00464712" w:rsidRPr="009639F7">
              <w:rPr>
                <w:b/>
                <w:i/>
              </w:rPr>
              <w:t>roopa Parlamendi ja nõukogu 18. </w:t>
            </w:r>
            <w:r w:rsidRPr="009639F7">
              <w:rPr>
                <w:b/>
                <w:i/>
              </w:rPr>
              <w:t>juuli 2018. aasta määrus (EL, Euratom) 2018/1046, mis käsitleb liidu üldeelarve suhtes kohaldatavaid finantsreegleid ja millega muudetakse mää</w:t>
            </w:r>
            <w:r w:rsidR="00464712" w:rsidRPr="009639F7">
              <w:rPr>
                <w:b/>
                <w:i/>
              </w:rPr>
              <w:t>rusi (EL) nr 1296/2013, (EL) nr </w:t>
            </w:r>
            <w:r w:rsidRPr="009639F7">
              <w:rPr>
                <w:b/>
                <w:i/>
              </w:rPr>
              <w:t>1301/2</w:t>
            </w:r>
            <w:r w:rsidR="00464712" w:rsidRPr="009639F7">
              <w:rPr>
                <w:b/>
                <w:i/>
              </w:rPr>
              <w:t>013, (EL) nr 1303/2013, (EL) nr </w:t>
            </w:r>
            <w:r w:rsidRPr="009639F7">
              <w:rPr>
                <w:b/>
                <w:i/>
              </w:rPr>
              <w:t>1304/2</w:t>
            </w:r>
            <w:r w:rsidR="00464712" w:rsidRPr="009639F7">
              <w:rPr>
                <w:b/>
                <w:i/>
              </w:rPr>
              <w:t>013, (EL) nr 1309/2013, (EL) nr </w:t>
            </w:r>
            <w:r w:rsidRPr="009639F7">
              <w:rPr>
                <w:b/>
                <w:i/>
              </w:rPr>
              <w:t>1316/2013, (EL) nr 223/2014 ja (EL) nr 283/2014 ja otsust nr 541/2014/EL ning tunnistatakse kehtetuks määrus (EL, Euratom) nr 966/2012</w:t>
            </w:r>
            <w:r w:rsidR="00464712" w:rsidRPr="009639F7">
              <w:rPr>
                <w:b/>
                <w:i/>
              </w:rPr>
              <w:t xml:space="preserve"> (ELT L 193, 30.7.2018, lk 1)</w:t>
            </w:r>
            <w:r w:rsidRPr="009639F7">
              <w:rPr>
                <w:b/>
                <w:i/>
              </w:rPr>
              <w: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50</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47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(47)</w:t>
            </w:r>
            <w:r w:rsidRPr="009639F7">
              <w:tab/>
            </w:r>
            <w:r w:rsidRPr="009639F7">
              <w:rPr>
                <w:b/>
                <w:i/>
              </w:rPr>
              <w:t>Liikmesriikide</w:t>
            </w:r>
            <w:r w:rsidRPr="009639F7">
              <w:t xml:space="preserve"> korraldatav ametlik kontroll</w:t>
            </w:r>
            <w:r w:rsidRPr="009639F7">
              <w:rPr>
                <w:b/>
                <w:i/>
              </w:rPr>
              <w:t xml:space="preserve"> on</w:t>
            </w:r>
            <w:r w:rsidRPr="009639F7">
              <w:t xml:space="preserve"> oluline vahend, mille abil kontrollida ja jälgida, kas liidu asjaomaseid nõudeid rakendatakse, järgitakse ja täidetakse. Ametlike kontrollisüsteemide tõhusus ja tulemuslikkus on ülioluline, et säilitada inimeste, loomade ja taimede ohutuse kõrge tase kogu toiduahelas ning tagada keskkonna ja loomade heaolu kõrgel tasemel kaitse. Selliste kontrollimeetmete jaoks peaks olema kättesaadav liidu rahaline toetus. Eelkõige peaksid rahalist toetust saama liidu referentlaborid, et aidata neil katta komisjoni poolt heaks kiidetud tööprogrammide rakendamisega kaasnevaid kulusid. Kuna ametlike kontrollide tõhusus sõltub ka sellest, kas kontrolliasutuste käsutuses on kvalifitseeritud tööjõudu, kellel on nõuetekohased teadmised liidu õigusest, peaks liit aitama kaasa nende koolitamisele ja pädevate asutuste korraldatud asjakohaste vahetusprogrammide </w:t>
            </w:r>
            <w:r w:rsidRPr="009639F7">
              <w:lastRenderedPageBreak/>
              <w:t>korraldamisele.</w:t>
            </w:r>
          </w:p>
        </w:tc>
        <w:tc>
          <w:tcPr>
            <w:tcW w:w="4876" w:type="dxa"/>
            <w:hideMark/>
          </w:tcPr>
          <w:p w:rsidR="001C700C" w:rsidRPr="009639F7" w:rsidRDefault="001C700C" w:rsidP="00464712">
            <w:pPr>
              <w:pStyle w:val="Normal6"/>
              <w:rPr>
                <w:szCs w:val="24"/>
              </w:rPr>
            </w:pPr>
            <w:r w:rsidRPr="009639F7">
              <w:lastRenderedPageBreak/>
              <w:t>(47)</w:t>
            </w:r>
            <w:r w:rsidRPr="009639F7">
              <w:tab/>
            </w:r>
            <w:r w:rsidRPr="009639F7">
              <w:rPr>
                <w:b/>
                <w:i/>
              </w:rPr>
              <w:t>Võttes arvesse toiduahela üha suuremat üleilmastumist, on liikmesriikide</w:t>
            </w:r>
            <w:r w:rsidRPr="009639F7">
              <w:t xml:space="preserve"> korraldatav ametlik kontroll oluline vahend, mille abil kontrollida ja jälgida, kas liidu asjaomaseid nõudeid rakendatakse, järgitakse ja täidetakse</w:t>
            </w:r>
            <w:r w:rsidRPr="009639F7">
              <w:rPr>
                <w:b/>
                <w:i/>
              </w:rPr>
              <w:t>, eelkõige kolmandatest riikidest imporditud toodete puhul</w:t>
            </w:r>
            <w:r w:rsidRPr="009639F7">
              <w:t>. Ametlike kontrollisüsteemide tõhusus ja tulemuslikkus on ülioluline, et säilitada inimeste, loomade ja taimede ohutuse kõrge tase kogu toiduahelas</w:t>
            </w:r>
            <w:r w:rsidRPr="009639F7">
              <w:rPr>
                <w:b/>
                <w:i/>
              </w:rPr>
              <w:t>, samuti tarbijate usaldus,</w:t>
            </w:r>
            <w:r w:rsidRPr="009639F7">
              <w:t xml:space="preserve"> ning tagada keskkonna ja loomade heaolu kõrgel tasemel kaitse. Selliste kontrollimeetmete jaoks peaks olema kättesaadav liidu rahaline toetus. Eelkõige peaksid rahalist toetust saama liidu referentlaborid, et aidata neil katta komisjoni poolt heaks kiidetud tööprogrammide rakendamisega kaasnevaid kulusid. Kuna ametlike kontrollide tõhusus sõltub ka sellest, kas kontrolliasutuste käsutuses on kvalifitseeritud tööjõudu, kellel on nõuetekohased teadmised liidu õigusest, </w:t>
            </w:r>
            <w:r w:rsidRPr="009639F7">
              <w:lastRenderedPageBreak/>
              <w:t>peaks liit aitama kaasa nende koolitamisele ja pädevate asutuste korraldatud asjakohaste vahetusprogrammide korraldamisele.</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51</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t>Põhjendus 51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(51)</w:t>
            </w:r>
            <w:r w:rsidRPr="009639F7">
              <w:tab/>
              <w:t>Vastavalt määrusele (EÜ) nr 223/2009 on programm saadetud eelnevaks tutvumiseks Euroopa statistikasüsteemi komiteele.</w:t>
            </w:r>
          </w:p>
        </w:tc>
        <w:tc>
          <w:tcPr>
            <w:tcW w:w="4876" w:type="dxa"/>
            <w:hideMark/>
          </w:tcPr>
          <w:p w:rsidR="001C700C" w:rsidRPr="009639F7" w:rsidRDefault="001C700C" w:rsidP="00464712">
            <w:pPr>
              <w:pStyle w:val="Normal6"/>
              <w:rPr>
                <w:szCs w:val="24"/>
              </w:rPr>
            </w:pPr>
            <w:r w:rsidRPr="009639F7">
              <w:t>(</w:t>
            </w:r>
            <w:r w:rsidR="00464712" w:rsidRPr="009639F7">
              <w:t>51)</w:t>
            </w:r>
            <w:r w:rsidR="00464712" w:rsidRPr="009639F7">
              <w:tab/>
              <w:t>Vastavalt määrusele (EÜ) nr </w:t>
            </w:r>
            <w:r w:rsidRPr="009639F7">
              <w:t>223/2009 on programm saadetud eelnevaks tutvumiseks Euroopa statistikasüsteemi komiteele</w:t>
            </w:r>
            <w:r w:rsidRPr="009639F7">
              <w:rPr>
                <w:b/>
                <w:i/>
              </w:rPr>
              <w:t xml:space="preserve"> ja selle elluviimisel tuleks tagada tõhus parlamentaarne kontroll</w:t>
            </w:r>
            <w:r w:rsidRPr="009639F7">
              <w:t>.</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52</w:t>
      </w:r>
    </w:p>
    <w:p w:rsidR="001C700C" w:rsidRPr="009639F7" w:rsidRDefault="001C700C" w:rsidP="001C700C">
      <w:pPr>
        <w:pStyle w:val="AMNumberTabs"/>
      </w:pPr>
      <w:r w:rsidRPr="009639F7">
        <w:t>Ettepanek võtta vastu määrus</w:t>
      </w:r>
    </w:p>
    <w:p w:rsidR="001C700C" w:rsidRPr="009639F7" w:rsidRDefault="001C700C" w:rsidP="001C700C">
      <w:pPr>
        <w:pStyle w:val="NormalBold"/>
      </w:pPr>
      <w:r w:rsidRPr="009639F7">
        <w:t>Põhjendus 52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hRule="exac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tcPr>
          <w:p w:rsidR="001C700C" w:rsidRPr="009639F7" w:rsidRDefault="001C700C" w:rsidP="00464712">
            <w:pPr>
              <w:pStyle w:val="ColumnHeading"/>
            </w:pPr>
            <w:r w:rsidRPr="009639F7">
              <w:t>Komisjoni ettepanek</w:t>
            </w:r>
          </w:p>
        </w:tc>
        <w:tc>
          <w:tcPr>
            <w:tcW w:w="4876" w:type="dxa"/>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r w:rsidRPr="009639F7">
              <w:t>(52)</w:t>
            </w:r>
            <w:r w:rsidRPr="009639F7">
              <w:tab/>
              <w:t xml:space="preserve">Liit ja liikmesriigid on võtnud kohustuse </w:t>
            </w:r>
            <w:r w:rsidRPr="009639F7">
              <w:rPr>
                <w:b/>
                <w:i/>
              </w:rPr>
              <w:t>rakendada</w:t>
            </w:r>
            <w:r w:rsidRPr="009639F7">
              <w:t xml:space="preserve"> ÜRO kestliku arengu tegevuskava 2030. Aidates kaasa kestliku arengu tegevuskava 2030 elluviimisele, edendavad liit ja liikmesriigid tugevamat, jätkusuutlikumat, kaasavamat, turvalisemat ja jõukamat Euroopat. Programm peaks aitama kaasa tegevuskava 2030 elluviimisele, sealhulgas kestliku arengu majandusliku, sotsiaalse ja keskkonnamõõtme tasakaalustamise kaudu.</w:t>
            </w:r>
          </w:p>
        </w:tc>
        <w:tc>
          <w:tcPr>
            <w:tcW w:w="4876" w:type="dxa"/>
          </w:tcPr>
          <w:p w:rsidR="001C700C" w:rsidRPr="009639F7" w:rsidRDefault="001C700C" w:rsidP="00464712">
            <w:pPr>
              <w:pStyle w:val="Normal6"/>
            </w:pPr>
            <w:r w:rsidRPr="009639F7">
              <w:t>(52)</w:t>
            </w:r>
            <w:r w:rsidRPr="009639F7">
              <w:tab/>
              <w:t xml:space="preserve">Liit ja liikmesriigid on võtnud kohustuse </w:t>
            </w:r>
            <w:r w:rsidRPr="009639F7">
              <w:rPr>
                <w:b/>
                <w:i/>
              </w:rPr>
              <w:t>olla esimeste hulgas, kes viivad ellu</w:t>
            </w:r>
            <w:r w:rsidRPr="009639F7">
              <w:t xml:space="preserve"> </w:t>
            </w:r>
            <w:r w:rsidR="00464712" w:rsidRPr="009639F7">
              <w:t>ÜRO kestliku arengu tegevuskava </w:t>
            </w:r>
            <w:r w:rsidRPr="009639F7">
              <w:t>2030. Aidates kaasa kestliku arengu tegevuskava 2030 elluviimisele, edendavad liit ja liikmesriigid tugevamat, jätkusuutlikumat, kaasavamat, turvalisemat ja jõukamat Euroopat. Programm peaks aitama kaasa tegevuskava 2030 elluviimisele, sealhulgas kestliku arengu majandusliku, sotsiaalse ja keskkonnamõõtme tasakaalustamise kaudu</w:t>
            </w:r>
            <w:r w:rsidRPr="009639F7">
              <w:rPr>
                <w:b/>
                <w:i/>
              </w:rPr>
              <w:t xml:space="preserve"> ning seda eesmärki silmas pidades tuleks mitmeaastase finantsraamistiku määruses sätestada selge ja nähtav kohustus ja võtta kestliku arengu eesmärke igakülgselt arvesse, nagu Euroopa Parlament nõudis oma 14. märtsi ja 30. mai 2018. aasta resolutsioonides 2021.–2027. aasta mitmeaastase finantsraamistiku kohta</w:t>
            </w:r>
            <w:r w:rsidRPr="009639F7">
              <w:t>.</w:t>
            </w:r>
          </w:p>
        </w:tc>
      </w:tr>
    </w:tbl>
    <w:p w:rsidR="001C700C" w:rsidRPr="009639F7" w:rsidRDefault="001C700C" w:rsidP="001C700C"/>
    <w:p w:rsidR="001C700C" w:rsidRPr="009639F7" w:rsidRDefault="001C700C" w:rsidP="001C700C">
      <w:pPr>
        <w:pStyle w:val="AMNumberTabs"/>
        <w:keepNext/>
      </w:pPr>
      <w:r w:rsidRPr="009639F7">
        <w:lastRenderedPageBreak/>
        <w:t>Muudatusettepanek</w:t>
      </w:r>
      <w:r w:rsidRPr="009639F7">
        <w:tab/>
      </w:r>
      <w:r w:rsidRPr="009639F7">
        <w:tab/>
        <w:t>53</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58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(58)</w:t>
            </w:r>
            <w:r w:rsidRPr="009639F7">
              <w:tab/>
              <w:t>Varasemate programmide ja eelarveridade alusel rakendatud meetmed on osutunud asjakohasteks ja need tuleks säilitada. Programmi raames võetavate uute meetmete eesmärk on eelkõige toetada hästitoimivat siseturgu. Selleks et muuta programmi rakendamine lihtsamaks ja paindlikumaks ning tagada seeläbi eesmärkide parem täitmine, tuleks meetmete määratlemisel lähtuda üksnes üldkategooriatest. Samuti peaks programm sisaldama konkurentsivõime valdkonna konkreetsete eesmärkidega seotud näidismeetmeid või õigusnormidest tulenevate meetmete loetelu, näiteks standardimise, toiduahela reguleerimise ja Euroopa statistika valdkonnas.</w:t>
            </w:r>
          </w:p>
        </w:tc>
        <w:tc>
          <w:tcPr>
            <w:tcW w:w="4876" w:type="dxa"/>
            <w:hideMark/>
          </w:tcPr>
          <w:p w:rsidR="001C700C" w:rsidRPr="009639F7" w:rsidRDefault="001C700C" w:rsidP="00464712">
            <w:pPr>
              <w:pStyle w:val="Normal6"/>
              <w:rPr>
                <w:szCs w:val="24"/>
              </w:rPr>
            </w:pPr>
            <w:r w:rsidRPr="009639F7">
              <w:t>(58)</w:t>
            </w:r>
            <w:r w:rsidRPr="009639F7">
              <w:tab/>
              <w:t xml:space="preserve">Varasemate programmide ja eelarveridade alusel rakendatud meetmed on osutunud asjakohasteks ja need tuleks säilitada. Programmi raames võetavate uute meetmete eesmärk on eelkõige toetada hästitoimivat siseturgu. Selleks et muuta programmi rakendamine lihtsamaks ja paindlikumaks ning tagada seeläbi eesmärkide parem täitmine, tuleks meetmete määratlemisel lähtuda üksnes üldkategooriatest. Samuti peaks programm sisaldama konkurentsivõime </w:t>
            </w:r>
            <w:r w:rsidRPr="009639F7">
              <w:rPr>
                <w:b/>
                <w:i/>
              </w:rPr>
              <w:t xml:space="preserve">ja tarbijakaitse </w:t>
            </w:r>
            <w:r w:rsidRPr="009639F7">
              <w:t>valdkonna konkreetsete eesmärkidega seotud näidismeetmeid või õigusnormidest tulenevate meetmete loetelu, näiteks standardimise</w:t>
            </w:r>
            <w:r w:rsidRPr="009639F7">
              <w:rPr>
                <w:b/>
                <w:i/>
              </w:rPr>
              <w:t>, turujärelevalve</w:t>
            </w:r>
            <w:r w:rsidRPr="009639F7">
              <w:t>, toiduahela reguleerimise ja Euroopa statistika valdkonnas.</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54</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60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hRule="exac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tcPr>
          <w:p w:rsidR="001C700C" w:rsidRPr="009639F7" w:rsidRDefault="001C700C" w:rsidP="00464712">
            <w:pPr>
              <w:pStyle w:val="ColumnHeading"/>
            </w:pPr>
            <w:r w:rsidRPr="009639F7">
              <w:t>Komisjoni ettepanek</w:t>
            </w:r>
          </w:p>
        </w:tc>
        <w:tc>
          <w:tcPr>
            <w:tcW w:w="4876" w:type="dxa"/>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r w:rsidRPr="009639F7">
              <w:t>(60)</w:t>
            </w:r>
            <w:r w:rsidRPr="009639F7">
              <w:tab/>
              <w:t>Võttes arvesse maailma majanduse üha suuremat seotust, peaks programm ka edaspidi ette nägema võimaluse kutsuda väliseksperte, nagu kolmandate riikide ametnikke, rahvusvaheliste organisatsioonide esindajaid või ettevõtjaid osalema teatavates meetmetes.</w:t>
            </w:r>
          </w:p>
        </w:tc>
        <w:tc>
          <w:tcPr>
            <w:tcW w:w="4876" w:type="dxa"/>
          </w:tcPr>
          <w:p w:rsidR="001C700C" w:rsidRPr="009639F7" w:rsidRDefault="001C700C" w:rsidP="00464712">
            <w:pPr>
              <w:pStyle w:val="Normal6"/>
            </w:pPr>
            <w:r w:rsidRPr="009639F7">
              <w:t>(60)</w:t>
            </w:r>
            <w:r w:rsidRPr="009639F7">
              <w:tab/>
              <w:t>Võttes arvesse maailma majanduse</w:t>
            </w:r>
            <w:r w:rsidRPr="009639F7">
              <w:rPr>
                <w:b/>
                <w:i/>
              </w:rPr>
              <w:t>, sealhulgas digitaalmajanduse</w:t>
            </w:r>
            <w:r w:rsidRPr="009639F7">
              <w:t xml:space="preserve"> üha suuremat seotust, peaks programm ka edaspidi ette nägema võimaluse kutsuda väliseksperte, nagu kolmandate riikide ametnikke, rahvusvaheliste organisatsioonide esindajaid või ettevõtjaid osalema teatavates meetmetes.</w:t>
            </w:r>
          </w:p>
        </w:tc>
      </w:tr>
    </w:tbl>
    <w:p w:rsidR="001C700C" w:rsidRPr="009639F7" w:rsidRDefault="001C700C" w:rsidP="001C700C">
      <w:pPr>
        <w:pStyle w:val="AMNumberTabs"/>
      </w:pPr>
      <w:r w:rsidRPr="009639F7">
        <w:t>Muudatusettepanek</w:t>
      </w:r>
      <w:r w:rsidRPr="009639F7">
        <w:tab/>
      </w:r>
      <w:r w:rsidRPr="009639F7">
        <w:tab/>
        <w:t>55</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64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hRule="exac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tcPr>
          <w:p w:rsidR="001C700C" w:rsidRPr="009639F7" w:rsidRDefault="001C700C" w:rsidP="00464712">
            <w:pPr>
              <w:pStyle w:val="ColumnHeading"/>
            </w:pPr>
            <w:r w:rsidRPr="009639F7">
              <w:t>Komisjoni ettepanek</w:t>
            </w:r>
          </w:p>
        </w:tc>
        <w:tc>
          <w:tcPr>
            <w:tcW w:w="4876" w:type="dxa"/>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r w:rsidRPr="009639F7">
              <w:lastRenderedPageBreak/>
              <w:t>(64)</w:t>
            </w:r>
            <w:r w:rsidRPr="009639F7">
              <w:tab/>
            </w:r>
            <w:r w:rsidRPr="009639F7">
              <w:rPr>
                <w:b/>
                <w:i/>
              </w:rPr>
              <w:t>Programm peaks edendama sünergiat ja samas vältima dubleerimist teemaga seotud liidu programmide ja meetmetega.</w:t>
            </w:r>
            <w:r w:rsidRPr="009639F7">
              <w:t xml:space="preserve"> Käesoleva programmi raames võetavad meetmed peaksid täiendama Euroopa Parlamendi ja nõukogu määrusega (EL) [...]</w:t>
            </w:r>
            <w:r w:rsidRPr="009639F7">
              <w:rPr>
                <w:vertAlign w:val="superscript"/>
              </w:rPr>
              <w:t>67</w:t>
            </w:r>
            <w:r w:rsidRPr="009639F7">
              <w:t xml:space="preserve"> loodud programmi „Toll“ ning Euroopa Parlamendi ja nõukogu määrusega (EL) [...]</w:t>
            </w:r>
            <w:r w:rsidRPr="009639F7">
              <w:rPr>
                <w:vertAlign w:val="superscript"/>
              </w:rPr>
              <w:t>68</w:t>
            </w:r>
            <w:r w:rsidRPr="009639F7">
              <w:t xml:space="preserve"> loodud programmi „Fiscalis“, mille eesmärk on samuti toetada ja parandada siseturu toimimist.</w:t>
            </w:r>
          </w:p>
        </w:tc>
        <w:tc>
          <w:tcPr>
            <w:tcW w:w="4876" w:type="dxa"/>
          </w:tcPr>
          <w:p w:rsidR="001C700C" w:rsidRPr="009639F7" w:rsidRDefault="001C700C" w:rsidP="00464712">
            <w:pPr>
              <w:pStyle w:val="Normal6"/>
            </w:pPr>
            <w:r w:rsidRPr="009639F7">
              <w:t>(64)</w:t>
            </w:r>
            <w:r w:rsidRPr="009639F7">
              <w:tab/>
              <w:t>Käesoleva programmi raames võetavad meetmed peaksid täiendama Euroopa Parlamendi ja nõukogu määrusega (EL) [...]</w:t>
            </w:r>
            <w:r w:rsidRPr="009639F7">
              <w:rPr>
                <w:vertAlign w:val="superscript"/>
              </w:rPr>
              <w:t>67</w:t>
            </w:r>
            <w:r w:rsidRPr="009639F7">
              <w:t xml:space="preserve"> loodud programmi „Toll“ ning Euroopa Parlamendi ja nõukogu määrusega (EL) [...]</w:t>
            </w:r>
            <w:r w:rsidRPr="009639F7">
              <w:rPr>
                <w:vertAlign w:val="superscript"/>
              </w:rPr>
              <w:t>68</w:t>
            </w:r>
            <w:r w:rsidRPr="009639F7">
              <w:t xml:space="preserve"> loodud programmi „Fiscalis“, mille eesmärk on samuti toetada ja parandada siseturu toimimist.</w:t>
            </w:r>
          </w:p>
        </w:tc>
      </w:tr>
      <w:tr w:rsidR="001C700C" w:rsidRPr="009639F7" w:rsidTr="00464712">
        <w:trPr>
          <w:jc w:val="center"/>
        </w:trPr>
        <w:tc>
          <w:tcPr>
            <w:tcW w:w="4876" w:type="dxa"/>
          </w:tcPr>
          <w:p w:rsidR="001C700C" w:rsidRPr="009639F7" w:rsidRDefault="001C700C" w:rsidP="00464712">
            <w:pPr>
              <w:pStyle w:val="Normal6"/>
            </w:pPr>
            <w:r w:rsidRPr="009639F7">
              <w:t>_________________</w:t>
            </w:r>
          </w:p>
        </w:tc>
        <w:tc>
          <w:tcPr>
            <w:tcW w:w="4876" w:type="dxa"/>
          </w:tcPr>
          <w:p w:rsidR="001C700C" w:rsidRPr="009639F7" w:rsidRDefault="001C700C" w:rsidP="00464712">
            <w:pPr>
              <w:pStyle w:val="Normal6"/>
            </w:pPr>
            <w:r w:rsidRPr="009639F7">
              <w:t>_________________</w:t>
            </w:r>
          </w:p>
        </w:tc>
      </w:tr>
      <w:tr w:rsidR="001C700C" w:rsidRPr="009639F7" w:rsidTr="00464712">
        <w:trPr>
          <w:jc w:val="center"/>
        </w:trPr>
        <w:tc>
          <w:tcPr>
            <w:tcW w:w="4876" w:type="dxa"/>
          </w:tcPr>
          <w:p w:rsidR="001C700C" w:rsidRPr="009639F7" w:rsidRDefault="001C700C" w:rsidP="00464712">
            <w:pPr>
              <w:pStyle w:val="Normal6"/>
            </w:pPr>
            <w:r w:rsidRPr="009639F7">
              <w:rPr>
                <w:vertAlign w:val="superscript"/>
              </w:rPr>
              <w:t>67</w:t>
            </w:r>
            <w:r w:rsidRPr="009639F7">
              <w:t xml:space="preserve"> COM(2018)</w:t>
            </w:r>
            <w:r w:rsidR="00464712" w:rsidRPr="009639F7">
              <w:t>0</w:t>
            </w:r>
            <w:r w:rsidRPr="009639F7">
              <w:t>442 final</w:t>
            </w:r>
          </w:p>
        </w:tc>
        <w:tc>
          <w:tcPr>
            <w:tcW w:w="4876" w:type="dxa"/>
          </w:tcPr>
          <w:p w:rsidR="001C700C" w:rsidRPr="009639F7" w:rsidRDefault="001C700C" w:rsidP="00464712">
            <w:pPr>
              <w:pStyle w:val="Normal6"/>
            </w:pPr>
            <w:r w:rsidRPr="009639F7">
              <w:rPr>
                <w:vertAlign w:val="superscript"/>
              </w:rPr>
              <w:t>67</w:t>
            </w:r>
            <w:r w:rsidRPr="009639F7">
              <w:t xml:space="preserve"> COM(2018)</w:t>
            </w:r>
            <w:r w:rsidR="00464712" w:rsidRPr="009639F7">
              <w:t>0</w:t>
            </w:r>
            <w:r w:rsidRPr="009639F7">
              <w:t>442 final</w:t>
            </w:r>
            <w:r w:rsidR="00464712" w:rsidRPr="009639F7">
              <w:t>.</w:t>
            </w:r>
          </w:p>
        </w:tc>
      </w:tr>
      <w:tr w:rsidR="001C700C" w:rsidRPr="009639F7" w:rsidTr="00464712">
        <w:trPr>
          <w:jc w:val="center"/>
        </w:trPr>
        <w:tc>
          <w:tcPr>
            <w:tcW w:w="4876" w:type="dxa"/>
          </w:tcPr>
          <w:p w:rsidR="001C700C" w:rsidRPr="009639F7" w:rsidRDefault="001C700C" w:rsidP="00464712">
            <w:pPr>
              <w:pStyle w:val="Normal6"/>
            </w:pPr>
            <w:r w:rsidRPr="009639F7">
              <w:rPr>
                <w:vertAlign w:val="superscript"/>
              </w:rPr>
              <w:t>68</w:t>
            </w:r>
            <w:r w:rsidRPr="009639F7">
              <w:t xml:space="preserve"> COM(2018)</w:t>
            </w:r>
            <w:r w:rsidR="00464712" w:rsidRPr="009639F7">
              <w:t>0</w:t>
            </w:r>
            <w:r w:rsidRPr="009639F7">
              <w:t>443 final</w:t>
            </w:r>
          </w:p>
        </w:tc>
        <w:tc>
          <w:tcPr>
            <w:tcW w:w="4876" w:type="dxa"/>
          </w:tcPr>
          <w:p w:rsidR="001C700C" w:rsidRPr="009639F7" w:rsidRDefault="001C700C" w:rsidP="00464712">
            <w:pPr>
              <w:pStyle w:val="Normal6"/>
            </w:pPr>
            <w:r w:rsidRPr="009639F7">
              <w:rPr>
                <w:vertAlign w:val="superscript"/>
              </w:rPr>
              <w:t>68</w:t>
            </w:r>
            <w:r w:rsidRPr="009639F7">
              <w:t xml:space="preserve"> COM(2018)</w:t>
            </w:r>
            <w:r w:rsidR="00464712" w:rsidRPr="009639F7">
              <w:t>0</w:t>
            </w:r>
            <w:r w:rsidRPr="009639F7">
              <w:t>443 final</w:t>
            </w:r>
            <w:r w:rsidR="00464712" w:rsidRPr="009639F7">
              <w:t>.</w:t>
            </w:r>
          </w:p>
        </w:tc>
      </w:tr>
    </w:tbl>
    <w:p w:rsidR="001C700C" w:rsidRPr="009639F7" w:rsidRDefault="001C700C" w:rsidP="001C700C">
      <w:pPr>
        <w:pStyle w:val="JustificationTitle"/>
      </w:pPr>
      <w:r w:rsidRPr="009639F7">
        <w:t>Selgitus</w:t>
      </w:r>
    </w:p>
    <w:p w:rsidR="001C700C" w:rsidRPr="009639F7" w:rsidRDefault="001C700C" w:rsidP="001C700C">
      <w:pPr>
        <w:pStyle w:val="Normal12Italic"/>
      </w:pPr>
      <w:r w:rsidRPr="009639F7">
        <w:t>Väljajäetud osa on tõstetud põhjendusse 5, kuhu see sobib paremini, kuna põhjendus 64 käsitleb konkreetselt kahte programmi ning sarnaste eesmärkide topeltrahastamise kaotamine peaks olema kogu programmi üldine põhimõte.</w:t>
      </w:r>
    </w:p>
    <w:p w:rsidR="001C700C" w:rsidRPr="009639F7" w:rsidRDefault="001C700C" w:rsidP="001C700C"/>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56</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65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(65)</w:t>
            </w:r>
            <w:r w:rsidRPr="009639F7">
              <w:tab/>
              <w:t>Programm peaks edendama sünergiat</w:t>
            </w:r>
            <w:r w:rsidRPr="009639F7">
              <w:rPr>
                <w:b/>
                <w:i/>
              </w:rPr>
              <w:t xml:space="preserve"> ja</w:t>
            </w:r>
            <w:r w:rsidRPr="009639F7">
              <w:t xml:space="preserve"> vastastikust täiendavust Euroopa Parlamendi ja nõukogu määrusega (EL) [...]</w:t>
            </w:r>
            <w:r w:rsidRPr="009639F7">
              <w:rPr>
                <w:vertAlign w:val="superscript"/>
              </w:rPr>
              <w:t>69</w:t>
            </w:r>
            <w:r w:rsidRPr="009639F7">
              <w:t xml:space="preserve"> loodud Euroopa Regionaalarengu Fondi kohaste VKEde ja ettevõtluse toetustega. Lisaks sellele tagatakse Euroopa Parlamendi ja nõukogu määrusega (EL) [...]</w:t>
            </w:r>
            <w:r w:rsidRPr="009639F7">
              <w:rPr>
                <w:vertAlign w:val="superscript"/>
              </w:rPr>
              <w:t>70</w:t>
            </w:r>
            <w:r w:rsidRPr="009639F7">
              <w:t xml:space="preserve"> loodud InvestEU fondi VKEde komponendist võla- ja omakapitalitoetus, et parandada VKEde juurdepääsu rahastamisele ja selle kättesaadavust. Samuti peaks programm taotlema sünergiat Euroopa Parlamendi ja nõukogu määrusega (EL) [...]</w:t>
            </w:r>
            <w:r w:rsidRPr="009639F7">
              <w:rPr>
                <w:vertAlign w:val="superscript"/>
              </w:rPr>
              <w:t>71</w:t>
            </w:r>
            <w:r w:rsidRPr="009639F7">
              <w:t xml:space="preserve"> loodud kosmoseprogrammiga, kutsudes VKEsid üles saama kasu läbimurdelisest innovatsioonist ja muudest kõnealuste programmide raames välja töötatud lahendustest.</w:t>
            </w:r>
          </w:p>
        </w:tc>
        <w:tc>
          <w:tcPr>
            <w:tcW w:w="4876" w:type="dxa"/>
            <w:hideMark/>
          </w:tcPr>
          <w:p w:rsidR="001C700C" w:rsidRPr="009639F7" w:rsidRDefault="001C700C" w:rsidP="00464712">
            <w:pPr>
              <w:pStyle w:val="Normal6"/>
              <w:rPr>
                <w:szCs w:val="24"/>
              </w:rPr>
            </w:pPr>
            <w:r w:rsidRPr="009639F7">
              <w:t>(65)</w:t>
            </w:r>
            <w:r w:rsidRPr="009639F7">
              <w:tab/>
              <w:t>Programm peaks edendama sünergiat</w:t>
            </w:r>
            <w:r w:rsidRPr="009639F7">
              <w:rPr>
                <w:b/>
                <w:i/>
              </w:rPr>
              <w:t>,</w:t>
            </w:r>
            <w:r w:rsidRPr="009639F7">
              <w:t xml:space="preserve"> vastastikust täiendavust</w:t>
            </w:r>
            <w:r w:rsidRPr="009639F7">
              <w:rPr>
                <w:b/>
                <w:i/>
              </w:rPr>
              <w:t xml:space="preserve"> ja lisaväärtust</w:t>
            </w:r>
            <w:r w:rsidRPr="009639F7">
              <w:t xml:space="preserve"> Euroopa Parlamendi ja nõukogu määrusega (EL) [...]</w:t>
            </w:r>
            <w:r w:rsidRPr="009639F7">
              <w:rPr>
                <w:vertAlign w:val="superscript"/>
              </w:rPr>
              <w:t>69</w:t>
            </w:r>
            <w:r w:rsidRPr="009639F7">
              <w:t xml:space="preserve"> loodud Euroopa Regionaalarengu Fondi kohaste VKEde ja ettevõtluse toetustega. Lisaks sellele tagatakse Euroopa Parlamendi ja nõukogu määrusega (EL) [...]</w:t>
            </w:r>
            <w:r w:rsidRPr="009639F7">
              <w:rPr>
                <w:vertAlign w:val="superscript"/>
              </w:rPr>
              <w:t>70</w:t>
            </w:r>
            <w:r w:rsidRPr="009639F7">
              <w:t xml:space="preserve"> loodud InvestEU fondi VKEde komponendist võla- ja omakapitalitoetus, et parandada VKEde</w:t>
            </w:r>
            <w:r w:rsidRPr="009639F7">
              <w:rPr>
                <w:b/>
                <w:i/>
              </w:rPr>
              <w:t xml:space="preserve"> ja mikroettevõtjate</w:t>
            </w:r>
            <w:r w:rsidRPr="009639F7">
              <w:t xml:space="preserve"> juurdepääsu rahastamisele ja selle kättesaadavust. Samuti peaks programm taotlema sünergiat Euroopa Parlamendi ja nõukogu määrusega (EL) [...]</w:t>
            </w:r>
            <w:r w:rsidRPr="009639F7">
              <w:rPr>
                <w:vertAlign w:val="superscript"/>
              </w:rPr>
              <w:t>71</w:t>
            </w:r>
            <w:r w:rsidRPr="009639F7">
              <w:t xml:space="preserve"> loodud kosmoseprogrammiga, kutsudes VKEsid üles saama kasu läbimurdelisest innovatsioonist ja muudest kõnealuste programmide raames välja </w:t>
            </w:r>
            <w:r w:rsidRPr="009639F7">
              <w:lastRenderedPageBreak/>
              <w:t>töötatud lahendustest.</w:t>
            </w:r>
          </w:p>
        </w:tc>
      </w:tr>
      <w:tr w:rsidR="001C700C" w:rsidRPr="009639F7" w:rsidTr="00464712">
        <w:trPr>
          <w:jc w:val="center"/>
        </w:trPr>
        <w:tc>
          <w:tcPr>
            <w:tcW w:w="4876" w:type="dxa"/>
            <w:hideMark/>
          </w:tcPr>
          <w:p w:rsidR="001C700C" w:rsidRPr="009639F7" w:rsidRDefault="001C700C" w:rsidP="00464712">
            <w:pPr>
              <w:pStyle w:val="Normal6"/>
            </w:pPr>
            <w:r w:rsidRPr="009639F7">
              <w:lastRenderedPageBreak/>
              <w:t>__________________</w:t>
            </w:r>
          </w:p>
        </w:tc>
        <w:tc>
          <w:tcPr>
            <w:tcW w:w="4876" w:type="dxa"/>
            <w:hideMark/>
          </w:tcPr>
          <w:p w:rsidR="001C700C" w:rsidRPr="009639F7" w:rsidRDefault="001C700C" w:rsidP="00464712">
            <w:pPr>
              <w:pStyle w:val="Normal6"/>
              <w:rPr>
                <w:szCs w:val="24"/>
              </w:rPr>
            </w:pPr>
            <w:r w:rsidRPr="009639F7">
              <w:t>__________________</w:t>
            </w:r>
          </w:p>
        </w:tc>
      </w:tr>
      <w:tr w:rsidR="001C700C" w:rsidRPr="009639F7" w:rsidTr="00464712">
        <w:trPr>
          <w:jc w:val="center"/>
        </w:trPr>
        <w:tc>
          <w:tcPr>
            <w:tcW w:w="4876" w:type="dxa"/>
            <w:hideMark/>
          </w:tcPr>
          <w:p w:rsidR="001C700C" w:rsidRPr="009639F7" w:rsidRDefault="001C700C" w:rsidP="00464712">
            <w:pPr>
              <w:pStyle w:val="Normal6"/>
            </w:pPr>
            <w:r w:rsidRPr="009639F7">
              <w:rPr>
                <w:vertAlign w:val="superscript"/>
              </w:rPr>
              <w:t>69</w:t>
            </w:r>
            <w:r w:rsidRPr="009639F7">
              <w:t xml:space="preserve"> COM(2018)</w:t>
            </w:r>
            <w:r w:rsidR="00464712" w:rsidRPr="009639F7">
              <w:t>0</w:t>
            </w:r>
            <w:r w:rsidRPr="009639F7">
              <w:t>372 final</w:t>
            </w:r>
          </w:p>
        </w:tc>
        <w:tc>
          <w:tcPr>
            <w:tcW w:w="4876" w:type="dxa"/>
            <w:hideMark/>
          </w:tcPr>
          <w:p w:rsidR="001C700C" w:rsidRPr="009639F7" w:rsidRDefault="001C700C" w:rsidP="00464712">
            <w:pPr>
              <w:pStyle w:val="Normal6"/>
              <w:rPr>
                <w:szCs w:val="24"/>
              </w:rPr>
            </w:pPr>
            <w:r w:rsidRPr="009639F7">
              <w:rPr>
                <w:vertAlign w:val="superscript"/>
              </w:rPr>
              <w:t>69</w:t>
            </w:r>
            <w:r w:rsidRPr="009639F7">
              <w:t xml:space="preserve"> COM(2018)</w:t>
            </w:r>
            <w:r w:rsidR="00464712" w:rsidRPr="009639F7">
              <w:t>0</w:t>
            </w:r>
            <w:r w:rsidRPr="009639F7">
              <w:t>372 final</w:t>
            </w:r>
            <w:r w:rsidR="00464712" w:rsidRPr="009639F7">
              <w:t>.</w:t>
            </w:r>
          </w:p>
        </w:tc>
      </w:tr>
      <w:tr w:rsidR="001C700C" w:rsidRPr="009639F7" w:rsidTr="00464712">
        <w:trPr>
          <w:jc w:val="center"/>
        </w:trPr>
        <w:tc>
          <w:tcPr>
            <w:tcW w:w="4876" w:type="dxa"/>
            <w:hideMark/>
          </w:tcPr>
          <w:p w:rsidR="001C700C" w:rsidRPr="009639F7" w:rsidRDefault="001C700C" w:rsidP="00464712">
            <w:pPr>
              <w:pStyle w:val="Normal6"/>
            </w:pPr>
            <w:r w:rsidRPr="009639F7">
              <w:rPr>
                <w:vertAlign w:val="superscript"/>
              </w:rPr>
              <w:t>70</w:t>
            </w:r>
            <w:r w:rsidRPr="009639F7">
              <w:t xml:space="preserve"> COM(2018)</w:t>
            </w:r>
            <w:r w:rsidR="00464712" w:rsidRPr="009639F7">
              <w:t>0</w:t>
            </w:r>
            <w:r w:rsidRPr="009639F7">
              <w:t>439 final</w:t>
            </w:r>
          </w:p>
        </w:tc>
        <w:tc>
          <w:tcPr>
            <w:tcW w:w="4876" w:type="dxa"/>
            <w:hideMark/>
          </w:tcPr>
          <w:p w:rsidR="001C700C" w:rsidRPr="009639F7" w:rsidRDefault="001C700C" w:rsidP="00464712">
            <w:pPr>
              <w:pStyle w:val="Normal6"/>
              <w:rPr>
                <w:szCs w:val="24"/>
              </w:rPr>
            </w:pPr>
            <w:r w:rsidRPr="009639F7">
              <w:rPr>
                <w:vertAlign w:val="superscript"/>
              </w:rPr>
              <w:t>70</w:t>
            </w:r>
            <w:r w:rsidRPr="009639F7">
              <w:t xml:space="preserve"> COM(2018)</w:t>
            </w:r>
            <w:r w:rsidR="00464712" w:rsidRPr="009639F7">
              <w:t>0</w:t>
            </w:r>
            <w:r w:rsidRPr="009639F7">
              <w:t>439 final</w:t>
            </w:r>
            <w:r w:rsidR="00464712" w:rsidRPr="009639F7">
              <w:t>.</w:t>
            </w:r>
          </w:p>
        </w:tc>
      </w:tr>
      <w:tr w:rsidR="001C700C" w:rsidRPr="009639F7" w:rsidTr="00464712">
        <w:trPr>
          <w:jc w:val="center"/>
        </w:trPr>
        <w:tc>
          <w:tcPr>
            <w:tcW w:w="4876" w:type="dxa"/>
            <w:hideMark/>
          </w:tcPr>
          <w:p w:rsidR="001C700C" w:rsidRPr="009639F7" w:rsidRDefault="001C700C" w:rsidP="00464712">
            <w:pPr>
              <w:pStyle w:val="Normal6"/>
            </w:pPr>
            <w:r w:rsidRPr="009639F7">
              <w:rPr>
                <w:vertAlign w:val="superscript"/>
              </w:rPr>
              <w:t>71</w:t>
            </w:r>
            <w:r w:rsidRPr="009639F7">
              <w:t xml:space="preserve"> COM(2018)</w:t>
            </w:r>
            <w:r w:rsidR="00464712" w:rsidRPr="009639F7">
              <w:t>0</w:t>
            </w:r>
            <w:r w:rsidRPr="009639F7">
              <w:t>447 final</w:t>
            </w:r>
          </w:p>
        </w:tc>
        <w:tc>
          <w:tcPr>
            <w:tcW w:w="4876" w:type="dxa"/>
            <w:hideMark/>
          </w:tcPr>
          <w:p w:rsidR="001C700C" w:rsidRPr="009639F7" w:rsidRDefault="001C700C" w:rsidP="00464712">
            <w:pPr>
              <w:pStyle w:val="Normal6"/>
              <w:rPr>
                <w:szCs w:val="24"/>
              </w:rPr>
            </w:pPr>
            <w:r w:rsidRPr="009639F7">
              <w:rPr>
                <w:vertAlign w:val="superscript"/>
              </w:rPr>
              <w:t>71</w:t>
            </w:r>
            <w:r w:rsidRPr="009639F7">
              <w:t xml:space="preserve"> COM(2018)</w:t>
            </w:r>
            <w:r w:rsidR="00464712" w:rsidRPr="009639F7">
              <w:t>0</w:t>
            </w:r>
            <w:r w:rsidRPr="009639F7">
              <w:t>447 final</w:t>
            </w:r>
            <w:r w:rsidR="00464712" w:rsidRPr="009639F7">
              <w:t>.</w:t>
            </w:r>
          </w:p>
        </w:tc>
      </w:tr>
    </w:tbl>
    <w:p w:rsidR="001C700C" w:rsidRPr="009639F7" w:rsidRDefault="001C700C" w:rsidP="001C700C">
      <w:pPr>
        <w:pStyle w:val="JustificationTitle"/>
      </w:pPr>
      <w:r w:rsidRPr="009639F7">
        <w:t>Selgitus</w:t>
      </w:r>
    </w:p>
    <w:p w:rsidR="001C700C" w:rsidRPr="009639F7" w:rsidRDefault="001C700C" w:rsidP="001C700C">
      <w:pPr>
        <w:pStyle w:val="Normal12Italic"/>
      </w:pPr>
      <w:r w:rsidRPr="009639F7">
        <w:t>Lisatud viide täiendavusele ja mikroettevõtjatele.</w:t>
      </w:r>
    </w:p>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57</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67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(67)</w:t>
            </w:r>
            <w:r w:rsidRPr="009639F7">
              <w:tab/>
              <w:t>Programm peaks edendama sünergiat ja vastastikust täiendavust Euroopa Parlamendi ja nõukogu määrusega (EL) [...]</w:t>
            </w:r>
            <w:r w:rsidRPr="009639F7">
              <w:rPr>
                <w:vertAlign w:val="superscript"/>
              </w:rPr>
              <w:t>73</w:t>
            </w:r>
            <w:r w:rsidRPr="009639F7">
              <w:t xml:space="preserve"> loodud digitaalse Euroopa programmiga, mille eesmärk on edendada liidu majanduse ja avaliku sektori digiteerimist.</w:t>
            </w:r>
          </w:p>
        </w:tc>
        <w:tc>
          <w:tcPr>
            <w:tcW w:w="4876" w:type="dxa"/>
            <w:hideMark/>
          </w:tcPr>
          <w:p w:rsidR="001C700C" w:rsidRPr="009639F7" w:rsidRDefault="001C700C" w:rsidP="00464712">
            <w:pPr>
              <w:pStyle w:val="Normal6"/>
              <w:rPr>
                <w:szCs w:val="24"/>
              </w:rPr>
            </w:pPr>
            <w:r w:rsidRPr="009639F7">
              <w:t>(67)</w:t>
            </w:r>
            <w:r w:rsidRPr="009639F7">
              <w:tab/>
              <w:t>Programm peaks edendama sünergiat ja vastastikust täiendavust Euroopa Parlamendi ja nõukogu määrusega (EL) [...]</w:t>
            </w:r>
            <w:r w:rsidRPr="009639F7">
              <w:rPr>
                <w:vertAlign w:val="superscript"/>
              </w:rPr>
              <w:t>73</w:t>
            </w:r>
            <w:r w:rsidRPr="009639F7">
              <w:t xml:space="preserve"> loodud digitaalse Euroopa programmiga, mille eesmärk on edendada liidu majanduse ja avaliku sektori digiteerimist</w:t>
            </w:r>
            <w:r w:rsidRPr="009639F7">
              <w:rPr>
                <w:b/>
                <w:i/>
              </w:rPr>
              <w:t xml:space="preserve"> ja suuremat küberturvalisust</w:t>
            </w:r>
            <w:r w:rsidRPr="009639F7">
              <w:t>.</w:t>
            </w:r>
          </w:p>
        </w:tc>
      </w:tr>
      <w:tr w:rsidR="001C700C" w:rsidRPr="009639F7" w:rsidTr="00464712">
        <w:trPr>
          <w:jc w:val="center"/>
        </w:trPr>
        <w:tc>
          <w:tcPr>
            <w:tcW w:w="4876" w:type="dxa"/>
            <w:hideMark/>
          </w:tcPr>
          <w:p w:rsidR="001C700C" w:rsidRPr="009639F7" w:rsidRDefault="001C700C" w:rsidP="00464712">
            <w:pPr>
              <w:pStyle w:val="Normal6"/>
            </w:pPr>
            <w:r w:rsidRPr="009639F7">
              <w:t>__________________</w:t>
            </w:r>
          </w:p>
        </w:tc>
        <w:tc>
          <w:tcPr>
            <w:tcW w:w="4876" w:type="dxa"/>
            <w:hideMark/>
          </w:tcPr>
          <w:p w:rsidR="001C700C" w:rsidRPr="009639F7" w:rsidRDefault="001C700C" w:rsidP="00464712">
            <w:pPr>
              <w:pStyle w:val="Normal6"/>
              <w:rPr>
                <w:szCs w:val="24"/>
              </w:rPr>
            </w:pPr>
            <w:r w:rsidRPr="009639F7">
              <w:t>__________________</w:t>
            </w:r>
          </w:p>
        </w:tc>
      </w:tr>
      <w:tr w:rsidR="001C700C" w:rsidRPr="009639F7" w:rsidTr="00464712">
        <w:trPr>
          <w:jc w:val="center"/>
        </w:trPr>
        <w:tc>
          <w:tcPr>
            <w:tcW w:w="4876" w:type="dxa"/>
            <w:hideMark/>
          </w:tcPr>
          <w:p w:rsidR="001C700C" w:rsidRPr="009639F7" w:rsidRDefault="001C700C" w:rsidP="00464712">
            <w:pPr>
              <w:pStyle w:val="Normal6"/>
            </w:pPr>
            <w:r w:rsidRPr="009639F7">
              <w:rPr>
                <w:vertAlign w:val="superscript"/>
              </w:rPr>
              <w:t>73</w:t>
            </w:r>
            <w:r w:rsidRPr="009639F7">
              <w:t xml:space="preserve"> COM(2018)</w:t>
            </w:r>
            <w:r w:rsidR="00464712" w:rsidRPr="009639F7">
              <w:t>0</w:t>
            </w:r>
            <w:r w:rsidRPr="009639F7">
              <w:t>434 final</w:t>
            </w:r>
          </w:p>
        </w:tc>
        <w:tc>
          <w:tcPr>
            <w:tcW w:w="4876" w:type="dxa"/>
            <w:hideMark/>
          </w:tcPr>
          <w:p w:rsidR="001C700C" w:rsidRPr="009639F7" w:rsidRDefault="001C700C" w:rsidP="00464712">
            <w:pPr>
              <w:pStyle w:val="Normal6"/>
              <w:rPr>
                <w:szCs w:val="24"/>
              </w:rPr>
            </w:pPr>
            <w:r w:rsidRPr="009639F7">
              <w:rPr>
                <w:vertAlign w:val="superscript"/>
              </w:rPr>
              <w:t>73</w:t>
            </w:r>
            <w:r w:rsidRPr="009639F7">
              <w:t xml:space="preserve"> COM(2018)</w:t>
            </w:r>
            <w:r w:rsidR="00464712" w:rsidRPr="009639F7">
              <w:t>0</w:t>
            </w:r>
            <w:r w:rsidRPr="009639F7">
              <w:t>434 final</w:t>
            </w:r>
            <w:r w:rsidR="00464712" w:rsidRPr="009639F7">
              <w:t>.</w:t>
            </w:r>
          </w:p>
        </w:tc>
      </w:tr>
    </w:tbl>
    <w:p w:rsidR="001C700C" w:rsidRPr="009639F7" w:rsidRDefault="001C700C" w:rsidP="001C700C">
      <w:pPr>
        <w:rPr>
          <w:szCs w:val="24"/>
        </w:rPr>
      </w:pPr>
    </w:p>
    <w:p w:rsidR="001C700C" w:rsidRPr="009639F7" w:rsidRDefault="001C700C" w:rsidP="001C700C">
      <w:pPr>
        <w:pStyle w:val="AMNumberTabs"/>
      </w:pPr>
      <w:r w:rsidRPr="009639F7">
        <w:t>Muudatusettepanek</w:t>
      </w:r>
      <w:r w:rsidRPr="009639F7">
        <w:tab/>
      </w:r>
      <w:r w:rsidRPr="009639F7">
        <w:tab/>
        <w:t>58</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71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(71)</w:t>
            </w:r>
            <w:r w:rsidRPr="009639F7">
              <w:tab/>
            </w:r>
            <w:r w:rsidRPr="009639F7">
              <w:rPr>
                <w:b/>
                <w:i/>
              </w:rPr>
              <w:t>Vajaduse korral tuleks programmi meetmeid</w:t>
            </w:r>
            <w:r w:rsidRPr="009639F7">
              <w:t xml:space="preserve"> kasutada turutõrgete kõrvaldamiseks või mitteoptimaalsete investeerimisolukordade lahendamiseks proportsionaalselt, nii et need ei dubleeriks ega tõrjuks välja erasektori rahastamist</w:t>
            </w:r>
            <w:r w:rsidRPr="009639F7">
              <w:rPr>
                <w:b/>
                <w:i/>
              </w:rPr>
              <w:t>, ning pakuksid selget Euroopa lisaväärtust</w:t>
            </w:r>
            <w:r w:rsidRPr="009639F7">
              <w:t>.</w:t>
            </w:r>
          </w:p>
        </w:tc>
        <w:tc>
          <w:tcPr>
            <w:tcW w:w="4876" w:type="dxa"/>
            <w:hideMark/>
          </w:tcPr>
          <w:p w:rsidR="001C700C" w:rsidRPr="009639F7" w:rsidRDefault="001C700C" w:rsidP="00464712">
            <w:pPr>
              <w:pStyle w:val="Normal6"/>
              <w:rPr>
                <w:szCs w:val="24"/>
              </w:rPr>
            </w:pPr>
            <w:r w:rsidRPr="009639F7">
              <w:t>(71)</w:t>
            </w:r>
            <w:r w:rsidRPr="009639F7">
              <w:tab/>
            </w:r>
            <w:r w:rsidRPr="009639F7">
              <w:rPr>
                <w:b/>
                <w:i/>
              </w:rPr>
              <w:t>Programmi meetmetel peaks olema selge Euroopa lisaväärtus ja neid tuleks</w:t>
            </w:r>
            <w:r w:rsidRPr="009639F7">
              <w:t xml:space="preserve"> kasutada turutõrgete kõrvaldamiseks või mitteoptimaalsete investeerimisolukordade lahendamiseks proportsionaalselt, nii et need ei dubleeriks ega tõrjuks välja erasektori rahastamist.</w:t>
            </w:r>
          </w:p>
        </w:tc>
      </w:tr>
    </w:tbl>
    <w:p w:rsidR="001C700C" w:rsidRPr="009639F7" w:rsidRDefault="001C700C" w:rsidP="001C700C"/>
    <w:p w:rsidR="001C700C" w:rsidRPr="009639F7" w:rsidRDefault="001C700C" w:rsidP="001C700C">
      <w:pPr>
        <w:pStyle w:val="AMNumberTabs"/>
        <w:keepNext/>
      </w:pPr>
      <w:r w:rsidRPr="009639F7">
        <w:lastRenderedPageBreak/>
        <w:t>Muudatusettepanek</w:t>
      </w:r>
      <w:r w:rsidRPr="009639F7">
        <w:tab/>
      </w:r>
      <w:r w:rsidRPr="009639F7">
        <w:tab/>
        <w:t>59</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72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(72)</w:t>
            </w:r>
            <w:r w:rsidRPr="009639F7">
              <w:rPr>
                <w:b/>
                <w:i/>
              </w:rPr>
              <w:tab/>
              <w:t>Komisjonile tuleks anda rakendamisvolitused seoses selliste tööprogrammide vastuvõtmisega, millega tagatakse inimeste, loomade ja taimede tervise kaitse kõrge tase kogu toiduahelas. Neid volitusi tuleks teostada kooskõlas Euroopa Parlamendi ja nõukogu määrusega (EL) nr 182/2011</w:t>
            </w:r>
            <w:r w:rsidRPr="009639F7">
              <w:rPr>
                <w:b/>
                <w:i/>
                <w:vertAlign w:val="superscript"/>
              </w:rPr>
              <w:t>79</w:t>
            </w:r>
            <w:r w:rsidRPr="009639F7">
              <w:rPr>
                <w:b/>
                <w:i/>
              </w:rPr>
              <w:t>.</w:t>
            </w:r>
          </w:p>
        </w:tc>
        <w:tc>
          <w:tcPr>
            <w:tcW w:w="4876" w:type="dxa"/>
            <w:hideMark/>
          </w:tcPr>
          <w:p w:rsidR="001C700C" w:rsidRPr="009639F7" w:rsidRDefault="001C700C" w:rsidP="00464712">
            <w:pPr>
              <w:pStyle w:val="Normal6"/>
              <w:rPr>
                <w:szCs w:val="24"/>
              </w:rPr>
            </w:pPr>
            <w:r w:rsidRPr="009639F7">
              <w:rPr>
                <w:b/>
                <w:i/>
              </w:rPr>
              <w:t>välja jäetud</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__________________</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vertAlign w:val="superscript"/>
              </w:rPr>
              <w:t xml:space="preserve">79 </w:t>
            </w:r>
            <w:r w:rsidRPr="009639F7">
              <w:rPr>
                <w:b/>
                <w:i/>
              </w:rPr>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tc>
        <w:tc>
          <w:tcPr>
            <w:tcW w:w="4876" w:type="dxa"/>
          </w:tcPr>
          <w:p w:rsidR="001C700C" w:rsidRPr="009639F7" w:rsidRDefault="001C700C" w:rsidP="00464712">
            <w:pPr>
              <w:pStyle w:val="Normal6"/>
              <w:rPr>
                <w:szCs w:val="24"/>
              </w:rPr>
            </w:pPr>
          </w:p>
        </w:tc>
      </w:tr>
    </w:tbl>
    <w:p w:rsidR="001C700C" w:rsidRPr="009639F7" w:rsidRDefault="001C700C" w:rsidP="001C700C"/>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60</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73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(73)</w:t>
            </w:r>
            <w:r w:rsidRPr="009639F7">
              <w:tab/>
              <w:t>Käesoleva määrusega ette nähtud rahastamisliikide ja eelarve täitmise viiside valikul tuleks lähtuda nende võimest saavutada meetmete erieesmärke ja tulemusi, võttes eelkõige arvesse kontrollidega seotud kulusid, halduskoormust ja eeldatavat nõuete täitmata jätmisega seotud riski. See peaks hõlmama kindlasummaliste maksete, kindlamääraliste maksete ja ühikuhindade kasutamise kaalumist ning finantsmääruse artikli</w:t>
            </w:r>
            <w:r w:rsidRPr="009639F7">
              <w:rPr>
                <w:b/>
                <w:i/>
              </w:rPr>
              <w:t xml:space="preserve"> </w:t>
            </w:r>
            <w:r w:rsidRPr="009639F7">
              <w:t>125 lõike</w:t>
            </w:r>
            <w:r w:rsidRPr="009639F7">
              <w:rPr>
                <w:b/>
                <w:i/>
              </w:rPr>
              <w:t xml:space="preserve"> </w:t>
            </w:r>
            <w:r w:rsidRPr="009639F7">
              <w:t>1 kohaste kuludega mitteseotud rahastamisvahendite kasutamist.</w:t>
            </w:r>
          </w:p>
        </w:tc>
        <w:tc>
          <w:tcPr>
            <w:tcW w:w="4876" w:type="dxa"/>
            <w:hideMark/>
          </w:tcPr>
          <w:p w:rsidR="001C700C" w:rsidRPr="009639F7" w:rsidRDefault="001C700C" w:rsidP="00464712">
            <w:pPr>
              <w:pStyle w:val="Normal6"/>
              <w:rPr>
                <w:szCs w:val="24"/>
              </w:rPr>
            </w:pPr>
            <w:r w:rsidRPr="009639F7">
              <w:t>(73)</w:t>
            </w:r>
            <w:r w:rsidRPr="009639F7">
              <w:tab/>
              <w:t xml:space="preserve">Käesoleva määrusega ette nähtud rahastamisliikide ja eelarve täitmise viiside valikul tuleks lähtuda nende võimest saavutada meetmete erieesmärke ja tulemusi, võttes eelkõige arvesse </w:t>
            </w:r>
            <w:r w:rsidRPr="009639F7">
              <w:rPr>
                <w:b/>
                <w:i/>
              </w:rPr>
              <w:t xml:space="preserve">liidu lisaväärtust, </w:t>
            </w:r>
            <w:r w:rsidRPr="009639F7">
              <w:t>kontrollidega seotud kulusid, halduskoormust ja eeldatavat nõuete täitmata jätmisega seotud riski. See peaks hõlmama kindlasummaliste maksete, kindlamääraliste maksete ja ühikuhindade kasutamise kaalumist ning finantsmääruse artikli</w:t>
            </w:r>
            <w:r w:rsidRPr="009639F7">
              <w:rPr>
                <w:b/>
                <w:i/>
              </w:rPr>
              <w:t> </w:t>
            </w:r>
            <w:r w:rsidRPr="009639F7">
              <w:t>125 lõike</w:t>
            </w:r>
            <w:r w:rsidRPr="009639F7">
              <w:rPr>
                <w:b/>
                <w:i/>
              </w:rPr>
              <w:t> </w:t>
            </w:r>
            <w:r w:rsidRPr="009639F7">
              <w:t>1 kohaste kuludega mitteseotud rahastamisvahendite kasutamist.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61</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74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(74)</w:t>
            </w:r>
            <w:r w:rsidRPr="009639F7">
              <w:tab/>
            </w:r>
            <w:r w:rsidRPr="009639F7">
              <w:rPr>
                <w:b/>
                <w:i/>
              </w:rPr>
              <w:t>Korrapärase</w:t>
            </w:r>
            <w:r w:rsidRPr="009639F7">
              <w:t xml:space="preserve"> järelevalve ja aruandluse tagamiseks tuleks programmi meetmete ja tulemuste järelevalve jaoks kohe alguses paika panna nõuetekohane raamistik. Selline järelevalve ja aruandlus peaksid põhinema näitajatel, millega mõõdetakse programmi meetmete mõju eelnevalt kindlaksmääratud võrdlusaluse põhjal.</w:t>
            </w:r>
          </w:p>
        </w:tc>
        <w:tc>
          <w:tcPr>
            <w:tcW w:w="4876" w:type="dxa"/>
            <w:hideMark/>
          </w:tcPr>
          <w:p w:rsidR="001C700C" w:rsidRPr="009639F7" w:rsidRDefault="001C700C" w:rsidP="00464712">
            <w:pPr>
              <w:pStyle w:val="Normal6"/>
              <w:rPr>
                <w:szCs w:val="24"/>
              </w:rPr>
            </w:pPr>
            <w:r w:rsidRPr="009639F7">
              <w:t>(74)</w:t>
            </w:r>
            <w:r w:rsidRPr="009639F7">
              <w:tab/>
            </w:r>
            <w:r w:rsidRPr="009639F7">
              <w:rPr>
                <w:b/>
                <w:i/>
              </w:rPr>
              <w:t>Saavutatud tulemuste ning programmi tõhususe ja tulemuslikkuse korrapärase</w:t>
            </w:r>
            <w:r w:rsidRPr="009639F7">
              <w:t xml:space="preserve"> järelevalve ja aruandluse tagamiseks tuleks programmi meetmete ja tulemuste järelevalve jaoks kohe alguses paika panna nõuetekohane raamistik. Selline järelevalve ja aruandlus peaksid põhinema näitajatel, millega mõõdetakse programmi meetmete mõju eelnevalt kindlaksmääratud võrdlusaluse põhjal.</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62</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75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(75)</w:t>
            </w:r>
            <w:r w:rsidRPr="009639F7">
              <w:tab/>
              <w:t>Vastavalt 13. aprilli 2016. aasta institutsioonidevahelise parema õigusloome kokkuleppe</w:t>
            </w:r>
            <w:r w:rsidRPr="009639F7">
              <w:rPr>
                <w:vertAlign w:val="superscript"/>
              </w:rPr>
              <w:t>80</w:t>
            </w:r>
            <w:r w:rsidRPr="009639F7">
              <w:t xml:space="preserve"> punktidele 22 ja 23 tuleb programmi hinnata konkreetse järelevalvekorra alusel kogutud teabe põhjal, vältides ülereguleerimist ning halduskoormust, eelkõige liikmesriikides. See kord peaks vajaduse korral hõlmama mõõdetavaid näitajaid, et hinnata nende põhjal programmi mõju kohapeal.</w:t>
            </w:r>
          </w:p>
        </w:tc>
        <w:tc>
          <w:tcPr>
            <w:tcW w:w="4876" w:type="dxa"/>
            <w:hideMark/>
          </w:tcPr>
          <w:p w:rsidR="001C700C" w:rsidRPr="009639F7" w:rsidRDefault="001C700C" w:rsidP="00464712">
            <w:pPr>
              <w:pStyle w:val="Normal6"/>
              <w:rPr>
                <w:szCs w:val="24"/>
              </w:rPr>
            </w:pPr>
            <w:r w:rsidRPr="009639F7">
              <w:t>(75)</w:t>
            </w:r>
            <w:r w:rsidRPr="009639F7">
              <w:tab/>
              <w:t>Vastavalt 13. aprilli 2016. aasta institutsioonidevahelise parema õigusloome kokkuleppe</w:t>
            </w:r>
            <w:r w:rsidRPr="009639F7">
              <w:rPr>
                <w:vertAlign w:val="superscript"/>
              </w:rPr>
              <w:t>80</w:t>
            </w:r>
            <w:r w:rsidRPr="009639F7">
              <w:t xml:space="preserve"> punktidele 22 ja 23 tuleb programmi hinnata konkreetse järelevalvekorra alusel kogutud teabe põhjal, vältides ülereguleerimist ning halduskoormust, eelkõige liikmesriikides. See kord peaks vajaduse korral hõlmama mõõdetavaid näitajaid, et hinnata nende põhjal programmi mõju kohapeal. </w:t>
            </w:r>
            <w:r w:rsidRPr="009639F7">
              <w:rPr>
                <w:b/>
                <w:i/>
              </w:rPr>
              <w:t>Komisjon peaks koostama vahearuande, milles hinnatakse, kuivõrd on täidetud programmi raames toetatud meetmete eesmärgid, millised olid selle mõjud ja tulemused, kui tõhusalt kasutati ressursse ja millist liidu lisaväärtust saadi, ning koostama lõpliku hindamisaruande meetmete pikemaajaliste mõjude, tulemuste ja kestlikkuse ning teiste programmidega saavutatud sünergia kohta.</w:t>
            </w:r>
          </w:p>
        </w:tc>
      </w:tr>
      <w:tr w:rsidR="001C700C" w:rsidRPr="009639F7" w:rsidTr="00464712">
        <w:trPr>
          <w:jc w:val="center"/>
        </w:trPr>
        <w:tc>
          <w:tcPr>
            <w:tcW w:w="4876" w:type="dxa"/>
            <w:hideMark/>
          </w:tcPr>
          <w:p w:rsidR="001C700C" w:rsidRPr="009639F7" w:rsidRDefault="001C700C" w:rsidP="00464712">
            <w:pPr>
              <w:pStyle w:val="Normal6"/>
            </w:pPr>
            <w:r w:rsidRPr="009639F7">
              <w:lastRenderedPageBreak/>
              <w:t>__________________</w:t>
            </w:r>
          </w:p>
        </w:tc>
        <w:tc>
          <w:tcPr>
            <w:tcW w:w="4876" w:type="dxa"/>
            <w:hideMark/>
          </w:tcPr>
          <w:p w:rsidR="001C700C" w:rsidRPr="009639F7" w:rsidRDefault="001C700C" w:rsidP="00464712">
            <w:pPr>
              <w:pStyle w:val="Normal6"/>
              <w:rPr>
                <w:szCs w:val="24"/>
              </w:rPr>
            </w:pPr>
            <w:r w:rsidRPr="009639F7">
              <w:t>__________________</w:t>
            </w:r>
          </w:p>
        </w:tc>
      </w:tr>
      <w:tr w:rsidR="001C700C" w:rsidRPr="009639F7" w:rsidTr="00464712">
        <w:trPr>
          <w:jc w:val="center"/>
        </w:trPr>
        <w:tc>
          <w:tcPr>
            <w:tcW w:w="4876" w:type="dxa"/>
            <w:hideMark/>
          </w:tcPr>
          <w:p w:rsidR="001C700C" w:rsidRPr="009639F7" w:rsidRDefault="001C700C" w:rsidP="00464712">
            <w:pPr>
              <w:pStyle w:val="Normal6"/>
            </w:pPr>
            <w:r w:rsidRPr="009639F7">
              <w:rPr>
                <w:vertAlign w:val="superscript"/>
              </w:rPr>
              <w:t>80</w:t>
            </w:r>
            <w:r w:rsidRPr="009639F7">
              <w:t xml:space="preserve"> ELT L 123, 12.5.2016, lk 1.</w:t>
            </w:r>
          </w:p>
        </w:tc>
        <w:tc>
          <w:tcPr>
            <w:tcW w:w="4876" w:type="dxa"/>
            <w:hideMark/>
          </w:tcPr>
          <w:p w:rsidR="001C700C" w:rsidRPr="009639F7" w:rsidRDefault="001C700C" w:rsidP="00464712">
            <w:pPr>
              <w:pStyle w:val="Normal6"/>
              <w:rPr>
                <w:szCs w:val="24"/>
              </w:rPr>
            </w:pPr>
            <w:r w:rsidRPr="009639F7">
              <w:rPr>
                <w:vertAlign w:val="superscript"/>
              </w:rPr>
              <w:t>80</w:t>
            </w:r>
            <w:r w:rsidRPr="009639F7">
              <w:t xml:space="preserve"> ELT L 123, 12.5.2016, lk 1.</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63</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75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464712" w:rsidP="00464712">
            <w:pPr>
              <w:pStyle w:val="Normal6"/>
              <w:rPr>
                <w:szCs w:val="24"/>
              </w:rPr>
            </w:pPr>
            <w:r w:rsidRPr="009639F7">
              <w:rPr>
                <w:b/>
                <w:i/>
              </w:rPr>
              <w:t>(75</w:t>
            </w:r>
            <w:r w:rsidR="001C700C" w:rsidRPr="009639F7">
              <w:rPr>
                <w:b/>
                <w:i/>
              </w:rPr>
              <w:t>a)</w:t>
            </w:r>
            <w:r w:rsidR="001C700C" w:rsidRPr="009639F7">
              <w:rPr>
                <w:b/>
                <w:i/>
              </w:rPr>
              <w:tab/>
              <w:t>Käesoleva määruse teatavate mitteoluliste osade täiendamiseks peaks komisjonil olema õigus võtta kooskõlas Euroopa Li</w:t>
            </w:r>
            <w:r w:rsidRPr="009639F7">
              <w:rPr>
                <w:b/>
                <w:i/>
              </w:rPr>
              <w:t>idu toimimise lepingu artikliga </w:t>
            </w:r>
            <w:r w:rsidR="001C700C" w:rsidRPr="009639F7">
              <w:rPr>
                <w:b/>
                <w:i/>
              </w:rPr>
              <w:t>290 vastu delegeeritud õigusakte tööprogrammi(de) vastuvõtmise kohta.</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64</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76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hideMark/>
          </w:tcPr>
          <w:p w:rsidR="001C700C" w:rsidRPr="009639F7" w:rsidRDefault="001C700C" w:rsidP="00464712">
            <w:pPr>
              <w:pStyle w:val="ColumnHeading"/>
            </w:pPr>
            <w:r w:rsidRPr="009639F7">
              <w:t>Komisjoni ettepanek</w:t>
            </w:r>
          </w:p>
        </w:tc>
        <w:tc>
          <w:tcPr>
            <w:tcW w:w="4876" w:type="dxa"/>
            <w:hideMark/>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(76)</w:t>
            </w:r>
            <w:r w:rsidRPr="009639F7">
              <w:tab/>
              <w:t>Euroopa Parlamendi ja nõukogu määruse (EL) nr 2016/429</w:t>
            </w:r>
            <w:r w:rsidRPr="009639F7">
              <w:rPr>
                <w:vertAlign w:val="superscript"/>
              </w:rPr>
              <w:t>81</w:t>
            </w:r>
            <w:r w:rsidRPr="009639F7">
              <w:t xml:space="preserve"> I osa 2. peatükis, Euroopa Parlamendi ja nõukogu määruses (EÜ) nr 2160/2003</w:t>
            </w:r>
            <w:r w:rsidRPr="009639F7">
              <w:rPr>
                <w:vertAlign w:val="superscript"/>
              </w:rPr>
              <w:t>82</w:t>
            </w:r>
            <w:r w:rsidRPr="009639F7">
              <w:t xml:space="preserve"> ja Euroopa Parlamendi ja nõukogu määruses (EÜ) nr 999/2001</w:t>
            </w:r>
            <w:r w:rsidRPr="009639F7">
              <w:rPr>
                <w:vertAlign w:val="superscript"/>
              </w:rPr>
              <w:t>83</w:t>
            </w:r>
            <w:r w:rsidRPr="009639F7">
              <w:t xml:space="preserve"> osutatud loomataudide põhjal tuleb koostada selliste loomataudide ja zoonooside loetelu, mis on erakorraliste meetmete ning likvideerimise, tõrje ja seire programmide raames rahastamiskõlblikud.</w:t>
            </w:r>
          </w:p>
        </w:tc>
        <w:tc>
          <w:tcPr>
            <w:tcW w:w="4876" w:type="dxa"/>
            <w:hideMark/>
          </w:tcPr>
          <w:p w:rsidR="001C700C" w:rsidRPr="009639F7" w:rsidRDefault="001C700C" w:rsidP="00464712">
            <w:pPr>
              <w:pStyle w:val="Normal6"/>
            </w:pPr>
            <w:r w:rsidRPr="009639F7">
              <w:t>(76)</w:t>
            </w:r>
            <w:r w:rsidRPr="009639F7">
              <w:tab/>
              <w:t>Euroopa Parlamendi ja nõukogu määruse (EL) nr 2016/429</w:t>
            </w:r>
            <w:r w:rsidRPr="009639F7">
              <w:rPr>
                <w:vertAlign w:val="superscript"/>
              </w:rPr>
              <w:t>81</w:t>
            </w:r>
            <w:r w:rsidR="00464712" w:rsidRPr="009639F7">
              <w:t xml:space="preserve"> I osa 2. </w:t>
            </w:r>
            <w:r w:rsidRPr="009639F7">
              <w:t>peatükis, Euroopa Parlamendi ja nõukogu määruses (EÜ) nr 2160/2003</w:t>
            </w:r>
            <w:r w:rsidRPr="009639F7">
              <w:rPr>
                <w:vertAlign w:val="superscript"/>
              </w:rPr>
              <w:t>82</w:t>
            </w:r>
            <w:r w:rsidRPr="009639F7">
              <w:t xml:space="preserve"> ja Euroopa Parlamendi ja nõukogu määruses (EÜ) nr 999/2001</w:t>
            </w:r>
            <w:r w:rsidRPr="009639F7">
              <w:rPr>
                <w:vertAlign w:val="superscript"/>
              </w:rPr>
              <w:t>83</w:t>
            </w:r>
            <w:r w:rsidRPr="009639F7">
              <w:t xml:space="preserve"> osutatud loomataudide põhjal tuleb koostada selliste loomataudide ja zoonooside </w:t>
            </w:r>
            <w:r w:rsidRPr="009639F7">
              <w:rPr>
                <w:b/>
                <w:i/>
              </w:rPr>
              <w:t xml:space="preserve">avatud </w:t>
            </w:r>
            <w:r w:rsidRPr="009639F7">
              <w:t>loetelu, mis on erakorraliste meetmete ning likvideerimise, tõrje ja seire programmide raames rahastamiskõlblikud.</w:t>
            </w:r>
          </w:p>
        </w:tc>
      </w:tr>
      <w:tr w:rsidR="001C700C" w:rsidRPr="009639F7" w:rsidTr="00464712">
        <w:trPr>
          <w:jc w:val="center"/>
        </w:trPr>
        <w:tc>
          <w:tcPr>
            <w:tcW w:w="4876" w:type="dxa"/>
            <w:hideMark/>
          </w:tcPr>
          <w:p w:rsidR="001C700C" w:rsidRPr="009639F7" w:rsidRDefault="001C700C" w:rsidP="00464712">
            <w:pPr>
              <w:pStyle w:val="Normal6"/>
            </w:pPr>
            <w:r w:rsidRPr="009639F7">
              <w:t>_________________</w:t>
            </w:r>
          </w:p>
        </w:tc>
        <w:tc>
          <w:tcPr>
            <w:tcW w:w="4876" w:type="dxa"/>
            <w:hideMark/>
          </w:tcPr>
          <w:p w:rsidR="001C700C" w:rsidRPr="009639F7" w:rsidRDefault="001C700C" w:rsidP="00464712">
            <w:pPr>
              <w:pStyle w:val="Normal6"/>
            </w:pPr>
            <w:r w:rsidRPr="009639F7">
              <w:t>_________________</w:t>
            </w:r>
          </w:p>
        </w:tc>
      </w:tr>
      <w:tr w:rsidR="001C700C" w:rsidRPr="009639F7" w:rsidTr="00464712">
        <w:trPr>
          <w:jc w:val="center"/>
        </w:trPr>
        <w:tc>
          <w:tcPr>
            <w:tcW w:w="4876" w:type="dxa"/>
            <w:hideMark/>
          </w:tcPr>
          <w:p w:rsidR="001C700C" w:rsidRPr="009639F7" w:rsidRDefault="001C700C" w:rsidP="00464712">
            <w:pPr>
              <w:pStyle w:val="Normal6"/>
            </w:pPr>
            <w:r w:rsidRPr="009639F7">
              <w:rPr>
                <w:vertAlign w:val="superscript"/>
              </w:rPr>
              <w:t>81</w:t>
            </w:r>
            <w:r w:rsidRPr="009639F7">
              <w:t xml:space="preserve"> Euroopa Parlamendi ja nõukogu 9. märtsi 2016. aasta määrus (EL) 2016/429 loomataudide kohta, millega muudetakse teatavaid loomatervise valdkonna õigusakte või tunnistatakse need kehtetuks (loomatervise määrus) (ELT L 84, 31.3.2016, lk 1).</w:t>
            </w:r>
          </w:p>
        </w:tc>
        <w:tc>
          <w:tcPr>
            <w:tcW w:w="4876" w:type="dxa"/>
            <w:hideMark/>
          </w:tcPr>
          <w:p w:rsidR="001C700C" w:rsidRPr="009639F7" w:rsidRDefault="001C700C" w:rsidP="00464712">
            <w:pPr>
              <w:pStyle w:val="Normal6"/>
            </w:pPr>
            <w:r w:rsidRPr="009639F7">
              <w:rPr>
                <w:vertAlign w:val="superscript"/>
              </w:rPr>
              <w:t>81</w:t>
            </w:r>
            <w:r w:rsidRPr="009639F7">
              <w:t xml:space="preserve"> Euroopa Parlamendi ja nõukogu 9. märtsi 2016. aasta määrus (EL) 2016/429 loomataudide kohta, millega muudetakse teatavaid loomatervise valdkonna õigusakte või tunnistatakse need kehtetuks (loomatervise määrus) (ELT L 84, 31.3.2016, lk 1).</w:t>
            </w:r>
          </w:p>
        </w:tc>
      </w:tr>
      <w:tr w:rsidR="001C700C" w:rsidRPr="009639F7" w:rsidTr="00464712">
        <w:trPr>
          <w:jc w:val="center"/>
        </w:trPr>
        <w:tc>
          <w:tcPr>
            <w:tcW w:w="4876" w:type="dxa"/>
            <w:hideMark/>
          </w:tcPr>
          <w:p w:rsidR="001C700C" w:rsidRPr="009639F7" w:rsidRDefault="001C700C" w:rsidP="00464712">
            <w:pPr>
              <w:pStyle w:val="Normal6"/>
            </w:pPr>
            <w:r w:rsidRPr="009639F7">
              <w:rPr>
                <w:vertAlign w:val="superscript"/>
              </w:rPr>
              <w:t>82</w:t>
            </w:r>
            <w:r w:rsidRPr="009639F7">
              <w:t xml:space="preserve"> Euroopa Parlamendi ja nõukogu 17. novembri 2003. aasta määrus (EÜ) nr 2160/2003 salmonella ja teiste </w:t>
            </w:r>
            <w:r w:rsidRPr="009639F7">
              <w:lastRenderedPageBreak/>
              <w:t>konkreetsete toidupõhiste zoonootilise toimega mõjurite kontrolli kohta (ELT L 325, 12.12.2003, lk 1).</w:t>
            </w:r>
          </w:p>
        </w:tc>
        <w:tc>
          <w:tcPr>
            <w:tcW w:w="4876" w:type="dxa"/>
            <w:hideMark/>
          </w:tcPr>
          <w:p w:rsidR="001C700C" w:rsidRPr="009639F7" w:rsidRDefault="001C700C" w:rsidP="00464712">
            <w:pPr>
              <w:pStyle w:val="Normal6"/>
            </w:pPr>
            <w:r w:rsidRPr="009639F7">
              <w:rPr>
                <w:vertAlign w:val="superscript"/>
              </w:rPr>
              <w:lastRenderedPageBreak/>
              <w:t>82</w:t>
            </w:r>
            <w:r w:rsidRPr="009639F7">
              <w:t xml:space="preserve"> Euroopa Parlamendi ja nõukogu 17. novembri 2003. aasta määrus (EÜ) nr 2160/2003 salmonella ja teiste </w:t>
            </w:r>
            <w:r w:rsidRPr="009639F7">
              <w:lastRenderedPageBreak/>
              <w:t>konkreetsete toidupõhiste zoonootilise toimega mõjurite kontrolli kohta (ELT L 325, 12.12.2003, lk 1).</w:t>
            </w:r>
          </w:p>
        </w:tc>
      </w:tr>
      <w:tr w:rsidR="001C700C" w:rsidRPr="009639F7" w:rsidTr="00464712">
        <w:trPr>
          <w:jc w:val="center"/>
        </w:trPr>
        <w:tc>
          <w:tcPr>
            <w:tcW w:w="4876" w:type="dxa"/>
            <w:hideMark/>
          </w:tcPr>
          <w:p w:rsidR="001C700C" w:rsidRPr="009639F7" w:rsidRDefault="001C700C" w:rsidP="00464712">
            <w:pPr>
              <w:pStyle w:val="Normal6"/>
            </w:pPr>
            <w:r w:rsidRPr="009639F7">
              <w:rPr>
                <w:vertAlign w:val="superscript"/>
              </w:rPr>
              <w:lastRenderedPageBreak/>
              <w:t>83</w:t>
            </w:r>
            <w:r w:rsidRPr="009639F7">
              <w:t xml:space="preserve"> Euroopa Parlamendi ja nõukogu 22. mai 2001. aasta määrus (EÜ) nr 999/2001, millega sätestatakse teatavate transmissiivsete spongioossete entsefalopaatiate vältimise, kontrolli ja likvideerimise eeskirjad (EÜT L 147, 31.5.2001, lk 1).</w:t>
            </w:r>
          </w:p>
        </w:tc>
        <w:tc>
          <w:tcPr>
            <w:tcW w:w="4876" w:type="dxa"/>
            <w:hideMark/>
          </w:tcPr>
          <w:p w:rsidR="001C700C" w:rsidRPr="009639F7" w:rsidRDefault="001C700C" w:rsidP="00464712">
            <w:pPr>
              <w:pStyle w:val="Normal6"/>
            </w:pPr>
            <w:r w:rsidRPr="009639F7">
              <w:rPr>
                <w:vertAlign w:val="superscript"/>
              </w:rPr>
              <w:t>83</w:t>
            </w:r>
            <w:r w:rsidRPr="009639F7">
              <w:t xml:space="preserve"> Euroopa Parlamendi ja nõukogu 22. mai 2001. aasta määrus (EÜ) nr 999/2001, millega sätestatakse teatavate transmissiivsete spongioossete entsefalopaatiate vältimise, kontrolli ja likvideerimise eeskirjad (EÜT L 147, 31.5.2001, lk 1).</w:t>
            </w:r>
          </w:p>
        </w:tc>
      </w:tr>
    </w:tbl>
    <w:p w:rsidR="001C700C" w:rsidRPr="009639F7" w:rsidRDefault="001C700C" w:rsidP="001C700C">
      <w:pPr>
        <w:pStyle w:val="AMNumberTabs"/>
      </w:pPr>
      <w:r w:rsidRPr="009639F7">
        <w:t>Muudatusettepanek</w:t>
      </w:r>
      <w:r w:rsidRPr="009639F7">
        <w:tab/>
      </w:r>
      <w:r w:rsidRPr="009639F7">
        <w:tab/>
        <w:t>65</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77</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hideMark/>
          </w:tcPr>
          <w:p w:rsidR="001C700C" w:rsidRPr="009639F7" w:rsidRDefault="001C700C" w:rsidP="00464712">
            <w:pPr>
              <w:pStyle w:val="ColumnHeading"/>
            </w:pPr>
            <w:r w:rsidRPr="009639F7">
              <w:t>Komisjoni ettepanek</w:t>
            </w:r>
          </w:p>
        </w:tc>
        <w:tc>
          <w:tcPr>
            <w:tcW w:w="4876" w:type="dxa"/>
            <w:hideMark/>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(77)</w:t>
            </w:r>
            <w:r w:rsidRPr="009639F7">
              <w:tab/>
              <w:t xml:space="preserve">Selleks et võtta arvesse loomataudide põhjustatud olukordi, mis mõjutavad oluliselt loomakasvatust või kariloomakaubandust, inimeste tervisele ohtlike zoonooside levikut või uusi teaduslikke või epidemioloogilisi arenguid, ning loomataude, mis tõenäoliselt kujutavad endast liidule uut ohtu, tuleks komisjonile anda kooskõlas ELi toimimise lepingu artikliga 290 õigus võtta vastu delegeeritud õigusakte loomataudide ja zoonooside loetelu täiendamiseks. Selleks et tagada programmi eesmärkide täitmisel tehtud edusammude tulemuslik hindamine, tuleks komisjonile anda õigus võtta Euroopa Liidu toimimise lepingu artikli 290 kohaselt vastu delegeeritud õigusakte, et vajaduse korral läbi vaadata erieesmärkide saavutamist mõõtvad näitajad või neid täiendada, ning et lisada käesolevale määrusele järelevalve- ja hindamisraamistiku kehtestamist käsitlevad sätted. On eriti oluline, et komisjon viiks oma ettevalmistava töö käigus läbi asjakohaseid konsultatsioone, sealhulgas ekspertide tasandil, ja et kõnealused konsultatsioonid viidaks läbi kooskõlas 13. aprilli 2016. aasta institutsioonidevahelises parema õigusloome kokkuleppes sätestatud põhimõtetega. </w:t>
            </w:r>
            <w:r w:rsidRPr="009639F7">
              <w:rPr>
                <w:b/>
                <w:i/>
              </w:rPr>
              <w:t>Eelkõige selleks,</w:t>
            </w:r>
            <w:r w:rsidRPr="009639F7">
              <w:t xml:space="preserve"> et tagada </w:t>
            </w:r>
            <w:r w:rsidRPr="009639F7">
              <w:lastRenderedPageBreak/>
              <w:t>delegeeritud õigusaktide ettevalmistamises võrdne osalemine, saavad Euroopa Parlament ja nõukogu kõik dokumendid liikmesriikide ekspertidega samal ajal ning nende ekspertidel on pidev juurdepääs komisjoni eksperdirühmade koosolekutele, kus arutatakse delegeeritud õigusaktide ettevalmistamist.</w:t>
            </w:r>
          </w:p>
        </w:tc>
        <w:tc>
          <w:tcPr>
            <w:tcW w:w="4876" w:type="dxa"/>
            <w:hideMark/>
          </w:tcPr>
          <w:p w:rsidR="001C700C" w:rsidRPr="009639F7" w:rsidRDefault="001C700C" w:rsidP="00464712">
            <w:pPr>
              <w:pStyle w:val="Normal6"/>
            </w:pPr>
            <w:r w:rsidRPr="009639F7">
              <w:lastRenderedPageBreak/>
              <w:t>(77)</w:t>
            </w:r>
            <w:r w:rsidRPr="009639F7">
              <w:tab/>
              <w:t xml:space="preserve">Selleks et võtta arvesse loomataudide põhjustatud olukordi, mis mõjutavad oluliselt loomakasvatust või kariloomakaubandust, inimeste tervisele ohtlike zoonooside levikut või uusi teaduslikke või epidemioloogilisi arenguid, ning loomataude, mis tõenäoliselt kujutavad endast liidule uut ohtu, tuleks komisjonile anda kooskõlas ELi toimimise lepingu artikliga 290 õigus võtta vastu delegeeritud õigusakte loomataudide ja zoonooside loetelu täiendamiseks. Selleks et tagada programmi eesmärkide täitmisel tehtud edusammude tulemuslik hindamine, tuleks komisjonile anda õigus võtta Euroopa Liidu toimimise lepingu artikli 290 kohaselt vastu delegeeritud õigusakte, et vajaduse korral läbi vaadata erieesmärkide saavutamist mõõtvad näitajad või neid täiendada, ning et lisada käesolevale määrusele järelevalve- ja hindamisraamistiku kehtestamist käsitlevad sätted. On eriti oluline, et komisjon viiks oma ettevalmistava töö käigus läbi asjakohaseid konsultatsioone, sealhulgas ekspertide tasandil, ja et kõnealused konsultatsioonid viidaks läbi kooskõlas 13. aprilli 2016. aasta institutsioonidevahelises parema õigusloome kokkuleppes sätestatud põhimõtetega. </w:t>
            </w:r>
            <w:r w:rsidRPr="009639F7">
              <w:rPr>
                <w:b/>
                <w:i/>
              </w:rPr>
              <w:t xml:space="preserve">Samuti tuleks konsulteerida </w:t>
            </w:r>
            <w:r w:rsidRPr="009639F7">
              <w:rPr>
                <w:b/>
                <w:i/>
              </w:rPr>
              <w:lastRenderedPageBreak/>
              <w:t>sidusrühmade ja tarbijate ühendustega.</w:t>
            </w:r>
            <w:r w:rsidRPr="009639F7">
              <w:t xml:space="preserve"> Et tagada delegeeritud õigusaktide ettevalmistamises võrdne osalemine, saavad Euroopa Parlament ja nõukogu kõik dokumendid liikmesriikide ekspertidega samal ajal ning nende ekspertidel on pidev juurdepääs komisjoni eksperdirühmade koosolekutele, kus arutatakse delegeeritud õigusaktide ettevalmistamist.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66</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80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(80)</w:t>
            </w:r>
            <w:r w:rsidRPr="009639F7">
              <w:tab/>
              <w:t xml:space="preserve">Käesoleva </w:t>
            </w:r>
            <w:r w:rsidRPr="009639F7">
              <w:rPr>
                <w:b/>
                <w:i/>
              </w:rPr>
              <w:t>määruse</w:t>
            </w:r>
            <w:r w:rsidRPr="009639F7">
              <w:t xml:space="preserve"> suhtes </w:t>
            </w:r>
            <w:r w:rsidRPr="009639F7">
              <w:rPr>
                <w:b/>
                <w:i/>
              </w:rPr>
              <w:t>kohaldatakse</w:t>
            </w:r>
            <w:r w:rsidRPr="009639F7">
              <w:t xml:space="preserve"> Euroopa Parlamendi ja nõukogu poolt ELi toimimise lepingu artikli 322 kohaselt vastuvõetud horisontaalseid finantseeskirju</w:t>
            </w:r>
            <w:r w:rsidRPr="009639F7">
              <w:rPr>
                <w:b/>
                <w:i/>
              </w:rPr>
              <w:t>. Need eeskirjad on sätestatud finantsmääruses ja nendega</w:t>
            </w:r>
            <w:r w:rsidRPr="009639F7">
              <w:t xml:space="preserve"> määratakse</w:t>
            </w:r>
            <w:r w:rsidRPr="009639F7">
              <w:rPr>
                <w:b/>
                <w:i/>
              </w:rPr>
              <w:t xml:space="preserve"> eelkõige</w:t>
            </w:r>
            <w:r w:rsidRPr="009639F7">
              <w:t xml:space="preserve"> kindlaks kord, mille kohaselt eelarvet koostatakse ja täidetakse toetuste, hangete, auhindade ja kaudse eelarve täitmise kaudu, ning nähakse ette finantshalduses osalejate vastutuse kontroll. ELi toimimise lepingu artikli 322 kohaselt vastu võetud eeskirjades on käsitletud ka liidu eelarve kaitsmist juhul, kui liikmesriikides esineb üldisi puudusi õigusriigi toimimises, sest õigusriigi põhimõtte austamine on usaldusväärse finantsjuhtimise ja tulemusliku ELi-poolse rahastamise oluline eeltingimus.</w:t>
            </w:r>
          </w:p>
        </w:tc>
        <w:tc>
          <w:tcPr>
            <w:tcW w:w="4876" w:type="dxa"/>
            <w:hideMark/>
          </w:tcPr>
          <w:p w:rsidR="001C700C" w:rsidRPr="009639F7" w:rsidRDefault="001C700C" w:rsidP="00464712">
            <w:pPr>
              <w:pStyle w:val="Normal6"/>
              <w:rPr>
                <w:szCs w:val="24"/>
              </w:rPr>
            </w:pPr>
            <w:r w:rsidRPr="009639F7">
              <w:t>(80)</w:t>
            </w:r>
            <w:r w:rsidRPr="009639F7">
              <w:tab/>
              <w:t xml:space="preserve">Käesoleva </w:t>
            </w:r>
            <w:r w:rsidRPr="009639F7">
              <w:rPr>
                <w:b/>
                <w:i/>
              </w:rPr>
              <w:t>programmi raames võetavate meetmete</w:t>
            </w:r>
            <w:r w:rsidRPr="009639F7">
              <w:t xml:space="preserve"> suhtes </w:t>
            </w:r>
            <w:r w:rsidRPr="009639F7">
              <w:rPr>
                <w:b/>
                <w:i/>
              </w:rPr>
              <w:t>(käesolevas määruses toodud konkreetseid erandeid arvestades) tuleks kohaldada</w:t>
            </w:r>
            <w:r w:rsidRPr="009639F7">
              <w:t xml:space="preserve"> Euroopa Parlamendi ja nõukogu poolt ELi toimimise lepingu artikli 322 kohaselt vastuvõetud horisontaalseid finantseeskirju</w:t>
            </w:r>
            <w:r w:rsidRPr="009639F7">
              <w:rPr>
                <w:b/>
                <w:i/>
              </w:rPr>
              <w:t xml:space="preserve"> ja eelkõige finantsmäärust, millega</w:t>
            </w:r>
            <w:r w:rsidRPr="009639F7">
              <w:t xml:space="preserve"> määratakse kindlaks kord, mille kohaselt eelarvet koostatakse ja täidetakse toetuste, hangete, auhindade ja kaudse eelarve täitmise kaudu, ning nähakse ette finantshalduses osalejate vastutuse kontroll. ELi toimimise lepingu artikli</w:t>
            </w:r>
            <w:r w:rsidR="00464712" w:rsidRPr="009639F7">
              <w:t> </w:t>
            </w:r>
            <w:r w:rsidRPr="009639F7">
              <w:t>322 kohaselt vastu võetud eeskirjades on käsitletud ka liidu eelarve kaitsmist juhul, kui liikmesriikides esineb üldisi puudusi õigusriigi toimimises, sest õigusriigi põhimõtte austamine on usaldusväärse finantsjuhtimise ja tulemusliku ELi-poolse rahastamise oluline eeltingimus.</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67</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81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hRule="exac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tcPr>
          <w:p w:rsidR="001C700C" w:rsidRPr="009639F7" w:rsidRDefault="001C700C" w:rsidP="00464712">
            <w:pPr>
              <w:pStyle w:val="ColumnHeading"/>
            </w:pPr>
            <w:r w:rsidRPr="009639F7">
              <w:t>Komisjoni ettepanek</w:t>
            </w:r>
          </w:p>
        </w:tc>
        <w:tc>
          <w:tcPr>
            <w:tcW w:w="4876" w:type="dxa"/>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r w:rsidRPr="009639F7">
              <w:t>(81)</w:t>
            </w:r>
            <w:r w:rsidRPr="009639F7">
              <w:tab/>
              <w:t xml:space="preserve">Euroopa Parlamendi ja nõukogu </w:t>
            </w:r>
            <w:r w:rsidRPr="009639F7">
              <w:lastRenderedPageBreak/>
              <w:t>määrusega (EL) 2016/679</w:t>
            </w:r>
            <w:r w:rsidRPr="009639F7">
              <w:rPr>
                <w:vertAlign w:val="superscript"/>
              </w:rPr>
              <w:t>90</w:t>
            </w:r>
            <w:r w:rsidRPr="009639F7">
              <w:t xml:space="preserve"> reguleeritakse isikuandmete töötlemist liikmesriikides käesoleva määruse kontekstis ja liikmesriikide pädevate asutuste järelevalve all. Euroopa Parlamendi ja nõukogu määrusega (EÜ) 45/2001</w:t>
            </w:r>
            <w:r w:rsidRPr="009639F7">
              <w:rPr>
                <w:vertAlign w:val="superscript"/>
              </w:rPr>
              <w:t>91</w:t>
            </w:r>
            <w:r w:rsidRPr="009639F7">
              <w:t xml:space="preserve"> reguleeritakse isikuandmete töötlemist komisjonis käesoleva määruse kontekstis ja Euroopa andmekaitseinspektori järelevalve all. Pädevad asutused peavad teavet vahetama ja edastama kooskõlas määruses (EL) 2016/679 sätestatud isikuandmete edastamise eeskirjadega ning komisjon peab teavet vahetama ja edastama kooskõlas määruses (EÜ) nr 45/2001 sätestatud isikuandmete edastamise eeskirjadega.</w:t>
            </w:r>
          </w:p>
        </w:tc>
        <w:tc>
          <w:tcPr>
            <w:tcW w:w="4876" w:type="dxa"/>
          </w:tcPr>
          <w:p w:rsidR="001C700C" w:rsidRPr="009639F7" w:rsidRDefault="001C700C" w:rsidP="00464712">
            <w:pPr>
              <w:pStyle w:val="Normal6"/>
            </w:pPr>
            <w:r w:rsidRPr="009639F7">
              <w:lastRenderedPageBreak/>
              <w:t>(81)</w:t>
            </w:r>
            <w:r w:rsidRPr="009639F7">
              <w:tab/>
              <w:t xml:space="preserve">Euroopa Parlamendi ja nõukogu </w:t>
            </w:r>
            <w:r w:rsidRPr="009639F7">
              <w:lastRenderedPageBreak/>
              <w:t>määrusega (EL) 2016/679</w:t>
            </w:r>
            <w:r w:rsidRPr="009639F7">
              <w:rPr>
                <w:vertAlign w:val="superscript"/>
              </w:rPr>
              <w:t>90</w:t>
            </w:r>
            <w:r w:rsidRPr="009639F7">
              <w:t xml:space="preserve"> reguleeritakse isikuandmete töötlemist liikmesriikides käesoleva määruse kontekstis ja liikmesriikide pädevate asutuste järelevalve all. Euroopa Parlamendi ja nõukogu määrusega (EÜ) 45/2001</w:t>
            </w:r>
            <w:r w:rsidRPr="009639F7">
              <w:rPr>
                <w:vertAlign w:val="superscript"/>
              </w:rPr>
              <w:t>91</w:t>
            </w:r>
            <w:r w:rsidRPr="009639F7">
              <w:t xml:space="preserve"> reguleeritakse isikuandmete töötlemist komisjonis käesoleva määruse kontekstis ja Euroopa andmekaitseinspektori järelevalve all. Pädevad asutused peavad teavet vahetama ja edastama kooskõlas määruses (EL) 2016/679 </w:t>
            </w:r>
            <w:r w:rsidRPr="009639F7">
              <w:rPr>
                <w:b/>
                <w:i/>
              </w:rPr>
              <w:t xml:space="preserve">ja määruses XXX [eraelu puutumatust ja elektroonilist sidet käsitlev määrus] </w:t>
            </w:r>
            <w:r w:rsidRPr="009639F7">
              <w:t>sätestatud isikuandmete edastamise eeskirjadega ning komisjon peab teavet vahetama ja edastama kooskõlas määruses (EÜ) nr 45/2001 sätestatud isikuandmete edastamise eeskirjadega.</w:t>
            </w:r>
          </w:p>
        </w:tc>
      </w:tr>
    </w:tbl>
    <w:p w:rsidR="001C700C" w:rsidRPr="009639F7" w:rsidRDefault="001C700C" w:rsidP="001C700C">
      <w:pPr>
        <w:pStyle w:val="JustificationTitle"/>
      </w:pPr>
      <w:r w:rsidRPr="009639F7">
        <w:lastRenderedPageBreak/>
        <w:t>Selgitus</w:t>
      </w:r>
    </w:p>
    <w:p w:rsidR="001C700C" w:rsidRPr="009639F7" w:rsidRDefault="001C700C" w:rsidP="001C700C">
      <w:pPr>
        <w:pStyle w:val="Normal12Italic"/>
      </w:pPr>
      <w:r w:rsidRPr="009639F7">
        <w:t>Isikuandmete kaitse üldmääruses käsitletakse üksnes isikuandmeid ja selles ei hõlmata piisavalt teisi andmeliike, näiteks metaandmeid, voogandmeid ja rakendustes salvestatud andmeid, mille korral tuleb arvesse võtta ka kooskõla e-privaatsuse määrusega, mis seondub praegu arutatava komisjoni ettepanekuga 2017/0003(COD).</w:t>
      </w:r>
    </w:p>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68</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83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(83)</w:t>
            </w:r>
            <w:r w:rsidRPr="009639F7">
              <w:tab/>
              <w:t xml:space="preserve">Programmi eesmärk peaks ka olema tagada liidu siseturu, ettevõtete – </w:t>
            </w:r>
            <w:r w:rsidRPr="009639F7">
              <w:rPr>
                <w:b/>
                <w:i/>
              </w:rPr>
              <w:t>sealhulgas VKEde</w:t>
            </w:r>
            <w:r w:rsidRPr="009639F7">
              <w:t xml:space="preserve"> –konkurentsivõime ja Euroopa statistikameetmete parem nähtavus ja sidusus Euroopa kodanike, ettevõtete ja ametiasutuste jaoks.</w:t>
            </w:r>
          </w:p>
        </w:tc>
        <w:tc>
          <w:tcPr>
            <w:tcW w:w="4876" w:type="dxa"/>
            <w:hideMark/>
          </w:tcPr>
          <w:p w:rsidR="001C700C" w:rsidRPr="009639F7" w:rsidRDefault="001C700C" w:rsidP="00464712">
            <w:pPr>
              <w:pStyle w:val="Normal6"/>
              <w:rPr>
                <w:szCs w:val="24"/>
              </w:rPr>
            </w:pPr>
            <w:r w:rsidRPr="009639F7">
              <w:t>(83)</w:t>
            </w:r>
            <w:r w:rsidRPr="009639F7">
              <w:tab/>
              <w:t xml:space="preserve">Programmi eesmärk peaks ka olema tagada liidu siseturu, ettevõtete – </w:t>
            </w:r>
            <w:r w:rsidRPr="009639F7">
              <w:rPr>
                <w:b/>
                <w:i/>
              </w:rPr>
              <w:t>eriti väikeste, keskmise suurusega ja mikroettevõtete</w:t>
            </w:r>
            <w:r w:rsidRPr="009639F7">
              <w:t xml:space="preserve"> – konkurentsivõime ja</w:t>
            </w:r>
            <w:r w:rsidRPr="009639F7">
              <w:rPr>
                <w:b/>
                <w:i/>
              </w:rPr>
              <w:t xml:space="preserve"> kestlikkus ning</w:t>
            </w:r>
            <w:r w:rsidRPr="009639F7">
              <w:t xml:space="preserve"> Euroopa statistikameetmete parem nähtavus ja sidusus Euroopa kodanike, ettevõtete ja ametiasutuste jaoks.</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69</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Põhjendus 85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(85)</w:t>
            </w:r>
            <w:r w:rsidRPr="009639F7">
              <w:tab/>
              <w:t xml:space="preserve">On asjakohane tagada sujuv ja katkestusteta üleminek määrustega (EL) nr 1287/2013, (EL) nr 254/2014, (EL) 2017/826, (EL) nr 258/2014, (EL) nr 652/2014 ja (EL) nr 99/2013 loodud ettevõtete ja </w:t>
            </w:r>
            <w:r w:rsidRPr="009639F7">
              <w:rPr>
                <w:b/>
                <w:i/>
              </w:rPr>
              <w:t>VKEde</w:t>
            </w:r>
            <w:r w:rsidRPr="009639F7">
              <w:t xml:space="preserve"> konkurentsivõime, tarbijakaitse, tarbijate ja finantsteenuste lõppkasutajate, finantsteenuste poliitika kujundamise, toiduahela ja Euroopa statistika valdkonna programmidelt käesolevale programmile, eelkõige seoses mitmeaastaste meetmete jätkamise ning eelmiste programmide edusammude hindamisega,</w:t>
            </w:r>
          </w:p>
        </w:tc>
        <w:tc>
          <w:tcPr>
            <w:tcW w:w="4876" w:type="dxa"/>
            <w:hideMark/>
          </w:tcPr>
          <w:p w:rsidR="001C700C" w:rsidRPr="009639F7" w:rsidRDefault="001C700C" w:rsidP="00464712">
            <w:pPr>
              <w:pStyle w:val="Normal6"/>
              <w:rPr>
                <w:szCs w:val="24"/>
              </w:rPr>
            </w:pPr>
            <w:r w:rsidRPr="009639F7">
              <w:t>(85)</w:t>
            </w:r>
            <w:r w:rsidRPr="009639F7">
              <w:tab/>
              <w:t>On asjakohane tagada sujuv ja katkestust</w:t>
            </w:r>
            <w:r w:rsidR="00464712" w:rsidRPr="009639F7">
              <w:t>eta üleminek määrustega (EL) nr </w:t>
            </w:r>
            <w:r w:rsidRPr="009639F7">
              <w:t>1287/2013, (EL) nr 254/2014, (EL) 2017</w:t>
            </w:r>
            <w:r w:rsidR="00464712" w:rsidRPr="009639F7">
              <w:t>/826, (EL) nr 258/2014, (EL) nr </w:t>
            </w:r>
            <w:r w:rsidRPr="009639F7">
              <w:t>652/2014 ja (EL) nr 99/2013 loodud ettevõtete</w:t>
            </w:r>
            <w:r w:rsidRPr="009639F7">
              <w:rPr>
                <w:b/>
                <w:i/>
              </w:rPr>
              <w:t>, eelkõige väikeste, keskmise suurusega</w:t>
            </w:r>
            <w:r w:rsidRPr="009639F7">
              <w:t xml:space="preserve"> ja </w:t>
            </w:r>
            <w:r w:rsidRPr="009639F7">
              <w:rPr>
                <w:b/>
                <w:i/>
              </w:rPr>
              <w:t>mikroettevõtete</w:t>
            </w:r>
            <w:r w:rsidRPr="009639F7">
              <w:t xml:space="preserve"> konkurentsivõime, tarbijakaitse, tarbijate ja finantsteenuste lõppkasutajate, finantsteenuste poliitika kujundamise, toiduahela ja Euroopa statistika valdkonna programmidelt käesolevale programmile, eelkõige seoses mitmeaastaste meetmete jätkamise ning eelmiste programmide edusammude hindamisega,</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70</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1 – lõik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Käesoleva määrusega luuakse programm</w:t>
            </w:r>
            <w:r w:rsidRPr="009639F7">
              <w:rPr>
                <w:b/>
                <w:i/>
              </w:rPr>
              <w:t xml:space="preserve"> siseturu toimimise</w:t>
            </w:r>
            <w:r w:rsidRPr="009639F7">
              <w:t xml:space="preserve"> ja ettevõtete, </w:t>
            </w:r>
            <w:r w:rsidRPr="009639F7">
              <w:rPr>
                <w:b/>
                <w:i/>
              </w:rPr>
              <w:t>sealhulgas mikro-,</w:t>
            </w:r>
            <w:r w:rsidRPr="009639F7">
              <w:t xml:space="preserve"> väikeste</w:t>
            </w:r>
            <w:r w:rsidRPr="009639F7">
              <w:rPr>
                <w:b/>
                <w:i/>
              </w:rPr>
              <w:t xml:space="preserve"> ja</w:t>
            </w:r>
            <w:r w:rsidRPr="009639F7">
              <w:t xml:space="preserve"> keskmise suurusega </w:t>
            </w:r>
            <w:r w:rsidRPr="009639F7">
              <w:rPr>
                <w:b/>
                <w:i/>
              </w:rPr>
              <w:t>ettevõtjate</w:t>
            </w:r>
            <w:r w:rsidRPr="009639F7">
              <w:t xml:space="preserve"> konkurentsivõime </w:t>
            </w:r>
            <w:r w:rsidRPr="009639F7">
              <w:rPr>
                <w:b/>
                <w:i/>
              </w:rPr>
              <w:t>parandamiseks</w:t>
            </w:r>
            <w:r w:rsidRPr="009639F7">
              <w:t xml:space="preserve"> ning raamistik Euroopa statistika arendamiseks, </w:t>
            </w:r>
            <w:r w:rsidRPr="009639F7">
              <w:rPr>
                <w:b/>
                <w:i/>
              </w:rPr>
              <w:t>tegemiseks</w:t>
            </w:r>
            <w:r w:rsidRPr="009639F7">
              <w:t xml:space="preserve"> ja levitamiseks määruse (EÜ) nr 223/2009 artikli 13 tähenduses (edaspidi „programm“).</w:t>
            </w:r>
          </w:p>
        </w:tc>
        <w:tc>
          <w:tcPr>
            <w:tcW w:w="4876" w:type="dxa"/>
            <w:hideMark/>
          </w:tcPr>
          <w:p w:rsidR="001C700C" w:rsidRPr="009639F7" w:rsidRDefault="001C700C" w:rsidP="00464712">
            <w:pPr>
              <w:pStyle w:val="Normal6"/>
              <w:rPr>
                <w:szCs w:val="24"/>
              </w:rPr>
            </w:pPr>
            <w:r w:rsidRPr="009639F7">
              <w:t xml:space="preserve">Käesoleva määrusega luuakse </w:t>
            </w:r>
            <w:r w:rsidRPr="009639F7">
              <w:rPr>
                <w:b/>
                <w:i/>
              </w:rPr>
              <w:t xml:space="preserve">ühtse turu </w:t>
            </w:r>
            <w:r w:rsidRPr="009639F7">
              <w:t>programm</w:t>
            </w:r>
            <w:r w:rsidRPr="009639F7">
              <w:rPr>
                <w:b/>
                <w:i/>
              </w:rPr>
              <w:t>, et tugevdada siseturgu</w:t>
            </w:r>
            <w:r w:rsidRPr="009639F7">
              <w:t xml:space="preserve"> ja</w:t>
            </w:r>
            <w:r w:rsidRPr="009639F7">
              <w:rPr>
                <w:b/>
                <w:i/>
              </w:rPr>
              <w:t xml:space="preserve"> parandada selle toimimist</w:t>
            </w:r>
            <w:r w:rsidRPr="009639F7">
              <w:t xml:space="preserve"> ettevõtete, </w:t>
            </w:r>
            <w:r w:rsidRPr="009639F7">
              <w:rPr>
                <w:b/>
                <w:i/>
              </w:rPr>
              <w:t>eelkõige</w:t>
            </w:r>
            <w:r w:rsidRPr="009639F7">
              <w:t xml:space="preserve"> väikeste</w:t>
            </w:r>
            <w:r w:rsidRPr="009639F7">
              <w:rPr>
                <w:b/>
                <w:i/>
              </w:rPr>
              <w:t>,</w:t>
            </w:r>
            <w:r w:rsidRPr="009639F7">
              <w:t xml:space="preserve"> keskmise suurusega </w:t>
            </w:r>
            <w:r w:rsidRPr="009639F7">
              <w:rPr>
                <w:b/>
                <w:i/>
              </w:rPr>
              <w:t>ja mikroettevõtete</w:t>
            </w:r>
            <w:r w:rsidRPr="009639F7">
              <w:t xml:space="preserve"> konkurentsivõime </w:t>
            </w:r>
            <w:r w:rsidRPr="009639F7">
              <w:rPr>
                <w:b/>
                <w:i/>
              </w:rPr>
              <w:t>ja kestlikkuse vallas, tugevdada ja parandada standardimist, tarbijakaitset, turujärelevalvet, toiduainete tarneahelat ja Euroopa statistikat,</w:t>
            </w:r>
            <w:r w:rsidRPr="009639F7">
              <w:t xml:space="preserve"> ning</w:t>
            </w:r>
            <w:r w:rsidRPr="009639F7">
              <w:rPr>
                <w:b/>
                <w:i/>
              </w:rPr>
              <w:t xml:space="preserve"> luuakse</w:t>
            </w:r>
            <w:r w:rsidRPr="009639F7">
              <w:t xml:space="preserve"> raamistik Euroopa statistika arendamiseks, </w:t>
            </w:r>
            <w:r w:rsidRPr="009639F7">
              <w:rPr>
                <w:b/>
                <w:i/>
              </w:rPr>
              <w:t>koostamiseks</w:t>
            </w:r>
            <w:r w:rsidRPr="009639F7">
              <w:t xml:space="preserve"> ja levitamiseks määruse (EÜ) nr 223/2009 artikli 13 tähenduses (edaspidi „programm“).</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71</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2 – lõik 1 – punkt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2)</w:t>
            </w:r>
            <w:r w:rsidRPr="009639F7">
              <w:tab/>
              <w:t xml:space="preserve">„Euroopa statistika“ – statistika, mida arendatakse, </w:t>
            </w:r>
            <w:r w:rsidRPr="009639F7">
              <w:rPr>
                <w:b/>
                <w:i/>
              </w:rPr>
              <w:t>tehakse</w:t>
            </w:r>
            <w:r w:rsidRPr="009639F7">
              <w:t xml:space="preserve"> ja levitatakse kooskõlas määrusega (EÜ) nr 223/2009;</w:t>
            </w:r>
          </w:p>
        </w:tc>
        <w:tc>
          <w:tcPr>
            <w:tcW w:w="4876" w:type="dxa"/>
            <w:hideMark/>
          </w:tcPr>
          <w:p w:rsidR="001C700C" w:rsidRPr="009639F7" w:rsidRDefault="001C700C" w:rsidP="00464712">
            <w:pPr>
              <w:pStyle w:val="Normal6"/>
              <w:rPr>
                <w:szCs w:val="24"/>
              </w:rPr>
            </w:pPr>
            <w:r w:rsidRPr="009639F7">
              <w:t>2)</w:t>
            </w:r>
            <w:r w:rsidRPr="009639F7">
              <w:tab/>
              <w:t xml:space="preserve">„Euroopa statistika“ – statistika, mida arendatakse, </w:t>
            </w:r>
            <w:r w:rsidRPr="009639F7">
              <w:rPr>
                <w:b/>
                <w:i/>
              </w:rPr>
              <w:t>koostatakse</w:t>
            </w:r>
            <w:r w:rsidRPr="009639F7">
              <w:t xml:space="preserve"> ja levitatakse </w:t>
            </w:r>
            <w:r w:rsidRPr="009639F7">
              <w:rPr>
                <w:b/>
                <w:i/>
              </w:rPr>
              <w:t xml:space="preserve">liidu tasandil ja liikmesriikides </w:t>
            </w:r>
            <w:r w:rsidRPr="009639F7">
              <w:t>kooskõlas</w:t>
            </w:r>
            <w:r w:rsidRPr="009639F7">
              <w:rPr>
                <w:b/>
                <w:i/>
              </w:rPr>
              <w:t xml:space="preserve"> </w:t>
            </w:r>
            <w:r w:rsidR="00464712" w:rsidRPr="009639F7">
              <w:rPr>
                <w:b/>
                <w:i/>
              </w:rPr>
              <w:t>Euroopa Liidu lepingu artikliga </w:t>
            </w:r>
            <w:r w:rsidRPr="009639F7">
              <w:rPr>
                <w:b/>
                <w:i/>
              </w:rPr>
              <w:t>3 ja</w:t>
            </w:r>
            <w:r w:rsidRPr="009639F7">
              <w:t xml:space="preserve"> määrusega (EÜ) nr 223/2009;</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72</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2 – lõik 1 – punkt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hRule="exac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tcPr>
          <w:p w:rsidR="001C700C" w:rsidRPr="009639F7" w:rsidRDefault="001C700C" w:rsidP="00464712">
            <w:pPr>
              <w:pStyle w:val="ColumnHeading"/>
            </w:pPr>
            <w:r w:rsidRPr="009639F7">
              <w:t>Komisjoni ettepanek</w:t>
            </w:r>
          </w:p>
        </w:tc>
        <w:tc>
          <w:tcPr>
            <w:tcW w:w="4876" w:type="dxa"/>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r w:rsidRPr="009639F7">
              <w:rPr>
                <w:b/>
                <w:i/>
              </w:rPr>
              <w:t>(</w:t>
            </w:r>
            <w:r w:rsidRPr="009639F7">
              <w:t>3)</w:t>
            </w:r>
            <w:r w:rsidRPr="009639F7">
              <w:tab/>
              <w:t>„õigussubjekt“ – füüsiline või juriidiline isik, kes on asutatud ja sellisena tunnustatud siseriikliku õiguse, liidu õiguse või rahvusvahelise õiguse alusel, kellel on iseseisev õigusvõime ning õigus enda nimel toimides teostada õigusi ja kanda kohustusi, või üksus, mis ei ole juriidiline isik vastavalt Euroopa Parlamendi ja nõukogu määruse (EL, Euratom) (edaspidi „finantsmäärus“) artikli 197 lõike 2 punktile c;</w:t>
            </w:r>
          </w:p>
        </w:tc>
        <w:tc>
          <w:tcPr>
            <w:tcW w:w="4876" w:type="dxa"/>
          </w:tcPr>
          <w:p w:rsidR="001C700C" w:rsidRPr="009639F7" w:rsidRDefault="001C700C" w:rsidP="00464712">
            <w:pPr>
              <w:pStyle w:val="Normal6"/>
            </w:pPr>
            <w:r w:rsidRPr="009639F7">
              <w:t>3)</w:t>
            </w:r>
            <w:r w:rsidRPr="009639F7">
              <w:tab/>
              <w:t>„õigussubjekt“ – füüsiline või juriidiline isik, kes on asutatud ja sellisena tunnustatud siseriikliku õiguse, liidu õiguse või rahvusvahelise õiguse alusel, kellel on iseseisev õigusvõime ning õigus enda nimel toimides teostada õigusi ja kanda kohustusi, või üksus, mis ei ole juriidiline isik vastavalt Euroopa Parlamendi j</w:t>
            </w:r>
            <w:r w:rsidR="00464712" w:rsidRPr="009639F7">
              <w:t>a nõukogu määruse (EL, Euratom) </w:t>
            </w:r>
            <w:r w:rsidRPr="009639F7">
              <w:rPr>
                <w:b/>
                <w:i/>
              </w:rPr>
              <w:t xml:space="preserve">2018/1046 </w:t>
            </w:r>
            <w:r w:rsidRPr="009639F7">
              <w:t>(edaspidi „finantsmäärus“) artikli 197 lõike 2 punktile c;</w:t>
            </w:r>
          </w:p>
        </w:tc>
      </w:tr>
    </w:tbl>
    <w:p w:rsidR="001C700C" w:rsidRPr="009639F7" w:rsidRDefault="001C700C" w:rsidP="001C700C">
      <w:pPr>
        <w:pStyle w:val="AMNumberTabs"/>
      </w:pPr>
      <w:r w:rsidRPr="009639F7">
        <w:t>Muudatusettepanek</w:t>
      </w:r>
      <w:r w:rsidRPr="009639F7">
        <w:tab/>
      </w:r>
      <w:r w:rsidRPr="009639F7">
        <w:tab/>
        <w:t>73</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2 – lõik 1 – punkt 4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4a)</w:t>
            </w:r>
            <w:r w:rsidRPr="009639F7">
              <w:rPr>
                <w:b/>
                <w:i/>
              </w:rPr>
              <w:tab/>
              <w:t>„sotsiaalne ettevõte“ – ettevõte, mille põhieesmärk on mitte omanikele või aktsionäridele või osanikele kasumi tootmine, vaid sotsiaalne mõju, ning mis pakub turul kaupu ja teenuseid ning mida juhitakse avatud ja vastutustundlikul viisil, kaasates töötajaid, tarbijaid ja sidusrühmi;</w:t>
            </w:r>
          </w:p>
        </w:tc>
      </w:tr>
    </w:tbl>
    <w:p w:rsidR="001C700C" w:rsidRPr="009639F7" w:rsidRDefault="001C700C" w:rsidP="001C700C">
      <w:pPr>
        <w:rPr>
          <w:szCs w:val="24"/>
        </w:rPr>
      </w:pPr>
    </w:p>
    <w:p w:rsidR="001C700C" w:rsidRPr="009639F7" w:rsidRDefault="001C700C" w:rsidP="001C700C">
      <w:pPr>
        <w:pStyle w:val="AMNumberTabs"/>
      </w:pPr>
      <w:r w:rsidRPr="009639F7">
        <w:t>Muudatusettepanek</w:t>
      </w:r>
      <w:r w:rsidRPr="009639F7">
        <w:tab/>
      </w:r>
      <w:r w:rsidRPr="009639F7">
        <w:tab/>
        <w:t>74</w:t>
      </w:r>
    </w:p>
    <w:p w:rsidR="001C700C" w:rsidRPr="009639F7" w:rsidRDefault="001C700C" w:rsidP="001C700C">
      <w:pPr>
        <w:pStyle w:val="NormalBold12b"/>
      </w:pPr>
      <w:r w:rsidRPr="009639F7">
        <w:lastRenderedPageBreak/>
        <w:t>Ettepanek võtta vastu määrus</w:t>
      </w:r>
    </w:p>
    <w:p w:rsidR="001C700C" w:rsidRPr="009639F7" w:rsidRDefault="001C700C" w:rsidP="001C700C">
      <w:pPr>
        <w:pStyle w:val="NormalBold"/>
      </w:pPr>
      <w:r w:rsidRPr="009639F7">
        <w:t>Artikkel 2 – lõik 1 – punkt 4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464712" w:rsidP="00464712">
            <w:pPr>
              <w:pStyle w:val="Normal6"/>
              <w:rPr>
                <w:szCs w:val="24"/>
              </w:rPr>
            </w:pPr>
            <w:r w:rsidRPr="009639F7">
              <w:rPr>
                <w:b/>
                <w:i/>
              </w:rPr>
              <w:t>4</w:t>
            </w:r>
            <w:r w:rsidR="001C700C" w:rsidRPr="009639F7">
              <w:rPr>
                <w:b/>
                <w:i/>
              </w:rPr>
              <w:t>b)</w:t>
            </w:r>
            <w:r w:rsidR="001C700C" w:rsidRPr="009639F7">
              <w:rPr>
                <w:b/>
                <w:i/>
              </w:rPr>
              <w:tab/>
              <w:t>„kohalik avaliku sektori ettevõte“ – avalikke teenuseid osutav väike kohalik ettevõte, mis vastab VKE kriteeriumidele ja täidab kohalikule kogukonnale olulisi ülesandeid;</w:t>
            </w:r>
          </w:p>
        </w:tc>
      </w:tr>
    </w:tbl>
    <w:p w:rsidR="001C700C" w:rsidRPr="009639F7" w:rsidRDefault="001C700C" w:rsidP="001C700C">
      <w:pPr>
        <w:pStyle w:val="JustificationTitle"/>
      </w:pPr>
      <w:r w:rsidRPr="009639F7">
        <w:t>Selgitus</w:t>
      </w:r>
    </w:p>
    <w:p w:rsidR="001C700C" w:rsidRPr="009639F7" w:rsidRDefault="001C700C" w:rsidP="001C700C">
      <w:pPr>
        <w:pStyle w:val="Normal12Italic"/>
      </w:pPr>
      <w:r w:rsidRPr="009639F7">
        <w:t>Kohalikud avaliku sektori ettevõtted tegelevad spetsiifilist laadi ettevõtlusega ja seda tuleb COSME programmis arvesse võtta.</w:t>
      </w:r>
    </w:p>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75</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2 – lõik 1 – punkt 4 c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464712" w:rsidP="00464712">
            <w:pPr>
              <w:pStyle w:val="Normal6"/>
              <w:rPr>
                <w:szCs w:val="24"/>
              </w:rPr>
            </w:pPr>
            <w:r w:rsidRPr="009639F7">
              <w:rPr>
                <w:b/>
                <w:i/>
              </w:rPr>
              <w:t>4</w:t>
            </w:r>
            <w:r w:rsidR="001C700C" w:rsidRPr="009639F7">
              <w:rPr>
                <w:b/>
                <w:i/>
              </w:rPr>
              <w:t>c)</w:t>
            </w:r>
            <w:r w:rsidR="001C700C" w:rsidRPr="009639F7">
              <w:rPr>
                <w:b/>
                <w:i/>
              </w:rPr>
              <w:tab/>
              <w:t>„ettevõtlusvõrgustik“ – ühise projekti elluviimiseks loodud ettevõtjate ühendus, kus kaks või enam VKEd tegelevad ühiselt ühe või mitme majandustegevusega, et suurendada turul oma konkurentsivõimet;</w:t>
            </w:r>
          </w:p>
        </w:tc>
      </w:tr>
    </w:tbl>
    <w:p w:rsidR="001C700C" w:rsidRPr="009639F7" w:rsidRDefault="001C700C" w:rsidP="001C700C">
      <w:pPr>
        <w:pStyle w:val="JustificationTitle"/>
      </w:pPr>
      <w:r w:rsidRPr="009639F7">
        <w:t>Selgitus</w:t>
      </w:r>
    </w:p>
    <w:p w:rsidR="001C700C" w:rsidRPr="009639F7" w:rsidRDefault="001C700C" w:rsidP="001C700C">
      <w:pPr>
        <w:pStyle w:val="Normal12Italic"/>
      </w:pPr>
      <w:r w:rsidRPr="009639F7">
        <w:t>Ettevõtlusvõrgustikud on siseturul tähtsad osalejad.</w:t>
      </w:r>
    </w:p>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76</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3 – lõige 1 – punkt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a)</w:t>
            </w:r>
            <w:r w:rsidRPr="009639F7">
              <w:tab/>
              <w:t xml:space="preserve">parandada siseturu toimimist, kaitsta kodanikke, tarbijaid ja ettevõtteid, eriti mikro-, </w:t>
            </w:r>
            <w:r w:rsidRPr="009639F7">
              <w:rPr>
                <w:b/>
                <w:i/>
              </w:rPr>
              <w:t>väikeseid</w:t>
            </w:r>
            <w:r w:rsidRPr="009639F7">
              <w:t xml:space="preserve"> ja keskmise suurusega ettevõtjaid (VKEsid), ja suurendada nende mõjuvõimu</w:t>
            </w:r>
            <w:r w:rsidRPr="009639F7">
              <w:rPr>
                <w:b/>
                <w:i/>
              </w:rPr>
              <w:t>, tagades</w:t>
            </w:r>
            <w:r w:rsidRPr="009639F7">
              <w:t xml:space="preserve"> liidu </w:t>
            </w:r>
            <w:r w:rsidRPr="009639F7">
              <w:rPr>
                <w:b/>
                <w:i/>
              </w:rPr>
              <w:t>õiguse täitmise, hõlbustades</w:t>
            </w:r>
            <w:r w:rsidRPr="009639F7">
              <w:t xml:space="preserve"> turulepääsu, </w:t>
            </w:r>
            <w:r w:rsidRPr="009639F7">
              <w:rPr>
                <w:b/>
                <w:i/>
              </w:rPr>
              <w:t>kehtestades standardeid</w:t>
            </w:r>
            <w:r w:rsidRPr="009639F7">
              <w:t xml:space="preserve"> ning </w:t>
            </w:r>
            <w:r w:rsidRPr="009639F7">
              <w:rPr>
                <w:b/>
                <w:i/>
              </w:rPr>
              <w:t>edendades</w:t>
            </w:r>
            <w:r w:rsidRPr="009639F7">
              <w:t xml:space="preserve"> inimeste, </w:t>
            </w:r>
            <w:r w:rsidRPr="009639F7">
              <w:lastRenderedPageBreak/>
              <w:t>loomade ja taimede tervist ja loomade heaolu; laiendada</w:t>
            </w:r>
            <w:r w:rsidRPr="009639F7">
              <w:rPr>
                <w:b/>
                <w:i/>
              </w:rPr>
              <w:t xml:space="preserve"> koostööd</w:t>
            </w:r>
            <w:r w:rsidRPr="009639F7">
              <w:t xml:space="preserve"> nii liikmesriikide pädevate asutuste </w:t>
            </w:r>
            <w:r w:rsidRPr="009639F7">
              <w:rPr>
                <w:b/>
                <w:i/>
              </w:rPr>
              <w:t>vahel</w:t>
            </w:r>
            <w:r w:rsidRPr="009639F7">
              <w:t xml:space="preserve"> kui ka liikmesriikide pädevate asutuste, komisjoni ja liidu detsentraliseeritud asutuste </w:t>
            </w:r>
            <w:r w:rsidRPr="009639F7">
              <w:rPr>
                <w:b/>
                <w:i/>
              </w:rPr>
              <w:t>vahel</w:t>
            </w:r>
            <w:r w:rsidRPr="009639F7">
              <w:t>;</w:t>
            </w:r>
          </w:p>
        </w:tc>
        <w:tc>
          <w:tcPr>
            <w:tcW w:w="4876" w:type="dxa"/>
            <w:hideMark/>
          </w:tcPr>
          <w:p w:rsidR="001C700C" w:rsidRPr="009639F7" w:rsidRDefault="001C700C" w:rsidP="00464712">
            <w:pPr>
              <w:pStyle w:val="Normal6"/>
              <w:rPr>
                <w:szCs w:val="24"/>
              </w:rPr>
            </w:pPr>
            <w:r w:rsidRPr="009639F7">
              <w:lastRenderedPageBreak/>
              <w:t>a)</w:t>
            </w:r>
            <w:r w:rsidRPr="009639F7">
              <w:tab/>
              <w:t xml:space="preserve">parandada siseturu toimimist, kaitsta kodanikke, tarbijaid ja ettevõtteid, eriti mikro-, </w:t>
            </w:r>
            <w:r w:rsidRPr="009639F7">
              <w:rPr>
                <w:b/>
                <w:i/>
              </w:rPr>
              <w:t>väikseid</w:t>
            </w:r>
            <w:r w:rsidRPr="009639F7">
              <w:t xml:space="preserve"> ja keskmise suurusega ettevõtjaid (VKEsid), ja suurendada nende mõjuvõimu</w:t>
            </w:r>
            <w:r w:rsidRPr="009639F7">
              <w:rPr>
                <w:b/>
                <w:i/>
              </w:rPr>
              <w:t xml:space="preserve"> tänu</w:t>
            </w:r>
            <w:r w:rsidRPr="009639F7">
              <w:t xml:space="preserve"> liidu </w:t>
            </w:r>
            <w:r w:rsidRPr="009639F7">
              <w:rPr>
                <w:b/>
                <w:i/>
              </w:rPr>
              <w:t>sotsiaalse ning keskkonna- ja õigusraamistiku jõustamisele; hõlbustada</w:t>
            </w:r>
            <w:r w:rsidRPr="009639F7">
              <w:t xml:space="preserve"> turulepääsu</w:t>
            </w:r>
            <w:r w:rsidRPr="009639F7">
              <w:rPr>
                <w:b/>
                <w:i/>
              </w:rPr>
              <w:t xml:space="preserve"> ja </w:t>
            </w:r>
            <w:r w:rsidRPr="009639F7">
              <w:rPr>
                <w:b/>
                <w:i/>
              </w:rPr>
              <w:lastRenderedPageBreak/>
              <w:t>parandada rahastamise kättesaadavust</w:t>
            </w:r>
            <w:r w:rsidRPr="009639F7">
              <w:t xml:space="preserve">, </w:t>
            </w:r>
            <w:r w:rsidRPr="009639F7">
              <w:rPr>
                <w:b/>
                <w:i/>
              </w:rPr>
              <w:t>edendada ettevõtjatevahelist ausat konkurentsi</w:t>
            </w:r>
            <w:r w:rsidRPr="009639F7">
              <w:t xml:space="preserve"> ning </w:t>
            </w:r>
            <w:r w:rsidRPr="009639F7">
              <w:rPr>
                <w:b/>
                <w:i/>
              </w:rPr>
              <w:t>kehtestada normid, mis tagavad ühetaolise kõrgetasemelise tarbijakaitse, tugevdada kogu liidus turujärelevalvet, parandada vastastikust tunnustamist ning edendada</w:t>
            </w:r>
            <w:r w:rsidRPr="009639F7">
              <w:t xml:space="preserve"> inimeste, loomade ja taimede tervist ja loomade heaolu; laiendada nii liikmesriikide pädevate asutuste </w:t>
            </w:r>
            <w:r w:rsidRPr="009639F7">
              <w:rPr>
                <w:b/>
                <w:i/>
              </w:rPr>
              <w:t>vahelist</w:t>
            </w:r>
            <w:r w:rsidRPr="009639F7">
              <w:t xml:space="preserve"> kui ka liikmesriikide pädevate asutuste, komisjoni ja liidu detsentraliseeritud asutuste </w:t>
            </w:r>
            <w:r w:rsidRPr="009639F7">
              <w:rPr>
                <w:b/>
                <w:i/>
              </w:rPr>
              <w:t>vahelist koostööd</w:t>
            </w:r>
            <w:r w:rsidRPr="009639F7">
              <w: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77</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3 – lõige 1 – punkt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b)</w:t>
            </w:r>
            <w:r w:rsidRPr="009639F7">
              <w:tab/>
            </w:r>
            <w:r w:rsidRPr="009639F7">
              <w:rPr>
                <w:b/>
                <w:i/>
              </w:rPr>
              <w:t>pakkuda</w:t>
            </w:r>
            <w:r w:rsidRPr="009639F7">
              <w:t xml:space="preserve"> kvaliteetset, võrreldavat ja usaldusväärset Euroopa statistikat, mis toetaks kõigi liidu poliitikavaldkondade kujundamist, järelevalvet ja hindamist ning aitaks poliitikakujundajatel, ettevõtetel, akadeemilistel ringkondadel, </w:t>
            </w:r>
            <w:r w:rsidRPr="009639F7">
              <w:rPr>
                <w:b/>
                <w:i/>
              </w:rPr>
              <w:t>kodanikel</w:t>
            </w:r>
            <w:r w:rsidRPr="009639F7">
              <w:t xml:space="preserve"> ja meedial teha teadlikke otsuseid ja osaleda demokraatlikus protsessis.</w:t>
            </w:r>
          </w:p>
        </w:tc>
        <w:tc>
          <w:tcPr>
            <w:tcW w:w="4876" w:type="dxa"/>
            <w:hideMark/>
          </w:tcPr>
          <w:p w:rsidR="001C700C" w:rsidRPr="009639F7" w:rsidRDefault="001C700C" w:rsidP="00464712">
            <w:pPr>
              <w:pStyle w:val="Normal6"/>
              <w:rPr>
                <w:szCs w:val="24"/>
              </w:rPr>
            </w:pPr>
            <w:r w:rsidRPr="009639F7">
              <w:t>b)</w:t>
            </w:r>
            <w:r w:rsidRPr="009639F7">
              <w:tab/>
            </w:r>
            <w:r w:rsidRPr="009639F7">
              <w:rPr>
                <w:b/>
                <w:i/>
              </w:rPr>
              <w:t>arendada, koostada ja levitada</w:t>
            </w:r>
            <w:r w:rsidRPr="009639F7">
              <w:t xml:space="preserve"> kvaliteetset, võrreldavat ja usaldusväärset Euroopa statistikat, mis toetaks kõigi liidu poliitikavaldkondade</w:t>
            </w:r>
            <w:r w:rsidRPr="009639F7">
              <w:rPr>
                <w:b/>
                <w:i/>
              </w:rPr>
              <w:t>, sh kaubanduse ja rände</w:t>
            </w:r>
            <w:r w:rsidRPr="009639F7">
              <w:t xml:space="preserve"> kujundamist, järelevalvet ja hindamist ning aitaks </w:t>
            </w:r>
            <w:r w:rsidRPr="009639F7">
              <w:rPr>
                <w:b/>
                <w:i/>
              </w:rPr>
              <w:t xml:space="preserve">kodanikel, </w:t>
            </w:r>
            <w:r w:rsidRPr="009639F7">
              <w:t xml:space="preserve">poliitikakujundajatel, </w:t>
            </w:r>
            <w:r w:rsidRPr="009639F7">
              <w:rPr>
                <w:b/>
                <w:i/>
              </w:rPr>
              <w:t xml:space="preserve">reguleerimis- ja järelevalveasutustel, </w:t>
            </w:r>
            <w:r w:rsidRPr="009639F7">
              <w:t xml:space="preserve">ettevõtetel, akadeemilistel ringkondadel, </w:t>
            </w:r>
            <w:r w:rsidRPr="009639F7">
              <w:rPr>
                <w:b/>
                <w:i/>
              </w:rPr>
              <w:t>kodanikuühiskonnal</w:t>
            </w:r>
            <w:r w:rsidRPr="009639F7">
              <w:t xml:space="preserve"> ja meedial teha teadlikke otsuseid ja osaleda demokraatlikus protsessis.</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78</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3 – lõige 2 – punkt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a)</w:t>
            </w:r>
            <w:r w:rsidRPr="009639F7">
              <w:tab/>
            </w:r>
            <w:r w:rsidRPr="009639F7">
              <w:rPr>
                <w:b/>
                <w:i/>
              </w:rPr>
              <w:t>tõhustada siseturgu</w:t>
            </w:r>
            <w:r w:rsidRPr="009639F7">
              <w:t xml:space="preserve">, hõlbustada kaubandustõkete ennetamist ja kõrvaldamist, töötada välja, rakendada ja täita liidu õigusakte kaupade ja teenuste siseturu, riigihangete, turujärelevalve, äriühinguõiguse, lepinguõiguse ja </w:t>
            </w:r>
            <w:r w:rsidRPr="009639F7">
              <w:lastRenderedPageBreak/>
              <w:t>lepinguvälise õiguse, rahapesuvastase tegevuse, kapitali vaba liikumise, finantsteenuste ja konkurentsi, sealhulgas juhtimisvahendite arendamise valdkonnas;</w:t>
            </w:r>
          </w:p>
        </w:tc>
        <w:tc>
          <w:tcPr>
            <w:tcW w:w="4876" w:type="dxa"/>
            <w:hideMark/>
          </w:tcPr>
          <w:p w:rsidR="001C700C" w:rsidRPr="009639F7" w:rsidRDefault="001C700C" w:rsidP="00464712">
            <w:pPr>
              <w:pStyle w:val="Normal6"/>
              <w:rPr>
                <w:szCs w:val="24"/>
              </w:rPr>
            </w:pPr>
            <w:r w:rsidRPr="009639F7">
              <w:lastRenderedPageBreak/>
              <w:t>a)</w:t>
            </w:r>
            <w:r w:rsidRPr="009639F7">
              <w:tab/>
            </w:r>
            <w:r w:rsidRPr="009639F7">
              <w:rPr>
                <w:b/>
                <w:i/>
              </w:rPr>
              <w:t>siseturu tõhustamiseks:</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i)</w:t>
            </w:r>
            <w:r w:rsidR="00464712" w:rsidRPr="009639F7">
              <w:tab/>
            </w:r>
            <w:r w:rsidRPr="009639F7">
              <w:t xml:space="preserve">hõlbustada kaubandustõkete ennetamist ja kõrvaldamist </w:t>
            </w:r>
            <w:r w:rsidRPr="009639F7">
              <w:rPr>
                <w:b/>
                <w:i/>
              </w:rPr>
              <w:t>ning</w:t>
            </w:r>
            <w:r w:rsidRPr="009639F7">
              <w:t xml:space="preserve"> töötada välja, rakendada ja täita liidu õigusakte kaupade ja teenuste siseturu ning riigihangete, turujärelevalve, äriühinguõiguse, lepinguõiguse ja lepinguvälise õiguse, rahapesuvastase tegevuse, kapitali vaba liikumise, finantsteenuste ja konkurentsi, sealhulgas juhtimisvahendite arendamise valdkonnas;</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464712" w:rsidP="00464712">
            <w:pPr>
              <w:pStyle w:val="Normal6"/>
              <w:rPr>
                <w:szCs w:val="24"/>
              </w:rPr>
            </w:pPr>
            <w:r w:rsidRPr="009639F7">
              <w:rPr>
                <w:b/>
                <w:i/>
              </w:rPr>
              <w:t>ii)</w:t>
            </w:r>
            <w:r w:rsidRPr="009639F7">
              <w:tab/>
            </w:r>
            <w:r w:rsidR="001C700C" w:rsidRPr="009639F7">
              <w:rPr>
                <w:b/>
                <w:i/>
              </w:rPr>
              <w:t>toetada tulemuslikku turujärelevalvet ja tooteohutust kogu liidus ja toetada võitlust toodete võltsimise vastu, tagamaks et liidu turul, sealhulgas internetimüügil tehakse kättesaadavaks üksnes ohutud, nõuetele vastavad ja kõrgetasemelist tarbijakaitset pakkuvad tooted, ning toetada kogu liidus turujärelevalveasutuste ühtsuse ja võimekuse suurendamist.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79</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3 – lõige 2 – punkt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b)</w:t>
            </w:r>
            <w:r w:rsidRPr="009639F7">
              <w:tab/>
            </w:r>
            <w:r w:rsidRPr="009639F7">
              <w:rPr>
                <w:b/>
                <w:i/>
              </w:rPr>
              <w:t>suurendada</w:t>
            </w:r>
            <w:r w:rsidRPr="009639F7">
              <w:t xml:space="preserve"> ettevõtete</w:t>
            </w:r>
            <w:r w:rsidRPr="009639F7">
              <w:rPr>
                <w:b/>
                <w:i/>
              </w:rPr>
              <w:t xml:space="preserve"> konkurentsivõimet</w:t>
            </w:r>
            <w:r w:rsidRPr="009639F7">
              <w:t xml:space="preserve">, </w:t>
            </w:r>
            <w:r w:rsidRPr="009639F7">
              <w:rPr>
                <w:b/>
                <w:i/>
              </w:rPr>
              <w:t>pöörates erilist tähelepanu VKEdele</w:t>
            </w:r>
            <w:r w:rsidRPr="009639F7">
              <w:t xml:space="preserve"> ja </w:t>
            </w:r>
            <w:r w:rsidRPr="009639F7">
              <w:rPr>
                <w:b/>
                <w:i/>
              </w:rPr>
              <w:t>täiendavuse saavutamisele selliste</w:t>
            </w:r>
            <w:r w:rsidRPr="009639F7">
              <w:t xml:space="preserve"> meetmete </w:t>
            </w:r>
            <w:r w:rsidRPr="009639F7">
              <w:rPr>
                <w:b/>
                <w:i/>
              </w:rPr>
              <w:t>kaudu, millega tagatakse VKEdele mitmesuguses vormis toetus, juurdepääs turgudele, sh nende rahvusvahelistumine</w:t>
            </w:r>
            <w:r w:rsidRPr="009639F7">
              <w:t xml:space="preserve">, </w:t>
            </w:r>
            <w:r w:rsidRPr="009639F7">
              <w:rPr>
                <w:b/>
                <w:i/>
              </w:rPr>
              <w:t>soodne ettevõtluskeskkond, konkurentsivõime tööstusharudes</w:t>
            </w:r>
            <w:r w:rsidRPr="009639F7">
              <w:t xml:space="preserve">, </w:t>
            </w:r>
            <w:r w:rsidRPr="009639F7">
              <w:rPr>
                <w:b/>
                <w:i/>
              </w:rPr>
              <w:t>tööstuse moderniseerimine ja ettevõtluse edendamine;</w:t>
            </w:r>
          </w:p>
        </w:tc>
        <w:tc>
          <w:tcPr>
            <w:tcW w:w="4876" w:type="dxa"/>
            <w:hideMark/>
          </w:tcPr>
          <w:p w:rsidR="001C700C" w:rsidRPr="009639F7" w:rsidRDefault="001C700C" w:rsidP="00464712">
            <w:pPr>
              <w:pStyle w:val="Normal6"/>
              <w:rPr>
                <w:szCs w:val="24"/>
              </w:rPr>
            </w:pPr>
            <w:r w:rsidRPr="009639F7">
              <w:t>b)</w:t>
            </w:r>
            <w:r w:rsidRPr="009639F7">
              <w:tab/>
            </w:r>
            <w:r w:rsidRPr="009639F7">
              <w:rPr>
                <w:b/>
                <w:i/>
              </w:rPr>
              <w:t>toetada</w:t>
            </w:r>
            <w:r w:rsidRPr="009639F7">
              <w:t xml:space="preserve"> ettevõtete, </w:t>
            </w:r>
            <w:r w:rsidRPr="009639F7">
              <w:rPr>
                <w:b/>
                <w:i/>
              </w:rPr>
              <w:t>eriti VKEde konkurentsivõimet</w:t>
            </w:r>
            <w:r w:rsidRPr="009639F7">
              <w:t xml:space="preserve"> ja </w:t>
            </w:r>
            <w:r w:rsidRPr="009639F7">
              <w:rPr>
                <w:b/>
                <w:i/>
              </w:rPr>
              <w:t>jätkusuutlikkust ning tagada</w:t>
            </w:r>
            <w:r w:rsidRPr="009639F7">
              <w:t xml:space="preserve"> meetmete </w:t>
            </w:r>
            <w:r w:rsidRPr="009639F7">
              <w:rPr>
                <w:b/>
                <w:i/>
              </w:rPr>
              <w:t>(VKEde jaoks seatud eesmärkide) võtmisega täiendavus</w:t>
            </w:r>
            <w:r w:rsidRPr="009639F7">
              <w:t xml:space="preserve">, </w:t>
            </w:r>
            <w:r w:rsidRPr="009639F7">
              <w:rPr>
                <w:b/>
                <w:i/>
              </w:rPr>
              <w:t>pöörates eritähelepanu VKEde erivajadustele</w:t>
            </w:r>
            <w:r w:rsidRPr="009639F7">
              <w:t xml:space="preserve">, </w:t>
            </w:r>
            <w:r w:rsidRPr="009639F7">
              <w:rPr>
                <w:b/>
                <w:i/>
              </w:rPr>
              <w:t>milleks tuleb:</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i)</w:t>
            </w:r>
            <w:r w:rsidR="00464712" w:rsidRPr="009639F7">
              <w:tab/>
            </w:r>
            <w:r w:rsidRPr="009639F7">
              <w:rPr>
                <w:b/>
                <w:i/>
              </w:rPr>
              <w:t xml:space="preserve">anda VKEdele mitmel eri kujul toetust, soodustada VKEde, sh ettevõtlusvõrgustike kasvu, edendamist ja loomist ning juhtimisoskuste arendamist </w:t>
            </w:r>
            <w:r w:rsidRPr="009639F7">
              <w:rPr>
                <w:b/>
                <w:i/>
              </w:rPr>
              <w:lastRenderedPageBreak/>
              <w:t>ning toetada laiendusmeetmeid, mille abil on VKEdel lihtsam pääseda turgudele ja rahvusvahelistuda ning oma tooteid ja teenuseid turustada;</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ii)</w:t>
            </w:r>
            <w:r w:rsidR="00464712" w:rsidRPr="009639F7">
              <w:tab/>
            </w:r>
            <w:r w:rsidRPr="009639F7">
              <w:rPr>
                <w:b/>
                <w:i/>
              </w:rPr>
              <w:t>toetada VKEdele soodsat ettevõtluskeskkonda ja raamistikku, vähendada halduskoormust, parandada sektorite konkurentsivõimet, tagada tegevuse moderniseerimine, sh VKEde digiüleminek, mis aitab luua vastupidavat ning energia- ja ressursitõhusat majandust;</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iii)</w:t>
            </w:r>
            <w:r w:rsidR="00464712" w:rsidRPr="009639F7">
              <w:tab/>
            </w:r>
            <w:r w:rsidRPr="009639F7">
              <w:rPr>
                <w:b/>
                <w:i/>
              </w:rPr>
              <w:t>toetada ettevõtlikkust ja aidata anda VKEde töötajatele kvaliteetset koolitust;</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iv)</w:t>
            </w:r>
            <w:r w:rsidR="00464712" w:rsidRPr="009639F7">
              <w:tab/>
            </w:r>
            <w:r w:rsidRPr="009639F7">
              <w:rPr>
                <w:b/>
                <w:i/>
              </w:rPr>
              <w:t>edendada struktuursetest muudatustest mõjutatud piirkondades VKEde muudatustega toimetulemiseks mõeldud uusi ettevõtlusvõimalusi sihtotstarbeliste ja muude uuenduslike, töökohtade loomist ja ettevõtluse jätkumist soodustavate meetmetega, nagu näiteks töötajatepoolne väljaostmine.</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80</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3 – lõige 2 – punkt c – alapunkt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i)</w:t>
            </w:r>
            <w:r w:rsidRPr="009639F7">
              <w:tab/>
              <w:t xml:space="preserve">võimaldavad Euroopa </w:t>
            </w:r>
            <w:r w:rsidRPr="009639F7">
              <w:rPr>
                <w:b/>
                <w:i/>
              </w:rPr>
              <w:t>standardimist</w:t>
            </w:r>
            <w:r w:rsidRPr="009639F7">
              <w:t xml:space="preserve"> rahastada ja sidusrühmadel Euroopa standardite kehtestamises osaleda;</w:t>
            </w:r>
          </w:p>
        </w:tc>
        <w:tc>
          <w:tcPr>
            <w:tcW w:w="4876" w:type="dxa"/>
            <w:hideMark/>
          </w:tcPr>
          <w:p w:rsidR="001C700C" w:rsidRPr="009639F7" w:rsidRDefault="001C700C" w:rsidP="00464712">
            <w:pPr>
              <w:pStyle w:val="Normal6"/>
              <w:rPr>
                <w:szCs w:val="24"/>
              </w:rPr>
            </w:pPr>
            <w:r w:rsidRPr="009639F7">
              <w:t>i)</w:t>
            </w:r>
            <w:r w:rsidRPr="009639F7">
              <w:tab/>
              <w:t xml:space="preserve">võimaldavad Euroopa </w:t>
            </w:r>
            <w:r w:rsidRPr="009639F7">
              <w:rPr>
                <w:b/>
                <w:i/>
              </w:rPr>
              <w:t>standardiorganisatsioone</w:t>
            </w:r>
            <w:r w:rsidRPr="009639F7">
              <w:t xml:space="preserve"> rahastada ja</w:t>
            </w:r>
            <w:r w:rsidRPr="009639F7">
              <w:rPr>
                <w:b/>
                <w:i/>
              </w:rPr>
              <w:t xml:space="preserve"> kõigil asjaomastel</w:t>
            </w:r>
            <w:r w:rsidRPr="009639F7">
              <w:t xml:space="preserve"> sidusrühmadel Euroopa standardite kehtestamises osaleda;</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81</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3 – lõige 2 – punkt c – alapunkt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ii)</w:t>
            </w:r>
            <w:r w:rsidRPr="009639F7">
              <w:tab/>
              <w:t xml:space="preserve">toetavad kvaliteetsete rahvusvaheliste finantsaruandluse ja auditeerimise standardite väljatöötamist, lihtsustavad nende integreerimist liidu õigusesse ja </w:t>
            </w:r>
            <w:r w:rsidRPr="009639F7">
              <w:lastRenderedPageBreak/>
              <w:t>edendavad innovatsiooni ja parimaid tavasid äriühingute aruandluse valdkonnas;</w:t>
            </w:r>
          </w:p>
        </w:tc>
        <w:tc>
          <w:tcPr>
            <w:tcW w:w="4876" w:type="dxa"/>
            <w:hideMark/>
          </w:tcPr>
          <w:p w:rsidR="001C700C" w:rsidRPr="009639F7" w:rsidRDefault="001C700C" w:rsidP="00464712">
            <w:pPr>
              <w:pStyle w:val="Normal6"/>
              <w:rPr>
                <w:szCs w:val="24"/>
              </w:rPr>
            </w:pPr>
            <w:r w:rsidRPr="009639F7">
              <w:lastRenderedPageBreak/>
              <w:t>ii)</w:t>
            </w:r>
            <w:r w:rsidRPr="009639F7">
              <w:tab/>
              <w:t>toetavad kvaliteetsete rahvusvaheliste finantsaruandluse ja auditeerimise standardite väljatöötamist, lihtsustavad nende integreerimist liidu õigusesse ja</w:t>
            </w:r>
            <w:r w:rsidRPr="009639F7">
              <w:rPr>
                <w:b/>
                <w:i/>
              </w:rPr>
              <w:t>/või</w:t>
            </w:r>
            <w:r w:rsidRPr="009639F7">
              <w:t xml:space="preserve"> </w:t>
            </w:r>
            <w:r w:rsidRPr="009639F7">
              <w:lastRenderedPageBreak/>
              <w:t>edendavad innovatsiooni ja parimaid tavasid</w:t>
            </w:r>
            <w:r w:rsidRPr="009639F7">
              <w:rPr>
                <w:b/>
                <w:i/>
              </w:rPr>
              <w:t xml:space="preserve"> nii suurte kui ka väikeste</w:t>
            </w:r>
            <w:r w:rsidRPr="009639F7">
              <w:t xml:space="preserve"> äriühingute aruandluse valdkonnas;</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82</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3 – lõige 2 – punkt d – sissejuhatav osa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d)</w:t>
            </w:r>
            <w:r w:rsidRPr="009639F7">
              <w:tab/>
              <w:t xml:space="preserve">edendavad tarbijate huve ja tagavad tarbijakaitse </w:t>
            </w:r>
            <w:r w:rsidRPr="009639F7">
              <w:rPr>
                <w:b/>
                <w:i/>
              </w:rPr>
              <w:t>kõrge taseme</w:t>
            </w:r>
            <w:r w:rsidRPr="009639F7">
              <w:t xml:space="preserve"> ja </w:t>
            </w:r>
            <w:r w:rsidRPr="009639F7">
              <w:rPr>
                <w:b/>
                <w:i/>
              </w:rPr>
              <w:t>tooteohutuse</w:t>
            </w:r>
            <w:r w:rsidRPr="009639F7">
              <w:t xml:space="preserve"> selle kaudu, et</w:t>
            </w:r>
          </w:p>
        </w:tc>
        <w:tc>
          <w:tcPr>
            <w:tcW w:w="4876" w:type="dxa"/>
            <w:hideMark/>
          </w:tcPr>
          <w:p w:rsidR="001C700C" w:rsidRPr="009639F7" w:rsidRDefault="001C700C" w:rsidP="00464712">
            <w:pPr>
              <w:pStyle w:val="Normal6"/>
              <w:rPr>
                <w:szCs w:val="24"/>
              </w:rPr>
            </w:pPr>
            <w:r w:rsidRPr="009639F7">
              <w:t>d)</w:t>
            </w:r>
            <w:r w:rsidRPr="009639F7">
              <w:tab/>
              <w:t xml:space="preserve">edendavad tarbijate huve ja tagavad tarbijakaitse </w:t>
            </w:r>
            <w:r w:rsidRPr="009639F7">
              <w:rPr>
                <w:b/>
                <w:i/>
              </w:rPr>
              <w:t>ühtlase</w:t>
            </w:r>
            <w:r w:rsidRPr="009639F7">
              <w:t xml:space="preserve"> ja </w:t>
            </w:r>
            <w:r w:rsidRPr="009639F7">
              <w:rPr>
                <w:b/>
                <w:i/>
              </w:rPr>
              <w:t>kõrge taseme</w:t>
            </w:r>
            <w:r w:rsidRPr="009639F7">
              <w:t xml:space="preserve"> selle kaudu, et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83</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3 – lõige 2 – punkt d – alapunkt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i)</w:t>
            </w:r>
            <w:r w:rsidRPr="009639F7">
              <w:tab/>
              <w:t xml:space="preserve">suurendatakse tarbijate, ettevõtete ja kodanikuühiskonna mõjuvõimu, abistatakse ja haritakse neid; tagatakse </w:t>
            </w:r>
            <w:r w:rsidRPr="009639F7">
              <w:rPr>
                <w:b/>
                <w:i/>
              </w:rPr>
              <w:t>tarbijakaitse</w:t>
            </w:r>
            <w:r w:rsidRPr="009639F7">
              <w:t xml:space="preserve"> kõrge tase, </w:t>
            </w:r>
            <w:r w:rsidRPr="009639F7">
              <w:rPr>
                <w:b/>
                <w:i/>
              </w:rPr>
              <w:t>säästev tarbimine</w:t>
            </w:r>
            <w:r w:rsidRPr="009639F7">
              <w:t xml:space="preserve"> ja </w:t>
            </w:r>
            <w:r w:rsidRPr="009639F7">
              <w:rPr>
                <w:b/>
                <w:i/>
              </w:rPr>
              <w:t>tooteohutus, eelkõige toetades</w:t>
            </w:r>
            <w:r w:rsidRPr="009639F7">
              <w:t xml:space="preserve"> pädevaid täitevasutusi, tarbijaid esindavaid organisatsioone ja koostöömeetmeid; tagatakse tarbijatele juurdepääs </w:t>
            </w:r>
            <w:r w:rsidRPr="009639F7">
              <w:rPr>
                <w:b/>
                <w:i/>
              </w:rPr>
              <w:t>vaidluste lahendamise mehhanismidele ning</w:t>
            </w:r>
            <w:r w:rsidRPr="009639F7">
              <w:t xml:space="preserve"> antakse piisavat teavet turgude ja tarbijate kohta;</w:t>
            </w:r>
          </w:p>
        </w:tc>
        <w:tc>
          <w:tcPr>
            <w:tcW w:w="4876" w:type="dxa"/>
            <w:hideMark/>
          </w:tcPr>
          <w:p w:rsidR="001C700C" w:rsidRPr="009639F7" w:rsidRDefault="001C700C" w:rsidP="00464712">
            <w:pPr>
              <w:pStyle w:val="Normal6"/>
              <w:rPr>
                <w:szCs w:val="24"/>
              </w:rPr>
            </w:pPr>
            <w:r w:rsidRPr="009639F7">
              <w:t>i)</w:t>
            </w:r>
            <w:r w:rsidRPr="009639F7">
              <w:tab/>
              <w:t xml:space="preserve">suurendatakse tarbijate, ettevõtete ja kodanikuühiskonna mõjuvõimu, abistatakse ja haritakse neid; tagatakse </w:t>
            </w:r>
            <w:r w:rsidRPr="009639F7">
              <w:rPr>
                <w:b/>
                <w:i/>
              </w:rPr>
              <w:t>tarbijate, eeskätt kõige kaitsetumate tarbijate kaitse</w:t>
            </w:r>
            <w:r w:rsidRPr="009639F7">
              <w:t xml:space="preserve"> kõrge tase, </w:t>
            </w:r>
            <w:r w:rsidRPr="009639F7">
              <w:rPr>
                <w:b/>
                <w:i/>
              </w:rPr>
              <w:t>et tugevdada õiglust, läbipaistvust</w:t>
            </w:r>
            <w:r w:rsidRPr="009639F7">
              <w:t xml:space="preserve"> ja </w:t>
            </w:r>
            <w:r w:rsidRPr="009639F7">
              <w:rPr>
                <w:b/>
                <w:i/>
              </w:rPr>
              <w:t>usaldust ühtse turu vastu;</w:t>
            </w:r>
            <w:r w:rsidRPr="009639F7">
              <w:t xml:space="preserve"> </w:t>
            </w:r>
            <w:r w:rsidRPr="009639F7">
              <w:rPr>
                <w:b/>
                <w:i/>
              </w:rPr>
              <w:t>toetatakse</w:t>
            </w:r>
            <w:r w:rsidRPr="009639F7">
              <w:t xml:space="preserve"> pädevaid täitevasutusi, tarbijaid esindavaid organisatsioone ja koostöömeetmeid</w:t>
            </w:r>
            <w:r w:rsidRPr="009639F7">
              <w:rPr>
                <w:b/>
                <w:i/>
              </w:rPr>
              <w:t>, milleks muu hulgas tegeletakse praegustest ja tekkivatest tehnoloogiatest tingitud probleemidega, sealhulgas võetakse meetmeid toodete jälgitavuse parandamiseks tarneahelas</w:t>
            </w:r>
            <w:r w:rsidRPr="009639F7">
              <w:t xml:space="preserve">; </w:t>
            </w:r>
            <w:r w:rsidRPr="009639F7">
              <w:rPr>
                <w:b/>
                <w:i/>
              </w:rPr>
              <w:t xml:space="preserve">kogu liitu hõlmavad kvaliteedistandardid ja toodete kvaliteedierinevuste vähendamine; suurendatakse teadlikkust liidu õigusega tagatud tarbijaõigustest, </w:t>
            </w:r>
            <w:r w:rsidRPr="009639F7">
              <w:t>tagatakse</w:t>
            </w:r>
            <w:r w:rsidRPr="009639F7">
              <w:rPr>
                <w:b/>
                <w:i/>
              </w:rPr>
              <w:t xml:space="preserve"> kõigile</w:t>
            </w:r>
            <w:r w:rsidRPr="009639F7">
              <w:t xml:space="preserve"> tarbijatele juurdepääs </w:t>
            </w:r>
            <w:r w:rsidRPr="009639F7">
              <w:rPr>
                <w:b/>
                <w:i/>
              </w:rPr>
              <w:t>tõhusatele õiguskaitsemehhanismidele,</w:t>
            </w:r>
            <w:r w:rsidRPr="009639F7">
              <w:t xml:space="preserve"> antakse piisavat teavet turgude ja tarbijate</w:t>
            </w:r>
            <w:r w:rsidRPr="009639F7">
              <w:rPr>
                <w:b/>
                <w:i/>
              </w:rPr>
              <w:t xml:space="preserve"> kohta ning säästva tarbimise edendamiseks antakse tarbijatele rohkem teavet kaupade ja teenuste eriomaduste ja keskkonnamõjude</w:t>
            </w:r>
            <w:r w:rsidRPr="009639F7">
              <w:t xml:space="preserve"> kohta;</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84</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3 – lõige 2 – punkt d – alapunkt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ii)</w:t>
            </w:r>
            <w:r w:rsidRPr="009639F7">
              <w:tab/>
              <w:t>suurendatakse tarbijate, muude finantsteenuste lõppkasutajate ja kodanikuühiskonna osalemist finantsteenuste valdkonna poliitika kujundamises; edendatakse paremat arusaamist finantssektorist;</w:t>
            </w:r>
          </w:p>
        </w:tc>
        <w:tc>
          <w:tcPr>
            <w:tcW w:w="4876" w:type="dxa"/>
            <w:hideMark/>
          </w:tcPr>
          <w:p w:rsidR="001C700C" w:rsidRPr="009639F7" w:rsidRDefault="001C700C" w:rsidP="00464712">
            <w:pPr>
              <w:pStyle w:val="Normal6"/>
              <w:rPr>
                <w:szCs w:val="24"/>
              </w:rPr>
            </w:pPr>
            <w:r w:rsidRPr="009639F7">
              <w:t>ii)</w:t>
            </w:r>
            <w:r w:rsidRPr="009639F7">
              <w:tab/>
              <w:t>suurendatakse tarbijate, muude finantsteenuste lõppkasutajate ja kodanikuühiskonna osalemist finantsteenuste valdkonna poliitika kujundamises; edendatakse paremat arusaamist finantssektorist</w:t>
            </w:r>
            <w:r w:rsidRPr="009639F7">
              <w:rPr>
                <w:b/>
                <w:i/>
              </w:rPr>
              <w:t xml:space="preserve"> ja pakutavatest eri liiki finantstoodetest ning tagatakse tarbijate huvide kaitse jaefinantsteenuste valdkonnas</w:t>
            </w:r>
            <w:r w:rsidRPr="009639F7">
              <w: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85</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3 – lõige 2 – punkt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e)</w:t>
            </w:r>
            <w:r w:rsidRPr="009639F7">
              <w:tab/>
              <w:t xml:space="preserve">aidatakse kaasa inimeste, loomade ja taimede tervise kõrge taseme tagamisele kogu </w:t>
            </w:r>
            <w:r w:rsidRPr="009639F7">
              <w:rPr>
                <w:b/>
                <w:i/>
              </w:rPr>
              <w:t>toiduahelas</w:t>
            </w:r>
            <w:r w:rsidRPr="009639F7">
              <w:t xml:space="preserve"> ja </w:t>
            </w:r>
            <w:r w:rsidRPr="009639F7">
              <w:rPr>
                <w:b/>
                <w:i/>
              </w:rPr>
              <w:t>asjaomastes</w:t>
            </w:r>
            <w:r w:rsidRPr="009639F7">
              <w:t xml:space="preserve"> valdkondades, muu hulgas ennetades ja likvideerides loomataude ja </w:t>
            </w:r>
            <w:r w:rsidRPr="009639F7">
              <w:rPr>
                <w:b/>
                <w:i/>
              </w:rPr>
              <w:t>taimekahjustajaid</w:t>
            </w:r>
            <w:r w:rsidRPr="009639F7">
              <w:t xml:space="preserve">, ja </w:t>
            </w:r>
            <w:r w:rsidRPr="009639F7">
              <w:rPr>
                <w:b/>
                <w:i/>
              </w:rPr>
              <w:t>toetada</w:t>
            </w:r>
            <w:r w:rsidRPr="009639F7">
              <w:t xml:space="preserve"> loomade heaolu parandamist, </w:t>
            </w:r>
            <w:r w:rsidRPr="009639F7">
              <w:rPr>
                <w:b/>
                <w:i/>
              </w:rPr>
              <w:t>aga ka</w:t>
            </w:r>
            <w:r w:rsidRPr="009639F7">
              <w:t xml:space="preserve"> toidu säästvat tootmist ja tarbimist;</w:t>
            </w:r>
          </w:p>
        </w:tc>
        <w:tc>
          <w:tcPr>
            <w:tcW w:w="4876" w:type="dxa"/>
            <w:hideMark/>
          </w:tcPr>
          <w:p w:rsidR="001C700C" w:rsidRPr="009639F7" w:rsidRDefault="001C700C" w:rsidP="00464712">
            <w:pPr>
              <w:pStyle w:val="Normal6"/>
              <w:rPr>
                <w:szCs w:val="24"/>
              </w:rPr>
            </w:pPr>
            <w:r w:rsidRPr="009639F7">
              <w:t>e)</w:t>
            </w:r>
            <w:r w:rsidRPr="009639F7">
              <w:tab/>
              <w:t xml:space="preserve">aidatakse kaasa inimeste, loomade ja taimede tervise </w:t>
            </w:r>
            <w:r w:rsidRPr="009639F7">
              <w:rPr>
                <w:b/>
                <w:i/>
              </w:rPr>
              <w:t xml:space="preserve">ja ohutuse </w:t>
            </w:r>
            <w:r w:rsidRPr="009639F7">
              <w:t xml:space="preserve">kõrge taseme tagamisele kogu </w:t>
            </w:r>
            <w:r w:rsidRPr="009639F7">
              <w:rPr>
                <w:b/>
                <w:i/>
              </w:rPr>
              <w:t>toiduainete</w:t>
            </w:r>
            <w:r w:rsidRPr="009639F7">
              <w:t xml:space="preserve"> ja </w:t>
            </w:r>
            <w:r w:rsidRPr="009639F7">
              <w:rPr>
                <w:b/>
                <w:i/>
              </w:rPr>
              <w:t>loomasööda tarneahelas ning seotud</w:t>
            </w:r>
            <w:r w:rsidRPr="009639F7">
              <w:t xml:space="preserve"> valdkondades, muu hulgas ennetades ja likvideerides loomataude ja </w:t>
            </w:r>
            <w:r w:rsidRPr="009639F7">
              <w:rPr>
                <w:b/>
                <w:i/>
              </w:rPr>
              <w:t>taimekahjureid</w:t>
            </w:r>
            <w:r w:rsidRPr="009639F7">
              <w:t xml:space="preserve">, </w:t>
            </w:r>
            <w:r w:rsidRPr="009639F7">
              <w:rPr>
                <w:b/>
                <w:i/>
              </w:rPr>
              <w:t xml:space="preserve">võttes selleks loomade või taimede tervist mõjutavates ulatuslikes kriisiolukordades </w:t>
            </w:r>
            <w:r w:rsidRPr="009639F7">
              <w:t xml:space="preserve">ja </w:t>
            </w:r>
            <w:r w:rsidRPr="009639F7">
              <w:rPr>
                <w:b/>
                <w:i/>
              </w:rPr>
              <w:t>ettenägematute sündmuste korral ka erakorralisi meetmeid, ja toetatakse</w:t>
            </w:r>
            <w:r w:rsidRPr="009639F7">
              <w:t xml:space="preserve"> loomade heaolu parandamist, </w:t>
            </w:r>
            <w:r w:rsidRPr="009639F7">
              <w:rPr>
                <w:b/>
                <w:i/>
              </w:rPr>
              <w:t>edendatakse taskukohase</w:t>
            </w:r>
            <w:r w:rsidRPr="009639F7">
              <w:t xml:space="preserve"> toidu säästvat tootmist ja tarbimist</w:t>
            </w:r>
            <w:r w:rsidRPr="009639F7">
              <w:rPr>
                <w:b/>
                <w:i/>
              </w:rPr>
              <w:t xml:space="preserve"> ning stimuleeritakse teadusuuringuid, innovatsiooni ja parimate tavade vahetamist valdkondlike sidusrühmade vahel</w:t>
            </w:r>
            <w:r w:rsidRPr="009639F7">
              <w: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86</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3 – lõige 2 – punkt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f)</w:t>
            </w:r>
            <w:r w:rsidRPr="009639F7">
              <w:tab/>
            </w:r>
            <w:r w:rsidRPr="009639F7">
              <w:rPr>
                <w:b/>
                <w:i/>
              </w:rPr>
              <w:t>tehakse</w:t>
            </w:r>
            <w:r w:rsidRPr="009639F7">
              <w:t xml:space="preserve"> õigeaegselt, erapooletult ja kulutõhusal viisil Euroopa statistikat ja edastatakse seda Euroopa statistikasüsteemi raames määruse (EÜ) nr 223/2009 artiklis 4 osutatud laiendatud </w:t>
            </w:r>
            <w:r w:rsidRPr="009639F7">
              <w:rPr>
                <w:b/>
                <w:i/>
              </w:rPr>
              <w:t>partnerluse</w:t>
            </w:r>
            <w:r w:rsidRPr="009639F7">
              <w:t xml:space="preserve"> kaudu kõigile asjaomastele välisosalistele, kasutades mitmesuguseid andmeallikaid, täiustatud andmeanalüüsi meetodeid, arukaid süsteeme ja digitaaltehnoloogiat.</w:t>
            </w:r>
          </w:p>
        </w:tc>
        <w:tc>
          <w:tcPr>
            <w:tcW w:w="4876" w:type="dxa"/>
            <w:hideMark/>
          </w:tcPr>
          <w:p w:rsidR="001C700C" w:rsidRPr="009639F7" w:rsidRDefault="001C700C" w:rsidP="00464712">
            <w:pPr>
              <w:pStyle w:val="Normal6"/>
              <w:rPr>
                <w:szCs w:val="24"/>
              </w:rPr>
            </w:pPr>
            <w:r w:rsidRPr="009639F7">
              <w:t>f)</w:t>
            </w:r>
            <w:r w:rsidRPr="009639F7">
              <w:tab/>
            </w:r>
            <w:r w:rsidRPr="009639F7">
              <w:rPr>
                <w:b/>
                <w:i/>
              </w:rPr>
              <w:t>arendatakse, koostatakse ja levitatakse</w:t>
            </w:r>
            <w:r w:rsidRPr="009639F7">
              <w:t xml:space="preserve"> õigeaegselt, erapooletult ja kulutõhusal viisil Euroopa statistikat ja edastatakse seda Euroopa statistika</w:t>
            </w:r>
            <w:r w:rsidR="00464712" w:rsidRPr="009639F7">
              <w:t>süsteemi raames määruse (EÜ) nr </w:t>
            </w:r>
            <w:r w:rsidRPr="009639F7">
              <w:t xml:space="preserve">223/2009 artiklis 4 osutatud laiendatud </w:t>
            </w:r>
            <w:r w:rsidRPr="009639F7">
              <w:rPr>
                <w:b/>
                <w:i/>
              </w:rPr>
              <w:t>partnerluste</w:t>
            </w:r>
            <w:r w:rsidRPr="009639F7">
              <w:t xml:space="preserve"> kaudu kõigile asjaomastele välisosalistele, kasutades mitmesuguseid andmeallikaid, täiustatud andmeanalüüsi meetodeid, arukaid süsteeme ja digitaaltehnoloogiat</w:t>
            </w:r>
            <w:r w:rsidRPr="009639F7">
              <w:rPr>
                <w:b/>
                <w:i/>
              </w:rPr>
              <w:t xml:space="preserve"> ning esitades andmed riikide ja võimaluse korra piirkondade lõikes</w:t>
            </w:r>
            <w:r w:rsidRPr="009639F7">
              <w: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87</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4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1.</w:t>
            </w:r>
            <w:r w:rsidRPr="009639F7">
              <w:tab/>
              <w:t xml:space="preserve">Programmi rakendamise rahastamispakett aastatel 2021–2027 on jooksevhindades </w:t>
            </w:r>
            <w:r w:rsidRPr="009639F7">
              <w:rPr>
                <w:b/>
                <w:i/>
              </w:rPr>
              <w:t>4 088</w:t>
            </w:r>
            <w:r w:rsidRPr="009639F7">
              <w:t> </w:t>
            </w:r>
            <w:r w:rsidRPr="009639F7">
              <w:rPr>
                <w:b/>
                <w:i/>
              </w:rPr>
              <w:t>580 000</w:t>
            </w:r>
            <w:r w:rsidRPr="009639F7">
              <w:t xml:space="preserve"> eurot.</w:t>
            </w:r>
          </w:p>
        </w:tc>
        <w:tc>
          <w:tcPr>
            <w:tcW w:w="4876" w:type="dxa"/>
            <w:hideMark/>
          </w:tcPr>
          <w:p w:rsidR="001C700C" w:rsidRPr="009639F7" w:rsidRDefault="001C700C" w:rsidP="00464712">
            <w:pPr>
              <w:pStyle w:val="Normal6"/>
              <w:rPr>
                <w:szCs w:val="24"/>
              </w:rPr>
            </w:pPr>
            <w:r w:rsidRPr="009639F7">
              <w:t>1.</w:t>
            </w:r>
            <w:r w:rsidRPr="009639F7">
              <w:tab/>
              <w:t xml:space="preserve">Programmi rakendamise rahastamispakett aastatel 2021–2027 on jooksevhindades </w:t>
            </w:r>
            <w:r w:rsidRPr="009639F7">
              <w:rPr>
                <w:b/>
                <w:i/>
              </w:rPr>
              <w:t>6</w:t>
            </w:r>
            <w:r w:rsidRPr="009639F7">
              <w:t> </w:t>
            </w:r>
            <w:r w:rsidRPr="009639F7">
              <w:rPr>
                <w:b/>
                <w:i/>
              </w:rPr>
              <w:t>563 000 000</w:t>
            </w:r>
            <w:r w:rsidRPr="009639F7">
              <w:t xml:space="preserve"> eurot.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88</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4 – lõige 2 – punkt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-a)</w:t>
            </w:r>
            <w:r w:rsidRPr="009639F7">
              <w:rPr>
                <w:b/>
                <w:i/>
              </w:rPr>
              <w:tab/>
              <w:t>394 590 000 eurot artikli 3 lõike</w:t>
            </w:r>
            <w:r w:rsidR="00464712" w:rsidRPr="009639F7">
              <w:rPr>
                <w:b/>
                <w:i/>
              </w:rPr>
              <w:t> </w:t>
            </w:r>
            <w:r w:rsidRPr="009639F7">
              <w:rPr>
                <w:b/>
                <w:i/>
              </w:rPr>
              <w:t>2 punkti a alapunktis i osutatud eesmärgi jaoks;</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89</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4 – lõige 2 – punkt -a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464712" w:rsidP="00464712">
            <w:pPr>
              <w:pStyle w:val="Normal6"/>
              <w:rPr>
                <w:szCs w:val="24"/>
              </w:rPr>
            </w:pPr>
            <w:r w:rsidRPr="009639F7">
              <w:rPr>
                <w:b/>
                <w:i/>
              </w:rPr>
              <w:t>-a</w:t>
            </w:r>
            <w:r w:rsidR="001C700C" w:rsidRPr="009639F7">
              <w:rPr>
                <w:b/>
                <w:i/>
              </w:rPr>
              <w:t>a)</w:t>
            </w:r>
            <w:r w:rsidR="001C700C" w:rsidRPr="009639F7">
              <w:rPr>
                <w:b/>
                <w:i/>
              </w:rPr>
              <w:tab/>
              <w:t>39</w:t>
            </w:r>
            <w:r w:rsidRPr="009639F7">
              <w:rPr>
                <w:b/>
                <w:i/>
              </w:rPr>
              <w:t>6 200 000 eurot artikli 3 lõike </w:t>
            </w:r>
            <w:r w:rsidR="001C700C" w:rsidRPr="009639F7">
              <w:rPr>
                <w:b/>
                <w:i/>
              </w:rPr>
              <w:t>2 punkti a alapunktis ii osutatud eesmärgi jaoks;</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90</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4 – lõige 2 – punkt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a)</w:t>
            </w:r>
            <w:r w:rsidRPr="009639F7">
              <w:tab/>
            </w:r>
            <w:r w:rsidRPr="009639F7">
              <w:rPr>
                <w:b/>
                <w:i/>
              </w:rPr>
              <w:t>1 000 000 000</w:t>
            </w:r>
            <w:r w:rsidRPr="009639F7">
              <w:t xml:space="preserve"> eurot artikli 3 lõike 2 punktis b osutatud eesmärgi jaoks;</w:t>
            </w:r>
          </w:p>
        </w:tc>
        <w:tc>
          <w:tcPr>
            <w:tcW w:w="4876" w:type="dxa"/>
            <w:hideMark/>
          </w:tcPr>
          <w:p w:rsidR="001C700C" w:rsidRPr="009639F7" w:rsidRDefault="001C700C" w:rsidP="00464712">
            <w:pPr>
              <w:pStyle w:val="Normal6"/>
              <w:rPr>
                <w:szCs w:val="24"/>
              </w:rPr>
            </w:pPr>
            <w:r w:rsidRPr="009639F7">
              <w:t>a)</w:t>
            </w:r>
            <w:r w:rsidRPr="009639F7">
              <w:tab/>
            </w:r>
            <w:r w:rsidRPr="009639F7">
              <w:rPr>
                <w:b/>
                <w:i/>
              </w:rPr>
              <w:t>3 122 000 000</w:t>
            </w:r>
            <w:r w:rsidRPr="009639F7">
              <w:t xml:space="preserve"> eurot artikli 3 lõike</w:t>
            </w:r>
            <w:r w:rsidR="00464712" w:rsidRPr="009639F7">
              <w:t> </w:t>
            </w:r>
            <w:r w:rsidRPr="009639F7">
              <w:t>2 punktis b osutatud eesmärgi jaoks;</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91</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4 – lõige 2 – punkt a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aa)</w:t>
            </w:r>
            <w:r w:rsidRPr="009639F7">
              <w:rPr>
                <w:b/>
                <w:i/>
              </w:rPr>
              <w:tab/>
              <w:t>220 510 000 eurot artikli 3 lõike</w:t>
            </w:r>
            <w:r w:rsidR="00464712" w:rsidRPr="009639F7">
              <w:rPr>
                <w:b/>
                <w:i/>
              </w:rPr>
              <w:t> </w:t>
            </w:r>
            <w:r w:rsidRPr="009639F7">
              <w:rPr>
                <w:b/>
                <w:i/>
              </w:rPr>
              <w:t>2 punktis c osutatud eesmärgi jaoks;</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92</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4 – lõige 2 – punkt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b)</w:t>
            </w:r>
            <w:r w:rsidRPr="009639F7">
              <w:tab/>
            </w:r>
            <w:r w:rsidRPr="009639F7">
              <w:rPr>
                <w:b/>
                <w:i/>
              </w:rPr>
              <w:t>188 000 000</w:t>
            </w:r>
            <w:r w:rsidRPr="009639F7">
              <w:t xml:space="preserve"> eurot artikli 3 lõike 2 </w:t>
            </w:r>
            <w:r w:rsidRPr="009639F7">
              <w:rPr>
                <w:b/>
                <w:i/>
              </w:rPr>
              <w:t xml:space="preserve">punkti </w:t>
            </w:r>
            <w:r w:rsidRPr="009639F7">
              <w:t>d</w:t>
            </w:r>
            <w:r w:rsidRPr="009639F7">
              <w:rPr>
                <w:b/>
                <w:i/>
              </w:rPr>
              <w:t xml:space="preserve"> alapunktis i</w:t>
            </w:r>
            <w:r w:rsidRPr="009639F7">
              <w:t xml:space="preserve"> osutatud eesmärgi jaoks;</w:t>
            </w:r>
          </w:p>
        </w:tc>
        <w:tc>
          <w:tcPr>
            <w:tcW w:w="4876" w:type="dxa"/>
            <w:hideMark/>
          </w:tcPr>
          <w:p w:rsidR="001C700C" w:rsidRPr="009639F7" w:rsidRDefault="001C700C" w:rsidP="00464712">
            <w:pPr>
              <w:pStyle w:val="Normal6"/>
              <w:rPr>
                <w:szCs w:val="24"/>
              </w:rPr>
            </w:pPr>
            <w:r w:rsidRPr="009639F7">
              <w:t>b)</w:t>
            </w:r>
            <w:r w:rsidRPr="009639F7">
              <w:tab/>
            </w:r>
            <w:r w:rsidRPr="009639F7">
              <w:rPr>
                <w:b/>
                <w:i/>
              </w:rPr>
              <w:t>198 000 000</w:t>
            </w:r>
            <w:r w:rsidRPr="009639F7">
              <w:t xml:space="preserve"> eurot artikli 3 lõike</w:t>
            </w:r>
            <w:r w:rsidR="00464712" w:rsidRPr="009639F7">
              <w:t> </w:t>
            </w:r>
            <w:r w:rsidRPr="009639F7">
              <w:t xml:space="preserve">2 </w:t>
            </w:r>
            <w:r w:rsidRPr="009639F7">
              <w:rPr>
                <w:b/>
                <w:i/>
              </w:rPr>
              <w:t>punktis </w:t>
            </w:r>
            <w:r w:rsidRPr="009639F7">
              <w:t>d osutatud eesmärgi jaoks;</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93</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4 – lõige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3.</w:t>
            </w:r>
            <w:r w:rsidRPr="009639F7">
              <w:tab/>
              <w:t>Lõikes 1 nimetatud summat võib kasutada programmi rakendamiseks antava tehnilise ja haldusabi jaoks, eelkõige ettevalmistus-, järelevalve-, kontrolli-, auditeerimis- ja hindamistoiminguteks, aga ka infotehnoloogiavõrgustike kasutamiseks, mis keskenduvad infotöötlusele ja -vahetusele, samuti infotehnoloogiavahendite kasutamiseks ja arendamiseks.</w:t>
            </w:r>
          </w:p>
        </w:tc>
        <w:tc>
          <w:tcPr>
            <w:tcW w:w="4876" w:type="dxa"/>
            <w:hideMark/>
          </w:tcPr>
          <w:p w:rsidR="001C700C" w:rsidRPr="009639F7" w:rsidRDefault="001C700C" w:rsidP="00464712">
            <w:pPr>
              <w:pStyle w:val="Normal6"/>
              <w:rPr>
                <w:szCs w:val="24"/>
              </w:rPr>
            </w:pPr>
            <w:r w:rsidRPr="009639F7">
              <w:t>3.</w:t>
            </w:r>
            <w:r w:rsidRPr="009639F7">
              <w:tab/>
              <w:t xml:space="preserve">Lõikes 1 nimetatud summat võib kasutada programmi rakendamiseks antava tehnilise ja haldusabi jaoks, eelkõige ettevalmistus-, järelevalve-, kontrolli-, auditeerimis- ja hindamistoiminguteks, aga ka infotehnoloogiavõrgustike kasutamiseks, mis keskenduvad infotöötlusele ja -vahetusele, samuti infotehnoloogiavahendite kasutamiseks ja arendamiseks. </w:t>
            </w:r>
            <w:r w:rsidRPr="009639F7">
              <w:rPr>
                <w:b/>
                <w:i/>
              </w:rPr>
              <w:t>Et programmist saaks võimalikult ulatuslikult rahastada programmi eesmärke teenivaid meetmeid, ei või halduskulud ja tehnilise abi maksumus kokku olla üle 5 % lõikes</w:t>
            </w:r>
            <w:r w:rsidR="00464712" w:rsidRPr="009639F7">
              <w:rPr>
                <w:b/>
                <w:i/>
              </w:rPr>
              <w:t> </w:t>
            </w:r>
            <w:r w:rsidRPr="009639F7">
              <w:rPr>
                <w:b/>
                <w:i/>
              </w:rPr>
              <w:t>1 osutatud rahastamispaketi väärtusest.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94</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4 – lõige 5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464712" w:rsidP="00464712">
            <w:pPr>
              <w:pStyle w:val="Normal6"/>
              <w:rPr>
                <w:szCs w:val="24"/>
              </w:rPr>
            </w:pPr>
            <w:r w:rsidRPr="009639F7">
              <w:rPr>
                <w:b/>
                <w:i/>
              </w:rPr>
              <w:t>5</w:t>
            </w:r>
            <w:r w:rsidR="001C700C" w:rsidRPr="009639F7">
              <w:rPr>
                <w:b/>
                <w:i/>
              </w:rPr>
              <w:t>a.</w:t>
            </w:r>
            <w:r w:rsidR="001C700C" w:rsidRPr="009639F7">
              <w:rPr>
                <w:b/>
                <w:i/>
              </w:rPr>
              <w:tab/>
              <w:t>Artikli 3 lõike 2 punkti e kohaste meetmete piisava rahastamise tagamiseks tuleks võtta kasutusele erimehhanism, mille abil saaks ulatuslike hädaolukordade puhul toidutarneahelat rahastada vahetult komisjoni kriisireservist.</w:t>
            </w:r>
          </w:p>
        </w:tc>
      </w:tr>
    </w:tbl>
    <w:p w:rsidR="001C700C" w:rsidRPr="009639F7" w:rsidRDefault="001C700C" w:rsidP="001C700C">
      <w:pPr>
        <w:pStyle w:val="AMNumberTabs"/>
        <w:keepNext/>
      </w:pPr>
      <w:r w:rsidRPr="009639F7">
        <w:t>Muudatusettepanek</w:t>
      </w:r>
      <w:r w:rsidRPr="009639F7">
        <w:tab/>
      </w:r>
      <w:r w:rsidRPr="009639F7">
        <w:tab/>
        <w:t>95</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8 – lõige 2 – punkt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a)</w:t>
            </w:r>
            <w:r w:rsidRPr="009639F7">
              <w:tab/>
              <w:t>õigete tingimuste loomine, et anda kõigile siseturu osalistele, sealhulgas ettevõtetele, kodanikele</w:t>
            </w:r>
            <w:r w:rsidRPr="009639F7">
              <w:rPr>
                <w:b/>
                <w:i/>
              </w:rPr>
              <w:t xml:space="preserve"> ja</w:t>
            </w:r>
            <w:r w:rsidRPr="009639F7">
              <w:t xml:space="preserve"> tarbijatele, kodanikuühiskonnale ja avaliku sektori asutustele rohkem mõjuvõimu läbipaistva </w:t>
            </w:r>
            <w:r w:rsidRPr="009639F7">
              <w:rPr>
                <w:b/>
                <w:i/>
              </w:rPr>
              <w:t>teabe</w:t>
            </w:r>
            <w:r w:rsidRPr="009639F7">
              <w:t xml:space="preserve"> ja teadlikkuse suurendamise kampaaniate, parimate tavade vahetamise, </w:t>
            </w:r>
            <w:r w:rsidRPr="009639F7">
              <w:rPr>
                <w:b/>
                <w:i/>
              </w:rPr>
              <w:lastRenderedPageBreak/>
              <w:t>hea tava</w:t>
            </w:r>
            <w:r w:rsidRPr="009639F7">
              <w:t xml:space="preserve"> edendamise, kogemuste ja teadmiste vahetamise ning </w:t>
            </w:r>
            <w:r w:rsidRPr="009639F7">
              <w:rPr>
                <w:b/>
                <w:i/>
              </w:rPr>
              <w:t>koolituste korraldamise</w:t>
            </w:r>
            <w:r w:rsidRPr="009639F7">
              <w:t xml:space="preserve"> kaudu;</w:t>
            </w:r>
          </w:p>
        </w:tc>
        <w:tc>
          <w:tcPr>
            <w:tcW w:w="4876" w:type="dxa"/>
            <w:hideMark/>
          </w:tcPr>
          <w:p w:rsidR="001C700C" w:rsidRPr="009639F7" w:rsidRDefault="001C700C" w:rsidP="00464712">
            <w:pPr>
              <w:pStyle w:val="Normal6"/>
              <w:rPr>
                <w:szCs w:val="24"/>
              </w:rPr>
            </w:pPr>
            <w:r w:rsidRPr="009639F7">
              <w:lastRenderedPageBreak/>
              <w:t>a)</w:t>
            </w:r>
            <w:r w:rsidRPr="009639F7">
              <w:tab/>
              <w:t>õigete tingimuste loomine, et anda kõigile siseturu osalistele, sealhulgas ettevõtetele, kodanikele</w:t>
            </w:r>
            <w:r w:rsidRPr="009639F7">
              <w:rPr>
                <w:b/>
                <w:i/>
              </w:rPr>
              <w:t>,</w:t>
            </w:r>
            <w:r w:rsidRPr="009639F7">
              <w:t xml:space="preserve"> tarbijatele, kodanikuühiskonnale ja avaliku sektori asutustele rohkem mõjuvõimu läbipaistva </w:t>
            </w:r>
            <w:r w:rsidRPr="009639F7">
              <w:rPr>
                <w:b/>
                <w:i/>
              </w:rPr>
              <w:t>teabevahetuse</w:t>
            </w:r>
            <w:r w:rsidRPr="009639F7">
              <w:t xml:space="preserve"> ja teadlikkuse suurendamise kampaaniate</w:t>
            </w:r>
            <w:r w:rsidRPr="009639F7">
              <w:rPr>
                <w:b/>
                <w:i/>
              </w:rPr>
              <w:t xml:space="preserve"> kaudu, eelkõige seoses </w:t>
            </w:r>
            <w:r w:rsidRPr="009639F7">
              <w:rPr>
                <w:b/>
                <w:i/>
              </w:rPr>
              <w:lastRenderedPageBreak/>
              <w:t>kohaldatavate liidu eeskirjadega ning tarbijate ja ettevõtjate õigustega</w:t>
            </w:r>
            <w:r w:rsidRPr="009639F7">
              <w:t xml:space="preserve">, parimate tavade vahetamise, </w:t>
            </w:r>
            <w:r w:rsidRPr="009639F7">
              <w:rPr>
                <w:b/>
                <w:i/>
              </w:rPr>
              <w:t>heade tavade ja uuenduslike lahenduste</w:t>
            </w:r>
            <w:r w:rsidRPr="009639F7">
              <w:t xml:space="preserve"> edendamise, kogemuste ja teadmiste vahetamise ning </w:t>
            </w:r>
            <w:r w:rsidRPr="009639F7">
              <w:rPr>
                <w:b/>
                <w:i/>
              </w:rPr>
              <w:t>kodanike ja ettevõtjate digitaalse kirjaoskuse edendamiseks korraldatavate koolituste</w:t>
            </w:r>
            <w:r w:rsidRPr="009639F7">
              <w:t xml:space="preserve"> kaudu;</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96</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8 – lõige 2 – punkt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b)</w:t>
            </w:r>
            <w:r w:rsidRPr="009639F7">
              <w:tab/>
              <w:t>mehhanismide loomine liidu kodanike, tarbijate, lõppkasutajate, kodanikuühiskonna ja ettevõtjate esindajate jaoks, et aidata kaasa nende osalemisele poliitilistes aruteludes, poliitikavaldkondades ja otsustusprotsessis, toetades eelkõige esindusorganisatsioonide toimimist nii riiklikul kui ka liidu tasandil;</w:t>
            </w:r>
          </w:p>
        </w:tc>
        <w:tc>
          <w:tcPr>
            <w:tcW w:w="4876" w:type="dxa"/>
            <w:hideMark/>
          </w:tcPr>
          <w:p w:rsidR="001C700C" w:rsidRPr="009639F7" w:rsidRDefault="001C700C" w:rsidP="00464712">
            <w:pPr>
              <w:pStyle w:val="Normal6"/>
              <w:rPr>
                <w:szCs w:val="24"/>
              </w:rPr>
            </w:pPr>
            <w:r w:rsidRPr="009639F7">
              <w:t>b)</w:t>
            </w:r>
            <w:r w:rsidRPr="009639F7">
              <w:tab/>
              <w:t>mehhanismide loomine liidu kodanike, tarbijate, lõppkasutajate, kodanikuühiskonna</w:t>
            </w:r>
            <w:r w:rsidRPr="009639F7">
              <w:rPr>
                <w:b/>
                <w:i/>
              </w:rPr>
              <w:t>, ametiühingute</w:t>
            </w:r>
            <w:r w:rsidRPr="009639F7">
              <w:t xml:space="preserve"> ja ettevõtjate</w:t>
            </w:r>
            <w:r w:rsidRPr="009639F7">
              <w:rPr>
                <w:b/>
                <w:i/>
              </w:rPr>
              <w:t>, eelkõige VKEde</w:t>
            </w:r>
            <w:r w:rsidRPr="009639F7">
              <w:t xml:space="preserve"> esindajate jaoks, et aidata kaasa nende osalemisele poliitilistes aruteludes, poliitikavaldkondades ja otsustusprotsessis, toetades eelkõige esindusorganisatsioonide toimimist nii riiklikul kui ka liidu tasandil;</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97</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8 – lõige 2 – punkt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c)</w:t>
            </w:r>
            <w:r w:rsidRPr="009639F7">
              <w:tab/>
              <w:t>suutlikkuse suurendamine ning liikmesriikide ja nende pädevate asutuste, liikmesriikide pädevate asutuste ja komisjoni ning komisjoni, liidu detsentraliseeritud asutuste ja kolmandate riikide asutuste ühismeetmete toetamine ja koordineerimine;</w:t>
            </w:r>
          </w:p>
        </w:tc>
        <w:tc>
          <w:tcPr>
            <w:tcW w:w="4876" w:type="dxa"/>
            <w:hideMark/>
          </w:tcPr>
          <w:p w:rsidR="001C700C" w:rsidRPr="009639F7" w:rsidRDefault="001C700C" w:rsidP="00464712">
            <w:pPr>
              <w:pStyle w:val="Normal6"/>
              <w:rPr>
                <w:szCs w:val="24"/>
              </w:rPr>
            </w:pPr>
            <w:r w:rsidRPr="009639F7">
              <w:t>c)</w:t>
            </w:r>
            <w:r w:rsidRPr="009639F7">
              <w:tab/>
              <w:t>suutlikkuse suurendamine ning liikmesriikide ja nende pädevate asutuste, liikmesriikide pädevate asutuste ja komisjoni ning komisjoni, liidu detsentraliseeritud asutuste ja kolmandate riikide asutuste ühismeetmete toetamine ja koordineerimine</w:t>
            </w:r>
            <w:r w:rsidRPr="009639F7">
              <w:rPr>
                <w:b/>
                <w:i/>
              </w:rPr>
              <w:t>, täpsemalt mõeldakse ühismeetmeid, mille eesmärk on tugevdada liidus tooteohutust ja tarbijakaitse eeskirjade jõustamist ning toodete jälgitavust</w:t>
            </w:r>
            <w:r w:rsidRPr="009639F7">
              <w:t>;</w:t>
            </w:r>
          </w:p>
        </w:tc>
      </w:tr>
    </w:tbl>
    <w:p w:rsidR="001C700C" w:rsidRPr="009639F7" w:rsidRDefault="001C700C" w:rsidP="001C700C"/>
    <w:p w:rsidR="001C700C" w:rsidRPr="009639F7" w:rsidRDefault="001C700C" w:rsidP="001C700C">
      <w:pPr>
        <w:pStyle w:val="AMNumberTabs"/>
        <w:keepNext/>
      </w:pPr>
      <w:r w:rsidRPr="009639F7">
        <w:lastRenderedPageBreak/>
        <w:t>Muudatusettepanek</w:t>
      </w:r>
      <w:r w:rsidRPr="009639F7">
        <w:tab/>
      </w:r>
      <w:r w:rsidRPr="009639F7">
        <w:tab/>
        <w:t>98</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8 – lõige 2 – punkt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d)</w:t>
            </w:r>
            <w:r w:rsidRPr="009639F7">
              <w:tab/>
              <w:t xml:space="preserve">liidu õigusraamistiku tõhusa jõustamise ja ajakohastamise ning selle kohandamise toetamine pidevalt muutuvas keskkonnas, sealhulgas andmete kogumise ja </w:t>
            </w:r>
            <w:r w:rsidRPr="009639F7">
              <w:rPr>
                <w:b/>
                <w:i/>
              </w:rPr>
              <w:t>analüüside</w:t>
            </w:r>
            <w:r w:rsidRPr="009639F7">
              <w:t xml:space="preserve"> kaudu; uuringud, hindamised ja poliitikasoovitused; tutvustamistegevuse ja katseprojektide korraldamine; teabevahetustegevus; spetsiaalsete IT-vahendite väljatöötamine, et tagada siseturu läbipaistev ja tõhus toimimine.</w:t>
            </w:r>
          </w:p>
        </w:tc>
        <w:tc>
          <w:tcPr>
            <w:tcW w:w="4876" w:type="dxa"/>
            <w:hideMark/>
          </w:tcPr>
          <w:p w:rsidR="001C700C" w:rsidRPr="009639F7" w:rsidRDefault="001C700C" w:rsidP="00464712">
            <w:pPr>
              <w:pStyle w:val="Normal6"/>
              <w:rPr>
                <w:szCs w:val="24"/>
              </w:rPr>
            </w:pPr>
            <w:r w:rsidRPr="009639F7">
              <w:t>d)</w:t>
            </w:r>
            <w:r w:rsidRPr="009639F7">
              <w:tab/>
              <w:t xml:space="preserve">liidu õigusraamistiku tõhusa </w:t>
            </w:r>
            <w:r w:rsidRPr="009639F7">
              <w:rPr>
                <w:b/>
                <w:i/>
              </w:rPr>
              <w:t xml:space="preserve">liikmesriigipoolse </w:t>
            </w:r>
            <w:r w:rsidRPr="009639F7">
              <w:t>jõustamise ja ajakohastamise ning selle kohandamise toetamine pidevalt muutuvas keskkonnas</w:t>
            </w:r>
            <w:r w:rsidRPr="009639F7">
              <w:rPr>
                <w:b/>
                <w:i/>
              </w:rPr>
              <w:t xml:space="preserve"> ning digitaliseerimisega kaasnevate probleemide lahendamise toetamine</w:t>
            </w:r>
            <w:r w:rsidRPr="009639F7">
              <w:t xml:space="preserve">, sealhulgas andmete kogumise ja </w:t>
            </w:r>
            <w:r w:rsidRPr="009639F7">
              <w:rPr>
                <w:b/>
                <w:i/>
              </w:rPr>
              <w:t>analüüsimise</w:t>
            </w:r>
            <w:r w:rsidRPr="009639F7">
              <w:t xml:space="preserve"> kaudu; uuringud, hindamised ja poliitikasoovitused; tutvustamistegevuse ja katseprojektide korraldamine; teabevahetustegevus; spetsiaalsete IT</w:t>
            </w:r>
            <w:r w:rsidR="00464712" w:rsidRPr="009639F7">
              <w:noBreakHyphen/>
            </w:r>
            <w:r w:rsidRPr="009639F7">
              <w:t>vahendite väljatöötamine, et tagada siseturu läbipaistev</w:t>
            </w:r>
            <w:r w:rsidRPr="009639F7">
              <w:rPr>
                <w:b/>
                <w:i/>
              </w:rPr>
              <w:t>, õiglane</w:t>
            </w:r>
            <w:r w:rsidRPr="009639F7">
              <w:t xml:space="preserve"> ja tõhus toimimine.</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99</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8 – lõige 2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2a.</w:t>
            </w:r>
            <w:r w:rsidRPr="009639F7">
              <w:rPr>
                <w:b/>
                <w:i/>
              </w:rPr>
              <w:tab/>
              <w:t>Rahastamiskõlblikud on järgmised artikli 3 lõike 2 punkti a alapunktis ii osutatud konkreetseid eesmärke täitvad meetmed:</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a)</w:t>
            </w:r>
            <w:r w:rsidR="00464712" w:rsidRPr="009639F7">
              <w:rPr>
                <w:b/>
                <w:i/>
              </w:rPr>
              <w:tab/>
            </w:r>
            <w:r w:rsidRPr="009639F7">
              <w:rPr>
                <w:b/>
                <w:i/>
              </w:rPr>
              <w:t>turujärelevalveasutuste ja liikmesriikide muude asjaomaste asutuste vaheline koordineerimine ja koostöö, eelkõige liidu toodete nõuetele vastavuse võrgustiku kaudu;</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b)</w:t>
            </w:r>
            <w:r w:rsidR="00464712" w:rsidRPr="009639F7">
              <w:rPr>
                <w:b/>
                <w:i/>
              </w:rPr>
              <w:tab/>
            </w:r>
            <w:r w:rsidRPr="009639F7">
              <w:rPr>
                <w:b/>
                <w:i/>
              </w:rPr>
              <w:t>selliste IT-vahendite arendamine ja haldamine, mille abil vahetatakse välispiiridel teavet turujärelevalve ja kontrolli kohta;</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c)</w:t>
            </w:r>
            <w:r w:rsidR="00464712" w:rsidRPr="009639F7">
              <w:rPr>
                <w:b/>
                <w:i/>
              </w:rPr>
              <w:tab/>
            </w:r>
            <w:r w:rsidRPr="009639F7">
              <w:rPr>
                <w:b/>
                <w:i/>
              </w:rPr>
              <w:t>toetus tooteohutuse ja nõuetele vastavusega seotud ühismeetmete ja katsete väljatöötamiseks, sealhulgas seotud toodete ja internetis müüdavate toodete osas;</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d)</w:t>
            </w:r>
            <w:r w:rsidR="00464712" w:rsidRPr="009639F7">
              <w:rPr>
                <w:b/>
                <w:i/>
              </w:rPr>
              <w:tab/>
            </w:r>
            <w:r w:rsidRPr="009639F7">
              <w:rPr>
                <w:b/>
                <w:i/>
              </w:rPr>
              <w:t>turujärelevalveasutuste ja kolmandate riikide asjaomaste asutuste vaheline koostöö, parimate tavade vahetamine ja ühisprojektide korraldamine;</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e)</w:t>
            </w:r>
            <w:r w:rsidR="00464712" w:rsidRPr="009639F7">
              <w:rPr>
                <w:b/>
                <w:i/>
              </w:rPr>
              <w:tab/>
            </w:r>
            <w:r w:rsidRPr="009639F7">
              <w:rPr>
                <w:b/>
                <w:i/>
              </w:rPr>
              <w:t>turujärelevalvestrateegiate, teadmiste ja teabe kogumise, katsetamissuutlikkuse ja -vahendite, vastastikuste eksperdihinnangute, koolitusprogrammide, tehnilise abi ja turujärelevalveasutuste suutlikkuse suurendamise toetamine;</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f)</w:t>
            </w:r>
            <w:r w:rsidR="00464712" w:rsidRPr="009639F7">
              <w:rPr>
                <w:b/>
                <w:i/>
              </w:rPr>
              <w:tab/>
            </w:r>
            <w:r w:rsidRPr="009639F7">
              <w:rPr>
                <w:b/>
                <w:i/>
              </w:rPr>
              <w:t>mootorsõidukite tüübikinnitusmenetluste ja mootorsõidukite nõuetele vastavuse kontrollimise hindamine komisjoni poolt.</w:t>
            </w:r>
          </w:p>
        </w:tc>
      </w:tr>
    </w:tbl>
    <w:p w:rsidR="00464712" w:rsidRPr="009639F7" w:rsidRDefault="00464712" w:rsidP="001C700C">
      <w:pPr>
        <w:pStyle w:val="AMNumberTabs"/>
        <w:keepNext/>
      </w:pPr>
    </w:p>
    <w:p w:rsidR="001C700C" w:rsidRPr="009639F7" w:rsidRDefault="001C700C" w:rsidP="001C700C">
      <w:pPr>
        <w:pStyle w:val="AMNumberTabs"/>
        <w:keepNext/>
      </w:pPr>
      <w:r w:rsidRPr="009639F7">
        <w:t>Muudatusettepanek</w:t>
      </w:r>
      <w:r w:rsidRPr="009639F7">
        <w:tab/>
      </w:r>
      <w:r w:rsidRPr="009639F7">
        <w:tab/>
        <w:t>100</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8 – lõige 3 – punkt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(a)</w:t>
            </w:r>
            <w:r w:rsidRPr="009639F7">
              <w:rPr>
                <w:b/>
                <w:i/>
              </w:rPr>
              <w:tab/>
              <w:t>mitmesuguses vormis toetuse andmine VKEdele;</w:t>
            </w:r>
          </w:p>
        </w:tc>
        <w:tc>
          <w:tcPr>
            <w:tcW w:w="4876" w:type="dxa"/>
            <w:hideMark/>
          </w:tcPr>
          <w:p w:rsidR="001C700C" w:rsidRPr="009639F7" w:rsidRDefault="001C700C" w:rsidP="00464712">
            <w:pPr>
              <w:pStyle w:val="Normal6"/>
              <w:rPr>
                <w:szCs w:val="24"/>
              </w:rPr>
            </w:pPr>
            <w:r w:rsidRPr="009639F7">
              <w:rPr>
                <w:b/>
                <w:i/>
              </w:rPr>
              <w:t>välja jäetud</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101</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8 – lõige 3 – punkt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b)</w:t>
            </w:r>
            <w:r w:rsidRPr="009639F7">
              <w:tab/>
            </w:r>
            <w:r w:rsidRPr="009639F7">
              <w:rPr>
                <w:b/>
                <w:i/>
              </w:rPr>
              <w:t>VKEde</w:t>
            </w:r>
            <w:r w:rsidRPr="009639F7">
              <w:t xml:space="preserve"> turulepääsu lihtsustamine, nende toetamine üleilmsete ja ühiskondlike probleemide lahendamisel ning rahvusvahelistumisel, liidu tööstuse juhtpositsiooni tugevdamine üleilmsetes väärtusahelates</w:t>
            </w:r>
            <w:r w:rsidRPr="009639F7">
              <w:rPr>
                <w:b/>
                <w:i/>
              </w:rPr>
              <w:t>, muu hulgas Euroopa ettevõtlusvõrgustiku kaudu</w:t>
            </w:r>
            <w:r w:rsidRPr="009639F7">
              <w:t>;</w:t>
            </w:r>
          </w:p>
        </w:tc>
        <w:tc>
          <w:tcPr>
            <w:tcW w:w="4876" w:type="dxa"/>
            <w:hideMark/>
          </w:tcPr>
          <w:p w:rsidR="001C700C" w:rsidRPr="009639F7" w:rsidRDefault="001C700C" w:rsidP="00464712">
            <w:pPr>
              <w:pStyle w:val="Normal6"/>
              <w:rPr>
                <w:szCs w:val="24"/>
              </w:rPr>
            </w:pPr>
            <w:r w:rsidRPr="009639F7">
              <w:t>b)</w:t>
            </w:r>
            <w:r w:rsidRPr="009639F7">
              <w:tab/>
            </w:r>
            <w:r w:rsidRPr="009639F7">
              <w:rPr>
                <w:b/>
                <w:i/>
              </w:rPr>
              <w:t>mikroettevõtjate, VKEde ja ettevõtlusvõrgustike</w:t>
            </w:r>
            <w:r w:rsidRPr="009639F7">
              <w:t xml:space="preserve"> turulepääsu </w:t>
            </w:r>
            <w:r w:rsidRPr="009639F7">
              <w:rPr>
                <w:b/>
                <w:i/>
              </w:rPr>
              <w:t xml:space="preserve">– sealhulgas liiduvälistele turgudele pääsu – </w:t>
            </w:r>
            <w:r w:rsidRPr="009639F7">
              <w:t>lihtsustamine, nende toetamine üleilmsete</w:t>
            </w:r>
            <w:r w:rsidRPr="009639F7">
              <w:rPr>
                <w:b/>
                <w:i/>
              </w:rPr>
              <w:t>, keskkonna-, majandus-</w:t>
            </w:r>
            <w:r w:rsidRPr="009639F7">
              <w:t xml:space="preserve"> ja ühiskondlike probleemide lahendamisel ning rahvusvahelistumisel, </w:t>
            </w:r>
            <w:r w:rsidRPr="009639F7">
              <w:rPr>
                <w:b/>
                <w:i/>
              </w:rPr>
              <w:t xml:space="preserve">nende tegevusaja jooksul nende toetamise hõlbustamine ning </w:t>
            </w:r>
            <w:r w:rsidRPr="009639F7">
              <w:t xml:space="preserve">liidu </w:t>
            </w:r>
            <w:r w:rsidRPr="009639F7">
              <w:rPr>
                <w:b/>
                <w:i/>
              </w:rPr>
              <w:t xml:space="preserve">ettevõtluse ja </w:t>
            </w:r>
            <w:r w:rsidRPr="009639F7">
              <w:t>tööstuse juhtpositsiooni tugevdamine üleilmsetes väärtusahelates;</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102</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8 – lõige 3 – punkt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c)</w:t>
            </w:r>
            <w:r w:rsidRPr="009639F7">
              <w:tab/>
              <w:t xml:space="preserve">turutõkete ja </w:t>
            </w:r>
            <w:r w:rsidRPr="009639F7">
              <w:rPr>
                <w:b/>
                <w:i/>
              </w:rPr>
              <w:t>halduskoormuse vähendamine ning</w:t>
            </w:r>
            <w:r w:rsidRPr="009639F7">
              <w:t xml:space="preserve"> soodsa ettevõtluskeskkonna loomine, </w:t>
            </w:r>
            <w:r w:rsidRPr="009639F7">
              <w:rPr>
                <w:b/>
                <w:i/>
              </w:rPr>
              <w:t>et pakkuda VKEdele rohkem</w:t>
            </w:r>
            <w:r w:rsidRPr="009639F7">
              <w:t xml:space="preserve"> võimalusi</w:t>
            </w:r>
            <w:r w:rsidRPr="009639F7">
              <w:rPr>
                <w:b/>
                <w:i/>
              </w:rPr>
              <w:t xml:space="preserve"> siseturust kasu saada</w:t>
            </w:r>
            <w:r w:rsidRPr="009639F7">
              <w:t>;</w:t>
            </w:r>
          </w:p>
        </w:tc>
        <w:tc>
          <w:tcPr>
            <w:tcW w:w="4876" w:type="dxa"/>
            <w:hideMark/>
          </w:tcPr>
          <w:p w:rsidR="001C700C" w:rsidRPr="009639F7" w:rsidRDefault="001C700C" w:rsidP="00464712">
            <w:pPr>
              <w:pStyle w:val="Normal6"/>
              <w:rPr>
                <w:szCs w:val="24"/>
              </w:rPr>
            </w:pPr>
            <w:r w:rsidRPr="009639F7">
              <w:t>c)</w:t>
            </w:r>
            <w:r w:rsidRPr="009639F7">
              <w:tab/>
              <w:t xml:space="preserve">turutõkete </w:t>
            </w:r>
            <w:r w:rsidRPr="009639F7">
              <w:rPr>
                <w:b/>
                <w:i/>
              </w:rPr>
              <w:t xml:space="preserve">kaotamine, halduskoormuse, sh ettevõtete loomist </w:t>
            </w:r>
            <w:r w:rsidRPr="009639F7">
              <w:t xml:space="preserve">ja </w:t>
            </w:r>
            <w:r w:rsidRPr="009639F7">
              <w:rPr>
                <w:b/>
                <w:i/>
              </w:rPr>
              <w:t>ettevõtluse alustamist takistavate tõkete vähendamine,</w:t>
            </w:r>
            <w:r w:rsidRPr="009639F7">
              <w:t xml:space="preserve"> soodsa ettevõtluskeskkonna loomine, </w:t>
            </w:r>
            <w:r w:rsidRPr="009639F7">
              <w:rPr>
                <w:b/>
                <w:i/>
              </w:rPr>
              <w:t>milles mikroettevõtjad ja VKEd saavad siseturu</w:t>
            </w:r>
            <w:r w:rsidRPr="009639F7">
              <w:t xml:space="preserve"> võimalusi</w:t>
            </w:r>
            <w:r w:rsidRPr="009639F7">
              <w:rPr>
                <w:b/>
                <w:i/>
              </w:rPr>
              <w:t>, sh rahastamisvõimalusi ära kasutada, ning sobivate suuniste, mentorluse ja juhendamisprogrammide ja teadmuspõhiste äriteenuste pakkumine</w:t>
            </w:r>
            <w:r w:rsidRPr="009639F7">
              <w: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103</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8 – lõige 3 – punkt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d)</w:t>
            </w:r>
            <w:r w:rsidRPr="009639F7">
              <w:tab/>
            </w:r>
            <w:r w:rsidRPr="009639F7">
              <w:rPr>
                <w:b/>
                <w:i/>
              </w:rPr>
              <w:t>ettevõtete</w:t>
            </w:r>
            <w:r w:rsidRPr="009639F7">
              <w:t xml:space="preserve"> kasvu ja oskuste </w:t>
            </w:r>
            <w:r w:rsidRPr="009639F7">
              <w:rPr>
                <w:b/>
                <w:i/>
              </w:rPr>
              <w:t>arendamise ning tööstuse ümberkujundamise toetamine</w:t>
            </w:r>
            <w:r w:rsidRPr="009639F7">
              <w:t xml:space="preserve"> tootmis- ja </w:t>
            </w:r>
            <w:r w:rsidRPr="009639F7">
              <w:rPr>
                <w:b/>
                <w:i/>
              </w:rPr>
              <w:t>teenindussektoris</w:t>
            </w:r>
            <w:r w:rsidRPr="009639F7">
              <w:t>;</w:t>
            </w:r>
          </w:p>
        </w:tc>
        <w:tc>
          <w:tcPr>
            <w:tcW w:w="4876" w:type="dxa"/>
            <w:hideMark/>
          </w:tcPr>
          <w:p w:rsidR="001C700C" w:rsidRPr="009639F7" w:rsidRDefault="001C700C" w:rsidP="00464712">
            <w:pPr>
              <w:pStyle w:val="Normal6"/>
              <w:rPr>
                <w:szCs w:val="24"/>
              </w:rPr>
            </w:pPr>
            <w:r w:rsidRPr="009639F7">
              <w:t>d)</w:t>
            </w:r>
            <w:r w:rsidRPr="009639F7">
              <w:tab/>
            </w:r>
            <w:r w:rsidRPr="009639F7">
              <w:rPr>
                <w:b/>
                <w:i/>
              </w:rPr>
              <w:t>kestlike ettevõtete arengu ja</w:t>
            </w:r>
            <w:r w:rsidRPr="009639F7">
              <w:t xml:space="preserve"> kasvu </w:t>
            </w:r>
            <w:r w:rsidRPr="009639F7">
              <w:rPr>
                <w:b/>
                <w:i/>
              </w:rPr>
              <w:t xml:space="preserve">soodustamine, mikroettevõtjate </w:t>
            </w:r>
            <w:r w:rsidRPr="009639F7">
              <w:t xml:space="preserve">ja </w:t>
            </w:r>
            <w:r w:rsidRPr="009639F7">
              <w:rPr>
                <w:b/>
                <w:i/>
              </w:rPr>
              <w:t xml:space="preserve">VKEde teadlikkuse suurendamine liidu õigusaktidest, sh keskkonna- ja energeetikaalastest õigusaktidest, nende </w:t>
            </w:r>
            <w:r w:rsidRPr="009639F7">
              <w:t xml:space="preserve">oskuste </w:t>
            </w:r>
            <w:r w:rsidRPr="009639F7">
              <w:rPr>
                <w:b/>
                <w:i/>
              </w:rPr>
              <w:t>ja kutsekvalifikatsioonide tõhusam suurendamine, uute ärimudelite ja ressursitõhusate väärtusahelate soodustamine, millega toetatakse</w:t>
            </w:r>
            <w:r w:rsidRPr="009639F7">
              <w:t xml:space="preserve"> tootmis- ja </w:t>
            </w:r>
            <w:r w:rsidRPr="009639F7">
              <w:rPr>
                <w:b/>
                <w:i/>
              </w:rPr>
              <w:t>teenusesektorites kestlikku tööstuslikku, tehnoloogilist ja korralduslikku ümberkujundamist</w:t>
            </w:r>
            <w:r w:rsidRPr="009639F7">
              <w: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104</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8 – lõige 3 – punkt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e)</w:t>
            </w:r>
            <w:r w:rsidRPr="009639F7">
              <w:tab/>
              <w:t xml:space="preserve">ettevõtete ja kõigi majandussektorite </w:t>
            </w:r>
            <w:r w:rsidRPr="009639F7">
              <w:lastRenderedPageBreak/>
              <w:t xml:space="preserve">konkurentsivõime </w:t>
            </w:r>
            <w:r w:rsidRPr="009639F7">
              <w:rPr>
                <w:b/>
                <w:i/>
              </w:rPr>
              <w:t>toetamine</w:t>
            </w:r>
            <w:r w:rsidRPr="009639F7">
              <w:t xml:space="preserve">, innovatsiooni rakendamise </w:t>
            </w:r>
            <w:r w:rsidRPr="009639F7">
              <w:rPr>
                <w:b/>
                <w:i/>
              </w:rPr>
              <w:t>ja väärtusahela alase</w:t>
            </w:r>
            <w:r w:rsidRPr="009639F7">
              <w:t xml:space="preserve"> koostöö toetamine</w:t>
            </w:r>
            <w:r w:rsidRPr="009639F7">
              <w:rPr>
                <w:b/>
                <w:i/>
              </w:rPr>
              <w:t xml:space="preserve"> VKEdes</w:t>
            </w:r>
            <w:r w:rsidRPr="009639F7">
              <w:t xml:space="preserve">, ühendades strateegiliselt ökosüsteemid ja klastrid, </w:t>
            </w:r>
            <w:r w:rsidRPr="009639F7">
              <w:rPr>
                <w:b/>
                <w:i/>
              </w:rPr>
              <w:t>muu hulgas</w:t>
            </w:r>
            <w:r w:rsidRPr="009639F7">
              <w:t xml:space="preserve"> klastrite ühistegevuse algatuse kaudu;</w:t>
            </w:r>
          </w:p>
        </w:tc>
        <w:tc>
          <w:tcPr>
            <w:tcW w:w="4876" w:type="dxa"/>
            <w:hideMark/>
          </w:tcPr>
          <w:p w:rsidR="001C700C" w:rsidRPr="009639F7" w:rsidRDefault="001C700C" w:rsidP="00464712">
            <w:pPr>
              <w:pStyle w:val="Normal6"/>
              <w:rPr>
                <w:szCs w:val="24"/>
              </w:rPr>
            </w:pPr>
            <w:r w:rsidRPr="009639F7">
              <w:lastRenderedPageBreak/>
              <w:t>e)</w:t>
            </w:r>
            <w:r w:rsidRPr="009639F7">
              <w:tab/>
              <w:t xml:space="preserve">ettevõtete ja kõigi majandussektorite </w:t>
            </w:r>
            <w:r w:rsidRPr="009639F7">
              <w:lastRenderedPageBreak/>
              <w:t xml:space="preserve">konkurentsivõime </w:t>
            </w:r>
            <w:r w:rsidRPr="009639F7">
              <w:rPr>
                <w:b/>
                <w:i/>
              </w:rPr>
              <w:t>ja kestlikkuse tugevdamine, mikroettevõtetes ja VKEdes tehnoloogilise</w:t>
            </w:r>
            <w:r w:rsidRPr="009639F7">
              <w:t xml:space="preserve">, </w:t>
            </w:r>
            <w:r w:rsidRPr="009639F7">
              <w:rPr>
                <w:b/>
                <w:i/>
              </w:rPr>
              <w:t xml:space="preserve">korraldusliku ja sotsiaalse </w:t>
            </w:r>
            <w:r w:rsidRPr="009639F7">
              <w:t xml:space="preserve">innovatsiooni rakendamise </w:t>
            </w:r>
            <w:r w:rsidRPr="009639F7">
              <w:rPr>
                <w:b/>
                <w:i/>
              </w:rPr>
              <w:t>toetamine, ettevõtete sotsiaalse vastutuse parandamine ja väärtusahelaalase</w:t>
            </w:r>
            <w:r w:rsidRPr="009639F7">
              <w:t xml:space="preserve"> koostöö toetamine, ühendades strateegiliselt ökosüsteemid ja klastrid, </w:t>
            </w:r>
            <w:r w:rsidRPr="009639F7">
              <w:rPr>
                <w:b/>
                <w:i/>
              </w:rPr>
              <w:t>sh</w:t>
            </w:r>
            <w:r w:rsidRPr="009639F7">
              <w:t xml:space="preserve"> klastrite ühistegevuse algatuse kaudu;</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105</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8 – lõige 3 – punkt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f)</w:t>
            </w:r>
            <w:r w:rsidRPr="009639F7">
              <w:tab/>
              <w:t>ettevõtluskeskkonna ja ettevõtluskultuuri</w:t>
            </w:r>
            <w:r w:rsidRPr="009639F7">
              <w:rPr>
                <w:b/>
                <w:i/>
              </w:rPr>
              <w:t>, sealhulgas</w:t>
            </w:r>
            <w:r w:rsidRPr="009639F7">
              <w:t xml:space="preserve"> uute ettevõtjate mentorlussüsteemi </w:t>
            </w:r>
            <w:r w:rsidRPr="009639F7">
              <w:rPr>
                <w:b/>
                <w:i/>
              </w:rPr>
              <w:t>edendamine</w:t>
            </w:r>
            <w:r w:rsidRPr="009639F7">
              <w:t xml:space="preserve"> ning idu- ja kasvufirmade ja ettevõtete </w:t>
            </w:r>
            <w:r w:rsidRPr="009639F7">
              <w:rPr>
                <w:b/>
                <w:i/>
              </w:rPr>
              <w:t>jätkusuutlikkuse</w:t>
            </w:r>
            <w:r w:rsidRPr="009639F7">
              <w:t xml:space="preserve"> toetamine.</w:t>
            </w:r>
          </w:p>
        </w:tc>
        <w:tc>
          <w:tcPr>
            <w:tcW w:w="4876" w:type="dxa"/>
            <w:hideMark/>
          </w:tcPr>
          <w:p w:rsidR="001C700C" w:rsidRPr="009639F7" w:rsidRDefault="001C700C" w:rsidP="00464712">
            <w:pPr>
              <w:pStyle w:val="Normal6"/>
              <w:rPr>
                <w:szCs w:val="24"/>
              </w:rPr>
            </w:pPr>
            <w:r w:rsidRPr="009639F7">
              <w:t>f)</w:t>
            </w:r>
            <w:r w:rsidRPr="009639F7">
              <w:tab/>
              <w:t>ettevõtluskeskkonna ja ettevõtluskultuuri</w:t>
            </w:r>
            <w:r w:rsidRPr="009639F7">
              <w:rPr>
                <w:b/>
                <w:i/>
              </w:rPr>
              <w:t xml:space="preserve"> edendamine,</w:t>
            </w:r>
            <w:r w:rsidRPr="009639F7">
              <w:t xml:space="preserve"> uute ettevõtjate mentorlussüsteemi </w:t>
            </w:r>
            <w:r w:rsidRPr="009639F7">
              <w:rPr>
                <w:b/>
                <w:i/>
              </w:rPr>
              <w:t>laiendamine</w:t>
            </w:r>
            <w:r w:rsidRPr="009639F7">
              <w:t xml:space="preserve"> ning idu- ja kasvufirmade ja ettevõtete </w:t>
            </w:r>
            <w:r w:rsidRPr="009639F7">
              <w:rPr>
                <w:b/>
                <w:i/>
              </w:rPr>
              <w:t>kestlikkuse</w:t>
            </w:r>
            <w:r w:rsidRPr="009639F7">
              <w:t xml:space="preserve"> toetamine</w:t>
            </w:r>
            <w:r w:rsidRPr="009639F7">
              <w:rPr>
                <w:b/>
                <w:i/>
              </w:rPr>
              <w:t>, pöörates erilist tähelepanu uutele võimalikele ettevõtjatele (s</w:t>
            </w:r>
            <w:r w:rsidRPr="009639F7">
              <w:t>.</w:t>
            </w:r>
            <w:r w:rsidRPr="009639F7">
              <w:rPr>
                <w:b/>
                <w:i/>
              </w:rPr>
              <w:t>t noortele ja naisettevõtjatele) ja teistele spetsiifilistele sihtrühmadele, nt ebasoodsas sotsiaalses olukorras olevatele või vähekaitstud rühmadele.</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106</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8 – lõige 3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464712" w:rsidP="00464712">
            <w:pPr>
              <w:pStyle w:val="Normal6"/>
              <w:rPr>
                <w:szCs w:val="24"/>
              </w:rPr>
            </w:pPr>
            <w:r w:rsidRPr="009639F7">
              <w:rPr>
                <w:b/>
                <w:i/>
              </w:rPr>
              <w:t>3</w:t>
            </w:r>
            <w:r w:rsidR="001C700C" w:rsidRPr="009639F7">
              <w:rPr>
                <w:b/>
                <w:i/>
              </w:rPr>
              <w:t>a.</w:t>
            </w:r>
            <w:r w:rsidR="001C700C" w:rsidRPr="009639F7">
              <w:rPr>
                <w:b/>
                <w:i/>
              </w:rPr>
              <w:tab/>
              <w:t>Artikli 3 lõike 2 punktis b osutatud konkreetsete eesmärkide täitmisel võib komisjon lisaks käesoleva artikli lõike 3 punktides a–f osutatule toetada järgmisi erimeetmeid:</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a)</w:t>
            </w:r>
            <w:r w:rsidR="00464712" w:rsidRPr="009639F7">
              <w:rPr>
                <w:b/>
                <w:i/>
              </w:rPr>
              <w:tab/>
            </w:r>
            <w:r w:rsidRPr="009639F7">
              <w:rPr>
                <w:b/>
                <w:i/>
              </w:rPr>
              <w:t xml:space="preserve">kiirendada, toetada ja laiendada Euroopa ettevõtlusvõrgustiku kaudu pakutavaid nõustamisteenuseid, et osutada ühtse kontaktpunkti kaudu integreeritud ettevõtluse tugiteenuseid liidu VKEdele, kes soovivad uurida </w:t>
            </w:r>
            <w:r w:rsidRPr="009639F7">
              <w:rPr>
                <w:b/>
                <w:i/>
              </w:rPr>
              <w:lastRenderedPageBreak/>
              <w:t>siseturul ja kolmandates riikides esinevaid võimalusi, ning jälgida, et ettevõtlusvõrgustik pakuks kõigis liikmesriikides võrreldava kvaliteeditasemega teenuseid;</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b)</w:t>
            </w:r>
            <w:r w:rsidR="00464712" w:rsidRPr="009639F7">
              <w:rPr>
                <w:b/>
                <w:i/>
              </w:rPr>
              <w:tab/>
            </w:r>
            <w:r w:rsidRPr="009639F7">
              <w:rPr>
                <w:b/>
                <w:i/>
              </w:rPr>
              <w:t>toetada ettevõtlusvõrgustike loomist;</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c)</w:t>
            </w:r>
            <w:r w:rsidR="00464712" w:rsidRPr="009639F7">
              <w:rPr>
                <w:b/>
                <w:i/>
              </w:rPr>
              <w:tab/>
            </w:r>
            <w:r w:rsidRPr="009639F7">
              <w:rPr>
                <w:b/>
                <w:i/>
              </w:rPr>
              <w:t>toetada ja laiendada uute ettevõtjate liikuvusprogramme (programm „Erasmus noortele ettevõtjatele“), mille toel parandada uute ettevõtjate võimet täiustada oma ettevõtlusalaseid teadmisi, oskusi ja hoiakuid ning parandada tehnoloogilist suutlikkust ja ettevõtte juhtimise oskust;</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d)</w:t>
            </w:r>
            <w:r w:rsidR="00464712" w:rsidRPr="009639F7">
              <w:rPr>
                <w:b/>
                <w:i/>
              </w:rPr>
              <w:tab/>
            </w:r>
            <w:r w:rsidRPr="009639F7">
              <w:rPr>
                <w:b/>
                <w:i/>
              </w:rPr>
              <w:t>toetada VKEde laiendamist oluliste, turupõhistele võimalustele tuginevate ettevõtluse laiendamise projektide kaudu (VKEde kasvatamise rahastamisvahend);</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e)</w:t>
            </w:r>
            <w:r w:rsidR="00464712" w:rsidRPr="009639F7">
              <w:rPr>
                <w:b/>
                <w:i/>
              </w:rPr>
              <w:tab/>
            </w:r>
            <w:r w:rsidRPr="009639F7">
              <w:rPr>
                <w:b/>
                <w:i/>
              </w:rPr>
              <w:t>toetada sektoripõhist tegevust valdkondades, kus on suur mikroettevõtjate ja VKEde osakaal ning kus luuakse suur osa liidu SKPst (näiteks turismisektor).</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107</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8 – lõige 3b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464712" w:rsidP="00464712">
            <w:pPr>
              <w:pStyle w:val="Normal6"/>
              <w:rPr>
                <w:szCs w:val="24"/>
              </w:rPr>
            </w:pPr>
            <w:r w:rsidRPr="009639F7">
              <w:rPr>
                <w:b/>
                <w:i/>
              </w:rPr>
              <w:t>3</w:t>
            </w:r>
            <w:r w:rsidR="001C700C" w:rsidRPr="009639F7">
              <w:rPr>
                <w:b/>
                <w:i/>
              </w:rPr>
              <w:t>b.</w:t>
            </w:r>
            <w:r w:rsidR="001C700C" w:rsidRPr="009639F7">
              <w:rPr>
                <w:b/>
                <w:i/>
              </w:rPr>
              <w:tab/>
              <w:t>Käesoleva artikli lõike 3 a punktis a nimetatud Euroopa ettevõtlusvõrgustiku kaudu võetavate meetmed võivad olla muu hulgas:</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a)</w:t>
            </w:r>
            <w:r w:rsidR="00464712" w:rsidRPr="009639F7">
              <w:rPr>
                <w:b/>
                <w:i/>
              </w:rPr>
              <w:tab/>
            </w:r>
            <w:r w:rsidRPr="009639F7">
              <w:rPr>
                <w:b/>
                <w:i/>
              </w:rPr>
              <w:t>VKEde rahvusvahelistumise, siseturul äripartnerite leidmise, ettevõtjate teadus- ja arendustegevuse alase piiriülese koostöö ning tehnoloogia-, teadmus- ja innovatsioonisiirde partnerluste hõlbustamine;</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b)</w:t>
            </w:r>
            <w:r w:rsidR="00464712" w:rsidRPr="009639F7">
              <w:rPr>
                <w:b/>
                <w:i/>
              </w:rPr>
              <w:tab/>
            </w:r>
            <w:r w:rsidRPr="009639F7">
              <w:rPr>
                <w:b/>
                <w:i/>
              </w:rPr>
              <w:t xml:space="preserve">teave, suunised ja personaalne nõustamine ELi õiguse, liidu rahastamisvõimaluste ning ettevõtlust puudutavate liidu algatuste kohta, sealhulgas maksustamise, omandiõiguste, </w:t>
            </w:r>
            <w:r w:rsidRPr="009639F7">
              <w:rPr>
                <w:b/>
                <w:i/>
              </w:rPr>
              <w:lastRenderedPageBreak/>
              <w:t>keskkonna ja energeetikaga seotud kohustuste, töö- ja sotsiaalkindlustusküsimuste kohta;</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c)</w:t>
            </w:r>
            <w:r w:rsidR="00464712" w:rsidRPr="009639F7">
              <w:rPr>
                <w:b/>
                <w:i/>
              </w:rPr>
              <w:tab/>
            </w:r>
            <w:r w:rsidRPr="009639F7">
              <w:rPr>
                <w:b/>
                <w:i/>
              </w:rPr>
              <w:t>keskkonna-, kliima-, energiatõhusus- ja tulemuslikkusteabe VKEdele kättesaadavamaks muutmine;</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d)</w:t>
            </w:r>
            <w:r w:rsidR="00464712" w:rsidRPr="009639F7">
              <w:rPr>
                <w:b/>
                <w:i/>
              </w:rPr>
              <w:tab/>
            </w:r>
            <w:r w:rsidRPr="009639F7">
              <w:rPr>
                <w:b/>
                <w:i/>
              </w:rPr>
              <w:t>võrgustiku täiendamine liidu ja liikmesriikide muude teabe- ja nõustamisvõrgustikega, eelkõige EURESe, ELi innovatsioonikeskuste ja InvestEU nõustamiskeskusega.</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Võrgustiku kaudu liidu teiste programmide nimel osutatavaid teenuseid rahastatakse nende programmide vahenditest.</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Mikroettevõtjatele ja VKEdele kogu ELis ühetaolise toetuse pakkumiseks seab komisjon esikohale meetmed, millega parandatakse miinimumnõuetele mittevastavaid võrgustiku osi või elemente.</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Komisjon võtab vastu rakendusaktid, et kehtestada näitajad ja miinimumnõuded, mille abil mõõdetakse võrgustiku mõju erieesmärkidele ja VKEdele suunatud meetmete tulemuslikkusele.</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Nimetatud rakendusaktid võetakse vastu kooskõlas artikli 21 lõikes 2 osutatud kontrollimenetlusega.</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Komisjonil on õigus võtta kooskõlas artikliga 20 vastu delegeeritud õigusakte, et kehtestada VKEdele muul kujul toetusi, mida ei ole käesolevas lõikes ette nähtud.</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108</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8 – lõige 5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464712" w:rsidP="00464712">
            <w:pPr>
              <w:pStyle w:val="Normal6"/>
              <w:rPr>
                <w:szCs w:val="24"/>
              </w:rPr>
            </w:pPr>
            <w:r w:rsidRPr="009639F7">
              <w:rPr>
                <w:b/>
                <w:i/>
              </w:rPr>
              <w:t>5</w:t>
            </w:r>
            <w:r w:rsidR="001C700C" w:rsidRPr="009639F7">
              <w:rPr>
                <w:b/>
                <w:i/>
              </w:rPr>
              <w:t>a.</w:t>
            </w:r>
            <w:r w:rsidR="001C700C" w:rsidRPr="009639F7">
              <w:rPr>
                <w:b/>
                <w:i/>
              </w:rPr>
              <w:tab/>
              <w:t xml:space="preserve">Rahastamiskõlblikud on järgmised artikli 3 lõike 2 punkti d alapunktis i osutatud konkreetseid eesmärke täitvad </w:t>
            </w:r>
            <w:r w:rsidR="001C700C" w:rsidRPr="009639F7">
              <w:rPr>
                <w:b/>
                <w:i/>
              </w:rPr>
              <w:lastRenderedPageBreak/>
              <w:t>meetmed:</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a)</w:t>
            </w:r>
            <w:r w:rsidR="00464712" w:rsidRPr="009639F7">
              <w:rPr>
                <w:b/>
                <w:i/>
              </w:rPr>
              <w:tab/>
            </w:r>
            <w:r w:rsidRPr="009639F7">
              <w:rPr>
                <w:b/>
                <w:i/>
              </w:rPr>
              <w:t>tarbijate teadlikkuse tõstmine ja neile elukestva õppe pakkumine ELi tarbijaõiguste küsimustes ning tarbijate suutlikkuse tugevdamine toimetulekuks uute, tehnoloogia arengust ja digitaliseerimisest tingitud väljakutsetega, eelkõige kaitsetumate tarbijate vajadusi silmas pidades;</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b)</w:t>
            </w:r>
            <w:r w:rsidR="00464712" w:rsidRPr="009639F7">
              <w:rPr>
                <w:b/>
                <w:i/>
              </w:rPr>
              <w:tab/>
            </w:r>
            <w:r w:rsidRPr="009639F7">
              <w:rPr>
                <w:b/>
                <w:i/>
              </w:rPr>
              <w:t>meetmed, mis teevad kõigile tarbijatele ja kauplejatele hõlpsasti kättesaadavaks kvaliteetse vaidluste kohtuvälise lahendamise, vaidluste internetipõhise lahendamise ja teabe õiguskaitsevõimaluste kohta;</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c)</w:t>
            </w:r>
            <w:r w:rsidR="00464712" w:rsidRPr="009639F7">
              <w:rPr>
                <w:b/>
                <w:i/>
              </w:rPr>
              <w:tab/>
            </w:r>
            <w:r w:rsidRPr="009639F7">
              <w:rPr>
                <w:b/>
                <w:i/>
              </w:rPr>
              <w:t>tarbijakaitsealaste õigusnormide tõhusama jõustamise toetamine, pöörates eelkõige tähelepanu piiriülestele või kolmandaid isikuid puudutavatele juhtudele, riikide õiguskaitseasutuste vahelisele tulemuslikule koostööle ja tegevuse kooskõlastamisele ning õiguskaitsealasele koostööle kolmandate riikidega;</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d)</w:t>
            </w:r>
            <w:r w:rsidR="00464712" w:rsidRPr="009639F7">
              <w:rPr>
                <w:b/>
                <w:i/>
              </w:rPr>
              <w:tab/>
            </w:r>
            <w:r w:rsidRPr="009639F7">
              <w:rPr>
                <w:b/>
                <w:i/>
              </w:rPr>
              <w:t>säästva tarbimise edendamine, suurendades selleks tarbijate teadlikkust toodete vastupidavusest ja keskkonnamõjust, ökodisainist, vastavate tarbijaõiguste edendamisest ja hüvitusvõimalustest enneaegselt kasutuskõlbmatuks muutunud toodete puhul.</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109</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9 – lõige 3 – lõik 1 – sissejuhatav osa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Juriidilised isikud, kes on asutatud kolmandas riigis</w:t>
            </w:r>
            <w:r w:rsidRPr="009639F7">
              <w:t xml:space="preserve">, </w:t>
            </w:r>
            <w:r w:rsidRPr="009639F7">
              <w:rPr>
                <w:b/>
                <w:i/>
              </w:rPr>
              <w:t>mis</w:t>
            </w:r>
            <w:r w:rsidRPr="009639F7">
              <w:t xml:space="preserve"> ei ole programmiga ühinenud,</w:t>
            </w:r>
            <w:r w:rsidRPr="009639F7">
              <w:rPr>
                <w:b/>
                <w:i/>
              </w:rPr>
              <w:t xml:space="preserve"> võivad</w:t>
            </w:r>
            <w:r w:rsidRPr="009639F7">
              <w:t xml:space="preserve"> osaleda järgmistes meetmetes:</w:t>
            </w:r>
          </w:p>
        </w:tc>
        <w:tc>
          <w:tcPr>
            <w:tcW w:w="4876" w:type="dxa"/>
            <w:hideMark/>
          </w:tcPr>
          <w:p w:rsidR="001C700C" w:rsidRPr="009639F7" w:rsidRDefault="001C700C" w:rsidP="00464712">
            <w:pPr>
              <w:pStyle w:val="Normal6"/>
              <w:rPr>
                <w:szCs w:val="24"/>
              </w:rPr>
            </w:pPr>
            <w:r w:rsidRPr="009639F7">
              <w:rPr>
                <w:b/>
                <w:i/>
              </w:rPr>
              <w:t>Komisjon võib lubada kolmandas riigis asuvatel juriidilistel isikutel</w:t>
            </w:r>
            <w:r w:rsidRPr="009639F7">
              <w:t xml:space="preserve">, </w:t>
            </w:r>
            <w:r w:rsidRPr="009639F7">
              <w:rPr>
                <w:b/>
                <w:i/>
              </w:rPr>
              <w:t>kes</w:t>
            </w:r>
            <w:r w:rsidRPr="009639F7">
              <w:t xml:space="preserve"> ei ole programmiga ühinenud, osaleda järgmistes meetmetes:</w:t>
            </w:r>
          </w:p>
        </w:tc>
      </w:tr>
    </w:tbl>
    <w:p w:rsidR="001C700C" w:rsidRPr="009639F7" w:rsidRDefault="001C700C" w:rsidP="001C700C"/>
    <w:p w:rsidR="001C700C" w:rsidRPr="009639F7" w:rsidRDefault="001C700C" w:rsidP="001C700C">
      <w:pPr>
        <w:pStyle w:val="AMNumberTabs"/>
        <w:keepNext/>
      </w:pPr>
      <w:r w:rsidRPr="009639F7">
        <w:lastRenderedPageBreak/>
        <w:t>Muudatusettepanek</w:t>
      </w:r>
      <w:r w:rsidRPr="009639F7">
        <w:tab/>
      </w:r>
      <w:r w:rsidRPr="009639F7">
        <w:tab/>
        <w:t>110</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9 – lõige 3 – lõik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 xml:space="preserve">Punktides a ja b osutatud meetmetes osalevatel üksustel ei ole õigust saada liidu rahalist toetust, välja arvatud juhul, kui see on </w:t>
            </w:r>
            <w:r w:rsidRPr="009639F7">
              <w:rPr>
                <w:b/>
                <w:i/>
              </w:rPr>
              <w:t xml:space="preserve">oluline </w:t>
            </w:r>
            <w:r w:rsidRPr="009639F7">
              <w:t>programmi jaoks, eelkõige seoses konkurentsivõime ja liidu ettevõtete turulepääsu või liidus elavate tarbijate kaitsega. Seda erandit ei kohaldata kasumit taotlevate üksuste suhtes.</w:t>
            </w:r>
          </w:p>
        </w:tc>
        <w:tc>
          <w:tcPr>
            <w:tcW w:w="4876" w:type="dxa"/>
            <w:hideMark/>
          </w:tcPr>
          <w:p w:rsidR="001C700C" w:rsidRPr="009639F7" w:rsidRDefault="001C700C" w:rsidP="00464712">
            <w:pPr>
              <w:pStyle w:val="Normal6"/>
              <w:rPr>
                <w:szCs w:val="24"/>
              </w:rPr>
            </w:pPr>
            <w:r w:rsidRPr="009639F7">
              <w:t xml:space="preserve">Punktides a ja b osutatud meetmetes osalevatel üksustel ei ole õigust saada liidu rahalist toetust, </w:t>
            </w:r>
            <w:r w:rsidRPr="009639F7">
              <w:rPr>
                <w:b/>
                <w:i/>
              </w:rPr>
              <w:t xml:space="preserve">eriti uuendusliku tehnoloogia ülekandmise ohu korral, </w:t>
            </w:r>
            <w:r w:rsidRPr="009639F7">
              <w:t>välja arvatud juhul, kui see on programmi jaoks</w:t>
            </w:r>
            <w:r w:rsidRPr="009639F7">
              <w:rPr>
                <w:b/>
                <w:i/>
              </w:rPr>
              <w:t xml:space="preserve"> oluline</w:t>
            </w:r>
            <w:r w:rsidRPr="009639F7">
              <w:t>, eelkõige seoses konkurentsivõime ja liidu ettevõtete turulepääsu või liidus elavate tarbijate kaitsega. Seda erandit ei kohaldata kasumit taotlevate üksuste suhtes.</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111</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10 – lõik 1 – punkt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a)</w:t>
            </w:r>
            <w:r w:rsidRPr="009639F7">
              <w:tab/>
              <w:t xml:space="preserve">turujärelevalve meetmete puhul, millega täidetakse käesoleva määruse artikli 3 lõike 2 </w:t>
            </w:r>
            <w:r w:rsidRPr="009639F7">
              <w:rPr>
                <w:b/>
                <w:i/>
              </w:rPr>
              <w:t>punktis</w:t>
            </w:r>
            <w:r w:rsidRPr="009639F7">
              <w:t xml:space="preserve"> a osutatud erieesmärki, liikmesriikide turujärelevalveasutused, nagu on osutatud määruse (EÜ) nr 765/2008 artiklis 17 ja [ettepaneku</w:t>
            </w:r>
            <w:r w:rsidRPr="009639F7">
              <w:rPr>
                <w:b/>
                <w:i/>
              </w:rPr>
              <w:t>,</w:t>
            </w:r>
            <w:r w:rsidRPr="009639F7">
              <w:t xml:space="preserve"> Euroopa Parlamendi ja nõukogu määrus, milles sätestatakse tooteid käsitlevate liidu ühtlustamisõigusaktide järgimise ja täitmise tagamise eeskirjad ja kord]</w:t>
            </w:r>
            <w:r w:rsidRPr="009639F7">
              <w:rPr>
                <w:b/>
                <w:i/>
              </w:rPr>
              <w:t>,</w:t>
            </w:r>
            <w:r w:rsidRPr="009639F7">
              <w:rPr>
                <w:vertAlign w:val="superscript"/>
              </w:rPr>
              <w:t>97</w:t>
            </w:r>
            <w:r w:rsidRPr="009639F7">
              <w:t xml:space="preserve"> artiklis 11;</w:t>
            </w:r>
          </w:p>
        </w:tc>
        <w:tc>
          <w:tcPr>
            <w:tcW w:w="4876" w:type="dxa"/>
            <w:hideMark/>
          </w:tcPr>
          <w:p w:rsidR="001C700C" w:rsidRPr="009639F7" w:rsidRDefault="001C700C" w:rsidP="00464712">
            <w:pPr>
              <w:pStyle w:val="Normal6"/>
              <w:rPr>
                <w:szCs w:val="24"/>
              </w:rPr>
            </w:pPr>
            <w:r w:rsidRPr="009639F7">
              <w:t>a)</w:t>
            </w:r>
            <w:r w:rsidRPr="009639F7">
              <w:tab/>
              <w:t xml:space="preserve">turujärelevalve meetmete puhul, millega täidetakse käesoleva määruse artikli 3 lõike 2 </w:t>
            </w:r>
            <w:r w:rsidRPr="009639F7">
              <w:rPr>
                <w:b/>
                <w:i/>
              </w:rPr>
              <w:t>punkti</w:t>
            </w:r>
            <w:r w:rsidRPr="009639F7">
              <w:t xml:space="preserve"> a</w:t>
            </w:r>
            <w:r w:rsidRPr="009639F7">
              <w:rPr>
                <w:b/>
                <w:i/>
              </w:rPr>
              <w:t xml:space="preserve"> alapunktis ii</w:t>
            </w:r>
            <w:r w:rsidRPr="009639F7">
              <w:t xml:space="preserve"> osutatud erieesmärki, liikmesriikide turujärelevalveasutused, nagu on osutatud määruse (EÜ) nr 765/2008 artiklis 17 ja [ettepaneku</w:t>
            </w:r>
            <w:r w:rsidRPr="009639F7">
              <w:rPr>
                <w:b/>
                <w:i/>
              </w:rPr>
              <w:t xml:space="preserve"> võtta vastu</w:t>
            </w:r>
            <w:r w:rsidRPr="009639F7">
              <w:t xml:space="preserve"> Euroopa Parlamendi ja nõukogu määrus, milles sätestatakse tooteid käsitlevate liidu ühtlustamisõigusaktide järgimise ja täitmise tagamise eeskirjad ja kord]</w:t>
            </w:r>
            <w:r w:rsidRPr="009639F7">
              <w:rPr>
                <w:vertAlign w:val="superscript"/>
              </w:rPr>
              <w:t>97</w:t>
            </w:r>
            <w:r w:rsidRPr="009639F7">
              <w:t xml:space="preserve"> artiklis 11;</w:t>
            </w:r>
          </w:p>
        </w:tc>
      </w:tr>
      <w:tr w:rsidR="001C700C" w:rsidRPr="009639F7" w:rsidTr="00464712">
        <w:trPr>
          <w:jc w:val="center"/>
        </w:trPr>
        <w:tc>
          <w:tcPr>
            <w:tcW w:w="4876" w:type="dxa"/>
            <w:hideMark/>
          </w:tcPr>
          <w:p w:rsidR="001C700C" w:rsidRPr="009639F7" w:rsidRDefault="001C700C" w:rsidP="00464712">
            <w:pPr>
              <w:pStyle w:val="Normal6"/>
            </w:pPr>
            <w:r w:rsidRPr="009639F7">
              <w:t>__________________</w:t>
            </w:r>
          </w:p>
        </w:tc>
        <w:tc>
          <w:tcPr>
            <w:tcW w:w="4876" w:type="dxa"/>
            <w:hideMark/>
          </w:tcPr>
          <w:p w:rsidR="001C700C" w:rsidRPr="009639F7" w:rsidRDefault="001C700C" w:rsidP="00464712">
            <w:pPr>
              <w:pStyle w:val="Normal6"/>
              <w:rPr>
                <w:szCs w:val="24"/>
              </w:rPr>
            </w:pPr>
            <w:r w:rsidRPr="009639F7">
              <w:t>__________________</w:t>
            </w:r>
          </w:p>
        </w:tc>
      </w:tr>
      <w:tr w:rsidR="001C700C" w:rsidRPr="009639F7" w:rsidTr="00464712">
        <w:trPr>
          <w:jc w:val="center"/>
        </w:trPr>
        <w:tc>
          <w:tcPr>
            <w:tcW w:w="4876" w:type="dxa"/>
            <w:hideMark/>
          </w:tcPr>
          <w:p w:rsidR="001C700C" w:rsidRPr="009639F7" w:rsidRDefault="001C700C" w:rsidP="00464712">
            <w:pPr>
              <w:pStyle w:val="Normal6"/>
            </w:pPr>
            <w:r w:rsidRPr="009639F7">
              <w:rPr>
                <w:vertAlign w:val="superscript"/>
              </w:rPr>
              <w:t>97</w:t>
            </w:r>
            <w:r w:rsidRPr="009639F7">
              <w:t xml:space="preserve"> COM(2017</w:t>
            </w:r>
            <w:r w:rsidR="00464712" w:rsidRPr="009639F7">
              <w:t>)0</w:t>
            </w:r>
            <w:r w:rsidRPr="009639F7">
              <w:t>795 final</w:t>
            </w:r>
          </w:p>
        </w:tc>
        <w:tc>
          <w:tcPr>
            <w:tcW w:w="4876" w:type="dxa"/>
            <w:hideMark/>
          </w:tcPr>
          <w:p w:rsidR="001C700C" w:rsidRPr="009639F7" w:rsidRDefault="001C700C" w:rsidP="00464712">
            <w:pPr>
              <w:pStyle w:val="Normal6"/>
              <w:rPr>
                <w:szCs w:val="24"/>
              </w:rPr>
            </w:pPr>
            <w:r w:rsidRPr="009639F7">
              <w:rPr>
                <w:vertAlign w:val="superscript"/>
              </w:rPr>
              <w:t>97</w:t>
            </w:r>
            <w:r w:rsidRPr="009639F7">
              <w:t xml:space="preserve"> COM(2017</w:t>
            </w:r>
            <w:r w:rsidR="00464712" w:rsidRPr="009639F7">
              <w:t>)0</w:t>
            </w:r>
            <w:r w:rsidRPr="009639F7">
              <w:t>795 final</w:t>
            </w:r>
            <w:r w:rsidR="00464712" w:rsidRPr="009639F7">
              <w: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112</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10 – lõik 1 – punkt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b)</w:t>
            </w:r>
            <w:r w:rsidRPr="009639F7">
              <w:tab/>
              <w:t xml:space="preserve">akrediteerimise ja turujärelevalve meetmete puhul, millega täidetakse käesoleva määruse artikli 3 lõike 2 </w:t>
            </w:r>
            <w:r w:rsidRPr="009639F7">
              <w:rPr>
                <w:b/>
                <w:i/>
              </w:rPr>
              <w:t xml:space="preserve">punktis </w:t>
            </w:r>
            <w:r w:rsidRPr="009639F7">
              <w:t>a osutatud erieesmärki, määruse (EÜ) nr 765/2008 artikli 14 kohaselt tunnustatud asutus, kes viib ellu määruse (EÜ) nr 765/2008 artiklis 32 osutatud meetmeid;</w:t>
            </w:r>
          </w:p>
        </w:tc>
        <w:tc>
          <w:tcPr>
            <w:tcW w:w="4876" w:type="dxa"/>
            <w:hideMark/>
          </w:tcPr>
          <w:p w:rsidR="001C700C" w:rsidRPr="009639F7" w:rsidRDefault="001C700C" w:rsidP="00464712">
            <w:pPr>
              <w:pStyle w:val="Normal6"/>
              <w:rPr>
                <w:szCs w:val="24"/>
              </w:rPr>
            </w:pPr>
            <w:r w:rsidRPr="009639F7">
              <w:t>b)</w:t>
            </w:r>
            <w:r w:rsidRPr="009639F7">
              <w:tab/>
              <w:t xml:space="preserve">akrediteerimise ja turujärelevalve meetmete puhul, millega täidetakse käesoleva määruse artikli 3 lõike 2 </w:t>
            </w:r>
            <w:r w:rsidRPr="009639F7">
              <w:rPr>
                <w:b/>
                <w:i/>
              </w:rPr>
              <w:t>punkti </w:t>
            </w:r>
            <w:r w:rsidRPr="009639F7">
              <w:t>a</w:t>
            </w:r>
            <w:r w:rsidRPr="009639F7">
              <w:rPr>
                <w:b/>
                <w:i/>
              </w:rPr>
              <w:t xml:space="preserve"> alapunktis i</w:t>
            </w:r>
            <w:r w:rsidRPr="009639F7">
              <w:t xml:space="preserve"> osutatud erieesmärki, määruse (EÜ) nr 765/2008 artikli 14 kohaselt tunnustatud asutus, kes viib ellu määruse (EÜ) nr 765/2008 artiklis 32 osutatud meetmeid;</w:t>
            </w:r>
          </w:p>
        </w:tc>
      </w:tr>
    </w:tbl>
    <w:p w:rsidR="00464712" w:rsidRPr="009639F7" w:rsidRDefault="00464712" w:rsidP="001C700C">
      <w:pPr>
        <w:pStyle w:val="AMNumberTabs"/>
        <w:keepNext/>
      </w:pPr>
    </w:p>
    <w:p w:rsidR="001C700C" w:rsidRPr="009639F7" w:rsidRDefault="001C700C" w:rsidP="001C700C">
      <w:pPr>
        <w:pStyle w:val="AMNumberTabs"/>
        <w:keepNext/>
      </w:pPr>
      <w:r w:rsidRPr="009639F7">
        <w:t>Muudatusettepanek</w:t>
      </w:r>
      <w:r w:rsidRPr="009639F7">
        <w:tab/>
      </w:r>
      <w:r w:rsidRPr="009639F7">
        <w:tab/>
        <w:t>113</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10 – lõik 1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p>
        </w:tc>
        <w:tc>
          <w:tcPr>
            <w:tcW w:w="4876" w:type="dxa"/>
            <w:hideMark/>
          </w:tcPr>
          <w:p w:rsidR="001C700C" w:rsidRPr="009639F7" w:rsidRDefault="001C700C" w:rsidP="00464712">
            <w:pPr>
              <w:pStyle w:val="Normal6"/>
              <w:rPr>
                <w:b/>
                <w:i/>
                <w:szCs w:val="24"/>
              </w:rPr>
            </w:pPr>
            <w:r w:rsidRPr="009639F7">
              <w:rPr>
                <w:b/>
                <w:i/>
              </w:rPr>
              <w:t>Seoses käesoleva artikli esimese lõigu punktiga e on komisjonil õigus võtta kooskõlas artikliga 20 vastu delegeeritud õigusakte, et kohandada artikli 3 lõike 2 punkti d alapunktis i osutatud konkreetse eesmärgi täitmiseks võetavate meetmete puhul programmi alusel toetust saavate üksuste loetelu.</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114</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11 – lõik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Nende meetmete hindamiskomitee, millega täidetakse artikli 3 lõikes 2 osutatud erieesmärke,</w:t>
            </w:r>
            <w:r w:rsidRPr="009639F7">
              <w:t xml:space="preserve"> võib osaliselt või täielikult koosneda välisekspertidest.</w:t>
            </w:r>
          </w:p>
        </w:tc>
        <w:tc>
          <w:tcPr>
            <w:tcW w:w="4876" w:type="dxa"/>
            <w:hideMark/>
          </w:tcPr>
          <w:p w:rsidR="001C700C" w:rsidRPr="009639F7" w:rsidRDefault="001C700C" w:rsidP="00464712">
            <w:pPr>
              <w:pStyle w:val="Normal6"/>
              <w:rPr>
                <w:szCs w:val="24"/>
              </w:rPr>
            </w:pPr>
            <w:r w:rsidRPr="009639F7">
              <w:rPr>
                <w:b/>
                <w:i/>
              </w:rPr>
              <w:t>Artikli 3 lõikes 2 osutatud erieesmärgi või erieesmärkide täitmiseks võetavate meetmete hindamiskomitee</w:t>
            </w:r>
            <w:r w:rsidRPr="009639F7">
              <w:t xml:space="preserve"> võib osaliselt või täielikult koosneda välisekspertidest. </w:t>
            </w:r>
            <w:r w:rsidRPr="009639F7">
              <w:rPr>
                <w:b/>
                <w:i/>
              </w:rPr>
              <w:t>Hindamiskomitee(de) töö põhineb läbipaistvuse, võrdse kohtlemise ja mittediskrimineerimise põhimõttel.</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115</w:t>
      </w:r>
    </w:p>
    <w:p w:rsidR="001C700C" w:rsidRPr="009639F7" w:rsidRDefault="001C700C" w:rsidP="001C700C">
      <w:pPr>
        <w:pStyle w:val="NormalBold12b"/>
      </w:pPr>
      <w:r w:rsidRPr="009639F7">
        <w:lastRenderedPageBreak/>
        <w:t>Ettepanek võtta vastu määrus</w:t>
      </w:r>
    </w:p>
    <w:p w:rsidR="001C700C" w:rsidRPr="009639F7" w:rsidRDefault="001C700C" w:rsidP="001C700C">
      <w:pPr>
        <w:pStyle w:val="NormalBold"/>
      </w:pPr>
      <w:r w:rsidRPr="009639F7">
        <w:t>Artikkel 12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1.</w:t>
            </w:r>
            <w:r w:rsidRPr="009639F7">
              <w:tab/>
              <w:t xml:space="preserve">Meetmete puhul, mida võetakse käesoleva määruse artikli 3 lõike 2 </w:t>
            </w:r>
            <w:r w:rsidRPr="009639F7">
              <w:rPr>
                <w:b/>
                <w:i/>
              </w:rPr>
              <w:t xml:space="preserve">punktis </w:t>
            </w:r>
            <w:r w:rsidRPr="009639F7">
              <w:t>a osutatud erieesmärgi täitmiseks seoses liikmesriikide ja programmiga ühinenud kolmandate riikide turujärelevalveasutustega ja seoses [ettepaneku Euroopa Parlamendi ja nõukogu määrus, milles sätestatakse tooteid käsitlevate liidu ühtlustamisõigusaktide järgimise ja täitmise tagamise eeskirjad ja kord] artiklis 20 osutatud liidu katserajatistega, võidakse programmist rahastada kuni 100 % meetme rahastamiskõlblikest kuludest, tingimusel et ei rikuta finantsmääruses sätestatud kaasrahastamise põhimõtet.</w:t>
            </w:r>
          </w:p>
        </w:tc>
        <w:tc>
          <w:tcPr>
            <w:tcW w:w="4876" w:type="dxa"/>
            <w:hideMark/>
          </w:tcPr>
          <w:p w:rsidR="001C700C" w:rsidRPr="009639F7" w:rsidRDefault="001C700C" w:rsidP="00464712">
            <w:pPr>
              <w:pStyle w:val="Normal6"/>
              <w:rPr>
                <w:szCs w:val="24"/>
              </w:rPr>
            </w:pPr>
            <w:r w:rsidRPr="009639F7">
              <w:t>1.</w:t>
            </w:r>
            <w:r w:rsidRPr="009639F7">
              <w:tab/>
              <w:t xml:space="preserve">Meetmete puhul, mida võetakse käesoleva määruse artikli 3 lõike 2 </w:t>
            </w:r>
            <w:r w:rsidRPr="009639F7">
              <w:rPr>
                <w:b/>
                <w:i/>
              </w:rPr>
              <w:t>punkti </w:t>
            </w:r>
            <w:r w:rsidRPr="009639F7">
              <w:t>a</w:t>
            </w:r>
            <w:r w:rsidRPr="009639F7">
              <w:rPr>
                <w:b/>
                <w:i/>
              </w:rPr>
              <w:t xml:space="preserve"> alapunktis ii</w:t>
            </w:r>
            <w:r w:rsidRPr="009639F7">
              <w:t xml:space="preserve"> osutatud erieesmärgi täitmiseks seoses liikmesriikide ja programmiga ühinenud kolmandate riikide turujärelevalveasutustega ja seoses [ettepaneku</w:t>
            </w:r>
            <w:r w:rsidRPr="009639F7">
              <w:rPr>
                <w:b/>
                <w:i/>
              </w:rPr>
              <w:t xml:space="preserve"> võtta vastu</w:t>
            </w:r>
            <w:r w:rsidRPr="009639F7">
              <w:t xml:space="preserve"> Euroopa Parlamendi ja nõukogu määrus, milles sätestatakse tooteid käsitlevate liidu ühtlustamisõigusaktide järgimise ja täitmise tagamise eeskirjad ja kord] artiklis 20 osutatud liidu katserajatistega, võidakse programmist rahastada kuni 100 % meetme rahastamiskõlblikest kuludest, tingimusel et ei rikuta finantsmääruses sätestatud kaasrahastamise põhimõtet.</w:t>
            </w:r>
          </w:p>
        </w:tc>
      </w:tr>
    </w:tbl>
    <w:p w:rsidR="007C4CC9" w:rsidRPr="009639F7" w:rsidRDefault="007C4CC9" w:rsidP="001C700C">
      <w:pPr>
        <w:pStyle w:val="AMNumberTabs"/>
      </w:pPr>
    </w:p>
    <w:p w:rsidR="001C700C" w:rsidRPr="009639F7" w:rsidRDefault="001C700C" w:rsidP="001C700C">
      <w:pPr>
        <w:pStyle w:val="AMNumberTabs"/>
      </w:pPr>
      <w:r w:rsidRPr="009639F7">
        <w:t>Muudatusettepanek</w:t>
      </w:r>
      <w:r w:rsidRPr="009639F7">
        <w:tab/>
      </w:r>
      <w:r w:rsidRPr="009639F7">
        <w:tab/>
        <w:t>116</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14 – lõige 2 – lõik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võivad saada toetust Euroopa Regionaalarengu Fondist, Ühtekuuluvusfondist, Euroopa Sotsiaalfond+-st või Euroopa Maaelu Arengu Põllumajandusfondist kooskõlas määruse (EL) XX [ühissätete määrus] artikli [67] lõikega 5 ning määruse (EL) XX [ühise põllumajanduspoliitika rahastamine, haldamine ja järelevalve] artikliga 8, tingimusel et need meetmed on kooskõlas asjaomase programmi eesmärkidega. Kohaldatakse toetust andva fondi eeskirju.</w:t>
            </w:r>
          </w:p>
        </w:tc>
        <w:tc>
          <w:tcPr>
            <w:tcW w:w="4876" w:type="dxa"/>
            <w:hideMark/>
          </w:tcPr>
          <w:p w:rsidR="001C700C" w:rsidRPr="009639F7" w:rsidRDefault="001C700C" w:rsidP="00464712">
            <w:pPr>
              <w:pStyle w:val="Normal6"/>
              <w:rPr>
                <w:szCs w:val="24"/>
              </w:rPr>
            </w:pPr>
            <w:r w:rsidRPr="009639F7">
              <w:t>võivad saada toetust Euroopa Regionaalarengu Fondist, Ühtekuuluvusfondist, Euroopa Sotsiaalfond+-st või Euroopa Maaelu Arengu Põllumajandusfondist kooskõlas määruse (EL) XX [ühissätete määrus] artikli [</w:t>
            </w:r>
            <w:r w:rsidR="007C4CC9" w:rsidRPr="009639F7">
              <w:t>67] lõikega 5 ning määruse (EL) </w:t>
            </w:r>
            <w:r w:rsidRPr="009639F7">
              <w:t>XX [ühise põllumajanduspoliitika rahastamine, haldamine ja järelevalve] artikliga 8</w:t>
            </w:r>
            <w:r w:rsidRPr="009639F7">
              <w:rPr>
                <w:b/>
                <w:i/>
              </w:rPr>
              <w:t xml:space="preserve"> või määrusega (EL) XX [millega kehtestatakse digitaalse Euroopa programm] (eelkõige kõrgema taseme digioskusi käsitleva eesmärgi puhul)</w:t>
            </w:r>
            <w:r w:rsidRPr="009639F7">
              <w:t>, tingimusel et need meetmed on kooskõlas asjaomase programmi eesmärkidega. Kohaldatakse toetust andva fondi eeskirju.</w:t>
            </w:r>
          </w:p>
        </w:tc>
      </w:tr>
    </w:tbl>
    <w:p w:rsidR="001C700C" w:rsidRPr="009639F7" w:rsidRDefault="001C700C" w:rsidP="001C700C">
      <w:pPr>
        <w:pStyle w:val="JustificationTitle"/>
      </w:pPr>
      <w:r w:rsidRPr="009639F7">
        <w:lastRenderedPageBreak/>
        <w:t>Selgitus</w:t>
      </w:r>
    </w:p>
    <w:p w:rsidR="001C700C" w:rsidRPr="009639F7" w:rsidRDefault="001C700C" w:rsidP="001C700C">
      <w:pPr>
        <w:pStyle w:val="Normal12Italic"/>
      </w:pPr>
      <w:r w:rsidRPr="009639F7">
        <w:t>ELi tervikliku VKEde strateegia loomiseks tuleb tagada kooskõla digitaalse Euroopa programmiga.</w:t>
      </w:r>
    </w:p>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117</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16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1.</w:t>
            </w:r>
            <w:r w:rsidRPr="009639F7">
              <w:tab/>
            </w:r>
            <w:r w:rsidRPr="009639F7">
              <w:rPr>
                <w:b/>
                <w:i/>
              </w:rPr>
              <w:t>Programmi rakendatakse</w:t>
            </w:r>
            <w:r w:rsidRPr="009639F7">
              <w:t xml:space="preserve"> finantsmääruse </w:t>
            </w:r>
            <w:r w:rsidRPr="009639F7">
              <w:rPr>
                <w:b/>
                <w:i/>
              </w:rPr>
              <w:t>artiklis</w:t>
            </w:r>
            <w:r w:rsidRPr="009639F7">
              <w:t xml:space="preserve"> 110 </w:t>
            </w:r>
            <w:r w:rsidRPr="009639F7">
              <w:rPr>
                <w:b/>
                <w:i/>
              </w:rPr>
              <w:t>osutatud tööprogrammi</w:t>
            </w:r>
            <w:r w:rsidRPr="009639F7">
              <w:t>(</w:t>
            </w:r>
            <w:r w:rsidRPr="009639F7">
              <w:rPr>
                <w:b/>
                <w:i/>
              </w:rPr>
              <w:t>de</w:t>
            </w:r>
            <w:r w:rsidRPr="009639F7">
              <w:t xml:space="preserve">) </w:t>
            </w:r>
            <w:r w:rsidRPr="009639F7">
              <w:rPr>
                <w:b/>
                <w:i/>
              </w:rPr>
              <w:t>kaudu</w:t>
            </w:r>
            <w:r w:rsidRPr="009639F7">
              <w:t xml:space="preserve">. </w:t>
            </w:r>
            <w:r w:rsidRPr="009639F7">
              <w:rPr>
                <w:b/>
                <w:i/>
              </w:rPr>
              <w:t>Tööprogrammis</w:t>
            </w:r>
            <w:r w:rsidRPr="009639F7">
              <w:t xml:space="preserve"> esitatakse vajaduse korral segarahastamistoimingute jaoks ette nähtud kogusumma.</w:t>
            </w:r>
          </w:p>
        </w:tc>
        <w:tc>
          <w:tcPr>
            <w:tcW w:w="4876" w:type="dxa"/>
            <w:hideMark/>
          </w:tcPr>
          <w:p w:rsidR="001C700C" w:rsidRPr="009639F7" w:rsidRDefault="001C700C" w:rsidP="00464712">
            <w:pPr>
              <w:pStyle w:val="Normal6"/>
              <w:rPr>
                <w:szCs w:val="24"/>
              </w:rPr>
            </w:pPr>
            <w:r w:rsidRPr="009639F7">
              <w:t>1.</w:t>
            </w:r>
            <w:r w:rsidRPr="009639F7">
              <w:tab/>
            </w:r>
            <w:r w:rsidRPr="009639F7">
              <w:rPr>
                <w:b/>
                <w:i/>
              </w:rPr>
              <w:t>Komisjonil on õigus võtta kooskõlas artikliga 20 vastu käesolevat määrust täiendavaid delegeeritud õigusakte, et võtta vastu</w:t>
            </w:r>
            <w:r w:rsidRPr="009639F7">
              <w:t xml:space="preserve"> finantsmääruse </w:t>
            </w:r>
            <w:r w:rsidRPr="009639F7">
              <w:rPr>
                <w:b/>
                <w:i/>
              </w:rPr>
              <w:t>artikliga</w:t>
            </w:r>
            <w:r w:rsidRPr="009639F7">
              <w:t xml:space="preserve"> 110 </w:t>
            </w:r>
            <w:r w:rsidRPr="009639F7">
              <w:rPr>
                <w:b/>
                <w:i/>
              </w:rPr>
              <w:t>kooskõlas olev</w:t>
            </w:r>
            <w:r w:rsidRPr="009639F7">
              <w:t>(</w:t>
            </w:r>
            <w:r w:rsidRPr="009639F7">
              <w:rPr>
                <w:b/>
                <w:i/>
              </w:rPr>
              <w:t>ad</w:t>
            </w:r>
            <w:r w:rsidRPr="009639F7">
              <w:t xml:space="preserve">) </w:t>
            </w:r>
            <w:r w:rsidRPr="009639F7">
              <w:rPr>
                <w:b/>
                <w:i/>
              </w:rPr>
              <w:t>tööprogramm(id). Tööprogrammid on iga-aastased või mitmeaastased ja nendes määratakse eelkõige kindlaks taotletavad eesmärgid, eeldatavad tulemused, rakendusmeetod ja rahastamiskava kogusumma. Samuti</w:t>
            </w:r>
            <w:r w:rsidRPr="009639F7">
              <w:t xml:space="preserve"> esitatakse </w:t>
            </w:r>
            <w:r w:rsidRPr="009639F7">
              <w:rPr>
                <w:b/>
                <w:i/>
              </w:rPr>
              <w:t>neis rahastatavate meetmete täpne kirjeldus, igale meetmele ligikaudselt eraldatav summa ja meetmete rakendamise esialgne ajakava.</w:t>
            </w:r>
            <w:r w:rsidRPr="009639F7">
              <w:t xml:space="preserve"> Vajaduse korral</w:t>
            </w:r>
            <w:r w:rsidRPr="009639F7">
              <w:rPr>
                <w:b/>
                <w:i/>
              </w:rPr>
              <w:t xml:space="preserve"> esitatakse tööprogrammis</w:t>
            </w:r>
            <w:r w:rsidRPr="009639F7">
              <w:t xml:space="preserve"> segarahastamistoimingute jaoks ette nähtud kogusumma.</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118</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16 – lõige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2.</w:t>
            </w:r>
            <w:r w:rsidRPr="009639F7">
              <w:tab/>
            </w:r>
            <w:r w:rsidRPr="009639F7">
              <w:rPr>
                <w:b/>
                <w:i/>
              </w:rPr>
              <w:t>Komisjon võtab rakendusaktidega vastu tööprogrammid, millega täidetakse I lisa artikli 3 lõikes 2 osutatud erieesmärki.</w:t>
            </w:r>
            <w:r w:rsidRPr="009639F7">
              <w:t xml:space="preserve"> </w:t>
            </w:r>
            <w:r w:rsidRPr="009639F7">
              <w:rPr>
                <w:b/>
                <w:i/>
              </w:rPr>
              <w:t>Nimetatud rakendusaktid võetakse vastu kooskõlas artikli 21 lõikes 2 osutatud kontrollimenetlusega.</w:t>
            </w:r>
          </w:p>
        </w:tc>
        <w:tc>
          <w:tcPr>
            <w:tcW w:w="4876" w:type="dxa"/>
            <w:hideMark/>
          </w:tcPr>
          <w:p w:rsidR="001C700C" w:rsidRPr="009639F7" w:rsidRDefault="001C700C" w:rsidP="00464712">
            <w:pPr>
              <w:pStyle w:val="Normal6"/>
              <w:rPr>
                <w:szCs w:val="24"/>
              </w:rPr>
            </w:pPr>
            <w:r w:rsidRPr="009639F7">
              <w:t>2.</w:t>
            </w:r>
            <w:r w:rsidRPr="009639F7">
              <w:tab/>
            </w:r>
            <w:r w:rsidRPr="009639F7">
              <w:rPr>
                <w:b/>
                <w:i/>
              </w:rPr>
              <w:t>Komisjonil on õigus võtta kooskõlas artikliga 20 vastu käesolevat määrust täiendavaid delegeeritud õigusakte, millega</w:t>
            </w:r>
            <w:r w:rsidRPr="009639F7">
              <w:t xml:space="preserve"> võetakse vastu </w:t>
            </w:r>
            <w:r w:rsidRPr="009639F7">
              <w:rPr>
                <w:b/>
                <w:i/>
              </w:rPr>
              <w:t>I lisa</w:t>
            </w:r>
            <w:r w:rsidRPr="009639F7">
              <w:t xml:space="preserve"> artikli </w:t>
            </w:r>
            <w:r w:rsidRPr="009639F7">
              <w:rPr>
                <w:b/>
                <w:i/>
              </w:rPr>
              <w:t>3 lõike</w:t>
            </w:r>
            <w:r w:rsidRPr="009639F7">
              <w:t xml:space="preserve"> 2</w:t>
            </w:r>
            <w:r w:rsidRPr="009639F7">
              <w:rPr>
                <w:b/>
                <w:i/>
              </w:rPr>
              <w:t xml:space="preserve"> punktis e</w:t>
            </w:r>
            <w:r w:rsidRPr="009639F7">
              <w:t xml:space="preserve"> osutatud </w:t>
            </w:r>
            <w:r w:rsidRPr="009639F7">
              <w:rPr>
                <w:b/>
                <w:i/>
              </w:rPr>
              <w:t>erieesmärgile vastavad tööprogrammid</w:t>
            </w:r>
            <w:r w:rsidRPr="009639F7">
              <w: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119</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lastRenderedPageBreak/>
        <w:t>Artikkel 17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1.</w:t>
            </w:r>
            <w:r w:rsidRPr="009639F7">
              <w:tab/>
              <w:t xml:space="preserve">Näitajad, mille abil antakse aru artikli 3 lõikes 2 sätestatud </w:t>
            </w:r>
            <w:r w:rsidRPr="009639F7">
              <w:rPr>
                <w:b/>
                <w:i/>
              </w:rPr>
              <w:t xml:space="preserve">programmi </w:t>
            </w:r>
            <w:r w:rsidRPr="009639F7">
              <w:t xml:space="preserve">erieesmärkide </w:t>
            </w:r>
            <w:r w:rsidRPr="009639F7">
              <w:rPr>
                <w:b/>
                <w:i/>
              </w:rPr>
              <w:t>saavutamisel tehtud edusammude kohta</w:t>
            </w:r>
            <w:r w:rsidRPr="009639F7">
              <w:t>, on esitatud IV lisas.</w:t>
            </w:r>
          </w:p>
        </w:tc>
        <w:tc>
          <w:tcPr>
            <w:tcW w:w="4876" w:type="dxa"/>
            <w:hideMark/>
          </w:tcPr>
          <w:p w:rsidR="001C700C" w:rsidRPr="009639F7" w:rsidRDefault="001C700C" w:rsidP="00464712">
            <w:pPr>
              <w:pStyle w:val="Normal6"/>
              <w:rPr>
                <w:szCs w:val="24"/>
              </w:rPr>
            </w:pPr>
            <w:r w:rsidRPr="009639F7">
              <w:t>1.</w:t>
            </w:r>
            <w:r w:rsidRPr="009639F7">
              <w:tab/>
              <w:t xml:space="preserve">Näitajad, mille abil antakse aru artikli 3 lõikes 2 sätestatud erieesmärkide </w:t>
            </w:r>
            <w:r w:rsidRPr="009639F7">
              <w:rPr>
                <w:b/>
                <w:i/>
              </w:rPr>
              <w:t>täitmise programmi tõhususest ja tulemuslikkusest</w:t>
            </w:r>
            <w:r w:rsidRPr="009639F7">
              <w:t>, on esitatud IV lisas.</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120</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18 – lõige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2.</w:t>
            </w:r>
            <w:r w:rsidRPr="009639F7">
              <w:tab/>
            </w:r>
            <w:r w:rsidRPr="009639F7">
              <w:rPr>
                <w:b/>
                <w:i/>
              </w:rPr>
              <w:t>Programmi vahehindamine toimub siis, kui</w:t>
            </w:r>
            <w:r w:rsidRPr="009639F7">
              <w:t xml:space="preserve"> programmi rakendamise </w:t>
            </w:r>
            <w:r w:rsidRPr="009639F7">
              <w:rPr>
                <w:b/>
                <w:i/>
              </w:rPr>
              <w:t>kohta on saanud kättesaadavaks piisavalt teavet</w:t>
            </w:r>
            <w:r w:rsidRPr="009639F7">
              <w:t xml:space="preserve">, </w:t>
            </w:r>
            <w:r w:rsidRPr="009639F7">
              <w:rPr>
                <w:b/>
                <w:i/>
              </w:rPr>
              <w:t>ent mitte hiljem kui neli aastat pärast</w:t>
            </w:r>
            <w:r w:rsidRPr="009639F7">
              <w:t xml:space="preserve"> programmi </w:t>
            </w:r>
            <w:r w:rsidRPr="009639F7">
              <w:rPr>
                <w:b/>
                <w:i/>
              </w:rPr>
              <w:t>rakendamise algust</w:t>
            </w:r>
            <w:r w:rsidRPr="009639F7">
              <w:t>.</w:t>
            </w:r>
          </w:p>
        </w:tc>
        <w:tc>
          <w:tcPr>
            <w:tcW w:w="4876" w:type="dxa"/>
            <w:hideMark/>
          </w:tcPr>
          <w:p w:rsidR="001C700C" w:rsidRPr="009639F7" w:rsidRDefault="001C700C" w:rsidP="00464712">
            <w:pPr>
              <w:pStyle w:val="Normal6"/>
              <w:rPr>
                <w:szCs w:val="24"/>
              </w:rPr>
            </w:pPr>
            <w:r w:rsidRPr="009639F7">
              <w:t>2.</w:t>
            </w:r>
            <w:r w:rsidRPr="009639F7">
              <w:tab/>
            </w:r>
            <w:r w:rsidRPr="009639F7">
              <w:rPr>
                <w:b/>
                <w:i/>
              </w:rPr>
              <w:t>Komisjon koostab hiljemalt ... [neli aastat pärast</w:t>
            </w:r>
            <w:r w:rsidRPr="009639F7">
              <w:t xml:space="preserve"> programmi rakendamise </w:t>
            </w:r>
            <w:r w:rsidRPr="009639F7">
              <w:rPr>
                <w:b/>
                <w:i/>
              </w:rPr>
              <w:t>algust] programmi vahehindamise aruande, milles käsitletakse programmi raames toetatavate meetmete eesmärkide täitmist</w:t>
            </w:r>
            <w:r w:rsidRPr="009639F7">
              <w:t xml:space="preserve">, </w:t>
            </w:r>
            <w:r w:rsidRPr="009639F7">
              <w:rPr>
                <w:b/>
                <w:i/>
              </w:rPr>
              <w:t>tulemusi ja mõju, vahendite kasutamise tõhusust ja</w:t>
            </w:r>
            <w:r w:rsidRPr="009639F7">
              <w:t xml:space="preserve"> programmi </w:t>
            </w:r>
            <w:r w:rsidRPr="009639F7">
              <w:rPr>
                <w:b/>
                <w:i/>
              </w:rPr>
              <w:t>lisaväärtust liidu jaoks</w:t>
            </w:r>
            <w:r w:rsidRPr="009639F7">
              <w: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121</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18 – lõige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5.</w:t>
            </w:r>
            <w:r w:rsidRPr="009639F7">
              <w:tab/>
            </w:r>
            <w:r w:rsidRPr="009639F7">
              <w:rPr>
                <w:b/>
                <w:i/>
              </w:rPr>
              <w:t>Programmi</w:t>
            </w:r>
            <w:r w:rsidRPr="009639F7">
              <w:t xml:space="preserve"> rakendamise </w:t>
            </w:r>
            <w:r w:rsidRPr="009639F7">
              <w:rPr>
                <w:b/>
                <w:i/>
              </w:rPr>
              <w:t>lõpul, ent mitte hiljem kui neli aastat pärast artiklis 1 nimetatud ajavahemikku, viib komisjon läbi programmi lõpphindamise</w:t>
            </w:r>
            <w:r w:rsidRPr="009639F7">
              <w:t>.</w:t>
            </w:r>
          </w:p>
        </w:tc>
        <w:tc>
          <w:tcPr>
            <w:tcW w:w="4876" w:type="dxa"/>
            <w:hideMark/>
          </w:tcPr>
          <w:p w:rsidR="001C700C" w:rsidRPr="009639F7" w:rsidRDefault="001C700C" w:rsidP="00464712">
            <w:pPr>
              <w:pStyle w:val="Normal6"/>
              <w:rPr>
                <w:szCs w:val="24"/>
              </w:rPr>
            </w:pPr>
            <w:r w:rsidRPr="009639F7">
              <w:t>5.</w:t>
            </w:r>
            <w:r w:rsidRPr="009639F7">
              <w:tab/>
            </w:r>
            <w:r w:rsidRPr="009639F7">
              <w:rPr>
                <w:b/>
                <w:i/>
              </w:rPr>
              <w:t>Komisjon koostab hiljemalt ... [kolm aastat pärast programmi</w:t>
            </w:r>
            <w:r w:rsidRPr="009639F7">
              <w:t xml:space="preserve"> rakendamise </w:t>
            </w:r>
            <w:r w:rsidRPr="009639F7">
              <w:rPr>
                <w:b/>
                <w:i/>
              </w:rPr>
              <w:t>lõppu] lõpliku hindamisaruande, milles käsitletakse programmi pikemaajalist mõju, võetud meetmete tulemusi ja kestlikkust ja eri tööprogrammide koostoimet</w:t>
            </w:r>
            <w:r w:rsidRPr="009639F7">
              <w: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122</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18 – lõige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6.</w:t>
            </w:r>
            <w:r w:rsidRPr="009639F7">
              <w:tab/>
              <w:t xml:space="preserve">Komisjon edastab </w:t>
            </w:r>
            <w:r w:rsidRPr="009639F7">
              <w:rPr>
                <w:b/>
                <w:i/>
              </w:rPr>
              <w:t>hindamiste tulemused</w:t>
            </w:r>
            <w:r w:rsidRPr="009639F7">
              <w:t xml:space="preserve"> koos oma </w:t>
            </w:r>
            <w:r w:rsidRPr="009639F7">
              <w:rPr>
                <w:b/>
                <w:i/>
              </w:rPr>
              <w:t>tähelepanekutega</w:t>
            </w:r>
            <w:r w:rsidRPr="009639F7">
              <w:t xml:space="preserve"> Euroopa Parlamendile, nõukogule, Euroopa Majandus- ja Sotsiaalkomiteele </w:t>
            </w:r>
            <w:r w:rsidRPr="009639F7">
              <w:rPr>
                <w:b/>
                <w:i/>
              </w:rPr>
              <w:t>ning</w:t>
            </w:r>
            <w:r w:rsidRPr="009639F7">
              <w:t xml:space="preserve"> Regioonide Komiteele.</w:t>
            </w:r>
          </w:p>
        </w:tc>
        <w:tc>
          <w:tcPr>
            <w:tcW w:w="4876" w:type="dxa"/>
            <w:hideMark/>
          </w:tcPr>
          <w:p w:rsidR="001C700C" w:rsidRPr="009639F7" w:rsidRDefault="001C700C" w:rsidP="00464712">
            <w:pPr>
              <w:pStyle w:val="Normal6"/>
              <w:rPr>
                <w:szCs w:val="24"/>
              </w:rPr>
            </w:pPr>
            <w:r w:rsidRPr="009639F7">
              <w:t>6.</w:t>
            </w:r>
            <w:r w:rsidRPr="009639F7">
              <w:tab/>
              <w:t xml:space="preserve">Komisjon edastab </w:t>
            </w:r>
            <w:r w:rsidRPr="009639F7">
              <w:rPr>
                <w:b/>
                <w:i/>
              </w:rPr>
              <w:t>lõigetes 2 ja 5 osutatud aruanded</w:t>
            </w:r>
            <w:r w:rsidRPr="009639F7">
              <w:t xml:space="preserve"> koos oma </w:t>
            </w:r>
            <w:r w:rsidRPr="009639F7">
              <w:rPr>
                <w:b/>
                <w:i/>
              </w:rPr>
              <w:t>järeldustega</w:t>
            </w:r>
            <w:r w:rsidRPr="009639F7">
              <w:t xml:space="preserve"> Euroopa Parlamendile, nõukogule, Euroopa Majandus- ja Sotsiaalkomiteele </w:t>
            </w:r>
            <w:r w:rsidRPr="009639F7">
              <w:rPr>
                <w:b/>
                <w:i/>
              </w:rPr>
              <w:t>ja</w:t>
            </w:r>
            <w:r w:rsidRPr="009639F7">
              <w:t xml:space="preserve"> Regioonide Komiteele</w:t>
            </w:r>
            <w:r w:rsidRPr="009639F7">
              <w:rPr>
                <w:b/>
                <w:i/>
              </w:rPr>
              <w:t xml:space="preserve"> ning avalikustab need</w:t>
            </w:r>
            <w:r w:rsidRPr="009639F7">
              <w:t xml:space="preserve">. </w:t>
            </w:r>
            <w:r w:rsidRPr="009639F7">
              <w:rPr>
                <w:b/>
                <w:i/>
              </w:rPr>
              <w:t>Vajaduse korral lisatakse aruandele programmi muutmise ettepanekud.</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123</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20 – lõige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2.</w:t>
            </w:r>
            <w:r w:rsidRPr="009639F7">
              <w:tab/>
            </w:r>
            <w:r w:rsidRPr="009639F7">
              <w:rPr>
                <w:b/>
                <w:i/>
              </w:rPr>
              <w:t>Artiklites</w:t>
            </w:r>
            <w:r w:rsidRPr="009639F7">
              <w:t xml:space="preserve"> 9 ja 17 osutatud õigus võtta vastu delegeeritud õigusakte antakse komisjonile kuni 31. detsembrini 2028.</w:t>
            </w:r>
          </w:p>
        </w:tc>
        <w:tc>
          <w:tcPr>
            <w:tcW w:w="4876" w:type="dxa"/>
            <w:hideMark/>
          </w:tcPr>
          <w:p w:rsidR="001C700C" w:rsidRPr="009639F7" w:rsidRDefault="001C700C" w:rsidP="00464712">
            <w:pPr>
              <w:pStyle w:val="Normal6"/>
              <w:rPr>
                <w:szCs w:val="24"/>
              </w:rPr>
            </w:pPr>
            <w:r w:rsidRPr="009639F7">
              <w:t>2.</w:t>
            </w:r>
            <w:r w:rsidRPr="009639F7">
              <w:tab/>
            </w:r>
            <w:r w:rsidRPr="009639F7">
              <w:rPr>
                <w:b/>
                <w:i/>
              </w:rPr>
              <w:t>Artikli 8 lõikes 3 b ning artiklites</w:t>
            </w:r>
            <w:r w:rsidR="007C4CC9" w:rsidRPr="009639F7">
              <w:t> </w:t>
            </w:r>
            <w:r w:rsidRPr="009639F7">
              <w:t>9</w:t>
            </w:r>
            <w:r w:rsidRPr="009639F7">
              <w:rPr>
                <w:b/>
                <w:i/>
              </w:rPr>
              <w:t>, 10, 16</w:t>
            </w:r>
            <w:r w:rsidRPr="009639F7">
              <w:t xml:space="preserve"> ja 17 osutatud õigus võtta vastu delegeeritud õigusakte antakse komisjonile kuni 31. detsembrini 2028.</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124</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20 – lõige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3.</w:t>
            </w:r>
            <w:r w:rsidRPr="009639F7">
              <w:tab/>
              <w:t xml:space="preserve">Euroopa Parlament </w:t>
            </w:r>
            <w:r w:rsidRPr="009639F7">
              <w:rPr>
                <w:b/>
                <w:i/>
              </w:rPr>
              <w:t>ja</w:t>
            </w:r>
            <w:r w:rsidRPr="009639F7">
              <w:t xml:space="preserve"> nõukogu võivad </w:t>
            </w:r>
            <w:r w:rsidRPr="009639F7">
              <w:rPr>
                <w:b/>
                <w:i/>
              </w:rPr>
              <w:t xml:space="preserve">artiklites </w:t>
            </w:r>
            <w:r w:rsidRPr="009639F7">
              <w:t>9</w:t>
            </w:r>
            <w:r w:rsidRPr="009639F7">
              <w:rPr>
                <w:b/>
                <w:i/>
              </w:rPr>
              <w:t xml:space="preserve"> ja </w:t>
            </w:r>
            <w:r w:rsidRPr="009639F7">
              <w:t>17 osutatud volituste delegeerimise igal ajal tagasi võtta. Tagasivõtmise otsusega lõpetatakse otsuses nimetatud volituste delegeerimine. Otsus jõustub järgmisel päeval pärast selle avaldamist Euroopa Liidu Teatajas või otsuses nimetatud hilisemal kuupäeval. See ei mõjuta juba jõustunud delegeeritud õigusaktide kehtivust.</w:t>
            </w:r>
          </w:p>
        </w:tc>
        <w:tc>
          <w:tcPr>
            <w:tcW w:w="4876" w:type="dxa"/>
            <w:hideMark/>
          </w:tcPr>
          <w:p w:rsidR="001C700C" w:rsidRPr="009639F7" w:rsidRDefault="001C700C" w:rsidP="00464712">
            <w:pPr>
              <w:pStyle w:val="Normal6"/>
              <w:rPr>
                <w:szCs w:val="24"/>
              </w:rPr>
            </w:pPr>
            <w:r w:rsidRPr="009639F7">
              <w:t>3.</w:t>
            </w:r>
            <w:r w:rsidRPr="009639F7">
              <w:tab/>
              <w:t xml:space="preserve">Euroopa Parlament </w:t>
            </w:r>
            <w:r w:rsidRPr="009639F7">
              <w:rPr>
                <w:b/>
                <w:i/>
              </w:rPr>
              <w:t>või</w:t>
            </w:r>
            <w:r w:rsidRPr="009639F7">
              <w:t xml:space="preserve"> nõukogu võivad </w:t>
            </w:r>
            <w:r w:rsidRPr="009639F7">
              <w:rPr>
                <w:b/>
                <w:i/>
              </w:rPr>
              <w:t>artikli 8 lõikes 3 b ning artiklites </w:t>
            </w:r>
            <w:r w:rsidRPr="009639F7">
              <w:t>9</w:t>
            </w:r>
            <w:r w:rsidRPr="009639F7">
              <w:rPr>
                <w:b/>
                <w:i/>
              </w:rPr>
              <w:t>, 10, 16 ja </w:t>
            </w:r>
            <w:r w:rsidRPr="009639F7">
              <w:t>17 osutatud volituste delegeerimise igal ajal tagasi võtta. Tagasivõtmise otsusega lõpetatakse otsuses nimetatud volituste delegeerimine. Otsus jõustub järgmisel päeval pärast selle avaldamist Euroopa Liidu Teatajas või otsuses nimetatud hilisemal kuupäeval. See ei mõjuta juba jõustunud delegeeritud õigusaktide kehtivust.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125</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20 – lõige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6.</w:t>
            </w:r>
            <w:r w:rsidRPr="009639F7">
              <w:tab/>
            </w:r>
            <w:r w:rsidRPr="009639F7">
              <w:rPr>
                <w:b/>
                <w:i/>
              </w:rPr>
              <w:t>Artiklite</w:t>
            </w:r>
            <w:r w:rsidRPr="009639F7">
              <w:t xml:space="preserve"> 9 ja 17 alusel vastu võetud delegeeritud õigusakt jõustub üksnes juhul, kui Euroopa Parlament ega nõukogu ei ole kahe kuu jooksul pärast õigusakti Euroopa Parlamendile ja nõukogule teatavakstegemist esitanud selle suhtes vastuväidet või kui Euroopa Parlament ja nõukogu on enne selle tähtaja möödumist komisjonile teatanud, et nad ei esita vastuväidet. Euroopa Parlamendi või nõukogu algatusel pikendatakse seda tähtaega kahe kuu võrra.</w:t>
            </w:r>
          </w:p>
        </w:tc>
        <w:tc>
          <w:tcPr>
            <w:tcW w:w="4876" w:type="dxa"/>
            <w:hideMark/>
          </w:tcPr>
          <w:p w:rsidR="001C700C" w:rsidRPr="009639F7" w:rsidRDefault="001C700C" w:rsidP="00464712">
            <w:pPr>
              <w:pStyle w:val="Normal6"/>
              <w:rPr>
                <w:szCs w:val="24"/>
              </w:rPr>
            </w:pPr>
            <w:r w:rsidRPr="009639F7">
              <w:t>6.</w:t>
            </w:r>
            <w:r w:rsidRPr="009639F7">
              <w:tab/>
            </w:r>
            <w:r w:rsidRPr="009639F7">
              <w:rPr>
                <w:b/>
                <w:i/>
              </w:rPr>
              <w:t>Artikli 8 lõike 3 b ning artiklite</w:t>
            </w:r>
            <w:r w:rsidRPr="009639F7">
              <w:t xml:space="preserve"> 9</w:t>
            </w:r>
            <w:r w:rsidRPr="009639F7">
              <w:rPr>
                <w:b/>
                <w:i/>
              </w:rPr>
              <w:t>, 10, 16</w:t>
            </w:r>
            <w:r w:rsidRPr="009639F7">
              <w:t xml:space="preserve"> ja 17 alusel vastu võetud delegeeritud õigusakt jõustub üksnes juhul, kui Euroopa Parlament ega nõukogu ei ole kahe kuu jooksul pärast õigusakti Euroopa Parlamendile ja nõukogule teatavakstegemist esitanud selle suhtes vastuväidet või kui Euroopa Parlament ja nõukogu on enne selle tähtaja möödumist komisjonile teatanud, et nad ei esita vastuväidet. Euroopa Parlamendi või nõukogu algatusel pikendatakse seda tähtaega kahe kuu võrra.</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126</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21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1.</w:t>
            </w:r>
            <w:r w:rsidRPr="009639F7">
              <w:tab/>
              <w:t xml:space="preserve">Komisjoni abistab </w:t>
            </w:r>
            <w:r w:rsidRPr="009639F7">
              <w:rPr>
                <w:b/>
                <w:i/>
              </w:rPr>
              <w:t>Euroopa Parlamendi ja nõukogu määruse (EÜ) nr 178/2002 artikliga 58 asutatud alaline toiduahela ja loomatervishoiu komitee</w:t>
            </w:r>
            <w:r w:rsidRPr="009639F7">
              <w:rPr>
                <w:b/>
                <w:i/>
                <w:vertAlign w:val="superscript"/>
              </w:rPr>
              <w:t>99</w:t>
            </w:r>
            <w:r w:rsidRPr="009639F7">
              <w:rPr>
                <w:b/>
                <w:i/>
              </w:rPr>
              <w:t xml:space="preserve">. Nimetatud komitee on komitee </w:t>
            </w:r>
            <w:r w:rsidRPr="009639F7">
              <w:t xml:space="preserve">määruse (EL) nr 182/2011 </w:t>
            </w:r>
            <w:r w:rsidRPr="009639F7">
              <w:rPr>
                <w:b/>
                <w:i/>
              </w:rPr>
              <w:t>tähenduses</w:t>
            </w:r>
            <w:r w:rsidRPr="009639F7">
              <w:t>.</w:t>
            </w:r>
          </w:p>
        </w:tc>
        <w:tc>
          <w:tcPr>
            <w:tcW w:w="4876" w:type="dxa"/>
            <w:hideMark/>
          </w:tcPr>
          <w:p w:rsidR="001C700C" w:rsidRPr="009639F7" w:rsidRDefault="001C700C" w:rsidP="00464712">
            <w:pPr>
              <w:pStyle w:val="Normal6"/>
              <w:rPr>
                <w:szCs w:val="24"/>
              </w:rPr>
            </w:pPr>
            <w:r w:rsidRPr="009639F7">
              <w:t>1.</w:t>
            </w:r>
            <w:r w:rsidRPr="009639F7">
              <w:tab/>
              <w:t xml:space="preserve">Komisjoni abistab määruse (EL) nr 182/2011 </w:t>
            </w:r>
            <w:r w:rsidRPr="009639F7">
              <w:rPr>
                <w:b/>
                <w:i/>
              </w:rPr>
              <w:t>kohane komitee</w:t>
            </w:r>
            <w:r w:rsidRPr="009639F7">
              <w:t>.</w:t>
            </w:r>
          </w:p>
        </w:tc>
      </w:tr>
      <w:tr w:rsidR="001C700C" w:rsidRPr="009639F7" w:rsidTr="00464712">
        <w:trPr>
          <w:jc w:val="center"/>
        </w:trPr>
        <w:tc>
          <w:tcPr>
            <w:tcW w:w="4876" w:type="dxa"/>
            <w:hideMark/>
          </w:tcPr>
          <w:p w:rsidR="001C700C" w:rsidRPr="009639F7" w:rsidRDefault="001C700C" w:rsidP="00464712">
            <w:pPr>
              <w:pStyle w:val="Normal6"/>
            </w:pPr>
            <w:r w:rsidRPr="009639F7">
              <w:t>__________________</w:t>
            </w:r>
          </w:p>
        </w:tc>
        <w:tc>
          <w:tcPr>
            <w:tcW w:w="4876" w:type="dxa"/>
            <w:hideMark/>
          </w:tcPr>
          <w:p w:rsidR="001C700C" w:rsidRPr="009639F7" w:rsidRDefault="001C700C" w:rsidP="00464712">
            <w:pPr>
              <w:pStyle w:val="Normal6"/>
              <w:rPr>
                <w:szCs w:val="24"/>
              </w:rPr>
            </w:pPr>
            <w:r w:rsidRPr="009639F7">
              <w:t>__________________</w:t>
            </w:r>
          </w:p>
        </w:tc>
      </w:tr>
      <w:tr w:rsidR="001C700C" w:rsidRPr="009639F7" w:rsidTr="00464712">
        <w:trPr>
          <w:jc w:val="center"/>
        </w:trPr>
        <w:tc>
          <w:tcPr>
            <w:tcW w:w="4876" w:type="dxa"/>
            <w:hideMark/>
          </w:tcPr>
          <w:p w:rsidR="001C700C" w:rsidRPr="009639F7" w:rsidRDefault="001C700C" w:rsidP="00464712">
            <w:pPr>
              <w:pStyle w:val="Normal6"/>
            </w:pPr>
            <w:r w:rsidRPr="009639F7">
              <w:rPr>
                <w:b/>
                <w:i/>
                <w:vertAlign w:val="superscript"/>
              </w:rPr>
              <w:t>99</w:t>
            </w:r>
            <w:r w:rsidRPr="009639F7">
              <w:rPr>
                <w:b/>
                <w:i/>
              </w:rPr>
              <w:t xml:space="preserve"> Euroopa Parlamendi ja nõukogu 28. jaanuari 2002. aasta määrus (EÜ) nr 178/2002, millega sätestatakse toidualaste õigusnormide üldised põhimõtted ja nõuded, asutatakse Euroopa Toiduohutusamet ja kehtestatakse toidu ohutusega seotud menetlused (EÜT L 31, 1.2.2002, lk 1).</w:t>
            </w:r>
          </w:p>
        </w:tc>
        <w:tc>
          <w:tcPr>
            <w:tcW w:w="4876" w:type="dxa"/>
            <w:hideMark/>
          </w:tcPr>
          <w:p w:rsidR="001C700C" w:rsidRPr="009639F7" w:rsidRDefault="001C700C" w:rsidP="00464712">
            <w:pPr>
              <w:pStyle w:val="Normal6"/>
              <w:rPr>
                <w:szCs w:val="24"/>
              </w:rPr>
            </w:pPr>
            <w:r w:rsidRPr="009639F7">
              <w:rPr>
                <w:vertAlign w:val="superscript"/>
              </w:rPr>
              <w:t>99</w:t>
            </w:r>
            <w:r w:rsidRPr="009639F7">
              <w:t xml:space="preserve"> Eu</w:t>
            </w:r>
            <w:r w:rsidR="007C4CC9" w:rsidRPr="009639F7">
              <w:t>roopa Parlamendi ja nõukogu 28. </w:t>
            </w:r>
            <w:r w:rsidRPr="009639F7">
              <w:t>jaan</w:t>
            </w:r>
            <w:r w:rsidR="007C4CC9" w:rsidRPr="009639F7">
              <w:t>uari 2002. aasta määrus (EÜ) nr </w:t>
            </w:r>
            <w:r w:rsidRPr="009639F7">
              <w:t>178/2002, millega sätestatakse toidualaste õigusnormide üldised põhimõtted ja nõuded, asutatakse Euroopa Toiduohutusamet ja kehtestatakse toidu ohutusega seotud menetlused (EÜT L 31, 1.2.2002, lk 1).</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127</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22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1.</w:t>
            </w:r>
            <w:r w:rsidRPr="009639F7">
              <w:tab/>
              <w:t xml:space="preserve">Liidu rahaliste vahendite saajad </w:t>
            </w:r>
            <w:r w:rsidRPr="009639F7">
              <w:rPr>
                <w:b/>
                <w:i/>
              </w:rPr>
              <w:t>tunnistavad liidu rahaliste</w:t>
            </w:r>
            <w:r w:rsidRPr="009639F7">
              <w:t xml:space="preserve"> vahendite päritolu ja tagavad </w:t>
            </w:r>
            <w:r w:rsidRPr="009639F7">
              <w:rPr>
                <w:b/>
                <w:i/>
              </w:rPr>
              <w:t>selle</w:t>
            </w:r>
            <w:r w:rsidRPr="009639F7">
              <w:t xml:space="preserve"> nähtavuse </w:t>
            </w:r>
            <w:r w:rsidRPr="009639F7">
              <w:rPr>
                <w:b/>
                <w:i/>
              </w:rPr>
              <w:t>(</w:t>
            </w:r>
            <w:r w:rsidRPr="009639F7">
              <w:t>eriti meetmeid ja nende tulemusi reklaamides</w:t>
            </w:r>
            <w:r w:rsidRPr="009639F7">
              <w:rPr>
                <w:b/>
                <w:i/>
              </w:rPr>
              <w:t>)</w:t>
            </w:r>
            <w:r w:rsidRPr="009639F7">
              <w:t xml:space="preserve">, </w:t>
            </w:r>
            <w:r w:rsidRPr="009639F7">
              <w:rPr>
                <w:b/>
                <w:i/>
              </w:rPr>
              <w:t>andes</w:t>
            </w:r>
            <w:r w:rsidRPr="009639F7">
              <w:t xml:space="preserve"> eri sihtrühmadele, sealhulgas meediale ja üldsusele </w:t>
            </w:r>
            <w:r w:rsidRPr="009639F7">
              <w:rPr>
                <w:b/>
                <w:i/>
              </w:rPr>
              <w:t>selle</w:t>
            </w:r>
            <w:r w:rsidRPr="009639F7">
              <w:t xml:space="preserve"> kohta sidusat, tulemuslikku ja proportsionaalset suunatud teavet.</w:t>
            </w:r>
          </w:p>
        </w:tc>
        <w:tc>
          <w:tcPr>
            <w:tcW w:w="4876" w:type="dxa"/>
            <w:hideMark/>
          </w:tcPr>
          <w:p w:rsidR="001C700C" w:rsidRPr="009639F7" w:rsidRDefault="001C700C" w:rsidP="00464712">
            <w:pPr>
              <w:pStyle w:val="Normal6"/>
              <w:rPr>
                <w:szCs w:val="24"/>
              </w:rPr>
            </w:pPr>
            <w:r w:rsidRPr="009639F7">
              <w:t>1.</w:t>
            </w:r>
            <w:r w:rsidRPr="009639F7">
              <w:tab/>
              <w:t xml:space="preserve">Liidu rahaliste vahendite saajad </w:t>
            </w:r>
            <w:r w:rsidRPr="009639F7">
              <w:rPr>
                <w:b/>
                <w:i/>
              </w:rPr>
              <w:t>teadvustavad</w:t>
            </w:r>
            <w:r w:rsidRPr="009639F7">
              <w:t xml:space="preserve"> vahendite päritolu ja tagavad </w:t>
            </w:r>
            <w:r w:rsidRPr="009639F7">
              <w:rPr>
                <w:b/>
                <w:i/>
              </w:rPr>
              <w:t>rahastamise läbipaistvuse ja</w:t>
            </w:r>
            <w:r w:rsidRPr="009639F7">
              <w:t xml:space="preserve"> nähtavuse</w:t>
            </w:r>
            <w:r w:rsidRPr="009639F7">
              <w:rPr>
                <w:b/>
                <w:i/>
              </w:rPr>
              <w:t>,</w:t>
            </w:r>
            <w:r w:rsidRPr="009639F7">
              <w:t xml:space="preserve"> eriti meetmeid ja nende tulemusi reklaamides, </w:t>
            </w:r>
            <w:r w:rsidRPr="009639F7">
              <w:rPr>
                <w:b/>
                <w:i/>
              </w:rPr>
              <w:t>ning annavad</w:t>
            </w:r>
            <w:r w:rsidRPr="009639F7">
              <w:t xml:space="preserve"> eri sihtrühmadele, sealhulgas meediale ja üldsusele </w:t>
            </w:r>
            <w:r w:rsidRPr="009639F7">
              <w:rPr>
                <w:b/>
                <w:i/>
              </w:rPr>
              <w:t>liidu rahaliste vahendite</w:t>
            </w:r>
            <w:r w:rsidRPr="009639F7">
              <w:t xml:space="preserve"> kohta sidusat, tulemuslikku ja proportsionaalset suunatud teavet.</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128</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22 – lõige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2.</w:t>
            </w:r>
            <w:r w:rsidRPr="009639F7">
              <w:tab/>
              <w:t xml:space="preserve">Komisjon rakendab </w:t>
            </w:r>
            <w:r w:rsidRPr="009639F7">
              <w:rPr>
                <w:b/>
                <w:i/>
              </w:rPr>
              <w:t>programmi ning selle meetmete</w:t>
            </w:r>
            <w:r w:rsidRPr="009639F7">
              <w:t xml:space="preserve"> ja </w:t>
            </w:r>
            <w:r w:rsidRPr="009639F7">
              <w:rPr>
                <w:b/>
                <w:i/>
              </w:rPr>
              <w:t>tulemustega seotud teavitus-</w:t>
            </w:r>
            <w:r w:rsidRPr="009639F7">
              <w:t xml:space="preserve"> ja </w:t>
            </w:r>
            <w:r w:rsidRPr="009639F7">
              <w:rPr>
                <w:b/>
                <w:i/>
              </w:rPr>
              <w:t>teabevahetusmeetmeid</w:t>
            </w:r>
            <w:r w:rsidRPr="009639F7">
              <w:t xml:space="preserve">. Programmile eraldatud rahalised vahendid peavad ühtlasi aitama </w:t>
            </w:r>
            <w:r w:rsidRPr="009639F7">
              <w:rPr>
                <w:b/>
                <w:i/>
              </w:rPr>
              <w:t>kaasa</w:t>
            </w:r>
            <w:r w:rsidRPr="009639F7">
              <w:t xml:space="preserve"> liidu </w:t>
            </w:r>
            <w:r w:rsidRPr="009639F7">
              <w:rPr>
                <w:b/>
                <w:i/>
              </w:rPr>
              <w:t>poliitiliste prioriteetide tutvustamisele</w:t>
            </w:r>
            <w:r w:rsidRPr="009639F7">
              <w:t>, niivõrd kui need on seotud artiklis 3 osutatud eesmärkidega.</w:t>
            </w:r>
          </w:p>
        </w:tc>
        <w:tc>
          <w:tcPr>
            <w:tcW w:w="4876" w:type="dxa"/>
            <w:hideMark/>
          </w:tcPr>
          <w:p w:rsidR="001C700C" w:rsidRPr="009639F7" w:rsidRDefault="001C700C" w:rsidP="00464712">
            <w:pPr>
              <w:pStyle w:val="Normal6"/>
              <w:rPr>
                <w:szCs w:val="24"/>
              </w:rPr>
            </w:pPr>
            <w:r w:rsidRPr="009639F7">
              <w:t>2.</w:t>
            </w:r>
            <w:r w:rsidRPr="009639F7">
              <w:tab/>
              <w:t xml:space="preserve">Komisjon rakendab </w:t>
            </w:r>
            <w:r w:rsidRPr="009639F7">
              <w:rPr>
                <w:b/>
                <w:i/>
              </w:rPr>
              <w:t>teavitus- ja teabevahetusmeetmeid kasutajasõbralikul viisil, et tõsta tarbijate, kodanike, ettevõtjate (eelkõige VKEde)</w:t>
            </w:r>
            <w:r w:rsidRPr="009639F7">
              <w:t xml:space="preserve"> ja </w:t>
            </w:r>
            <w:r w:rsidRPr="009639F7">
              <w:rPr>
                <w:b/>
                <w:i/>
              </w:rPr>
              <w:t>haldusasutuste teadlikkust käesoleva määruse rahastamisvahendite kaudu pakutavatest vahenditest ning programmi meetmetest</w:t>
            </w:r>
            <w:r w:rsidRPr="009639F7">
              <w:t xml:space="preserve"> ja </w:t>
            </w:r>
            <w:r w:rsidRPr="009639F7">
              <w:rPr>
                <w:b/>
                <w:i/>
              </w:rPr>
              <w:t>tulemustest</w:t>
            </w:r>
            <w:r w:rsidRPr="009639F7">
              <w:t xml:space="preserve">. Programmile eraldatud rahalised vahendid peavad ühtlasi aitama </w:t>
            </w:r>
            <w:r w:rsidRPr="009639F7">
              <w:rPr>
                <w:b/>
                <w:i/>
              </w:rPr>
              <w:t>tutvustada</w:t>
            </w:r>
            <w:r w:rsidRPr="009639F7">
              <w:t xml:space="preserve"> liidu </w:t>
            </w:r>
            <w:r w:rsidRPr="009639F7">
              <w:rPr>
                <w:b/>
                <w:i/>
              </w:rPr>
              <w:t>poliitilisi prioriteete</w:t>
            </w:r>
            <w:r w:rsidRPr="009639F7">
              <w:t>, niivõrd kui need on seotud artiklis 3 osutatud eesmärkidega.</w:t>
            </w:r>
          </w:p>
        </w:tc>
      </w:tr>
    </w:tbl>
    <w:p w:rsidR="001C700C" w:rsidRPr="009639F7" w:rsidRDefault="001C700C" w:rsidP="001C700C"/>
    <w:p w:rsidR="001C700C" w:rsidRPr="009639F7" w:rsidRDefault="001C700C" w:rsidP="001C700C">
      <w:pPr>
        <w:pStyle w:val="AMNumberTabs"/>
        <w:keepNext/>
      </w:pPr>
      <w:r w:rsidRPr="009639F7">
        <w:t>Muudatusettepanek</w:t>
      </w:r>
      <w:r w:rsidRPr="009639F7">
        <w:tab/>
      </w:r>
      <w:r w:rsidRPr="009639F7">
        <w:tab/>
        <w:t>129</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Artikkel 22 – lõige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3.</w:t>
            </w:r>
            <w:r w:rsidRPr="009639F7">
              <w:tab/>
              <w:t>Komisjon (EUROSTAT) rakendab teavitus- ja teabevahetusmeetmeid artikli 3 lõike 2 punktis f osutatud erieesmärgi täitmise</w:t>
            </w:r>
            <w:r w:rsidRPr="009639F7">
              <w:rPr>
                <w:b/>
                <w:i/>
              </w:rPr>
              <w:t>, selle</w:t>
            </w:r>
            <w:r w:rsidRPr="009639F7">
              <w:t xml:space="preserve"> meetmete ja tulemuste suhtes, mis seonduvad Euroopa statistika arendamise, </w:t>
            </w:r>
            <w:r w:rsidRPr="009639F7">
              <w:rPr>
                <w:b/>
                <w:i/>
              </w:rPr>
              <w:t>tegemise</w:t>
            </w:r>
            <w:r w:rsidRPr="009639F7">
              <w:t xml:space="preserve"> ja levitamisega</w:t>
            </w:r>
            <w:r w:rsidRPr="009639F7">
              <w:rPr>
                <w:b/>
                <w:i/>
              </w:rPr>
              <w:t>, kooskõlas</w:t>
            </w:r>
            <w:r w:rsidRPr="009639F7">
              <w:t xml:space="preserve"> määruses (EÜ) nr 223/2009 </w:t>
            </w:r>
            <w:r w:rsidRPr="009639F7">
              <w:lastRenderedPageBreak/>
              <w:t xml:space="preserve">sätestatud </w:t>
            </w:r>
            <w:r w:rsidRPr="009639F7">
              <w:rPr>
                <w:b/>
                <w:i/>
              </w:rPr>
              <w:t>statistikapõhimõtetega</w:t>
            </w:r>
            <w:r w:rsidRPr="009639F7">
              <w:t>.</w:t>
            </w:r>
          </w:p>
        </w:tc>
        <w:tc>
          <w:tcPr>
            <w:tcW w:w="4876" w:type="dxa"/>
            <w:hideMark/>
          </w:tcPr>
          <w:p w:rsidR="001C700C" w:rsidRPr="009639F7" w:rsidRDefault="001C700C" w:rsidP="007C4CC9">
            <w:pPr>
              <w:pStyle w:val="Normal6"/>
              <w:rPr>
                <w:szCs w:val="24"/>
              </w:rPr>
            </w:pPr>
            <w:r w:rsidRPr="009639F7">
              <w:lastRenderedPageBreak/>
              <w:t>3.</w:t>
            </w:r>
            <w:r w:rsidRPr="009639F7">
              <w:tab/>
              <w:t>Komisjon (EUROSTAT) rakendab teavitus- ja teabevahetusmeetmeid artikli</w:t>
            </w:r>
            <w:r w:rsidR="007C4CC9" w:rsidRPr="009639F7">
              <w:t> </w:t>
            </w:r>
            <w:r w:rsidRPr="009639F7">
              <w:t>3 lõike 2 punktis f osutatud erieesmärgi täitmise</w:t>
            </w:r>
            <w:r w:rsidRPr="009639F7">
              <w:rPr>
                <w:b/>
                <w:i/>
              </w:rPr>
              <w:t xml:space="preserve"> ning</w:t>
            </w:r>
            <w:r w:rsidRPr="009639F7">
              <w:t xml:space="preserve"> meetmete ja tulemuste suhtes, mis seonduvad Euroopa statistika</w:t>
            </w:r>
            <w:r w:rsidRPr="009639F7">
              <w:rPr>
                <w:b/>
                <w:i/>
              </w:rPr>
              <w:t xml:space="preserve"> andmete kogumise,</w:t>
            </w:r>
            <w:r w:rsidRPr="009639F7">
              <w:t xml:space="preserve"> arendamise, </w:t>
            </w:r>
            <w:r w:rsidRPr="009639F7">
              <w:rPr>
                <w:b/>
                <w:i/>
              </w:rPr>
              <w:t>koostamise</w:t>
            </w:r>
            <w:r w:rsidRPr="009639F7">
              <w:t xml:space="preserve"> ja levitamisega</w:t>
            </w:r>
            <w:r w:rsidRPr="009639F7">
              <w:rPr>
                <w:b/>
                <w:i/>
              </w:rPr>
              <w:t xml:space="preserve"> vastavalt</w:t>
            </w:r>
            <w:r w:rsidRPr="009639F7">
              <w:t xml:space="preserve"> </w:t>
            </w:r>
            <w:r w:rsidRPr="009639F7">
              <w:lastRenderedPageBreak/>
              <w:t xml:space="preserve">määruses (EÜ) nr 223/2009 sätestatud </w:t>
            </w:r>
            <w:r w:rsidRPr="009639F7">
              <w:rPr>
                <w:b/>
                <w:i/>
              </w:rPr>
              <w:t>statistikapõhimõtetele</w:t>
            </w:r>
            <w:r w:rsidRPr="009639F7">
              <w:t>.</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130</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I lisa – lõik 1 – punkt 1 – alapunkt 1.2. – alapunkt a</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hideMark/>
          </w:tcPr>
          <w:p w:rsidR="001C700C" w:rsidRPr="009639F7" w:rsidRDefault="001C700C" w:rsidP="00464712">
            <w:pPr>
              <w:pStyle w:val="ColumnHeading"/>
            </w:pPr>
            <w:r w:rsidRPr="009639F7">
              <w:t>Komisjoni ettepanek</w:t>
            </w:r>
          </w:p>
        </w:tc>
        <w:tc>
          <w:tcPr>
            <w:tcW w:w="4876" w:type="dxa"/>
            <w:hideMark/>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a)</w:t>
            </w:r>
            <w:r w:rsidRPr="009639F7">
              <w:tab/>
              <w:t>meetmed, mis liikmesriigi pädev asutus võtab kooskõlas Euroopa Parlamendi ja nõukogu määruse (EL) 2016/</w:t>
            </w:r>
            <w:r w:rsidRPr="009639F7">
              <w:rPr>
                <w:b/>
                <w:i/>
              </w:rPr>
              <w:t>2031</w:t>
            </w:r>
            <w:r w:rsidRPr="009639F7">
              <w:rPr>
                <w:b/>
                <w:i/>
                <w:vertAlign w:val="superscript"/>
              </w:rPr>
              <w:t>1</w:t>
            </w:r>
            <w:r w:rsidRPr="009639F7">
              <w:t xml:space="preserve"> artikliga 16 või selle määruse artikli 28 lõike 1 kohaselt vastu võetud liidu meetmetega</w:t>
            </w:r>
            <w:r w:rsidRPr="009639F7">
              <w:rPr>
                <w:b/>
                <w:i/>
              </w:rPr>
              <w:t>, et hävitada</w:t>
            </w:r>
            <w:r w:rsidRPr="009639F7">
              <w:t xml:space="preserve"> liidu </w:t>
            </w:r>
            <w:r w:rsidRPr="009639F7">
              <w:rPr>
                <w:b/>
                <w:i/>
              </w:rPr>
              <w:t>karantiinne</w:t>
            </w:r>
            <w:r w:rsidRPr="009639F7">
              <w:t xml:space="preserve"> taimekahjustaja;</w:t>
            </w:r>
          </w:p>
        </w:tc>
        <w:tc>
          <w:tcPr>
            <w:tcW w:w="4876" w:type="dxa"/>
            <w:hideMark/>
          </w:tcPr>
          <w:p w:rsidR="001C700C" w:rsidRPr="009639F7" w:rsidRDefault="001C700C" w:rsidP="00464712">
            <w:pPr>
              <w:pStyle w:val="Normal6"/>
            </w:pPr>
            <w:r w:rsidRPr="009639F7">
              <w:t>a)</w:t>
            </w:r>
            <w:r w:rsidRPr="009639F7">
              <w:tab/>
              <w:t>meetmed, mis liikmesriigi pädev asutus võtab kooskõlas Euroopa Parlamendi ja nõukogu määruse (EL) 2016/</w:t>
            </w:r>
            <w:r w:rsidRPr="009639F7">
              <w:rPr>
                <w:b/>
                <w:i/>
              </w:rPr>
              <w:t>2031</w:t>
            </w:r>
            <w:r w:rsidRPr="009639F7">
              <w:rPr>
                <w:b/>
                <w:i/>
                <w:vertAlign w:val="superscript"/>
              </w:rPr>
              <w:t>105</w:t>
            </w:r>
            <w:r w:rsidRPr="009639F7">
              <w:t xml:space="preserve"> artikliga 16 või selle määruse artikli 28 lõike 1 kohaselt vastu võetud liidu meetmetega liidu </w:t>
            </w:r>
            <w:r w:rsidRPr="009639F7">
              <w:rPr>
                <w:b/>
                <w:i/>
              </w:rPr>
              <w:t>karantiinse</w:t>
            </w:r>
            <w:r w:rsidRPr="009639F7">
              <w:t xml:space="preserve"> taimekahjustaja</w:t>
            </w:r>
            <w:r w:rsidRPr="009639F7">
              <w:rPr>
                <w:b/>
                <w:i/>
              </w:rPr>
              <w:t xml:space="preserve"> ennetamiseks, tõkestamiseks ja/või hävitamiseks</w:t>
            </w:r>
            <w:r w:rsidRPr="009639F7">
              <w:t>;</w:t>
            </w:r>
          </w:p>
        </w:tc>
      </w:tr>
      <w:tr w:rsidR="001C700C" w:rsidRPr="009639F7" w:rsidTr="00464712">
        <w:trPr>
          <w:jc w:val="center"/>
        </w:trPr>
        <w:tc>
          <w:tcPr>
            <w:tcW w:w="4876" w:type="dxa"/>
            <w:hideMark/>
          </w:tcPr>
          <w:p w:rsidR="001C700C" w:rsidRPr="009639F7" w:rsidRDefault="001C700C" w:rsidP="00464712">
            <w:pPr>
              <w:pStyle w:val="Normal6"/>
            </w:pPr>
            <w:r w:rsidRPr="009639F7">
              <w:t>_________________</w:t>
            </w:r>
          </w:p>
        </w:tc>
        <w:tc>
          <w:tcPr>
            <w:tcW w:w="4876" w:type="dxa"/>
            <w:hideMark/>
          </w:tcPr>
          <w:p w:rsidR="001C700C" w:rsidRPr="009639F7" w:rsidRDefault="001C700C" w:rsidP="00464712">
            <w:pPr>
              <w:pStyle w:val="Normal6"/>
            </w:pPr>
            <w:r w:rsidRPr="009639F7">
              <w:t>_________________</w:t>
            </w:r>
          </w:p>
        </w:tc>
      </w:tr>
      <w:tr w:rsidR="001C700C" w:rsidRPr="009639F7" w:rsidTr="00464712">
        <w:trPr>
          <w:jc w:val="center"/>
        </w:trPr>
        <w:tc>
          <w:tcPr>
            <w:tcW w:w="4876" w:type="dxa"/>
            <w:hideMark/>
          </w:tcPr>
          <w:p w:rsidR="001C700C" w:rsidRPr="009639F7" w:rsidRDefault="001C700C" w:rsidP="00464712">
            <w:pPr>
              <w:pStyle w:val="Normal6"/>
            </w:pPr>
            <w:r w:rsidRPr="009639F7">
              <w:rPr>
                <w:b/>
                <w:i/>
                <w:vertAlign w:val="superscript"/>
              </w:rPr>
              <w:t>1</w:t>
            </w:r>
            <w:r w:rsidRPr="009639F7">
              <w:t xml:space="preserve"> Euroopa Parlamendi ja nõukogu 26. oktoobri 2016. aasta määrus (EL) 2016/2031, mis käsitleb taimekahjustajatevastaseid kaitsemeetmeid, millega muudetakse Euroopa Parlamendi ja nõukogu määruseid (EL) nr 228/2013, (EL) nr 652/2014 ja (EL) nr 1143/2014 ning millega tunnistatakse kehtetuks nõukogu direktiivid 69/464/EMÜ, 74/647/EMÜ, 93/85/EMÜ, 98/57/EÜ, 2000/29/EÜ, 2006/91/EÜ ja 2007/33/EÜ (ELT L 317, 23.11.2016, lk 4).</w:t>
            </w:r>
          </w:p>
        </w:tc>
        <w:tc>
          <w:tcPr>
            <w:tcW w:w="4876" w:type="dxa"/>
            <w:hideMark/>
          </w:tcPr>
          <w:p w:rsidR="001C700C" w:rsidRPr="009639F7" w:rsidRDefault="001C700C" w:rsidP="00464712">
            <w:pPr>
              <w:pStyle w:val="Normal6"/>
            </w:pPr>
            <w:r w:rsidRPr="009639F7">
              <w:rPr>
                <w:b/>
                <w:i/>
                <w:vertAlign w:val="superscript"/>
              </w:rPr>
              <w:t>105</w:t>
            </w:r>
            <w:r w:rsidRPr="009639F7">
              <w:t xml:space="preserve"> Eu</w:t>
            </w:r>
            <w:r w:rsidR="007C4CC9" w:rsidRPr="009639F7">
              <w:t>roopa Parlamendi ja nõukogu 26. </w:t>
            </w:r>
            <w:r w:rsidRPr="009639F7">
              <w:t>o</w:t>
            </w:r>
            <w:r w:rsidR="007C4CC9" w:rsidRPr="009639F7">
              <w:t>ktoobri 2016. aasta määrus (EL) </w:t>
            </w:r>
            <w:r w:rsidRPr="009639F7">
              <w:t>2016/2031, mis käsitleb taimekahjustajatevastaseid kaitsemeetmeid, millega muudetakse Euroopa Parlamendi ja nõukogu määruseid (EL) nr 228/2013, (EL) nr 652/2014 ja (EL) nr 1143/2014 ning millega tunnistatakse kehtetuks nõukogu direktiivid 69/464/EMÜ, 74/647/EMÜ, 93/85/EMÜ, 98/57/EÜ, 2000/29/EÜ, 2006/91/EÜ ja 2007/33/EÜ (ELT L 317, 23.11.2016, lk 4).</w:t>
            </w:r>
          </w:p>
        </w:tc>
      </w:tr>
    </w:tbl>
    <w:p w:rsidR="001C700C" w:rsidRPr="009639F7" w:rsidRDefault="001C700C" w:rsidP="001C700C">
      <w:pPr>
        <w:pStyle w:val="JustificationTitle"/>
      </w:pPr>
      <w:r w:rsidRPr="009639F7">
        <w:t>Selgitus</w:t>
      </w:r>
    </w:p>
    <w:p w:rsidR="001C700C" w:rsidRPr="009639F7" w:rsidRDefault="001C700C" w:rsidP="001C700C">
      <w:pPr>
        <w:pStyle w:val="Normal12Italic"/>
      </w:pPr>
      <w:r w:rsidRPr="009639F7">
        <w:t>Tähtis on tagada, et ennetus- ja leviku tõkestamise meetmed oleksid samamoodi rahastamiskõlblikud nagu hävitamismeetmed.</w:t>
      </w:r>
    </w:p>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131</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I lisa – lõik 1 – punkt 1 – alapunkt 1.2. – alapunkt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hideMark/>
          </w:tcPr>
          <w:p w:rsidR="001C700C" w:rsidRPr="009639F7" w:rsidRDefault="001C700C" w:rsidP="00464712">
            <w:pPr>
              <w:pStyle w:val="ColumnHeading"/>
            </w:pPr>
            <w:r w:rsidRPr="009639F7">
              <w:t>Komisjoni ettepanek</w:t>
            </w:r>
          </w:p>
        </w:tc>
        <w:tc>
          <w:tcPr>
            <w:tcW w:w="4876" w:type="dxa"/>
            <w:hideMark/>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b)</w:t>
            </w:r>
            <w:r w:rsidRPr="009639F7">
              <w:tab/>
              <w:t xml:space="preserve">meetmed, mis liikmesriigi pädev asutus võtab kooskõlas määruse (EL) 2016/2031 artikliga 29, </w:t>
            </w:r>
            <w:r w:rsidRPr="009639F7">
              <w:rPr>
                <w:b/>
                <w:i/>
              </w:rPr>
              <w:t xml:space="preserve">et hävitada </w:t>
            </w:r>
            <w:r w:rsidRPr="009639F7">
              <w:rPr>
                <w:b/>
                <w:i/>
              </w:rPr>
              <w:lastRenderedPageBreak/>
              <w:t>taimekahjustaja</w:t>
            </w:r>
            <w:r w:rsidRPr="009639F7">
              <w:t>, mis ei ole kantud liidu karantiinsete taimekahjustajate loetellu, kuid mida võib käsitada karantiinse taimekahjustajana vastavalt kõnealuse määruse artikli 30 lõikes 1 osutatud kriteeriumidele;</w:t>
            </w:r>
          </w:p>
        </w:tc>
        <w:tc>
          <w:tcPr>
            <w:tcW w:w="4876" w:type="dxa"/>
            <w:hideMark/>
          </w:tcPr>
          <w:p w:rsidR="001C700C" w:rsidRPr="009639F7" w:rsidRDefault="001C700C" w:rsidP="00464712">
            <w:pPr>
              <w:pStyle w:val="Normal6"/>
            </w:pPr>
            <w:r w:rsidRPr="009639F7">
              <w:lastRenderedPageBreak/>
              <w:t>b)</w:t>
            </w:r>
            <w:r w:rsidRPr="009639F7">
              <w:tab/>
              <w:t>meetmed, mis liikmesriigi pädev asut</w:t>
            </w:r>
            <w:r w:rsidR="007C4CC9" w:rsidRPr="009639F7">
              <w:t>us võtab kooskõlas määruse (EL) </w:t>
            </w:r>
            <w:r w:rsidRPr="009639F7">
              <w:t>2016/2031 artikliga 29</w:t>
            </w:r>
            <w:r w:rsidRPr="009639F7">
              <w:rPr>
                <w:b/>
                <w:i/>
              </w:rPr>
              <w:t xml:space="preserve"> sellise </w:t>
            </w:r>
            <w:r w:rsidRPr="009639F7">
              <w:rPr>
                <w:b/>
                <w:i/>
              </w:rPr>
              <w:lastRenderedPageBreak/>
              <w:t>taimekahjustaja ennetamiseks</w:t>
            </w:r>
            <w:r w:rsidRPr="009639F7">
              <w:t xml:space="preserve">, </w:t>
            </w:r>
            <w:r w:rsidRPr="009639F7">
              <w:rPr>
                <w:b/>
                <w:i/>
              </w:rPr>
              <w:t>tõkestamiseks ja/või hävitamiseks</w:t>
            </w:r>
            <w:r w:rsidRPr="009639F7">
              <w:t>, mis ei ole kantud liidu karantiinsete taimekahjustajate loetellu, kuid mida võib käsitada karantiinse taimekahjustajana vastavalt kõnealuse määruse artikli 30 lõikes 1 osutatud kriteeriumidele;</w:t>
            </w:r>
          </w:p>
        </w:tc>
      </w:tr>
    </w:tbl>
    <w:p w:rsidR="001C700C" w:rsidRPr="009639F7" w:rsidRDefault="001C700C" w:rsidP="001C700C">
      <w:pPr>
        <w:pStyle w:val="JustificationTitle"/>
      </w:pPr>
      <w:r w:rsidRPr="009639F7">
        <w:lastRenderedPageBreak/>
        <w:t>Selgitus</w:t>
      </w:r>
    </w:p>
    <w:p w:rsidR="001C700C" w:rsidRPr="009639F7" w:rsidRDefault="001C700C" w:rsidP="001C700C">
      <w:pPr>
        <w:pStyle w:val="Normal12Italic"/>
      </w:pPr>
      <w:r w:rsidRPr="009639F7">
        <w:t>Tähtis on tagada, et ennetus- ja leviku tõkestamise meetmed oleksid samamoodi rahastamiskõlblikud nagu hävitamismeetmed.</w:t>
      </w:r>
    </w:p>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132</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I lisa – lõik 1 – punkt 1 – alapunkt 1.2. – alapunkt c</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hideMark/>
          </w:tcPr>
          <w:p w:rsidR="001C700C" w:rsidRPr="009639F7" w:rsidRDefault="001C700C" w:rsidP="00464712">
            <w:pPr>
              <w:pStyle w:val="ColumnHeading"/>
            </w:pPr>
            <w:r w:rsidRPr="009639F7">
              <w:t>Komisjoni ettepanek</w:t>
            </w:r>
          </w:p>
        </w:tc>
        <w:tc>
          <w:tcPr>
            <w:tcW w:w="4876" w:type="dxa"/>
            <w:hideMark/>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c)</w:t>
            </w:r>
            <w:r w:rsidRPr="009639F7">
              <w:tab/>
              <w:t xml:space="preserve">täiendavad kaitsemeetmed, mille eesmärk on takistada sellise taimekahjustaja levikut, mille tõrjeks on vastu võetud määruse (EL) 2016/2031 artikli 28 lõike 1 ja artikli 30 lõike 1 kohased liidu meetmed, välja arvatud </w:t>
            </w:r>
            <w:r w:rsidRPr="009639F7">
              <w:rPr>
                <w:b/>
                <w:i/>
              </w:rPr>
              <w:t>punktis</w:t>
            </w:r>
            <w:r w:rsidRPr="009639F7">
              <w:t xml:space="preserve"> a </w:t>
            </w:r>
            <w:r w:rsidRPr="009639F7">
              <w:rPr>
                <w:b/>
                <w:i/>
              </w:rPr>
              <w:t xml:space="preserve">osutatud taimekahjustaja hävitamise meetmed </w:t>
            </w:r>
            <w:r w:rsidRPr="009639F7">
              <w:t>ja</w:t>
            </w:r>
            <w:r w:rsidRPr="009639F7">
              <w:rPr>
                <w:b/>
                <w:i/>
              </w:rPr>
              <w:t xml:space="preserve"> punktis</w:t>
            </w:r>
            <w:r w:rsidRPr="009639F7">
              <w:t xml:space="preserve"> b osutatud</w:t>
            </w:r>
            <w:r w:rsidRPr="009639F7">
              <w:rPr>
                <w:b/>
                <w:i/>
              </w:rPr>
              <w:t xml:space="preserve"> leviku tõkestamise</w:t>
            </w:r>
            <w:r w:rsidRPr="009639F7">
              <w:t xml:space="preserve"> meetmed, kui need meetmed on olulised selleks, et kaitsta liitu kõnealuse taimekahjustaja edasise leviku eest.</w:t>
            </w:r>
          </w:p>
        </w:tc>
        <w:tc>
          <w:tcPr>
            <w:tcW w:w="4876" w:type="dxa"/>
            <w:hideMark/>
          </w:tcPr>
          <w:p w:rsidR="001C700C" w:rsidRPr="009639F7" w:rsidRDefault="001C700C" w:rsidP="007C4CC9">
            <w:pPr>
              <w:pStyle w:val="Normal6"/>
            </w:pPr>
            <w:r w:rsidRPr="009639F7">
              <w:t>c)</w:t>
            </w:r>
            <w:r w:rsidRPr="009639F7">
              <w:tab/>
              <w:t>täiendavad kaitsemeetmed, mille eesmärk on takistada sellise taimekahjustaja levikut, mille tõrjeks on vastu võetud määruse (EL) 2016/2031 artikli 28 lõike 1 ja artikli 30 lõike</w:t>
            </w:r>
            <w:r w:rsidR="007C4CC9" w:rsidRPr="009639F7">
              <w:t> </w:t>
            </w:r>
            <w:r w:rsidRPr="009639F7">
              <w:t xml:space="preserve">1 kohased liidu meetmed, välja arvatud </w:t>
            </w:r>
            <w:r w:rsidRPr="009639F7">
              <w:rPr>
                <w:b/>
                <w:i/>
              </w:rPr>
              <w:t>punktides</w:t>
            </w:r>
            <w:r w:rsidRPr="009639F7">
              <w:t xml:space="preserve"> a ja b osutatud meetmed, kui need meetmed on olulised selleks, et kaitsta liitu kõnealuse taimekahjustaja edasise leviku eest</w:t>
            </w:r>
            <w:r w:rsidRPr="009639F7">
              <w:rPr>
                <w:b/>
                <w:i/>
              </w:rPr>
              <w:t>, piirates vajaduse korral selle kandjate vaba liikumist naaberliikmesriikides</w:t>
            </w:r>
            <w:r w:rsidRPr="009639F7">
              <w:t>.</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133</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I lisa – lõik 1 – punkt 1 – alapunkt 1.2. – alapunkt c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7C4CC9" w:rsidP="00464712">
            <w:pPr>
              <w:pStyle w:val="Normal6"/>
              <w:rPr>
                <w:szCs w:val="24"/>
              </w:rPr>
            </w:pPr>
            <w:r w:rsidRPr="009639F7">
              <w:rPr>
                <w:b/>
                <w:i/>
              </w:rPr>
              <w:t>c</w:t>
            </w:r>
            <w:r w:rsidR="001C700C" w:rsidRPr="009639F7">
              <w:rPr>
                <w:b/>
                <w:i/>
              </w:rPr>
              <w:t>a)</w:t>
            </w:r>
            <w:r w:rsidR="001C700C" w:rsidRPr="009639F7">
              <w:rPr>
                <w:b/>
                <w:i/>
              </w:rPr>
              <w:tab/>
              <w:t>meetmed, millega hävitatakse ootamatult avastatud kahjur, isegi kui seda ei peeta liidu karantiinseks taimekahjustajaks, kuid mille ilmumine on tingitud äärmuslikest ilmastikunähtustest või kliimamuutustest teatavas liikmesriigis;</w:t>
            </w:r>
          </w:p>
        </w:tc>
      </w:tr>
    </w:tbl>
    <w:p w:rsidR="001C700C" w:rsidRPr="009639F7" w:rsidRDefault="001C700C" w:rsidP="001C700C">
      <w:pPr>
        <w:rPr>
          <w:szCs w:val="24"/>
        </w:rPr>
      </w:pPr>
    </w:p>
    <w:p w:rsidR="001C700C" w:rsidRPr="009639F7" w:rsidRDefault="001C700C" w:rsidP="001C700C">
      <w:pPr>
        <w:pStyle w:val="AMNumberTabs"/>
      </w:pPr>
      <w:r w:rsidRPr="009639F7">
        <w:t>Muudatusettepanek</w:t>
      </w:r>
      <w:r w:rsidRPr="009639F7">
        <w:tab/>
      </w:r>
      <w:r w:rsidRPr="009639F7">
        <w:tab/>
        <w:t>134</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I lisa – lõik 1 – punkt 1 – alapunkt 1.3. – alapunkt 1.3.4.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7C4CC9">
            <w:pPr>
              <w:pStyle w:val="Normal6"/>
              <w:rPr>
                <w:szCs w:val="24"/>
              </w:rPr>
            </w:pPr>
            <w:r w:rsidRPr="009639F7">
              <w:rPr>
                <w:b/>
                <w:i/>
              </w:rPr>
              <w:t>1.3.4.a.</w:t>
            </w:r>
            <w:r w:rsidRPr="009639F7">
              <w:rPr>
                <w:b/>
                <w:i/>
              </w:rPr>
              <w:tab/>
              <w:t>loomataudide ja/või taimekahjustajate esinemise kahtluse korral tuleb kogu ELi piires ja selle välispiiril oluliselt tugevdada kontrolli ja seiret;</w:t>
            </w:r>
          </w:p>
        </w:tc>
      </w:tr>
    </w:tbl>
    <w:p w:rsidR="001C700C" w:rsidRPr="009639F7" w:rsidRDefault="001C700C" w:rsidP="001C700C">
      <w:pPr>
        <w:pStyle w:val="AMNumberTabs"/>
      </w:pPr>
      <w:r w:rsidRPr="009639F7">
        <w:t>Muudatusettepanek</w:t>
      </w:r>
      <w:r w:rsidRPr="009639F7">
        <w:tab/>
      </w:r>
      <w:r w:rsidRPr="009639F7">
        <w:tab/>
        <w:t>135</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I lisa – lõik 1 – punkt 1 – alapunkt 1.3. – alapunkt 1.3.4.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hideMark/>
          </w:tcPr>
          <w:p w:rsidR="001C700C" w:rsidRPr="009639F7" w:rsidRDefault="001C700C" w:rsidP="00464712">
            <w:pPr>
              <w:pStyle w:val="ColumnHeading"/>
            </w:pPr>
            <w:r w:rsidRPr="009639F7">
              <w:t>Komisjoni ettepanek</w:t>
            </w:r>
          </w:p>
        </w:tc>
        <w:tc>
          <w:tcPr>
            <w:tcW w:w="4876" w:type="dxa"/>
            <w:hideMark/>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7C4CC9" w:rsidP="00464712">
            <w:pPr>
              <w:pStyle w:val="Normal6"/>
            </w:pPr>
            <w:r w:rsidRPr="009639F7">
              <w:rPr>
                <w:b/>
                <w:bCs/>
                <w:i/>
                <w:iCs/>
              </w:rPr>
              <w:t>1.3.4.</w:t>
            </w:r>
            <w:r w:rsidR="001C700C" w:rsidRPr="009639F7">
              <w:rPr>
                <w:b/>
                <w:bCs/>
                <w:i/>
                <w:iCs/>
              </w:rPr>
              <w:t>b.</w:t>
            </w:r>
            <w:r w:rsidR="001C700C" w:rsidRPr="009639F7">
              <w:tab/>
            </w:r>
            <w:r w:rsidR="001C700C" w:rsidRPr="009639F7">
              <w:rPr>
                <w:b/>
                <w:bCs/>
                <w:i/>
                <w:iCs/>
              </w:rPr>
              <w:t>meetmed nii tuntud kui ka praegu veel tundmatute taimekahjustajate ja haiguste esinemise seireks.</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136</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I lisa – lõik 1 – punkt 2 – alapunkt 2.1. – sissejuhatav osa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hideMark/>
          </w:tcPr>
          <w:p w:rsidR="001C700C" w:rsidRPr="009639F7" w:rsidRDefault="001C700C" w:rsidP="00464712">
            <w:pPr>
              <w:pStyle w:val="ColumnHeading"/>
            </w:pPr>
            <w:r w:rsidRPr="009639F7">
              <w:t>Komisjoni ettepanek</w:t>
            </w:r>
          </w:p>
        </w:tc>
        <w:tc>
          <w:tcPr>
            <w:tcW w:w="4876" w:type="dxa"/>
            <w:hideMark/>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2.1.</w:t>
            </w:r>
            <w:r w:rsidRPr="009639F7">
              <w:tab/>
              <w:t>Iga- ja mitmeaastaseid veterinaar- ja fütosanitaarprogramme III lisas loetletud loomahaiguste ja zoonooside ning taimekahjustajate hävitamiseks, tõrjeks ja seireks tuleb rakendada kooskõlas liidu õiguse asjakohaste sätetega.</w:t>
            </w:r>
          </w:p>
        </w:tc>
        <w:tc>
          <w:tcPr>
            <w:tcW w:w="4876" w:type="dxa"/>
            <w:hideMark/>
          </w:tcPr>
          <w:p w:rsidR="001C700C" w:rsidRPr="009639F7" w:rsidRDefault="001C700C" w:rsidP="00464712">
            <w:pPr>
              <w:pStyle w:val="Normal6"/>
            </w:pPr>
            <w:r w:rsidRPr="009639F7">
              <w:t>2.1.</w:t>
            </w:r>
            <w:r w:rsidRPr="009639F7">
              <w:tab/>
              <w:t xml:space="preserve">Iga- ja mitmeaastaseid veterinaar- ja fütosanitaarprogramme III lisas loetletud loomahaiguste ja zoonooside ning taimekahjustajate </w:t>
            </w:r>
            <w:r w:rsidRPr="009639F7">
              <w:rPr>
                <w:b/>
                <w:i/>
              </w:rPr>
              <w:t xml:space="preserve">vältimiseks, </w:t>
            </w:r>
            <w:r w:rsidRPr="009639F7">
              <w:t>hävitamiseks, tõrjeks ja seireks tuleb rakendada kooskõlas liidu õiguse asjakohaste sätetega.</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137</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I lisa – lõik 1 – punkt 2 – alapunkt 2.1. – lõik 3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p>
        </w:tc>
        <w:tc>
          <w:tcPr>
            <w:tcW w:w="4876" w:type="dxa"/>
            <w:hideMark/>
          </w:tcPr>
          <w:p w:rsidR="001C700C" w:rsidRPr="009639F7" w:rsidRDefault="001C700C" w:rsidP="00464712">
            <w:pPr>
              <w:pStyle w:val="Normal6"/>
              <w:rPr>
                <w:szCs w:val="24"/>
              </w:rPr>
            </w:pPr>
            <w:r w:rsidRPr="009639F7">
              <w:rPr>
                <w:b/>
                <w:i/>
              </w:rPr>
              <w:t>Nendes programmides tuleks võtta arvesse kliimamuutustest tingitud muutusi ja nende mitmekesisust Euroopa tasandil; samuti peaksid need aitama vältida bioloogilise mitmekesisuse vähenemist Euroopas.</w:t>
            </w:r>
          </w:p>
        </w:tc>
      </w:tr>
    </w:tbl>
    <w:p w:rsidR="001C700C" w:rsidRPr="009639F7" w:rsidRDefault="001C700C" w:rsidP="001C700C">
      <w:pPr>
        <w:rPr>
          <w:szCs w:val="24"/>
        </w:rPr>
      </w:pPr>
    </w:p>
    <w:p w:rsidR="001C700C" w:rsidRPr="009639F7" w:rsidRDefault="001C700C" w:rsidP="001C700C">
      <w:pPr>
        <w:pStyle w:val="AMNumberTabs"/>
      </w:pPr>
      <w:r w:rsidRPr="009639F7">
        <w:t>Muudatusettepanek</w:t>
      </w:r>
      <w:r w:rsidRPr="009639F7">
        <w:tab/>
      </w:r>
      <w:r w:rsidRPr="009639F7">
        <w:tab/>
        <w:t>138</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I lisa – lõik 1 – punkt 2 – alapunkt 2.3. – alapunkt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hideMark/>
          </w:tcPr>
          <w:p w:rsidR="001C700C" w:rsidRPr="009639F7" w:rsidRDefault="001C700C" w:rsidP="00464712">
            <w:pPr>
              <w:pStyle w:val="ColumnHeading"/>
            </w:pPr>
            <w:r w:rsidRPr="009639F7">
              <w:t>Komisjoni ettepanek</w:t>
            </w:r>
          </w:p>
        </w:tc>
        <w:tc>
          <w:tcPr>
            <w:tcW w:w="4876" w:type="dxa"/>
            <w:hideMark/>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c)</w:t>
            </w:r>
            <w:r w:rsidRPr="009639F7">
              <w:tab/>
              <w:t>meetmed, mis liikmesriigi pädev asutus võtab kooskõlas Euroopa Parlamendi ja nõukogu määruse (EL) 2016/2031 artikliga 17 või selle määruse artikli 28 lõike 1 kohaselt vastu võetud liidu meetmetega</w:t>
            </w:r>
            <w:r w:rsidRPr="009639F7">
              <w:rPr>
                <w:b/>
                <w:i/>
              </w:rPr>
              <w:t>, et hävitada</w:t>
            </w:r>
            <w:r w:rsidRPr="009639F7">
              <w:t xml:space="preserve"> liidu </w:t>
            </w:r>
            <w:r w:rsidRPr="009639F7">
              <w:rPr>
                <w:b/>
                <w:i/>
              </w:rPr>
              <w:t>karantiinne</w:t>
            </w:r>
            <w:r w:rsidRPr="009639F7">
              <w:t xml:space="preserve"> taimekahjustaja;</w:t>
            </w:r>
          </w:p>
        </w:tc>
        <w:tc>
          <w:tcPr>
            <w:tcW w:w="4876" w:type="dxa"/>
            <w:hideMark/>
          </w:tcPr>
          <w:p w:rsidR="001C700C" w:rsidRPr="009639F7" w:rsidRDefault="001C700C" w:rsidP="00464712">
            <w:pPr>
              <w:pStyle w:val="Normal6"/>
            </w:pPr>
            <w:r w:rsidRPr="009639F7">
              <w:t>c)</w:t>
            </w:r>
            <w:r w:rsidRPr="009639F7">
              <w:tab/>
              <w:t>meetmed, mis liikmesriigi pädev asutus võtab kooskõlas Euroopa Par</w:t>
            </w:r>
            <w:r w:rsidR="007C4CC9" w:rsidRPr="009639F7">
              <w:t>lamendi ja nõukogu määruse (EL) </w:t>
            </w:r>
            <w:r w:rsidRPr="009639F7">
              <w:t xml:space="preserve">2016/2031 artikliga 17 või selle määruse artikli 28 lõike 1 kohaselt vastu võetud liidu meetmetega liidu </w:t>
            </w:r>
            <w:r w:rsidRPr="009639F7">
              <w:rPr>
                <w:b/>
                <w:i/>
              </w:rPr>
              <w:t>karantiinse</w:t>
            </w:r>
            <w:r w:rsidRPr="009639F7">
              <w:t xml:space="preserve"> taimekahjustaja</w:t>
            </w:r>
            <w:r w:rsidRPr="009639F7">
              <w:rPr>
                <w:b/>
                <w:i/>
              </w:rPr>
              <w:t xml:space="preserve"> ennetamiseks, tõkestamiseks või hävitamiseks</w:t>
            </w:r>
            <w:r w:rsidRPr="009639F7">
              <w:t>;</w:t>
            </w:r>
          </w:p>
        </w:tc>
      </w:tr>
    </w:tbl>
    <w:p w:rsidR="001C700C" w:rsidRPr="009639F7" w:rsidRDefault="001C700C" w:rsidP="001C700C">
      <w:pPr>
        <w:pStyle w:val="JustificationTitle"/>
      </w:pPr>
      <w:r w:rsidRPr="009639F7">
        <w:t>Selgitus</w:t>
      </w:r>
    </w:p>
    <w:p w:rsidR="001C700C" w:rsidRPr="009639F7" w:rsidRDefault="001C700C" w:rsidP="001C700C">
      <w:pPr>
        <w:pStyle w:val="Normal12Italic"/>
      </w:pPr>
      <w:r w:rsidRPr="009639F7">
        <w:t>Tähtis on tagada, et ennetus- ja leviku tõkestamise meetmed oleksid samamoodi rahastamiskõlblikud nagu hävitamismeetmed.</w:t>
      </w:r>
    </w:p>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139</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I lisa – lõik 1 – punkt 2 – alapunkt 2.3. – alapunkt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hideMark/>
          </w:tcPr>
          <w:p w:rsidR="001C700C" w:rsidRPr="009639F7" w:rsidRDefault="001C700C" w:rsidP="00464712">
            <w:pPr>
              <w:pStyle w:val="ColumnHeading"/>
            </w:pPr>
            <w:r w:rsidRPr="009639F7">
              <w:t>Komisjoni ettepanek</w:t>
            </w:r>
          </w:p>
        </w:tc>
        <w:tc>
          <w:tcPr>
            <w:tcW w:w="4876" w:type="dxa"/>
            <w:hideMark/>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d)</w:t>
            </w:r>
            <w:r w:rsidRPr="009639F7">
              <w:tab/>
              <w:t xml:space="preserve">meetmed, mis liikmesriigi pädev asutus võtab kooskõlas määruse (EL) 2016/2031 artikliga 29, </w:t>
            </w:r>
            <w:r w:rsidRPr="009639F7">
              <w:rPr>
                <w:b/>
                <w:i/>
              </w:rPr>
              <w:t>et hävitada taimekahjustaja</w:t>
            </w:r>
            <w:r w:rsidRPr="009639F7">
              <w:t>, mis ei ole kantud liidu karantiinsete taimekahjustajate loetellu, kuid mida võib käsitada karantiinse taimekahjustajana vastavalt kõnealuse määruse artikli 30 lõikes 1 osutatud kriteeriumidele;</w:t>
            </w:r>
          </w:p>
        </w:tc>
        <w:tc>
          <w:tcPr>
            <w:tcW w:w="4876" w:type="dxa"/>
            <w:hideMark/>
          </w:tcPr>
          <w:p w:rsidR="001C700C" w:rsidRPr="009639F7" w:rsidRDefault="001C700C" w:rsidP="00464712">
            <w:pPr>
              <w:pStyle w:val="Normal6"/>
            </w:pPr>
            <w:r w:rsidRPr="009639F7">
              <w:t>d)</w:t>
            </w:r>
            <w:r w:rsidRPr="009639F7">
              <w:tab/>
              <w:t>meetmed, mis liikmesriigi pädev asutus võtab kooskõlas määru</w:t>
            </w:r>
            <w:r w:rsidR="007C4CC9" w:rsidRPr="009639F7">
              <w:t>se (EL) </w:t>
            </w:r>
            <w:r w:rsidRPr="009639F7">
              <w:t>2016/2031 artikliga 29</w:t>
            </w:r>
            <w:r w:rsidRPr="009639F7">
              <w:rPr>
                <w:b/>
                <w:i/>
              </w:rPr>
              <w:t xml:space="preserve"> sellise taimekahjustaja ennetamiseks</w:t>
            </w:r>
            <w:r w:rsidRPr="009639F7">
              <w:t xml:space="preserve">, </w:t>
            </w:r>
            <w:r w:rsidRPr="009639F7">
              <w:rPr>
                <w:b/>
                <w:i/>
              </w:rPr>
              <w:t>tõkestamiseks või hävitamiseks</w:t>
            </w:r>
            <w:r w:rsidRPr="009639F7">
              <w:t>, mis ei ole kantud liidu karantiinsete taimekahjustajate loetellu, kuid mida võib käsitada karantiinse taimekahjustajana vastavalt kõnealuse määruse artikli</w:t>
            </w:r>
            <w:r w:rsidR="007C4CC9" w:rsidRPr="009639F7">
              <w:t xml:space="preserve"> 30 lõikes </w:t>
            </w:r>
            <w:r w:rsidRPr="009639F7">
              <w:t xml:space="preserve">1 </w:t>
            </w:r>
            <w:r w:rsidRPr="009639F7">
              <w:lastRenderedPageBreak/>
              <w:t>osutatud kriteeriumidele;</w:t>
            </w:r>
          </w:p>
        </w:tc>
      </w:tr>
    </w:tbl>
    <w:p w:rsidR="001C700C" w:rsidRPr="009639F7" w:rsidRDefault="001C700C" w:rsidP="001C700C">
      <w:pPr>
        <w:pStyle w:val="JustificationTitle"/>
      </w:pPr>
      <w:r w:rsidRPr="009639F7">
        <w:lastRenderedPageBreak/>
        <w:t>Selgitus</w:t>
      </w:r>
    </w:p>
    <w:p w:rsidR="001C700C" w:rsidRPr="009639F7" w:rsidRDefault="001C700C" w:rsidP="001C700C">
      <w:pPr>
        <w:pStyle w:val="Normal12Italic"/>
      </w:pPr>
      <w:r w:rsidRPr="009639F7">
        <w:t>Tähtis on tagada, et ennetus- ja leviku tõkestamise meetmed oleksid samamoodi rahastamiskõlblikud nagu hävitamismeetmed.</w:t>
      </w:r>
    </w:p>
    <w:p w:rsidR="001C700C" w:rsidRPr="009639F7" w:rsidRDefault="001C700C" w:rsidP="001C700C">
      <w:pPr>
        <w:pStyle w:val="Normal12Italic"/>
      </w:pPr>
    </w:p>
    <w:p w:rsidR="001C700C" w:rsidRPr="009639F7" w:rsidRDefault="001C700C" w:rsidP="001C700C">
      <w:pPr>
        <w:pStyle w:val="AMNumberTabs"/>
      </w:pPr>
      <w:r w:rsidRPr="009639F7">
        <w:t>Muudatusettepanek</w:t>
      </w:r>
      <w:r w:rsidRPr="009639F7">
        <w:tab/>
      </w:r>
      <w:r w:rsidRPr="009639F7">
        <w:tab/>
        <w:t>140</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I lisa – lõik 1 – punkt 2 – alapunkt 2.3. – alapunkt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hideMark/>
          </w:tcPr>
          <w:p w:rsidR="001C700C" w:rsidRPr="009639F7" w:rsidRDefault="001C700C" w:rsidP="00464712">
            <w:pPr>
              <w:pStyle w:val="ColumnHeading"/>
            </w:pPr>
            <w:r w:rsidRPr="009639F7">
              <w:t>Komisjoni ettepanek</w:t>
            </w:r>
          </w:p>
        </w:tc>
        <w:tc>
          <w:tcPr>
            <w:tcW w:w="4876" w:type="dxa"/>
            <w:hideMark/>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w:t>
            </w:r>
            <w:r w:rsidRPr="009639F7">
              <w:t>e)</w:t>
            </w:r>
            <w:r w:rsidRPr="009639F7">
              <w:tab/>
              <w:t>täiendavad kaitsemeetmed, mille eesmärk on takistada sellise taimekahjustaja levikut, mille tõrjeks on vastu võetud määruse (EL) 2016/2031 artikli 28 lõike 1 ja artikli 30 lõike 1 kohased liidu meetmed</w:t>
            </w:r>
            <w:r w:rsidRPr="009639F7">
              <w:rPr>
                <w:b/>
                <w:i/>
              </w:rPr>
              <w:t xml:space="preserve"> taimekahjustaja leviku takistamiseks</w:t>
            </w:r>
            <w:r w:rsidRPr="009639F7">
              <w:t xml:space="preserve">, välja arvatud </w:t>
            </w:r>
            <w:r w:rsidRPr="009639F7">
              <w:rPr>
                <w:b/>
                <w:i/>
              </w:rPr>
              <w:t>punktis</w:t>
            </w:r>
            <w:r w:rsidRPr="009639F7">
              <w:t xml:space="preserve"> c </w:t>
            </w:r>
            <w:r w:rsidRPr="009639F7">
              <w:rPr>
                <w:b/>
                <w:i/>
              </w:rPr>
              <w:t xml:space="preserve">osutatud taimekahjustaja hävitamise meetmed </w:t>
            </w:r>
            <w:r w:rsidRPr="009639F7">
              <w:t xml:space="preserve">ja </w:t>
            </w:r>
            <w:r w:rsidRPr="009639F7">
              <w:rPr>
                <w:b/>
                <w:i/>
              </w:rPr>
              <w:t xml:space="preserve">punktis </w:t>
            </w:r>
            <w:r w:rsidRPr="009639F7">
              <w:t>d osutatud</w:t>
            </w:r>
            <w:r w:rsidRPr="009639F7">
              <w:rPr>
                <w:b/>
                <w:i/>
              </w:rPr>
              <w:t xml:space="preserve"> leviku tõkestamise</w:t>
            </w:r>
            <w:r w:rsidRPr="009639F7">
              <w:t xml:space="preserve"> meetmed, kui need meetmed on olulised selleks, et kaitsta liitu kõnealuse taimekahjustaja edasise leviku eest</w:t>
            </w:r>
            <w:r w:rsidRPr="009639F7">
              <w:rPr>
                <w:b/>
                <w:i/>
              </w:rPr>
              <w:t>;</w:t>
            </w:r>
          </w:p>
        </w:tc>
        <w:tc>
          <w:tcPr>
            <w:tcW w:w="4876" w:type="dxa"/>
            <w:hideMark/>
          </w:tcPr>
          <w:p w:rsidR="001C700C" w:rsidRPr="009639F7" w:rsidRDefault="001C700C" w:rsidP="007C4CC9">
            <w:pPr>
              <w:pStyle w:val="Normal6"/>
            </w:pPr>
            <w:r w:rsidRPr="009639F7">
              <w:t>e)</w:t>
            </w:r>
            <w:r w:rsidRPr="009639F7">
              <w:tab/>
              <w:t>täiendavad kaitsemeetmed, mille eesmärk on takistada sellise taimekahjustaja levikut, mille tõrjeks on vastu võetud määruse (EL)</w:t>
            </w:r>
            <w:r w:rsidR="007C4CC9" w:rsidRPr="009639F7">
              <w:t> </w:t>
            </w:r>
            <w:r w:rsidRPr="009639F7">
              <w:t>2016/2031 artikli 28 lõike 1 ja artikli 30 lõike</w:t>
            </w:r>
            <w:r w:rsidR="007C4CC9" w:rsidRPr="009639F7">
              <w:t> </w:t>
            </w:r>
            <w:r w:rsidRPr="009639F7">
              <w:t xml:space="preserve">1 kohased liidu meetmed, välja arvatud </w:t>
            </w:r>
            <w:r w:rsidRPr="009639F7">
              <w:rPr>
                <w:b/>
                <w:i/>
              </w:rPr>
              <w:t>punktides</w:t>
            </w:r>
            <w:r w:rsidRPr="009639F7">
              <w:t xml:space="preserve"> c ja d osutatud meetmed, kui need meetmed on olulised selleks, et kaitsta liitu kõnealuse taimekahjustaja edasise leviku eest</w:t>
            </w:r>
            <w:r w:rsidRPr="009639F7">
              <w:rPr>
                <w:b/>
                <w:i/>
              </w:rPr>
              <w:t>.</w:t>
            </w:r>
          </w:p>
        </w:tc>
      </w:tr>
    </w:tbl>
    <w:p w:rsidR="001C700C" w:rsidRPr="009639F7" w:rsidRDefault="001C700C" w:rsidP="001C700C">
      <w:pPr>
        <w:pStyle w:val="JustificationTitle"/>
      </w:pPr>
      <w:r w:rsidRPr="009639F7">
        <w:t>Selgitus</w:t>
      </w:r>
    </w:p>
    <w:p w:rsidR="001C700C" w:rsidRPr="009639F7" w:rsidRDefault="001C700C" w:rsidP="001C700C">
      <w:pPr>
        <w:pStyle w:val="Normal12Italic"/>
      </w:pPr>
      <w:r w:rsidRPr="009639F7">
        <w:t>Tegemist on tehnilise muudatusettepanekuga, mille eesmärk on viia tekst kooskõlla nende muudatusettepanekutega, milles nõutakse, et ennetus- ja leviku tõkestamise meetmed oleksid samamoodi rahastamiskõlblikud nagu hävitamismeetmed.</w:t>
      </w:r>
    </w:p>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141</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I lisa – lõik 1 – punkt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3.</w:t>
            </w:r>
            <w:r w:rsidRPr="009639F7">
              <w:tab/>
              <w:t>Loomade heaolu edendamist toetav tegevus.</w:t>
            </w:r>
          </w:p>
        </w:tc>
        <w:tc>
          <w:tcPr>
            <w:tcW w:w="4876" w:type="dxa"/>
            <w:hideMark/>
          </w:tcPr>
          <w:p w:rsidR="001C700C" w:rsidRPr="009639F7" w:rsidRDefault="001C700C" w:rsidP="00464712">
            <w:pPr>
              <w:pStyle w:val="Normal6"/>
              <w:rPr>
                <w:szCs w:val="24"/>
              </w:rPr>
            </w:pPr>
            <w:r w:rsidRPr="009639F7">
              <w:t>3.</w:t>
            </w:r>
            <w:r w:rsidRPr="009639F7">
              <w:tab/>
              <w:t>Loomade heaolu edendamist toetav tegevus</w:t>
            </w:r>
            <w:r w:rsidRPr="009639F7">
              <w:rPr>
                <w:b/>
                <w:i/>
              </w:rPr>
              <w:t>, sealhulgas meetmed, millega tagatakse loomade heaolu normide täitmine ja täitmise jälgimine, muu hulgas loomade veo ajal</w:t>
            </w:r>
            <w:r w:rsidRPr="009639F7">
              <w:t>.</w:t>
            </w:r>
          </w:p>
        </w:tc>
      </w:tr>
    </w:tbl>
    <w:p w:rsidR="001C700C" w:rsidRPr="009639F7" w:rsidRDefault="001C700C" w:rsidP="001C700C">
      <w:pPr>
        <w:pStyle w:val="AMNumberTabs"/>
      </w:pPr>
      <w:r w:rsidRPr="009639F7">
        <w:lastRenderedPageBreak/>
        <w:t>Muudatusettepanek</w:t>
      </w:r>
      <w:r w:rsidRPr="009639F7">
        <w:tab/>
      </w:r>
      <w:r w:rsidRPr="009639F7">
        <w:tab/>
        <w:t>142</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I lisa – lõik 1 – punkt 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hRule="exac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tcPr>
          <w:p w:rsidR="001C700C" w:rsidRPr="009639F7" w:rsidRDefault="001C700C" w:rsidP="00464712">
            <w:pPr>
              <w:pStyle w:val="ColumnHeading"/>
            </w:pPr>
            <w:r w:rsidRPr="009639F7">
              <w:t>Komisjoni ettepanek</w:t>
            </w:r>
          </w:p>
        </w:tc>
        <w:tc>
          <w:tcPr>
            <w:tcW w:w="4876" w:type="dxa"/>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r w:rsidRPr="009639F7">
              <w:t>7.</w:t>
            </w:r>
            <w:r w:rsidRPr="009639F7">
              <w:tab/>
            </w:r>
            <w:r w:rsidRPr="009639F7">
              <w:rPr>
                <w:b/>
                <w:i/>
              </w:rPr>
              <w:t>Toidu säästvat</w:t>
            </w:r>
            <w:r w:rsidRPr="009639F7">
              <w:t xml:space="preserve"> tootmist ja tarbimist toetav tegevus.</w:t>
            </w:r>
          </w:p>
        </w:tc>
        <w:tc>
          <w:tcPr>
            <w:tcW w:w="4876" w:type="dxa"/>
          </w:tcPr>
          <w:p w:rsidR="001C700C" w:rsidRPr="009639F7" w:rsidRDefault="001C700C" w:rsidP="00464712">
            <w:pPr>
              <w:pStyle w:val="Normal6"/>
            </w:pPr>
            <w:r w:rsidRPr="009639F7">
              <w:t>7.</w:t>
            </w:r>
            <w:r w:rsidRPr="009639F7">
              <w:tab/>
            </w:r>
            <w:r w:rsidRPr="009639F7">
              <w:rPr>
                <w:b/>
                <w:i/>
              </w:rPr>
              <w:t>Agroökoloogilist</w:t>
            </w:r>
            <w:r w:rsidRPr="009639F7">
              <w:t xml:space="preserve"> tootmist ja </w:t>
            </w:r>
            <w:r w:rsidRPr="009639F7">
              <w:rPr>
                <w:b/>
                <w:i/>
              </w:rPr>
              <w:t xml:space="preserve">toidu säästvat </w:t>
            </w:r>
            <w:r w:rsidRPr="009639F7">
              <w:t>tarbimist toetav tegevus</w:t>
            </w:r>
            <w:r w:rsidRPr="009639F7">
              <w:rPr>
                <w:b/>
                <w:i/>
              </w:rPr>
              <w:t>, mis ei kahjusta keskkonda ega bioloogilist mitmekesisust, ning otsemüügi ja lühikeste tarneahelate edendamine</w:t>
            </w:r>
            <w:r w:rsidRPr="009639F7">
              <w:t>.</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143</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I lisa – lõik 1 – punkt 8</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hideMark/>
          </w:tcPr>
          <w:p w:rsidR="001C700C" w:rsidRPr="009639F7" w:rsidRDefault="001C700C" w:rsidP="00464712">
            <w:pPr>
              <w:pStyle w:val="ColumnHeading"/>
            </w:pPr>
            <w:r w:rsidRPr="009639F7">
              <w:t>Komisjoni ettepanek</w:t>
            </w:r>
          </w:p>
        </w:tc>
        <w:tc>
          <w:tcPr>
            <w:tcW w:w="4876" w:type="dxa"/>
            <w:hideMark/>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8.</w:t>
            </w:r>
            <w:r w:rsidRPr="009639F7">
              <w:tab/>
              <w:t>Andmebaasid ja elektroonilised teabehaldussüsteemid, mis on vajalikud artikli 3 lõike 2 punktis e osutatud erieesmärgiga seotud õigusaktide tulemuslikuks ja tõhusaks rakendamiseks ning millel on tõendatud lisaväärtus liidu jaoks tervikuna.</w:t>
            </w:r>
          </w:p>
        </w:tc>
        <w:tc>
          <w:tcPr>
            <w:tcW w:w="4876" w:type="dxa"/>
            <w:hideMark/>
          </w:tcPr>
          <w:p w:rsidR="001C700C" w:rsidRPr="009639F7" w:rsidRDefault="001C700C" w:rsidP="00464712">
            <w:pPr>
              <w:pStyle w:val="Normal6"/>
            </w:pPr>
            <w:r w:rsidRPr="009639F7">
              <w:t>8.</w:t>
            </w:r>
            <w:r w:rsidRPr="009639F7">
              <w:tab/>
              <w:t>Andmebaasid ja elektroonilised teabehaldussüsteemid, mis on vajalikud artikli 3 lõike 2 punktis e osutatud erieesmärgiga seotud õigusaktide tulemuslikuks ja tõhusaks rakendamiseks ning millel on tõendatud lisaväärtus liidu jaoks tervikuna</w:t>
            </w:r>
            <w:r w:rsidRPr="009639F7">
              <w:rPr>
                <w:b/>
                <w:i/>
              </w:rPr>
              <w:t>;</w:t>
            </w:r>
            <w:r w:rsidRPr="009639F7">
              <w:t xml:space="preserve"> </w:t>
            </w:r>
            <w:r w:rsidRPr="009639F7">
              <w:rPr>
                <w:b/>
                <w:i/>
              </w:rPr>
              <w:t>uute tehnoloogiate rakendamine toodete jälgitavuse parandamiseks, näiteks QR-kood tootepakendil</w:t>
            </w:r>
            <w:r w:rsidRPr="009639F7">
              <w:t>.</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144</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I lisa – lõik 1 – punkt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hideMark/>
          </w:tcPr>
          <w:p w:rsidR="001C700C" w:rsidRPr="009639F7" w:rsidRDefault="001C700C" w:rsidP="00464712">
            <w:pPr>
              <w:pStyle w:val="ColumnHeading"/>
            </w:pPr>
            <w:r w:rsidRPr="009639F7">
              <w:t>Komisjoni ettepanek</w:t>
            </w:r>
          </w:p>
        </w:tc>
        <w:tc>
          <w:tcPr>
            <w:tcW w:w="4876" w:type="dxa"/>
            <w:hideMark/>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11.</w:t>
            </w:r>
            <w:r w:rsidRPr="009639F7">
              <w:tab/>
              <w:t>Tehniline ja teaduslik töö, sealhulgas uuringud ja koordineerimistegevus, mida on vaja selleks, et tagada artikli 3 lõike 2 punktis e osutatud erieesmärgiga seotud valdkonna õigusaktide nõuetekohane rakendamine ning nende kohandamine vastavalt teaduse, tehnoloogia ja ühiskonna arengule.</w:t>
            </w:r>
          </w:p>
        </w:tc>
        <w:tc>
          <w:tcPr>
            <w:tcW w:w="4876" w:type="dxa"/>
            <w:hideMark/>
          </w:tcPr>
          <w:p w:rsidR="001C700C" w:rsidRPr="009639F7" w:rsidRDefault="001C700C" w:rsidP="007C4CC9">
            <w:pPr>
              <w:pStyle w:val="Normal6"/>
            </w:pPr>
            <w:r w:rsidRPr="009639F7">
              <w:t>11.</w:t>
            </w:r>
            <w:r w:rsidRPr="009639F7">
              <w:tab/>
              <w:t xml:space="preserve">Tehniline ja teaduslik töö, sealhulgas uuringud ja koordineerimistegevus, mida on vaja selleks, et </w:t>
            </w:r>
            <w:r w:rsidRPr="009639F7">
              <w:rPr>
                <w:b/>
                <w:i/>
              </w:rPr>
              <w:t xml:space="preserve">kindlustada uute ja tundmatute taimekahjustajate ja haiguste ennetamine ning </w:t>
            </w:r>
            <w:r w:rsidRPr="009639F7">
              <w:t>tagada artikli 3 lõike 2 punktis</w:t>
            </w:r>
            <w:r w:rsidR="007C4CC9" w:rsidRPr="009639F7">
              <w:t> </w:t>
            </w:r>
            <w:r w:rsidRPr="009639F7">
              <w:t xml:space="preserve">e osutatud erieesmärgiga seotud valdkonna õigusaktide nõuetekohane rakendamine ning nende kohandamine vastavalt teaduse, tehnoloogia ja ühiskonna </w:t>
            </w:r>
            <w:r w:rsidRPr="009639F7">
              <w:lastRenderedPageBreak/>
              <w:t>arengule.</w:t>
            </w:r>
          </w:p>
        </w:tc>
      </w:tr>
    </w:tbl>
    <w:p w:rsidR="007C4CC9" w:rsidRPr="009639F7" w:rsidRDefault="007C4CC9" w:rsidP="001C700C">
      <w:pPr>
        <w:pStyle w:val="AMNumberTabs"/>
      </w:pPr>
    </w:p>
    <w:p w:rsidR="001C700C" w:rsidRPr="009639F7" w:rsidRDefault="001C700C" w:rsidP="001C700C">
      <w:pPr>
        <w:pStyle w:val="AMNumberTabs"/>
      </w:pPr>
      <w:r w:rsidRPr="009639F7">
        <w:t>Muudatusettepanek</w:t>
      </w:r>
      <w:r w:rsidRPr="009639F7">
        <w:tab/>
      </w:r>
      <w:r w:rsidRPr="009639F7">
        <w:tab/>
        <w:t>145</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I lisa – lõik 1 – punkt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hideMark/>
          </w:tcPr>
          <w:p w:rsidR="001C700C" w:rsidRPr="009639F7" w:rsidRDefault="001C700C" w:rsidP="00464712">
            <w:pPr>
              <w:pStyle w:val="Normal6"/>
            </w:pPr>
            <w:r w:rsidRPr="009639F7">
              <w:t>14.</w:t>
            </w:r>
            <w:r w:rsidRPr="009639F7">
              <w:tab/>
              <w:t xml:space="preserve">Toetus liidu ja liikmesriikide teavitamise ja teadlikkuse suurendamise algatustele, mille eesmärk on tagada toidu parem, nõuetekohane ja kestlik tootmine ja tarbimine, sealhulgas toidujäätmete tekke vältimise </w:t>
            </w:r>
            <w:r w:rsidRPr="009639F7">
              <w:rPr>
                <w:b/>
                <w:i/>
              </w:rPr>
              <w:t>ja</w:t>
            </w:r>
            <w:r w:rsidRPr="009639F7">
              <w:t xml:space="preserve"> toidupettuste vastu võitlemisega seotud tegevus, artikli 3 lõike 2 punktis e osutatud erieesmärgi valdkonnas rakendatavate nõuete raames.</w:t>
            </w:r>
          </w:p>
        </w:tc>
        <w:tc>
          <w:tcPr>
            <w:tcW w:w="4876" w:type="dxa"/>
            <w:hideMark/>
          </w:tcPr>
          <w:p w:rsidR="001C700C" w:rsidRPr="009639F7" w:rsidRDefault="001C700C" w:rsidP="00464712">
            <w:pPr>
              <w:pStyle w:val="Normal6"/>
              <w:rPr>
                <w:szCs w:val="24"/>
              </w:rPr>
            </w:pPr>
            <w:r w:rsidRPr="009639F7">
              <w:t>14.</w:t>
            </w:r>
            <w:r w:rsidRPr="009639F7">
              <w:tab/>
              <w:t xml:space="preserve">Toetus liidu ja liikmesriikide teavitamise ja teadlikkuse suurendamise algatustele, mille eesmärk on tagada toidu parem, nõuetekohane ja kestlik tootmine ja tarbimine, sealhulgas toidujäätmete tekke vältimise </w:t>
            </w:r>
            <w:r w:rsidRPr="009639F7">
              <w:rPr>
                <w:b/>
                <w:i/>
              </w:rPr>
              <w:t>meetmed ja nende mõju ringmajandusele ja</w:t>
            </w:r>
            <w:r w:rsidRPr="009639F7">
              <w:t xml:space="preserve"> toidupettuste vastu võitlemisega seotud tegevus, artikli 3 lõ</w:t>
            </w:r>
            <w:r w:rsidR="007C4CC9" w:rsidRPr="009639F7">
              <w:t>ike </w:t>
            </w:r>
            <w:r w:rsidRPr="009639F7">
              <w:t>2 punktis e osutatud erieesmärgi valdkonnas rakendatavate nõuete raames.</w:t>
            </w:r>
          </w:p>
        </w:tc>
      </w:tr>
    </w:tbl>
    <w:p w:rsidR="001C700C" w:rsidRPr="009639F7" w:rsidRDefault="001C700C" w:rsidP="001C700C">
      <w:pPr>
        <w:pStyle w:val="AMNumberTabs"/>
      </w:pPr>
      <w:r w:rsidRPr="009639F7">
        <w:t>Muudatusettepanek</w:t>
      </w:r>
      <w:r w:rsidRPr="009639F7">
        <w:tab/>
      </w:r>
      <w:r w:rsidRPr="009639F7">
        <w:tab/>
        <w:t>146</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II lisa – taane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hRule="exac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tcPr>
          <w:p w:rsidR="001C700C" w:rsidRPr="009639F7" w:rsidRDefault="001C700C" w:rsidP="00464712">
            <w:pPr>
              <w:pStyle w:val="ColumnHeading"/>
            </w:pPr>
            <w:r w:rsidRPr="009639F7">
              <w:t>Komisjoni ettepanek</w:t>
            </w:r>
          </w:p>
        </w:tc>
        <w:tc>
          <w:tcPr>
            <w:tcW w:w="4876" w:type="dxa"/>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r w:rsidRPr="009639F7">
              <w:t>–</w:t>
            </w:r>
            <w:r w:rsidRPr="009639F7">
              <w:tab/>
              <w:t xml:space="preserve">mõõdetakse paremini </w:t>
            </w:r>
            <w:r w:rsidRPr="009639F7">
              <w:rPr>
                <w:b/>
                <w:i/>
              </w:rPr>
              <w:t>teenustekaubandust</w:t>
            </w:r>
            <w:r w:rsidRPr="009639F7">
              <w:t>, välismaiseid otseinvesteeringuid, üleilmseid väärtusahelaid ja üleilmastumise mõju liidu majandusele.</w:t>
            </w:r>
          </w:p>
        </w:tc>
        <w:tc>
          <w:tcPr>
            <w:tcW w:w="4876" w:type="dxa"/>
          </w:tcPr>
          <w:p w:rsidR="001C700C" w:rsidRPr="009639F7" w:rsidRDefault="001C700C" w:rsidP="00464712">
            <w:pPr>
              <w:pStyle w:val="Normal6"/>
            </w:pPr>
            <w:r w:rsidRPr="009639F7">
              <w:t>–</w:t>
            </w:r>
            <w:r w:rsidRPr="009639F7">
              <w:tab/>
              <w:t xml:space="preserve">mõõdetakse paremini </w:t>
            </w:r>
            <w:r w:rsidRPr="009639F7">
              <w:rPr>
                <w:b/>
                <w:i/>
              </w:rPr>
              <w:t>kaupade ja teenustega kauplemist</w:t>
            </w:r>
            <w:r w:rsidRPr="009639F7">
              <w:t>, välismaiseid otseinvesteeringuid, üleilmseid väärtusahelaid ja üleilmastumise mõju liidu majandusele.</w:t>
            </w:r>
          </w:p>
        </w:tc>
      </w:tr>
    </w:tbl>
    <w:p w:rsidR="001C700C" w:rsidRPr="009639F7" w:rsidRDefault="001C700C" w:rsidP="001C700C"/>
    <w:p w:rsidR="001C700C" w:rsidRPr="009639F7" w:rsidRDefault="001C700C" w:rsidP="001C700C">
      <w:pPr>
        <w:pStyle w:val="AMNumberTabs"/>
      </w:pPr>
      <w:r w:rsidRPr="009639F7">
        <w:t>Muudatusettepanek</w:t>
      </w:r>
      <w:r w:rsidRPr="009639F7">
        <w:tab/>
      </w:r>
      <w:r w:rsidRPr="009639F7">
        <w:tab/>
        <w:t>147</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II lisa – taane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trHeight w:hRule="exact" w:val="240"/>
          <w:jc w:val="center"/>
        </w:trPr>
        <w:tc>
          <w:tcPr>
            <w:tcW w:w="9752" w:type="dxa"/>
            <w:gridSpan w:val="2"/>
          </w:tcPr>
          <w:p w:rsidR="001C700C" w:rsidRPr="009639F7" w:rsidRDefault="001C700C" w:rsidP="00464712"/>
        </w:tc>
      </w:tr>
      <w:tr w:rsidR="001C700C" w:rsidRPr="009639F7" w:rsidTr="00464712">
        <w:trPr>
          <w:trHeight w:val="240"/>
          <w:jc w:val="center"/>
        </w:trPr>
        <w:tc>
          <w:tcPr>
            <w:tcW w:w="4876" w:type="dxa"/>
          </w:tcPr>
          <w:p w:rsidR="001C700C" w:rsidRPr="009639F7" w:rsidRDefault="001C700C" w:rsidP="00464712">
            <w:pPr>
              <w:pStyle w:val="ColumnHeading"/>
            </w:pPr>
            <w:r w:rsidRPr="009639F7">
              <w:t>Komisjoni ettepanek</w:t>
            </w:r>
          </w:p>
        </w:tc>
        <w:tc>
          <w:tcPr>
            <w:tcW w:w="4876" w:type="dxa"/>
          </w:tcPr>
          <w:p w:rsidR="001C700C" w:rsidRPr="009639F7" w:rsidRDefault="001C700C" w:rsidP="00464712">
            <w:pPr>
              <w:pStyle w:val="ColumnHeading"/>
            </w:pPr>
            <w:r w:rsidRPr="009639F7">
              <w:t>Muudatusettepanek</w:t>
            </w:r>
          </w:p>
        </w:tc>
      </w:tr>
      <w:tr w:rsidR="001C700C" w:rsidRPr="009639F7" w:rsidTr="00464712">
        <w:trPr>
          <w:jc w:val="center"/>
        </w:trPr>
        <w:tc>
          <w:tcPr>
            <w:tcW w:w="4876" w:type="dxa"/>
          </w:tcPr>
          <w:p w:rsidR="001C700C" w:rsidRPr="009639F7" w:rsidRDefault="001C700C" w:rsidP="00464712">
            <w:pPr>
              <w:pStyle w:val="Normal6"/>
            </w:pPr>
            <w:r w:rsidRPr="009639F7">
              <w:t>–</w:t>
            </w:r>
            <w:r w:rsidRPr="009639F7">
              <w:tab/>
              <w:t xml:space="preserve">pakutakse kvaliteetset, õigeaegset ja usaldusväärset statistikat, et toetada Euroopa sotsiaalõiguste sammast ja liidu oskuste poliitikat, sealhulgas statistikat tööturu, tööhõive, hariduse ja koolituse, sissetulekute, elamistingimuste, vaesuse, ebavõrdsuse, sotsiaalkaitse, deklareerimata </w:t>
            </w:r>
            <w:r w:rsidRPr="009639F7">
              <w:lastRenderedPageBreak/>
              <w:t>töö ja oskuste satelliitkontode kohta;</w:t>
            </w:r>
          </w:p>
        </w:tc>
        <w:tc>
          <w:tcPr>
            <w:tcW w:w="4876" w:type="dxa"/>
          </w:tcPr>
          <w:p w:rsidR="001C700C" w:rsidRPr="009639F7" w:rsidRDefault="001C700C" w:rsidP="00464712">
            <w:pPr>
              <w:pStyle w:val="Normal6"/>
            </w:pPr>
            <w:r w:rsidRPr="009639F7">
              <w:lastRenderedPageBreak/>
              <w:t>–</w:t>
            </w:r>
            <w:r w:rsidRPr="009639F7">
              <w:tab/>
              <w:t xml:space="preserve">pakutakse kvaliteetset, õigeaegset ja usaldusväärset statistikat, et toetada Euroopa sotsiaalõiguste sammast ja liidu oskuste poliitikat, sealhulgas </w:t>
            </w:r>
            <w:r w:rsidRPr="009639F7">
              <w:rPr>
                <w:b/>
                <w:i/>
              </w:rPr>
              <w:t xml:space="preserve">(kuid mitte ainult) </w:t>
            </w:r>
            <w:r w:rsidRPr="009639F7">
              <w:t xml:space="preserve">statistikat tööturu, tööhõive, hariduse ja koolituse, sissetulekute, elamistingimuste, vaesuse, ebavõrdsuse, </w:t>
            </w:r>
            <w:r w:rsidRPr="009639F7">
              <w:lastRenderedPageBreak/>
              <w:t>sotsiaalkaitse, deklareerimata töö ja oskuste satelliitkontode kohta;</w:t>
            </w:r>
          </w:p>
        </w:tc>
      </w:tr>
    </w:tbl>
    <w:p w:rsidR="007C4CC9" w:rsidRPr="009639F7" w:rsidRDefault="007C4CC9" w:rsidP="001C700C">
      <w:pPr>
        <w:pStyle w:val="AMNumberTabs"/>
      </w:pPr>
    </w:p>
    <w:p w:rsidR="001C700C" w:rsidRPr="009639F7" w:rsidRDefault="001C700C" w:rsidP="001C700C">
      <w:pPr>
        <w:pStyle w:val="AMNumberTabs"/>
      </w:pPr>
      <w:r w:rsidRPr="009639F7">
        <w:t>Muudatusettepanek</w:t>
      </w:r>
      <w:r w:rsidRPr="009639F7">
        <w:tab/>
      </w:r>
      <w:r w:rsidRPr="009639F7">
        <w:tab/>
        <w:t>148</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pPr>
      <w:r w:rsidRPr="009639F7">
        <w:t>III lisa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jc w:val="center"/>
        </w:trPr>
        <w:tc>
          <w:tcPr>
            <w:tcW w:w="4876" w:type="dxa"/>
            <w:hideMark/>
          </w:tcPr>
          <w:p w:rsidR="001C700C" w:rsidRPr="009639F7" w:rsidRDefault="001C700C" w:rsidP="00464712">
            <w:pPr>
              <w:pStyle w:val="ColumnHeading"/>
              <w:keepNext/>
            </w:pPr>
            <w:r w:rsidRPr="009639F7">
              <w:t>Komisjoni ettepanek</w:t>
            </w:r>
          </w:p>
        </w:tc>
        <w:tc>
          <w:tcPr>
            <w:tcW w:w="4876" w:type="dxa"/>
            <w:hideMark/>
          </w:tcPr>
          <w:p w:rsidR="001C700C" w:rsidRPr="009639F7" w:rsidRDefault="001C700C" w:rsidP="00464712">
            <w:pPr>
              <w:pStyle w:val="ColumnHeading"/>
              <w:keepNext/>
            </w:pPr>
            <w:r w:rsidRPr="009639F7">
              <w:t>Muudatusettepanek</w:t>
            </w:r>
          </w:p>
        </w:tc>
      </w:tr>
      <w:tr w:rsidR="001C700C" w:rsidRPr="009639F7" w:rsidTr="00464712">
        <w:trPr>
          <w:jc w:val="center"/>
        </w:trPr>
        <w:tc>
          <w:tcPr>
            <w:tcW w:w="4876" w:type="dxa"/>
          </w:tcPr>
          <w:p w:rsidR="001C700C" w:rsidRPr="009639F7" w:rsidRDefault="001C700C" w:rsidP="00464712">
            <w:pPr>
              <w:pStyle w:val="Normal6"/>
              <w:rPr>
                <w:b/>
                <w:i/>
              </w:rPr>
            </w:pPr>
          </w:p>
        </w:tc>
        <w:tc>
          <w:tcPr>
            <w:tcW w:w="4876" w:type="dxa"/>
          </w:tcPr>
          <w:p w:rsidR="001C700C" w:rsidRPr="009639F7" w:rsidRDefault="001C700C" w:rsidP="00464712">
            <w:pPr>
              <w:pStyle w:val="Normal6"/>
              <w:rPr>
                <w:b/>
                <w:i/>
              </w:rPr>
            </w:pPr>
          </w:p>
        </w:tc>
      </w:tr>
      <w:tr w:rsidR="001C700C" w:rsidRPr="009639F7" w:rsidTr="00464712">
        <w:trPr>
          <w:jc w:val="center"/>
        </w:trPr>
        <w:tc>
          <w:tcPr>
            <w:tcW w:w="4876" w:type="dxa"/>
            <w:hideMark/>
          </w:tcPr>
          <w:p w:rsidR="001C700C" w:rsidRPr="009639F7" w:rsidRDefault="001C700C" w:rsidP="00464712">
            <w:pPr>
              <w:pStyle w:val="Normal6"/>
            </w:pPr>
            <w:r w:rsidRPr="009639F7">
              <w:t>Loomataudide ja zoonooside loetelu</w:t>
            </w:r>
          </w:p>
        </w:tc>
        <w:tc>
          <w:tcPr>
            <w:tcW w:w="4876" w:type="dxa"/>
            <w:hideMark/>
          </w:tcPr>
          <w:p w:rsidR="001C700C" w:rsidRPr="009639F7" w:rsidRDefault="001C700C" w:rsidP="00464712">
            <w:pPr>
              <w:pStyle w:val="Normal6"/>
            </w:pPr>
            <w:r w:rsidRPr="009639F7">
              <w:t>Loomataudide ja zoonooside loetelu</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(1)</w:t>
            </w:r>
            <w:r w:rsidRPr="009639F7">
              <w:rPr>
                <w:b/>
                <w:i/>
              </w:rPr>
              <w:tab/>
              <w:t>Hobuste Aafrika katk</w:t>
            </w:r>
          </w:p>
        </w:tc>
        <w:tc>
          <w:tcPr>
            <w:tcW w:w="4876" w:type="dxa"/>
          </w:tcPr>
          <w:p w:rsidR="001C700C" w:rsidRPr="009639F7" w:rsidRDefault="001C700C" w:rsidP="00464712">
            <w:pPr>
              <w:pStyle w:val="Normal6"/>
              <w:rPr>
                <w:szCs w:val="24"/>
              </w:rPr>
            </w:pPr>
            <w:r w:rsidRPr="009639F7">
              <w:rPr>
                <w:b/>
                <w:i/>
              </w:rPr>
              <w:t>Loomataudide ja zoonooside loetelu hõlmab järgmist:</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(2)</w:t>
            </w:r>
            <w:r w:rsidRPr="009639F7">
              <w:rPr>
                <w:b/>
                <w:i/>
              </w:rPr>
              <w:tab/>
              <w:t>Sigade Aafrika katk</w:t>
            </w:r>
          </w:p>
        </w:tc>
        <w:tc>
          <w:tcPr>
            <w:tcW w:w="4876" w:type="dxa"/>
          </w:tcPr>
          <w:p w:rsidR="001C700C" w:rsidRPr="009639F7" w:rsidRDefault="007C4CC9" w:rsidP="00464712">
            <w:pPr>
              <w:pStyle w:val="Normal6"/>
              <w:rPr>
                <w:szCs w:val="24"/>
              </w:rPr>
            </w:pPr>
            <w:r w:rsidRPr="009639F7">
              <w:rPr>
                <w:b/>
                <w:i/>
              </w:rPr>
              <w:t>(a)</w:t>
            </w:r>
            <w:r w:rsidR="001C700C" w:rsidRPr="009639F7">
              <w:rPr>
                <w:b/>
                <w:i/>
              </w:rPr>
              <w:tab/>
            </w:r>
            <w:r w:rsidRPr="009639F7">
              <w:rPr>
                <w:b/>
                <w:i/>
              </w:rPr>
              <w:t>määruse (EL) 2016/429 1. osa 2. </w:t>
            </w:r>
            <w:r w:rsidR="001C700C" w:rsidRPr="009639F7">
              <w:rPr>
                <w:b/>
                <w:i/>
              </w:rPr>
              <w:t>peatüki alusel koostatud haiguste loetelu;</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(3)</w:t>
            </w:r>
            <w:r w:rsidRPr="009639F7">
              <w:rPr>
                <w:b/>
                <w:i/>
              </w:rPr>
              <w:tab/>
              <w:t>Põrnatõbi</w:t>
            </w:r>
          </w:p>
        </w:tc>
        <w:tc>
          <w:tcPr>
            <w:tcW w:w="4876" w:type="dxa"/>
          </w:tcPr>
          <w:p w:rsidR="001C700C" w:rsidRPr="009639F7" w:rsidRDefault="007C4CC9" w:rsidP="00464712">
            <w:pPr>
              <w:pStyle w:val="Normal6"/>
              <w:rPr>
                <w:szCs w:val="24"/>
              </w:rPr>
            </w:pPr>
            <w:r w:rsidRPr="009639F7">
              <w:rPr>
                <w:b/>
                <w:i/>
              </w:rPr>
              <w:t>(b)</w:t>
            </w:r>
            <w:r w:rsidR="001C700C" w:rsidRPr="009639F7">
              <w:rPr>
                <w:b/>
                <w:i/>
              </w:rPr>
              <w:tab/>
              <w:t>salmonella, zoonoosid ja zoonootilise toimega mõjurid, mida käsitletakse määruses (EÜ) nr 2160/2003 ja direktiivis 2003/99/EÜ;</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(4)</w:t>
            </w:r>
            <w:r w:rsidRPr="009639F7">
              <w:rPr>
                <w:b/>
                <w:i/>
              </w:rPr>
              <w:tab/>
              <w:t>Lindude gripp (kõrge patogeensusega),</w:t>
            </w:r>
          </w:p>
        </w:tc>
        <w:tc>
          <w:tcPr>
            <w:tcW w:w="4876" w:type="dxa"/>
          </w:tcPr>
          <w:p w:rsidR="001C700C" w:rsidRPr="009639F7" w:rsidRDefault="007C4CC9" w:rsidP="00464712">
            <w:pPr>
              <w:pStyle w:val="Normal6"/>
              <w:rPr>
                <w:szCs w:val="24"/>
              </w:rPr>
            </w:pPr>
            <w:r w:rsidRPr="009639F7">
              <w:rPr>
                <w:b/>
                <w:i/>
              </w:rPr>
              <w:t>(c)</w:t>
            </w:r>
            <w:r w:rsidR="001C700C" w:rsidRPr="009639F7">
              <w:rPr>
                <w:b/>
                <w:i/>
              </w:rPr>
              <w:tab/>
              <w:t>transmissiivsed spongioossed entsefalopaatiad.</w:t>
            </w:r>
          </w:p>
        </w:tc>
      </w:tr>
      <w:tr w:rsidR="001C700C" w:rsidRPr="009639F7" w:rsidTr="00464712">
        <w:trPr>
          <w:jc w:val="center"/>
        </w:trPr>
        <w:tc>
          <w:tcPr>
            <w:tcW w:w="4876" w:type="dxa"/>
            <w:hideMark/>
          </w:tcPr>
          <w:p w:rsidR="001C700C" w:rsidRPr="009639F7" w:rsidRDefault="001C700C" w:rsidP="00464712">
            <w:pPr>
              <w:pStyle w:val="Normal6"/>
            </w:pPr>
            <w:r w:rsidRPr="009639F7">
              <w:rPr>
                <w:b/>
                <w:i/>
              </w:rPr>
              <w:t>(5)</w:t>
            </w:r>
            <w:r w:rsidRPr="009639F7">
              <w:rPr>
                <w:b/>
                <w:i/>
              </w:rPr>
              <w:tab/>
              <w:t>Lindude gripp (madala patogeensusega)</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(6)</w:t>
            </w:r>
            <w:r w:rsidRPr="009639F7">
              <w:rPr>
                <w:b/>
                <w:i/>
              </w:rPr>
              <w:tab/>
              <w:t>Kampülobakterioos</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(7)</w:t>
            </w:r>
            <w:r w:rsidRPr="009639F7">
              <w:rPr>
                <w:b/>
                <w:i/>
              </w:rPr>
              <w:tab/>
              <w:t>Sigade klassikaline katk</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(8)</w:t>
            </w:r>
            <w:r w:rsidRPr="009639F7">
              <w:rPr>
                <w:b/>
                <w:i/>
              </w:rPr>
              <w:tab/>
              <w:t>Suu- ja sõrataud</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(9)</w:t>
            </w:r>
            <w:r w:rsidRPr="009639F7">
              <w:rPr>
                <w:b/>
                <w:i/>
              </w:rPr>
              <w:tab/>
              <w:t>Kitsede nakkav pleuropneumoonia</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(10)</w:t>
            </w:r>
            <w:r w:rsidRPr="009639F7">
              <w:rPr>
                <w:b/>
                <w:i/>
              </w:rPr>
              <w:tab/>
              <w:t>Malleus</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(11)</w:t>
            </w:r>
            <w:r w:rsidRPr="009639F7">
              <w:rPr>
                <w:b/>
                <w:i/>
              </w:rPr>
              <w:tab/>
              <w:t>Nakatumine lammaste katarraalse palaviku viirusega (serotüübid 1–24),</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(12)</w:t>
            </w:r>
            <w:r w:rsidRPr="009639F7">
              <w:rPr>
                <w:b/>
                <w:i/>
              </w:rPr>
              <w:tab/>
              <w:t>Nakatumine Brucella abortuse, B. melitensise ja B. suis-iga</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(13)</w:t>
            </w:r>
            <w:r w:rsidRPr="009639F7">
              <w:rPr>
                <w:b/>
                <w:i/>
              </w:rPr>
              <w:tab/>
              <w:t>Nakatumine episootilise hemorraagia viirusega</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(14)</w:t>
            </w:r>
            <w:r w:rsidRPr="009639F7">
              <w:rPr>
                <w:b/>
                <w:i/>
              </w:rPr>
              <w:tab/>
              <w:t>Nakatumine nodulaarse dermatiidi viirusega</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(15)</w:t>
            </w:r>
            <w:r w:rsidRPr="009639F7">
              <w:rPr>
                <w:b/>
                <w:i/>
              </w:rPr>
              <w:tab/>
              <w:t xml:space="preserve">Nakatumine Mycoplasma mycoides subsp. mycoides SC-ga (veiste </w:t>
            </w:r>
            <w:r w:rsidRPr="009639F7">
              <w:rPr>
                <w:b/>
                <w:i/>
              </w:rPr>
              <w:lastRenderedPageBreak/>
              <w:t>kontagioosne pleuropneumoonia),</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(16)</w:t>
            </w:r>
            <w:r w:rsidRPr="009639F7">
              <w:rPr>
                <w:b/>
                <w:i/>
              </w:rPr>
              <w:tab/>
              <w:t>Nakatumine Mycobacterium tuberculosis kompleksiga (M. bovis, M. caprae ja M. tuberculosis)</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(17)</w:t>
            </w:r>
            <w:r w:rsidRPr="009639F7">
              <w:rPr>
                <w:b/>
                <w:i/>
              </w:rPr>
              <w:tab/>
              <w:t>Nakatumine Newcastle’i haiguse viirusega</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(18)</w:t>
            </w:r>
            <w:r w:rsidRPr="009639F7">
              <w:rPr>
                <w:b/>
                <w:i/>
              </w:rPr>
              <w:tab/>
              <w:t>Nakatumine väikemäletsejaliste katku viirusega</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(19)</w:t>
            </w:r>
            <w:r w:rsidRPr="009639F7">
              <w:rPr>
                <w:b/>
                <w:i/>
              </w:rPr>
              <w:tab/>
              <w:t>Nakatumine marutaudi viirusega</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(20)</w:t>
            </w:r>
            <w:r w:rsidRPr="009639F7">
              <w:rPr>
                <w:b/>
                <w:i/>
              </w:rPr>
              <w:tab/>
              <w:t>Nakatumine Rifti oru palaviku viirusega</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(21)</w:t>
            </w:r>
            <w:r w:rsidRPr="009639F7">
              <w:rPr>
                <w:b/>
                <w:i/>
              </w:rPr>
              <w:tab/>
              <w:t>Nakatumine veiste katku viirusega</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(22)</w:t>
            </w:r>
            <w:r w:rsidRPr="009639F7">
              <w:rPr>
                <w:b/>
                <w:i/>
              </w:rPr>
              <w:tab/>
              <w:t>Nakatumine zoonootiliste Salmonella serotüüpidega</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(23)</w:t>
            </w:r>
            <w:r w:rsidRPr="009639F7">
              <w:rPr>
                <w:b/>
                <w:i/>
              </w:rPr>
              <w:tab/>
              <w:t>Nakatumine ehhinokokoosiga Echinococcus spp</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(24)</w:t>
            </w:r>
            <w:r w:rsidRPr="009639F7">
              <w:rPr>
                <w:b/>
                <w:i/>
              </w:rPr>
              <w:tab/>
              <w:t>Listerioos</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(25)</w:t>
            </w:r>
            <w:r w:rsidRPr="009639F7">
              <w:rPr>
                <w:b/>
                <w:i/>
              </w:rPr>
              <w:tab/>
              <w:t>Lammaste ja kitsede rõuged</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(26)</w:t>
            </w:r>
            <w:r w:rsidRPr="009639F7">
              <w:rPr>
                <w:b/>
                <w:i/>
              </w:rPr>
              <w:tab/>
              <w:t>Transmissiivsed spongioossed entsefalopaatiad</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(27)</w:t>
            </w:r>
            <w:r w:rsidRPr="009639F7">
              <w:rPr>
                <w:b/>
                <w:i/>
              </w:rPr>
              <w:tab/>
              <w:t>Trihhinelloos</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(28)</w:t>
            </w:r>
            <w:r w:rsidRPr="009639F7">
              <w:rPr>
                <w:b/>
                <w:i/>
              </w:rPr>
              <w:tab/>
              <w:t>Hobuste Venezuela entsefalomüeliit</w:t>
            </w:r>
          </w:p>
        </w:tc>
        <w:tc>
          <w:tcPr>
            <w:tcW w:w="4876" w:type="dxa"/>
          </w:tcPr>
          <w:p w:rsidR="001C700C" w:rsidRPr="009639F7" w:rsidRDefault="001C700C" w:rsidP="00464712">
            <w:pPr>
              <w:pStyle w:val="Normal6"/>
              <w:rPr>
                <w:szCs w:val="24"/>
              </w:rPr>
            </w:pPr>
          </w:p>
        </w:tc>
      </w:tr>
      <w:tr w:rsidR="001C700C" w:rsidRPr="009639F7" w:rsidTr="00464712">
        <w:trPr>
          <w:jc w:val="center"/>
        </w:trPr>
        <w:tc>
          <w:tcPr>
            <w:tcW w:w="4876" w:type="dxa"/>
            <w:hideMark/>
          </w:tcPr>
          <w:p w:rsidR="001C700C" w:rsidRPr="009639F7" w:rsidRDefault="001C700C" w:rsidP="00464712">
            <w:pPr>
              <w:pStyle w:val="Normal6"/>
            </w:pPr>
            <w:r w:rsidRPr="009639F7">
              <w:rPr>
                <w:b/>
                <w:i/>
              </w:rPr>
              <w:t>(29)</w:t>
            </w:r>
            <w:r w:rsidRPr="009639F7">
              <w:rPr>
                <w:b/>
                <w:i/>
              </w:rPr>
              <w:tab/>
              <w:t>Verotsütotoksigeenne Escherichia coli</w:t>
            </w:r>
          </w:p>
        </w:tc>
        <w:tc>
          <w:tcPr>
            <w:tcW w:w="4876" w:type="dxa"/>
          </w:tcPr>
          <w:p w:rsidR="001C700C" w:rsidRPr="009639F7" w:rsidRDefault="001C700C" w:rsidP="00464712">
            <w:pPr>
              <w:pStyle w:val="Normal6"/>
              <w:rPr>
                <w:szCs w:val="24"/>
              </w:rPr>
            </w:pPr>
          </w:p>
        </w:tc>
      </w:tr>
    </w:tbl>
    <w:p w:rsidR="001C700C" w:rsidRPr="009639F7" w:rsidRDefault="001C700C" w:rsidP="001C700C">
      <w:pPr>
        <w:pStyle w:val="JustificationTitle"/>
      </w:pPr>
      <w:r w:rsidRPr="009639F7">
        <w:t>Selgitus</w:t>
      </w:r>
    </w:p>
    <w:p w:rsidR="001C700C" w:rsidRPr="009639F7" w:rsidRDefault="001C700C" w:rsidP="001C700C">
      <w:pPr>
        <w:pStyle w:val="Normal12Italic"/>
      </w:pPr>
      <w:r w:rsidRPr="009639F7">
        <w:t>Muudatusettepaneku eesmärk on tagada, et arvesse võetaks määruse (EL) 2016/429 raames koostatud haiguste loetelu läbivaatamist, kuna komisjon võib seda ajakohastada ja laiendada nii, et see hõlmaks salmonellat, zoonoose ja zoonootilise toimega mõjureid.</w:t>
      </w:r>
    </w:p>
    <w:p w:rsidR="001C700C" w:rsidRPr="009639F7" w:rsidRDefault="001C700C" w:rsidP="001C700C">
      <w:pPr>
        <w:rPr>
          <w:szCs w:val="24"/>
        </w:rPr>
      </w:pPr>
    </w:p>
    <w:p w:rsidR="001C700C" w:rsidRPr="009639F7" w:rsidRDefault="001C700C" w:rsidP="001C700C">
      <w:pPr>
        <w:pStyle w:val="AMNumberTabs"/>
      </w:pPr>
      <w:r w:rsidRPr="009639F7">
        <w:t>Muudatusettepanek</w:t>
      </w:r>
      <w:r w:rsidRPr="009639F7">
        <w:tab/>
      </w:r>
      <w:r w:rsidRPr="009639F7">
        <w:tab/>
        <w:t>149</w:t>
      </w:r>
    </w:p>
    <w:p w:rsidR="001C700C" w:rsidRPr="009639F7" w:rsidRDefault="001C700C" w:rsidP="001C700C">
      <w:pPr>
        <w:pStyle w:val="NormalBold12b"/>
      </w:pPr>
      <w:r w:rsidRPr="009639F7">
        <w:t>Ettepanek võtta vastu määrus</w:t>
      </w:r>
    </w:p>
    <w:p w:rsidR="001C700C" w:rsidRPr="009639F7" w:rsidRDefault="001C700C" w:rsidP="001C700C">
      <w:pPr>
        <w:pStyle w:val="NormalBold"/>
        <w:keepNext/>
      </w:pPr>
      <w:r w:rsidRPr="009639F7">
        <w:t>IV lisa – Näitajad – tabel</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trHeight w:val="567"/>
          <w:jc w:val="center"/>
        </w:trPr>
        <w:tc>
          <w:tcPr>
            <w:tcW w:w="4876" w:type="dxa"/>
          </w:tcPr>
          <w:p w:rsidR="001C700C" w:rsidRPr="009639F7" w:rsidRDefault="001C700C" w:rsidP="00464712">
            <w:pPr>
              <w:pStyle w:val="ColumnHeading"/>
              <w:keepNext/>
            </w:pPr>
            <w:r w:rsidRPr="009639F7">
              <w:t>Komisjoni ettepanek</w:t>
            </w:r>
          </w:p>
        </w:tc>
        <w:tc>
          <w:tcPr>
            <w:tcW w:w="4876" w:type="dxa"/>
          </w:tcPr>
          <w:p w:rsidR="001C700C" w:rsidRPr="009639F7" w:rsidRDefault="001C700C" w:rsidP="00464712">
            <w:pPr>
              <w:pStyle w:val="ColumnHeading"/>
              <w:keepNext/>
            </w:pPr>
          </w:p>
        </w:tc>
      </w:tr>
      <w:tr w:rsidR="001C700C" w:rsidRPr="009639F7" w:rsidTr="00464712">
        <w:trPr>
          <w:trHeight w:val="607"/>
          <w:jc w:val="center"/>
        </w:trPr>
        <w:tc>
          <w:tcPr>
            <w:tcW w:w="4876" w:type="dxa"/>
            <w:tcBorders>
              <w:top w:val="single" w:sz="4" w:space="0" w:color="auto"/>
              <w:left w:val="single" w:sz="4" w:space="0" w:color="auto"/>
              <w:bottom w:val="single" w:sz="4" w:space="0" w:color="auto"/>
              <w:right w:val="single" w:sz="4" w:space="0" w:color="auto"/>
            </w:tcBorders>
            <w:shd w:val="clear" w:color="auto" w:fill="auto"/>
          </w:tcPr>
          <w:p w:rsidR="001C700C" w:rsidRPr="009639F7" w:rsidRDefault="001C700C" w:rsidP="00464712">
            <w:pPr>
              <w:pStyle w:val="Normal6"/>
              <w:jc w:val="center"/>
              <w:rPr>
                <w:szCs w:val="24"/>
              </w:rPr>
            </w:pPr>
            <w:r w:rsidRPr="009639F7">
              <w:t>Eesmärk</w:t>
            </w:r>
          </w:p>
        </w:tc>
        <w:tc>
          <w:tcPr>
            <w:tcW w:w="4876" w:type="dxa"/>
            <w:tcBorders>
              <w:top w:val="single" w:sz="4" w:space="0" w:color="auto"/>
              <w:left w:val="single" w:sz="4" w:space="0" w:color="auto"/>
              <w:bottom w:val="single" w:sz="4" w:space="0" w:color="auto"/>
              <w:right w:val="single" w:sz="4" w:space="0" w:color="auto"/>
            </w:tcBorders>
          </w:tcPr>
          <w:p w:rsidR="001C700C" w:rsidRPr="009639F7" w:rsidRDefault="001C700C" w:rsidP="00464712">
            <w:pPr>
              <w:pStyle w:val="Normal6"/>
              <w:jc w:val="center"/>
              <w:rPr>
                <w:szCs w:val="24"/>
              </w:rPr>
            </w:pPr>
            <w:r w:rsidRPr="009639F7">
              <w:t>Näitaja</w:t>
            </w:r>
          </w:p>
        </w:tc>
      </w:tr>
      <w:tr w:rsidR="001C700C" w:rsidRPr="009639F7" w:rsidTr="00464712">
        <w:trPr>
          <w:trHeight w:val="607"/>
          <w:jc w:val="center"/>
        </w:trPr>
        <w:tc>
          <w:tcPr>
            <w:tcW w:w="4876" w:type="dxa"/>
            <w:tcBorders>
              <w:top w:val="single" w:sz="4" w:space="0" w:color="auto"/>
              <w:left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top w:val="single" w:sz="4" w:space="0" w:color="auto"/>
              <w:left w:val="single" w:sz="4" w:space="0" w:color="auto"/>
              <w:right w:val="single" w:sz="4" w:space="0" w:color="auto"/>
            </w:tcBorders>
          </w:tcPr>
          <w:p w:rsidR="001C700C" w:rsidRPr="009639F7" w:rsidRDefault="001C700C" w:rsidP="00464712">
            <w:pPr>
              <w:pStyle w:val="Normal6"/>
              <w:rPr>
                <w:b/>
              </w:rPr>
            </w:pP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left w:val="single" w:sz="4" w:space="0" w:color="auto"/>
              <w:right w:val="single" w:sz="4" w:space="0" w:color="auto"/>
            </w:tcBorders>
          </w:tcPr>
          <w:p w:rsidR="001C700C" w:rsidRPr="009639F7" w:rsidRDefault="001C700C" w:rsidP="00464712">
            <w:pPr>
              <w:pStyle w:val="Normal6"/>
            </w:pPr>
            <w:r w:rsidRPr="009639F7">
              <w:t>1 - Uute kaebuste ja nõuete täitmata jätmise juhtumite arv kaupade ja teenuste vaba liikumise ja liidu riigihankealaste õigusnormide valdkonnas </w:t>
            </w: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r w:rsidRPr="009639F7">
              <w:t>Artikli 3 lõike 2 punktis a sätestatud eesmärgid</w:t>
            </w:r>
          </w:p>
        </w:tc>
        <w:tc>
          <w:tcPr>
            <w:tcW w:w="4876" w:type="dxa"/>
            <w:tcBorders>
              <w:left w:val="single" w:sz="4" w:space="0" w:color="auto"/>
              <w:right w:val="single" w:sz="4" w:space="0" w:color="auto"/>
            </w:tcBorders>
          </w:tcPr>
          <w:p w:rsidR="001C700C" w:rsidRPr="009639F7" w:rsidRDefault="001C700C" w:rsidP="00464712">
            <w:pPr>
              <w:pStyle w:val="Normal6"/>
            </w:pPr>
            <w:r w:rsidRPr="009639F7">
              <w:t>2 – Teenustekaubanduse suhtes kehtivate piirangute indeks.</w:t>
            </w: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left w:val="single" w:sz="4" w:space="0" w:color="auto"/>
              <w:right w:val="single" w:sz="4" w:space="0" w:color="auto"/>
            </w:tcBorders>
          </w:tcPr>
          <w:p w:rsidR="001C700C" w:rsidRPr="009639F7" w:rsidRDefault="001C700C" w:rsidP="00464712">
            <w:pPr>
              <w:pStyle w:val="Normal6"/>
            </w:pPr>
            <w:r w:rsidRPr="009639F7">
              <w:t>3 – Portaali „Teie Euroopa“ külastuste arv,</w:t>
            </w:r>
          </w:p>
        </w:tc>
      </w:tr>
      <w:tr w:rsidR="001C700C" w:rsidRPr="009639F7" w:rsidTr="00464712">
        <w:trPr>
          <w:jc w:val="center"/>
        </w:trPr>
        <w:tc>
          <w:tcPr>
            <w:tcW w:w="4876" w:type="dxa"/>
            <w:tcBorders>
              <w:left w:val="single" w:sz="4" w:space="0" w:color="auto"/>
              <w:bottom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left w:val="single" w:sz="4" w:space="0" w:color="auto"/>
              <w:bottom w:val="single" w:sz="4" w:space="0" w:color="auto"/>
              <w:right w:val="single" w:sz="4" w:space="0" w:color="auto"/>
            </w:tcBorders>
          </w:tcPr>
          <w:p w:rsidR="001C700C" w:rsidRPr="009639F7" w:rsidRDefault="001C700C" w:rsidP="00464712">
            <w:pPr>
              <w:pStyle w:val="Normal6"/>
              <w:rPr>
                <w:b/>
                <w:i/>
              </w:rPr>
            </w:pPr>
            <w:r w:rsidRPr="009639F7">
              <w:rPr>
                <w:b/>
                <w:i/>
              </w:rPr>
              <w:t>4 – Ühiste turujärelevalve kampaaniate arv.</w:t>
            </w:r>
          </w:p>
        </w:tc>
      </w:tr>
      <w:tr w:rsidR="001C700C" w:rsidRPr="009639F7" w:rsidTr="00464712">
        <w:trPr>
          <w:jc w:val="center"/>
        </w:trPr>
        <w:tc>
          <w:tcPr>
            <w:tcW w:w="4876" w:type="dxa"/>
            <w:tcBorders>
              <w:top w:val="single" w:sz="4" w:space="0" w:color="auto"/>
              <w:left w:val="single" w:sz="4" w:space="0" w:color="auto"/>
              <w:right w:val="single" w:sz="4" w:space="0" w:color="auto"/>
            </w:tcBorders>
            <w:shd w:val="clear" w:color="auto" w:fill="auto"/>
          </w:tcPr>
          <w:p w:rsidR="001C700C" w:rsidRPr="009639F7" w:rsidRDefault="001C700C" w:rsidP="00464712">
            <w:pPr>
              <w:pStyle w:val="Normal6"/>
            </w:pPr>
            <w:r w:rsidRPr="009639F7">
              <w:t>Artikli 3 lõike 2 punktis b sätestatud eesmärgid</w:t>
            </w:r>
          </w:p>
        </w:tc>
        <w:tc>
          <w:tcPr>
            <w:tcW w:w="4876" w:type="dxa"/>
            <w:tcBorders>
              <w:top w:val="single" w:sz="4" w:space="0" w:color="auto"/>
              <w:left w:val="single" w:sz="4" w:space="0" w:color="auto"/>
              <w:right w:val="single" w:sz="4" w:space="0" w:color="auto"/>
            </w:tcBorders>
          </w:tcPr>
          <w:p w:rsidR="001C700C" w:rsidRPr="009639F7" w:rsidRDefault="001C700C" w:rsidP="00464712">
            <w:pPr>
              <w:pStyle w:val="Normal6"/>
            </w:pPr>
            <w:r w:rsidRPr="009639F7">
              <w:t xml:space="preserve">1 - Toetust saavate VKEde arv </w:t>
            </w:r>
          </w:p>
        </w:tc>
      </w:tr>
      <w:tr w:rsidR="001C700C" w:rsidRPr="009639F7" w:rsidTr="00464712">
        <w:trPr>
          <w:jc w:val="center"/>
        </w:trPr>
        <w:tc>
          <w:tcPr>
            <w:tcW w:w="4876" w:type="dxa"/>
            <w:tcBorders>
              <w:left w:val="single" w:sz="4" w:space="0" w:color="auto"/>
              <w:bottom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left w:val="single" w:sz="4" w:space="0" w:color="auto"/>
              <w:bottom w:val="single" w:sz="4" w:space="0" w:color="auto"/>
              <w:right w:val="single" w:sz="4" w:space="0" w:color="auto"/>
            </w:tcBorders>
          </w:tcPr>
          <w:p w:rsidR="001C700C" w:rsidRPr="009639F7" w:rsidRDefault="001C700C" w:rsidP="00464712">
            <w:pPr>
              <w:pStyle w:val="Normal6"/>
            </w:pPr>
            <w:r w:rsidRPr="009639F7">
              <w:t>2 - Selliste toetust saanud ettevõtete arv, kes on sõlminud äripartnerluse</w:t>
            </w:r>
          </w:p>
        </w:tc>
      </w:tr>
      <w:tr w:rsidR="001C700C" w:rsidRPr="009639F7" w:rsidTr="00464712">
        <w:trPr>
          <w:jc w:val="center"/>
        </w:trPr>
        <w:tc>
          <w:tcPr>
            <w:tcW w:w="4876" w:type="dxa"/>
            <w:tcBorders>
              <w:top w:val="single" w:sz="4" w:space="0" w:color="auto"/>
              <w:left w:val="single" w:sz="4" w:space="0" w:color="auto"/>
              <w:right w:val="single" w:sz="4" w:space="0" w:color="auto"/>
            </w:tcBorders>
            <w:shd w:val="clear" w:color="auto" w:fill="auto"/>
          </w:tcPr>
          <w:p w:rsidR="001C700C" w:rsidRPr="009639F7" w:rsidRDefault="001C700C" w:rsidP="00464712">
            <w:pPr>
              <w:pStyle w:val="Normal6"/>
            </w:pPr>
            <w:r w:rsidRPr="009639F7">
              <w:t>Artikli 3 lõike 2 punktis c sätestatud eesmärgid</w:t>
            </w:r>
          </w:p>
        </w:tc>
        <w:tc>
          <w:tcPr>
            <w:tcW w:w="4876" w:type="dxa"/>
            <w:tcBorders>
              <w:top w:val="single" w:sz="4" w:space="0" w:color="auto"/>
              <w:left w:val="single" w:sz="4" w:space="0" w:color="auto"/>
              <w:right w:val="single" w:sz="4" w:space="0" w:color="auto"/>
            </w:tcBorders>
          </w:tcPr>
          <w:p w:rsidR="001C700C" w:rsidRPr="009639F7" w:rsidRDefault="001C700C" w:rsidP="00464712">
            <w:pPr>
              <w:pStyle w:val="Normal6"/>
            </w:pP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r w:rsidRPr="009639F7">
              <w:t>i)</w:t>
            </w:r>
          </w:p>
        </w:tc>
        <w:tc>
          <w:tcPr>
            <w:tcW w:w="4876" w:type="dxa"/>
            <w:tcBorders>
              <w:left w:val="single" w:sz="4" w:space="0" w:color="auto"/>
              <w:right w:val="single" w:sz="4" w:space="0" w:color="auto"/>
            </w:tcBorders>
          </w:tcPr>
          <w:p w:rsidR="001C700C" w:rsidRPr="009639F7" w:rsidRDefault="001C700C" w:rsidP="00464712">
            <w:pPr>
              <w:pStyle w:val="Normal6"/>
            </w:pPr>
            <w:r w:rsidRPr="009639F7">
              <w:t>1 - Liikmesriikides riiklike standarditena rakendatavate Euroopa standardite osakaal Euroopa standardite koguarvust.</w:t>
            </w:r>
          </w:p>
        </w:tc>
      </w:tr>
      <w:tr w:rsidR="001C700C" w:rsidRPr="009639F7" w:rsidTr="00464712">
        <w:trPr>
          <w:jc w:val="center"/>
        </w:trPr>
        <w:tc>
          <w:tcPr>
            <w:tcW w:w="4876" w:type="dxa"/>
            <w:tcBorders>
              <w:left w:val="single" w:sz="4" w:space="0" w:color="auto"/>
              <w:bottom w:val="single" w:sz="4" w:space="0" w:color="auto"/>
              <w:right w:val="single" w:sz="4" w:space="0" w:color="auto"/>
            </w:tcBorders>
            <w:shd w:val="clear" w:color="auto" w:fill="auto"/>
          </w:tcPr>
          <w:p w:rsidR="001C700C" w:rsidRPr="009639F7" w:rsidRDefault="001C700C" w:rsidP="00464712">
            <w:pPr>
              <w:pStyle w:val="Normal6"/>
            </w:pPr>
            <w:r w:rsidRPr="009639F7">
              <w:t>ii)</w:t>
            </w:r>
          </w:p>
        </w:tc>
        <w:tc>
          <w:tcPr>
            <w:tcW w:w="4876" w:type="dxa"/>
            <w:tcBorders>
              <w:left w:val="single" w:sz="4" w:space="0" w:color="auto"/>
              <w:bottom w:val="single" w:sz="4" w:space="0" w:color="auto"/>
              <w:right w:val="single" w:sz="4" w:space="0" w:color="auto"/>
            </w:tcBorders>
          </w:tcPr>
          <w:p w:rsidR="001C700C" w:rsidRPr="009639F7" w:rsidRDefault="001C700C" w:rsidP="00464712">
            <w:pPr>
              <w:pStyle w:val="Normal6"/>
            </w:pPr>
            <w:r w:rsidRPr="009639F7">
              <w:t>2 - Liidus heaks kiidetud rahvusvahelise finantsaruandluse ja auditeerimise standardite protsent.</w:t>
            </w:r>
          </w:p>
        </w:tc>
      </w:tr>
      <w:tr w:rsidR="001C700C" w:rsidRPr="009639F7" w:rsidTr="00464712">
        <w:trPr>
          <w:jc w:val="center"/>
        </w:trPr>
        <w:tc>
          <w:tcPr>
            <w:tcW w:w="4876" w:type="dxa"/>
            <w:tcBorders>
              <w:top w:val="single" w:sz="4" w:space="0" w:color="auto"/>
              <w:left w:val="single" w:sz="4" w:space="0" w:color="auto"/>
              <w:right w:val="single" w:sz="4" w:space="0" w:color="auto"/>
            </w:tcBorders>
            <w:shd w:val="clear" w:color="auto" w:fill="auto"/>
          </w:tcPr>
          <w:p w:rsidR="001C700C" w:rsidRPr="009639F7" w:rsidRDefault="001C700C" w:rsidP="00464712">
            <w:pPr>
              <w:pStyle w:val="Normal6"/>
            </w:pPr>
            <w:r w:rsidRPr="009639F7">
              <w:t>Artikli 3 lõike 2 punktis d sätestatud eesmärgid</w:t>
            </w:r>
          </w:p>
        </w:tc>
        <w:tc>
          <w:tcPr>
            <w:tcW w:w="4876" w:type="dxa"/>
            <w:tcBorders>
              <w:top w:val="single" w:sz="4" w:space="0" w:color="auto"/>
              <w:left w:val="single" w:sz="4" w:space="0" w:color="auto"/>
              <w:right w:val="single" w:sz="4" w:space="0" w:color="auto"/>
            </w:tcBorders>
          </w:tcPr>
          <w:p w:rsidR="001C700C" w:rsidRPr="009639F7" w:rsidRDefault="001C700C" w:rsidP="00464712">
            <w:pPr>
              <w:pStyle w:val="Normal6"/>
            </w:pP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r w:rsidRPr="009639F7">
              <w:t>i)</w:t>
            </w:r>
          </w:p>
        </w:tc>
        <w:tc>
          <w:tcPr>
            <w:tcW w:w="4876" w:type="dxa"/>
            <w:tcBorders>
              <w:left w:val="single" w:sz="4" w:space="0" w:color="auto"/>
              <w:right w:val="single" w:sz="4" w:space="0" w:color="auto"/>
            </w:tcBorders>
          </w:tcPr>
          <w:p w:rsidR="001C700C" w:rsidRPr="009639F7" w:rsidRDefault="001C700C" w:rsidP="00464712">
            <w:pPr>
              <w:pStyle w:val="Normal6"/>
            </w:pPr>
            <w:r w:rsidRPr="009639F7">
              <w:t>1 - Tarbijaindeks.</w:t>
            </w:r>
          </w:p>
        </w:tc>
      </w:tr>
      <w:tr w:rsidR="001C700C" w:rsidRPr="009639F7" w:rsidTr="00464712">
        <w:trPr>
          <w:jc w:val="center"/>
        </w:trPr>
        <w:tc>
          <w:tcPr>
            <w:tcW w:w="4876" w:type="dxa"/>
            <w:tcBorders>
              <w:left w:val="single" w:sz="4" w:space="0" w:color="auto"/>
              <w:bottom w:val="single" w:sz="4" w:space="0" w:color="auto"/>
              <w:right w:val="single" w:sz="4" w:space="0" w:color="auto"/>
            </w:tcBorders>
            <w:shd w:val="clear" w:color="auto" w:fill="auto"/>
          </w:tcPr>
          <w:p w:rsidR="001C700C" w:rsidRPr="009639F7" w:rsidRDefault="001C700C" w:rsidP="00464712">
            <w:pPr>
              <w:pStyle w:val="Normal6"/>
            </w:pPr>
            <w:r w:rsidRPr="009639F7">
              <w:t>ii)</w:t>
            </w:r>
          </w:p>
        </w:tc>
        <w:tc>
          <w:tcPr>
            <w:tcW w:w="4876" w:type="dxa"/>
            <w:tcBorders>
              <w:left w:val="single" w:sz="4" w:space="0" w:color="auto"/>
              <w:bottom w:val="single" w:sz="4" w:space="0" w:color="auto"/>
              <w:right w:val="single" w:sz="4" w:space="0" w:color="auto"/>
            </w:tcBorders>
          </w:tcPr>
          <w:p w:rsidR="001C700C" w:rsidRPr="009639F7" w:rsidRDefault="001C700C" w:rsidP="00464712">
            <w:pPr>
              <w:pStyle w:val="Normal6"/>
            </w:pPr>
            <w:r w:rsidRPr="009639F7">
              <w:t>2 - Finantsteenuste valdkonnas peetud avalike konsultatsioonide käigus toetusesaajate esitatud seisukohavõttude ja vastuste arv.</w:t>
            </w:r>
          </w:p>
        </w:tc>
      </w:tr>
      <w:tr w:rsidR="001C700C" w:rsidRPr="009639F7" w:rsidTr="00464712">
        <w:trPr>
          <w:jc w:val="center"/>
        </w:trPr>
        <w:tc>
          <w:tcPr>
            <w:tcW w:w="4876" w:type="dxa"/>
            <w:tcBorders>
              <w:top w:val="single" w:sz="4" w:space="0" w:color="auto"/>
              <w:left w:val="single" w:sz="4" w:space="0" w:color="auto"/>
              <w:bottom w:val="single" w:sz="4" w:space="0" w:color="auto"/>
              <w:right w:val="single" w:sz="4" w:space="0" w:color="auto"/>
            </w:tcBorders>
            <w:shd w:val="clear" w:color="auto" w:fill="auto"/>
          </w:tcPr>
          <w:p w:rsidR="001C700C" w:rsidRPr="009639F7" w:rsidRDefault="001C700C" w:rsidP="00464712">
            <w:pPr>
              <w:pStyle w:val="Normal6"/>
            </w:pPr>
            <w:r w:rsidRPr="009639F7">
              <w:t>Artikli 3 lõike 2 punktis e sätestatud eesmärgid</w:t>
            </w:r>
          </w:p>
        </w:tc>
        <w:tc>
          <w:tcPr>
            <w:tcW w:w="4876" w:type="dxa"/>
            <w:tcBorders>
              <w:top w:val="single" w:sz="4" w:space="0" w:color="auto"/>
              <w:left w:val="single" w:sz="4" w:space="0" w:color="auto"/>
              <w:bottom w:val="single" w:sz="4" w:space="0" w:color="auto"/>
              <w:right w:val="single" w:sz="4" w:space="0" w:color="auto"/>
            </w:tcBorders>
          </w:tcPr>
          <w:p w:rsidR="001C700C" w:rsidRPr="009639F7" w:rsidRDefault="001C700C" w:rsidP="00464712">
            <w:pPr>
              <w:pStyle w:val="Normal6"/>
            </w:pPr>
            <w:r w:rsidRPr="009639F7">
              <w:t>1 - Edukalt ellu viidud riiklike veterinaar- ja fütosanitaarprogrammide arv.</w:t>
            </w:r>
          </w:p>
        </w:tc>
      </w:tr>
      <w:tr w:rsidR="001C700C" w:rsidRPr="009639F7" w:rsidTr="00464712">
        <w:trPr>
          <w:jc w:val="center"/>
        </w:trPr>
        <w:tc>
          <w:tcPr>
            <w:tcW w:w="4876" w:type="dxa"/>
            <w:tcBorders>
              <w:top w:val="single" w:sz="4" w:space="0" w:color="auto"/>
              <w:left w:val="single" w:sz="4" w:space="0" w:color="auto"/>
              <w:bottom w:val="single" w:sz="4" w:space="0" w:color="auto"/>
              <w:right w:val="single" w:sz="4" w:space="0" w:color="auto"/>
            </w:tcBorders>
            <w:shd w:val="clear" w:color="auto" w:fill="auto"/>
          </w:tcPr>
          <w:p w:rsidR="001C700C" w:rsidRPr="009639F7" w:rsidRDefault="001C700C" w:rsidP="00464712">
            <w:pPr>
              <w:pStyle w:val="Normal6"/>
            </w:pPr>
            <w:r w:rsidRPr="009639F7">
              <w:t>Artikli 3 lõike 2 punktis f sätestatud eesmärgid</w:t>
            </w:r>
          </w:p>
        </w:tc>
        <w:tc>
          <w:tcPr>
            <w:tcW w:w="4876" w:type="dxa"/>
            <w:tcBorders>
              <w:top w:val="single" w:sz="4" w:space="0" w:color="auto"/>
              <w:left w:val="single" w:sz="4" w:space="0" w:color="auto"/>
              <w:bottom w:val="single" w:sz="4" w:space="0" w:color="auto"/>
              <w:right w:val="single" w:sz="4" w:space="0" w:color="auto"/>
            </w:tcBorders>
          </w:tcPr>
          <w:p w:rsidR="001C700C" w:rsidRPr="009639F7" w:rsidRDefault="001C700C" w:rsidP="00464712">
            <w:pPr>
              <w:pStyle w:val="Normal6"/>
            </w:pPr>
            <w:r w:rsidRPr="009639F7">
              <w:t>1 - Internetis avaldatud statistika mõju: veebis viitamiste ning positiivsete/negatiivsete arvamuste arv.</w:t>
            </w:r>
          </w:p>
        </w:tc>
      </w:tr>
      <w:tr w:rsidR="001C700C" w:rsidRPr="009639F7" w:rsidTr="00464712">
        <w:trPr>
          <w:jc w:val="center"/>
        </w:trPr>
        <w:tc>
          <w:tcPr>
            <w:tcW w:w="9752" w:type="dxa"/>
            <w:gridSpan w:val="2"/>
            <w:tcBorders>
              <w:top w:val="single" w:sz="4" w:space="0" w:color="auto"/>
            </w:tcBorders>
          </w:tcPr>
          <w:p w:rsidR="001C700C" w:rsidRPr="009639F7" w:rsidRDefault="001C700C" w:rsidP="00464712">
            <w:pPr>
              <w:keepNext/>
            </w:pPr>
          </w:p>
        </w:tc>
      </w:tr>
      <w:tr w:rsidR="001C700C" w:rsidRPr="009639F7" w:rsidTr="00464712">
        <w:trPr>
          <w:jc w:val="center"/>
        </w:trPr>
        <w:tc>
          <w:tcPr>
            <w:tcW w:w="9752" w:type="dxa"/>
            <w:gridSpan w:val="2"/>
          </w:tcPr>
          <w:p w:rsidR="001C700C" w:rsidRPr="009639F7" w:rsidRDefault="001C700C" w:rsidP="00464712">
            <w:pPr>
              <w:keepNext/>
            </w:pPr>
          </w:p>
        </w:tc>
      </w:tr>
      <w:tr w:rsidR="001C700C" w:rsidRPr="009639F7" w:rsidTr="00464712">
        <w:trPr>
          <w:trHeight w:val="567"/>
          <w:jc w:val="center"/>
        </w:trPr>
        <w:tc>
          <w:tcPr>
            <w:tcW w:w="4876" w:type="dxa"/>
          </w:tcPr>
          <w:p w:rsidR="001C700C" w:rsidRPr="009639F7" w:rsidRDefault="001C700C" w:rsidP="00464712">
            <w:pPr>
              <w:pStyle w:val="ColumnHeading"/>
              <w:keepNext/>
            </w:pPr>
            <w:r w:rsidRPr="009639F7">
              <w:t>Muudatusettepanek</w:t>
            </w:r>
          </w:p>
        </w:tc>
        <w:tc>
          <w:tcPr>
            <w:tcW w:w="4876" w:type="dxa"/>
          </w:tcPr>
          <w:p w:rsidR="001C700C" w:rsidRPr="009639F7" w:rsidRDefault="001C700C" w:rsidP="00464712">
            <w:pPr>
              <w:pStyle w:val="ColumnHeading"/>
              <w:keepNext/>
            </w:pPr>
          </w:p>
        </w:tc>
      </w:tr>
      <w:tr w:rsidR="001C700C" w:rsidRPr="009639F7" w:rsidTr="00464712">
        <w:trPr>
          <w:trHeight w:val="607"/>
          <w:jc w:val="center"/>
        </w:trPr>
        <w:tc>
          <w:tcPr>
            <w:tcW w:w="4876" w:type="dxa"/>
            <w:tcBorders>
              <w:top w:val="single" w:sz="4" w:space="0" w:color="auto"/>
              <w:left w:val="single" w:sz="4" w:space="0" w:color="auto"/>
              <w:bottom w:val="single" w:sz="4" w:space="0" w:color="auto"/>
              <w:right w:val="single" w:sz="4" w:space="0" w:color="auto"/>
            </w:tcBorders>
            <w:shd w:val="clear" w:color="auto" w:fill="auto"/>
          </w:tcPr>
          <w:p w:rsidR="001C700C" w:rsidRPr="009639F7" w:rsidRDefault="001C700C" w:rsidP="00464712">
            <w:pPr>
              <w:pStyle w:val="Normal6"/>
              <w:jc w:val="center"/>
              <w:rPr>
                <w:szCs w:val="24"/>
              </w:rPr>
            </w:pPr>
            <w:r w:rsidRPr="009639F7">
              <w:t>Eesmärk</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1C700C" w:rsidRPr="009639F7" w:rsidRDefault="001C700C" w:rsidP="00464712">
            <w:pPr>
              <w:pStyle w:val="Normal6"/>
              <w:jc w:val="center"/>
              <w:rPr>
                <w:szCs w:val="24"/>
              </w:rPr>
            </w:pPr>
            <w:r w:rsidRPr="009639F7">
              <w:t>Näitaja</w:t>
            </w:r>
          </w:p>
        </w:tc>
      </w:tr>
      <w:tr w:rsidR="001C700C" w:rsidRPr="009639F7" w:rsidTr="00464712">
        <w:trPr>
          <w:trHeight w:val="321"/>
          <w:jc w:val="center"/>
        </w:trPr>
        <w:tc>
          <w:tcPr>
            <w:tcW w:w="4876" w:type="dxa"/>
            <w:tcBorders>
              <w:top w:val="single" w:sz="4" w:space="0" w:color="auto"/>
              <w:left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top w:val="single" w:sz="4" w:space="0" w:color="auto"/>
              <w:left w:val="single" w:sz="4" w:space="0" w:color="auto"/>
              <w:right w:val="single" w:sz="4" w:space="0" w:color="auto"/>
            </w:tcBorders>
            <w:shd w:val="clear" w:color="auto" w:fill="auto"/>
          </w:tcPr>
          <w:p w:rsidR="001C700C" w:rsidRPr="009639F7" w:rsidRDefault="001C700C" w:rsidP="00464712">
            <w:pPr>
              <w:pStyle w:val="Normal6"/>
              <w:rPr>
                <w:b/>
              </w:rPr>
            </w:pPr>
          </w:p>
        </w:tc>
      </w:tr>
      <w:tr w:rsidR="001C700C" w:rsidRPr="009639F7" w:rsidTr="00464712">
        <w:trPr>
          <w:trHeight w:val="695"/>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r w:rsidRPr="009639F7">
              <w:t>1 – Liidu riigihankealased õigusnormid.</w:t>
            </w: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r w:rsidRPr="009639F7">
              <w:lastRenderedPageBreak/>
              <w:t>Artikli 3 lõike 2 punkti a alapunktis i sätestatud eesmärgid</w:t>
            </w:r>
          </w:p>
        </w:tc>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r w:rsidRPr="009639F7">
              <w:t>2 – Teenustekaubanduse suhtes kehtivate piirangute indeks.</w:t>
            </w:r>
          </w:p>
        </w:tc>
      </w:tr>
      <w:tr w:rsidR="001C700C" w:rsidRPr="009639F7" w:rsidTr="00464712">
        <w:trPr>
          <w:jc w:val="center"/>
        </w:trPr>
        <w:tc>
          <w:tcPr>
            <w:tcW w:w="4876" w:type="dxa"/>
            <w:tcBorders>
              <w:left w:val="single" w:sz="4" w:space="0" w:color="auto"/>
              <w:bottom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left w:val="single" w:sz="4" w:space="0" w:color="auto"/>
              <w:bottom w:val="single" w:sz="4" w:space="0" w:color="auto"/>
              <w:right w:val="single" w:sz="4" w:space="0" w:color="auto"/>
            </w:tcBorders>
            <w:shd w:val="clear" w:color="auto" w:fill="auto"/>
          </w:tcPr>
          <w:p w:rsidR="001C700C" w:rsidRPr="009639F7" w:rsidRDefault="001C700C" w:rsidP="00464712">
            <w:pPr>
              <w:pStyle w:val="Normal6"/>
            </w:pPr>
            <w:r w:rsidRPr="009639F7">
              <w:t>3 – Portaali „Teie Euroopa“ külastuste arv,</w:t>
            </w:r>
          </w:p>
        </w:tc>
      </w:tr>
      <w:tr w:rsidR="001C700C" w:rsidRPr="009639F7" w:rsidTr="00464712">
        <w:trPr>
          <w:jc w:val="center"/>
        </w:trPr>
        <w:tc>
          <w:tcPr>
            <w:tcW w:w="4876" w:type="dxa"/>
            <w:tcBorders>
              <w:top w:val="single" w:sz="4" w:space="0" w:color="auto"/>
              <w:left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top w:val="single" w:sz="4" w:space="0" w:color="auto"/>
              <w:left w:val="single" w:sz="4" w:space="0" w:color="auto"/>
              <w:right w:val="single" w:sz="4" w:space="0" w:color="auto"/>
            </w:tcBorders>
            <w:shd w:val="clear" w:color="auto" w:fill="auto"/>
          </w:tcPr>
          <w:p w:rsidR="001C700C" w:rsidRPr="009639F7" w:rsidRDefault="001C700C" w:rsidP="00464712">
            <w:pPr>
              <w:pStyle w:val="Normal6"/>
            </w:pP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left w:val="single" w:sz="4" w:space="0" w:color="auto"/>
              <w:right w:val="single" w:sz="4" w:space="0" w:color="auto"/>
            </w:tcBorders>
            <w:shd w:val="clear" w:color="auto" w:fill="auto"/>
          </w:tcPr>
          <w:p w:rsidR="001C700C" w:rsidRPr="009639F7" w:rsidRDefault="001C700C" w:rsidP="00464712">
            <w:pPr>
              <w:pStyle w:val="Normal6"/>
              <w:rPr>
                <w:b/>
                <w:i/>
              </w:rPr>
            </w:pPr>
            <w:r w:rsidRPr="009639F7">
              <w:rPr>
                <w:b/>
                <w:i/>
              </w:rPr>
              <w:t>1 – Kaupade ja teenuste vaba liikumise ning veebimüügiga seotud uute kaebuste ja nõuete täitmata jätmise juhtumite arv.</w:t>
            </w: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rPr>
                <w:b/>
                <w:i/>
              </w:rPr>
            </w:pPr>
            <w:r w:rsidRPr="009639F7">
              <w:rPr>
                <w:b/>
                <w:i/>
              </w:rPr>
              <w:t>Artikli 3 lõike 2 punkti a alapunktis ii sätestatud eesmärgid</w:t>
            </w:r>
          </w:p>
        </w:tc>
        <w:tc>
          <w:tcPr>
            <w:tcW w:w="4876" w:type="dxa"/>
            <w:tcBorders>
              <w:left w:val="single" w:sz="4" w:space="0" w:color="auto"/>
              <w:right w:val="single" w:sz="4" w:space="0" w:color="auto"/>
            </w:tcBorders>
            <w:shd w:val="clear" w:color="auto" w:fill="auto"/>
          </w:tcPr>
          <w:p w:rsidR="001C700C" w:rsidRPr="009639F7" w:rsidRDefault="001C700C" w:rsidP="00464712">
            <w:pPr>
              <w:pStyle w:val="Normal6"/>
              <w:rPr>
                <w:b/>
                <w:i/>
              </w:rPr>
            </w:pPr>
            <w:r w:rsidRPr="009639F7">
              <w:rPr>
                <w:b/>
                <w:i/>
              </w:rPr>
              <w:t>2 – Ühiste turujärelevalve- ja tooteohutuskampaaniate arv.</w:t>
            </w: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left w:val="single" w:sz="4" w:space="0" w:color="auto"/>
              <w:right w:val="single" w:sz="4" w:space="0" w:color="auto"/>
            </w:tcBorders>
            <w:shd w:val="clear" w:color="auto" w:fill="auto"/>
          </w:tcPr>
          <w:p w:rsidR="001C700C" w:rsidRPr="009639F7" w:rsidRDefault="001C700C" w:rsidP="00464712">
            <w:pPr>
              <w:pStyle w:val="Normal6"/>
              <w:rPr>
                <w:b/>
                <w:i/>
              </w:rPr>
            </w:pPr>
          </w:p>
        </w:tc>
      </w:tr>
      <w:tr w:rsidR="001C700C" w:rsidRPr="009639F7" w:rsidTr="00464712">
        <w:trPr>
          <w:trHeight w:val="607"/>
          <w:jc w:val="center"/>
        </w:trPr>
        <w:tc>
          <w:tcPr>
            <w:tcW w:w="4876" w:type="dxa"/>
            <w:tcBorders>
              <w:top w:val="single" w:sz="4" w:space="0" w:color="auto"/>
              <w:left w:val="single" w:sz="4" w:space="0" w:color="auto"/>
              <w:right w:val="single" w:sz="4" w:space="0" w:color="auto"/>
            </w:tcBorders>
            <w:shd w:val="clear" w:color="auto" w:fill="auto"/>
          </w:tcPr>
          <w:p w:rsidR="001C700C" w:rsidRPr="009639F7" w:rsidRDefault="001C700C" w:rsidP="00464712">
            <w:pPr>
              <w:pStyle w:val="Normal6"/>
            </w:pPr>
            <w:r w:rsidRPr="009639F7">
              <w:t>Artikli 3 lõike 2 punktis b sätestatud eesmärgid</w:t>
            </w:r>
          </w:p>
        </w:tc>
        <w:tc>
          <w:tcPr>
            <w:tcW w:w="4876" w:type="dxa"/>
            <w:tcBorders>
              <w:top w:val="single" w:sz="4" w:space="0" w:color="auto"/>
              <w:left w:val="single" w:sz="4" w:space="0" w:color="auto"/>
              <w:right w:val="single" w:sz="4" w:space="0" w:color="auto"/>
            </w:tcBorders>
            <w:shd w:val="clear" w:color="auto" w:fill="auto"/>
          </w:tcPr>
          <w:p w:rsidR="001C700C" w:rsidRPr="009639F7" w:rsidRDefault="001C700C" w:rsidP="00464712">
            <w:pPr>
              <w:pStyle w:val="Normal6"/>
            </w:pPr>
            <w:r w:rsidRPr="009639F7">
              <w:t xml:space="preserve">1 – </w:t>
            </w:r>
            <w:r w:rsidRPr="009639F7">
              <w:rPr>
                <w:b/>
                <w:i/>
              </w:rPr>
              <w:t>Programmist ja võrgustikust</w:t>
            </w:r>
            <w:r w:rsidRPr="009639F7">
              <w:t xml:space="preserve"> toetust saavate VKEde arv.</w:t>
            </w: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r w:rsidRPr="009639F7">
              <w:t>2 - Selliste toetust saanud ettevõtete arv, kes on sõlminud äripartnerluse.</w:t>
            </w: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left w:val="single" w:sz="4" w:space="0" w:color="auto"/>
              <w:right w:val="single" w:sz="4" w:space="0" w:color="auto"/>
            </w:tcBorders>
            <w:shd w:val="clear" w:color="auto" w:fill="auto"/>
          </w:tcPr>
          <w:p w:rsidR="001C700C" w:rsidRPr="009639F7" w:rsidRDefault="007C4CC9" w:rsidP="00464712">
            <w:pPr>
              <w:pStyle w:val="Normal6"/>
            </w:pPr>
            <w:r w:rsidRPr="009639F7">
              <w:rPr>
                <w:b/>
                <w:i/>
              </w:rPr>
              <w:t>2</w:t>
            </w:r>
            <w:r w:rsidR="001C700C" w:rsidRPr="009639F7">
              <w:rPr>
                <w:b/>
                <w:i/>
              </w:rPr>
              <w:t>a – Mentorlussüsteemides ja liikuvuskavades osalevate ettevõtjate arv.</w:t>
            </w: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left w:val="single" w:sz="4" w:space="0" w:color="auto"/>
              <w:right w:val="single" w:sz="4" w:space="0" w:color="auto"/>
            </w:tcBorders>
            <w:shd w:val="clear" w:color="auto" w:fill="auto"/>
          </w:tcPr>
          <w:p w:rsidR="001C700C" w:rsidRPr="009639F7" w:rsidRDefault="007C4CC9" w:rsidP="00464712">
            <w:pPr>
              <w:pStyle w:val="Normal6"/>
            </w:pPr>
            <w:r w:rsidRPr="009639F7">
              <w:rPr>
                <w:b/>
                <w:i/>
              </w:rPr>
              <w:t>2</w:t>
            </w:r>
            <w:r w:rsidR="001C700C" w:rsidRPr="009639F7">
              <w:rPr>
                <w:b/>
                <w:i/>
              </w:rPr>
              <w:t>b – VKE loomise aja- ja rahakulu vähendamine.</w:t>
            </w: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left w:val="single" w:sz="4" w:space="0" w:color="auto"/>
              <w:right w:val="single" w:sz="4" w:space="0" w:color="auto"/>
            </w:tcBorders>
            <w:shd w:val="clear" w:color="auto" w:fill="auto"/>
          </w:tcPr>
          <w:p w:rsidR="001C700C" w:rsidRPr="009639F7" w:rsidRDefault="001C700C" w:rsidP="007C4CC9">
            <w:pPr>
              <w:pStyle w:val="Normal6"/>
            </w:pPr>
            <w:r w:rsidRPr="009639F7">
              <w:rPr>
                <w:b/>
                <w:i/>
              </w:rPr>
              <w:t>2c – Loodud ettevõtlusvõrgustike arv võrreldes lähteolukorraga.</w:t>
            </w: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left w:val="single" w:sz="4" w:space="0" w:color="auto"/>
              <w:right w:val="single" w:sz="4" w:space="0" w:color="auto"/>
            </w:tcBorders>
            <w:shd w:val="clear" w:color="auto" w:fill="auto"/>
          </w:tcPr>
          <w:p w:rsidR="001C700C" w:rsidRPr="009639F7" w:rsidRDefault="007C4CC9" w:rsidP="00464712">
            <w:pPr>
              <w:pStyle w:val="Normal6"/>
            </w:pPr>
            <w:r w:rsidRPr="009639F7">
              <w:rPr>
                <w:b/>
                <w:i/>
              </w:rPr>
              <w:t>2</w:t>
            </w:r>
            <w:r w:rsidR="001C700C" w:rsidRPr="009639F7">
              <w:rPr>
                <w:b/>
                <w:i/>
              </w:rPr>
              <w:t>d – VKE-testi kasutavate liikmesriikide arv.</w:t>
            </w: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left w:val="single" w:sz="4" w:space="0" w:color="auto"/>
              <w:right w:val="single" w:sz="4" w:space="0" w:color="auto"/>
            </w:tcBorders>
            <w:shd w:val="clear" w:color="auto" w:fill="auto"/>
          </w:tcPr>
          <w:p w:rsidR="001C700C" w:rsidRPr="009639F7" w:rsidRDefault="007C4CC9" w:rsidP="00464712">
            <w:pPr>
              <w:pStyle w:val="Normal6"/>
            </w:pPr>
            <w:r w:rsidRPr="009639F7">
              <w:rPr>
                <w:b/>
                <w:i/>
              </w:rPr>
              <w:t>2</w:t>
            </w:r>
            <w:r w:rsidR="001C700C" w:rsidRPr="009639F7">
              <w:rPr>
                <w:b/>
                <w:i/>
              </w:rPr>
              <w:t>e – Ettevõtluse alustamiseks mõeldud ühtset kontaktpunkti omavate liikmesriikide arvu oluline suurenemine.</w:t>
            </w: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left w:val="single" w:sz="4" w:space="0" w:color="auto"/>
              <w:right w:val="single" w:sz="4" w:space="0" w:color="auto"/>
            </w:tcBorders>
            <w:shd w:val="clear" w:color="auto" w:fill="auto"/>
          </w:tcPr>
          <w:p w:rsidR="001C700C" w:rsidRPr="009639F7" w:rsidRDefault="007C4CC9" w:rsidP="00464712">
            <w:pPr>
              <w:pStyle w:val="Normal6"/>
            </w:pPr>
            <w:r w:rsidRPr="009639F7">
              <w:rPr>
                <w:b/>
                <w:i/>
              </w:rPr>
              <w:t>2</w:t>
            </w:r>
            <w:r w:rsidR="001C700C" w:rsidRPr="009639F7">
              <w:rPr>
                <w:b/>
                <w:i/>
              </w:rPr>
              <w:t>f – Eksportivate VKEde osakaalu ja väljapoole liitu eksportivate VKEde osakaalu suurenemine võrreldes lähteolukorraga.</w:t>
            </w: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left w:val="single" w:sz="4" w:space="0" w:color="auto"/>
              <w:right w:val="single" w:sz="4" w:space="0" w:color="auto"/>
            </w:tcBorders>
            <w:shd w:val="clear" w:color="auto" w:fill="auto"/>
          </w:tcPr>
          <w:p w:rsidR="001C700C" w:rsidRPr="009639F7" w:rsidRDefault="007C4CC9" w:rsidP="00464712">
            <w:pPr>
              <w:pStyle w:val="Normal6"/>
            </w:pPr>
            <w:r w:rsidRPr="009639F7">
              <w:rPr>
                <w:b/>
                <w:i/>
              </w:rPr>
              <w:t>2</w:t>
            </w:r>
            <w:r w:rsidR="001C700C" w:rsidRPr="009639F7">
              <w:rPr>
                <w:b/>
                <w:i/>
              </w:rPr>
              <w:t>g – Potentsiaalsetele, noortele ja uutele ettevõtjatele ning naisettevõtjatele, samuti muudele konkreetsetele sihtrühmadele suunatud ettevõtluslahendusi rakendavate liikmesriikide arvu oluline suurenemine võrreldes lähteolukorraga.</w:t>
            </w: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left w:val="single" w:sz="4" w:space="0" w:color="auto"/>
              <w:right w:val="single" w:sz="4" w:space="0" w:color="auto"/>
            </w:tcBorders>
            <w:shd w:val="clear" w:color="auto" w:fill="auto"/>
          </w:tcPr>
          <w:p w:rsidR="001C700C" w:rsidRPr="009639F7" w:rsidRDefault="007C4CC9" w:rsidP="00464712">
            <w:pPr>
              <w:pStyle w:val="Normal6"/>
            </w:pPr>
            <w:r w:rsidRPr="009639F7">
              <w:rPr>
                <w:b/>
                <w:i/>
              </w:rPr>
              <w:t>2</w:t>
            </w:r>
            <w:r w:rsidR="001C700C" w:rsidRPr="009639F7">
              <w:rPr>
                <w:b/>
                <w:i/>
              </w:rPr>
              <w:t>h – Füüsilisest isikust ettevõtjaks saada soovivate liidu kodanike osakaalu suurenemine võrreldes lähteolukorraga.</w:t>
            </w: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left w:val="single" w:sz="4" w:space="0" w:color="auto"/>
              <w:right w:val="single" w:sz="4" w:space="0" w:color="auto"/>
            </w:tcBorders>
            <w:shd w:val="clear" w:color="auto" w:fill="auto"/>
          </w:tcPr>
          <w:p w:rsidR="001C700C" w:rsidRPr="009639F7" w:rsidRDefault="007C4CC9" w:rsidP="00464712">
            <w:pPr>
              <w:pStyle w:val="Normal6"/>
            </w:pPr>
            <w:r w:rsidRPr="009639F7">
              <w:rPr>
                <w:b/>
                <w:i/>
              </w:rPr>
              <w:t>2</w:t>
            </w:r>
            <w:r w:rsidR="001C700C" w:rsidRPr="009639F7">
              <w:rPr>
                <w:b/>
                <w:i/>
              </w:rPr>
              <w:t xml:space="preserve">i – VKEde säästva tegevuse tulemused, mida iseloomustab muu hulgas selliste liidu VKEde osakaalu suurenemine, kes töötavad välja säästlikke meremajanduse </w:t>
            </w:r>
            <w:r w:rsidR="001C700C" w:rsidRPr="009639F7">
              <w:rPr>
                <w:b/>
                <w:i/>
              </w:rPr>
              <w:lastRenderedPageBreak/>
              <w:t>ja keskkonnasäästlikke tooteid ja teenuseid, ning nende ressusrsitõhususe (mis võib hõlmata energiat, materjale või vett, ringlussevõttu jms) paranemine võrreldes lähteolukorraga.</w:t>
            </w:r>
          </w:p>
        </w:tc>
      </w:tr>
      <w:tr w:rsidR="001C700C" w:rsidRPr="009639F7" w:rsidTr="00464712">
        <w:trPr>
          <w:jc w:val="center"/>
        </w:trPr>
        <w:tc>
          <w:tcPr>
            <w:tcW w:w="4876" w:type="dxa"/>
            <w:tcBorders>
              <w:top w:val="single" w:sz="4" w:space="0" w:color="auto"/>
              <w:left w:val="single" w:sz="4" w:space="0" w:color="auto"/>
              <w:right w:val="single" w:sz="4" w:space="0" w:color="auto"/>
            </w:tcBorders>
            <w:shd w:val="clear" w:color="auto" w:fill="auto"/>
          </w:tcPr>
          <w:p w:rsidR="001C700C" w:rsidRPr="009639F7" w:rsidRDefault="001C700C" w:rsidP="00464712">
            <w:pPr>
              <w:pStyle w:val="Normal6"/>
            </w:pPr>
            <w:r w:rsidRPr="009639F7">
              <w:lastRenderedPageBreak/>
              <w:t>Artikli 3 lõike 2 punktis c sätestatud eesmärgid</w:t>
            </w:r>
          </w:p>
        </w:tc>
        <w:tc>
          <w:tcPr>
            <w:tcW w:w="4876" w:type="dxa"/>
            <w:tcBorders>
              <w:top w:val="single" w:sz="4" w:space="0" w:color="auto"/>
              <w:left w:val="single" w:sz="4" w:space="0" w:color="auto"/>
              <w:right w:val="single" w:sz="4" w:space="0" w:color="auto"/>
            </w:tcBorders>
            <w:shd w:val="clear" w:color="auto" w:fill="auto"/>
          </w:tcPr>
          <w:p w:rsidR="001C700C" w:rsidRPr="009639F7" w:rsidRDefault="001C700C" w:rsidP="00464712">
            <w:pPr>
              <w:pStyle w:val="Normal6"/>
            </w:pP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r w:rsidRPr="009639F7">
              <w:t>i)</w:t>
            </w:r>
          </w:p>
        </w:tc>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r w:rsidRPr="009639F7">
              <w:t>1 - Liikmesriikides riiklike standarditena rakendatavate Euroopa standardite osakaal Euroopa standardite koguarvust.</w:t>
            </w:r>
          </w:p>
        </w:tc>
      </w:tr>
      <w:tr w:rsidR="001C700C" w:rsidRPr="009639F7" w:rsidTr="00464712">
        <w:trPr>
          <w:jc w:val="center"/>
        </w:trPr>
        <w:tc>
          <w:tcPr>
            <w:tcW w:w="4876" w:type="dxa"/>
            <w:tcBorders>
              <w:left w:val="single" w:sz="4" w:space="0" w:color="auto"/>
              <w:bottom w:val="single" w:sz="4" w:space="0" w:color="auto"/>
              <w:right w:val="single" w:sz="4" w:space="0" w:color="auto"/>
            </w:tcBorders>
            <w:shd w:val="clear" w:color="auto" w:fill="auto"/>
          </w:tcPr>
          <w:p w:rsidR="001C700C" w:rsidRPr="009639F7" w:rsidRDefault="001C700C" w:rsidP="00464712">
            <w:pPr>
              <w:pStyle w:val="Normal6"/>
            </w:pPr>
            <w:r w:rsidRPr="009639F7">
              <w:t>ii)</w:t>
            </w:r>
          </w:p>
        </w:tc>
        <w:tc>
          <w:tcPr>
            <w:tcW w:w="4876" w:type="dxa"/>
            <w:tcBorders>
              <w:left w:val="single" w:sz="4" w:space="0" w:color="auto"/>
              <w:bottom w:val="single" w:sz="4" w:space="0" w:color="auto"/>
              <w:right w:val="single" w:sz="4" w:space="0" w:color="auto"/>
            </w:tcBorders>
            <w:shd w:val="clear" w:color="auto" w:fill="auto"/>
          </w:tcPr>
          <w:p w:rsidR="001C700C" w:rsidRPr="009639F7" w:rsidRDefault="001C700C" w:rsidP="00464712">
            <w:pPr>
              <w:pStyle w:val="Normal6"/>
            </w:pPr>
            <w:r w:rsidRPr="009639F7">
              <w:t>2 - Liidus heaks kiidetud rahvusvahelise finantsaruandluse ja auditeerimise standardite protsent.</w:t>
            </w:r>
          </w:p>
        </w:tc>
      </w:tr>
      <w:tr w:rsidR="001C700C" w:rsidRPr="009639F7" w:rsidTr="00464712">
        <w:trPr>
          <w:jc w:val="center"/>
        </w:trPr>
        <w:tc>
          <w:tcPr>
            <w:tcW w:w="4876" w:type="dxa"/>
            <w:tcBorders>
              <w:top w:val="single" w:sz="4" w:space="0" w:color="auto"/>
              <w:left w:val="single" w:sz="4" w:space="0" w:color="auto"/>
              <w:right w:val="single" w:sz="4" w:space="0" w:color="auto"/>
            </w:tcBorders>
            <w:shd w:val="clear" w:color="auto" w:fill="auto"/>
          </w:tcPr>
          <w:p w:rsidR="001C700C" w:rsidRPr="009639F7" w:rsidRDefault="001C700C" w:rsidP="00464712">
            <w:pPr>
              <w:pStyle w:val="Normal6"/>
            </w:pPr>
            <w:r w:rsidRPr="009639F7">
              <w:t>Artikli 3 lõike 2 punktis d sätestatud eesmärgid</w:t>
            </w:r>
          </w:p>
        </w:tc>
        <w:tc>
          <w:tcPr>
            <w:tcW w:w="4876" w:type="dxa"/>
            <w:tcBorders>
              <w:top w:val="single" w:sz="4" w:space="0" w:color="auto"/>
              <w:left w:val="single" w:sz="4" w:space="0" w:color="auto"/>
              <w:right w:val="single" w:sz="4" w:space="0" w:color="auto"/>
            </w:tcBorders>
            <w:shd w:val="clear" w:color="auto" w:fill="auto"/>
          </w:tcPr>
          <w:p w:rsidR="001C700C" w:rsidRPr="009639F7" w:rsidRDefault="001C700C" w:rsidP="00464712">
            <w:pPr>
              <w:pStyle w:val="Normal6"/>
            </w:pPr>
          </w:p>
        </w:tc>
      </w:tr>
      <w:tr w:rsidR="001C700C" w:rsidRPr="009639F7" w:rsidTr="00464712">
        <w:trPr>
          <w:jc w:val="center"/>
        </w:trPr>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r w:rsidRPr="009639F7">
              <w:t xml:space="preserve">i) </w:t>
            </w:r>
          </w:p>
        </w:tc>
        <w:tc>
          <w:tcPr>
            <w:tcW w:w="4876" w:type="dxa"/>
            <w:tcBorders>
              <w:left w:val="single" w:sz="4" w:space="0" w:color="auto"/>
              <w:right w:val="single" w:sz="4" w:space="0" w:color="auto"/>
            </w:tcBorders>
            <w:shd w:val="clear" w:color="auto" w:fill="auto"/>
          </w:tcPr>
          <w:p w:rsidR="001C700C" w:rsidRPr="009639F7" w:rsidRDefault="001C700C" w:rsidP="00464712">
            <w:pPr>
              <w:pStyle w:val="Normal6"/>
            </w:pPr>
            <w:r w:rsidRPr="009639F7">
              <w:t>1 - Tarbijaindeks.</w:t>
            </w:r>
          </w:p>
        </w:tc>
      </w:tr>
      <w:tr w:rsidR="001C700C" w:rsidRPr="009639F7" w:rsidTr="00464712">
        <w:trPr>
          <w:jc w:val="center"/>
        </w:trPr>
        <w:tc>
          <w:tcPr>
            <w:tcW w:w="4876" w:type="dxa"/>
            <w:tcBorders>
              <w:left w:val="single" w:sz="4" w:space="0" w:color="auto"/>
              <w:bottom w:val="single" w:sz="4" w:space="0" w:color="auto"/>
              <w:right w:val="single" w:sz="4" w:space="0" w:color="auto"/>
            </w:tcBorders>
            <w:shd w:val="clear" w:color="auto" w:fill="auto"/>
          </w:tcPr>
          <w:p w:rsidR="001C700C" w:rsidRPr="009639F7" w:rsidRDefault="001C700C" w:rsidP="00464712">
            <w:pPr>
              <w:pStyle w:val="Normal6"/>
            </w:pPr>
            <w:r w:rsidRPr="009639F7">
              <w:t xml:space="preserve">ii) </w:t>
            </w:r>
          </w:p>
        </w:tc>
        <w:tc>
          <w:tcPr>
            <w:tcW w:w="4876" w:type="dxa"/>
            <w:tcBorders>
              <w:left w:val="single" w:sz="4" w:space="0" w:color="auto"/>
              <w:bottom w:val="single" w:sz="4" w:space="0" w:color="auto"/>
              <w:right w:val="single" w:sz="4" w:space="0" w:color="auto"/>
            </w:tcBorders>
            <w:shd w:val="clear" w:color="auto" w:fill="auto"/>
          </w:tcPr>
          <w:p w:rsidR="001C700C" w:rsidRPr="009639F7" w:rsidRDefault="001C700C" w:rsidP="00464712">
            <w:pPr>
              <w:pStyle w:val="Normal6"/>
            </w:pPr>
            <w:r w:rsidRPr="009639F7">
              <w:t>2 - Finantsteenuste valdkonnas peetud avalike konsultatsioonide käigus toetusesaajate esitatud seisukohavõttude ja vastuste arv.</w:t>
            </w:r>
          </w:p>
        </w:tc>
      </w:tr>
      <w:tr w:rsidR="001C700C" w:rsidRPr="009639F7" w:rsidTr="00464712">
        <w:trPr>
          <w:jc w:val="center"/>
        </w:trPr>
        <w:tc>
          <w:tcPr>
            <w:tcW w:w="4876" w:type="dxa"/>
            <w:tcBorders>
              <w:top w:val="single" w:sz="4" w:space="0" w:color="auto"/>
              <w:left w:val="single" w:sz="4" w:space="0" w:color="auto"/>
              <w:bottom w:val="single" w:sz="4" w:space="0" w:color="auto"/>
              <w:right w:val="single" w:sz="4" w:space="0" w:color="auto"/>
            </w:tcBorders>
            <w:shd w:val="clear" w:color="auto" w:fill="auto"/>
          </w:tcPr>
          <w:p w:rsidR="001C700C" w:rsidRPr="009639F7" w:rsidRDefault="001C700C" w:rsidP="00464712">
            <w:pPr>
              <w:pStyle w:val="Normal6"/>
            </w:pPr>
            <w:r w:rsidRPr="009639F7">
              <w:t>Artikli 3 lõike 2 punktis e sätestatud eesmärgid</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1C700C" w:rsidRPr="009639F7" w:rsidRDefault="001C700C" w:rsidP="00464712">
            <w:pPr>
              <w:pStyle w:val="Normal6"/>
            </w:pPr>
            <w:r w:rsidRPr="009639F7">
              <w:t>1 - Edukalt ellu viidud riiklike veterinaar- ja fütosanitaarprogrammide arv.</w:t>
            </w:r>
          </w:p>
        </w:tc>
      </w:tr>
      <w:tr w:rsidR="001C700C" w:rsidRPr="009639F7" w:rsidTr="00464712">
        <w:trPr>
          <w:jc w:val="center"/>
        </w:trPr>
        <w:tc>
          <w:tcPr>
            <w:tcW w:w="4876" w:type="dxa"/>
            <w:tcBorders>
              <w:top w:val="single" w:sz="4" w:space="0" w:color="auto"/>
              <w:left w:val="single" w:sz="4" w:space="0" w:color="auto"/>
              <w:bottom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1C700C" w:rsidRPr="009639F7" w:rsidRDefault="001C700C" w:rsidP="00464712">
            <w:pPr>
              <w:pStyle w:val="Normal6"/>
              <w:rPr>
                <w:b/>
                <w:i/>
              </w:rPr>
            </w:pPr>
            <w:r w:rsidRPr="009639F7">
              <w:rPr>
                <w:b/>
                <w:i/>
              </w:rPr>
              <w:t>2 - Taimekahjurite põhjustatud hädaolukordade edukate lahendamiste arv.</w:t>
            </w:r>
          </w:p>
        </w:tc>
      </w:tr>
      <w:tr w:rsidR="001C700C" w:rsidRPr="009639F7" w:rsidTr="00464712">
        <w:trPr>
          <w:jc w:val="center"/>
        </w:trPr>
        <w:tc>
          <w:tcPr>
            <w:tcW w:w="4876" w:type="dxa"/>
            <w:tcBorders>
              <w:top w:val="single" w:sz="4" w:space="0" w:color="auto"/>
              <w:left w:val="single" w:sz="4" w:space="0" w:color="auto"/>
              <w:bottom w:val="single" w:sz="4" w:space="0" w:color="auto"/>
              <w:right w:val="single" w:sz="4" w:space="0" w:color="auto"/>
            </w:tcBorders>
            <w:shd w:val="clear" w:color="auto" w:fill="auto"/>
          </w:tcPr>
          <w:p w:rsidR="001C700C" w:rsidRPr="009639F7" w:rsidRDefault="001C700C" w:rsidP="00464712">
            <w:pPr>
              <w:pStyle w:val="Normal6"/>
            </w:pP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1C700C" w:rsidRPr="009639F7" w:rsidRDefault="001C700C" w:rsidP="00464712">
            <w:pPr>
              <w:pStyle w:val="Normal6"/>
              <w:rPr>
                <w:b/>
                <w:i/>
              </w:rPr>
            </w:pPr>
            <w:r w:rsidRPr="009639F7">
              <w:rPr>
                <w:b/>
                <w:i/>
              </w:rPr>
              <w:t>3 - Haiguste põhjustatud hädaolukordade edukate lahendamiste arv.</w:t>
            </w:r>
          </w:p>
        </w:tc>
      </w:tr>
      <w:tr w:rsidR="001C700C" w:rsidRPr="009639F7" w:rsidTr="00464712">
        <w:trPr>
          <w:jc w:val="center"/>
        </w:trPr>
        <w:tc>
          <w:tcPr>
            <w:tcW w:w="4876" w:type="dxa"/>
            <w:tcBorders>
              <w:top w:val="single" w:sz="4" w:space="0" w:color="auto"/>
              <w:left w:val="single" w:sz="4" w:space="0" w:color="auto"/>
              <w:bottom w:val="single" w:sz="4" w:space="0" w:color="auto"/>
              <w:right w:val="single" w:sz="4" w:space="0" w:color="auto"/>
            </w:tcBorders>
            <w:shd w:val="clear" w:color="auto" w:fill="auto"/>
          </w:tcPr>
          <w:p w:rsidR="001C700C" w:rsidRPr="009639F7" w:rsidRDefault="001C700C" w:rsidP="00464712">
            <w:pPr>
              <w:pStyle w:val="Normal6"/>
            </w:pPr>
            <w:r w:rsidRPr="009639F7">
              <w:t>Artikli 3 lõike 2 punktis f sätestatud eesmärgid</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1C700C" w:rsidRPr="009639F7" w:rsidRDefault="001C700C" w:rsidP="00464712">
            <w:pPr>
              <w:pStyle w:val="Normal6"/>
            </w:pPr>
            <w:r w:rsidRPr="009639F7">
              <w:t>1 - Internetis avaldatud statistika mõju: veebis viitamiste ning positiivsete/negatiivsete arvamuste arv.</w:t>
            </w:r>
          </w:p>
        </w:tc>
      </w:tr>
    </w:tbl>
    <w:p w:rsidR="00E365E1" w:rsidRPr="009639F7" w:rsidRDefault="00E365E1" w:rsidP="001C700C">
      <w:bookmarkStart w:id="1" w:name="TextBodyEnd"/>
      <w:bookmarkEnd w:id="1"/>
    </w:p>
    <w:sectPr w:rsidR="00E365E1" w:rsidRPr="009639F7" w:rsidSect="003E481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712" w:rsidRPr="003E4810" w:rsidRDefault="00464712">
      <w:r w:rsidRPr="003E4810">
        <w:separator/>
      </w:r>
    </w:p>
  </w:endnote>
  <w:endnote w:type="continuationSeparator" w:id="0">
    <w:p w:rsidR="00464712" w:rsidRPr="003E4810" w:rsidRDefault="00464712">
      <w:r w:rsidRPr="003E48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9F7" w:rsidRDefault="00963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712" w:rsidRDefault="00464712" w:rsidP="009639F7">
    <w:pPr>
      <w:pStyle w:val="Footer"/>
      <w:tabs>
        <w:tab w:val="clear" w:pos="9639"/>
        <w:tab w:val="right" w:pos="9184"/>
      </w:tabs>
    </w:pPr>
  </w:p>
  <w:p w:rsidR="009639F7" w:rsidRDefault="009639F7" w:rsidP="009639F7">
    <w:pPr>
      <w:pStyle w:val="Footer"/>
      <w:pBdr>
        <w:top w:val="single" w:sz="2" w:space="1" w:color="000000"/>
      </w:pBdr>
      <w:tabs>
        <w:tab w:val="clear" w:pos="9639"/>
        <w:tab w:val="right" w:pos="9184"/>
      </w:tabs>
    </w:pPr>
    <w:r>
      <w:tab/>
    </w:r>
    <w:r w:rsidRPr="009639F7">
      <w:rPr>
        <w:rStyle w:val="HideTWBExt"/>
      </w:rPr>
      <w:t>&lt;NuPE&gt;</w:t>
    </w:r>
    <w:r>
      <w:t>PE631.706</w:t>
    </w:r>
    <w:r w:rsidRPr="009639F7">
      <w:rPr>
        <w:rStyle w:val="HideTWBExt"/>
      </w:rPr>
      <w:t>&lt;/NuPE&gt;</w:t>
    </w:r>
    <w:r>
      <w:t xml:space="preserve">/ </w:t>
    </w:r>
    <w:r>
      <w:fldChar w:fldCharType="begin"/>
    </w:r>
    <w:r>
      <w:instrText xml:space="preserve"> PAGE  \* MERGEFORMAT </w:instrText>
    </w:r>
    <w:r>
      <w:fldChar w:fldCharType="separate"/>
    </w:r>
    <w:r w:rsidR="00F66F22">
      <w:rPr>
        <w:noProof/>
      </w:rPr>
      <w:t>1</w:t>
    </w:r>
    <w:r>
      <w:fldChar w:fldCharType="end"/>
    </w:r>
  </w:p>
  <w:p w:rsidR="009639F7" w:rsidRPr="009639F7" w:rsidRDefault="009639F7" w:rsidP="009639F7">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9F7" w:rsidRDefault="00963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712" w:rsidRPr="003E4810" w:rsidRDefault="00464712">
      <w:r w:rsidRPr="003E4810">
        <w:separator/>
      </w:r>
    </w:p>
  </w:footnote>
  <w:footnote w:type="continuationSeparator" w:id="0">
    <w:p w:rsidR="00464712" w:rsidRPr="003E4810" w:rsidRDefault="00464712">
      <w:r w:rsidRPr="003E481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9F7" w:rsidRDefault="00963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9F7" w:rsidRDefault="00963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9F7" w:rsidRDefault="00963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431247BE"/>
    <w:multiLevelType w:val="hybridMultilevel"/>
    <w:tmpl w:val="0B90DAA4"/>
    <w:lvl w:ilvl="0" w:tplc="F3A0CF8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52/2019"/>
    <w:docVar w:name="dvlangue" w:val="ET"/>
    <w:docVar w:name="dvnumam" w:val="382"/>
    <w:docVar w:name="dvpe" w:val="628.465"/>
    <w:docVar w:name="dvrapporteur" w:val="Raportöör: "/>
    <w:docVar w:name="dvtitre" w:val="Euroopa Parlamendi .... 2019. aasta seadusandlik resolutsioon mis käsitleb ettepanekut võtta vastu Euroopa Parlamendi ja nõukogu määrus, millega luuakse ühtse turu, ettevõtete, sealhulgas väikeste ja keskmise suurusega ettevõtjate konkurentsivõime ja Euroopa statistika programm ning tunnistatakse kehtetuks määrused (EL) nr 99/2013, (EL) nr 1287/2013, (EL) nr 254/2014, (EL) nr 258/2014, (EL) nr 652/2014 ja (EL) nr 2017/826(COM(2018)0441 – C8-0254/2018 – 2018/0231(COD))"/>
    <w:docVar w:name="TA_Comm_A5Nr" w:val="A8-0052/2019"/>
    <w:docVar w:name="TA_Comm_Langue" w:val="ET"/>
    <w:docVar w:name="TA_Comm_NrAM" w:val="001-149"/>
    <w:docVar w:name="TA_Type" w:val="TA_COMM"/>
  </w:docVars>
  <w:rsids>
    <w:rsidRoot w:val="00983B9C"/>
    <w:rsid w:val="00002272"/>
    <w:rsid w:val="000677B9"/>
    <w:rsid w:val="000E7DD9"/>
    <w:rsid w:val="0010095E"/>
    <w:rsid w:val="00125B37"/>
    <w:rsid w:val="001C700C"/>
    <w:rsid w:val="002767FF"/>
    <w:rsid w:val="002B5493"/>
    <w:rsid w:val="00361C00"/>
    <w:rsid w:val="00395FA1"/>
    <w:rsid w:val="003E15D4"/>
    <w:rsid w:val="003E4810"/>
    <w:rsid w:val="00411CCE"/>
    <w:rsid w:val="0041666E"/>
    <w:rsid w:val="00421060"/>
    <w:rsid w:val="004332B1"/>
    <w:rsid w:val="00464712"/>
    <w:rsid w:val="00494A28"/>
    <w:rsid w:val="0050519A"/>
    <w:rsid w:val="005072A1"/>
    <w:rsid w:val="00514517"/>
    <w:rsid w:val="006037C0"/>
    <w:rsid w:val="00680577"/>
    <w:rsid w:val="006F74FA"/>
    <w:rsid w:val="00731ADD"/>
    <w:rsid w:val="00734777"/>
    <w:rsid w:val="00751A4A"/>
    <w:rsid w:val="00756632"/>
    <w:rsid w:val="007C4CC9"/>
    <w:rsid w:val="007D1690"/>
    <w:rsid w:val="00865F67"/>
    <w:rsid w:val="00881A7B"/>
    <w:rsid w:val="008840E5"/>
    <w:rsid w:val="008C2AC6"/>
    <w:rsid w:val="009509D8"/>
    <w:rsid w:val="009639F7"/>
    <w:rsid w:val="00981893"/>
    <w:rsid w:val="00983B9C"/>
    <w:rsid w:val="00A4678D"/>
    <w:rsid w:val="00AF3B82"/>
    <w:rsid w:val="00B558F0"/>
    <w:rsid w:val="00BC0E7C"/>
    <w:rsid w:val="00BD7BD8"/>
    <w:rsid w:val="00C05BFE"/>
    <w:rsid w:val="00C23CD4"/>
    <w:rsid w:val="00C941CB"/>
    <w:rsid w:val="00C942DC"/>
    <w:rsid w:val="00CB4461"/>
    <w:rsid w:val="00CC2357"/>
    <w:rsid w:val="00CC3FB2"/>
    <w:rsid w:val="00D058B8"/>
    <w:rsid w:val="00D834A0"/>
    <w:rsid w:val="00D91E21"/>
    <w:rsid w:val="00E04ACD"/>
    <w:rsid w:val="00E365E1"/>
    <w:rsid w:val="00ED4235"/>
    <w:rsid w:val="00F04346"/>
    <w:rsid w:val="00F075DC"/>
    <w:rsid w:val="00F5134D"/>
    <w:rsid w:val="00F66F22"/>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176E5"/>
  <w15:chartTrackingRefBased/>
  <w15:docId w15:val="{6C02CEA3-788B-4468-83EF-AE38903D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1C700C"/>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1C700C"/>
    <w:rPr>
      <w:sz w:val="24"/>
      <w:lang w:val="fr-FR" w:eastAsia="fr-FR"/>
    </w:rPr>
  </w:style>
  <w:style w:type="character" w:customStyle="1" w:styleId="Heading3Char">
    <w:name w:val="Heading 3 Char"/>
    <w:link w:val="Heading3"/>
    <w:rsid w:val="001C700C"/>
    <w:rPr>
      <w:rFonts w:ascii="Arial" w:hAnsi="Arial"/>
      <w:sz w:val="24"/>
      <w:lang w:val="fr-FR" w:eastAsia="fr-FR"/>
    </w:rPr>
  </w:style>
  <w:style w:type="character" w:customStyle="1" w:styleId="Heading4Char">
    <w:name w:val="Heading 4 Char"/>
    <w:link w:val="Heading4"/>
    <w:rsid w:val="001C700C"/>
    <w:rPr>
      <w:sz w:val="24"/>
      <w:lang w:val="en-US" w:eastAsia="fr-FR"/>
    </w:rPr>
  </w:style>
  <w:style w:type="character" w:customStyle="1" w:styleId="Heading5Char">
    <w:name w:val="Heading 5 Char"/>
    <w:link w:val="Heading5"/>
    <w:rsid w:val="001C700C"/>
    <w:rPr>
      <w:sz w:val="24"/>
      <w:lang w:val="en-US" w:eastAsia="fr-FR"/>
    </w:rPr>
  </w:style>
  <w:style w:type="character" w:customStyle="1" w:styleId="Heading6Char">
    <w:name w:val="Heading 6 Char"/>
    <w:link w:val="Heading6"/>
    <w:rsid w:val="001C700C"/>
    <w:rPr>
      <w:i/>
      <w:sz w:val="22"/>
      <w:lang w:val="et-EE"/>
    </w:rPr>
  </w:style>
  <w:style w:type="character" w:customStyle="1" w:styleId="Heading7Char">
    <w:name w:val="Heading 7 Char"/>
    <w:link w:val="Heading7"/>
    <w:rsid w:val="001C700C"/>
    <w:rPr>
      <w:rFonts w:ascii="Arial" w:hAnsi="Arial"/>
      <w:sz w:val="24"/>
      <w:lang w:val="et-EE"/>
    </w:rPr>
  </w:style>
  <w:style w:type="character" w:customStyle="1" w:styleId="Heading8Char">
    <w:name w:val="Heading 8 Char"/>
    <w:link w:val="Heading8"/>
    <w:rsid w:val="001C700C"/>
    <w:rPr>
      <w:rFonts w:ascii="Arial" w:hAnsi="Arial"/>
      <w:i/>
      <w:sz w:val="24"/>
      <w:lang w:val="et-EE"/>
    </w:rPr>
  </w:style>
  <w:style w:type="character" w:customStyle="1" w:styleId="Heading9Char">
    <w:name w:val="Heading 9 Char"/>
    <w:link w:val="Heading9"/>
    <w:rsid w:val="001C700C"/>
    <w:rPr>
      <w:rFonts w:ascii="Arial" w:hAnsi="Arial"/>
      <w:b/>
      <w:i/>
      <w:sz w:val="18"/>
      <w:lang w:val="et-EE"/>
    </w:rPr>
  </w:style>
  <w:style w:type="character" w:customStyle="1" w:styleId="FooterChar">
    <w:name w:val="Footer Char"/>
    <w:link w:val="Footer"/>
    <w:rsid w:val="001C700C"/>
    <w:rPr>
      <w:sz w:val="22"/>
      <w:lang w:val="fr-FR" w:eastAsia="fr-FR"/>
    </w:rPr>
  </w:style>
  <w:style w:type="character" w:customStyle="1" w:styleId="Normal6Char">
    <w:name w:val="Normal6 Char"/>
    <w:link w:val="Normal6"/>
    <w:rsid w:val="001C700C"/>
    <w:rPr>
      <w:sz w:val="24"/>
      <w:lang w:val="et-EE"/>
    </w:rPr>
  </w:style>
  <w:style w:type="character" w:customStyle="1" w:styleId="NormalBoldChar">
    <w:name w:val="NormalBold Char"/>
    <w:link w:val="NormalBold"/>
    <w:rsid w:val="001C700C"/>
    <w:rPr>
      <w:b/>
      <w:sz w:val="24"/>
      <w:lang w:val="et-EE"/>
    </w:rPr>
  </w:style>
  <w:style w:type="paragraph" w:customStyle="1" w:styleId="Normal12Italic">
    <w:name w:val="Normal12Italic"/>
    <w:basedOn w:val="Normal"/>
    <w:rsid w:val="001C700C"/>
    <w:pPr>
      <w:spacing w:before="240"/>
    </w:pPr>
    <w:rPr>
      <w:i/>
    </w:rPr>
  </w:style>
  <w:style w:type="paragraph" w:customStyle="1" w:styleId="CrossRef">
    <w:name w:val="CrossRef"/>
    <w:basedOn w:val="Normal"/>
    <w:rsid w:val="001C700C"/>
    <w:pPr>
      <w:spacing w:before="240"/>
      <w:jc w:val="center"/>
    </w:pPr>
    <w:rPr>
      <w:i/>
    </w:rPr>
  </w:style>
  <w:style w:type="paragraph" w:customStyle="1" w:styleId="JustificationTitle">
    <w:name w:val="JustificationTitle"/>
    <w:basedOn w:val="Normal"/>
    <w:next w:val="Normal12"/>
    <w:rsid w:val="001C700C"/>
    <w:pPr>
      <w:keepNext/>
      <w:spacing w:before="240"/>
      <w:jc w:val="center"/>
    </w:pPr>
    <w:rPr>
      <w:i/>
    </w:rPr>
  </w:style>
  <w:style w:type="paragraph" w:customStyle="1" w:styleId="Normal12Centre">
    <w:name w:val="Normal12Centre"/>
    <w:basedOn w:val="Normal12"/>
    <w:rsid w:val="001C700C"/>
    <w:pPr>
      <w:jc w:val="center"/>
    </w:pPr>
  </w:style>
  <w:style w:type="paragraph" w:customStyle="1" w:styleId="Normal12Keep">
    <w:name w:val="Normal12Keep"/>
    <w:basedOn w:val="Normal12"/>
    <w:rsid w:val="001C700C"/>
    <w:pPr>
      <w:keepNext/>
    </w:pPr>
  </w:style>
  <w:style w:type="paragraph" w:customStyle="1" w:styleId="Normal12Tab">
    <w:name w:val="Normal12Tab"/>
    <w:basedOn w:val="Normal12"/>
    <w:rsid w:val="001C700C"/>
    <w:pPr>
      <w:tabs>
        <w:tab w:val="left" w:pos="567"/>
      </w:tabs>
    </w:pPr>
  </w:style>
  <w:style w:type="paragraph" w:customStyle="1" w:styleId="StarsAndIs">
    <w:name w:val="StarsAndIs"/>
    <w:basedOn w:val="Normal"/>
    <w:rsid w:val="001C700C"/>
    <w:pPr>
      <w:ind w:left="1418"/>
    </w:pPr>
    <w:rPr>
      <w:rFonts w:ascii="Arial" w:hAnsi="Arial"/>
      <w:b/>
      <w:sz w:val="48"/>
    </w:rPr>
  </w:style>
  <w:style w:type="paragraph" w:customStyle="1" w:styleId="Lgendesigne">
    <w:name w:val="Légende signe"/>
    <w:basedOn w:val="Normal"/>
    <w:rsid w:val="001C700C"/>
    <w:pPr>
      <w:tabs>
        <w:tab w:val="right" w:pos="454"/>
        <w:tab w:val="left" w:pos="737"/>
      </w:tabs>
      <w:ind w:left="737" w:hanging="737"/>
    </w:pPr>
    <w:rPr>
      <w:snapToGrid w:val="0"/>
      <w:sz w:val="18"/>
      <w:lang w:eastAsia="en-US"/>
    </w:rPr>
  </w:style>
  <w:style w:type="paragraph" w:customStyle="1" w:styleId="TypeDoc">
    <w:name w:val="TypeDoc"/>
    <w:basedOn w:val="Normal24"/>
    <w:rsid w:val="001C700C"/>
    <w:pPr>
      <w:ind w:left="1418"/>
    </w:pPr>
    <w:rPr>
      <w:rFonts w:ascii="Arial" w:hAnsi="Arial"/>
      <w:b/>
      <w:sz w:val="48"/>
    </w:rPr>
  </w:style>
  <w:style w:type="paragraph" w:customStyle="1" w:styleId="ZDate">
    <w:name w:val="ZDate"/>
    <w:basedOn w:val="Normal"/>
    <w:rsid w:val="001C700C"/>
    <w:pPr>
      <w:spacing w:after="1200"/>
    </w:pPr>
  </w:style>
  <w:style w:type="character" w:customStyle="1" w:styleId="HeaderChar">
    <w:name w:val="Header Char"/>
    <w:link w:val="Header"/>
    <w:rsid w:val="001C700C"/>
    <w:rPr>
      <w:sz w:val="24"/>
      <w:lang w:val="fr-FR" w:eastAsia="fr-FR"/>
    </w:rPr>
  </w:style>
  <w:style w:type="paragraph" w:customStyle="1" w:styleId="Olang">
    <w:name w:val="Olang"/>
    <w:basedOn w:val="Normal"/>
    <w:rsid w:val="001C700C"/>
    <w:pPr>
      <w:spacing w:before="240" w:after="240"/>
      <w:jc w:val="right"/>
    </w:pPr>
    <w:rPr>
      <w:noProof/>
    </w:rPr>
  </w:style>
  <w:style w:type="paragraph" w:customStyle="1" w:styleId="ColumnHeading">
    <w:name w:val="ColumnHeading"/>
    <w:basedOn w:val="Normal"/>
    <w:rsid w:val="001C700C"/>
    <w:pPr>
      <w:spacing w:after="240"/>
      <w:jc w:val="center"/>
    </w:pPr>
    <w:rPr>
      <w:i/>
    </w:rPr>
  </w:style>
  <w:style w:type="paragraph" w:customStyle="1" w:styleId="AMNumberTabs">
    <w:name w:val="AMNumberTabs"/>
    <w:basedOn w:val="Normal"/>
    <w:rsid w:val="001C700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1C700C"/>
    <w:pPr>
      <w:spacing w:before="240"/>
    </w:pPr>
    <w:rPr>
      <w:b/>
    </w:rPr>
  </w:style>
  <w:style w:type="paragraph" w:customStyle="1" w:styleId="ZCommittee">
    <w:name w:val="ZCommittee"/>
    <w:basedOn w:val="Normal"/>
    <w:next w:val="Normal"/>
    <w:rsid w:val="001C700C"/>
    <w:pPr>
      <w:jc w:val="center"/>
    </w:pPr>
    <w:rPr>
      <w:rFonts w:ascii="Arial" w:hAnsi="Arial" w:cs="Arial"/>
      <w:i/>
      <w:sz w:val="22"/>
      <w:szCs w:val="22"/>
    </w:rPr>
  </w:style>
  <w:style w:type="paragraph" w:customStyle="1" w:styleId="Lgendetitre">
    <w:name w:val="Légende titre"/>
    <w:basedOn w:val="Normal"/>
    <w:rsid w:val="001C700C"/>
    <w:pPr>
      <w:spacing w:before="240" w:after="240"/>
    </w:pPr>
    <w:rPr>
      <w:b/>
      <w:i/>
      <w:snapToGrid w:val="0"/>
      <w:lang w:eastAsia="en-US"/>
    </w:rPr>
  </w:style>
  <w:style w:type="paragraph" w:customStyle="1" w:styleId="Lgendestandard">
    <w:name w:val="Légende standard"/>
    <w:basedOn w:val="Lgendesigne"/>
    <w:rsid w:val="001C700C"/>
    <w:pPr>
      <w:ind w:left="0" w:firstLine="0"/>
    </w:pPr>
  </w:style>
  <w:style w:type="paragraph" w:styleId="BalloonText">
    <w:name w:val="Balloon Text"/>
    <w:basedOn w:val="Normal"/>
    <w:link w:val="BalloonTextChar"/>
    <w:rsid w:val="001C700C"/>
    <w:rPr>
      <w:rFonts w:ascii="Segoe UI" w:hAnsi="Segoe UI" w:cs="Segoe UI"/>
      <w:sz w:val="18"/>
      <w:szCs w:val="18"/>
    </w:rPr>
  </w:style>
  <w:style w:type="character" w:customStyle="1" w:styleId="BalloonTextChar">
    <w:name w:val="Balloon Text Char"/>
    <w:basedOn w:val="DefaultParagraphFont"/>
    <w:link w:val="BalloonText"/>
    <w:rsid w:val="001C700C"/>
    <w:rPr>
      <w:rFonts w:ascii="Segoe UI" w:hAnsi="Segoe UI" w:cs="Segoe UI"/>
      <w:sz w:val="18"/>
      <w:szCs w:val="18"/>
      <w:lang w:val="et-EE"/>
    </w:rPr>
  </w:style>
  <w:style w:type="paragraph" w:customStyle="1" w:styleId="Textbody">
    <w:name w:val="Text body"/>
    <w:basedOn w:val="Normal"/>
    <w:rsid w:val="001C700C"/>
    <w:pPr>
      <w:suppressAutoHyphens/>
      <w:autoSpaceDN w:val="0"/>
      <w:spacing w:after="140" w:line="288" w:lineRule="auto"/>
    </w:pPr>
    <w:rPr>
      <w:rFonts w:ascii="Liberation Serif" w:eastAsia="SimSun" w:hAnsi="Liberation Serif" w:cs="Arial"/>
      <w:kern w:val="3"/>
      <w:szCs w:val="24"/>
      <w:lang w:eastAsia="zh-CN" w:bidi="hi-IN"/>
    </w:rPr>
  </w:style>
  <w:style w:type="paragraph" w:customStyle="1" w:styleId="msonormal0">
    <w:name w:val="msonormal"/>
    <w:basedOn w:val="Normal"/>
    <w:rsid w:val="001C700C"/>
    <w:pPr>
      <w:widowControl/>
      <w:spacing w:before="100" w:beforeAutospacing="1" w:after="100" w:afterAutospacing="1"/>
    </w:pPr>
    <w:rPr>
      <w:szCs w:val="24"/>
    </w:rPr>
  </w:style>
  <w:style w:type="character" w:customStyle="1" w:styleId="Normal12Char">
    <w:name w:val="Normal12 Char"/>
    <w:link w:val="Normal12"/>
    <w:locked/>
    <w:rsid w:val="001C700C"/>
    <w:rPr>
      <w:sz w:val="24"/>
      <w:lang w:val="et-EE"/>
    </w:rPr>
  </w:style>
  <w:style w:type="paragraph" w:customStyle="1" w:styleId="CommitteeAM">
    <w:name w:val="CommitteeAM"/>
    <w:basedOn w:val="Normal"/>
    <w:rsid w:val="001C700C"/>
    <w:pPr>
      <w:spacing w:before="240" w:after="600"/>
      <w:jc w:val="center"/>
    </w:pPr>
    <w:rPr>
      <w:i/>
    </w:rPr>
  </w:style>
  <w:style w:type="paragraph" w:customStyle="1" w:styleId="ZDateAM">
    <w:name w:val="ZDateAM"/>
    <w:basedOn w:val="Normal"/>
    <w:rsid w:val="001C700C"/>
    <w:pPr>
      <w:tabs>
        <w:tab w:val="right" w:pos="9356"/>
      </w:tabs>
      <w:spacing w:after="480"/>
    </w:pPr>
    <w:rPr>
      <w:noProof/>
    </w:rPr>
  </w:style>
  <w:style w:type="paragraph" w:customStyle="1" w:styleId="ProjRap">
    <w:name w:val="ProjRap"/>
    <w:basedOn w:val="Normal"/>
    <w:rsid w:val="001C700C"/>
    <w:pPr>
      <w:tabs>
        <w:tab w:val="right" w:pos="9356"/>
      </w:tabs>
    </w:pPr>
    <w:rPr>
      <w:b/>
      <w:noProof/>
    </w:rPr>
  </w:style>
  <w:style w:type="character" w:customStyle="1" w:styleId="Footer2Middle">
    <w:name w:val="Footer2Middle"/>
    <w:rsid w:val="001C700C"/>
    <w:rPr>
      <w:rFonts w:ascii="Arial" w:hAnsi="Arial" w:cs="Arial" w:hint="default"/>
      <w:b w:val="0"/>
      <w:bCs w:val="0"/>
      <w:i/>
      <w:iCs w:val="0"/>
      <w:color w:val="C0C0C0"/>
      <w:sz w:val="22"/>
    </w:rPr>
  </w:style>
  <w:style w:type="character" w:styleId="CommentReference">
    <w:name w:val="annotation reference"/>
    <w:rsid w:val="001C700C"/>
    <w:rPr>
      <w:sz w:val="16"/>
      <w:szCs w:val="16"/>
    </w:rPr>
  </w:style>
  <w:style w:type="paragraph" w:styleId="CommentText">
    <w:name w:val="annotation text"/>
    <w:basedOn w:val="Normal"/>
    <w:link w:val="CommentTextChar"/>
    <w:rsid w:val="001C700C"/>
    <w:rPr>
      <w:sz w:val="20"/>
    </w:rPr>
  </w:style>
  <w:style w:type="character" w:customStyle="1" w:styleId="CommentTextChar">
    <w:name w:val="Comment Text Char"/>
    <w:basedOn w:val="DefaultParagraphFont"/>
    <w:link w:val="CommentText"/>
    <w:rsid w:val="001C700C"/>
    <w:rPr>
      <w:lang w:val="et-EE"/>
    </w:rPr>
  </w:style>
  <w:style w:type="paragraph" w:styleId="CommentSubject">
    <w:name w:val="annotation subject"/>
    <w:basedOn w:val="CommentText"/>
    <w:next w:val="CommentText"/>
    <w:link w:val="CommentSubjectChar"/>
    <w:rsid w:val="001C700C"/>
    <w:rPr>
      <w:b/>
      <w:bCs/>
    </w:rPr>
  </w:style>
  <w:style w:type="character" w:customStyle="1" w:styleId="CommentSubjectChar">
    <w:name w:val="Comment Subject Char"/>
    <w:basedOn w:val="CommentTextChar"/>
    <w:link w:val="CommentSubject"/>
    <w:rsid w:val="001C700C"/>
    <w:rPr>
      <w:b/>
      <w:bCs/>
      <w:lang w:val="et-EE"/>
    </w:rPr>
  </w:style>
  <w:style w:type="paragraph" w:customStyle="1" w:styleId="NormalTabs">
    <w:name w:val="NormalTabs"/>
    <w:basedOn w:val="Normal"/>
    <w:qFormat/>
    <w:rsid w:val="001C700C"/>
    <w:pPr>
      <w:tabs>
        <w:tab w:val="center" w:pos="284"/>
        <w:tab w:val="left" w:pos="426"/>
      </w:tabs>
    </w:pPr>
    <w:rPr>
      <w:snapToGrid w:val="0"/>
      <w:lang w:eastAsia="en-US"/>
    </w:rPr>
  </w:style>
  <w:style w:type="character" w:customStyle="1" w:styleId="Sup">
    <w:name w:val="Sup"/>
    <w:rsid w:val="001C700C"/>
    <w:rPr>
      <w:color w:val="000000"/>
      <w:vertAlign w:val="superscript"/>
    </w:rPr>
  </w:style>
  <w:style w:type="paragraph" w:customStyle="1" w:styleId="PageHeadingNotTOC">
    <w:name w:val="PageHeadingNotTOC"/>
    <w:basedOn w:val="Normal"/>
    <w:rsid w:val="001C700C"/>
    <w:pPr>
      <w:keepNext/>
      <w:spacing w:before="240" w:after="240"/>
      <w:jc w:val="center"/>
    </w:pPr>
    <w:rPr>
      <w:rFonts w:ascii="Arial" w:hAnsi="Arial"/>
      <w:b/>
    </w:rPr>
  </w:style>
  <w:style w:type="paragraph" w:customStyle="1" w:styleId="ConclusionsPA">
    <w:name w:val="ConclusionsPA"/>
    <w:basedOn w:val="Normal12"/>
    <w:rsid w:val="001C700C"/>
    <w:pPr>
      <w:spacing w:before="480"/>
      <w:jc w:val="center"/>
    </w:pPr>
    <w:rPr>
      <w:rFonts w:ascii="Arial" w:hAnsi="Arial"/>
      <w:b/>
      <w:caps/>
      <w:snapToGrid w:val="0"/>
      <w:lang w:eastAsia="en-US"/>
    </w:rPr>
  </w:style>
  <w:style w:type="paragraph" w:styleId="NormalWeb">
    <w:name w:val="Normal (Web)"/>
    <w:basedOn w:val="Normal"/>
    <w:uiPriority w:val="99"/>
    <w:unhideWhenUsed/>
    <w:rsid w:val="001C700C"/>
    <w:pPr>
      <w:widowControl/>
    </w:pPr>
    <w:rPr>
      <w:rFonts w:eastAsia="Calibri"/>
      <w:szCs w:val="24"/>
    </w:rPr>
  </w:style>
  <w:style w:type="character" w:styleId="Strong">
    <w:name w:val="Strong"/>
    <w:uiPriority w:val="22"/>
    <w:qFormat/>
    <w:rsid w:val="001C700C"/>
    <w:rPr>
      <w:b/>
      <w:bCs/>
    </w:rPr>
  </w:style>
  <w:style w:type="character" w:styleId="Hyperlink">
    <w:name w:val="Hyperlink"/>
    <w:rsid w:val="001C700C"/>
    <w:rPr>
      <w:color w:val="0563C1"/>
      <w:u w:val="single"/>
    </w:rPr>
  </w:style>
  <w:style w:type="paragraph" w:styleId="Revision">
    <w:name w:val="Revision"/>
    <w:hidden/>
    <w:uiPriority w:val="99"/>
    <w:semiHidden/>
    <w:rsid w:val="001C700C"/>
    <w:rPr>
      <w:sz w:val="24"/>
      <w:szCs w:val="24"/>
      <w:lang w:val="et-EE"/>
    </w:rPr>
  </w:style>
  <w:style w:type="paragraph" w:customStyle="1" w:styleId="gridlines">
    <w:name w:val="gridlines"/>
    <w:basedOn w:val="EPName"/>
    <w:rsid w:val="001C700C"/>
    <w:rPr>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20504</Words>
  <Characters>158418</Characters>
  <Application>Microsoft Office Word</Application>
  <DocSecurity>0</DocSecurity>
  <Lines>5867</Lines>
  <Paragraphs>1431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177491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RAUDNASK Juta</dc:creator>
  <cp:keywords/>
  <cp:lastModifiedBy>RAUDNASK Juta</cp:lastModifiedBy>
  <cp:revision>2</cp:revision>
  <cp:lastPrinted>2004-11-19T15:42:00Z</cp:lastPrinted>
  <dcterms:created xsi:type="dcterms:W3CDTF">2019-02-08T10:39:00Z</dcterms:created>
  <dcterms:modified xsi:type="dcterms:W3CDTF">2019-02-08T10:39:00Z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A8-0052_001-149</vt:lpwstr>
  </property>
  <property fmtid="{D5CDD505-2E9C-101B-9397-08002B2CF9AE}" pid="4" name="&lt;Type&gt;">
    <vt:lpwstr>AM</vt:lpwstr>
  </property>
</Properties>
</file>