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</w:pPr>
      <w:r w:rsidRPr="00D42723">
        <w:rPr>
          <w:rStyle w:val="HideTWBExt"/>
        </w:rPr>
        <w:t>&lt;Date&gt;</w:t>
      </w:r>
      <w:r>
        <w:t>23.10.2019</w:t>
      </w:r>
      <w:r w:rsidRPr="00D42723">
        <w:rPr>
          <w:rStyle w:val="HideTWBExt"/>
        </w:rPr>
        <w:t>&lt;/Date&gt;</w:t>
      </w:r>
      <w:r>
        <w:tab/>
        <w:t xml:space="preserve">A9-0020/ </w:t>
      </w:r>
      <w:r w:rsidRPr="00D42723">
        <w:rPr>
          <w:rStyle w:val="HideTWBExt"/>
        </w:rPr>
        <w:t>&lt;NumOfAM&gt;</w:t>
      </w:r>
      <w:r>
        <w:t>001-014</w:t>
      </w:r>
      <w:bookmarkStart w:id="0" w:name="_GoBack"/>
      <w:bookmarkEnd w:id="0"/>
      <w:r w:rsidRPr="00D42723">
        <w:rPr>
          <w:rStyle w:val="HideTWBExt"/>
        </w:rPr>
        <w:t>&lt;/NumOfAM&gt;</w:t>
      </w: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</w:pPr>
      <w:r>
        <w:rPr>
          <w:b/>
        </w:rPr>
        <w:t xml:space="preserve">ALTERAÇÕES 001-014 </w:t>
      </w:r>
    </w:p>
    <w:p w:rsidR="00D42723" w:rsidRDefault="00D42723" w:rsidP="00D42723">
      <w:pPr>
        <w:tabs>
          <w:tab w:val="right" w:pos="9184"/>
        </w:tabs>
      </w:pPr>
      <w:r>
        <w:t xml:space="preserve">apresentadas pela </w:t>
      </w:r>
      <w:r w:rsidRPr="00D42723">
        <w:rPr>
          <w:rStyle w:val="HideTWBExt"/>
        </w:rPr>
        <w:t>&lt;Committee&gt;</w:t>
      </w:r>
      <w:r>
        <w:t>Comissão do Desenvolvimento Regional</w:t>
      </w:r>
      <w:r w:rsidRPr="00D42723">
        <w:rPr>
          <w:rStyle w:val="HideTWBExt"/>
        </w:rPr>
        <w:t>&lt;/Committee&gt;</w:t>
      </w: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  <w:rPr>
          <w:b/>
        </w:rPr>
      </w:pPr>
      <w:r>
        <w:rPr>
          <w:b/>
        </w:rPr>
        <w:t>Relatório</w:t>
      </w:r>
    </w:p>
    <w:p w:rsidR="00D42723" w:rsidRDefault="00D42723" w:rsidP="00D42723">
      <w:pPr>
        <w:tabs>
          <w:tab w:val="right" w:pos="9184"/>
        </w:tabs>
        <w:rPr>
          <w:b/>
        </w:rPr>
      </w:pPr>
      <w:r w:rsidRPr="00D42723">
        <w:rPr>
          <w:rStyle w:val="HideTWBExt"/>
        </w:rPr>
        <w:t>&lt;Chairman&gt;</w:t>
      </w:r>
      <w:r>
        <w:rPr>
          <w:b/>
        </w:rPr>
        <w:t>Younous Omarjee</w:t>
      </w:r>
      <w:r w:rsidRPr="00D42723">
        <w:rPr>
          <w:rStyle w:val="HideTWBExt"/>
        </w:rPr>
        <w:t>&lt;/Chairman&gt;</w:t>
      </w:r>
      <w:r>
        <w:rPr>
          <w:b/>
        </w:rPr>
        <w:tab/>
      </w:r>
      <w:r w:rsidRPr="00D42723">
        <w:rPr>
          <w:rStyle w:val="HideTWBExt"/>
        </w:rPr>
        <w:t>&lt;A5Nr&gt;</w:t>
      </w:r>
      <w:r>
        <w:rPr>
          <w:b/>
        </w:rPr>
        <w:t>A9-0020/2019</w:t>
      </w:r>
      <w:r w:rsidRPr="00D42723">
        <w:rPr>
          <w:rStyle w:val="HideTWBExt"/>
        </w:rPr>
        <w:t>&lt;/A5Nr&gt;</w:t>
      </w:r>
    </w:p>
    <w:p w:rsidR="00D42723" w:rsidRDefault="00D42723" w:rsidP="00D42723">
      <w:pPr>
        <w:tabs>
          <w:tab w:val="right" w:pos="9184"/>
        </w:tabs>
      </w:pPr>
      <w:r w:rsidRPr="00D42723">
        <w:rPr>
          <w:rStyle w:val="HideTWBExt"/>
        </w:rPr>
        <w:t>&lt;ShortTitel&gt;</w:t>
      </w:r>
      <w:r>
        <w:t>Assistência financeira aos Estados-Membros para cobrir os avultados encargos financeiros a que terão de fazer face na sequência da saída do Reino Unido da União sem acordo</w:t>
      </w:r>
      <w:r w:rsidRPr="00D42723">
        <w:rPr>
          <w:rStyle w:val="HideTWBExt"/>
        </w:rPr>
        <w:t>&lt;/ShortTitel&gt;</w:t>
      </w: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</w:pPr>
      <w:r w:rsidRPr="00D42723">
        <w:rPr>
          <w:rStyle w:val="HideTWBExt"/>
        </w:rPr>
        <w:t>&lt;Procedure&gt;</w:t>
      </w:r>
      <w:r>
        <w:t>Proposta de regulamento</w:t>
      </w:r>
      <w:r w:rsidRPr="00D42723">
        <w:rPr>
          <w:rStyle w:val="HideTWBExt"/>
        </w:rPr>
        <w:t>&lt;/Procedure&gt;</w:t>
      </w:r>
      <w:r>
        <w:t xml:space="preserve"> </w:t>
      </w:r>
      <w:r w:rsidRPr="00D42723">
        <w:rPr>
          <w:rStyle w:val="HideTWBExt"/>
        </w:rPr>
        <w:t>&lt;ReferenceNo&gt;</w:t>
      </w:r>
      <w:r>
        <w:t>(COM(2019)0399 – C9-0111/2019 – 2019/0183(COD))</w:t>
      </w:r>
      <w:r w:rsidRPr="00D42723">
        <w:rPr>
          <w:rStyle w:val="HideTWBExt"/>
        </w:rPr>
        <w:t>&lt;/ReferenceNo&gt;</w:t>
      </w: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</w:pPr>
    </w:p>
    <w:p w:rsidR="00D42723" w:rsidRDefault="00D42723" w:rsidP="00D42723">
      <w:pPr>
        <w:tabs>
          <w:tab w:val="right" w:pos="9184"/>
        </w:tabs>
        <w:jc w:val="center"/>
      </w:pPr>
      <w:r>
        <w:t>_____________________________________________________________</w:t>
      </w:r>
    </w:p>
    <w:p w:rsidR="00D42723" w:rsidRDefault="00D42723" w:rsidP="00D42723">
      <w:pPr>
        <w:tabs>
          <w:tab w:val="right" w:pos="9184"/>
        </w:tabs>
        <w:jc w:val="center"/>
      </w:pPr>
    </w:p>
    <w:p w:rsidR="00541E99" w:rsidRPr="00D42723" w:rsidRDefault="00541E99" w:rsidP="00D42723">
      <w:pPr>
        <w:pStyle w:val="AMNumberTabs0"/>
      </w:pPr>
      <w:r w:rsidRPr="00D42723">
        <w:t>Alteração</w:t>
      </w:r>
      <w:r w:rsidRPr="00D42723">
        <w:tab/>
      </w:r>
      <w:r w:rsidRPr="00D42723">
        <w:tab/>
        <w:t>1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</w:pPr>
      <w:r w:rsidRPr="00D42723">
        <w:t>Considerando 4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1E99" w:rsidRPr="00D42723" w:rsidTr="00B125F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/>
        </w:tc>
      </w:tr>
      <w:tr w:rsidR="00541E99" w:rsidRPr="00D42723" w:rsidTr="00B125F3">
        <w:trPr>
          <w:trHeight w:val="240"/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Normal6"/>
            </w:pPr>
            <w:r w:rsidRPr="00D42723">
              <w:t>(4)</w:t>
            </w:r>
            <w:r w:rsidRPr="00D42723">
              <w:tab/>
              <w:t>A fim de atenuar o impacto económico da saída do Reino Unido da União sem acordo e de manifestar solidariedade para com os Estados-Membros mais afetados em tais circunstâncias excecionais, o Regulamento (CE) n.º 2012/2002 é alterado para apoiar as despesas públicas conexas.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Normal6"/>
            </w:pPr>
            <w:r w:rsidRPr="00D42723">
              <w:t>(4)</w:t>
            </w:r>
            <w:r w:rsidRPr="00D42723">
              <w:tab/>
              <w:t xml:space="preserve">A fim de atenuar o impacto económico </w:t>
            </w:r>
            <w:r w:rsidRPr="00D42723">
              <w:rPr>
                <w:b/>
                <w:i/>
              </w:rPr>
              <w:t xml:space="preserve">e social </w:t>
            </w:r>
            <w:r w:rsidRPr="00D42723">
              <w:t>da saída do Reino Unido da União sem acordo e de manifestar solidariedade para com os Estados-Membros mais afetados em tais circunstâncias excecionais, o Regulamento (CE) n.º 2012/2002 é alterado para apoiar as despesas públicas conexas.</w:t>
            </w:r>
          </w:p>
        </w:tc>
      </w:tr>
    </w:tbl>
    <w:p w:rsidR="00541E99" w:rsidRPr="00D42723" w:rsidRDefault="00541E99" w:rsidP="00541E99"/>
    <w:p w:rsidR="00541E99" w:rsidRPr="00D42723" w:rsidRDefault="00541E99" w:rsidP="003058C9">
      <w:pPr>
        <w:pStyle w:val="AMNumberTabs0"/>
      </w:pPr>
      <w:r w:rsidRPr="00D42723">
        <w:t>Alteração</w:t>
      </w:r>
      <w:r w:rsidRPr="00D42723">
        <w:tab/>
      </w:r>
      <w:r w:rsidRPr="00D42723">
        <w:tab/>
        <w:t>2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  <w:keepNext/>
        <w:rPr>
          <w:rStyle w:val="HideTWBExt"/>
          <w:noProof w:val="0"/>
          <w:vanish w:val="0"/>
          <w:color w:val="auto"/>
        </w:rPr>
      </w:pPr>
      <w:r w:rsidRPr="00D42723">
        <w:t>Considerando 5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41E99" w:rsidRPr="00D42723" w:rsidTr="00B125F3">
        <w:trPr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>
            <w:pPr>
              <w:keepNext/>
            </w:pP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r w:rsidRPr="00D42723">
              <w:t>(5)</w:t>
            </w:r>
            <w:r w:rsidRPr="00D42723">
              <w:tab/>
              <w:t xml:space="preserve">Uma vez que se trata de uma utilização excecional do Fundo, a sua </w:t>
            </w:r>
            <w:r w:rsidRPr="00D42723">
              <w:lastRenderedPageBreak/>
              <w:t xml:space="preserve">assistência para atenuar os graves encargos financeiros impostos aos Estados-Membros como consequência </w:t>
            </w:r>
            <w:r w:rsidRPr="00FB0839">
              <w:rPr>
                <w:b/>
                <w:i/>
              </w:rPr>
              <w:t>direta</w:t>
            </w:r>
            <w:r w:rsidRPr="00D42723">
              <w:t xml:space="preserve"> da saída do Reino Unido da União sem acordo será orientada e limitada no tempo, a fim de salvaguardar a razão de ser do Fundo e a sua capacidade de responder a catástrofes naturais.</w:t>
            </w:r>
          </w:p>
        </w:tc>
        <w:tc>
          <w:tcPr>
            <w:tcW w:w="4876" w:type="dxa"/>
          </w:tcPr>
          <w:p w:rsidR="00541E99" w:rsidRPr="00D42723" w:rsidRDefault="00541E99" w:rsidP="00B618F7">
            <w:pPr>
              <w:pStyle w:val="Normal6a"/>
              <w:rPr>
                <w:szCs w:val="24"/>
              </w:rPr>
            </w:pPr>
            <w:r w:rsidRPr="00D42723">
              <w:lastRenderedPageBreak/>
              <w:t>(5)</w:t>
            </w:r>
            <w:r w:rsidRPr="00D42723">
              <w:tab/>
              <w:t xml:space="preserve">Uma vez que se trata de uma utilização excecional do Fundo, a sua </w:t>
            </w:r>
            <w:r w:rsidRPr="00D42723">
              <w:lastRenderedPageBreak/>
              <w:t xml:space="preserve">assistência para atenuar os graves encargos financeiros </w:t>
            </w:r>
            <w:r w:rsidRPr="00D42723">
              <w:rPr>
                <w:b/>
                <w:i/>
              </w:rPr>
              <w:t xml:space="preserve">que foram ou venham a ser </w:t>
            </w:r>
            <w:r w:rsidRPr="00D42723">
              <w:t xml:space="preserve">impostos aos Estados-Membros </w:t>
            </w:r>
            <w:r w:rsidRPr="00D42723">
              <w:rPr>
                <w:b/>
                <w:i/>
              </w:rPr>
              <w:t xml:space="preserve">no âmbito da preparação, ou </w:t>
            </w:r>
            <w:r w:rsidRPr="00D42723">
              <w:t>como consequência</w:t>
            </w:r>
            <w:r w:rsidRPr="00D42723">
              <w:rPr>
                <w:b/>
                <w:i/>
              </w:rPr>
              <w:t>,</w:t>
            </w:r>
            <w:r w:rsidRPr="00D42723">
              <w:t xml:space="preserve"> da saída do Reino Unido da União sem acordo será orientada e limitada no tempo, a fim de salvaguardar a razão de ser do Fundo e a sua capacidade de responder a catástrofes naturais.</w:t>
            </w:r>
          </w:p>
        </w:tc>
      </w:tr>
    </w:tbl>
    <w:p w:rsidR="00541E99" w:rsidRPr="00D42723" w:rsidRDefault="00541E99" w:rsidP="00541E99"/>
    <w:p w:rsidR="00541E99" w:rsidRPr="00D42723" w:rsidRDefault="00541E99" w:rsidP="00541E99">
      <w:pPr>
        <w:pStyle w:val="AMNumberTabs0"/>
      </w:pPr>
      <w:r w:rsidRPr="00D42723">
        <w:t>Alteração</w:t>
      </w:r>
      <w:r w:rsidRPr="00D42723">
        <w:tab/>
      </w:r>
      <w:r w:rsidRPr="00D42723">
        <w:tab/>
        <w:t>3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</w:pPr>
      <w:r w:rsidRPr="00D42723">
        <w:t>Considerando 8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1E99" w:rsidRPr="00D42723" w:rsidTr="00B125F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/>
        </w:tc>
      </w:tr>
      <w:tr w:rsidR="00541E99" w:rsidRPr="00D42723" w:rsidTr="00B125F3">
        <w:trPr>
          <w:trHeight w:val="240"/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Normal6"/>
            </w:pPr>
            <w:r w:rsidRPr="00D42723">
              <w:t>(8)</w:t>
            </w:r>
            <w:r w:rsidRPr="00D42723">
              <w:tab/>
            </w:r>
            <w:r w:rsidRPr="00D42723">
              <w:rPr>
                <w:b/>
                <w:i/>
              </w:rPr>
              <w:t>A</w:t>
            </w:r>
            <w:r w:rsidRPr="00D42723">
              <w:t xml:space="preserve"> fim de manter a disponibilidade do Fundo para as catástrofes naturais, </w:t>
            </w:r>
            <w:r w:rsidRPr="00D42723">
              <w:rPr>
                <w:b/>
                <w:i/>
              </w:rPr>
              <w:t>deve</w:t>
            </w:r>
            <w:r w:rsidRPr="00D42723">
              <w:t xml:space="preserve"> ser </w:t>
            </w:r>
            <w:r w:rsidRPr="00D42723">
              <w:rPr>
                <w:b/>
                <w:i/>
              </w:rPr>
              <w:t>estabelecido um limite máximo orçamental</w:t>
            </w:r>
            <w:r w:rsidRPr="00D42723">
              <w:t xml:space="preserve"> para o </w:t>
            </w:r>
            <w:r w:rsidRPr="00D42723">
              <w:rPr>
                <w:b/>
                <w:i/>
              </w:rPr>
              <w:t>apoio relacionado com a</w:t>
            </w:r>
            <w:r w:rsidRPr="00D42723">
              <w:t xml:space="preserve"> saída do Reino Unido da União sem acordo.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Normal6"/>
            </w:pPr>
            <w:r w:rsidRPr="00D42723">
              <w:t>(8)</w:t>
            </w:r>
            <w:r w:rsidRPr="00D42723">
              <w:tab/>
            </w:r>
            <w:r w:rsidRPr="00D42723">
              <w:rPr>
                <w:b/>
                <w:i/>
              </w:rPr>
              <w:t>Considerando que é necessário prever um orçamento razoável a</w:t>
            </w:r>
            <w:r w:rsidRPr="00D42723">
              <w:t xml:space="preserve"> fim de manter a disponibilidade do Fundo </w:t>
            </w:r>
            <w:r w:rsidRPr="00D42723">
              <w:rPr>
                <w:b/>
                <w:i/>
              </w:rPr>
              <w:t xml:space="preserve">de Solidariedade da União Europeia </w:t>
            </w:r>
            <w:r w:rsidRPr="00D42723">
              <w:t xml:space="preserve">para as catástrofes naturais, </w:t>
            </w:r>
            <w:r w:rsidRPr="00D42723">
              <w:rPr>
                <w:b/>
                <w:i/>
              </w:rPr>
              <w:t>devem</w:t>
            </w:r>
            <w:r w:rsidRPr="00D42723">
              <w:t xml:space="preserve"> ser </w:t>
            </w:r>
            <w:r w:rsidRPr="00D42723">
              <w:rPr>
                <w:b/>
                <w:i/>
              </w:rPr>
              <w:t>colocados à disposição dos Estados-Membros e das regiões outros meios adicionais</w:t>
            </w:r>
            <w:r w:rsidRPr="00D42723">
              <w:t xml:space="preserve"> para </w:t>
            </w:r>
            <w:r w:rsidRPr="00D42723">
              <w:rPr>
                <w:b/>
                <w:i/>
              </w:rPr>
              <w:t xml:space="preserve">os ajudar a limitar </w:t>
            </w:r>
            <w:r w:rsidRPr="00D42723">
              <w:t xml:space="preserve">o </w:t>
            </w:r>
            <w:r w:rsidRPr="00D42723">
              <w:rPr>
                <w:b/>
                <w:i/>
              </w:rPr>
              <w:t>impacto de uma eventual</w:t>
            </w:r>
            <w:r w:rsidRPr="00D42723">
              <w:t xml:space="preserve"> saída do Reino Unido da União sem acordo</w:t>
            </w:r>
            <w:r w:rsidRPr="00D42723">
              <w:rPr>
                <w:b/>
                <w:i/>
              </w:rPr>
              <w:t>, por exemplo através do FEG ou de outros instrumentos financeiros ad hoc</w:t>
            </w:r>
            <w:r w:rsidRPr="00D42723">
              <w:t>.</w:t>
            </w:r>
          </w:p>
        </w:tc>
      </w:tr>
    </w:tbl>
    <w:p w:rsidR="00541E99" w:rsidRPr="00D42723" w:rsidRDefault="00541E99" w:rsidP="00541E99"/>
    <w:p w:rsidR="00541E99" w:rsidRPr="00D42723" w:rsidRDefault="00541E99" w:rsidP="003058C9">
      <w:pPr>
        <w:pStyle w:val="AMNumberTabs0"/>
      </w:pPr>
      <w:r w:rsidRPr="00D42723">
        <w:t>Alteração</w:t>
      </w:r>
      <w:r w:rsidRPr="00D42723">
        <w:tab/>
      </w:r>
      <w:r w:rsidRPr="00D42723">
        <w:tab/>
        <w:t>4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  <w:keepNext/>
        <w:rPr>
          <w:rStyle w:val="HideTWBExt"/>
          <w:rFonts w:eastAsiaTheme="majorEastAsia"/>
          <w:noProof w:val="0"/>
          <w:vanish w:val="0"/>
          <w:color w:val="auto"/>
        </w:rPr>
      </w:pPr>
      <w:r w:rsidRPr="00D42723">
        <w:t>Considerando 9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41E99" w:rsidRPr="00D42723" w:rsidTr="00B125F3">
        <w:trPr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>
            <w:pPr>
              <w:keepNext/>
            </w:pP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Normal6a"/>
              <w:rPr>
                <w:szCs w:val="24"/>
              </w:rPr>
            </w:pPr>
            <w:r w:rsidRPr="00D42723">
              <w:t>(9)</w:t>
            </w:r>
            <w:r w:rsidRPr="00D42723">
              <w:tab/>
              <w:t xml:space="preserve">A assistência do Fundo para atenuar os graves encargos financeiros impostos aos Estados-Membros em consequência da saída do Reino Unido da União sem acordo deve estar sujeita às mesmas regras de execução, acompanhamento, apresentação de relatórios, controlo e auditoria que quaisquer outras intervenções do Fundo. Além disso, dado o âmbito alargado das despesas públicas potencialmente elegíveis </w:t>
            </w:r>
            <w:r w:rsidRPr="00D42723">
              <w:lastRenderedPageBreak/>
              <w:t>para apoio, é importante assegurar o respeito de outras disposições do direito da UE, nomeadamente as regras em matéria de auxílios estatais.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Normal6a"/>
              <w:rPr>
                <w:szCs w:val="24"/>
              </w:rPr>
            </w:pPr>
            <w:r w:rsidRPr="00D42723">
              <w:lastRenderedPageBreak/>
              <w:t>(9)</w:t>
            </w:r>
            <w:r w:rsidRPr="00D42723">
              <w:tab/>
              <w:t xml:space="preserve">A assistência do Fundo para atenuar os graves encargos financeiros </w:t>
            </w:r>
            <w:r w:rsidRPr="00D42723">
              <w:rPr>
                <w:b/>
                <w:i/>
              </w:rPr>
              <w:t xml:space="preserve">que foram ou venham a ser </w:t>
            </w:r>
            <w:r w:rsidRPr="00D42723">
              <w:t xml:space="preserve">impostos aos Estados-Membros </w:t>
            </w:r>
            <w:r w:rsidRPr="00D42723">
              <w:rPr>
                <w:b/>
                <w:i/>
              </w:rPr>
              <w:t xml:space="preserve">no âmbito da preparação, ou </w:t>
            </w:r>
            <w:r w:rsidRPr="00D42723">
              <w:t>em consequência</w:t>
            </w:r>
            <w:r w:rsidRPr="00D42723">
              <w:rPr>
                <w:b/>
                <w:i/>
              </w:rPr>
              <w:t>,</w:t>
            </w:r>
            <w:r w:rsidRPr="00D42723">
              <w:t xml:space="preserve"> da saída do Reino Unido da União sem acordo deve estar sujeita às mesmas regras de execução, acompanhamento, apresentação de relatórios, controlo e auditoria que quaisquer outras intervenções do Fundo. </w:t>
            </w:r>
            <w:r w:rsidRPr="00D42723">
              <w:lastRenderedPageBreak/>
              <w:t>Além disso, dado o âmbito alargado das despesas públicas potencialmente elegíveis para apoio, é importante assegurar o respeito de outras disposições do direito da UE, nomeadamente as regras em matéria de auxílios estatais.</w:t>
            </w:r>
          </w:p>
        </w:tc>
      </w:tr>
    </w:tbl>
    <w:p w:rsidR="00541E99" w:rsidRPr="00D42723" w:rsidRDefault="00541E99" w:rsidP="00541E99"/>
    <w:p w:rsidR="00541E99" w:rsidRPr="00D42723" w:rsidRDefault="00541E99" w:rsidP="003058C9">
      <w:pPr>
        <w:pStyle w:val="AMNumberTabs0"/>
      </w:pPr>
      <w:r w:rsidRPr="00D42723">
        <w:t>Alteração</w:t>
      </w:r>
      <w:r w:rsidRPr="00D42723">
        <w:tab/>
      </w:r>
      <w:r w:rsidRPr="00D42723">
        <w:tab/>
        <w:t>5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  <w:keepNext/>
      </w:pPr>
      <w:r w:rsidRPr="00D42723">
        <w:t>Artigo 1 – parágrafo 1 – ponto 3</w:t>
      </w:r>
    </w:p>
    <w:p w:rsidR="00541E99" w:rsidRPr="00D42723" w:rsidRDefault="00541E99" w:rsidP="00541E99">
      <w:pPr>
        <w:keepNext/>
      </w:pPr>
      <w:r w:rsidRPr="00D42723">
        <w:t>Regulamento (CE) n.º 2012/2002</w:t>
      </w:r>
    </w:p>
    <w:p w:rsidR="00541E99" w:rsidRPr="00D42723" w:rsidRDefault="00541E99" w:rsidP="00541E99">
      <w:r w:rsidRPr="00D42723">
        <w:t>Artigo 3-A – n.º 2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41E99" w:rsidRPr="00D42723" w:rsidTr="00B125F3">
        <w:trPr>
          <w:jc w:val="center"/>
          <w:hidden w:val="0"/>
        </w:trPr>
        <w:tc>
          <w:tcPr>
            <w:tcW w:w="9752" w:type="dxa"/>
            <w:gridSpan w:val="2"/>
          </w:tcPr>
          <w:p w:rsidR="00541E99" w:rsidRPr="00D42723" w:rsidRDefault="00541E99" w:rsidP="00B125F3">
            <w:pPr>
              <w:keepNext/>
              <w:rPr>
                <w:rStyle w:val="HideTWBExt"/>
                <w:noProof w:val="0"/>
                <w:vanish w:val="0"/>
                <w:color w:val="auto"/>
              </w:rPr>
            </w:pP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618F7">
            <w:pPr>
              <w:pStyle w:val="Normal6a"/>
            </w:pPr>
            <w:r w:rsidRPr="00D42723">
              <w:t>2</w:t>
            </w:r>
            <w:r w:rsidR="00B618F7" w:rsidRPr="00D42723">
              <w:t>.</w:t>
            </w:r>
            <w:r w:rsidRPr="00D42723">
              <w:tab/>
              <w:t xml:space="preserve">As dotações disponíveis para este objetivo são limitadas a </w:t>
            </w:r>
            <w:r w:rsidRPr="00D42723">
              <w:rPr>
                <w:b/>
                <w:i/>
              </w:rPr>
              <w:t>metade</w:t>
            </w:r>
            <w:r w:rsidRPr="00D42723">
              <w:t xml:space="preserve"> do montante máximo disponível para a intervenção do Fundo em 2019 e 2020.</w:t>
            </w:r>
          </w:p>
        </w:tc>
        <w:tc>
          <w:tcPr>
            <w:tcW w:w="4876" w:type="dxa"/>
          </w:tcPr>
          <w:p w:rsidR="00541E99" w:rsidRPr="00D42723" w:rsidRDefault="00541E99" w:rsidP="00B618F7">
            <w:pPr>
              <w:pStyle w:val="Normal6a"/>
              <w:rPr>
                <w:szCs w:val="24"/>
              </w:rPr>
            </w:pPr>
            <w:r w:rsidRPr="00D42723">
              <w:t>2</w:t>
            </w:r>
            <w:r w:rsidR="00B618F7" w:rsidRPr="00D42723">
              <w:t>.</w:t>
            </w:r>
            <w:r w:rsidRPr="00D42723">
              <w:tab/>
              <w:t xml:space="preserve">As dotações disponíveis para este objetivo são limitadas a </w:t>
            </w:r>
            <w:r w:rsidRPr="00D42723">
              <w:rPr>
                <w:b/>
                <w:i/>
              </w:rPr>
              <w:t>30 %</w:t>
            </w:r>
            <w:r w:rsidRPr="00D42723">
              <w:t xml:space="preserve"> do montante máximo disponível para a intervenção do Fundo em 2019 e 2020.</w:t>
            </w:r>
          </w:p>
        </w:tc>
      </w:tr>
    </w:tbl>
    <w:p w:rsidR="00541E99" w:rsidRPr="00D42723" w:rsidRDefault="00541E99" w:rsidP="00541E99"/>
    <w:p w:rsidR="00541E99" w:rsidRPr="00D42723" w:rsidRDefault="00541E99" w:rsidP="003058C9">
      <w:pPr>
        <w:pStyle w:val="AMNumberTabs0"/>
      </w:pPr>
      <w:r w:rsidRPr="00D42723">
        <w:t>Alteração</w:t>
      </w:r>
      <w:r w:rsidRPr="00D42723">
        <w:tab/>
      </w:r>
      <w:r w:rsidRPr="00D42723">
        <w:tab/>
        <w:t>6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  <w:keepNext/>
      </w:pPr>
      <w:r w:rsidRPr="00D42723">
        <w:t>Artigo 1 – parágrafo 1 – ponto 3</w:t>
      </w:r>
    </w:p>
    <w:p w:rsidR="00541E99" w:rsidRPr="00D42723" w:rsidRDefault="00541E99" w:rsidP="00541E99">
      <w:pPr>
        <w:keepNext/>
      </w:pPr>
      <w:r w:rsidRPr="00D42723">
        <w:t>Regulamento (CE) n.º 2012/2002</w:t>
      </w:r>
    </w:p>
    <w:p w:rsidR="00541E99" w:rsidRPr="00D42723" w:rsidRDefault="00541E99" w:rsidP="00541E99">
      <w:r w:rsidRPr="00D42723">
        <w:t>Artigo 3-A – n.º 3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41E99" w:rsidRPr="00D42723" w:rsidTr="00B125F3">
        <w:trPr>
          <w:jc w:val="center"/>
          <w:hidden w:val="0"/>
        </w:trPr>
        <w:tc>
          <w:tcPr>
            <w:tcW w:w="9752" w:type="dxa"/>
            <w:gridSpan w:val="2"/>
          </w:tcPr>
          <w:p w:rsidR="00541E99" w:rsidRPr="00D42723" w:rsidRDefault="00541E99" w:rsidP="00B125F3">
            <w:pPr>
              <w:keepNext/>
              <w:rPr>
                <w:rStyle w:val="HideTWBExt"/>
                <w:noProof w:val="0"/>
                <w:vanish w:val="0"/>
                <w:color w:val="auto"/>
              </w:rPr>
            </w:pP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618F7">
            <w:pPr>
              <w:pStyle w:val="Normal6a"/>
            </w:pPr>
            <w:r w:rsidRPr="00D42723">
              <w:t>3</w:t>
            </w:r>
            <w:r w:rsidR="00B618F7" w:rsidRPr="00D42723">
              <w:t>.</w:t>
            </w:r>
            <w:r w:rsidRPr="00D42723">
              <w:tab/>
              <w:t xml:space="preserve">Essa assistência deve cobrir uma parte das despesas públicas adicionais </w:t>
            </w:r>
            <w:r w:rsidRPr="00D42723">
              <w:rPr>
                <w:b/>
                <w:i/>
              </w:rPr>
              <w:t>diretamente decorrentes da saída sem acordo</w:t>
            </w:r>
            <w:r w:rsidRPr="00D42723">
              <w:t xml:space="preserve"> e </w:t>
            </w:r>
            <w:r w:rsidRPr="00D42723">
              <w:rPr>
                <w:b/>
                <w:i/>
              </w:rPr>
              <w:t>incorridas exclusivamente entre a data</w:t>
            </w:r>
            <w:r w:rsidRPr="00D42723">
              <w:t xml:space="preserve"> da </w:t>
            </w:r>
            <w:r w:rsidRPr="00D42723">
              <w:rPr>
                <w:b/>
                <w:i/>
              </w:rPr>
              <w:t>saída sem acordo e 31</w:t>
            </w:r>
            <w:r w:rsidRPr="00D42723">
              <w:t xml:space="preserve"> de </w:t>
            </w:r>
            <w:r w:rsidRPr="00D42723">
              <w:rPr>
                <w:b/>
                <w:i/>
              </w:rPr>
              <w:t>dezembro de 2020</w:t>
            </w:r>
            <w:r w:rsidRPr="00D42723">
              <w:t xml:space="preserve"> («encargo financeiro»).</w:t>
            </w:r>
          </w:p>
        </w:tc>
        <w:tc>
          <w:tcPr>
            <w:tcW w:w="4876" w:type="dxa"/>
          </w:tcPr>
          <w:p w:rsidR="00541E99" w:rsidRPr="00D42723" w:rsidRDefault="00541E99" w:rsidP="00B618F7">
            <w:pPr>
              <w:pStyle w:val="Normal6a"/>
              <w:rPr>
                <w:szCs w:val="24"/>
              </w:rPr>
            </w:pPr>
            <w:r w:rsidRPr="00D42723">
              <w:t>3</w:t>
            </w:r>
            <w:r w:rsidR="00B618F7" w:rsidRPr="00D42723">
              <w:t>.</w:t>
            </w:r>
            <w:r w:rsidRPr="00D42723">
              <w:tab/>
              <w:t xml:space="preserve">Essa assistência deve cobrir uma parte das despesas públicas adicionais </w:t>
            </w:r>
            <w:r w:rsidRPr="00D42723">
              <w:rPr>
                <w:b/>
                <w:i/>
              </w:rPr>
              <w:t>incorridas exclusivamente entre 1 de janeiro de 2019</w:t>
            </w:r>
            <w:r w:rsidRPr="00D42723">
              <w:t xml:space="preserve"> e </w:t>
            </w:r>
            <w:r w:rsidRPr="00D42723">
              <w:rPr>
                <w:b/>
                <w:i/>
              </w:rPr>
              <w:t>31 de dezembro de 2020 no âmbito</w:t>
            </w:r>
            <w:r w:rsidRPr="00D42723">
              <w:t xml:space="preserve"> da </w:t>
            </w:r>
            <w:r w:rsidRPr="00D42723">
              <w:rPr>
                <w:b/>
                <w:i/>
              </w:rPr>
              <w:t>preparação, ou em consequência,</w:t>
            </w:r>
            <w:r w:rsidRPr="00D42723">
              <w:t xml:space="preserve"> de </w:t>
            </w:r>
            <w:r w:rsidRPr="00D42723">
              <w:rPr>
                <w:b/>
                <w:i/>
              </w:rPr>
              <w:t>uma saída sem acordo</w:t>
            </w:r>
            <w:r w:rsidRPr="00D42723">
              <w:t xml:space="preserve"> («encargo financeiro»).</w:t>
            </w:r>
          </w:p>
        </w:tc>
      </w:tr>
    </w:tbl>
    <w:p w:rsidR="00541E99" w:rsidRPr="00D42723" w:rsidRDefault="00541E99" w:rsidP="00541E99"/>
    <w:p w:rsidR="00541E99" w:rsidRPr="00D42723" w:rsidRDefault="00541E99" w:rsidP="003058C9">
      <w:pPr>
        <w:pStyle w:val="AMNumberTabs0"/>
      </w:pPr>
      <w:r w:rsidRPr="00D42723">
        <w:t>Alteração</w:t>
      </w:r>
      <w:r w:rsidRPr="00D42723">
        <w:tab/>
      </w:r>
      <w:r w:rsidRPr="00D42723">
        <w:tab/>
        <w:t>7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  <w:keepNext/>
      </w:pPr>
      <w:r w:rsidRPr="00D42723">
        <w:t>Artigo 1 – parágrafo 1 – ponto 3</w:t>
      </w:r>
    </w:p>
    <w:p w:rsidR="00541E99" w:rsidRPr="00D42723" w:rsidRDefault="00541E99" w:rsidP="00541E99">
      <w:pPr>
        <w:keepNext/>
      </w:pPr>
      <w:r w:rsidRPr="00D42723">
        <w:t>Regulamento (CE) n.º 2012/2002</w:t>
      </w:r>
    </w:p>
    <w:p w:rsidR="00541E99" w:rsidRPr="00D42723" w:rsidRDefault="00541E99" w:rsidP="00541E99">
      <w:r w:rsidRPr="00D42723">
        <w:t>Artigo 3-A – n.º 4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41E99" w:rsidRPr="00D42723" w:rsidTr="00B125F3">
        <w:trPr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>
            <w:pPr>
              <w:keepNext/>
            </w:pP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618F7">
            <w:pPr>
              <w:pStyle w:val="Normal6a"/>
              <w:rPr>
                <w:szCs w:val="24"/>
              </w:rPr>
            </w:pPr>
            <w:r w:rsidRPr="00D42723">
              <w:t>4</w:t>
            </w:r>
            <w:r w:rsidR="00B618F7" w:rsidRPr="00D42723">
              <w:t>.</w:t>
            </w:r>
            <w:r w:rsidRPr="00D42723">
              <w:tab/>
              <w:t xml:space="preserve">Um Estado-Membro é elegível para solicitar assistência ao abrigo do presente artigo se for estimado que os encargos financeiros que sofreu são superiores a </w:t>
            </w:r>
            <w:r w:rsidRPr="00D42723">
              <w:rPr>
                <w:b/>
                <w:i/>
              </w:rPr>
              <w:t>1 500</w:t>
            </w:r>
            <w:r w:rsidRPr="00D42723">
              <w:t xml:space="preserve"> 000 000 EUR, a preços de 2011, ou </w:t>
            </w:r>
            <w:r w:rsidRPr="00D42723">
              <w:rPr>
                <w:b/>
                <w:i/>
              </w:rPr>
              <w:t>a mais de</w:t>
            </w:r>
            <w:r w:rsidRPr="00D42723">
              <w:t xml:space="preserve"> 0,</w:t>
            </w:r>
            <w:r w:rsidRPr="00D42723">
              <w:rPr>
                <w:b/>
                <w:i/>
              </w:rPr>
              <w:t>3 </w:t>
            </w:r>
            <w:r w:rsidRPr="00D42723">
              <w:t>% do seu RNB.</w:t>
            </w:r>
          </w:p>
        </w:tc>
        <w:tc>
          <w:tcPr>
            <w:tcW w:w="4876" w:type="dxa"/>
          </w:tcPr>
          <w:p w:rsidR="00541E99" w:rsidRPr="00D42723" w:rsidRDefault="00541E99" w:rsidP="00B618F7">
            <w:pPr>
              <w:pStyle w:val="Normal6a"/>
              <w:rPr>
                <w:szCs w:val="24"/>
              </w:rPr>
            </w:pPr>
            <w:r w:rsidRPr="00D42723">
              <w:t>4</w:t>
            </w:r>
            <w:r w:rsidR="00B618F7" w:rsidRPr="00D42723">
              <w:t>.</w:t>
            </w:r>
            <w:r w:rsidRPr="00D42723">
              <w:tab/>
              <w:t xml:space="preserve">Um Estado-Membro é elegível para solicitar assistência ao abrigo do presente artigo se for estimado que os encargos financeiros que sofreu são superiores a </w:t>
            </w:r>
            <w:r w:rsidRPr="00D42723">
              <w:rPr>
                <w:b/>
                <w:i/>
              </w:rPr>
              <w:t>750</w:t>
            </w:r>
            <w:r w:rsidRPr="00D42723">
              <w:t xml:space="preserve"> 000 000 EUR, a preços de 2011, ou </w:t>
            </w:r>
            <w:r w:rsidRPr="00D42723">
              <w:rPr>
                <w:b/>
                <w:i/>
              </w:rPr>
              <w:t>superiores a</w:t>
            </w:r>
            <w:r w:rsidRPr="00D42723">
              <w:t xml:space="preserve"> 0,</w:t>
            </w:r>
            <w:r w:rsidRPr="00D42723">
              <w:rPr>
                <w:b/>
                <w:i/>
              </w:rPr>
              <w:t xml:space="preserve">15 </w:t>
            </w:r>
            <w:r w:rsidRPr="00D42723">
              <w:t>% do seu RNB.</w:t>
            </w:r>
          </w:p>
        </w:tc>
      </w:tr>
    </w:tbl>
    <w:p w:rsidR="00541E99" w:rsidRPr="00D42723" w:rsidRDefault="00541E99" w:rsidP="00541E99"/>
    <w:p w:rsidR="00541E99" w:rsidRPr="00D42723" w:rsidRDefault="00541E99" w:rsidP="00541E99">
      <w:pPr>
        <w:pStyle w:val="AMNumberTabs0"/>
      </w:pPr>
      <w:r w:rsidRPr="00D42723">
        <w:t>Alteração</w:t>
      </w:r>
      <w:r w:rsidRPr="00D42723">
        <w:tab/>
      </w:r>
      <w:r w:rsidRPr="00D42723">
        <w:tab/>
        <w:t>8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</w:pPr>
      <w:r w:rsidRPr="00D42723">
        <w:t>Artigo 1 – parágrafo 1 – ponto 3</w:t>
      </w:r>
    </w:p>
    <w:p w:rsidR="00541E99" w:rsidRPr="00D42723" w:rsidRDefault="00541E99" w:rsidP="00541E99">
      <w:r w:rsidRPr="00D42723">
        <w:t>Regulamento (CE) n.º 2012/2002</w:t>
      </w:r>
    </w:p>
    <w:p w:rsidR="00541E99" w:rsidRPr="00D42723" w:rsidRDefault="00541E99" w:rsidP="00541E99">
      <w:r w:rsidRPr="00D42723">
        <w:t>Artigo 3-B – n.º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1E99" w:rsidRPr="00D42723" w:rsidTr="00B125F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/>
        </w:tc>
      </w:tr>
      <w:tr w:rsidR="00541E99" w:rsidRPr="00D42723" w:rsidTr="00B125F3">
        <w:trPr>
          <w:trHeight w:val="240"/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618F7">
            <w:pPr>
              <w:pStyle w:val="Normal6"/>
            </w:pPr>
            <w:r w:rsidRPr="00D42723">
              <w:t>1</w:t>
            </w:r>
            <w:r w:rsidR="00B618F7" w:rsidRPr="00D42723">
              <w:t>.</w:t>
            </w:r>
            <w:r w:rsidRPr="00D42723">
              <w:tab/>
              <w:t xml:space="preserve">A assistência prestada ao abrigo do artigo 3.º-A abrange apenas o encargo financeiro suportado por um Estado-Membro em comparação com a situação em que teria sido celebrado um acordo entre a União e o Reino Unido. Essa assistência pode ser utilizada, por exemplo, para prestar apoio às empresas </w:t>
            </w:r>
            <w:r w:rsidRPr="00D42723">
              <w:rPr>
                <w:b/>
                <w:i/>
              </w:rPr>
              <w:t>afetadas</w:t>
            </w:r>
            <w:r w:rsidRPr="00D42723">
              <w:t xml:space="preserve"> pela saída sem acordo, incluindo o apoio a regimes de auxílios estatais a essas empresas e intervenções conexas; medidas destinadas a preservar o emprego existente; e assegurar o funcionamento dos controlos fronteiriços, aduaneiros, sanitários e fitossanitários, incluindo pessoal e infraestruturas adicionais.</w:t>
            </w:r>
          </w:p>
        </w:tc>
        <w:tc>
          <w:tcPr>
            <w:tcW w:w="4876" w:type="dxa"/>
          </w:tcPr>
          <w:p w:rsidR="00541E99" w:rsidRPr="00D42723" w:rsidRDefault="00541E99" w:rsidP="00B618F7">
            <w:pPr>
              <w:pStyle w:val="Normal6"/>
            </w:pPr>
            <w:r w:rsidRPr="00D42723">
              <w:t>1</w:t>
            </w:r>
            <w:r w:rsidR="00B618F7" w:rsidRPr="00D42723">
              <w:t>.</w:t>
            </w:r>
            <w:r w:rsidRPr="00D42723">
              <w:tab/>
              <w:t xml:space="preserve">A assistência prestada ao abrigo do artigo 3.º-A abrange apenas o encargo financeiro suportado por um Estado-Membro em comparação com a situação em que teria sido celebrado um acordo entre a União e o Reino Unido. Essa assistência pode ser utilizada, por exemplo, para prestar apoio às empresas </w:t>
            </w:r>
            <w:r w:rsidRPr="00D42723">
              <w:rPr>
                <w:b/>
                <w:i/>
              </w:rPr>
              <w:t>e aos trabalhadores afetados</w:t>
            </w:r>
            <w:r w:rsidRPr="00D42723">
              <w:t xml:space="preserve"> pela saída sem acordo, incluindo o apoio a regimes de auxílios estatais a essas empresas e intervenções conexas; medidas destinadas a preservar o emprego existente; e assegurar o funcionamento dos controlos fronteiriços, aduaneiros, sanitários e fitossanitários, incluindo pessoal e infraestruturas adicionais.</w:t>
            </w:r>
          </w:p>
        </w:tc>
      </w:tr>
    </w:tbl>
    <w:p w:rsidR="00541E99" w:rsidRPr="00D42723" w:rsidRDefault="00541E99" w:rsidP="00541E99"/>
    <w:p w:rsidR="00541E99" w:rsidRPr="00D42723" w:rsidRDefault="00541E99" w:rsidP="00541E99">
      <w:pPr>
        <w:pStyle w:val="AMNumberTabs0"/>
      </w:pPr>
      <w:r w:rsidRPr="00D42723">
        <w:t>Alteração</w:t>
      </w:r>
      <w:r w:rsidRPr="00D42723">
        <w:tab/>
      </w:r>
      <w:r w:rsidRPr="00D42723">
        <w:tab/>
        <w:t>9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</w:pPr>
      <w:r w:rsidRPr="00D42723">
        <w:t>Artigo 1 – parágrafo 1 – ponto 3</w:t>
      </w:r>
    </w:p>
    <w:p w:rsidR="00541E99" w:rsidRPr="00D42723" w:rsidRDefault="00541E99" w:rsidP="00541E99">
      <w:r w:rsidRPr="00D42723">
        <w:t>Regulamento (CE) n.º 2012/2002</w:t>
      </w:r>
    </w:p>
    <w:p w:rsidR="00541E99" w:rsidRPr="00D42723" w:rsidRDefault="00541E99" w:rsidP="00541E99">
      <w:r w:rsidRPr="00D42723">
        <w:t>Artigo 3-B – n.º 6-A (novo)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1E99" w:rsidRPr="00D42723" w:rsidTr="00B125F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/>
        </w:tc>
      </w:tr>
      <w:tr w:rsidR="00541E99" w:rsidRPr="00D42723" w:rsidTr="00B125F3">
        <w:trPr>
          <w:trHeight w:val="240"/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Normal6"/>
            </w:pPr>
          </w:p>
        </w:tc>
        <w:tc>
          <w:tcPr>
            <w:tcW w:w="4876" w:type="dxa"/>
          </w:tcPr>
          <w:p w:rsidR="00541E99" w:rsidRPr="00D42723" w:rsidRDefault="00541E99" w:rsidP="00E430E9">
            <w:pPr>
              <w:pStyle w:val="Normal6"/>
            </w:pPr>
            <w:r w:rsidRPr="00D42723">
              <w:rPr>
                <w:b/>
                <w:i/>
              </w:rPr>
              <w:t>6-A</w:t>
            </w:r>
            <w:r w:rsidR="00E430E9" w:rsidRPr="00D42723">
              <w:rPr>
                <w:b/>
                <w:i/>
              </w:rPr>
              <w:t>.</w:t>
            </w:r>
            <w:r w:rsidRPr="00D42723">
              <w:tab/>
            </w:r>
            <w:r w:rsidRPr="00D42723">
              <w:rPr>
                <w:b/>
                <w:i/>
              </w:rPr>
              <w:t xml:space="preserve">As despesas elegíveis para financiamento a título do Fundo Europeu </w:t>
            </w:r>
            <w:r w:rsidRPr="00D42723">
              <w:rPr>
                <w:b/>
                <w:i/>
              </w:rPr>
              <w:lastRenderedPageBreak/>
              <w:t>de Ajustamento à Globalização não são financiadas a título do presente regulamento.</w:t>
            </w:r>
          </w:p>
        </w:tc>
      </w:tr>
    </w:tbl>
    <w:p w:rsidR="00541E99" w:rsidRPr="00D42723" w:rsidRDefault="00541E99" w:rsidP="00541E99"/>
    <w:p w:rsidR="00541E99" w:rsidRPr="00D42723" w:rsidRDefault="00541E99" w:rsidP="00541E99">
      <w:pPr>
        <w:pStyle w:val="AMNumberTabs0"/>
      </w:pPr>
      <w:r w:rsidRPr="00D42723">
        <w:t>Alteração</w:t>
      </w:r>
      <w:r w:rsidRPr="00D42723">
        <w:tab/>
      </w:r>
      <w:r w:rsidRPr="00D42723">
        <w:tab/>
        <w:t>10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</w:pPr>
      <w:r w:rsidRPr="00D42723">
        <w:t>Artigo 1 – parágrafo 1 – ponto 6</w:t>
      </w:r>
    </w:p>
    <w:p w:rsidR="00541E99" w:rsidRPr="00D42723" w:rsidRDefault="00541E99" w:rsidP="00541E99">
      <w:r w:rsidRPr="00D42723">
        <w:t>Regulamento (CE) n.º 2012/2002</w:t>
      </w:r>
    </w:p>
    <w:p w:rsidR="00541E99" w:rsidRPr="00D42723" w:rsidRDefault="00541E99" w:rsidP="00541E99">
      <w:r w:rsidRPr="00D42723">
        <w:t>Artigo 4-A – n.º 1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1E99" w:rsidRPr="00D42723" w:rsidTr="00B125F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/>
        </w:tc>
      </w:tr>
      <w:tr w:rsidR="00541E99" w:rsidRPr="00D42723" w:rsidTr="00B125F3">
        <w:trPr>
          <w:trHeight w:val="240"/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E430E9">
            <w:pPr>
              <w:pStyle w:val="Normal6"/>
            </w:pPr>
            <w:r w:rsidRPr="00D42723">
              <w:t>1</w:t>
            </w:r>
            <w:r w:rsidR="00E430E9" w:rsidRPr="00D42723">
              <w:t>.</w:t>
            </w:r>
            <w:r w:rsidRPr="00D42723">
              <w:tab/>
              <w:t xml:space="preserve">As autoridades nacionais competentes de um Estado-Membro podem apresentar à Comissão um pedido de contribuição financeira do Fundo, em conformidade com o artigo 3.º-A, até 30 de </w:t>
            </w:r>
            <w:r w:rsidRPr="00D42723">
              <w:rPr>
                <w:b/>
                <w:i/>
              </w:rPr>
              <w:t>abril</w:t>
            </w:r>
            <w:r w:rsidRPr="00D42723">
              <w:t xml:space="preserve"> de 2020. O pedido deve incluir, no mínimo, todas as informações pertinentes sobre o encargo financeiro imposto a esse Estado-Membro. Deve ainda descrever as medidas públicas tomadas para dar resposta à saída sem acordo e especificar o seu custo líquido até 31</w:t>
            </w:r>
            <w:r w:rsidRPr="00D42723">
              <w:rPr>
                <w:b/>
                <w:i/>
              </w:rPr>
              <w:t xml:space="preserve"> </w:t>
            </w:r>
            <w:r w:rsidRPr="00D42723">
              <w:t>de dezembro de</w:t>
            </w:r>
            <w:r w:rsidRPr="00D42723">
              <w:rPr>
                <w:b/>
                <w:i/>
              </w:rPr>
              <w:t xml:space="preserve"> </w:t>
            </w:r>
            <w:r w:rsidRPr="00D42723">
              <w:t>2020</w:t>
            </w:r>
            <w:r w:rsidRPr="00D42723">
              <w:rPr>
                <w:b/>
                <w:i/>
              </w:rPr>
              <w:t xml:space="preserve"> e as razões pelas quais não poderiam ter sido evitadas através de medidas de preparação</w:t>
            </w:r>
            <w:r w:rsidRPr="00D42723">
              <w:t>. Deve também incluir a justificação relativa ao efeito direto da saída sem acordo.</w:t>
            </w:r>
          </w:p>
        </w:tc>
        <w:tc>
          <w:tcPr>
            <w:tcW w:w="4876" w:type="dxa"/>
          </w:tcPr>
          <w:p w:rsidR="00541E99" w:rsidRPr="00D42723" w:rsidRDefault="00541E99" w:rsidP="00E430E9">
            <w:pPr>
              <w:pStyle w:val="Normal6"/>
            </w:pPr>
            <w:r w:rsidRPr="00D42723">
              <w:t>1</w:t>
            </w:r>
            <w:r w:rsidR="00E430E9" w:rsidRPr="00D42723">
              <w:t>.</w:t>
            </w:r>
            <w:r w:rsidRPr="00D42723">
              <w:tab/>
              <w:t xml:space="preserve">As autoridades nacionais competentes de um Estado-Membro podem apresentar à Comissão um pedido de contribuição financeira do Fundo, em conformidade com o artigo 3.º-A, até 30 de </w:t>
            </w:r>
            <w:r w:rsidRPr="00D42723">
              <w:rPr>
                <w:b/>
                <w:i/>
              </w:rPr>
              <w:t>junho</w:t>
            </w:r>
            <w:r w:rsidRPr="00D42723">
              <w:t xml:space="preserve"> de 2020. O pedido deve incluir, no mínimo, todas as informações pertinentes sobre o encargo financeiro imposto a esse Estado-Membro. Deve ainda descrever as medidas públicas tomadas para </w:t>
            </w:r>
            <w:r w:rsidRPr="00D42723">
              <w:rPr>
                <w:b/>
                <w:i/>
              </w:rPr>
              <w:t xml:space="preserve">preparar ou </w:t>
            </w:r>
            <w:r w:rsidRPr="00D42723">
              <w:t>dar resposta à saída sem acordo e especificar o seu custo líquido até 31</w:t>
            </w:r>
            <w:r w:rsidRPr="00D42723">
              <w:rPr>
                <w:b/>
                <w:i/>
              </w:rPr>
              <w:t> </w:t>
            </w:r>
            <w:r w:rsidRPr="00D42723">
              <w:t>de dezembro de</w:t>
            </w:r>
            <w:r w:rsidRPr="00D42723">
              <w:rPr>
                <w:b/>
                <w:i/>
              </w:rPr>
              <w:t> </w:t>
            </w:r>
            <w:r w:rsidRPr="00D42723">
              <w:t>2020. Deve também incluir a justificação relativa ao efeito direto da saída sem acordo.</w:t>
            </w:r>
          </w:p>
        </w:tc>
      </w:tr>
    </w:tbl>
    <w:p w:rsidR="00541E99" w:rsidRPr="00D42723" w:rsidRDefault="00541E99" w:rsidP="00541E99"/>
    <w:p w:rsidR="00541E99" w:rsidRPr="00D42723" w:rsidRDefault="00541E99" w:rsidP="00541E99">
      <w:pPr>
        <w:pStyle w:val="AMNumberTabs0"/>
      </w:pPr>
      <w:r w:rsidRPr="00D42723">
        <w:t>Alteração</w:t>
      </w:r>
      <w:r w:rsidRPr="00D42723">
        <w:tab/>
      </w:r>
      <w:r w:rsidRPr="00D42723">
        <w:tab/>
        <w:t>11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</w:pPr>
      <w:r w:rsidRPr="00D42723">
        <w:t>Artigo 1 – parágrafo 1 – ponto 6</w:t>
      </w:r>
    </w:p>
    <w:p w:rsidR="00541E99" w:rsidRPr="00D42723" w:rsidRDefault="00541E99" w:rsidP="00541E99">
      <w:r w:rsidRPr="00D42723">
        <w:t>Regulamento (CE) n.º 2012/2002</w:t>
      </w:r>
    </w:p>
    <w:p w:rsidR="00541E99" w:rsidRPr="00D42723" w:rsidRDefault="00541E99" w:rsidP="00541E99">
      <w:r w:rsidRPr="00D42723">
        <w:t>Artigo 4-A – n.º 2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1E99" w:rsidRPr="00D42723" w:rsidTr="00B125F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/>
        </w:tc>
      </w:tr>
      <w:tr w:rsidR="00541E99" w:rsidRPr="00D42723" w:rsidTr="00B125F3">
        <w:trPr>
          <w:trHeight w:val="240"/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E430E9">
            <w:pPr>
              <w:pStyle w:val="Normal6"/>
            </w:pPr>
            <w:r w:rsidRPr="00D42723">
              <w:t>2</w:t>
            </w:r>
            <w:r w:rsidR="00E430E9" w:rsidRPr="00D42723">
              <w:t>.</w:t>
            </w:r>
            <w:r w:rsidRPr="00D42723">
              <w:tab/>
              <w:t xml:space="preserve">A Comissão elabora orientações sobre o modo de aceder ao Fundo e de o utilizar eficazmente. As orientações devem fornecer informações pormenorizadas sobre a preparação do pedido e as informações a apresentar à Comissão, nomeadamente sobre as provas a </w:t>
            </w:r>
            <w:r w:rsidRPr="00D42723">
              <w:lastRenderedPageBreak/>
              <w:t>apresentar relativas aos encargos financeiros impostos. As orientações são publicadas nos sítios Internet das Direções-Gerais pertinentes da Comissão, a qual assegura a sua ampla divulgação aos Estados-Membros.</w:t>
            </w:r>
          </w:p>
        </w:tc>
        <w:tc>
          <w:tcPr>
            <w:tcW w:w="4876" w:type="dxa"/>
          </w:tcPr>
          <w:p w:rsidR="00541E99" w:rsidRPr="00D42723" w:rsidRDefault="00541E99" w:rsidP="00E430E9">
            <w:pPr>
              <w:pStyle w:val="Normal6"/>
            </w:pPr>
            <w:r w:rsidRPr="00D42723">
              <w:lastRenderedPageBreak/>
              <w:t>2</w:t>
            </w:r>
            <w:r w:rsidR="00E430E9" w:rsidRPr="00D42723">
              <w:t>.</w:t>
            </w:r>
            <w:r w:rsidRPr="00D42723">
              <w:tab/>
              <w:t>A Comissão elabora</w:t>
            </w:r>
            <w:r w:rsidRPr="00D42723">
              <w:rPr>
                <w:b/>
                <w:i/>
              </w:rPr>
              <w:t>, até 31 de dezembro de 2019,</w:t>
            </w:r>
            <w:r w:rsidRPr="00D42723">
              <w:t xml:space="preserve"> orientações sobre o modo de aceder ao Fundo e de o utilizar eficazmente. As orientações devem fornecer informações pormenorizadas sobre a preparação do pedido e as informações a apresentar à Comissão, </w:t>
            </w:r>
            <w:r w:rsidRPr="00D42723">
              <w:lastRenderedPageBreak/>
              <w:t>nomeadamente sobre as provas a apresentar relativas aos encargos financeiros impostos. As orientações são publicadas nos sítios Internet das Direções-Gerais pertinentes da Comissão, a qual assegura a sua ampla divulgação aos Estados-Membros.</w:t>
            </w:r>
          </w:p>
        </w:tc>
      </w:tr>
    </w:tbl>
    <w:p w:rsidR="00541E99" w:rsidRPr="00D42723" w:rsidRDefault="00541E99" w:rsidP="00541E99"/>
    <w:p w:rsidR="00541E99" w:rsidRPr="00D42723" w:rsidRDefault="00541E99" w:rsidP="00541E99">
      <w:pPr>
        <w:pStyle w:val="AMNumberTabs0"/>
      </w:pPr>
      <w:r w:rsidRPr="00D42723">
        <w:t>Alteração</w:t>
      </w:r>
      <w:r w:rsidRPr="00D42723">
        <w:tab/>
      </w:r>
      <w:r w:rsidRPr="00D42723">
        <w:tab/>
        <w:t>12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</w:pPr>
      <w:r w:rsidRPr="00D42723">
        <w:t>Artigo 1 – parágrafo 1 – ponto 6</w:t>
      </w:r>
    </w:p>
    <w:p w:rsidR="00541E99" w:rsidRPr="00D42723" w:rsidRDefault="00541E99" w:rsidP="00541E99">
      <w:r w:rsidRPr="00D42723">
        <w:t>Regulamento (CE) n.º 2012/2002</w:t>
      </w:r>
    </w:p>
    <w:p w:rsidR="00541E99" w:rsidRPr="00D42723" w:rsidRDefault="00541E99" w:rsidP="00541E99">
      <w:r w:rsidRPr="00D42723">
        <w:t>Artigo 4-A – n.º 3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1E99" w:rsidRPr="00D42723" w:rsidTr="00B125F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/>
        </w:tc>
      </w:tr>
      <w:tr w:rsidR="00541E99" w:rsidRPr="00D42723" w:rsidTr="00B125F3">
        <w:trPr>
          <w:trHeight w:val="240"/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612574">
            <w:pPr>
              <w:pStyle w:val="Normal6"/>
            </w:pPr>
            <w:r w:rsidRPr="00D42723">
              <w:t>3</w:t>
            </w:r>
            <w:r w:rsidR="00612574" w:rsidRPr="00D42723">
              <w:t>.</w:t>
            </w:r>
            <w:r w:rsidRPr="00D42723">
              <w:tab/>
              <w:t xml:space="preserve">Após 30 de </w:t>
            </w:r>
            <w:r w:rsidRPr="00D42723">
              <w:rPr>
                <w:b/>
                <w:i/>
              </w:rPr>
              <w:t>abril</w:t>
            </w:r>
            <w:r w:rsidRPr="00D42723">
              <w:t xml:space="preserve"> de 2020, a Comissão avalia, com base nas informações referidas nos n.</w:t>
            </w:r>
            <w:r w:rsidRPr="00D42723">
              <w:rPr>
                <w:vertAlign w:val="superscript"/>
              </w:rPr>
              <w:t>os</w:t>
            </w:r>
            <w:r w:rsidRPr="00D42723">
              <w:t xml:space="preserve"> 1 e 2, relativamente a todos os pedidos recebidos, se as condições de mobilização do Fundo estão reunidas em cada caso e determina os montantes de qualquer eventual participação financeira do Fundo dentro dos limites dos recursos financeiros disponíveis.</w:t>
            </w:r>
          </w:p>
        </w:tc>
        <w:tc>
          <w:tcPr>
            <w:tcW w:w="4876" w:type="dxa"/>
          </w:tcPr>
          <w:p w:rsidR="00541E99" w:rsidRPr="00D42723" w:rsidRDefault="00541E99" w:rsidP="00612574">
            <w:pPr>
              <w:pStyle w:val="Normal6"/>
            </w:pPr>
            <w:r w:rsidRPr="00D42723">
              <w:t>3</w:t>
            </w:r>
            <w:r w:rsidR="00612574" w:rsidRPr="00D42723">
              <w:t>.</w:t>
            </w:r>
            <w:r w:rsidRPr="00D42723">
              <w:tab/>
              <w:t xml:space="preserve">Após 30 de </w:t>
            </w:r>
            <w:r w:rsidRPr="00D42723">
              <w:rPr>
                <w:b/>
                <w:i/>
              </w:rPr>
              <w:t>junho</w:t>
            </w:r>
            <w:r w:rsidRPr="00D42723">
              <w:t xml:space="preserve"> de 2020, a Comissão avalia, com base nas informações referidas nos n.</w:t>
            </w:r>
            <w:r w:rsidRPr="00D42723">
              <w:rPr>
                <w:vertAlign w:val="superscript"/>
              </w:rPr>
              <w:t>os</w:t>
            </w:r>
            <w:r w:rsidRPr="00D42723">
              <w:t xml:space="preserve"> 1 e 2, relativamente a todos os pedidos recebidos, se as condições de mobilização do Fundo estão reunidas em cada caso e determina os montantes de qualquer eventual participação financeira do Fundo dentro dos limites dos recursos financeiros disponíveis.</w:t>
            </w:r>
          </w:p>
        </w:tc>
      </w:tr>
    </w:tbl>
    <w:p w:rsidR="00541E99" w:rsidRPr="00D42723" w:rsidRDefault="00541E99" w:rsidP="00541E99"/>
    <w:p w:rsidR="00541E99" w:rsidRPr="00D42723" w:rsidRDefault="00541E99" w:rsidP="003058C9">
      <w:pPr>
        <w:pStyle w:val="AMNumberTabs0"/>
      </w:pPr>
      <w:r w:rsidRPr="00D42723">
        <w:t>Alteração</w:t>
      </w:r>
      <w:r w:rsidRPr="00D42723">
        <w:tab/>
      </w:r>
      <w:r w:rsidRPr="00D42723">
        <w:tab/>
        <w:t>13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  <w:keepNext/>
      </w:pPr>
      <w:r w:rsidRPr="00D42723">
        <w:t>Artigo 1 – parágrafo 1 – ponto 6</w:t>
      </w:r>
    </w:p>
    <w:p w:rsidR="00541E99" w:rsidRPr="00D42723" w:rsidRDefault="00541E99" w:rsidP="00541E99">
      <w:pPr>
        <w:keepNext/>
      </w:pPr>
      <w:r w:rsidRPr="00D42723">
        <w:t>Regulamento (CE) n.º 2012/2002</w:t>
      </w:r>
    </w:p>
    <w:p w:rsidR="00541E99" w:rsidRPr="00D42723" w:rsidRDefault="00541E99" w:rsidP="00541E99">
      <w:r w:rsidRPr="00D42723">
        <w:t>Artigo 4-A – n.º 4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41E99" w:rsidRPr="00D42723" w:rsidTr="00B125F3">
        <w:trPr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>
            <w:pPr>
              <w:keepNext/>
            </w:pP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AmColumnHeading"/>
              <w:keepNext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612574">
            <w:pPr>
              <w:pStyle w:val="Normal6a"/>
              <w:rPr>
                <w:szCs w:val="24"/>
              </w:rPr>
            </w:pPr>
            <w:r w:rsidRPr="00D42723">
              <w:t>4</w:t>
            </w:r>
            <w:r w:rsidR="00612574" w:rsidRPr="00D42723">
              <w:t>.</w:t>
            </w:r>
            <w:r w:rsidRPr="00D42723">
              <w:tab/>
              <w:t xml:space="preserve">A contribuição do Fundo é atribuída aos Estados-Membros que satisfaçam os critérios de elegibilidade, tendo em conta os limiares especificados no artigo 3.º-A, n.º 4, a uma taxa que pode ascender a </w:t>
            </w:r>
            <w:r w:rsidRPr="00D42723">
              <w:rPr>
                <w:b/>
                <w:i/>
              </w:rPr>
              <w:t>5 %</w:t>
            </w:r>
            <w:r w:rsidRPr="00D42723">
              <w:t xml:space="preserve"> do encargo financeiro imposto, e dentro dos limites do orçamento disponível. Caso o orçamento disponível seja insuficiente, a taxa de ajuda será reduzida proporcionalmente.</w:t>
            </w:r>
          </w:p>
        </w:tc>
        <w:tc>
          <w:tcPr>
            <w:tcW w:w="4876" w:type="dxa"/>
          </w:tcPr>
          <w:p w:rsidR="00541E99" w:rsidRPr="00D42723" w:rsidRDefault="00541E99" w:rsidP="00612574">
            <w:pPr>
              <w:pStyle w:val="Normal6a"/>
              <w:rPr>
                <w:szCs w:val="24"/>
              </w:rPr>
            </w:pPr>
            <w:r w:rsidRPr="00D42723">
              <w:t>4</w:t>
            </w:r>
            <w:r w:rsidR="00612574" w:rsidRPr="00D42723">
              <w:t>.</w:t>
            </w:r>
            <w:r w:rsidRPr="00D42723">
              <w:tab/>
              <w:t xml:space="preserve">A contribuição do Fundo é atribuída aos Estados-Membros que satisfaçam os critérios de elegibilidade, tendo em conta os limiares especificados no artigo 3.º-A, n.º 4, a uma taxa que pode ascender a </w:t>
            </w:r>
            <w:r w:rsidRPr="00D42723">
              <w:rPr>
                <w:b/>
                <w:i/>
              </w:rPr>
              <w:t>10 %</w:t>
            </w:r>
            <w:r w:rsidRPr="00D42723">
              <w:t xml:space="preserve"> do encargo financeiro imposto, e dentro dos limites do orçamento disponível. Caso o orçamento disponível seja insuficiente, a taxa de ajuda será reduzida proporcionalmente.</w:t>
            </w:r>
          </w:p>
        </w:tc>
      </w:tr>
    </w:tbl>
    <w:p w:rsidR="00541E99" w:rsidRPr="00D42723" w:rsidRDefault="00541E99" w:rsidP="00541E99"/>
    <w:p w:rsidR="00541E99" w:rsidRPr="00D42723" w:rsidRDefault="00541E99" w:rsidP="00541E99">
      <w:pPr>
        <w:pStyle w:val="AMNumberTabs0"/>
      </w:pPr>
      <w:r w:rsidRPr="00D42723">
        <w:t>Alteração</w:t>
      </w:r>
      <w:r w:rsidRPr="00D42723">
        <w:tab/>
      </w:r>
      <w:r w:rsidRPr="00D42723">
        <w:tab/>
        <w:t>14</w:t>
      </w:r>
    </w:p>
    <w:p w:rsidR="00541E99" w:rsidRPr="00D42723" w:rsidRDefault="00541E99" w:rsidP="00541E99">
      <w:pPr>
        <w:pStyle w:val="NormalBold12b"/>
      </w:pPr>
      <w:r w:rsidRPr="00D42723">
        <w:t>Proposta de regulamento</w:t>
      </w:r>
    </w:p>
    <w:p w:rsidR="00541E99" w:rsidRPr="00D42723" w:rsidRDefault="00541E99" w:rsidP="00541E99">
      <w:pPr>
        <w:pStyle w:val="NormalBold"/>
      </w:pPr>
      <w:r w:rsidRPr="00D42723">
        <w:t>Artigo 1 – parágrafo 1 – ponto 6</w:t>
      </w:r>
    </w:p>
    <w:p w:rsidR="00541E99" w:rsidRPr="00D42723" w:rsidRDefault="00541E99" w:rsidP="00541E99">
      <w:r w:rsidRPr="00D42723">
        <w:t>Regulamento (CE) n.º 2012/2002</w:t>
      </w:r>
    </w:p>
    <w:p w:rsidR="00541E99" w:rsidRPr="00D42723" w:rsidRDefault="00541E99" w:rsidP="00541E99">
      <w:r w:rsidRPr="00D42723">
        <w:t>Artigo 4-A – n.º 6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541E99" w:rsidRPr="00D42723" w:rsidTr="00B125F3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541E99" w:rsidRPr="00D42723" w:rsidRDefault="00541E99" w:rsidP="00B125F3"/>
        </w:tc>
      </w:tr>
      <w:tr w:rsidR="00541E99" w:rsidRPr="00D42723" w:rsidTr="00B125F3">
        <w:trPr>
          <w:trHeight w:val="240"/>
          <w:jc w:val="center"/>
        </w:trPr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Texto da Comissão</w:t>
            </w:r>
          </w:p>
        </w:tc>
        <w:tc>
          <w:tcPr>
            <w:tcW w:w="4876" w:type="dxa"/>
          </w:tcPr>
          <w:p w:rsidR="00541E99" w:rsidRPr="00D42723" w:rsidRDefault="00541E99" w:rsidP="00B125F3">
            <w:pPr>
              <w:pStyle w:val="ColumnHeading"/>
            </w:pPr>
            <w:r w:rsidRPr="00D42723">
              <w:t>Alteração</w:t>
            </w:r>
          </w:p>
        </w:tc>
      </w:tr>
      <w:tr w:rsidR="00541E99" w:rsidRPr="00D42723" w:rsidTr="00B125F3">
        <w:trPr>
          <w:jc w:val="center"/>
        </w:trPr>
        <w:tc>
          <w:tcPr>
            <w:tcW w:w="4876" w:type="dxa"/>
          </w:tcPr>
          <w:p w:rsidR="00541E99" w:rsidRPr="00D42723" w:rsidRDefault="00541E99" w:rsidP="00612574">
            <w:pPr>
              <w:pStyle w:val="Normal6"/>
            </w:pPr>
            <w:r w:rsidRPr="00D42723">
              <w:t>6</w:t>
            </w:r>
            <w:r w:rsidR="00612574" w:rsidRPr="00D42723">
              <w:t>.</w:t>
            </w:r>
            <w:r w:rsidRPr="00D42723">
              <w:tab/>
              <w:t>A decisão de mobilizar o Fundo é tomada em conjunto pelo Parlamento Europeu e pelo Conselho logo que possível após a apresentação da proposta pela Comissão. A Comissão, por um lado, e o Parlamento Europeu e o Conselho, por outro, devem envidar esforços para reduzir ao mínimo o tempo necessário para a mobilização do Fundo.</w:t>
            </w:r>
          </w:p>
        </w:tc>
        <w:tc>
          <w:tcPr>
            <w:tcW w:w="4876" w:type="dxa"/>
          </w:tcPr>
          <w:p w:rsidR="00541E99" w:rsidRPr="00D42723" w:rsidRDefault="00541E99" w:rsidP="00612574">
            <w:pPr>
              <w:pStyle w:val="Normal6"/>
            </w:pPr>
            <w:r w:rsidRPr="00D42723">
              <w:t>6</w:t>
            </w:r>
            <w:r w:rsidR="00612574" w:rsidRPr="00D42723">
              <w:t>.</w:t>
            </w:r>
            <w:r w:rsidRPr="00D42723">
              <w:tab/>
              <w:t>A decisão de mobilizar o Fundo é tomada em conjunto pelo Parlamento Europeu e pelo Conselho logo que possível após a apresentação da proposta pela Comissão. A Comissão, por um lado, e o Parlamento Europeu e o Conselho, por outro, devem envidar esforços para reduzir ao mínimo o tempo necessário para a mobilização do Fundo</w:t>
            </w:r>
            <w:r w:rsidRPr="00D42723">
              <w:rPr>
                <w:b/>
                <w:i/>
              </w:rPr>
              <w:t xml:space="preserve"> e procurar, no menor tempo possível, propor um instrumento ad hoc para solucionar esta crise</w:t>
            </w:r>
            <w:r w:rsidRPr="00D42723">
              <w:t>.</w:t>
            </w:r>
          </w:p>
        </w:tc>
      </w:tr>
    </w:tbl>
    <w:p w:rsidR="00541E99" w:rsidRPr="00D42723" w:rsidRDefault="00541E99" w:rsidP="00612574"/>
    <w:sectPr w:rsidR="00541E99" w:rsidRPr="00D42723" w:rsidSect="00735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4D" w:rsidRPr="00735867" w:rsidRDefault="00BE464D">
      <w:r w:rsidRPr="00735867">
        <w:separator/>
      </w:r>
    </w:p>
  </w:endnote>
  <w:endnote w:type="continuationSeparator" w:id="0">
    <w:p w:rsidR="00BE464D" w:rsidRPr="00735867" w:rsidRDefault="00BE464D">
      <w:r w:rsidRPr="007358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23" w:rsidRDefault="00D42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Default="00064002" w:rsidP="00D42723">
    <w:pPr>
      <w:pStyle w:val="Footer"/>
      <w:tabs>
        <w:tab w:val="clear" w:pos="4513"/>
        <w:tab w:val="clear" w:pos="9026"/>
        <w:tab w:val="right" w:pos="9184"/>
      </w:tabs>
    </w:pPr>
  </w:p>
  <w:p w:rsidR="00D42723" w:rsidRDefault="00D42723" w:rsidP="00D42723">
    <w:pPr>
      <w:pStyle w:val="Footer"/>
      <w:pBdr>
        <w:top w:val="single" w:sz="2" w:space="1" w:color="000000"/>
      </w:pBdr>
      <w:tabs>
        <w:tab w:val="clear" w:pos="4513"/>
        <w:tab w:val="clear" w:pos="9026"/>
        <w:tab w:val="right" w:pos="9184"/>
      </w:tabs>
    </w:pPr>
    <w:r>
      <w:tab/>
    </w:r>
    <w:r w:rsidRPr="00D42723">
      <w:rPr>
        <w:rStyle w:val="HideTWBExt"/>
      </w:rPr>
      <w:t>&lt;NuPE&gt;</w:t>
    </w:r>
    <w:r>
      <w:t>PE643.320</w:t>
    </w:r>
    <w:r w:rsidRPr="00D42723">
      <w:rPr>
        <w:rStyle w:val="HideTWBExt"/>
      </w:rPr>
      <w:t>&lt;/NuPE&gt;</w:t>
    </w:r>
    <w:r>
      <w:t xml:space="preserve">/ </w:t>
    </w:r>
    <w:r>
      <w:fldChar w:fldCharType="begin"/>
    </w:r>
    <w:r>
      <w:instrText xml:space="preserve"> PAGE  \* MERGEFORMAT </w:instrText>
    </w:r>
    <w:r>
      <w:fldChar w:fldCharType="separate"/>
    </w:r>
    <w:r w:rsidR="008D78F3">
      <w:rPr>
        <w:noProof/>
      </w:rPr>
      <w:t>1</w:t>
    </w:r>
    <w:r>
      <w:fldChar w:fldCharType="end"/>
    </w:r>
  </w:p>
  <w:p w:rsidR="00D42723" w:rsidRPr="00D42723" w:rsidRDefault="00D42723" w:rsidP="00D42723">
    <w:pPr>
      <w:pStyle w:val="Footer"/>
      <w:pBdr>
        <w:top w:val="single" w:sz="2" w:space="1" w:color="000000"/>
      </w:pBdr>
      <w:tabs>
        <w:tab w:val="clear" w:pos="4513"/>
        <w:tab w:val="clear" w:pos="9026"/>
        <w:tab w:val="right" w:pos="9638"/>
      </w:tabs>
      <w:rPr>
        <w:rFonts w:ascii="Arial" w:hAnsi="Arial" w:cs="Arial"/>
        <w:b/>
        <w:sz w:val="48"/>
      </w:rPr>
    </w:pP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23" w:rsidRDefault="00D42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4D" w:rsidRPr="00735867" w:rsidRDefault="00BE464D">
      <w:r w:rsidRPr="00735867">
        <w:separator/>
      </w:r>
    </w:p>
  </w:footnote>
  <w:footnote w:type="continuationSeparator" w:id="0">
    <w:p w:rsidR="00BE464D" w:rsidRPr="00735867" w:rsidRDefault="00BE464D">
      <w:r w:rsidRPr="0073586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23" w:rsidRDefault="00D42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23" w:rsidRDefault="00D42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23" w:rsidRDefault="00D42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20/2019"/>
    <w:docVar w:name="dvlangue" w:val="PT"/>
    <w:docVar w:name="dvnumam" w:val="14"/>
    <w:docVar w:name="dvpe" w:val="641.360"/>
    <w:docVar w:name="dvrapporteur" w:val="Relator: "/>
    <w:docVar w:name="dvtitre" w:val="Resolução legislativa do Parlamento Europeu, de ... de ... de 2019,_x000d__x000a_ sobre a proposta de regulamento do Parlamento Europeu e do Conselho que altera o Regulamento (CE) n.º 2012/2002 do Conselho a fim de prestar assistência financeira aos Estados-Membros para cobrir encargos financeiros graves causados pela saída do Reino Unido da União sem acordo(COM(2019)0399 – C9-0111/2019 – 2019/0183(COD))"/>
    <w:docVar w:name="TA_Comm_A5Nr" w:val="A9-0020/2019"/>
    <w:docVar w:name="TA_Comm_Langue" w:val="PT"/>
    <w:docVar w:name="TA_Comm_NrAM" w:val="001-014"/>
    <w:docVar w:name="TA_Type" w:val="TA_COMM"/>
  </w:docVars>
  <w:rsids>
    <w:rsidRoot w:val="00BE464D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227D8"/>
    <w:rsid w:val="002767FF"/>
    <w:rsid w:val="002B18FE"/>
    <w:rsid w:val="002B5493"/>
    <w:rsid w:val="003058C9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C0004"/>
    <w:rsid w:val="004C5D52"/>
    <w:rsid w:val="0050519A"/>
    <w:rsid w:val="005072A1"/>
    <w:rsid w:val="00514517"/>
    <w:rsid w:val="00541E99"/>
    <w:rsid w:val="00545827"/>
    <w:rsid w:val="00560270"/>
    <w:rsid w:val="005C2568"/>
    <w:rsid w:val="006037C0"/>
    <w:rsid w:val="00612574"/>
    <w:rsid w:val="006631B6"/>
    <w:rsid w:val="00680577"/>
    <w:rsid w:val="006855DC"/>
    <w:rsid w:val="006F74FA"/>
    <w:rsid w:val="00731ADD"/>
    <w:rsid w:val="00734777"/>
    <w:rsid w:val="0073586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8D78F3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618F7"/>
    <w:rsid w:val="00BD48FE"/>
    <w:rsid w:val="00BD7BD8"/>
    <w:rsid w:val="00BE464D"/>
    <w:rsid w:val="00BE6ADC"/>
    <w:rsid w:val="00C05BFE"/>
    <w:rsid w:val="00C23CD4"/>
    <w:rsid w:val="00C61C0C"/>
    <w:rsid w:val="00C941CB"/>
    <w:rsid w:val="00CC2357"/>
    <w:rsid w:val="00CF071A"/>
    <w:rsid w:val="00D058B8"/>
    <w:rsid w:val="00D42723"/>
    <w:rsid w:val="00D56C11"/>
    <w:rsid w:val="00D76214"/>
    <w:rsid w:val="00D834A0"/>
    <w:rsid w:val="00D872DF"/>
    <w:rsid w:val="00D91E21"/>
    <w:rsid w:val="00DA7FCD"/>
    <w:rsid w:val="00E365E1"/>
    <w:rsid w:val="00E430E9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87713"/>
    <w:rsid w:val="00FB0839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8B72-CC67-4528-A5DB-E7F205A2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pt-PT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semiHidden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semiHidden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6a">
    <w:name w:val="Normal6a"/>
    <w:basedOn w:val="Normal"/>
    <w:rsid w:val="00541E99"/>
    <w:pPr>
      <w:spacing w:after="120"/>
    </w:pPr>
  </w:style>
  <w:style w:type="paragraph" w:customStyle="1" w:styleId="NormalBold">
    <w:name w:val="NormalBold"/>
    <w:basedOn w:val="Normal"/>
    <w:link w:val="NormalBoldChar"/>
    <w:rsid w:val="00541E99"/>
    <w:rPr>
      <w:b/>
    </w:rPr>
  </w:style>
  <w:style w:type="paragraph" w:customStyle="1" w:styleId="AmColumnHeading">
    <w:name w:val="AmColumnHeading"/>
    <w:basedOn w:val="Normal"/>
    <w:rsid w:val="00541E99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41E9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541E99"/>
    <w:pPr>
      <w:spacing w:before="240"/>
    </w:pPr>
    <w:rPr>
      <w:b/>
    </w:rPr>
  </w:style>
  <w:style w:type="paragraph" w:customStyle="1" w:styleId="EPComma">
    <w:name w:val="EPComma"/>
    <w:basedOn w:val="Normal"/>
    <w:rsid w:val="00541E99"/>
    <w:pPr>
      <w:spacing w:before="480" w:after="240"/>
    </w:pPr>
  </w:style>
  <w:style w:type="character" w:customStyle="1" w:styleId="NormalBoldChar">
    <w:name w:val="NormalBold Char"/>
    <w:link w:val="NormalBold"/>
    <w:rsid w:val="00541E99"/>
    <w:rPr>
      <w:b/>
      <w:sz w:val="24"/>
      <w:lang w:val="pt-PT"/>
    </w:rPr>
  </w:style>
  <w:style w:type="paragraph" w:customStyle="1" w:styleId="Normal6">
    <w:name w:val="Normal6"/>
    <w:basedOn w:val="Normal"/>
    <w:link w:val="Normal6Char"/>
    <w:rsid w:val="00541E99"/>
    <w:pPr>
      <w:spacing w:after="120"/>
    </w:pPr>
  </w:style>
  <w:style w:type="character" w:customStyle="1" w:styleId="Normal6Char">
    <w:name w:val="Normal6 Char"/>
    <w:link w:val="Normal6"/>
    <w:rsid w:val="00541E99"/>
    <w:rPr>
      <w:sz w:val="24"/>
      <w:lang w:val="pt-PT"/>
    </w:rPr>
  </w:style>
  <w:style w:type="paragraph" w:customStyle="1" w:styleId="Normal12Hanging">
    <w:name w:val="Normal12Hanging"/>
    <w:basedOn w:val="Normal"/>
    <w:rsid w:val="00541E99"/>
    <w:pPr>
      <w:spacing w:after="240"/>
      <w:ind w:left="567" w:hanging="567"/>
    </w:pPr>
  </w:style>
  <w:style w:type="paragraph" w:customStyle="1" w:styleId="ColumnHeading">
    <w:name w:val="ColumnHeading"/>
    <w:basedOn w:val="Normal"/>
    <w:rsid w:val="00541E99"/>
    <w:pPr>
      <w:spacing w:after="240"/>
      <w:jc w:val="center"/>
    </w:pPr>
    <w:rPr>
      <w:i/>
    </w:rPr>
  </w:style>
  <w:style w:type="paragraph" w:customStyle="1" w:styleId="AMNumberTabs0">
    <w:name w:val="AMNumberTabs"/>
    <w:basedOn w:val="Normal"/>
    <w:rsid w:val="00541E9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B61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18F7"/>
    <w:rPr>
      <w:rFonts w:ascii="Segoe UI" w:hAnsi="Segoe UI" w:cs="Segoe UI"/>
      <w:sz w:val="18"/>
      <w:szCs w:val="18"/>
      <w:lang w:val="pt-PT"/>
    </w:rPr>
  </w:style>
  <w:style w:type="paragraph" w:styleId="Footer">
    <w:name w:val="footer"/>
    <w:basedOn w:val="Normal"/>
    <w:link w:val="FooterChar"/>
    <w:rsid w:val="00D427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2723"/>
    <w:rPr>
      <w:sz w:val="24"/>
      <w:lang w:val="pt-PT"/>
    </w:rPr>
  </w:style>
  <w:style w:type="paragraph" w:styleId="Header">
    <w:name w:val="header"/>
    <w:basedOn w:val="Normal"/>
    <w:link w:val="HeaderChar"/>
    <w:rsid w:val="00D427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723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10676</Characters>
  <Application>Microsoft Office Word</Application>
  <DocSecurity>0</DocSecurity>
  <Lines>427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IAMartins</dc:creator>
  <cp:keywords/>
  <cp:lastModifiedBy>IAMartins</cp:lastModifiedBy>
  <cp:revision>2</cp:revision>
  <cp:lastPrinted>2004-11-19T15:42:00Z</cp:lastPrinted>
  <dcterms:created xsi:type="dcterms:W3CDTF">2019-10-23T09:47:00Z</dcterms:created>
  <dcterms:modified xsi:type="dcterms:W3CDTF">2019-10-23T09:47:00Z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&lt;FdR&gt;">
    <vt:lpwstr>A9-0020_2019_PT_net_gravar epades_22_10_1</vt:lpwstr>
  </property>
  <property fmtid="{D5CDD505-2E9C-101B-9397-08002B2CF9AE}" pid="4" name="&lt;Type&gt;">
    <vt:lpwstr>RR</vt:lpwstr>
  </property>
</Properties>
</file>