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20726" w:rsidRPr="00377267" w:rsidTr="00AA3D51">
        <w:trPr>
          <w:trHeight w:hRule="exact" w:val="1418"/>
        </w:trPr>
        <w:tc>
          <w:tcPr>
            <w:tcW w:w="6804" w:type="dxa"/>
            <w:shd w:val="clear" w:color="auto" w:fill="auto"/>
            <w:vAlign w:val="center"/>
          </w:tcPr>
          <w:p w:rsidR="00320726" w:rsidRPr="00377267" w:rsidRDefault="003D3123" w:rsidP="00AA3D51">
            <w:pPr>
              <w:pStyle w:val="EPName"/>
            </w:pPr>
            <w:r w:rsidRPr="00377267">
              <w:t>Parlamento europeo</w:t>
            </w:r>
          </w:p>
          <w:p w:rsidR="00320726" w:rsidRPr="00377267" w:rsidRDefault="001063DF" w:rsidP="001063DF">
            <w:pPr>
              <w:pStyle w:val="EPTerm"/>
              <w:rPr>
                <w:rStyle w:val="HideTWBExt"/>
                <w:noProof w:val="0"/>
                <w:vanish w:val="0"/>
                <w:color w:val="auto"/>
              </w:rPr>
            </w:pPr>
            <w:r w:rsidRPr="00377267">
              <w:t>2019-2024</w:t>
            </w:r>
          </w:p>
        </w:tc>
        <w:tc>
          <w:tcPr>
            <w:tcW w:w="2268" w:type="dxa"/>
            <w:shd w:val="clear" w:color="auto" w:fill="auto"/>
          </w:tcPr>
          <w:p w:rsidR="00320726" w:rsidRPr="00377267" w:rsidRDefault="005222C4" w:rsidP="00AA3D51">
            <w:pPr>
              <w:pStyle w:val="EPLogo"/>
            </w:pPr>
            <w:r w:rsidRPr="00377267">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F2B50" w:rsidRPr="00377267" w:rsidRDefault="00CF2B50" w:rsidP="00CF2B50">
      <w:pPr>
        <w:pStyle w:val="LineTop"/>
      </w:pPr>
    </w:p>
    <w:p w:rsidR="00CF2B50" w:rsidRPr="00377267" w:rsidRDefault="001063DF" w:rsidP="00CF2B50">
      <w:pPr>
        <w:pStyle w:val="EPBody"/>
      </w:pPr>
      <w:r w:rsidRPr="00377267">
        <w:t>Documento di seduta</w:t>
      </w:r>
    </w:p>
    <w:p w:rsidR="00CF2B50" w:rsidRPr="00377267" w:rsidRDefault="00CF2B50" w:rsidP="00CF2B50">
      <w:pPr>
        <w:pStyle w:val="LineBottom"/>
      </w:pPr>
    </w:p>
    <w:p w:rsidR="00791D54" w:rsidRPr="00377267" w:rsidRDefault="001063DF" w:rsidP="00791D54">
      <w:pPr>
        <w:pStyle w:val="CoverReference"/>
      </w:pPr>
      <w:r w:rsidRPr="00377267">
        <w:rPr>
          <w:rStyle w:val="HideTWBExt"/>
          <w:noProof w:val="0"/>
        </w:rPr>
        <w:t>&lt;NoDocSe&gt;</w:t>
      </w:r>
      <w:r w:rsidRPr="00377267">
        <w:t>A9-0035/2019</w:t>
      </w:r>
      <w:r w:rsidRPr="00377267">
        <w:rPr>
          <w:rStyle w:val="HideTWBExt"/>
          <w:noProof w:val="0"/>
        </w:rPr>
        <w:t>&lt;/NoDocSe&gt;</w:t>
      </w:r>
    </w:p>
    <w:p w:rsidR="00791D54" w:rsidRPr="00377267" w:rsidRDefault="00791D54" w:rsidP="00791D54">
      <w:pPr>
        <w:pStyle w:val="CoverDate"/>
      </w:pPr>
      <w:r w:rsidRPr="00377267">
        <w:rPr>
          <w:rStyle w:val="HideTWBExt"/>
          <w:noProof w:val="0"/>
        </w:rPr>
        <w:t>&lt;Date&gt;</w:t>
      </w:r>
      <w:r w:rsidRPr="00377267">
        <w:rPr>
          <w:rStyle w:val="HideTWBInt"/>
        </w:rPr>
        <w:t>{20/11/2019}</w:t>
      </w:r>
      <w:r w:rsidRPr="00377267">
        <w:t>20.11.2019</w:t>
      </w:r>
      <w:r w:rsidRPr="00377267">
        <w:rPr>
          <w:rStyle w:val="HideTWBExt"/>
          <w:noProof w:val="0"/>
        </w:rPr>
        <w:t>&lt;/Date&gt;</w:t>
      </w:r>
    </w:p>
    <w:p w:rsidR="009967E3" w:rsidRPr="00377267" w:rsidRDefault="009967E3">
      <w:pPr>
        <w:pStyle w:val="CoverDocType24a"/>
      </w:pPr>
      <w:r w:rsidRPr="00377267">
        <w:rPr>
          <w:rStyle w:val="HideTWBExt"/>
          <w:b w:val="0"/>
          <w:noProof w:val="0"/>
        </w:rPr>
        <w:t>&lt;TitreType&gt;</w:t>
      </w:r>
      <w:r w:rsidRPr="00377267">
        <w:t>RELAZIONE</w:t>
      </w:r>
      <w:r w:rsidRPr="00377267">
        <w:rPr>
          <w:rStyle w:val="HideTWBExt"/>
          <w:b w:val="0"/>
          <w:noProof w:val="0"/>
        </w:rPr>
        <w:t>&lt;/TitreType&gt;</w:t>
      </w:r>
    </w:p>
    <w:p w:rsidR="009967E3" w:rsidRPr="00377267" w:rsidRDefault="009967E3">
      <w:pPr>
        <w:pStyle w:val="CoverNormal"/>
      </w:pPr>
      <w:r w:rsidRPr="00377267">
        <w:rPr>
          <w:rStyle w:val="HideTWBExt"/>
          <w:noProof w:val="0"/>
        </w:rPr>
        <w:t>&lt;Titre&gt;</w:t>
      </w:r>
      <w:r w:rsidRPr="00377267">
        <w:t>sul progetto comune di bilancio generale dell'Unione europea per l'esercizio 2020, approvato dal comitato di conciliazione nel quadro della procedura di bilancio</w:t>
      </w:r>
      <w:r w:rsidRPr="00377267">
        <w:rPr>
          <w:rStyle w:val="HideTWBExt"/>
          <w:noProof w:val="0"/>
        </w:rPr>
        <w:t>&lt;/Titre&gt;</w:t>
      </w:r>
    </w:p>
    <w:p w:rsidR="009967E3" w:rsidRPr="00377267" w:rsidRDefault="009967E3">
      <w:pPr>
        <w:pStyle w:val="CoverNormal24a"/>
      </w:pPr>
      <w:r w:rsidRPr="00377267">
        <w:rPr>
          <w:rStyle w:val="HideTWBExt"/>
          <w:noProof w:val="0"/>
        </w:rPr>
        <w:t>&lt;DocRef&gt;</w:t>
      </w:r>
      <w:r w:rsidRPr="00377267">
        <w:t>(00000/2019 – C9-0000/2019 – 2019/2028(BUD))</w:t>
      </w:r>
      <w:r w:rsidRPr="00377267">
        <w:rPr>
          <w:rStyle w:val="HideTWBExt"/>
          <w:noProof w:val="0"/>
        </w:rPr>
        <w:t>&lt;/DocRef&gt;</w:t>
      </w:r>
    </w:p>
    <w:p w:rsidR="009967E3" w:rsidRPr="00377267" w:rsidRDefault="009967E3">
      <w:pPr>
        <w:pStyle w:val="CoverNormal24a"/>
      </w:pPr>
      <w:r w:rsidRPr="00377267">
        <w:rPr>
          <w:rStyle w:val="HideTWBExt"/>
          <w:noProof w:val="0"/>
        </w:rPr>
        <w:t>&lt;Commission&gt;</w:t>
      </w:r>
      <w:r w:rsidRPr="00377267">
        <w:rPr>
          <w:rStyle w:val="HideTWBInt"/>
        </w:rPr>
        <w:t>{CODE}</w:t>
      </w:r>
      <w:r w:rsidRPr="00377267">
        <w:t>Delegazione del Parlamento europeo al comitato di conciliazione</w:t>
      </w:r>
      <w:r w:rsidRPr="00377267">
        <w:rPr>
          <w:rStyle w:val="HideTWBExt"/>
          <w:noProof w:val="0"/>
        </w:rPr>
        <w:t>&lt;/Commission&gt;</w:t>
      </w:r>
    </w:p>
    <w:p w:rsidR="009160CF" w:rsidRPr="00377267" w:rsidRDefault="001063DF" w:rsidP="007F2E7E">
      <w:pPr>
        <w:pStyle w:val="CoverNormalHanging"/>
      </w:pPr>
      <w:r w:rsidRPr="00377267">
        <w:t xml:space="preserve">Relatori: </w:t>
      </w:r>
      <w:r w:rsidRPr="00377267">
        <w:tab/>
      </w:r>
      <w:r w:rsidRPr="00377267">
        <w:rPr>
          <w:rStyle w:val="HideTWBExt"/>
          <w:noProof w:val="0"/>
        </w:rPr>
        <w:t>&lt;Depute&gt;</w:t>
      </w:r>
      <w:r w:rsidRPr="00377267">
        <w:t>Monika Hohlmeier (Sezione III – Commissione)</w:t>
      </w:r>
      <w:r w:rsidRPr="00377267">
        <w:rPr>
          <w:rStyle w:val="HideTWBExt"/>
          <w:noProof w:val="0"/>
        </w:rPr>
        <w:t>&lt;/Depute&gt;</w:t>
      </w:r>
    </w:p>
    <w:p w:rsidR="00D638CA" w:rsidRPr="00377267" w:rsidRDefault="009160CF" w:rsidP="007F2E7E">
      <w:pPr>
        <w:pStyle w:val="CoverNormalHanging"/>
      </w:pPr>
      <w:r w:rsidRPr="00377267">
        <w:tab/>
      </w:r>
      <w:r w:rsidRPr="00377267">
        <w:rPr>
          <w:rStyle w:val="HideTWBExt"/>
          <w:noProof w:val="0"/>
        </w:rPr>
        <w:t>&lt;Depute&gt;</w:t>
      </w:r>
      <w:r w:rsidRPr="00377267">
        <w:t>Eider Gardiazabal Rubial (altre sezioni)</w:t>
      </w:r>
      <w:r w:rsidRPr="00377267">
        <w:rPr>
          <w:rStyle w:val="HideTWBExt"/>
          <w:noProof w:val="0"/>
        </w:rPr>
        <w:t>&lt;/Depute&gt;</w:t>
      </w:r>
    </w:p>
    <w:p w:rsidR="00162518" w:rsidRPr="00377267" w:rsidRDefault="00162518" w:rsidP="00F10C8A">
      <w:pPr>
        <w:pStyle w:val="CoverNormal24a"/>
      </w:pPr>
    </w:p>
    <w:p w:rsidR="001D4D89" w:rsidRPr="00377267" w:rsidRDefault="009967E3" w:rsidP="00D96DFB">
      <w:r w:rsidRPr="00377267">
        <w:br w:type="page"/>
      </w:r>
      <w:r w:rsidRPr="00377267">
        <w:lastRenderedPageBreak/>
        <w:t>PR_BUD_Conciliation</w:t>
      </w:r>
    </w:p>
    <w:p w:rsidR="001D4D89" w:rsidRPr="00377267" w:rsidRDefault="003D3123" w:rsidP="001D4D89">
      <w:pPr>
        <w:pStyle w:val="TOCHeading"/>
      </w:pPr>
      <w:r w:rsidRPr="00377267">
        <w:t>INDICE</w:t>
      </w:r>
    </w:p>
    <w:p w:rsidR="003D3123" w:rsidRPr="00377267" w:rsidRDefault="003D3123" w:rsidP="001D4D89">
      <w:pPr>
        <w:pStyle w:val="TOCPage"/>
      </w:pPr>
    </w:p>
    <w:p w:rsidR="001D4D89" w:rsidRPr="00377267" w:rsidRDefault="003D3123" w:rsidP="001D4D89">
      <w:pPr>
        <w:pStyle w:val="TOCPage"/>
      </w:pPr>
      <w:r w:rsidRPr="00377267">
        <w:t>Pagina</w:t>
      </w:r>
    </w:p>
    <w:p w:rsidR="0072469F" w:rsidRDefault="008405A0">
      <w:pPr>
        <w:pStyle w:val="TOC1"/>
        <w:tabs>
          <w:tab w:val="right" w:leader="dot" w:pos="9060"/>
        </w:tabs>
        <w:rPr>
          <w:rFonts w:asciiTheme="minorHAnsi" w:eastAsiaTheme="minorEastAsia" w:hAnsiTheme="minorHAnsi" w:cstheme="minorBidi"/>
          <w:noProof/>
          <w:sz w:val="22"/>
          <w:szCs w:val="22"/>
          <w:lang w:val="en-GB"/>
        </w:rPr>
      </w:pPr>
      <w:r w:rsidRPr="00377267">
        <w:fldChar w:fldCharType="begin"/>
      </w:r>
      <w:r w:rsidRPr="00377267">
        <w:instrText xml:space="preserve"> TOC \t "PageHeading</w:instrText>
      </w:r>
      <w:r w:rsidR="006A2A3A" w:rsidRPr="00377267">
        <w:instrText>;</w:instrText>
      </w:r>
      <w:r w:rsidRPr="00377267">
        <w:instrText xml:space="preserve">1" </w:instrText>
      </w:r>
      <w:r w:rsidRPr="00377267">
        <w:fldChar w:fldCharType="separate"/>
      </w:r>
      <w:r w:rsidR="0072469F">
        <w:rPr>
          <w:noProof/>
        </w:rPr>
        <w:t>PROGETTO DI RISOLUZIONE LEGISLATIVA DEL PARLAMENTO EUROPEO</w:t>
      </w:r>
      <w:r w:rsidR="0072469F">
        <w:rPr>
          <w:noProof/>
        </w:rPr>
        <w:tab/>
      </w:r>
      <w:r w:rsidR="0072469F">
        <w:rPr>
          <w:noProof/>
        </w:rPr>
        <w:fldChar w:fldCharType="begin"/>
      </w:r>
      <w:r w:rsidR="0072469F">
        <w:rPr>
          <w:noProof/>
        </w:rPr>
        <w:instrText xml:space="preserve"> PAGEREF _Toc25590305 \h </w:instrText>
      </w:r>
      <w:r w:rsidR="0072469F">
        <w:rPr>
          <w:noProof/>
        </w:rPr>
      </w:r>
      <w:r w:rsidR="0072469F">
        <w:rPr>
          <w:noProof/>
        </w:rPr>
        <w:fldChar w:fldCharType="separate"/>
      </w:r>
      <w:r w:rsidR="0072469F">
        <w:rPr>
          <w:noProof/>
        </w:rPr>
        <w:t>3</w:t>
      </w:r>
      <w:r w:rsidR="0072469F">
        <w:rPr>
          <w:noProof/>
        </w:rPr>
        <w:fldChar w:fldCharType="end"/>
      </w:r>
    </w:p>
    <w:p w:rsidR="0072469F" w:rsidRDefault="0072469F">
      <w:pPr>
        <w:pStyle w:val="TOC1"/>
        <w:tabs>
          <w:tab w:val="right" w:leader="dot" w:pos="9060"/>
        </w:tabs>
        <w:rPr>
          <w:rFonts w:asciiTheme="minorHAnsi" w:eastAsiaTheme="minorEastAsia" w:hAnsiTheme="minorHAnsi" w:cstheme="minorBidi"/>
          <w:noProof/>
          <w:sz w:val="22"/>
          <w:szCs w:val="22"/>
          <w:lang w:val="en-GB"/>
        </w:rPr>
      </w:pPr>
      <w:r>
        <w:rPr>
          <w:noProof/>
        </w:rPr>
        <w:t>ALLEGATO</w:t>
      </w:r>
      <w:r>
        <w:rPr>
          <w:noProof/>
        </w:rPr>
        <w:tab/>
      </w:r>
      <w:r>
        <w:rPr>
          <w:noProof/>
        </w:rPr>
        <w:fldChar w:fldCharType="begin"/>
      </w:r>
      <w:r>
        <w:rPr>
          <w:noProof/>
        </w:rPr>
        <w:instrText xml:space="preserve"> PAGEREF _Toc25590306 \h </w:instrText>
      </w:r>
      <w:r>
        <w:rPr>
          <w:noProof/>
        </w:rPr>
      </w:r>
      <w:r>
        <w:rPr>
          <w:noProof/>
        </w:rPr>
        <w:fldChar w:fldCharType="separate"/>
      </w:r>
      <w:r>
        <w:rPr>
          <w:noProof/>
        </w:rPr>
        <w:t>5</w:t>
      </w:r>
      <w:r>
        <w:rPr>
          <w:noProof/>
        </w:rPr>
        <w:fldChar w:fldCharType="end"/>
      </w:r>
    </w:p>
    <w:p w:rsidR="0072469F" w:rsidRDefault="0072469F">
      <w:pPr>
        <w:pStyle w:val="TOC1"/>
        <w:tabs>
          <w:tab w:val="right" w:leader="dot" w:pos="9060"/>
        </w:tabs>
        <w:rPr>
          <w:rFonts w:asciiTheme="minorHAnsi" w:eastAsiaTheme="minorEastAsia" w:hAnsiTheme="minorHAnsi" w:cstheme="minorBidi"/>
          <w:noProof/>
          <w:sz w:val="22"/>
          <w:szCs w:val="22"/>
          <w:lang w:val="en-GB"/>
        </w:rPr>
      </w:pPr>
      <w:r w:rsidRPr="004653D9">
        <w:rPr>
          <w:caps/>
          <w:noProof/>
        </w:rPr>
        <w:t>PROC</w:t>
      </w:r>
      <w:r>
        <w:rPr>
          <w:noProof/>
        </w:rPr>
        <w:t>EDURA DELLA COMMISSIONE COMPETENTE PER IL MERITO</w:t>
      </w:r>
      <w:r>
        <w:rPr>
          <w:noProof/>
        </w:rPr>
        <w:tab/>
      </w:r>
      <w:r>
        <w:rPr>
          <w:noProof/>
        </w:rPr>
        <w:fldChar w:fldCharType="begin"/>
      </w:r>
      <w:r>
        <w:rPr>
          <w:noProof/>
        </w:rPr>
        <w:instrText xml:space="preserve"> PAGEREF _Toc25590307 \h </w:instrText>
      </w:r>
      <w:r>
        <w:rPr>
          <w:noProof/>
        </w:rPr>
      </w:r>
      <w:r>
        <w:rPr>
          <w:noProof/>
        </w:rPr>
        <w:fldChar w:fldCharType="separate"/>
      </w:r>
      <w:r>
        <w:rPr>
          <w:noProof/>
        </w:rPr>
        <w:t>28</w:t>
      </w:r>
      <w:r>
        <w:rPr>
          <w:noProof/>
        </w:rPr>
        <w:fldChar w:fldCharType="end"/>
      </w:r>
    </w:p>
    <w:p w:rsidR="004B0111" w:rsidRPr="00377267" w:rsidRDefault="008405A0" w:rsidP="004B0111">
      <w:r w:rsidRPr="00377267">
        <w:fldChar w:fldCharType="end"/>
      </w:r>
    </w:p>
    <w:p w:rsidR="009967E3" w:rsidRPr="00377267" w:rsidRDefault="009967E3" w:rsidP="008405A0">
      <w:pPr>
        <w:pStyle w:val="PageHeading"/>
      </w:pPr>
      <w:r w:rsidRPr="00377267">
        <w:br w:type="page"/>
      </w:r>
      <w:bookmarkStart w:id="0" w:name="_Toc25590305"/>
      <w:r w:rsidRPr="00377267">
        <w:t>PROGETTO DI RISOLUZIONE LEGISLATIVA DEL PARLAMENTO EUROPEO</w:t>
      </w:r>
      <w:bookmarkEnd w:id="0"/>
    </w:p>
    <w:p w:rsidR="009967E3" w:rsidRPr="00377267" w:rsidRDefault="003D3123">
      <w:pPr>
        <w:pStyle w:val="NormalBold"/>
      </w:pPr>
      <w:r w:rsidRPr="00377267">
        <w:t>sul progetto comune di bilancio generale dell'Unione europea per l'esercizio 2020, approvato dal comitato di conciliazione nel quadro della procedura di bilancio</w:t>
      </w:r>
    </w:p>
    <w:p w:rsidR="009967E3" w:rsidRPr="00377267" w:rsidRDefault="003D3123" w:rsidP="00966BBA">
      <w:pPr>
        <w:pStyle w:val="NormalBold"/>
      </w:pPr>
      <w:r w:rsidRPr="00377267">
        <w:t>(00000/2019 – C9-0000/2019 – 2019/2028(BUD))</w:t>
      </w:r>
    </w:p>
    <w:p w:rsidR="009967E3" w:rsidRPr="00377267" w:rsidRDefault="003D3123">
      <w:pPr>
        <w:pStyle w:val="EPComma"/>
      </w:pPr>
      <w:r w:rsidRPr="00377267">
        <w:rPr>
          <w:i/>
        </w:rPr>
        <w:t>Il Parlamento europeo</w:t>
      </w:r>
      <w:r w:rsidRPr="00377267">
        <w:t>,</w:t>
      </w:r>
    </w:p>
    <w:p w:rsidR="001063DF" w:rsidRPr="00377267" w:rsidRDefault="001063DF" w:rsidP="001063DF">
      <w:pPr>
        <w:pStyle w:val="NormalHanging12a"/>
      </w:pPr>
      <w:r w:rsidRPr="00377267">
        <w:t>–</w:t>
      </w:r>
      <w:r w:rsidRPr="00377267">
        <w:tab/>
        <w:t>visti il progetto comune approvato dal comitato di conciliazione e le relative dichiarazioni del Parlamento europeo, del Consiglio e della Commissione (00000/2019 – C9-0000/2019),</w:t>
      </w:r>
    </w:p>
    <w:p w:rsidR="001063DF" w:rsidRPr="00377267" w:rsidRDefault="001063DF" w:rsidP="001063DF">
      <w:pPr>
        <w:pStyle w:val="NormalHanging12a"/>
      </w:pPr>
      <w:r w:rsidRPr="00377267">
        <w:t>–</w:t>
      </w:r>
      <w:r w:rsidRPr="00377267">
        <w:tab/>
        <w:t>visto il progetto di bilancio generale dell'Unione europea per l'esercizio 2020 adottato dalla Commissione il 5 luglio 2019 (COM(2019)0400),</w:t>
      </w:r>
    </w:p>
    <w:p w:rsidR="001063DF" w:rsidRPr="00377267" w:rsidRDefault="001063DF" w:rsidP="001063DF">
      <w:pPr>
        <w:pStyle w:val="NormalHanging12a"/>
      </w:pPr>
      <w:r w:rsidRPr="00377267">
        <w:t>–</w:t>
      </w:r>
      <w:r w:rsidRPr="00377267">
        <w:tab/>
        <w:t>vista la posizione del Consiglio sul progetto di bilancio generale dell'Unione europea per l'esercizio 2020, adottata il 3 settembre 2019 e comunicata al Parlamento europeo il 13 settembre 2019 (11734/2019 – C9-0119/2019),</w:t>
      </w:r>
    </w:p>
    <w:p w:rsidR="001063DF" w:rsidRPr="00377267" w:rsidRDefault="001063DF" w:rsidP="001063DF">
      <w:pPr>
        <w:pStyle w:val="NormalHanging12a"/>
      </w:pPr>
      <w:r w:rsidRPr="00377267">
        <w:t>–</w:t>
      </w:r>
      <w:r w:rsidRPr="00377267">
        <w:tab/>
        <w:t>vista la lettera rettificativa n. 1/2020 al progetto di bilancio generale dell'Unione europea per l'esercizio 2020, presentata dalla Commissione il 15 ottobre 2019,</w:t>
      </w:r>
    </w:p>
    <w:p w:rsidR="001063DF" w:rsidRPr="00377267" w:rsidRDefault="001063DF" w:rsidP="001063DF">
      <w:pPr>
        <w:pStyle w:val="NormalHanging12a"/>
      </w:pPr>
      <w:r w:rsidRPr="00377267">
        <w:t>–</w:t>
      </w:r>
      <w:r w:rsidRPr="00377267">
        <w:tab/>
        <w:t>visti la sua risoluzione del 23 ottobre 2019 relativa alla posizione del Consiglio sul progetto di bilancio generale dell'Unione europea per l'esercizio 2020</w:t>
      </w:r>
      <w:r w:rsidRPr="00377267">
        <w:rPr>
          <w:rStyle w:val="FootnoteReference"/>
        </w:rPr>
        <w:footnoteReference w:id="1"/>
      </w:r>
      <w:r w:rsidRPr="00377267">
        <w:t xml:space="preserve"> e gli emendamenti di bilancio che l'accompagnano,</w:t>
      </w:r>
    </w:p>
    <w:p w:rsidR="001063DF" w:rsidRPr="00377267" w:rsidRDefault="001063DF" w:rsidP="001063DF">
      <w:pPr>
        <w:pStyle w:val="NormalHanging12a"/>
      </w:pPr>
      <w:r w:rsidRPr="00377267">
        <w:t>–</w:t>
      </w:r>
      <w:r w:rsidRPr="00377267">
        <w:tab/>
        <w:t>visto l'articolo 314 del trattato sul funzionamento dell'Unione europea,</w:t>
      </w:r>
    </w:p>
    <w:p w:rsidR="001063DF" w:rsidRPr="00377267" w:rsidRDefault="001063DF" w:rsidP="001063DF">
      <w:pPr>
        <w:pStyle w:val="NormalHanging12a"/>
      </w:pPr>
      <w:r w:rsidRPr="00377267">
        <w:t>–</w:t>
      </w:r>
      <w:r w:rsidRPr="00377267">
        <w:tab/>
        <w:t>visto l'articolo 106 bis del trattato che istituisce la Comunità europea dell'energia atomica,</w:t>
      </w:r>
    </w:p>
    <w:p w:rsidR="001063DF" w:rsidRPr="00377267" w:rsidRDefault="001063DF" w:rsidP="001063DF">
      <w:pPr>
        <w:pStyle w:val="NormalHanging12a"/>
      </w:pPr>
      <w:r w:rsidRPr="00377267">
        <w:t>–</w:t>
      </w:r>
      <w:r w:rsidRPr="00377267">
        <w:tab/>
        <w:t>vista la decisione 2014/335/UE, Euratom del Consiglio, del 26 maggio 2014, relativa al sistema delle risorse proprie dell'Unione europea</w:t>
      </w:r>
      <w:r w:rsidRPr="00377267">
        <w:rPr>
          <w:rStyle w:val="FootnoteReference"/>
        </w:rPr>
        <w:footnoteReference w:id="2"/>
      </w:r>
      <w:r w:rsidRPr="00377267">
        <w:t>,</w:t>
      </w:r>
    </w:p>
    <w:p w:rsidR="001063DF" w:rsidRPr="00377267" w:rsidRDefault="001063DF" w:rsidP="001063DF">
      <w:pPr>
        <w:pStyle w:val="NormalHanging12a"/>
      </w:pPr>
      <w:r w:rsidRPr="00377267">
        <w:t>–</w:t>
      </w:r>
      <w:r w:rsidRPr="00377267">
        <w:tab/>
        <w:t>visto il regolamento (UE, Euratom)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w:t>
      </w:r>
      <w:r w:rsidRPr="00377267">
        <w:rPr>
          <w:rStyle w:val="FootnoteReference"/>
        </w:rPr>
        <w:footnoteReference w:id="3"/>
      </w:r>
      <w:r w:rsidRPr="00377267">
        <w:t>,</w:t>
      </w:r>
    </w:p>
    <w:p w:rsidR="001063DF" w:rsidRPr="00377267" w:rsidRDefault="001063DF" w:rsidP="001063DF">
      <w:pPr>
        <w:pStyle w:val="NormalHanging12a"/>
      </w:pPr>
      <w:r w:rsidRPr="00377267">
        <w:t>–</w:t>
      </w:r>
      <w:r w:rsidRPr="00377267">
        <w:tab/>
        <w:t>visto il regolamento (UE, Euratom) n. 1311/2013 del Consiglio, del 2 dicembre 2013, che stabilisce il quadro finanziario pluriennale per il periodo 2014-2020</w:t>
      </w:r>
      <w:r w:rsidRPr="00377267">
        <w:rPr>
          <w:rStyle w:val="FootnoteReference"/>
        </w:rPr>
        <w:footnoteReference w:id="4"/>
      </w:r>
      <w:r w:rsidRPr="00377267">
        <w:t>,</w:t>
      </w:r>
    </w:p>
    <w:p w:rsidR="001063DF" w:rsidRPr="00377267" w:rsidRDefault="001063DF" w:rsidP="001063DF">
      <w:pPr>
        <w:pStyle w:val="NormalHanging12a"/>
      </w:pPr>
      <w:r w:rsidRPr="00377267">
        <w:t>–</w:t>
      </w:r>
      <w:r w:rsidRPr="00377267">
        <w:tab/>
        <w:t>visto l'accordo interistituzionale del 2 dicembre 2013 tra il Parlamento europeo, il Consiglio e la Commissione sulla disciplina di bilancio, sulla cooperazione in materia di bilancio e sulla sana gestione finanziaria</w:t>
      </w:r>
      <w:r w:rsidRPr="00377267">
        <w:rPr>
          <w:rStyle w:val="FootnoteReference"/>
        </w:rPr>
        <w:footnoteReference w:id="5"/>
      </w:r>
      <w:r w:rsidRPr="00377267">
        <w:t>,</w:t>
      </w:r>
    </w:p>
    <w:p w:rsidR="001063DF" w:rsidRPr="00377267" w:rsidRDefault="001063DF" w:rsidP="001063DF">
      <w:pPr>
        <w:pStyle w:val="NormalHanging12a"/>
      </w:pPr>
      <w:r w:rsidRPr="00377267">
        <w:t>–</w:t>
      </w:r>
      <w:r w:rsidRPr="00377267">
        <w:tab/>
        <w:t>visti gli articoli 95 e 96 del suo regolamento,</w:t>
      </w:r>
    </w:p>
    <w:p w:rsidR="001063DF" w:rsidRPr="00377267" w:rsidRDefault="001063DF" w:rsidP="001063DF">
      <w:pPr>
        <w:pStyle w:val="NormalHanging12a"/>
      </w:pPr>
      <w:r w:rsidRPr="00377267">
        <w:t>–</w:t>
      </w:r>
      <w:r w:rsidRPr="00377267">
        <w:tab/>
        <w:t>vista la relazione della sua delegazione al comitato di conciliazione (A9-0035/2019),</w:t>
      </w:r>
    </w:p>
    <w:p w:rsidR="001063DF" w:rsidRPr="00377267" w:rsidRDefault="001063DF" w:rsidP="001063DF">
      <w:pPr>
        <w:pStyle w:val="NormalHanging12a"/>
      </w:pPr>
      <w:r w:rsidRPr="00377267">
        <w:t>1.</w:t>
      </w:r>
      <w:r w:rsidRPr="00377267">
        <w:tab/>
        <w:t>approva il progetto comune;</w:t>
      </w:r>
    </w:p>
    <w:p w:rsidR="001063DF" w:rsidRPr="00377267" w:rsidRDefault="001063DF" w:rsidP="001063DF">
      <w:pPr>
        <w:pStyle w:val="NormalHanging12a"/>
      </w:pPr>
      <w:r w:rsidRPr="00377267">
        <w:t>2.</w:t>
      </w:r>
      <w:r w:rsidRPr="00377267">
        <w:tab/>
        <w:t>conferma le dichiarazioni comuni del Parlamento europeo, del Consiglio e della Commissione allegate alla presente risoluzione;</w:t>
      </w:r>
    </w:p>
    <w:p w:rsidR="001063DF" w:rsidRPr="00377267" w:rsidRDefault="001063DF" w:rsidP="001063DF">
      <w:pPr>
        <w:pStyle w:val="NormalHanging12a"/>
      </w:pPr>
      <w:r w:rsidRPr="00377267">
        <w:t>3.</w:t>
      </w:r>
      <w:r w:rsidRPr="00377267">
        <w:tab/>
        <w:t>prende atto delle dichiarazioni della Commissione allegate alla presente risoluzione;</w:t>
      </w:r>
    </w:p>
    <w:p w:rsidR="001063DF" w:rsidRPr="00377267" w:rsidRDefault="001063DF" w:rsidP="001063DF">
      <w:pPr>
        <w:pStyle w:val="NormalHanging12a"/>
      </w:pPr>
      <w:r w:rsidRPr="00377267">
        <w:t>4.</w:t>
      </w:r>
      <w:r w:rsidRPr="00377267">
        <w:tab/>
        <w:t xml:space="preserve">incarica il suo Presidente di constatare che il bilancio generale dell'Unione europea per l'esercizio 2020 è definitivamente adottato e di provvedere alla sua pubblicazione nella </w:t>
      </w:r>
      <w:r w:rsidRPr="00377267">
        <w:rPr>
          <w:i/>
        </w:rPr>
        <w:t>Gazzetta ufficiale dell'Unione europea</w:t>
      </w:r>
      <w:r w:rsidRPr="00377267">
        <w:t>.</w:t>
      </w:r>
    </w:p>
    <w:p w:rsidR="001063DF" w:rsidRPr="00377267" w:rsidRDefault="001063DF" w:rsidP="001063DF">
      <w:pPr>
        <w:pStyle w:val="NormalHanging12a"/>
      </w:pPr>
      <w:r w:rsidRPr="00377267">
        <w:t>5.</w:t>
      </w:r>
      <w:r w:rsidRPr="00377267">
        <w:tab/>
        <w:t>incarica il suo Presidente di trasmettere la presente risoluzione legislativa al Consiglio, alla Commissione, alle altre istituzioni e agli organi interessati nonché ai parlamenti nazionali.</w:t>
      </w:r>
    </w:p>
    <w:p w:rsidR="001063DF" w:rsidRPr="00377267" w:rsidRDefault="001063DF" w:rsidP="001063DF">
      <w:pPr>
        <w:widowControl/>
      </w:pPr>
      <w:r w:rsidRPr="00377267">
        <w:br w:type="page"/>
      </w:r>
    </w:p>
    <w:p w:rsidR="001063DF" w:rsidRPr="00377267" w:rsidRDefault="001063DF" w:rsidP="001063DF">
      <w:pPr>
        <w:pStyle w:val="PageHeading"/>
      </w:pPr>
      <w:bookmarkStart w:id="1" w:name="_Toc25161693"/>
      <w:bookmarkStart w:id="2" w:name="_Toc25590306"/>
      <w:r w:rsidRPr="00377267">
        <w:t>ALLEGATO</w:t>
      </w:r>
      <w:bookmarkEnd w:id="1"/>
      <w:bookmarkEnd w:id="2"/>
    </w:p>
    <w:p w:rsidR="001063DF" w:rsidRPr="00377267" w:rsidRDefault="001063DF" w:rsidP="001063DF">
      <w:pPr>
        <w:spacing w:before="120" w:after="120"/>
        <w:jc w:val="center"/>
        <w:rPr>
          <w:b/>
          <w:sz w:val="28"/>
          <w:szCs w:val="28"/>
        </w:rPr>
      </w:pPr>
      <w:r w:rsidRPr="00377267">
        <w:rPr>
          <w:sz w:val="28"/>
          <w:szCs w:val="28"/>
        </w:rPr>
        <w:t>DEFINITIVO</w:t>
      </w:r>
      <w:r w:rsidRPr="00377267">
        <w:rPr>
          <w:sz w:val="28"/>
          <w:szCs w:val="28"/>
        </w:rPr>
        <w:br/>
        <w:t xml:space="preserve">Bilancio 2020 – </w:t>
      </w:r>
      <w:r w:rsidRPr="00377267">
        <w:rPr>
          <w:b/>
          <w:sz w:val="28"/>
          <w:szCs w:val="28"/>
        </w:rPr>
        <w:t>Elementi delle conclusioni comuni</w:t>
      </w:r>
    </w:p>
    <w:p w:rsidR="001063DF" w:rsidRPr="00377267" w:rsidRDefault="001063DF" w:rsidP="001063DF">
      <w:pPr>
        <w:jc w:val="center"/>
      </w:pPr>
    </w:p>
    <w:p w:rsidR="001063DF" w:rsidRPr="00377267" w:rsidRDefault="001063DF" w:rsidP="001063DF">
      <w:pPr>
        <w:spacing w:before="30" w:after="30"/>
        <w:rPr>
          <w:b/>
        </w:rPr>
      </w:pPr>
      <w:r w:rsidRPr="00377267">
        <w:t>Le presenti conclusioni comuni riguardano le seguenti sezioni:</w:t>
      </w:r>
    </w:p>
    <w:p w:rsidR="001063DF" w:rsidRPr="00377267" w:rsidRDefault="001063DF" w:rsidP="001063DF">
      <w:pPr>
        <w:widowControl/>
        <w:tabs>
          <w:tab w:val="left" w:pos="720"/>
        </w:tabs>
        <w:spacing w:before="30" w:after="30"/>
        <w:ind w:left="714" w:hanging="357"/>
      </w:pPr>
      <w:r w:rsidRPr="00377267">
        <w:t>1.</w:t>
      </w:r>
      <w:r w:rsidRPr="00377267">
        <w:tab/>
        <w:t>Bilancio 2020</w:t>
      </w:r>
    </w:p>
    <w:p w:rsidR="001063DF" w:rsidRPr="00377267" w:rsidRDefault="001063DF" w:rsidP="001063DF">
      <w:pPr>
        <w:widowControl/>
        <w:tabs>
          <w:tab w:val="left" w:pos="720"/>
        </w:tabs>
        <w:spacing w:before="30" w:after="30"/>
        <w:ind w:left="714" w:hanging="357"/>
      </w:pPr>
      <w:r w:rsidRPr="00377267">
        <w:t>2.</w:t>
      </w:r>
      <w:r w:rsidRPr="00377267">
        <w:tab/>
        <w:t>Dichiarazioni</w:t>
      </w:r>
    </w:p>
    <w:p w:rsidR="001063DF" w:rsidRPr="00377267" w:rsidRDefault="001063DF" w:rsidP="001063DF">
      <w:pPr>
        <w:pStyle w:val="Heading1"/>
        <w:spacing w:before="120" w:after="120"/>
        <w:rPr>
          <w:rFonts w:ascii="Times New Roman" w:hAnsi="Times New Roman"/>
          <w:sz w:val="24"/>
          <w:szCs w:val="24"/>
        </w:rPr>
      </w:pPr>
      <w:r w:rsidRPr="00377267">
        <w:rPr>
          <w:rFonts w:ascii="Times New Roman" w:hAnsi="Times New Roman"/>
          <w:sz w:val="24"/>
          <w:szCs w:val="24"/>
        </w:rPr>
        <w:t>Quadro sintetico</w:t>
      </w:r>
    </w:p>
    <w:p w:rsidR="001063DF" w:rsidRPr="00377267" w:rsidRDefault="001063DF" w:rsidP="001063DF">
      <w:pPr>
        <w:spacing w:before="30" w:after="30"/>
        <w:jc w:val="both"/>
        <w:rPr>
          <w:szCs w:val="24"/>
        </w:rPr>
      </w:pPr>
      <w:r w:rsidRPr="00377267">
        <w:t>Secondo gli elementi delle conclusioni comuni:</w:t>
      </w:r>
    </w:p>
    <w:p w:rsidR="001063DF" w:rsidRPr="00377267" w:rsidRDefault="001063DF" w:rsidP="001063DF">
      <w:pPr>
        <w:widowControl/>
        <w:tabs>
          <w:tab w:val="left" w:pos="284"/>
        </w:tabs>
        <w:spacing w:before="60" w:after="30"/>
        <w:ind w:left="284" w:hanging="284"/>
        <w:jc w:val="both"/>
      </w:pPr>
      <w:r w:rsidRPr="00377267">
        <w:t>-</w:t>
      </w:r>
      <w:r w:rsidRPr="00377267">
        <w:tab/>
        <w:t>il livello complessivo degli stanziamenti d'impegno nel bilancio per il 2020 è fissato a 168 688,1 milioni di EUR, lasciando un margine al di sotto dei massimali del QFP per il 2020 pari a 1 492,3 milioni di EUR.</w:t>
      </w:r>
    </w:p>
    <w:p w:rsidR="001063DF" w:rsidRPr="00377267" w:rsidRDefault="001063DF" w:rsidP="001063DF">
      <w:pPr>
        <w:tabs>
          <w:tab w:val="left" w:pos="284"/>
        </w:tabs>
        <w:spacing w:before="60" w:after="30"/>
        <w:ind w:left="284" w:hanging="284"/>
        <w:jc w:val="both"/>
      </w:pPr>
      <w:r w:rsidRPr="00377267">
        <w:tab/>
        <w:t>Ciò corrisponde a un aumento complessivo di 400,0 milioni di EUR rispetto al progetto di bilancio, quale modificato dalla lettera rettificativa n. 1/2020.</w:t>
      </w:r>
    </w:p>
    <w:p w:rsidR="001063DF" w:rsidRPr="00377267" w:rsidRDefault="001063DF" w:rsidP="001063DF">
      <w:pPr>
        <w:widowControl/>
        <w:tabs>
          <w:tab w:val="left" w:pos="284"/>
        </w:tabs>
        <w:spacing w:before="60" w:after="30"/>
        <w:ind w:left="284" w:hanging="284"/>
        <w:jc w:val="both"/>
      </w:pPr>
      <w:r w:rsidRPr="00377267">
        <w:t>-</w:t>
      </w:r>
      <w:r w:rsidRPr="00377267">
        <w:tab/>
        <w:t>Il livello complessivo degli stanziamenti di pagamento nel bilancio per il 2020 è fissato a 153 566,2 milioni di EUR.</w:t>
      </w:r>
    </w:p>
    <w:p w:rsidR="001063DF" w:rsidRPr="00377267" w:rsidRDefault="001063DF" w:rsidP="001063DF">
      <w:pPr>
        <w:tabs>
          <w:tab w:val="left" w:pos="284"/>
        </w:tabs>
        <w:spacing w:before="60" w:after="30"/>
        <w:ind w:left="284" w:hanging="284"/>
        <w:jc w:val="both"/>
      </w:pPr>
      <w:r w:rsidRPr="00377267">
        <w:tab/>
        <w:t>Ciò corrisponde a una diminuzione complessiva di 49,1 milioni di EUR rispetto al progetto di bilancio, quale modificato dalla lettera rettificativa n. 1/2020.</w:t>
      </w:r>
    </w:p>
    <w:p w:rsidR="001063DF" w:rsidRPr="00377267" w:rsidRDefault="001063DF" w:rsidP="001063DF">
      <w:pPr>
        <w:tabs>
          <w:tab w:val="left" w:pos="284"/>
        </w:tabs>
        <w:spacing w:before="60" w:after="30"/>
        <w:ind w:left="284" w:hanging="284"/>
        <w:jc w:val="both"/>
      </w:pPr>
    </w:p>
    <w:tbl>
      <w:tblPr>
        <w:tblStyle w:val="TableGrid"/>
        <w:tblW w:w="0" w:type="auto"/>
        <w:tblInd w:w="284" w:type="dxa"/>
        <w:tblLook w:val="04A0" w:firstRow="1" w:lastRow="0" w:firstColumn="1" w:lastColumn="0" w:noHBand="0" w:noVBand="1"/>
      </w:tblPr>
      <w:tblGrid>
        <w:gridCol w:w="5812"/>
        <w:gridCol w:w="1559"/>
        <w:gridCol w:w="1410"/>
      </w:tblGrid>
      <w:tr w:rsidR="001063DF" w:rsidRPr="00377267" w:rsidTr="00825640">
        <w:tc>
          <w:tcPr>
            <w:tcW w:w="5812" w:type="dxa"/>
            <w:tcBorders>
              <w:top w:val="nil"/>
              <w:left w:val="nil"/>
              <w:bottom w:val="single" w:sz="4" w:space="0" w:color="auto"/>
            </w:tcBorders>
          </w:tcPr>
          <w:p w:rsidR="001063DF" w:rsidRPr="00377267" w:rsidRDefault="001063DF" w:rsidP="00825640">
            <w:pPr>
              <w:tabs>
                <w:tab w:val="left" w:pos="284"/>
              </w:tabs>
              <w:spacing w:before="60" w:after="30"/>
              <w:jc w:val="right"/>
            </w:pPr>
          </w:p>
        </w:tc>
        <w:tc>
          <w:tcPr>
            <w:tcW w:w="1559" w:type="dxa"/>
          </w:tcPr>
          <w:p w:rsidR="001063DF" w:rsidRPr="00377267" w:rsidRDefault="001063DF" w:rsidP="00825640">
            <w:pPr>
              <w:tabs>
                <w:tab w:val="left" w:pos="284"/>
              </w:tabs>
              <w:spacing w:before="60" w:after="30"/>
              <w:jc w:val="right"/>
            </w:pPr>
            <w:r w:rsidRPr="00377267">
              <w:rPr>
                <w:color w:val="000000"/>
              </w:rPr>
              <w:t>Impegni</w:t>
            </w:r>
          </w:p>
        </w:tc>
        <w:tc>
          <w:tcPr>
            <w:tcW w:w="1410" w:type="dxa"/>
          </w:tcPr>
          <w:p w:rsidR="001063DF" w:rsidRPr="00377267" w:rsidRDefault="001063DF" w:rsidP="00825640">
            <w:pPr>
              <w:tabs>
                <w:tab w:val="left" w:pos="284"/>
              </w:tabs>
              <w:spacing w:before="60" w:after="30"/>
              <w:jc w:val="center"/>
            </w:pPr>
            <w:r w:rsidRPr="00377267">
              <w:rPr>
                <w:color w:val="000000"/>
              </w:rPr>
              <w:t>Pagamenti</w:t>
            </w:r>
          </w:p>
        </w:tc>
      </w:tr>
      <w:tr w:rsidR="001063DF" w:rsidRPr="00377267" w:rsidTr="00825640">
        <w:tc>
          <w:tcPr>
            <w:tcW w:w="5812" w:type="dxa"/>
            <w:tcBorders>
              <w:top w:val="single" w:sz="4" w:space="0" w:color="auto"/>
            </w:tcBorders>
          </w:tcPr>
          <w:p w:rsidR="001063DF" w:rsidRPr="00377267" w:rsidRDefault="001063DF" w:rsidP="00825640">
            <w:pPr>
              <w:tabs>
                <w:tab w:val="left" w:pos="284"/>
              </w:tabs>
              <w:spacing w:before="60" w:after="30"/>
              <w:jc w:val="right"/>
            </w:pPr>
            <w:r w:rsidRPr="00377267">
              <w:rPr>
                <w:color w:val="000000"/>
              </w:rPr>
              <w:t>Livello definitivo degli stanziamenti (in mio EUR)</w:t>
            </w:r>
          </w:p>
        </w:tc>
        <w:tc>
          <w:tcPr>
            <w:tcW w:w="1559" w:type="dxa"/>
          </w:tcPr>
          <w:p w:rsidR="001063DF" w:rsidRPr="00377267" w:rsidRDefault="001063DF" w:rsidP="00825640">
            <w:pPr>
              <w:tabs>
                <w:tab w:val="left" w:pos="284"/>
              </w:tabs>
              <w:spacing w:before="60" w:after="30"/>
              <w:jc w:val="right"/>
            </w:pPr>
            <w:r w:rsidRPr="00377267">
              <w:rPr>
                <w:color w:val="000000"/>
              </w:rPr>
              <w:t>168 688,1</w:t>
            </w:r>
          </w:p>
        </w:tc>
        <w:tc>
          <w:tcPr>
            <w:tcW w:w="1410" w:type="dxa"/>
          </w:tcPr>
          <w:p w:rsidR="001063DF" w:rsidRPr="00377267" w:rsidRDefault="001063DF" w:rsidP="00825640">
            <w:pPr>
              <w:tabs>
                <w:tab w:val="left" w:pos="284"/>
              </w:tabs>
              <w:spacing w:before="60" w:after="30"/>
              <w:jc w:val="right"/>
            </w:pPr>
            <w:r w:rsidRPr="00377267">
              <w:rPr>
                <w:color w:val="000000"/>
              </w:rPr>
              <w:t>153 566,2</w:t>
            </w:r>
          </w:p>
        </w:tc>
      </w:tr>
      <w:tr w:rsidR="001063DF" w:rsidRPr="00377267" w:rsidTr="00825640">
        <w:tc>
          <w:tcPr>
            <w:tcW w:w="5812" w:type="dxa"/>
          </w:tcPr>
          <w:p w:rsidR="001063DF" w:rsidRPr="00377267" w:rsidRDefault="001063DF" w:rsidP="00825640">
            <w:pPr>
              <w:tabs>
                <w:tab w:val="left" w:pos="284"/>
              </w:tabs>
              <w:spacing w:before="60" w:after="30"/>
              <w:jc w:val="right"/>
            </w:pPr>
            <w:r w:rsidRPr="00377267">
              <w:rPr>
                <w:i/>
                <w:iCs/>
                <w:color w:val="000000"/>
              </w:rPr>
              <w:t>In % dell'RNL 28</w:t>
            </w:r>
          </w:p>
        </w:tc>
        <w:tc>
          <w:tcPr>
            <w:tcW w:w="1559" w:type="dxa"/>
          </w:tcPr>
          <w:p w:rsidR="001063DF" w:rsidRPr="00377267" w:rsidRDefault="001063DF" w:rsidP="00825640">
            <w:pPr>
              <w:tabs>
                <w:tab w:val="left" w:pos="284"/>
              </w:tabs>
              <w:spacing w:before="60" w:after="30"/>
              <w:jc w:val="right"/>
            </w:pPr>
            <w:r w:rsidRPr="00377267">
              <w:rPr>
                <w:i/>
                <w:iCs/>
                <w:color w:val="000000"/>
              </w:rPr>
              <w:t>0,99%</w:t>
            </w:r>
          </w:p>
        </w:tc>
        <w:tc>
          <w:tcPr>
            <w:tcW w:w="1410" w:type="dxa"/>
          </w:tcPr>
          <w:p w:rsidR="001063DF" w:rsidRPr="00377267" w:rsidRDefault="001063DF" w:rsidP="00825640">
            <w:pPr>
              <w:tabs>
                <w:tab w:val="left" w:pos="284"/>
              </w:tabs>
              <w:spacing w:before="60" w:after="30"/>
              <w:jc w:val="right"/>
            </w:pPr>
            <w:r w:rsidRPr="00377267">
              <w:rPr>
                <w:i/>
                <w:iCs/>
                <w:color w:val="000000"/>
              </w:rPr>
              <w:t>0,90%</w:t>
            </w:r>
          </w:p>
        </w:tc>
      </w:tr>
    </w:tbl>
    <w:p w:rsidR="001063DF" w:rsidRPr="00377267" w:rsidRDefault="001063DF" w:rsidP="001063DF">
      <w:pPr>
        <w:tabs>
          <w:tab w:val="left" w:pos="284"/>
        </w:tabs>
        <w:spacing w:before="60" w:after="30"/>
        <w:ind w:left="284" w:hanging="284"/>
        <w:jc w:val="both"/>
      </w:pPr>
    </w:p>
    <w:p w:rsidR="001063DF" w:rsidRPr="00377267" w:rsidRDefault="001063DF" w:rsidP="001063DF">
      <w:pPr>
        <w:widowControl/>
        <w:spacing w:before="60" w:after="30"/>
        <w:ind w:left="284" w:hanging="284"/>
        <w:jc w:val="both"/>
      </w:pPr>
      <w:r w:rsidRPr="00377267">
        <w:tab/>
        <w:t>Lo strumento di flessibilità per il 2020 è mobilizzato per un importo pari a 778,1 milioni di EUR in stanziamenti d'impegno per la rubrica 3 (</w:t>
      </w:r>
      <w:r w:rsidRPr="00377267">
        <w:rPr>
          <w:i/>
        </w:rPr>
        <w:t>Sicurezza e cittadinanza)</w:t>
      </w:r>
      <w:r w:rsidRPr="00377267">
        <w:t>.</w:t>
      </w:r>
    </w:p>
    <w:p w:rsidR="001063DF" w:rsidRPr="00377267" w:rsidRDefault="001063DF" w:rsidP="001063DF">
      <w:pPr>
        <w:widowControl/>
        <w:spacing w:before="60" w:after="30"/>
        <w:ind w:left="284" w:hanging="284"/>
        <w:jc w:val="both"/>
      </w:pPr>
      <w:r w:rsidRPr="00377267">
        <w:t>-</w:t>
      </w:r>
      <w:r w:rsidRPr="00377267">
        <w:tab/>
        <w:t xml:space="preserve">Il margine globale per gli impegni è utilizzato a un livello pari a 269,6 milioni di EUR per la sottorubrica 1a </w:t>
      </w:r>
      <w:r w:rsidRPr="00377267">
        <w:rPr>
          <w:i/>
        </w:rPr>
        <w:t>Competitività per la crescita e l'occupazione</w:t>
      </w:r>
      <w:r w:rsidRPr="00377267">
        <w:t xml:space="preserve"> e per la sottorubrica 1b </w:t>
      </w:r>
      <w:r w:rsidRPr="00377267">
        <w:rPr>
          <w:i/>
        </w:rPr>
        <w:t>Coesione economica, sociale e territoriale</w:t>
      </w:r>
      <w:r w:rsidRPr="00377267">
        <w:t>.</w:t>
      </w:r>
    </w:p>
    <w:p w:rsidR="001063DF" w:rsidRPr="00377267" w:rsidRDefault="001063DF" w:rsidP="001063DF">
      <w:pPr>
        <w:widowControl/>
        <w:spacing w:before="60" w:after="30"/>
        <w:ind w:left="284" w:hanging="284"/>
        <w:jc w:val="both"/>
      </w:pPr>
      <w:r w:rsidRPr="00377267">
        <w:t>-</w:t>
      </w:r>
      <w:r w:rsidRPr="00377267">
        <w:tab/>
        <w:t>Il margine per imprevisti mobilizzato nel 2017 è compensato detraendo 252,0 milioni di EUR dai margini non assegnati nell'ambito della rubrica 5 (</w:t>
      </w:r>
      <w:r w:rsidRPr="00377267">
        <w:rPr>
          <w:i/>
        </w:rPr>
        <w:t>Amministrazione</w:t>
      </w:r>
      <w:r w:rsidRPr="00377267">
        <w:t>);</w:t>
      </w:r>
    </w:p>
    <w:p w:rsidR="001063DF" w:rsidRPr="00377267" w:rsidRDefault="001063DF" w:rsidP="001063DF">
      <w:pPr>
        <w:widowControl/>
        <w:spacing w:before="60" w:after="30"/>
        <w:ind w:left="284" w:hanging="284"/>
        <w:jc w:val="both"/>
      </w:pPr>
      <w:r w:rsidRPr="00377267">
        <w:t>-</w:t>
      </w:r>
      <w:r w:rsidRPr="00377267">
        <w:tab/>
        <w:t>Gli stanziamenti di pagamento per il 2020 correlati alla mobilizzazione dello strumento di flessibilità nel 2017, 2018, 2019 e 2020 sono stimati dalla Commissione a 849,8 milioni di EUR.</w:t>
      </w:r>
    </w:p>
    <w:p w:rsidR="001063DF" w:rsidRPr="00377267" w:rsidRDefault="001063DF" w:rsidP="001063DF">
      <w:pPr>
        <w:widowControl/>
        <w:spacing w:before="60" w:after="30"/>
        <w:ind w:left="284" w:hanging="284"/>
        <w:jc w:val="both"/>
      </w:pPr>
      <w:r w:rsidRPr="00377267">
        <w:t>-</w:t>
      </w:r>
      <w:r w:rsidRPr="00377267">
        <w:tab/>
        <w:t>Le disponibilità rimanenti per l'esercizio 2020 sono riepilogate nella tabella seguente:</w:t>
      </w:r>
    </w:p>
    <w:tbl>
      <w:tblPr>
        <w:tblW w:w="9456" w:type="dxa"/>
        <w:jc w:val="right"/>
        <w:tblLook w:val="04A0" w:firstRow="1" w:lastRow="0" w:firstColumn="1" w:lastColumn="0" w:noHBand="0" w:noVBand="1"/>
      </w:tblPr>
      <w:tblGrid>
        <w:gridCol w:w="7847"/>
        <w:gridCol w:w="1609"/>
      </w:tblGrid>
      <w:tr w:rsidR="001063DF" w:rsidRPr="00377267" w:rsidTr="00825640">
        <w:trPr>
          <w:trHeight w:val="255"/>
          <w:jc w:val="right"/>
        </w:trPr>
        <w:tc>
          <w:tcPr>
            <w:tcW w:w="9456" w:type="dxa"/>
            <w:gridSpan w:val="2"/>
            <w:noWrap/>
            <w:vAlign w:val="bottom"/>
            <w:hideMark/>
          </w:tcPr>
          <w:p w:rsidR="001063DF" w:rsidRPr="00377267" w:rsidRDefault="001063DF" w:rsidP="00825640">
            <w:pPr>
              <w:jc w:val="right"/>
              <w:rPr>
                <w:i/>
                <w:iCs/>
                <w:color w:val="000000"/>
                <w:sz w:val="20"/>
              </w:rPr>
            </w:pPr>
            <w:r w:rsidRPr="00377267">
              <w:rPr>
                <w:i/>
                <w:iCs/>
                <w:color w:val="000000"/>
                <w:sz w:val="20"/>
              </w:rPr>
              <w:t>in Mio EUR (prezzi 2019)</w:t>
            </w:r>
          </w:p>
        </w:tc>
      </w:tr>
      <w:tr w:rsidR="001063DF" w:rsidRPr="00377267" w:rsidTr="00825640">
        <w:trPr>
          <w:trHeight w:val="255"/>
          <w:jc w:val="right"/>
        </w:trPr>
        <w:tc>
          <w:tcPr>
            <w:tcW w:w="7847" w:type="dxa"/>
            <w:tcBorders>
              <w:top w:val="single" w:sz="4" w:space="0" w:color="auto"/>
              <w:left w:val="single" w:sz="4" w:space="0" w:color="auto"/>
              <w:bottom w:val="dotted" w:sz="4" w:space="0" w:color="000000"/>
              <w:right w:val="single" w:sz="4" w:space="0" w:color="auto"/>
            </w:tcBorders>
            <w:vAlign w:val="center"/>
            <w:hideMark/>
          </w:tcPr>
          <w:p w:rsidR="001063DF" w:rsidRPr="00377267" w:rsidRDefault="001063DF" w:rsidP="00825640">
            <w:pPr>
              <w:ind w:firstLineChars="100" w:firstLine="240"/>
              <w:rPr>
                <w:szCs w:val="24"/>
              </w:rPr>
            </w:pPr>
            <w:r w:rsidRPr="00377267">
              <w:t>Margine di impegno al di sotto dei massimali del QFP per il 2020</w:t>
            </w:r>
          </w:p>
        </w:tc>
        <w:tc>
          <w:tcPr>
            <w:tcW w:w="1609" w:type="dxa"/>
            <w:tcBorders>
              <w:top w:val="single" w:sz="4" w:space="0" w:color="auto"/>
              <w:left w:val="nil"/>
              <w:bottom w:val="dotted" w:sz="4" w:space="0" w:color="auto"/>
              <w:right w:val="single" w:sz="4" w:space="0" w:color="auto"/>
            </w:tcBorders>
            <w:vAlign w:val="center"/>
            <w:hideMark/>
          </w:tcPr>
          <w:p w:rsidR="001063DF" w:rsidRPr="00377267" w:rsidRDefault="001063DF" w:rsidP="00825640">
            <w:pPr>
              <w:ind w:firstLineChars="100" w:firstLine="240"/>
              <w:jc w:val="right"/>
            </w:pPr>
            <w:r w:rsidRPr="00377267">
              <w:t>1 492,3</w:t>
            </w:r>
          </w:p>
        </w:tc>
      </w:tr>
      <w:tr w:rsidR="001063DF" w:rsidRPr="00377267" w:rsidTr="00825640">
        <w:trPr>
          <w:trHeight w:val="255"/>
          <w:jc w:val="right"/>
        </w:trPr>
        <w:tc>
          <w:tcPr>
            <w:tcW w:w="784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ind w:firstLineChars="100" w:firstLine="240"/>
            </w:pPr>
            <w:r w:rsidRPr="00377267">
              <w:t>Strumenti speciali attualmente disponibili</w:t>
            </w:r>
          </w:p>
        </w:tc>
        <w:tc>
          <w:tcPr>
            <w:tcW w:w="1609" w:type="dxa"/>
            <w:tcBorders>
              <w:top w:val="single" w:sz="4" w:space="0" w:color="auto"/>
              <w:left w:val="nil"/>
              <w:bottom w:val="single" w:sz="4" w:space="0" w:color="auto"/>
              <w:right w:val="single" w:sz="4" w:space="0" w:color="auto"/>
            </w:tcBorders>
            <w:vAlign w:val="center"/>
            <w:hideMark/>
          </w:tcPr>
          <w:p w:rsidR="001063DF" w:rsidRPr="00377267" w:rsidRDefault="001063DF" w:rsidP="00825640">
            <w:pPr>
              <w:ind w:firstLineChars="100" w:firstLine="240"/>
              <w:jc w:val="right"/>
            </w:pPr>
            <w:r w:rsidRPr="00377267">
              <w:t>1 216,9</w:t>
            </w:r>
          </w:p>
        </w:tc>
      </w:tr>
      <w:tr w:rsidR="001063DF" w:rsidRPr="00377267" w:rsidTr="00825640">
        <w:trPr>
          <w:trHeight w:val="255"/>
          <w:jc w:val="right"/>
        </w:trPr>
        <w:tc>
          <w:tcPr>
            <w:tcW w:w="7847" w:type="dxa"/>
            <w:tcBorders>
              <w:top w:val="nil"/>
              <w:left w:val="single" w:sz="4" w:space="0" w:color="auto"/>
              <w:bottom w:val="dotted" w:sz="4" w:space="0" w:color="000000"/>
              <w:right w:val="single" w:sz="4" w:space="0" w:color="auto"/>
            </w:tcBorders>
            <w:vAlign w:val="center"/>
            <w:hideMark/>
          </w:tcPr>
          <w:p w:rsidR="001063DF" w:rsidRPr="00377267" w:rsidRDefault="001063DF" w:rsidP="00825640">
            <w:pPr>
              <w:ind w:firstLineChars="200" w:firstLine="440"/>
              <w:rPr>
                <w:i/>
                <w:iCs/>
                <w:sz w:val="22"/>
                <w:szCs w:val="22"/>
              </w:rPr>
            </w:pPr>
            <w:r w:rsidRPr="00377267">
              <w:rPr>
                <w:i/>
                <w:iCs/>
                <w:sz w:val="22"/>
                <w:szCs w:val="22"/>
              </w:rPr>
              <w:t>Strumento di flessibilità</w:t>
            </w:r>
          </w:p>
        </w:tc>
        <w:tc>
          <w:tcPr>
            <w:tcW w:w="1609" w:type="dxa"/>
            <w:tcBorders>
              <w:top w:val="nil"/>
              <w:left w:val="nil"/>
              <w:bottom w:val="dotted" w:sz="4" w:space="0" w:color="auto"/>
              <w:right w:val="single" w:sz="4" w:space="0" w:color="auto"/>
            </w:tcBorders>
            <w:vAlign w:val="center"/>
            <w:hideMark/>
          </w:tcPr>
          <w:p w:rsidR="001063DF" w:rsidRPr="00377267" w:rsidRDefault="001063DF" w:rsidP="00825640">
            <w:pPr>
              <w:ind w:firstLineChars="100" w:firstLine="180"/>
              <w:jc w:val="right"/>
              <w:rPr>
                <w:i/>
                <w:iCs/>
                <w:sz w:val="18"/>
                <w:szCs w:val="18"/>
              </w:rPr>
            </w:pPr>
            <w:r w:rsidRPr="00377267">
              <w:rPr>
                <w:i/>
                <w:iCs/>
                <w:sz w:val="18"/>
                <w:szCs w:val="18"/>
              </w:rPr>
              <w:t>141,3</w:t>
            </w:r>
          </w:p>
        </w:tc>
      </w:tr>
      <w:tr w:rsidR="001063DF" w:rsidRPr="00377267" w:rsidTr="00825640">
        <w:trPr>
          <w:trHeight w:val="255"/>
          <w:jc w:val="right"/>
        </w:trPr>
        <w:tc>
          <w:tcPr>
            <w:tcW w:w="7847" w:type="dxa"/>
            <w:tcBorders>
              <w:top w:val="nil"/>
              <w:left w:val="single" w:sz="4" w:space="0" w:color="auto"/>
              <w:bottom w:val="nil"/>
              <w:right w:val="single" w:sz="4" w:space="0" w:color="auto"/>
            </w:tcBorders>
            <w:vAlign w:val="center"/>
            <w:hideMark/>
          </w:tcPr>
          <w:p w:rsidR="001063DF" w:rsidRPr="00377267" w:rsidRDefault="001063DF" w:rsidP="00825640">
            <w:pPr>
              <w:ind w:firstLineChars="200" w:firstLine="440"/>
              <w:rPr>
                <w:i/>
                <w:iCs/>
                <w:sz w:val="22"/>
                <w:szCs w:val="22"/>
              </w:rPr>
            </w:pPr>
            <w:r w:rsidRPr="00377267">
              <w:rPr>
                <w:i/>
                <w:iCs/>
                <w:sz w:val="22"/>
                <w:szCs w:val="22"/>
              </w:rPr>
              <w:t>Margine globale per gli impegni (dal 2018)</w:t>
            </w:r>
          </w:p>
        </w:tc>
        <w:tc>
          <w:tcPr>
            <w:tcW w:w="1609" w:type="dxa"/>
            <w:tcBorders>
              <w:top w:val="nil"/>
              <w:left w:val="nil"/>
              <w:bottom w:val="dotted" w:sz="4" w:space="0" w:color="auto"/>
              <w:right w:val="single" w:sz="4" w:space="0" w:color="auto"/>
            </w:tcBorders>
            <w:vAlign w:val="center"/>
            <w:hideMark/>
          </w:tcPr>
          <w:p w:rsidR="001063DF" w:rsidRPr="00377267" w:rsidRDefault="001063DF" w:rsidP="00825640">
            <w:pPr>
              <w:ind w:firstLineChars="100" w:firstLine="180"/>
              <w:jc w:val="right"/>
              <w:rPr>
                <w:i/>
                <w:iCs/>
                <w:sz w:val="18"/>
                <w:szCs w:val="18"/>
              </w:rPr>
            </w:pPr>
            <w:r w:rsidRPr="00377267">
              <w:rPr>
                <w:i/>
                <w:iCs/>
                <w:sz w:val="18"/>
                <w:szCs w:val="18"/>
              </w:rPr>
              <w:t>1 075,6</w:t>
            </w:r>
          </w:p>
        </w:tc>
      </w:tr>
      <w:tr w:rsidR="001063DF" w:rsidRPr="00377267" w:rsidTr="00825640">
        <w:trPr>
          <w:trHeight w:val="255"/>
          <w:jc w:val="right"/>
        </w:trPr>
        <w:tc>
          <w:tcPr>
            <w:tcW w:w="784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ind w:firstLineChars="100" w:firstLine="240"/>
              <w:rPr>
                <w:szCs w:val="24"/>
              </w:rPr>
            </w:pPr>
            <w:r w:rsidRPr="00377267">
              <w:t>Ulteriori strumenti speciali disponibili nel 2020</w:t>
            </w:r>
          </w:p>
        </w:tc>
        <w:tc>
          <w:tcPr>
            <w:tcW w:w="1609" w:type="dxa"/>
            <w:tcBorders>
              <w:top w:val="single" w:sz="4" w:space="0" w:color="auto"/>
              <w:left w:val="nil"/>
              <w:bottom w:val="single" w:sz="4" w:space="0" w:color="auto"/>
              <w:right w:val="single" w:sz="4" w:space="0" w:color="auto"/>
            </w:tcBorders>
            <w:vAlign w:val="center"/>
            <w:hideMark/>
          </w:tcPr>
          <w:p w:rsidR="001063DF" w:rsidRPr="00377267" w:rsidRDefault="001063DF" w:rsidP="00825640">
            <w:pPr>
              <w:ind w:firstLineChars="100" w:firstLine="240"/>
              <w:jc w:val="right"/>
            </w:pPr>
            <w:r w:rsidRPr="00377267">
              <w:t>1 463,5</w:t>
            </w:r>
          </w:p>
        </w:tc>
      </w:tr>
      <w:tr w:rsidR="001063DF" w:rsidRPr="00377267" w:rsidTr="00825640">
        <w:trPr>
          <w:trHeight w:val="255"/>
          <w:jc w:val="right"/>
        </w:trPr>
        <w:tc>
          <w:tcPr>
            <w:tcW w:w="7847" w:type="dxa"/>
            <w:tcBorders>
              <w:top w:val="nil"/>
              <w:left w:val="single" w:sz="4" w:space="0" w:color="auto"/>
              <w:bottom w:val="dotted" w:sz="4" w:space="0" w:color="000000"/>
              <w:right w:val="single" w:sz="4" w:space="0" w:color="auto"/>
            </w:tcBorders>
            <w:vAlign w:val="center"/>
            <w:hideMark/>
          </w:tcPr>
          <w:p w:rsidR="001063DF" w:rsidRPr="00377267" w:rsidRDefault="001063DF" w:rsidP="00825640">
            <w:pPr>
              <w:ind w:firstLineChars="200" w:firstLine="440"/>
              <w:rPr>
                <w:i/>
                <w:iCs/>
                <w:sz w:val="22"/>
                <w:szCs w:val="22"/>
              </w:rPr>
            </w:pPr>
            <w:r w:rsidRPr="00377267">
              <w:rPr>
                <w:i/>
                <w:iCs/>
                <w:sz w:val="22"/>
                <w:szCs w:val="22"/>
              </w:rPr>
              <w:t>Strumento di flessibilità</w:t>
            </w:r>
          </w:p>
        </w:tc>
        <w:tc>
          <w:tcPr>
            <w:tcW w:w="1609" w:type="dxa"/>
            <w:tcBorders>
              <w:top w:val="nil"/>
              <w:left w:val="nil"/>
              <w:bottom w:val="dotted" w:sz="4" w:space="0" w:color="auto"/>
              <w:right w:val="single" w:sz="4" w:space="0" w:color="auto"/>
            </w:tcBorders>
            <w:vAlign w:val="center"/>
            <w:hideMark/>
          </w:tcPr>
          <w:p w:rsidR="001063DF" w:rsidRPr="00377267" w:rsidRDefault="001063DF" w:rsidP="00825640">
            <w:pPr>
              <w:ind w:firstLineChars="100" w:firstLine="220"/>
              <w:jc w:val="right"/>
              <w:rPr>
                <w:i/>
                <w:iCs/>
                <w:sz w:val="22"/>
                <w:szCs w:val="22"/>
              </w:rPr>
            </w:pPr>
            <w:r w:rsidRPr="00377267">
              <w:rPr>
                <w:i/>
                <w:iCs/>
                <w:sz w:val="22"/>
                <w:szCs w:val="22"/>
              </w:rPr>
              <w:t> </w:t>
            </w:r>
          </w:p>
        </w:tc>
      </w:tr>
      <w:tr w:rsidR="001063DF" w:rsidRPr="00377267" w:rsidTr="00825640">
        <w:trPr>
          <w:trHeight w:val="255"/>
          <w:jc w:val="right"/>
        </w:trPr>
        <w:tc>
          <w:tcPr>
            <w:tcW w:w="7847" w:type="dxa"/>
            <w:tcBorders>
              <w:top w:val="nil"/>
              <w:left w:val="single" w:sz="4" w:space="0" w:color="auto"/>
              <w:bottom w:val="dotted" w:sz="4" w:space="0" w:color="000000"/>
              <w:right w:val="single" w:sz="4" w:space="0" w:color="auto"/>
            </w:tcBorders>
            <w:vAlign w:val="center"/>
            <w:hideMark/>
          </w:tcPr>
          <w:p w:rsidR="001063DF" w:rsidRPr="00377267" w:rsidRDefault="001063DF" w:rsidP="00825640">
            <w:pPr>
              <w:ind w:firstLineChars="400" w:firstLine="720"/>
              <w:rPr>
                <w:i/>
                <w:iCs/>
                <w:sz w:val="18"/>
                <w:szCs w:val="18"/>
              </w:rPr>
            </w:pPr>
            <w:r w:rsidRPr="00377267">
              <w:rPr>
                <w:i/>
                <w:iCs/>
                <w:sz w:val="18"/>
                <w:szCs w:val="18"/>
              </w:rPr>
              <w:t>da importi decaduti (2019) del Fondo europeo di adeguamento alla globalizzazione</w:t>
            </w:r>
          </w:p>
        </w:tc>
        <w:tc>
          <w:tcPr>
            <w:tcW w:w="1609" w:type="dxa"/>
            <w:tcBorders>
              <w:top w:val="nil"/>
              <w:left w:val="nil"/>
              <w:bottom w:val="dotted" w:sz="4" w:space="0" w:color="auto"/>
              <w:right w:val="single" w:sz="4" w:space="0" w:color="auto"/>
            </w:tcBorders>
            <w:vAlign w:val="center"/>
            <w:hideMark/>
          </w:tcPr>
          <w:p w:rsidR="001063DF" w:rsidRPr="00377267" w:rsidRDefault="001063DF" w:rsidP="00825640">
            <w:pPr>
              <w:ind w:firstLineChars="100" w:firstLine="180"/>
              <w:jc w:val="right"/>
              <w:rPr>
                <w:i/>
                <w:iCs/>
                <w:sz w:val="18"/>
                <w:szCs w:val="18"/>
              </w:rPr>
            </w:pPr>
            <w:r w:rsidRPr="00377267">
              <w:rPr>
                <w:i/>
                <w:iCs/>
                <w:sz w:val="18"/>
                <w:szCs w:val="18"/>
              </w:rPr>
              <w:t>173,5</w:t>
            </w:r>
          </w:p>
        </w:tc>
      </w:tr>
      <w:tr w:rsidR="001063DF" w:rsidRPr="00377267" w:rsidTr="00825640">
        <w:trPr>
          <w:trHeight w:val="255"/>
          <w:jc w:val="right"/>
        </w:trPr>
        <w:tc>
          <w:tcPr>
            <w:tcW w:w="7847" w:type="dxa"/>
            <w:tcBorders>
              <w:top w:val="nil"/>
              <w:left w:val="single" w:sz="4" w:space="0" w:color="auto"/>
              <w:bottom w:val="dotted" w:sz="4" w:space="0" w:color="000000"/>
              <w:right w:val="single" w:sz="4" w:space="0" w:color="auto"/>
            </w:tcBorders>
            <w:vAlign w:val="center"/>
            <w:hideMark/>
          </w:tcPr>
          <w:p w:rsidR="001063DF" w:rsidRPr="00377267" w:rsidRDefault="001063DF" w:rsidP="00825640">
            <w:pPr>
              <w:ind w:firstLineChars="400" w:firstLine="720"/>
              <w:rPr>
                <w:i/>
                <w:iCs/>
                <w:sz w:val="18"/>
                <w:szCs w:val="18"/>
              </w:rPr>
            </w:pPr>
            <w:r w:rsidRPr="00377267">
              <w:rPr>
                <w:i/>
                <w:iCs/>
                <w:sz w:val="18"/>
                <w:szCs w:val="18"/>
              </w:rPr>
              <w:t>da importi decaduti (2018) del Fondo di solidarietà dell'Unione europea</w:t>
            </w:r>
          </w:p>
        </w:tc>
        <w:tc>
          <w:tcPr>
            <w:tcW w:w="1609" w:type="dxa"/>
            <w:tcBorders>
              <w:top w:val="nil"/>
              <w:left w:val="nil"/>
              <w:bottom w:val="dotted" w:sz="4" w:space="0" w:color="auto"/>
              <w:right w:val="single" w:sz="4" w:space="0" w:color="auto"/>
            </w:tcBorders>
            <w:vAlign w:val="center"/>
            <w:hideMark/>
          </w:tcPr>
          <w:p w:rsidR="001063DF" w:rsidRPr="00377267" w:rsidRDefault="001063DF" w:rsidP="00825640">
            <w:pPr>
              <w:ind w:firstLineChars="100" w:firstLine="180"/>
              <w:jc w:val="right"/>
              <w:rPr>
                <w:i/>
                <w:iCs/>
                <w:sz w:val="18"/>
                <w:szCs w:val="18"/>
              </w:rPr>
            </w:pPr>
            <w:r w:rsidRPr="00377267">
              <w:rPr>
                <w:i/>
                <w:iCs/>
                <w:sz w:val="18"/>
                <w:szCs w:val="18"/>
              </w:rPr>
              <w:t>-</w:t>
            </w:r>
          </w:p>
        </w:tc>
      </w:tr>
      <w:tr w:rsidR="001063DF" w:rsidRPr="00377267" w:rsidTr="00825640">
        <w:trPr>
          <w:trHeight w:val="300"/>
          <w:jc w:val="right"/>
        </w:trPr>
        <w:tc>
          <w:tcPr>
            <w:tcW w:w="7847" w:type="dxa"/>
            <w:tcBorders>
              <w:top w:val="nil"/>
              <w:left w:val="single" w:sz="4" w:space="0" w:color="auto"/>
              <w:bottom w:val="nil"/>
              <w:right w:val="single" w:sz="4" w:space="0" w:color="auto"/>
            </w:tcBorders>
            <w:vAlign w:val="center"/>
            <w:hideMark/>
          </w:tcPr>
          <w:p w:rsidR="001063DF" w:rsidRPr="00377267" w:rsidRDefault="001063DF" w:rsidP="00825640">
            <w:pPr>
              <w:ind w:firstLineChars="200" w:firstLine="440"/>
              <w:rPr>
                <w:i/>
                <w:iCs/>
                <w:sz w:val="22"/>
                <w:szCs w:val="22"/>
              </w:rPr>
            </w:pPr>
            <w:r w:rsidRPr="00377267">
              <w:rPr>
                <w:i/>
                <w:iCs/>
                <w:sz w:val="22"/>
                <w:szCs w:val="22"/>
              </w:rPr>
              <w:t>Margine globale per gli impegni (dal 2019)</w:t>
            </w:r>
          </w:p>
        </w:tc>
        <w:tc>
          <w:tcPr>
            <w:tcW w:w="1609" w:type="dxa"/>
            <w:tcBorders>
              <w:top w:val="nil"/>
              <w:left w:val="nil"/>
              <w:bottom w:val="nil"/>
              <w:right w:val="single" w:sz="4" w:space="0" w:color="auto"/>
            </w:tcBorders>
            <w:vAlign w:val="center"/>
            <w:hideMark/>
          </w:tcPr>
          <w:p w:rsidR="001063DF" w:rsidRPr="00377267" w:rsidRDefault="001063DF" w:rsidP="00825640">
            <w:pPr>
              <w:ind w:firstLineChars="100" w:firstLine="220"/>
              <w:jc w:val="right"/>
              <w:rPr>
                <w:i/>
                <w:iCs/>
                <w:sz w:val="22"/>
                <w:szCs w:val="22"/>
              </w:rPr>
            </w:pPr>
            <w:r w:rsidRPr="00377267">
              <w:rPr>
                <w:i/>
                <w:iCs/>
                <w:sz w:val="22"/>
                <w:szCs w:val="22"/>
              </w:rPr>
              <w:t>1 290,0</w:t>
            </w:r>
          </w:p>
        </w:tc>
      </w:tr>
      <w:tr w:rsidR="001063DF" w:rsidRPr="00377267" w:rsidTr="00825640">
        <w:trPr>
          <w:trHeight w:val="315"/>
          <w:jc w:val="right"/>
        </w:trPr>
        <w:tc>
          <w:tcPr>
            <w:tcW w:w="784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ind w:firstLineChars="100" w:firstLine="240"/>
              <w:rPr>
                <w:szCs w:val="24"/>
              </w:rPr>
            </w:pPr>
            <w:r w:rsidRPr="00377267">
              <w:t>Totale</w:t>
            </w:r>
          </w:p>
        </w:tc>
        <w:tc>
          <w:tcPr>
            <w:tcW w:w="1609" w:type="dxa"/>
            <w:tcBorders>
              <w:top w:val="single" w:sz="4" w:space="0" w:color="auto"/>
              <w:left w:val="nil"/>
              <w:bottom w:val="single" w:sz="4" w:space="0" w:color="auto"/>
              <w:right w:val="single" w:sz="4" w:space="0" w:color="auto"/>
            </w:tcBorders>
            <w:vAlign w:val="center"/>
            <w:hideMark/>
          </w:tcPr>
          <w:p w:rsidR="001063DF" w:rsidRPr="00377267" w:rsidRDefault="001063DF" w:rsidP="00825640">
            <w:pPr>
              <w:ind w:firstLineChars="100" w:firstLine="240"/>
              <w:jc w:val="right"/>
            </w:pPr>
            <w:r w:rsidRPr="00377267">
              <w:t>4 172,7</w:t>
            </w:r>
          </w:p>
        </w:tc>
      </w:tr>
    </w:tbl>
    <w:p w:rsidR="001063DF" w:rsidRPr="00377267" w:rsidRDefault="001063DF" w:rsidP="001063DF">
      <w:pPr>
        <w:pStyle w:val="Heading1"/>
        <w:spacing w:before="120" w:after="120"/>
        <w:rPr>
          <w:rFonts w:ascii="Times New Roman" w:hAnsi="Times New Roman"/>
          <w:szCs w:val="24"/>
        </w:rPr>
      </w:pPr>
      <w:r w:rsidRPr="00377267">
        <w:br w:type="page"/>
      </w:r>
      <w:r w:rsidRPr="00377267">
        <w:rPr>
          <w:rFonts w:ascii="Times New Roman" w:hAnsi="Times New Roman"/>
          <w:szCs w:val="24"/>
        </w:rPr>
        <w:t>1.</w:t>
      </w:r>
      <w:r w:rsidRPr="00377267">
        <w:rPr>
          <w:rFonts w:ascii="Times New Roman" w:hAnsi="Times New Roman"/>
          <w:szCs w:val="24"/>
        </w:rPr>
        <w:tab/>
        <w:t>Bilancio 2020</w:t>
      </w:r>
    </w:p>
    <w:p w:rsidR="001063DF" w:rsidRPr="00377267" w:rsidRDefault="001063DF" w:rsidP="001063DF">
      <w:pPr>
        <w:spacing w:before="120" w:after="120"/>
        <w:rPr>
          <w:b/>
          <w:szCs w:val="22"/>
        </w:rPr>
      </w:pPr>
      <w:r w:rsidRPr="00377267">
        <w:rPr>
          <w:b/>
          <w:szCs w:val="22"/>
        </w:rPr>
        <w:t>1.1.</w:t>
      </w:r>
      <w:r w:rsidRPr="00377267">
        <w:rPr>
          <w:b/>
          <w:szCs w:val="22"/>
        </w:rPr>
        <w:tab/>
        <w:t>Linee di bilancio "chiuse"</w:t>
      </w:r>
    </w:p>
    <w:p w:rsidR="001063DF" w:rsidRPr="00377267" w:rsidRDefault="001063DF" w:rsidP="001063DF">
      <w:pPr>
        <w:spacing w:before="120" w:after="120"/>
        <w:jc w:val="both"/>
        <w:rPr>
          <w:szCs w:val="24"/>
        </w:rPr>
      </w:pPr>
      <w:r w:rsidRPr="00377267">
        <w:t>Salvo indicazione contraria nelle conclusioni in appresso, sono confermate tutte le linee di bilancio non modificate dal Consiglio o dal Parlamento, come pure le linee per le quali il Parlamento ha accolto le modifiche apportate dal Consiglio nella rispettiva lettura del bilancio.</w:t>
      </w:r>
    </w:p>
    <w:p w:rsidR="001063DF" w:rsidRPr="00377267" w:rsidRDefault="001063DF" w:rsidP="001063DF">
      <w:pPr>
        <w:spacing w:before="120" w:after="120"/>
        <w:jc w:val="both"/>
      </w:pPr>
      <w:r w:rsidRPr="00377267">
        <w:t xml:space="preserve">Per le altre linee di bilancio, il comitato di conciliazione è pervenuto alle conclusioni figuranti ai punti da 1.2 a 1.7 in appresso. </w:t>
      </w:r>
    </w:p>
    <w:p w:rsidR="001063DF" w:rsidRPr="00377267" w:rsidRDefault="001063DF" w:rsidP="001063DF">
      <w:pPr>
        <w:spacing w:before="120" w:after="120"/>
        <w:rPr>
          <w:b/>
          <w:szCs w:val="22"/>
        </w:rPr>
      </w:pPr>
    </w:p>
    <w:p w:rsidR="001063DF" w:rsidRPr="00377267" w:rsidRDefault="001063DF" w:rsidP="001063DF">
      <w:pPr>
        <w:spacing w:before="120" w:after="120"/>
        <w:rPr>
          <w:b/>
          <w:szCs w:val="22"/>
        </w:rPr>
      </w:pPr>
      <w:r w:rsidRPr="00377267">
        <w:rPr>
          <w:b/>
          <w:szCs w:val="22"/>
        </w:rPr>
        <w:t>1.2.</w:t>
      </w:r>
      <w:r w:rsidRPr="00377267">
        <w:rPr>
          <w:b/>
          <w:szCs w:val="22"/>
        </w:rPr>
        <w:tab/>
        <w:t>Questioni orizzontali</w:t>
      </w:r>
    </w:p>
    <w:p w:rsidR="001063DF" w:rsidRPr="00377267" w:rsidRDefault="001063DF" w:rsidP="001063DF">
      <w:pPr>
        <w:spacing w:before="120" w:after="120"/>
        <w:jc w:val="both"/>
        <w:rPr>
          <w:b/>
          <w:szCs w:val="24"/>
        </w:rPr>
      </w:pPr>
      <w:r w:rsidRPr="00377267">
        <w:rPr>
          <w:b/>
          <w:u w:val="single"/>
        </w:rPr>
        <w:t>Agenzie decentrate</w:t>
      </w:r>
    </w:p>
    <w:p w:rsidR="001063DF" w:rsidRPr="00377267" w:rsidRDefault="001063DF" w:rsidP="001063DF">
      <w:pPr>
        <w:spacing w:before="120" w:after="120"/>
        <w:jc w:val="both"/>
      </w:pPr>
      <w:r w:rsidRPr="00377267">
        <w:t>Il contributo dell'UE (in stanziamenti d'impegno e di pagamento) e il numero dei posti assegnati a tutte le agenzie decentrate sono fissati al livello proposto dalla Commissione nel progetto di bilancio, quale modificato dalla lettera rettificativa n. 1/2020, con le seguenti eccezioni:</w:t>
      </w:r>
    </w:p>
    <w:p w:rsidR="001063DF" w:rsidRPr="00377267" w:rsidRDefault="001063DF" w:rsidP="001063DF">
      <w:pPr>
        <w:spacing w:before="120" w:after="120"/>
        <w:ind w:left="360" w:hanging="360"/>
        <w:jc w:val="both"/>
      </w:pPr>
      <w:r w:rsidRPr="00377267">
        <w:rPr>
          <w:rFonts w:ascii="Symbol" w:hAnsi="Symbol"/>
          <w:szCs w:val="24"/>
        </w:rPr>
        <w:t></w:t>
      </w:r>
      <w:r w:rsidRPr="00377267">
        <w:rPr>
          <w:rFonts w:ascii="Symbol" w:hAnsi="Symbol"/>
          <w:szCs w:val="24"/>
        </w:rPr>
        <w:tab/>
      </w:r>
      <w:r w:rsidRPr="00377267">
        <w:t>nella sottorubrica 1a:</w:t>
      </w:r>
    </w:p>
    <w:p w:rsidR="001063DF" w:rsidRPr="00377267" w:rsidRDefault="001063DF" w:rsidP="001063DF">
      <w:pPr>
        <w:spacing w:before="120" w:after="120"/>
        <w:ind w:left="1080" w:hanging="360"/>
        <w:jc w:val="both"/>
      </w:pPr>
      <w:r w:rsidRPr="00377267">
        <w:rPr>
          <w:rFonts w:ascii="Courier New" w:hAnsi="Courier New"/>
          <w:szCs w:val="24"/>
        </w:rPr>
        <w:t>o</w:t>
      </w:r>
      <w:r w:rsidRPr="00377267">
        <w:rPr>
          <w:rFonts w:ascii="Courier New" w:hAnsi="Courier New"/>
          <w:szCs w:val="24"/>
        </w:rPr>
        <w:tab/>
      </w:r>
      <w:r w:rsidRPr="00377267">
        <w:t>l'Agenzia europea per le sostanze chimiche (ECHA, articolo di bilancio 02 03 03), per la quale gli stanziamenti d'impegno e di pagamento sono aumentati di 1 000 000 EUR;</w:t>
      </w:r>
    </w:p>
    <w:p w:rsidR="001063DF" w:rsidRPr="00377267" w:rsidRDefault="001063DF" w:rsidP="001063DF">
      <w:pPr>
        <w:spacing w:before="120" w:after="120"/>
        <w:ind w:left="1080" w:hanging="360"/>
        <w:jc w:val="both"/>
      </w:pPr>
      <w:r w:rsidRPr="00377267">
        <w:rPr>
          <w:rFonts w:ascii="Courier New" w:hAnsi="Courier New"/>
          <w:szCs w:val="24"/>
        </w:rPr>
        <w:t>o</w:t>
      </w:r>
      <w:r w:rsidRPr="00377267">
        <w:rPr>
          <w:rFonts w:ascii="Courier New" w:hAnsi="Courier New"/>
          <w:szCs w:val="24"/>
        </w:rPr>
        <w:tab/>
      </w:r>
      <w:r w:rsidRPr="00377267">
        <w:t>l'Agenzia del GNSS europeo (GSA, articolo di bilancio 02 05 11), alla quale sono assegnati 5 posti supplementari con stanziamenti aggiuntivi pari a 370 000 EUR in stanziamenti d'impegno e di pagamento;</w:t>
      </w:r>
    </w:p>
    <w:p w:rsidR="001063DF" w:rsidRPr="00377267" w:rsidRDefault="001063DF" w:rsidP="001063DF">
      <w:pPr>
        <w:spacing w:before="120" w:after="120"/>
        <w:ind w:left="1080" w:hanging="360"/>
        <w:jc w:val="both"/>
      </w:pPr>
      <w:r w:rsidRPr="00377267">
        <w:rPr>
          <w:rFonts w:ascii="Courier New" w:hAnsi="Courier New"/>
          <w:szCs w:val="24"/>
        </w:rPr>
        <w:t>o</w:t>
      </w:r>
      <w:r w:rsidRPr="00377267">
        <w:rPr>
          <w:rFonts w:ascii="Courier New" w:hAnsi="Courier New"/>
          <w:szCs w:val="24"/>
        </w:rPr>
        <w:tab/>
      </w:r>
      <w:r w:rsidRPr="00377267">
        <w:t>il Centro europeo per lo sviluppo della formazione professionale (CEDEFOP, articolo di bilancio 04 03 03), per il quale gli stanziamenti d'impegno e di pagamento sono aumentati di 1 000 000 EUR;</w:t>
      </w:r>
    </w:p>
    <w:p w:rsidR="001063DF" w:rsidRPr="00377267" w:rsidRDefault="001063DF" w:rsidP="001063DF">
      <w:pPr>
        <w:spacing w:before="120" w:after="120"/>
        <w:ind w:left="360" w:hanging="360"/>
        <w:jc w:val="both"/>
      </w:pPr>
      <w:r w:rsidRPr="00377267">
        <w:rPr>
          <w:rFonts w:ascii="Symbol" w:hAnsi="Symbol"/>
          <w:szCs w:val="24"/>
        </w:rPr>
        <w:t></w:t>
      </w:r>
      <w:r w:rsidRPr="00377267">
        <w:rPr>
          <w:rFonts w:ascii="Symbol" w:hAnsi="Symbol"/>
          <w:szCs w:val="24"/>
        </w:rPr>
        <w:tab/>
      </w:r>
      <w:r w:rsidRPr="00377267">
        <w:t>nella rubrica 2:</w:t>
      </w:r>
    </w:p>
    <w:p w:rsidR="001063DF" w:rsidRPr="00377267" w:rsidRDefault="001063DF" w:rsidP="001063DF">
      <w:pPr>
        <w:spacing w:before="120" w:after="120"/>
        <w:ind w:left="1080" w:hanging="360"/>
        <w:jc w:val="both"/>
      </w:pPr>
      <w:r w:rsidRPr="00377267">
        <w:rPr>
          <w:rFonts w:ascii="Courier New" w:hAnsi="Courier New"/>
          <w:szCs w:val="24"/>
        </w:rPr>
        <w:t>o</w:t>
      </w:r>
      <w:r w:rsidRPr="00377267">
        <w:rPr>
          <w:rFonts w:ascii="Courier New" w:hAnsi="Courier New"/>
          <w:szCs w:val="24"/>
        </w:rPr>
        <w:tab/>
      </w:r>
      <w:r w:rsidRPr="00377267">
        <w:t>l'Agenzia europea dell'ambiente (EEA, articolo di bilancio 07 02 06), alla quale sono assegnati 5 posti supplementari con stanziamenti aggiuntivi pari a 1 300 000 EUR in stanziamenti d'impegno e di pagamento;</w:t>
      </w:r>
    </w:p>
    <w:p w:rsidR="001063DF" w:rsidRPr="00377267" w:rsidRDefault="001063DF" w:rsidP="001063DF">
      <w:pPr>
        <w:spacing w:before="120" w:after="120"/>
        <w:ind w:left="360" w:hanging="360"/>
        <w:jc w:val="both"/>
      </w:pPr>
      <w:r w:rsidRPr="00377267">
        <w:rPr>
          <w:rFonts w:ascii="Symbol" w:hAnsi="Symbol"/>
          <w:szCs w:val="24"/>
        </w:rPr>
        <w:t></w:t>
      </w:r>
      <w:r w:rsidRPr="00377267">
        <w:rPr>
          <w:rFonts w:ascii="Symbol" w:hAnsi="Symbol"/>
          <w:szCs w:val="24"/>
        </w:rPr>
        <w:tab/>
      </w:r>
      <w:r w:rsidRPr="00377267">
        <w:t>nella rubrica 3:</w:t>
      </w:r>
    </w:p>
    <w:p w:rsidR="001063DF" w:rsidRPr="00377267" w:rsidRDefault="001063DF" w:rsidP="001063DF">
      <w:pPr>
        <w:spacing w:before="120" w:after="120"/>
        <w:ind w:left="1080" w:hanging="360"/>
        <w:jc w:val="both"/>
      </w:pPr>
      <w:r w:rsidRPr="00377267">
        <w:rPr>
          <w:rFonts w:ascii="Courier New" w:hAnsi="Courier New"/>
          <w:szCs w:val="24"/>
        </w:rPr>
        <w:t>o</w:t>
      </w:r>
      <w:r w:rsidRPr="00377267">
        <w:rPr>
          <w:rFonts w:ascii="Courier New" w:hAnsi="Courier New"/>
          <w:szCs w:val="24"/>
        </w:rPr>
        <w:tab/>
      </w:r>
      <w:r w:rsidRPr="00377267">
        <w:t>l'Agenzia dell'Unione europea per la cooperazione nell'attività di contrasto (EUROPOL, articolo di bilancio 18 02 04), alla quale sono assegnati 10 posti supplementari con stanziamenti aggiuntivi pari a 13 000 000 EUR in stanziamenti d'impegno e di pagamento;</w:t>
      </w:r>
    </w:p>
    <w:p w:rsidR="001063DF" w:rsidRPr="00377267" w:rsidRDefault="001063DF" w:rsidP="001063DF">
      <w:pPr>
        <w:spacing w:before="120" w:after="120"/>
        <w:ind w:left="1080" w:hanging="360"/>
        <w:jc w:val="both"/>
        <w:rPr>
          <w:b/>
          <w:u w:val="single"/>
        </w:rPr>
      </w:pPr>
      <w:r w:rsidRPr="00377267">
        <w:rPr>
          <w:rFonts w:ascii="Courier New" w:hAnsi="Courier New"/>
          <w:szCs w:val="24"/>
        </w:rPr>
        <w:t>o</w:t>
      </w:r>
      <w:r w:rsidRPr="00377267">
        <w:rPr>
          <w:rFonts w:ascii="Courier New" w:hAnsi="Courier New"/>
          <w:szCs w:val="24"/>
        </w:rPr>
        <w:tab/>
      </w:r>
      <w:r w:rsidRPr="00377267">
        <w:t>l'Agenzia europea per i medicinali (EMA, voce di bilancio 17 03 12 01), alla quale sono assegnati 5 posti supplementari con stanziamenti aggiuntivi pari a 2 000 000 EUR in stanziamenti d'impegno e di pagamento;</w:t>
      </w:r>
    </w:p>
    <w:p w:rsidR="001063DF" w:rsidRPr="00377267" w:rsidRDefault="001063DF" w:rsidP="001063DF">
      <w:pPr>
        <w:spacing w:before="120" w:after="120"/>
        <w:ind w:left="1080" w:hanging="360"/>
        <w:jc w:val="both"/>
        <w:rPr>
          <w:b/>
          <w:u w:val="single"/>
        </w:rPr>
      </w:pPr>
      <w:r w:rsidRPr="00377267">
        <w:rPr>
          <w:rFonts w:ascii="Courier New" w:hAnsi="Courier New"/>
          <w:szCs w:val="24"/>
        </w:rPr>
        <w:t>o</w:t>
      </w:r>
      <w:r w:rsidRPr="00377267">
        <w:rPr>
          <w:rFonts w:ascii="Courier New" w:hAnsi="Courier New"/>
          <w:szCs w:val="24"/>
        </w:rPr>
        <w:tab/>
      </w:r>
      <w:r w:rsidRPr="00377267">
        <w:t>l'Ufficio europeo di sostegno per l'asilo (EASO, articolo di bilancio 18 03 02), per il quale gli stanziamenti d'impegno e di pagamento sono aumentati di 24 685 306 EUR;</w:t>
      </w:r>
    </w:p>
    <w:p w:rsidR="001063DF" w:rsidRPr="00377267" w:rsidRDefault="001063DF" w:rsidP="001063DF">
      <w:pPr>
        <w:spacing w:before="120" w:after="120"/>
        <w:ind w:left="1080" w:hanging="360"/>
        <w:jc w:val="both"/>
        <w:rPr>
          <w:b/>
          <w:u w:val="single"/>
        </w:rPr>
      </w:pPr>
      <w:r w:rsidRPr="00377267">
        <w:rPr>
          <w:rFonts w:ascii="Courier New" w:hAnsi="Courier New"/>
          <w:szCs w:val="24"/>
        </w:rPr>
        <w:t>o</w:t>
      </w:r>
      <w:r w:rsidRPr="00377267">
        <w:rPr>
          <w:rFonts w:ascii="Courier New" w:hAnsi="Courier New"/>
          <w:szCs w:val="24"/>
        </w:rPr>
        <w:tab/>
      </w:r>
      <w:r w:rsidRPr="00377267">
        <w:t>l'Organismo europeo per il consolidamento della cooperazione giudiziaria (EUROJUST, articolo di bilancio 33 03 03), per il quale gli stanziamenti d'impegno e di pagamento sono aumentati di 1 700 000 EUR;</w:t>
      </w:r>
    </w:p>
    <w:p w:rsidR="001063DF" w:rsidRPr="00377267" w:rsidRDefault="001063DF" w:rsidP="001063DF">
      <w:pPr>
        <w:spacing w:before="120" w:after="120"/>
        <w:ind w:left="1080" w:hanging="360"/>
        <w:jc w:val="both"/>
        <w:rPr>
          <w:b/>
          <w:u w:val="single"/>
        </w:rPr>
      </w:pPr>
      <w:r w:rsidRPr="00377267">
        <w:rPr>
          <w:rFonts w:ascii="Courier New" w:hAnsi="Courier New"/>
          <w:szCs w:val="24"/>
        </w:rPr>
        <w:t>o</w:t>
      </w:r>
      <w:r w:rsidRPr="00377267">
        <w:rPr>
          <w:rFonts w:ascii="Courier New" w:hAnsi="Courier New"/>
          <w:szCs w:val="24"/>
        </w:rPr>
        <w:tab/>
      </w:r>
      <w:r w:rsidRPr="00377267">
        <w:t>l'Agenzia europea per la gestione della cooperazione operativa alle frontiere esterne degli Stati membri dell'Unione europea (FRONTEX, articolo di bilancio 18 02 03), per la quale gli stanziamenti d'impegno e di pagamento sono aumentati di 8 734 813 EUR;</w:t>
      </w:r>
    </w:p>
    <w:p w:rsidR="001063DF" w:rsidRPr="00377267" w:rsidRDefault="001063DF" w:rsidP="001063DF">
      <w:pPr>
        <w:spacing w:before="120" w:after="120"/>
        <w:ind w:left="1080" w:hanging="360"/>
        <w:jc w:val="both"/>
        <w:rPr>
          <w:b/>
          <w:u w:val="single"/>
        </w:rPr>
      </w:pPr>
      <w:r w:rsidRPr="00377267">
        <w:rPr>
          <w:rFonts w:ascii="Courier New" w:hAnsi="Courier New"/>
          <w:szCs w:val="24"/>
        </w:rPr>
        <w:t>o</w:t>
      </w:r>
      <w:r w:rsidRPr="00377267">
        <w:rPr>
          <w:rFonts w:ascii="Courier New" w:hAnsi="Courier New"/>
          <w:szCs w:val="24"/>
        </w:rPr>
        <w:tab/>
      </w:r>
      <w:r w:rsidRPr="00377267">
        <w:t>la Procura europea (EPPO, articolo di bilancio 33 03 05), alla quale sono assegnati 5 posti supplementari.</w:t>
      </w:r>
    </w:p>
    <w:p w:rsidR="001063DF" w:rsidRPr="00377267" w:rsidRDefault="001063DF" w:rsidP="001063DF">
      <w:pPr>
        <w:spacing w:before="120" w:after="120"/>
        <w:jc w:val="both"/>
        <w:rPr>
          <w:b/>
          <w:u w:val="single"/>
        </w:rPr>
      </w:pPr>
    </w:p>
    <w:p w:rsidR="001063DF" w:rsidRPr="00377267" w:rsidRDefault="001063DF" w:rsidP="001063DF">
      <w:pPr>
        <w:spacing w:before="120" w:after="120"/>
        <w:jc w:val="both"/>
      </w:pPr>
      <w:r w:rsidRPr="00377267">
        <w:rPr>
          <w:b/>
          <w:u w:val="single"/>
        </w:rPr>
        <w:t>Agenzie esecutive</w:t>
      </w:r>
    </w:p>
    <w:p w:rsidR="001063DF" w:rsidRPr="00377267" w:rsidRDefault="001063DF" w:rsidP="001063DF">
      <w:pPr>
        <w:spacing w:before="120" w:after="120"/>
        <w:jc w:val="both"/>
      </w:pPr>
      <w:r w:rsidRPr="00377267">
        <w:t>Il contributo dell'Unione europea (in stanziamenti d'impegno e di pagamento) e il numero dei posti assegnati alle agenzie esecutive sono fissati al livello proposto dalla Commissione nel progetto di bilancio, quale modificato dalla lettera rettificativa n. 1/2020.</w:t>
      </w:r>
    </w:p>
    <w:p w:rsidR="001063DF" w:rsidRPr="00377267" w:rsidRDefault="001063DF" w:rsidP="001063DF">
      <w:pPr>
        <w:spacing w:before="120" w:after="120"/>
        <w:jc w:val="both"/>
        <w:rPr>
          <w:b/>
          <w:u w:val="single"/>
        </w:rPr>
      </w:pPr>
    </w:p>
    <w:p w:rsidR="001063DF" w:rsidRPr="00377267" w:rsidRDefault="001063DF" w:rsidP="001063DF">
      <w:pPr>
        <w:spacing w:before="120" w:after="120"/>
        <w:jc w:val="both"/>
        <w:rPr>
          <w:b/>
          <w:u w:val="single"/>
        </w:rPr>
      </w:pPr>
      <w:r w:rsidRPr="00377267">
        <w:rPr>
          <w:b/>
          <w:u w:val="single"/>
        </w:rPr>
        <w:t>Progetti pilota/ Azioni preparatorie</w:t>
      </w:r>
    </w:p>
    <w:p w:rsidR="001063DF" w:rsidRPr="00377267" w:rsidRDefault="001063DF" w:rsidP="001063DF">
      <w:pPr>
        <w:spacing w:before="120" w:after="120"/>
        <w:jc w:val="both"/>
      </w:pPr>
      <w:r w:rsidRPr="00377267">
        <w:t>È stato concordato un ampio pacchetto, comprendente 78 progetti pilota/azioni preparatorie (PP/AP), per un importo totale di 140,0 milioni di EUR in stanziamenti di impegno.</w:t>
      </w:r>
    </w:p>
    <w:p w:rsidR="001063DF" w:rsidRPr="00377267" w:rsidRDefault="001063DF" w:rsidP="001063DF">
      <w:pPr>
        <w:spacing w:before="120" w:after="120"/>
        <w:jc w:val="both"/>
      </w:pPr>
      <w:r w:rsidRPr="00377267">
        <w:t>Quando un progetto pilota o un'azione preparatoria risultano essere coperti da una base giuridica esistente, la Commissione può proporre lo storno di stanziamenti verso la base giuridica corrispondente al fine di facilitarne l'attuazione.</w:t>
      </w:r>
    </w:p>
    <w:p w:rsidR="001063DF" w:rsidRPr="00377267" w:rsidRDefault="001063DF" w:rsidP="001063DF">
      <w:pPr>
        <w:spacing w:before="120" w:after="120"/>
        <w:jc w:val="both"/>
      </w:pPr>
      <w:r w:rsidRPr="00377267">
        <w:t>Il pacchetto rispetta pienamente i massimali previsti dal regolamento finanziario per i progetti pilota e le azioni preparatorie.</w:t>
      </w:r>
    </w:p>
    <w:p w:rsidR="001063DF" w:rsidRPr="00377267" w:rsidRDefault="001063DF" w:rsidP="001063DF">
      <w:pPr>
        <w:spacing w:before="120" w:after="120"/>
        <w:rPr>
          <w:b/>
          <w:sz w:val="22"/>
          <w:szCs w:val="22"/>
        </w:rPr>
      </w:pPr>
    </w:p>
    <w:p w:rsidR="001063DF" w:rsidRPr="00377267" w:rsidRDefault="001063DF" w:rsidP="001063DF">
      <w:pPr>
        <w:spacing w:before="120" w:after="120"/>
        <w:rPr>
          <w:b/>
          <w:szCs w:val="22"/>
        </w:rPr>
      </w:pPr>
      <w:r w:rsidRPr="00377267">
        <w:rPr>
          <w:b/>
          <w:szCs w:val="22"/>
        </w:rPr>
        <w:t>1.3.</w:t>
      </w:r>
      <w:r w:rsidRPr="00377267">
        <w:rPr>
          <w:b/>
          <w:szCs w:val="22"/>
        </w:rPr>
        <w:tab/>
        <w:t>Rubriche di spesa del quadro finanziario – stanziamenti d'impegno</w:t>
      </w:r>
    </w:p>
    <w:p w:rsidR="001063DF" w:rsidRPr="00377267" w:rsidRDefault="001063DF" w:rsidP="001063DF">
      <w:pPr>
        <w:spacing w:before="120" w:after="120"/>
        <w:jc w:val="both"/>
      </w:pPr>
    </w:p>
    <w:p w:rsidR="001063DF" w:rsidRPr="00377267" w:rsidRDefault="001063DF" w:rsidP="001063DF">
      <w:pPr>
        <w:spacing w:before="120" w:after="120"/>
        <w:jc w:val="both"/>
        <w:rPr>
          <w:szCs w:val="24"/>
        </w:rPr>
      </w:pPr>
      <w:r w:rsidRPr="00377267">
        <w:t>Tenuto conto delle suddette conclusioni riguardanti le linee di bilancio "chiuse", le agenzie e i progetti pilota e le azioni preparatorie, il comitato di conciliazione ha adottato le decisioni seguenti:</w:t>
      </w:r>
    </w:p>
    <w:p w:rsidR="001063DF" w:rsidRPr="00377267" w:rsidRDefault="001063DF" w:rsidP="001063DF">
      <w:pPr>
        <w:spacing w:before="120" w:after="120"/>
        <w:jc w:val="both"/>
        <w:rPr>
          <w:b/>
          <w:u w:val="single"/>
        </w:rPr>
      </w:pPr>
    </w:p>
    <w:p w:rsidR="001063DF" w:rsidRPr="00377267" w:rsidRDefault="001063DF" w:rsidP="001063DF">
      <w:pPr>
        <w:spacing w:before="120" w:after="120"/>
        <w:jc w:val="both"/>
        <w:rPr>
          <w:b/>
          <w:u w:val="single"/>
        </w:rPr>
      </w:pPr>
      <w:r w:rsidRPr="00377267">
        <w:rPr>
          <w:b/>
          <w:u w:val="single"/>
        </w:rPr>
        <w:t>Sottorubrica 1a – Competitività per la crescita e l'occupazione</w:t>
      </w:r>
    </w:p>
    <w:p w:rsidR="001063DF" w:rsidRPr="00377267" w:rsidRDefault="001063DF" w:rsidP="001063DF">
      <w:pPr>
        <w:spacing w:before="120"/>
        <w:jc w:val="both"/>
      </w:pPr>
      <w:r w:rsidRPr="00377267">
        <w:t xml:space="preserve">Gli stanziamenti d'impegno sono fissati al livello proposto dalla Commissione nel progetto di bilancio, quale modificato dalla lettera rettificativa n. 1/2020, integrando tuttavia gli adeguamenti decisi in sede di comitato di conciliazione e figuranti in dettaglio nella tabella in appresso: </w:t>
      </w:r>
    </w:p>
    <w:tbl>
      <w:tblPr>
        <w:tblW w:w="9365" w:type="dxa"/>
        <w:tblInd w:w="108" w:type="dxa"/>
        <w:tblLook w:val="04A0" w:firstRow="1" w:lastRow="0" w:firstColumn="1" w:lastColumn="0" w:noHBand="0" w:noVBand="1"/>
      </w:tblPr>
      <w:tblGrid>
        <w:gridCol w:w="1240"/>
        <w:gridCol w:w="3755"/>
        <w:gridCol w:w="1418"/>
        <w:gridCol w:w="1559"/>
        <w:gridCol w:w="1393"/>
      </w:tblGrid>
      <w:tr w:rsidR="001063DF" w:rsidRPr="00377267" w:rsidTr="00825640">
        <w:trPr>
          <w:trHeight w:val="255"/>
          <w:tblHeader/>
        </w:trPr>
        <w:tc>
          <w:tcPr>
            <w:tcW w:w="1240" w:type="dxa"/>
            <w:noWrap/>
            <w:vAlign w:val="center"/>
            <w:hideMark/>
          </w:tcPr>
          <w:p w:rsidR="001063DF" w:rsidRPr="00377267" w:rsidRDefault="001063DF" w:rsidP="00825640"/>
        </w:tc>
        <w:tc>
          <w:tcPr>
            <w:tcW w:w="3755" w:type="dxa"/>
            <w:noWrap/>
            <w:vAlign w:val="bottom"/>
            <w:hideMark/>
          </w:tcPr>
          <w:p w:rsidR="001063DF" w:rsidRPr="00377267" w:rsidRDefault="001063DF" w:rsidP="00825640">
            <w:pPr>
              <w:rPr>
                <w:sz w:val="20"/>
              </w:rPr>
            </w:pPr>
          </w:p>
        </w:tc>
        <w:tc>
          <w:tcPr>
            <w:tcW w:w="1418" w:type="dxa"/>
            <w:noWrap/>
            <w:vAlign w:val="center"/>
            <w:hideMark/>
          </w:tcPr>
          <w:p w:rsidR="001063DF" w:rsidRPr="00377267" w:rsidRDefault="001063DF" w:rsidP="00825640">
            <w:pPr>
              <w:rPr>
                <w:sz w:val="20"/>
              </w:rPr>
            </w:pPr>
          </w:p>
        </w:tc>
        <w:tc>
          <w:tcPr>
            <w:tcW w:w="1559" w:type="dxa"/>
            <w:noWrap/>
            <w:vAlign w:val="center"/>
            <w:hideMark/>
          </w:tcPr>
          <w:p w:rsidR="001063DF" w:rsidRPr="00377267" w:rsidRDefault="001063DF" w:rsidP="00825640">
            <w:pPr>
              <w:rPr>
                <w:sz w:val="20"/>
              </w:rPr>
            </w:pPr>
          </w:p>
        </w:tc>
        <w:tc>
          <w:tcPr>
            <w:tcW w:w="1393" w:type="dxa"/>
            <w:noWrap/>
            <w:vAlign w:val="center"/>
            <w:hideMark/>
          </w:tcPr>
          <w:p w:rsidR="001063DF" w:rsidRPr="00377267" w:rsidRDefault="001063DF" w:rsidP="00825640">
            <w:pPr>
              <w:jc w:val="right"/>
              <w:rPr>
                <w:i/>
                <w:iCs/>
                <w:sz w:val="20"/>
              </w:rPr>
            </w:pPr>
            <w:r w:rsidRPr="00377267">
              <w:rPr>
                <w:i/>
                <w:iCs/>
                <w:sz w:val="20"/>
              </w:rPr>
              <w:t>In EUR</w:t>
            </w:r>
          </w:p>
        </w:tc>
      </w:tr>
      <w:tr w:rsidR="001063DF" w:rsidRPr="00377267" w:rsidTr="00825640">
        <w:trPr>
          <w:trHeight w:val="255"/>
          <w:tblHeader/>
        </w:trPr>
        <w:tc>
          <w:tcPr>
            <w:tcW w:w="1240" w:type="dxa"/>
            <w:vMerge w:val="restart"/>
            <w:tcBorders>
              <w:top w:val="single" w:sz="4" w:space="0" w:color="auto"/>
              <w:left w:val="single" w:sz="4" w:space="0" w:color="auto"/>
              <w:bottom w:val="single" w:sz="4" w:space="0" w:color="000000"/>
              <w:right w:val="nil"/>
            </w:tcBorders>
            <w:shd w:val="clear" w:color="auto" w:fill="DCE6F1"/>
            <w:vAlign w:val="center"/>
            <w:hideMark/>
          </w:tcPr>
          <w:p w:rsidR="001063DF" w:rsidRPr="00377267" w:rsidRDefault="001063DF" w:rsidP="00825640">
            <w:pPr>
              <w:jc w:val="center"/>
              <w:rPr>
                <w:b/>
                <w:bCs/>
                <w:color w:val="000000"/>
                <w:sz w:val="16"/>
                <w:szCs w:val="16"/>
              </w:rPr>
            </w:pPr>
            <w:r w:rsidRPr="00377267">
              <w:rPr>
                <w:b/>
                <w:bCs/>
                <w:color w:val="000000"/>
                <w:sz w:val="16"/>
                <w:szCs w:val="16"/>
              </w:rPr>
              <w:t>Linea di bilancio / Programma</w:t>
            </w:r>
          </w:p>
        </w:tc>
        <w:tc>
          <w:tcPr>
            <w:tcW w:w="3755" w:type="dxa"/>
            <w:vMerge w:val="restart"/>
            <w:tcBorders>
              <w:top w:val="single" w:sz="4" w:space="0" w:color="auto"/>
              <w:left w:val="single" w:sz="4" w:space="0" w:color="auto"/>
              <w:bottom w:val="single" w:sz="4" w:space="0" w:color="000000"/>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Nome</w:t>
            </w:r>
          </w:p>
        </w:tc>
        <w:tc>
          <w:tcPr>
            <w:tcW w:w="4370" w:type="dxa"/>
            <w:gridSpan w:val="3"/>
            <w:tcBorders>
              <w:top w:val="single" w:sz="4" w:space="0" w:color="auto"/>
              <w:left w:val="single" w:sz="4" w:space="0" w:color="auto"/>
              <w:bottom w:val="single" w:sz="4" w:space="0" w:color="auto"/>
              <w:right w:val="single" w:sz="4" w:space="0" w:color="000000"/>
            </w:tcBorders>
            <w:shd w:val="clear" w:color="auto" w:fill="DCE6F1"/>
            <w:vAlign w:val="center"/>
            <w:hideMark/>
          </w:tcPr>
          <w:p w:rsidR="001063DF" w:rsidRPr="00377267" w:rsidRDefault="001063DF" w:rsidP="00825640">
            <w:pPr>
              <w:jc w:val="center"/>
              <w:rPr>
                <w:b/>
                <w:bCs/>
                <w:sz w:val="20"/>
              </w:rPr>
            </w:pPr>
            <w:r w:rsidRPr="00377267">
              <w:rPr>
                <w:b/>
                <w:bCs/>
                <w:sz w:val="20"/>
              </w:rPr>
              <w:t>Variazione in stanziamenti d'impegno</w:t>
            </w:r>
          </w:p>
        </w:tc>
      </w:tr>
      <w:tr w:rsidR="001063DF" w:rsidRPr="00377267" w:rsidTr="00825640">
        <w:trPr>
          <w:trHeight w:val="510"/>
          <w:tblHeader/>
        </w:trPr>
        <w:tc>
          <w:tcPr>
            <w:tcW w:w="0" w:type="auto"/>
            <w:vMerge/>
            <w:tcBorders>
              <w:top w:val="single" w:sz="4" w:space="0" w:color="auto"/>
              <w:left w:val="single" w:sz="4" w:space="0" w:color="auto"/>
              <w:bottom w:val="single" w:sz="4" w:space="0" w:color="000000"/>
              <w:right w:val="nil"/>
            </w:tcBorders>
            <w:vAlign w:val="center"/>
            <w:hideMark/>
          </w:tcPr>
          <w:p w:rsidR="001063DF" w:rsidRPr="00377267" w:rsidRDefault="001063DF" w:rsidP="00825640">
            <w:pPr>
              <w:rPr>
                <w:b/>
                <w:bCs/>
                <w:color w:val="000000"/>
                <w:sz w:val="16"/>
                <w:szCs w:val="16"/>
              </w:rPr>
            </w:pPr>
          </w:p>
        </w:tc>
        <w:tc>
          <w:tcPr>
            <w:tcW w:w="3755" w:type="dxa"/>
            <w:vMerge/>
            <w:tcBorders>
              <w:top w:val="single" w:sz="4" w:space="0" w:color="auto"/>
              <w:left w:val="single" w:sz="4" w:space="0" w:color="auto"/>
              <w:bottom w:val="single" w:sz="4" w:space="0" w:color="000000"/>
              <w:right w:val="single" w:sz="4" w:space="0" w:color="auto"/>
            </w:tcBorders>
            <w:vAlign w:val="center"/>
            <w:hideMark/>
          </w:tcPr>
          <w:p w:rsidR="001063DF" w:rsidRPr="00377267" w:rsidRDefault="001063DF" w:rsidP="00825640">
            <w:pPr>
              <w:rPr>
                <w:b/>
                <w:bCs/>
                <w:color w:val="000000"/>
                <w:sz w:val="20"/>
              </w:rPr>
            </w:pPr>
          </w:p>
        </w:tc>
        <w:tc>
          <w:tcPr>
            <w:tcW w:w="1418"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PB 2020 (inclusa la lettera rettificativa n. 1)</w:t>
            </w:r>
          </w:p>
        </w:tc>
        <w:tc>
          <w:tcPr>
            <w:tcW w:w="1559"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Bilancio 2020</w:t>
            </w:r>
          </w:p>
        </w:tc>
        <w:tc>
          <w:tcPr>
            <w:tcW w:w="1393" w:type="dxa"/>
            <w:tcBorders>
              <w:top w:val="nil"/>
              <w:left w:val="nil"/>
              <w:bottom w:val="single" w:sz="4" w:space="0" w:color="auto"/>
              <w:right w:val="single" w:sz="4" w:space="0" w:color="auto"/>
            </w:tcBorders>
            <w:shd w:val="clear" w:color="auto" w:fill="DCE6F1"/>
            <w:noWrap/>
            <w:vAlign w:val="center"/>
            <w:hideMark/>
          </w:tcPr>
          <w:p w:rsidR="001063DF" w:rsidRPr="00377267" w:rsidRDefault="001063DF" w:rsidP="00825640">
            <w:pPr>
              <w:jc w:val="center"/>
              <w:rPr>
                <w:b/>
                <w:bCs/>
                <w:color w:val="000000"/>
                <w:sz w:val="20"/>
              </w:rPr>
            </w:pPr>
            <w:r w:rsidRPr="00377267">
              <w:rPr>
                <w:b/>
                <w:bCs/>
                <w:color w:val="000000"/>
                <w:sz w:val="20"/>
              </w:rPr>
              <w:t>Differenza</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1.1.31</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Orizzonte 2020</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302 000 000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02 04 03 01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Conseguire un'economia efficiente sotto il profilo delle risorse e resistente ai cambiamenti climatici nonché un approvvigionamento sostenibile di materie prime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93 815 989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131 326 358</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37 510 369</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05 09 03 01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Garantire approvvigionamenti sufficienti di prodotti alimentari sicuri e di elevata qualità e altri bioprodotti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322 162 041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358 411 695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36 249 654</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06 03 03 01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Realizzare un sistema di trasporto europeo efficiente sotto il profilo delle risorse, rispettoso dell'ambiente, sicuro e continuo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82 293 876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102 593 682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20 299 806</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08 02 02 02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Migliorare l'accesso al capitale di rischio per investire nella ricerca e nell'innovazione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463 764 801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390 264 801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-73 500 000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08 02 03 01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Migliorare la salute e il benessere nell'intero arco della vita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648 685 745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675 046 838</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26 361 093</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08 02 03 03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Effettuare la transizione verso un sistema energetico affidabile, sostenibile e competitivo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378 723 375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437 834 269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59 110 894</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08 02 03 04</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Realizzare un sistema di trasporto europeo efficiente sotto il profilo delle risorse, rispettoso dell'ambiente, sicuro e senza soluzione di continuità</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266 184 054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291 118 104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24 934 050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08 02 03 05</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Conseguire un'economia efficiente sotto il profilo delle risorse e resistente ai cambiamenti climatici e un approvvigionamento sostenibile di materie prime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335 790 132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357 285 003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21 494 871</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08 02 04</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Diffondere l'eccellenza e ampliare la partecipazione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133 166 041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138 566 660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5 400 619</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08 02 07 32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Impresa comune per l'iniziativa in materia di medicinali innovativi 2 (IMI2)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249 947 970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243 447 970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-6 500 000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08 02 08</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Strumento per le PMI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587 742 199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659 742 199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72 000 000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09 04 01 01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Rafforzare la ricerca sulle tecnologie emergenti e future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446 952 871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453 036 200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6 083 329</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09 04 02 01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Leadership nelle tecnologie dell'informazione e della comunicazione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877 375 691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893 597 902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16 222 211</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09 04 03 01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Migliorare la salute e il benessere nell'intero arco della vita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179 751 775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187 862 880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8 111 105</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09 04 03 02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Promuovere società europee inclusive, innovative e riflessive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53 632 314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54 632 314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09 04 03 03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Promuovere società europee sicure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78 153 053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68 153 053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-10 000 000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15 03 01 01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Azioni Marie Skłodowska-Curie — Generare, sviluppare e trasferire nuove competenze, conoscenze e innovazione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1 024 532 312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1 032 643 417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8 111 105</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18 05 03 01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Promuovere società europee sicure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195 504 220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185 504 220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-10 000 000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32 04 03 01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Transizione a un sistema energetico affidabile, sostenibile e competitivo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397 880 594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456 991 488</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59 110 894</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1.1.32</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Programma Euratom di ricerca e formazione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-2 200 000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08 03 01 02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Euratom — Fissione nucleare e radioprotezione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74 754 023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73 354 023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-1 400 000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10 03 01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Attività Euratom di ricerca diretta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13 701 830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12 901 830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-800 000</w:t>
            </w:r>
          </w:p>
        </w:tc>
      </w:tr>
      <w:tr w:rsidR="001063DF" w:rsidRPr="00377267" w:rsidTr="00825640">
        <w:trPr>
          <w:trHeight w:val="54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1.1.4</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Programma per la competitività delle imprese e le piccole e medie imprese (COSME)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5 000 000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02 02 02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Migliorare l'accesso delle piccole e medie imprese (PMI) ai finanziamenti sotto forma di capitale proprio e di debito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264 160 000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269 160 000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5 000 000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1.1.5</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Istruzione, formazione e sport (Erasmus+)</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50 000 000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15 02 01 01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Promuovere l'eccellenza e la cooperazione nei settori dell'istruzione e della formazione europei e accrescere la loro rilevanza per il mercato del lavoro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2 497 651 602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2 538 161 453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40 509 851</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15 02 01 02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Promuovere l'eccellenza e la cooperazione nel settore della gioventù europea e la partecipazione dei giovani alla vita democratica in Europa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187 211 158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194 795 054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7 583 896</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15 02 02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Promuovere l'eccellenza nelle attività di insegnamento e di ricerca sull'integrazione europea mediante le attività "Jean Monnet" a livello mondiale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47 056 540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48 962 793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1 906 253</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1.1.6</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Occupazione e innovazione sociale (EaSI)</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-2 000 000</w:t>
            </w:r>
          </w:p>
        </w:tc>
      </w:tr>
      <w:tr w:rsidR="001063DF" w:rsidRPr="00377267" w:rsidTr="00825640">
        <w:trPr>
          <w:trHeight w:val="102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04 03 02 01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PROGRESS – Sostenere lo sviluppo, l'attuazione, il monitoraggio e la valutazione della politica sociale e dell'occupazione dell'Unione nonché della legislazione sulle condizioni di lavoro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78 400 000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77 900 000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-500 000</w:t>
            </w:r>
          </w:p>
        </w:tc>
      </w:tr>
      <w:tr w:rsidR="001063DF" w:rsidRPr="00377267" w:rsidTr="00825640">
        <w:trPr>
          <w:trHeight w:val="127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04 03 02 03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Microfinanza e imprenditoria sociale — Ampliare l'accesso ai finanziamenti, e la loro disponibilità, per le persone fisiche e giuridiche, soprattutto quelle più lontane dal mercato del lavoro, e per le imprese sociali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15 735 000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14 235 000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-1 500 000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1.1.81</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Energia</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95 800 000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32 02 01 01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Ulteriore integrazione del mercato interno dell'energia e dell'interoperabilità transfrontaliera delle reti elettriche e del gas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394 706 000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450 506 000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55 800 000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32 02 01 02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Miglioramento della sicurezza dell'approvvigionamento energetico nell'Unione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394 528 000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414 528 000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20 000 000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32 02 01 03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Contribuire allo sviluppo sostenibile e alla tutela dell'ambiente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394 498 586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414 498 586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20 000 000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1.1.82</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Trasporti</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37 000 000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06 02 01 01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Eliminare le strozzature, accrescere l'interoperabilità ferroviaria, realizzare i collegamenti mancanti e migliorare le tratte transfrontaliere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1 732 979 805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1 764 429 805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31 450 000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06 02 01 02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Garantire sistemi di trasporto efficienti e sostenibili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333 547 370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339 097 370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5 550 000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1.1.DAG</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Agenzie decentrate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-930 000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02 03 03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Agenzia europea per le sostanze chimiche — Legislazione sui prodotti chimici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59 827 657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58 827 657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02 05 11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Agenzia del GNSS europeo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34 232 619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34 602 619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370 000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04 03 13</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Centro europeo per lo sviluppo della formazione professionale (CEDEFOP)</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18 115 490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17 815 490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1.1.OTH</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Altre azioni e programmi</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26 02 01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Procedure di aggiudicazione e di pubblicazione degli appalti pubblici di forniture, di lavori e di servizi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7 200 000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1.1.PPPA</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Progetti pilota e azioni preparatorie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85 365 000</w:t>
            </w:r>
          </w:p>
        </w:tc>
      </w:tr>
      <w:tr w:rsidR="001063DF" w:rsidRPr="00377267" w:rsidTr="00825640">
        <w:trPr>
          <w:trHeight w:val="81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1.1.SPEC</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Azioni finanziate a titolo delle prerogative e delle competenze specifiche conferite alla Commissione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-1 500 000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02 03 01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Funzionamento e sviluppo del mercato interno per beni e servizi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32 027 000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31 027 000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-1 000 000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09 02 01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Definizione e attuazione della politica dell'Unione nel settore della comunicazione elettronica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3 815 000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3 315 000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sz w:val="20"/>
              </w:rPr>
            </w:pPr>
          </w:p>
        </w:tc>
        <w:tc>
          <w:tcPr>
            <w:tcW w:w="375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1063DF" w:rsidRPr="00377267" w:rsidRDefault="001063DF" w:rsidP="00825640">
            <w:pPr>
              <w:rPr>
                <w:b/>
                <w:bCs/>
                <w:sz w:val="20"/>
              </w:rPr>
            </w:pPr>
            <w:r w:rsidRPr="00377267">
              <w:rPr>
                <w:b/>
                <w:bCs/>
                <w:sz w:val="20"/>
              </w:rPr>
              <w:t>Totale</w:t>
            </w:r>
          </w:p>
        </w:tc>
        <w:tc>
          <w:tcPr>
            <w:tcW w:w="1418"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sz w:val="20"/>
              </w:rPr>
            </w:pPr>
          </w:p>
        </w:tc>
        <w:tc>
          <w:tcPr>
            <w:tcW w:w="1393"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jc w:val="right"/>
              <w:rPr>
                <w:b/>
                <w:bCs/>
                <w:sz w:val="20"/>
              </w:rPr>
            </w:pPr>
            <w:r w:rsidRPr="00377267">
              <w:rPr>
                <w:b/>
                <w:bCs/>
                <w:sz w:val="20"/>
              </w:rPr>
              <w:t>568 335 000</w:t>
            </w:r>
          </w:p>
        </w:tc>
      </w:tr>
    </w:tbl>
    <w:p w:rsidR="001063DF" w:rsidRPr="00377267" w:rsidRDefault="001063DF" w:rsidP="001063DF">
      <w:pPr>
        <w:spacing w:before="240" w:after="120"/>
        <w:jc w:val="both"/>
        <w:rPr>
          <w:szCs w:val="24"/>
        </w:rPr>
      </w:pPr>
      <w:r w:rsidRPr="00377267">
        <w:t>Di conseguenza, il livello di stanziamenti d'impegno concordato è fissato a 25 284,8 milioni di EUR, senza lasciare alcun margine al di sotto del massimale di spesa della sottorubrica 1a e facendo ricorso al margine globale per gli impegni per un importo pari a 93,8 milioni di EUR.</w:t>
      </w:r>
    </w:p>
    <w:p w:rsidR="001063DF" w:rsidRPr="00377267" w:rsidRDefault="001063DF" w:rsidP="001063DF">
      <w:pPr>
        <w:spacing w:before="240" w:after="120"/>
        <w:jc w:val="both"/>
      </w:pPr>
      <w:r w:rsidRPr="00377267">
        <w:t>Il comitato di conciliazione ha inoltre convenuto di non rendere nuovamente disponibili stanziamenti d'impegno conformemente all'articolo 15, paragrafo 3, del regolamento finanziario.</w:t>
      </w:r>
    </w:p>
    <w:p w:rsidR="001063DF" w:rsidRPr="00377267" w:rsidRDefault="001063DF" w:rsidP="001063DF">
      <w:pPr>
        <w:spacing w:before="120" w:after="120"/>
        <w:jc w:val="both"/>
        <w:rPr>
          <w:b/>
          <w:u w:val="single"/>
        </w:rPr>
      </w:pPr>
    </w:p>
    <w:p w:rsidR="001063DF" w:rsidRPr="00377267" w:rsidRDefault="001063DF" w:rsidP="001063DF">
      <w:pPr>
        <w:spacing w:before="120" w:after="120"/>
        <w:jc w:val="both"/>
        <w:rPr>
          <w:b/>
          <w:u w:val="single"/>
        </w:rPr>
      </w:pPr>
      <w:r w:rsidRPr="00377267">
        <w:rPr>
          <w:b/>
          <w:u w:val="single"/>
        </w:rPr>
        <w:t>Sottorubrica 1b – Coesione economica, sociale e territoriale</w:t>
      </w:r>
    </w:p>
    <w:p w:rsidR="0072469F" w:rsidRDefault="001063DF" w:rsidP="001063DF">
      <w:pPr>
        <w:spacing w:before="120"/>
        <w:jc w:val="both"/>
      </w:pPr>
      <w:r w:rsidRPr="00377267">
        <w:t xml:space="preserve">Gli stanziamenti d'impegno sono fissati al livello proposto dalla Commissione nel progetto di bilancio, quale modificato dalla lettera rettificativa n. 1/2020, integrando tuttavia l'adeguamento deciso in sede di comitato di conciliazione e figurante in dettaglio nella tabella in appresso: </w:t>
      </w:r>
    </w:p>
    <w:p w:rsidR="0072469F" w:rsidRDefault="0072469F">
      <w:pPr>
        <w:widowControl/>
      </w:pPr>
      <w:r>
        <w:br w:type="page"/>
      </w:r>
    </w:p>
    <w:p w:rsidR="001063DF" w:rsidRPr="00377267" w:rsidRDefault="001063DF" w:rsidP="001063DF">
      <w:pPr>
        <w:spacing w:before="120"/>
        <w:jc w:val="both"/>
      </w:pPr>
    </w:p>
    <w:tbl>
      <w:tblPr>
        <w:tblW w:w="9365" w:type="dxa"/>
        <w:tblInd w:w="108" w:type="dxa"/>
        <w:tblLook w:val="04A0" w:firstRow="1" w:lastRow="0" w:firstColumn="1" w:lastColumn="0" w:noHBand="0" w:noVBand="1"/>
      </w:tblPr>
      <w:tblGrid>
        <w:gridCol w:w="1240"/>
        <w:gridCol w:w="3755"/>
        <w:gridCol w:w="1418"/>
        <w:gridCol w:w="1559"/>
        <w:gridCol w:w="1393"/>
      </w:tblGrid>
      <w:tr w:rsidR="001063DF" w:rsidRPr="00377267" w:rsidTr="00825640">
        <w:trPr>
          <w:trHeight w:val="255"/>
        </w:trPr>
        <w:tc>
          <w:tcPr>
            <w:tcW w:w="1240" w:type="dxa"/>
            <w:noWrap/>
            <w:vAlign w:val="center"/>
            <w:hideMark/>
          </w:tcPr>
          <w:p w:rsidR="001063DF" w:rsidRPr="00377267" w:rsidRDefault="001063DF" w:rsidP="00825640"/>
        </w:tc>
        <w:tc>
          <w:tcPr>
            <w:tcW w:w="3755" w:type="dxa"/>
            <w:noWrap/>
            <w:vAlign w:val="bottom"/>
            <w:hideMark/>
          </w:tcPr>
          <w:p w:rsidR="001063DF" w:rsidRPr="00377267" w:rsidRDefault="001063DF" w:rsidP="00825640">
            <w:pPr>
              <w:rPr>
                <w:sz w:val="20"/>
              </w:rPr>
            </w:pPr>
          </w:p>
        </w:tc>
        <w:tc>
          <w:tcPr>
            <w:tcW w:w="1418" w:type="dxa"/>
            <w:noWrap/>
            <w:vAlign w:val="center"/>
            <w:hideMark/>
          </w:tcPr>
          <w:p w:rsidR="001063DF" w:rsidRPr="00377267" w:rsidRDefault="001063DF" w:rsidP="00825640">
            <w:pPr>
              <w:rPr>
                <w:sz w:val="20"/>
              </w:rPr>
            </w:pPr>
          </w:p>
        </w:tc>
        <w:tc>
          <w:tcPr>
            <w:tcW w:w="1559" w:type="dxa"/>
            <w:noWrap/>
            <w:vAlign w:val="center"/>
            <w:hideMark/>
          </w:tcPr>
          <w:p w:rsidR="001063DF" w:rsidRPr="00377267" w:rsidRDefault="001063DF" w:rsidP="00825640">
            <w:pPr>
              <w:rPr>
                <w:sz w:val="20"/>
              </w:rPr>
            </w:pPr>
          </w:p>
        </w:tc>
        <w:tc>
          <w:tcPr>
            <w:tcW w:w="1393" w:type="dxa"/>
            <w:noWrap/>
            <w:vAlign w:val="center"/>
            <w:hideMark/>
          </w:tcPr>
          <w:p w:rsidR="001063DF" w:rsidRPr="00377267" w:rsidRDefault="001063DF" w:rsidP="00825640">
            <w:pPr>
              <w:jc w:val="right"/>
              <w:rPr>
                <w:i/>
                <w:iCs/>
                <w:sz w:val="20"/>
              </w:rPr>
            </w:pPr>
            <w:r w:rsidRPr="00377267">
              <w:rPr>
                <w:i/>
                <w:iCs/>
                <w:sz w:val="20"/>
              </w:rPr>
              <w:t>In EUR</w:t>
            </w:r>
          </w:p>
        </w:tc>
      </w:tr>
      <w:tr w:rsidR="001063DF" w:rsidRPr="00377267" w:rsidTr="00825640">
        <w:trPr>
          <w:trHeight w:val="255"/>
        </w:trPr>
        <w:tc>
          <w:tcPr>
            <w:tcW w:w="1240" w:type="dxa"/>
            <w:vMerge w:val="restart"/>
            <w:tcBorders>
              <w:top w:val="single" w:sz="4" w:space="0" w:color="auto"/>
              <w:left w:val="single" w:sz="4" w:space="0" w:color="auto"/>
              <w:bottom w:val="single" w:sz="4" w:space="0" w:color="000000"/>
              <w:right w:val="nil"/>
            </w:tcBorders>
            <w:shd w:val="clear" w:color="auto" w:fill="DCE6F1"/>
            <w:vAlign w:val="center"/>
            <w:hideMark/>
          </w:tcPr>
          <w:p w:rsidR="001063DF" w:rsidRPr="00377267" w:rsidRDefault="001063DF" w:rsidP="00825640">
            <w:pPr>
              <w:jc w:val="center"/>
              <w:rPr>
                <w:b/>
                <w:bCs/>
                <w:color w:val="000000"/>
                <w:sz w:val="16"/>
                <w:szCs w:val="16"/>
              </w:rPr>
            </w:pPr>
            <w:r w:rsidRPr="00377267">
              <w:rPr>
                <w:b/>
                <w:bCs/>
                <w:color w:val="000000"/>
                <w:sz w:val="16"/>
                <w:szCs w:val="16"/>
              </w:rPr>
              <w:t>Linea di bilancio / Programma</w:t>
            </w:r>
          </w:p>
        </w:tc>
        <w:tc>
          <w:tcPr>
            <w:tcW w:w="3755" w:type="dxa"/>
            <w:vMerge w:val="restart"/>
            <w:tcBorders>
              <w:top w:val="single" w:sz="4" w:space="0" w:color="auto"/>
              <w:left w:val="single" w:sz="4" w:space="0" w:color="auto"/>
              <w:bottom w:val="single" w:sz="4" w:space="0" w:color="000000"/>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Nome</w:t>
            </w:r>
          </w:p>
        </w:tc>
        <w:tc>
          <w:tcPr>
            <w:tcW w:w="4370" w:type="dxa"/>
            <w:gridSpan w:val="3"/>
            <w:tcBorders>
              <w:top w:val="single" w:sz="4" w:space="0" w:color="auto"/>
              <w:left w:val="single" w:sz="4" w:space="0" w:color="auto"/>
              <w:bottom w:val="single" w:sz="4" w:space="0" w:color="auto"/>
              <w:right w:val="single" w:sz="4" w:space="0" w:color="000000"/>
            </w:tcBorders>
            <w:shd w:val="clear" w:color="auto" w:fill="DCE6F1"/>
            <w:vAlign w:val="center"/>
            <w:hideMark/>
          </w:tcPr>
          <w:p w:rsidR="001063DF" w:rsidRPr="00377267" w:rsidRDefault="001063DF" w:rsidP="00825640">
            <w:pPr>
              <w:jc w:val="center"/>
              <w:rPr>
                <w:b/>
                <w:bCs/>
                <w:sz w:val="20"/>
              </w:rPr>
            </w:pPr>
            <w:r w:rsidRPr="00377267">
              <w:rPr>
                <w:b/>
                <w:bCs/>
                <w:sz w:val="20"/>
              </w:rPr>
              <w:t>Variazione in stanziamenti d'impegno</w:t>
            </w:r>
          </w:p>
        </w:tc>
      </w:tr>
      <w:tr w:rsidR="001063DF" w:rsidRPr="00377267" w:rsidTr="00825640">
        <w:trPr>
          <w:trHeight w:val="510"/>
        </w:trPr>
        <w:tc>
          <w:tcPr>
            <w:tcW w:w="0" w:type="auto"/>
            <w:vMerge/>
            <w:tcBorders>
              <w:top w:val="single" w:sz="4" w:space="0" w:color="auto"/>
              <w:left w:val="single" w:sz="4" w:space="0" w:color="auto"/>
              <w:bottom w:val="single" w:sz="4" w:space="0" w:color="000000"/>
              <w:right w:val="nil"/>
            </w:tcBorders>
            <w:vAlign w:val="center"/>
            <w:hideMark/>
          </w:tcPr>
          <w:p w:rsidR="001063DF" w:rsidRPr="00377267" w:rsidRDefault="001063DF" w:rsidP="00825640">
            <w:pPr>
              <w:rPr>
                <w:b/>
                <w:bCs/>
                <w:color w:val="000000"/>
                <w:sz w:val="16"/>
                <w:szCs w:val="16"/>
              </w:rPr>
            </w:pPr>
          </w:p>
        </w:tc>
        <w:tc>
          <w:tcPr>
            <w:tcW w:w="3755" w:type="dxa"/>
            <w:vMerge/>
            <w:tcBorders>
              <w:top w:val="single" w:sz="4" w:space="0" w:color="auto"/>
              <w:left w:val="single" w:sz="4" w:space="0" w:color="auto"/>
              <w:bottom w:val="single" w:sz="4" w:space="0" w:color="000000"/>
              <w:right w:val="single" w:sz="4" w:space="0" w:color="auto"/>
            </w:tcBorders>
            <w:vAlign w:val="center"/>
            <w:hideMark/>
          </w:tcPr>
          <w:p w:rsidR="001063DF" w:rsidRPr="00377267" w:rsidRDefault="001063DF" w:rsidP="00825640">
            <w:pPr>
              <w:rPr>
                <w:b/>
                <w:bCs/>
                <w:color w:val="000000"/>
                <w:sz w:val="20"/>
              </w:rPr>
            </w:pPr>
          </w:p>
        </w:tc>
        <w:tc>
          <w:tcPr>
            <w:tcW w:w="1418"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PB 2020 (inclusa la lettera rettificativa n. 1)</w:t>
            </w:r>
          </w:p>
        </w:tc>
        <w:tc>
          <w:tcPr>
            <w:tcW w:w="1559"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Bilancio 2020</w:t>
            </w:r>
          </w:p>
        </w:tc>
        <w:tc>
          <w:tcPr>
            <w:tcW w:w="1393" w:type="dxa"/>
            <w:tcBorders>
              <w:top w:val="nil"/>
              <w:left w:val="nil"/>
              <w:bottom w:val="single" w:sz="4" w:space="0" w:color="auto"/>
              <w:right w:val="single" w:sz="4" w:space="0" w:color="auto"/>
            </w:tcBorders>
            <w:shd w:val="clear" w:color="auto" w:fill="DCE6F1"/>
            <w:noWrap/>
            <w:vAlign w:val="center"/>
            <w:hideMark/>
          </w:tcPr>
          <w:p w:rsidR="001063DF" w:rsidRPr="00377267" w:rsidRDefault="001063DF" w:rsidP="00825640">
            <w:pPr>
              <w:jc w:val="center"/>
              <w:rPr>
                <w:b/>
                <w:bCs/>
                <w:color w:val="000000"/>
                <w:sz w:val="20"/>
              </w:rPr>
            </w:pPr>
            <w:r w:rsidRPr="00377267">
              <w:rPr>
                <w:b/>
                <w:bCs/>
                <w:color w:val="000000"/>
                <w:sz w:val="20"/>
              </w:rPr>
              <w:t>Differenza</w:t>
            </w:r>
          </w:p>
        </w:tc>
      </w:tr>
      <w:tr w:rsidR="001063DF" w:rsidRPr="00377267" w:rsidTr="00825640">
        <w:trPr>
          <w:trHeight w:val="54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1.2.5</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Iniziativa per l'occupazione giovanile (dotazione complementare specifica)</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28 333 333</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04 02 64</w:t>
            </w:r>
          </w:p>
        </w:tc>
        <w:tc>
          <w:tcPr>
            <w:tcW w:w="3755"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Iniziativa per l'occupazione giovanile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116 666 667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145 000 000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28 333 333</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1.2.PPPA</w:t>
            </w:r>
          </w:p>
        </w:tc>
        <w:tc>
          <w:tcPr>
            <w:tcW w:w="3755"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Progetti pilota e azioni preparatorie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5 600 000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b/>
                <w:bCs/>
                <w:i/>
                <w:iCs/>
                <w:sz w:val="20"/>
              </w:rPr>
            </w:pPr>
          </w:p>
        </w:tc>
        <w:tc>
          <w:tcPr>
            <w:tcW w:w="375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1063DF" w:rsidRPr="00377267" w:rsidRDefault="001063DF" w:rsidP="00825640">
            <w:pPr>
              <w:rPr>
                <w:b/>
                <w:bCs/>
                <w:sz w:val="20"/>
              </w:rPr>
            </w:pPr>
            <w:r w:rsidRPr="00377267">
              <w:rPr>
                <w:b/>
                <w:bCs/>
                <w:sz w:val="20"/>
              </w:rPr>
              <w:t>Totale</w:t>
            </w:r>
          </w:p>
        </w:tc>
        <w:tc>
          <w:tcPr>
            <w:tcW w:w="1418"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sz w:val="20"/>
              </w:rPr>
            </w:pPr>
          </w:p>
        </w:tc>
        <w:tc>
          <w:tcPr>
            <w:tcW w:w="1393"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jc w:val="right"/>
              <w:rPr>
                <w:b/>
                <w:bCs/>
                <w:sz w:val="20"/>
              </w:rPr>
            </w:pPr>
            <w:r w:rsidRPr="00377267">
              <w:rPr>
                <w:b/>
                <w:bCs/>
                <w:sz w:val="20"/>
              </w:rPr>
              <w:t>33 933 333</w:t>
            </w:r>
          </w:p>
        </w:tc>
      </w:tr>
    </w:tbl>
    <w:p w:rsidR="001063DF" w:rsidRPr="00377267" w:rsidRDefault="001063DF" w:rsidP="001063DF">
      <w:pPr>
        <w:spacing w:before="240" w:after="120"/>
        <w:jc w:val="both"/>
        <w:rPr>
          <w:szCs w:val="24"/>
        </w:rPr>
      </w:pPr>
      <w:r w:rsidRPr="00377267">
        <w:t>Di conseguenza, il livello di stanziamenti d'impegno è fissato a 58 645,8 milioni di EUR, senza lasciare alcun margine al di sotto del massimale di spesa della sottorubrica 1b e facendo ricorso al margine globale per gli impegni per un importo pari a 175,8 milioni di EUR.</w:t>
      </w:r>
    </w:p>
    <w:p w:rsidR="001063DF" w:rsidRPr="00377267" w:rsidRDefault="001063DF" w:rsidP="001063DF">
      <w:pPr>
        <w:rPr>
          <w:b/>
          <w:u w:val="single"/>
        </w:rPr>
      </w:pPr>
      <w:r w:rsidRPr="00377267">
        <w:br w:type="page"/>
      </w:r>
    </w:p>
    <w:p w:rsidR="001063DF" w:rsidRPr="00377267" w:rsidRDefault="001063DF" w:rsidP="001063DF">
      <w:pPr>
        <w:spacing w:before="120" w:after="120"/>
        <w:jc w:val="both"/>
      </w:pPr>
      <w:r w:rsidRPr="00377267">
        <w:rPr>
          <w:b/>
          <w:u w:val="single"/>
        </w:rPr>
        <w:t>Rubrica 2 – Crescita sostenibile: Risorse naturali</w:t>
      </w:r>
    </w:p>
    <w:p w:rsidR="001063DF" w:rsidRPr="00377267" w:rsidRDefault="001063DF" w:rsidP="001063DF">
      <w:pPr>
        <w:spacing w:before="120"/>
        <w:jc w:val="both"/>
      </w:pPr>
      <w:r w:rsidRPr="00377267">
        <w:t xml:space="preserve">Gli stanziamenti d'impegno sono fissati al livello proposto dalla Commissione nel progetto di bilancio, quale modificato dalla lettera rettificativa n. 1/2020, integrando tuttavia gli adeguamenti decisi in sede di comitato di conciliazione e figuranti in dettaglio nella tabella in appresso: </w:t>
      </w:r>
    </w:p>
    <w:tbl>
      <w:tblPr>
        <w:tblW w:w="9688" w:type="dxa"/>
        <w:tblInd w:w="108" w:type="dxa"/>
        <w:tblLook w:val="04A0" w:firstRow="1" w:lastRow="0" w:firstColumn="1" w:lastColumn="0" w:noHBand="0" w:noVBand="1"/>
      </w:tblPr>
      <w:tblGrid>
        <w:gridCol w:w="1248"/>
        <w:gridCol w:w="4068"/>
        <w:gridCol w:w="1488"/>
        <w:gridCol w:w="1488"/>
        <w:gridCol w:w="1396"/>
      </w:tblGrid>
      <w:tr w:rsidR="001063DF" w:rsidRPr="00377267" w:rsidTr="00825640">
        <w:trPr>
          <w:trHeight w:val="255"/>
        </w:trPr>
        <w:tc>
          <w:tcPr>
            <w:tcW w:w="1248" w:type="dxa"/>
            <w:noWrap/>
            <w:vAlign w:val="center"/>
            <w:hideMark/>
          </w:tcPr>
          <w:p w:rsidR="001063DF" w:rsidRPr="00377267" w:rsidRDefault="001063DF" w:rsidP="00825640"/>
        </w:tc>
        <w:tc>
          <w:tcPr>
            <w:tcW w:w="4068" w:type="dxa"/>
            <w:noWrap/>
            <w:vAlign w:val="bottom"/>
            <w:hideMark/>
          </w:tcPr>
          <w:p w:rsidR="001063DF" w:rsidRPr="00377267" w:rsidRDefault="001063DF" w:rsidP="00825640">
            <w:pPr>
              <w:rPr>
                <w:sz w:val="20"/>
              </w:rPr>
            </w:pPr>
          </w:p>
        </w:tc>
        <w:tc>
          <w:tcPr>
            <w:tcW w:w="1488" w:type="dxa"/>
            <w:noWrap/>
            <w:vAlign w:val="center"/>
            <w:hideMark/>
          </w:tcPr>
          <w:p w:rsidR="001063DF" w:rsidRPr="00377267" w:rsidRDefault="001063DF" w:rsidP="00825640">
            <w:pPr>
              <w:rPr>
                <w:sz w:val="20"/>
              </w:rPr>
            </w:pPr>
          </w:p>
        </w:tc>
        <w:tc>
          <w:tcPr>
            <w:tcW w:w="1488" w:type="dxa"/>
            <w:noWrap/>
            <w:vAlign w:val="center"/>
            <w:hideMark/>
          </w:tcPr>
          <w:p w:rsidR="001063DF" w:rsidRPr="00377267" w:rsidRDefault="001063DF" w:rsidP="00825640">
            <w:pPr>
              <w:rPr>
                <w:sz w:val="20"/>
              </w:rPr>
            </w:pPr>
          </w:p>
        </w:tc>
        <w:tc>
          <w:tcPr>
            <w:tcW w:w="1396" w:type="dxa"/>
            <w:noWrap/>
            <w:vAlign w:val="center"/>
            <w:hideMark/>
          </w:tcPr>
          <w:p w:rsidR="001063DF" w:rsidRPr="00377267" w:rsidRDefault="001063DF" w:rsidP="00825640">
            <w:pPr>
              <w:jc w:val="right"/>
              <w:rPr>
                <w:i/>
                <w:iCs/>
                <w:sz w:val="20"/>
              </w:rPr>
            </w:pPr>
            <w:r w:rsidRPr="00377267">
              <w:rPr>
                <w:i/>
                <w:iCs/>
                <w:sz w:val="20"/>
              </w:rPr>
              <w:t>In EUR</w:t>
            </w:r>
          </w:p>
        </w:tc>
      </w:tr>
      <w:tr w:rsidR="001063DF" w:rsidRPr="00377267" w:rsidTr="00825640">
        <w:trPr>
          <w:trHeight w:val="255"/>
        </w:trPr>
        <w:tc>
          <w:tcPr>
            <w:tcW w:w="1248" w:type="dxa"/>
            <w:vMerge w:val="restart"/>
            <w:tcBorders>
              <w:top w:val="single" w:sz="4" w:space="0" w:color="auto"/>
              <w:left w:val="single" w:sz="4" w:space="0" w:color="auto"/>
              <w:bottom w:val="single" w:sz="4" w:space="0" w:color="000000"/>
              <w:right w:val="nil"/>
            </w:tcBorders>
            <w:shd w:val="clear" w:color="auto" w:fill="DCE6F1"/>
            <w:vAlign w:val="center"/>
            <w:hideMark/>
          </w:tcPr>
          <w:p w:rsidR="001063DF" w:rsidRPr="00377267" w:rsidRDefault="001063DF" w:rsidP="00825640">
            <w:pPr>
              <w:jc w:val="center"/>
              <w:rPr>
                <w:b/>
                <w:bCs/>
                <w:color w:val="000000"/>
                <w:sz w:val="16"/>
                <w:szCs w:val="16"/>
              </w:rPr>
            </w:pPr>
            <w:r w:rsidRPr="00377267">
              <w:rPr>
                <w:b/>
                <w:bCs/>
                <w:color w:val="000000"/>
                <w:sz w:val="16"/>
                <w:szCs w:val="16"/>
              </w:rPr>
              <w:t>Linea di bilancio / Programma</w:t>
            </w:r>
          </w:p>
        </w:tc>
        <w:tc>
          <w:tcPr>
            <w:tcW w:w="4068" w:type="dxa"/>
            <w:vMerge w:val="restart"/>
            <w:tcBorders>
              <w:top w:val="single" w:sz="4" w:space="0" w:color="auto"/>
              <w:left w:val="single" w:sz="4" w:space="0" w:color="auto"/>
              <w:bottom w:val="single" w:sz="4" w:space="0" w:color="000000"/>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Nome</w:t>
            </w:r>
          </w:p>
        </w:tc>
        <w:tc>
          <w:tcPr>
            <w:tcW w:w="4372" w:type="dxa"/>
            <w:gridSpan w:val="3"/>
            <w:tcBorders>
              <w:top w:val="single" w:sz="4" w:space="0" w:color="auto"/>
              <w:left w:val="single" w:sz="4" w:space="0" w:color="auto"/>
              <w:bottom w:val="single" w:sz="4" w:space="0" w:color="auto"/>
              <w:right w:val="single" w:sz="4" w:space="0" w:color="000000"/>
            </w:tcBorders>
            <w:shd w:val="clear" w:color="auto" w:fill="DCE6F1"/>
            <w:vAlign w:val="center"/>
            <w:hideMark/>
          </w:tcPr>
          <w:p w:rsidR="001063DF" w:rsidRPr="00377267" w:rsidRDefault="001063DF" w:rsidP="00825640">
            <w:pPr>
              <w:jc w:val="center"/>
              <w:rPr>
                <w:b/>
                <w:bCs/>
                <w:sz w:val="20"/>
              </w:rPr>
            </w:pPr>
            <w:r w:rsidRPr="00377267">
              <w:rPr>
                <w:b/>
                <w:bCs/>
                <w:sz w:val="20"/>
              </w:rPr>
              <w:t>Variazione in stanziamenti d'impegno</w:t>
            </w:r>
          </w:p>
        </w:tc>
      </w:tr>
      <w:tr w:rsidR="001063DF" w:rsidRPr="00377267" w:rsidTr="00825640">
        <w:trPr>
          <w:trHeight w:val="510"/>
        </w:trPr>
        <w:tc>
          <w:tcPr>
            <w:tcW w:w="0" w:type="auto"/>
            <w:vMerge/>
            <w:tcBorders>
              <w:top w:val="single" w:sz="4" w:space="0" w:color="auto"/>
              <w:left w:val="single" w:sz="4" w:space="0" w:color="auto"/>
              <w:bottom w:val="single" w:sz="4" w:space="0" w:color="000000"/>
              <w:right w:val="nil"/>
            </w:tcBorders>
            <w:vAlign w:val="center"/>
            <w:hideMark/>
          </w:tcPr>
          <w:p w:rsidR="001063DF" w:rsidRPr="00377267" w:rsidRDefault="001063DF" w:rsidP="00825640">
            <w:pPr>
              <w:rP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063DF" w:rsidRPr="00377267" w:rsidRDefault="001063DF" w:rsidP="00825640">
            <w:pPr>
              <w:rPr>
                <w:b/>
                <w:bCs/>
                <w:color w:val="000000"/>
                <w:sz w:val="20"/>
              </w:rPr>
            </w:pPr>
          </w:p>
        </w:tc>
        <w:tc>
          <w:tcPr>
            <w:tcW w:w="1488"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PB 2020 (inclusa la lettera rettificativa n. 1)</w:t>
            </w:r>
          </w:p>
        </w:tc>
        <w:tc>
          <w:tcPr>
            <w:tcW w:w="1488"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Bilancio 2020</w:t>
            </w:r>
          </w:p>
        </w:tc>
        <w:tc>
          <w:tcPr>
            <w:tcW w:w="1396" w:type="dxa"/>
            <w:tcBorders>
              <w:top w:val="nil"/>
              <w:left w:val="nil"/>
              <w:bottom w:val="single" w:sz="4" w:space="0" w:color="auto"/>
              <w:right w:val="single" w:sz="4" w:space="0" w:color="auto"/>
            </w:tcBorders>
            <w:shd w:val="clear" w:color="auto" w:fill="DCE6F1"/>
            <w:noWrap/>
            <w:vAlign w:val="center"/>
            <w:hideMark/>
          </w:tcPr>
          <w:p w:rsidR="001063DF" w:rsidRPr="00377267" w:rsidRDefault="001063DF" w:rsidP="00825640">
            <w:pPr>
              <w:jc w:val="center"/>
              <w:rPr>
                <w:b/>
                <w:bCs/>
                <w:color w:val="000000"/>
                <w:sz w:val="20"/>
              </w:rPr>
            </w:pPr>
            <w:r w:rsidRPr="00377267">
              <w:rPr>
                <w:b/>
                <w:bCs/>
                <w:color w:val="000000"/>
                <w:sz w:val="20"/>
              </w:rPr>
              <w:t>Differenza</w:t>
            </w:r>
          </w:p>
        </w:tc>
      </w:tr>
      <w:tr w:rsidR="001063DF" w:rsidRPr="00377267" w:rsidTr="00825640">
        <w:trPr>
          <w:trHeight w:val="540"/>
        </w:trPr>
        <w:tc>
          <w:tcPr>
            <w:tcW w:w="1248"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2.0.10</w:t>
            </w:r>
          </w:p>
        </w:tc>
        <w:tc>
          <w:tcPr>
            <w:tcW w:w="4068"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Fondo europeo agricolo di garanzia (FEAGA) - Spese connesse al mercato e pagamenti diretti</w:t>
            </w:r>
          </w:p>
        </w:tc>
        <w:tc>
          <w:tcPr>
            <w:tcW w:w="148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8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6"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-72 000 000</w:t>
            </w:r>
          </w:p>
        </w:tc>
      </w:tr>
      <w:tr w:rsidR="001063DF" w:rsidRPr="00377267" w:rsidTr="00825640">
        <w:trPr>
          <w:trHeight w:val="510"/>
        </w:trPr>
        <w:tc>
          <w:tcPr>
            <w:tcW w:w="124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05 03 01 10</w:t>
            </w:r>
          </w:p>
        </w:tc>
        <w:tc>
          <w:tcPr>
            <w:tcW w:w="4068"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Regime di pagamento di base</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16 189 000 000</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16 117 000 000</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-72 000 000</w:t>
            </w:r>
          </w:p>
        </w:tc>
      </w:tr>
      <w:tr w:rsidR="001063DF" w:rsidRPr="00377267" w:rsidTr="00825640">
        <w:trPr>
          <w:trHeight w:val="270"/>
        </w:trPr>
        <w:tc>
          <w:tcPr>
            <w:tcW w:w="1248"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2.0.4</w:t>
            </w:r>
          </w:p>
        </w:tc>
        <w:tc>
          <w:tcPr>
            <w:tcW w:w="4068"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Ambiente e azione per il clima (LIFE)</w:t>
            </w:r>
          </w:p>
        </w:tc>
        <w:tc>
          <w:tcPr>
            <w:tcW w:w="148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8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6"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10 000 000</w:t>
            </w:r>
          </w:p>
        </w:tc>
      </w:tr>
      <w:tr w:rsidR="001063DF" w:rsidRPr="00377267" w:rsidTr="00825640">
        <w:trPr>
          <w:trHeight w:val="255"/>
        </w:trPr>
        <w:tc>
          <w:tcPr>
            <w:tcW w:w="124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34 02 01</w:t>
            </w:r>
          </w:p>
        </w:tc>
        <w:tc>
          <w:tcPr>
            <w:tcW w:w="4068"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Ridurre le emissioni di gas serra dell'Unione</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80 328 388</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85 883 944</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5 555 556</w:t>
            </w:r>
          </w:p>
        </w:tc>
      </w:tr>
      <w:tr w:rsidR="001063DF" w:rsidRPr="00377267" w:rsidTr="00825640">
        <w:trPr>
          <w:trHeight w:val="255"/>
        </w:trPr>
        <w:tc>
          <w:tcPr>
            <w:tcW w:w="124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34 02 02</w:t>
            </w:r>
          </w:p>
        </w:tc>
        <w:tc>
          <w:tcPr>
            <w:tcW w:w="4068"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Accrescere la resilienza dell'Unione ai cambiamenti climatici</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44 350 000</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47 524 603</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3 174 603</w:t>
            </w:r>
          </w:p>
        </w:tc>
      </w:tr>
      <w:tr w:rsidR="001063DF" w:rsidRPr="00377267" w:rsidTr="00825640">
        <w:trPr>
          <w:trHeight w:val="255"/>
        </w:trPr>
        <w:tc>
          <w:tcPr>
            <w:tcW w:w="124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34 02 03</w:t>
            </w:r>
          </w:p>
        </w:tc>
        <w:tc>
          <w:tcPr>
            <w:tcW w:w="4068"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Migliorare la governance e l'informazione in materia di clima a tutti i livelli</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16 298 500</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17 568 341</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1 269 841</w:t>
            </w:r>
          </w:p>
        </w:tc>
      </w:tr>
      <w:tr w:rsidR="001063DF" w:rsidRPr="00377267" w:rsidTr="00825640">
        <w:trPr>
          <w:trHeight w:val="270"/>
        </w:trPr>
        <w:tc>
          <w:tcPr>
            <w:tcW w:w="1248"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2.0.DAG</w:t>
            </w:r>
          </w:p>
        </w:tc>
        <w:tc>
          <w:tcPr>
            <w:tcW w:w="4068"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Agenzie decentrate</w:t>
            </w:r>
          </w:p>
        </w:tc>
        <w:tc>
          <w:tcPr>
            <w:tcW w:w="148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8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6"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1 300 000</w:t>
            </w:r>
          </w:p>
        </w:tc>
      </w:tr>
      <w:tr w:rsidR="001063DF" w:rsidRPr="00377267" w:rsidTr="00825640">
        <w:trPr>
          <w:trHeight w:val="255"/>
        </w:trPr>
        <w:tc>
          <w:tcPr>
            <w:tcW w:w="124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07 02 06</w:t>
            </w:r>
          </w:p>
        </w:tc>
        <w:tc>
          <w:tcPr>
            <w:tcW w:w="4068"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Agenzia europea dell'ambiente</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40 418 782</w:t>
            </w:r>
          </w:p>
        </w:tc>
        <w:tc>
          <w:tcPr>
            <w:tcW w:w="148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41 718 782</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1 300 000</w:t>
            </w:r>
          </w:p>
        </w:tc>
      </w:tr>
      <w:tr w:rsidR="001063DF" w:rsidRPr="00377267" w:rsidTr="00825640">
        <w:trPr>
          <w:trHeight w:val="270"/>
        </w:trPr>
        <w:tc>
          <w:tcPr>
            <w:tcW w:w="1248"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2.0.PPPA</w:t>
            </w:r>
          </w:p>
        </w:tc>
        <w:tc>
          <w:tcPr>
            <w:tcW w:w="4068"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Progetti pilota e azioni preparatorie</w:t>
            </w:r>
          </w:p>
        </w:tc>
        <w:tc>
          <w:tcPr>
            <w:tcW w:w="148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8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6"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22 514 881</w:t>
            </w:r>
          </w:p>
        </w:tc>
      </w:tr>
      <w:tr w:rsidR="001063DF" w:rsidRPr="00377267" w:rsidTr="00825640">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b/>
                <w:bCs/>
                <w:i/>
                <w:iCs/>
                <w:sz w:val="20"/>
              </w:rPr>
            </w:pPr>
          </w:p>
        </w:tc>
        <w:tc>
          <w:tcPr>
            <w:tcW w:w="4068"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1063DF" w:rsidRPr="00377267" w:rsidRDefault="001063DF" w:rsidP="00825640">
            <w:pPr>
              <w:rPr>
                <w:b/>
                <w:bCs/>
                <w:sz w:val="20"/>
              </w:rPr>
            </w:pPr>
            <w:r w:rsidRPr="00377267">
              <w:rPr>
                <w:b/>
                <w:bCs/>
                <w:sz w:val="20"/>
              </w:rPr>
              <w:t>Totale</w:t>
            </w:r>
          </w:p>
        </w:tc>
        <w:tc>
          <w:tcPr>
            <w:tcW w:w="1488"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b/>
                <w:bCs/>
                <w:sz w:val="20"/>
              </w:rPr>
            </w:pPr>
          </w:p>
        </w:tc>
        <w:tc>
          <w:tcPr>
            <w:tcW w:w="1488"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sz w:val="20"/>
              </w:rPr>
            </w:pPr>
          </w:p>
        </w:tc>
        <w:tc>
          <w:tcPr>
            <w:tcW w:w="1396"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jc w:val="right"/>
              <w:rPr>
                <w:b/>
                <w:bCs/>
                <w:sz w:val="20"/>
              </w:rPr>
            </w:pPr>
            <w:r w:rsidRPr="00377267">
              <w:rPr>
                <w:b/>
                <w:bCs/>
                <w:sz w:val="20"/>
              </w:rPr>
              <w:t>-38 185 119</w:t>
            </w:r>
          </w:p>
        </w:tc>
      </w:tr>
    </w:tbl>
    <w:p w:rsidR="001063DF" w:rsidRPr="00377267" w:rsidRDefault="001063DF" w:rsidP="001063DF">
      <w:pPr>
        <w:spacing w:before="120" w:after="120"/>
        <w:jc w:val="both"/>
        <w:rPr>
          <w:b/>
          <w:szCs w:val="24"/>
          <w:u w:val="single"/>
        </w:rPr>
      </w:pPr>
      <w:r w:rsidRPr="00377267">
        <w:t>Di conseguenza, il livello di stanziamenti d'impegno concordato è fissato a 59 907,0 milioni di EUR, lasciando un margine di 514,0 milioni di EUR al di sotto del massimale di spesa della rubrica 2.</w:t>
      </w:r>
    </w:p>
    <w:p w:rsidR="001063DF" w:rsidRPr="00377267" w:rsidRDefault="001063DF" w:rsidP="001063DF">
      <w:pPr>
        <w:spacing w:before="120" w:after="120"/>
        <w:jc w:val="both"/>
        <w:rPr>
          <w:b/>
          <w:u w:val="single"/>
        </w:rPr>
      </w:pPr>
    </w:p>
    <w:p w:rsidR="001063DF" w:rsidRPr="00377267" w:rsidRDefault="001063DF" w:rsidP="001063DF">
      <w:pPr>
        <w:spacing w:before="120" w:after="120"/>
        <w:jc w:val="both"/>
        <w:rPr>
          <w:b/>
          <w:u w:val="single"/>
        </w:rPr>
      </w:pPr>
      <w:r w:rsidRPr="00377267">
        <w:rPr>
          <w:b/>
          <w:u w:val="single"/>
        </w:rPr>
        <w:t>Rubrica 3 – Sicurezza e cittadinanza</w:t>
      </w:r>
    </w:p>
    <w:p w:rsidR="001063DF" w:rsidRPr="00377267" w:rsidRDefault="001063DF" w:rsidP="001063DF">
      <w:pPr>
        <w:spacing w:before="120"/>
        <w:jc w:val="both"/>
      </w:pPr>
      <w:r w:rsidRPr="00377267">
        <w:t xml:space="preserve">Gli stanziamenti d'impegno sono fissati al livello proposto dalla Commissione nel progetto di bilancio, quale modificato dalla lettera rettificativa n. 1/2020, integrando tuttavia gli adeguamenti decisi in sede di comitato di conciliazione e figuranti in dettaglio nella tabella in appresso: </w:t>
      </w:r>
    </w:p>
    <w:tbl>
      <w:tblPr>
        <w:tblW w:w="9365" w:type="dxa"/>
        <w:tblInd w:w="108" w:type="dxa"/>
        <w:tblLook w:val="04A0" w:firstRow="1" w:lastRow="0" w:firstColumn="1" w:lastColumn="0" w:noHBand="0" w:noVBand="1"/>
      </w:tblPr>
      <w:tblGrid>
        <w:gridCol w:w="1240"/>
        <w:gridCol w:w="3897"/>
        <w:gridCol w:w="1418"/>
        <w:gridCol w:w="1417"/>
        <w:gridCol w:w="1393"/>
      </w:tblGrid>
      <w:tr w:rsidR="001063DF" w:rsidRPr="00377267" w:rsidTr="00825640">
        <w:trPr>
          <w:trHeight w:val="255"/>
          <w:tblHeader/>
        </w:trPr>
        <w:tc>
          <w:tcPr>
            <w:tcW w:w="1240" w:type="dxa"/>
            <w:noWrap/>
            <w:vAlign w:val="center"/>
            <w:hideMark/>
          </w:tcPr>
          <w:p w:rsidR="001063DF" w:rsidRPr="00377267" w:rsidRDefault="001063DF" w:rsidP="00825640"/>
        </w:tc>
        <w:tc>
          <w:tcPr>
            <w:tcW w:w="3897" w:type="dxa"/>
            <w:noWrap/>
            <w:vAlign w:val="bottom"/>
            <w:hideMark/>
          </w:tcPr>
          <w:p w:rsidR="001063DF" w:rsidRPr="00377267" w:rsidRDefault="001063DF" w:rsidP="00825640">
            <w:pPr>
              <w:rPr>
                <w:sz w:val="20"/>
              </w:rPr>
            </w:pPr>
          </w:p>
        </w:tc>
        <w:tc>
          <w:tcPr>
            <w:tcW w:w="1418" w:type="dxa"/>
            <w:noWrap/>
            <w:vAlign w:val="center"/>
            <w:hideMark/>
          </w:tcPr>
          <w:p w:rsidR="001063DF" w:rsidRPr="00377267" w:rsidRDefault="001063DF" w:rsidP="00825640">
            <w:pPr>
              <w:rPr>
                <w:sz w:val="20"/>
              </w:rPr>
            </w:pPr>
          </w:p>
        </w:tc>
        <w:tc>
          <w:tcPr>
            <w:tcW w:w="1417" w:type="dxa"/>
            <w:noWrap/>
            <w:vAlign w:val="center"/>
            <w:hideMark/>
          </w:tcPr>
          <w:p w:rsidR="001063DF" w:rsidRPr="00377267" w:rsidRDefault="001063DF" w:rsidP="00825640">
            <w:pPr>
              <w:rPr>
                <w:sz w:val="20"/>
              </w:rPr>
            </w:pPr>
          </w:p>
        </w:tc>
        <w:tc>
          <w:tcPr>
            <w:tcW w:w="1393" w:type="dxa"/>
            <w:noWrap/>
            <w:vAlign w:val="center"/>
            <w:hideMark/>
          </w:tcPr>
          <w:p w:rsidR="001063DF" w:rsidRPr="00377267" w:rsidRDefault="001063DF" w:rsidP="00825640">
            <w:pPr>
              <w:jc w:val="right"/>
              <w:rPr>
                <w:i/>
                <w:iCs/>
                <w:sz w:val="20"/>
              </w:rPr>
            </w:pPr>
            <w:r w:rsidRPr="00377267">
              <w:rPr>
                <w:i/>
                <w:iCs/>
                <w:sz w:val="20"/>
              </w:rPr>
              <w:t>In EUR</w:t>
            </w:r>
          </w:p>
        </w:tc>
      </w:tr>
      <w:tr w:rsidR="001063DF" w:rsidRPr="00377267" w:rsidTr="00825640">
        <w:trPr>
          <w:trHeight w:val="255"/>
          <w:tblHeader/>
        </w:trPr>
        <w:tc>
          <w:tcPr>
            <w:tcW w:w="1240" w:type="dxa"/>
            <w:vMerge w:val="restart"/>
            <w:tcBorders>
              <w:top w:val="single" w:sz="4" w:space="0" w:color="auto"/>
              <w:left w:val="single" w:sz="4" w:space="0" w:color="auto"/>
              <w:bottom w:val="single" w:sz="4" w:space="0" w:color="000000"/>
              <w:right w:val="nil"/>
            </w:tcBorders>
            <w:shd w:val="clear" w:color="auto" w:fill="DCE6F1"/>
            <w:vAlign w:val="center"/>
            <w:hideMark/>
          </w:tcPr>
          <w:p w:rsidR="001063DF" w:rsidRPr="00377267" w:rsidRDefault="001063DF" w:rsidP="00825640">
            <w:pPr>
              <w:jc w:val="center"/>
              <w:rPr>
                <w:b/>
                <w:bCs/>
                <w:color w:val="000000"/>
                <w:sz w:val="16"/>
                <w:szCs w:val="16"/>
              </w:rPr>
            </w:pPr>
            <w:r w:rsidRPr="00377267">
              <w:rPr>
                <w:b/>
                <w:bCs/>
                <w:color w:val="000000"/>
                <w:sz w:val="16"/>
                <w:szCs w:val="16"/>
              </w:rPr>
              <w:t>Linea di bilancio / Programma</w:t>
            </w:r>
          </w:p>
        </w:tc>
        <w:tc>
          <w:tcPr>
            <w:tcW w:w="3897" w:type="dxa"/>
            <w:vMerge w:val="restart"/>
            <w:tcBorders>
              <w:top w:val="single" w:sz="4" w:space="0" w:color="auto"/>
              <w:left w:val="single" w:sz="4" w:space="0" w:color="auto"/>
              <w:bottom w:val="single" w:sz="4" w:space="0" w:color="000000"/>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Nome</w:t>
            </w:r>
          </w:p>
        </w:tc>
        <w:tc>
          <w:tcPr>
            <w:tcW w:w="4228" w:type="dxa"/>
            <w:gridSpan w:val="3"/>
            <w:tcBorders>
              <w:top w:val="single" w:sz="4" w:space="0" w:color="auto"/>
              <w:left w:val="single" w:sz="4" w:space="0" w:color="auto"/>
              <w:bottom w:val="single" w:sz="4" w:space="0" w:color="auto"/>
              <w:right w:val="single" w:sz="4" w:space="0" w:color="000000"/>
            </w:tcBorders>
            <w:shd w:val="clear" w:color="auto" w:fill="DCE6F1"/>
            <w:vAlign w:val="center"/>
            <w:hideMark/>
          </w:tcPr>
          <w:p w:rsidR="001063DF" w:rsidRPr="00377267" w:rsidRDefault="001063DF" w:rsidP="00825640">
            <w:pPr>
              <w:jc w:val="center"/>
              <w:rPr>
                <w:b/>
                <w:bCs/>
                <w:sz w:val="20"/>
              </w:rPr>
            </w:pPr>
            <w:r w:rsidRPr="00377267">
              <w:rPr>
                <w:b/>
                <w:bCs/>
                <w:sz w:val="20"/>
              </w:rPr>
              <w:t>Variazione in stanziamenti d'impegno</w:t>
            </w:r>
          </w:p>
        </w:tc>
      </w:tr>
      <w:tr w:rsidR="001063DF" w:rsidRPr="00377267" w:rsidTr="00825640">
        <w:trPr>
          <w:trHeight w:val="510"/>
          <w:tblHeader/>
        </w:trPr>
        <w:tc>
          <w:tcPr>
            <w:tcW w:w="0" w:type="auto"/>
            <w:vMerge/>
            <w:tcBorders>
              <w:top w:val="single" w:sz="4" w:space="0" w:color="auto"/>
              <w:left w:val="single" w:sz="4" w:space="0" w:color="auto"/>
              <w:bottom w:val="single" w:sz="4" w:space="0" w:color="000000"/>
              <w:right w:val="nil"/>
            </w:tcBorders>
            <w:vAlign w:val="center"/>
            <w:hideMark/>
          </w:tcPr>
          <w:p w:rsidR="001063DF" w:rsidRPr="00377267" w:rsidRDefault="001063DF" w:rsidP="00825640">
            <w:pPr>
              <w:rPr>
                <w:b/>
                <w:bCs/>
                <w:color w:val="000000"/>
                <w:sz w:val="16"/>
                <w:szCs w:val="16"/>
              </w:rPr>
            </w:pPr>
          </w:p>
        </w:tc>
        <w:tc>
          <w:tcPr>
            <w:tcW w:w="3897" w:type="dxa"/>
            <w:vMerge/>
            <w:tcBorders>
              <w:top w:val="single" w:sz="4" w:space="0" w:color="auto"/>
              <w:left w:val="single" w:sz="4" w:space="0" w:color="auto"/>
              <w:bottom w:val="single" w:sz="4" w:space="0" w:color="000000"/>
              <w:right w:val="single" w:sz="4" w:space="0" w:color="auto"/>
            </w:tcBorders>
            <w:vAlign w:val="center"/>
            <w:hideMark/>
          </w:tcPr>
          <w:p w:rsidR="001063DF" w:rsidRPr="00377267" w:rsidRDefault="001063DF" w:rsidP="00825640">
            <w:pPr>
              <w:rPr>
                <w:b/>
                <w:bCs/>
                <w:color w:val="000000"/>
                <w:sz w:val="20"/>
              </w:rPr>
            </w:pPr>
          </w:p>
        </w:tc>
        <w:tc>
          <w:tcPr>
            <w:tcW w:w="1418"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PB 2020 (inclusa la lettera rettificativa n. 1)</w:t>
            </w:r>
          </w:p>
        </w:tc>
        <w:tc>
          <w:tcPr>
            <w:tcW w:w="1417"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Bilancio 2020</w:t>
            </w:r>
          </w:p>
        </w:tc>
        <w:tc>
          <w:tcPr>
            <w:tcW w:w="1393" w:type="dxa"/>
            <w:tcBorders>
              <w:top w:val="nil"/>
              <w:left w:val="nil"/>
              <w:bottom w:val="single" w:sz="4" w:space="0" w:color="auto"/>
              <w:right w:val="single" w:sz="4" w:space="0" w:color="auto"/>
            </w:tcBorders>
            <w:shd w:val="clear" w:color="auto" w:fill="DCE6F1"/>
            <w:noWrap/>
            <w:vAlign w:val="center"/>
            <w:hideMark/>
          </w:tcPr>
          <w:p w:rsidR="001063DF" w:rsidRPr="00377267" w:rsidRDefault="001063DF" w:rsidP="00825640">
            <w:pPr>
              <w:jc w:val="center"/>
              <w:rPr>
                <w:b/>
                <w:bCs/>
                <w:color w:val="000000"/>
                <w:sz w:val="20"/>
              </w:rPr>
            </w:pPr>
            <w:r w:rsidRPr="00377267">
              <w:rPr>
                <w:b/>
                <w:bCs/>
                <w:color w:val="000000"/>
                <w:sz w:val="20"/>
              </w:rPr>
              <w:t>Differenza</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3.0.11</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Europa creativa</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7 500 000</w:t>
            </w:r>
          </w:p>
        </w:tc>
      </w:tr>
      <w:tr w:rsidR="001063DF" w:rsidRPr="00377267" w:rsidTr="00825640">
        <w:trPr>
          <w:trHeight w:val="102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09 05 01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Sottoprogramma MEDIA — Agire a livello transnazionale e internazionale e promuovere la circolazione e la mobilità transnazionali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115 923 000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120 923 000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5 000 000</w:t>
            </w:r>
          </w:p>
        </w:tc>
      </w:tr>
      <w:tr w:rsidR="001063DF" w:rsidRPr="00377267" w:rsidTr="00825640">
        <w:trPr>
          <w:trHeight w:val="127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15 04 01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Rafforzare la capacità finanziaria delle PMI e delle organizzazioni di piccole o piccolissime dimensioni operanti nei settori culturali e creativi europei, promuovere l'elaborazione di politiche e nuovi modelli aziendali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38 241 000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39 241 000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15 04 02</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Sottoprogramma Cultura — Sostenere azioni transfrontaliere e promuovere la circolazione e la mobilità transnazionali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75 246 000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76 746 000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1 500 000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3.0.5</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Diritti, uguaglianza e cittadinanza</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1 200 000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33 02 01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Garantire la tutela dei diritti e l'empowerment dei cittadini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28 605 000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29 805 000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1 200 000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3.0.6</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Meccanismo unionale di protezione civile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-15 000 000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23 03 01 01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Prevenzione delle calamità e preparazione alle calamità all'interno dell'Unione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137 788 000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122 788 000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-15 000 000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3.0.7</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Europa per i cittadini</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18 04 01 01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Programma «Europa per i cittadini» — Rafforzare la memoria e accrescere la capacità di partecipazione civica a livello di 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25 959 000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26 959 000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1 000 000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3.0.8</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 xml:space="preserve">Alimenti e mangimi </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-1 500 000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17 04 01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Garantire migliore salute e benessere degli animali e un elevato livello di protezione degli animali nell'Unione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171 000 000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169 500 000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-1 500 000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3.0.DAG</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Agenzie decentrate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-16 720 119</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17 03 12 01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Contributo dell'Unione all'agenzia europea per i medicinali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32 285 000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34 285 000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2 000 000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18 02 03</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Agenzia europea della guardia di frontiera e costiera (Frontex)</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420 555 842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411 821 029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-8 734 813</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18 02 04</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Agenzia dell'Unione europea per la cooperazione nell'attività di contrasto (Europol)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139 964 760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152 964 760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13 000 000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18 03 02</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Ufficio europeo di sostegno per l'asilo – (EASO)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133 012 725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108 327 419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-24 685 306</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33 03 04</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Agenzia dell'Unione europea per la cooperazione giudiziaria penale (Eurojust)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39 640 496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41 340 496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1 700 000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3.0.PPPA</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Progetti pilota e azioni preparatorie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22 520 119</w:t>
            </w:r>
          </w:p>
        </w:tc>
      </w:tr>
      <w:tr w:rsidR="001063DF" w:rsidRPr="00377267" w:rsidTr="00825640">
        <w:trPr>
          <w:trHeight w:val="81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3.0.SPEC</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Azioni finanziate a titolo delle prerogative e delle competenze specifiche conferite alla Commissione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1 000 000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09 05 05</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Azioni multimedia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20 732 000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21 732 000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sz w:val="20"/>
              </w:rPr>
            </w:pPr>
          </w:p>
        </w:tc>
        <w:tc>
          <w:tcPr>
            <w:tcW w:w="3897"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1063DF" w:rsidRPr="00377267" w:rsidRDefault="001063DF" w:rsidP="00825640">
            <w:pPr>
              <w:rPr>
                <w:b/>
                <w:bCs/>
                <w:sz w:val="20"/>
              </w:rPr>
            </w:pPr>
            <w:r w:rsidRPr="00377267">
              <w:rPr>
                <w:b/>
                <w:bCs/>
                <w:sz w:val="20"/>
              </w:rPr>
              <w:t>Totale</w:t>
            </w:r>
          </w:p>
        </w:tc>
        <w:tc>
          <w:tcPr>
            <w:tcW w:w="1418"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sz w:val="20"/>
              </w:rPr>
            </w:pPr>
          </w:p>
        </w:tc>
        <w:tc>
          <w:tcPr>
            <w:tcW w:w="1393"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jc w:val="right"/>
              <w:rPr>
                <w:b/>
                <w:bCs/>
                <w:sz w:val="20"/>
              </w:rPr>
            </w:pPr>
            <w:r w:rsidRPr="00377267">
              <w:rPr>
                <w:b/>
                <w:bCs/>
                <w:sz w:val="20"/>
              </w:rPr>
              <w:t>0</w:t>
            </w:r>
          </w:p>
        </w:tc>
      </w:tr>
    </w:tbl>
    <w:p w:rsidR="001063DF" w:rsidRPr="00377267" w:rsidRDefault="001063DF" w:rsidP="001063DF">
      <w:pPr>
        <w:spacing w:before="240" w:after="120"/>
        <w:jc w:val="both"/>
        <w:rPr>
          <w:szCs w:val="24"/>
        </w:rPr>
      </w:pPr>
      <w:r w:rsidRPr="00377267">
        <w:t>Di conseguenza, il livello di stanziamenti d'impegno concordato è fissato a 3 729,1 milioni di EUR, senza lasciare alcun margine al di sotto del massimale di spesa della rubrica 3 e mobilitando 778,1 milioni di EUR attraverso lo strumento di flessibilità.</w:t>
      </w:r>
    </w:p>
    <w:p w:rsidR="001063DF" w:rsidRPr="00377267" w:rsidRDefault="001063DF" w:rsidP="001063DF">
      <w:pPr>
        <w:rPr>
          <w:b/>
          <w:u w:val="single"/>
        </w:rPr>
      </w:pPr>
    </w:p>
    <w:p w:rsidR="001063DF" w:rsidRPr="00377267" w:rsidRDefault="001063DF" w:rsidP="001063DF">
      <w:pPr>
        <w:rPr>
          <w:b/>
          <w:u w:val="single"/>
        </w:rPr>
      </w:pPr>
      <w:r w:rsidRPr="00377267">
        <w:rPr>
          <w:b/>
          <w:u w:val="single"/>
        </w:rPr>
        <w:t>Rubrica 4 – Europa globale</w:t>
      </w:r>
    </w:p>
    <w:p w:rsidR="001063DF" w:rsidRPr="00377267" w:rsidRDefault="001063DF" w:rsidP="001063DF">
      <w:pPr>
        <w:spacing w:before="120" w:after="120"/>
        <w:jc w:val="both"/>
      </w:pPr>
      <w:r w:rsidRPr="00377267">
        <w:t>Gli stanziamenti d'impegno sono fissati al livello proposto dalla Commissione nel progetto di bilancio, quale modificato dalla lettera rettificativa n. 1/2020, integrando tuttavia gli adeguamenti decisi in sede di comitato di conciliazione e figuranti in dettaglio nella tabella in appresso:</w:t>
      </w:r>
    </w:p>
    <w:tbl>
      <w:tblPr>
        <w:tblW w:w="9365" w:type="dxa"/>
        <w:tblInd w:w="108" w:type="dxa"/>
        <w:tblLook w:val="04A0" w:firstRow="1" w:lastRow="0" w:firstColumn="1" w:lastColumn="0" w:noHBand="0" w:noVBand="1"/>
      </w:tblPr>
      <w:tblGrid>
        <w:gridCol w:w="1240"/>
        <w:gridCol w:w="3897"/>
        <w:gridCol w:w="1418"/>
        <w:gridCol w:w="1417"/>
        <w:gridCol w:w="1393"/>
      </w:tblGrid>
      <w:tr w:rsidR="001063DF" w:rsidRPr="00377267" w:rsidTr="00825640">
        <w:trPr>
          <w:trHeight w:val="255"/>
          <w:tblHeader/>
        </w:trPr>
        <w:tc>
          <w:tcPr>
            <w:tcW w:w="1240" w:type="dxa"/>
            <w:noWrap/>
            <w:vAlign w:val="center"/>
            <w:hideMark/>
          </w:tcPr>
          <w:p w:rsidR="001063DF" w:rsidRPr="00377267" w:rsidRDefault="001063DF" w:rsidP="00825640"/>
        </w:tc>
        <w:tc>
          <w:tcPr>
            <w:tcW w:w="3897" w:type="dxa"/>
            <w:noWrap/>
            <w:vAlign w:val="bottom"/>
            <w:hideMark/>
          </w:tcPr>
          <w:p w:rsidR="001063DF" w:rsidRPr="00377267" w:rsidRDefault="001063DF" w:rsidP="00825640">
            <w:pPr>
              <w:rPr>
                <w:sz w:val="20"/>
              </w:rPr>
            </w:pPr>
          </w:p>
        </w:tc>
        <w:tc>
          <w:tcPr>
            <w:tcW w:w="1418" w:type="dxa"/>
            <w:noWrap/>
            <w:vAlign w:val="center"/>
            <w:hideMark/>
          </w:tcPr>
          <w:p w:rsidR="001063DF" w:rsidRPr="00377267" w:rsidRDefault="001063DF" w:rsidP="00825640">
            <w:pPr>
              <w:rPr>
                <w:sz w:val="20"/>
              </w:rPr>
            </w:pPr>
          </w:p>
        </w:tc>
        <w:tc>
          <w:tcPr>
            <w:tcW w:w="1417" w:type="dxa"/>
            <w:noWrap/>
            <w:vAlign w:val="center"/>
            <w:hideMark/>
          </w:tcPr>
          <w:p w:rsidR="001063DF" w:rsidRPr="00377267" w:rsidRDefault="001063DF" w:rsidP="00825640">
            <w:pPr>
              <w:rPr>
                <w:sz w:val="20"/>
              </w:rPr>
            </w:pPr>
          </w:p>
        </w:tc>
        <w:tc>
          <w:tcPr>
            <w:tcW w:w="1393" w:type="dxa"/>
            <w:noWrap/>
            <w:vAlign w:val="center"/>
            <w:hideMark/>
          </w:tcPr>
          <w:p w:rsidR="001063DF" w:rsidRPr="00377267" w:rsidRDefault="001063DF" w:rsidP="00825640">
            <w:pPr>
              <w:jc w:val="right"/>
              <w:rPr>
                <w:i/>
                <w:iCs/>
                <w:sz w:val="20"/>
              </w:rPr>
            </w:pPr>
            <w:r w:rsidRPr="00377267">
              <w:rPr>
                <w:i/>
                <w:iCs/>
                <w:sz w:val="20"/>
              </w:rPr>
              <w:t>In EUR</w:t>
            </w:r>
          </w:p>
        </w:tc>
      </w:tr>
      <w:tr w:rsidR="001063DF" w:rsidRPr="00377267" w:rsidTr="00825640">
        <w:trPr>
          <w:trHeight w:val="255"/>
          <w:tblHeader/>
        </w:trPr>
        <w:tc>
          <w:tcPr>
            <w:tcW w:w="1240" w:type="dxa"/>
            <w:vMerge w:val="restart"/>
            <w:tcBorders>
              <w:top w:val="single" w:sz="4" w:space="0" w:color="auto"/>
              <w:left w:val="single" w:sz="4" w:space="0" w:color="auto"/>
              <w:bottom w:val="single" w:sz="4" w:space="0" w:color="000000"/>
              <w:right w:val="nil"/>
            </w:tcBorders>
            <w:shd w:val="clear" w:color="auto" w:fill="DCE6F1"/>
            <w:vAlign w:val="center"/>
            <w:hideMark/>
          </w:tcPr>
          <w:p w:rsidR="001063DF" w:rsidRPr="00377267" w:rsidRDefault="001063DF" w:rsidP="00825640">
            <w:pPr>
              <w:jc w:val="center"/>
              <w:rPr>
                <w:b/>
                <w:bCs/>
                <w:color w:val="000000"/>
                <w:sz w:val="16"/>
                <w:szCs w:val="16"/>
              </w:rPr>
            </w:pPr>
            <w:r w:rsidRPr="00377267">
              <w:rPr>
                <w:b/>
                <w:bCs/>
                <w:color w:val="000000"/>
                <w:sz w:val="16"/>
                <w:szCs w:val="16"/>
              </w:rPr>
              <w:t>Linea di bilancio / Programma</w:t>
            </w:r>
          </w:p>
        </w:tc>
        <w:tc>
          <w:tcPr>
            <w:tcW w:w="3897" w:type="dxa"/>
            <w:vMerge w:val="restart"/>
            <w:tcBorders>
              <w:top w:val="single" w:sz="4" w:space="0" w:color="auto"/>
              <w:left w:val="single" w:sz="4" w:space="0" w:color="auto"/>
              <w:bottom w:val="single" w:sz="4" w:space="0" w:color="000000"/>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Nome</w:t>
            </w:r>
          </w:p>
        </w:tc>
        <w:tc>
          <w:tcPr>
            <w:tcW w:w="4228" w:type="dxa"/>
            <w:gridSpan w:val="3"/>
            <w:tcBorders>
              <w:top w:val="single" w:sz="4" w:space="0" w:color="auto"/>
              <w:left w:val="single" w:sz="4" w:space="0" w:color="auto"/>
              <w:bottom w:val="single" w:sz="4" w:space="0" w:color="auto"/>
              <w:right w:val="single" w:sz="4" w:space="0" w:color="000000"/>
            </w:tcBorders>
            <w:shd w:val="clear" w:color="auto" w:fill="DCE6F1"/>
            <w:vAlign w:val="center"/>
            <w:hideMark/>
          </w:tcPr>
          <w:p w:rsidR="001063DF" w:rsidRPr="00377267" w:rsidRDefault="001063DF" w:rsidP="00825640">
            <w:pPr>
              <w:jc w:val="center"/>
              <w:rPr>
                <w:b/>
                <w:bCs/>
                <w:sz w:val="20"/>
              </w:rPr>
            </w:pPr>
            <w:r w:rsidRPr="00377267">
              <w:rPr>
                <w:b/>
                <w:bCs/>
                <w:sz w:val="20"/>
              </w:rPr>
              <w:t>Variazione in stanziamenti d'impegno</w:t>
            </w:r>
          </w:p>
        </w:tc>
      </w:tr>
      <w:tr w:rsidR="001063DF" w:rsidRPr="00377267" w:rsidTr="00825640">
        <w:trPr>
          <w:trHeight w:val="510"/>
          <w:tblHeader/>
        </w:trPr>
        <w:tc>
          <w:tcPr>
            <w:tcW w:w="0" w:type="auto"/>
            <w:vMerge/>
            <w:tcBorders>
              <w:top w:val="single" w:sz="4" w:space="0" w:color="auto"/>
              <w:left w:val="single" w:sz="4" w:space="0" w:color="auto"/>
              <w:bottom w:val="single" w:sz="4" w:space="0" w:color="000000"/>
              <w:right w:val="nil"/>
            </w:tcBorders>
            <w:vAlign w:val="center"/>
            <w:hideMark/>
          </w:tcPr>
          <w:p w:rsidR="001063DF" w:rsidRPr="00377267" w:rsidRDefault="001063DF" w:rsidP="00825640">
            <w:pPr>
              <w:rPr>
                <w:b/>
                <w:bCs/>
                <w:color w:val="000000"/>
                <w:sz w:val="16"/>
                <w:szCs w:val="16"/>
              </w:rPr>
            </w:pPr>
          </w:p>
        </w:tc>
        <w:tc>
          <w:tcPr>
            <w:tcW w:w="3897" w:type="dxa"/>
            <w:vMerge/>
            <w:tcBorders>
              <w:top w:val="single" w:sz="4" w:space="0" w:color="auto"/>
              <w:left w:val="single" w:sz="4" w:space="0" w:color="auto"/>
              <w:bottom w:val="single" w:sz="4" w:space="0" w:color="000000"/>
              <w:right w:val="single" w:sz="4" w:space="0" w:color="auto"/>
            </w:tcBorders>
            <w:vAlign w:val="center"/>
            <w:hideMark/>
          </w:tcPr>
          <w:p w:rsidR="001063DF" w:rsidRPr="00377267" w:rsidRDefault="001063DF" w:rsidP="00825640">
            <w:pPr>
              <w:rPr>
                <w:b/>
                <w:bCs/>
                <w:color w:val="000000"/>
                <w:sz w:val="20"/>
              </w:rPr>
            </w:pPr>
          </w:p>
        </w:tc>
        <w:tc>
          <w:tcPr>
            <w:tcW w:w="1418"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PB 2020 (inclusa la lettera rettificativa n. 1)</w:t>
            </w:r>
          </w:p>
        </w:tc>
        <w:tc>
          <w:tcPr>
            <w:tcW w:w="1417"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Bilancio 2020</w:t>
            </w:r>
          </w:p>
        </w:tc>
        <w:tc>
          <w:tcPr>
            <w:tcW w:w="1393" w:type="dxa"/>
            <w:tcBorders>
              <w:top w:val="nil"/>
              <w:left w:val="nil"/>
              <w:bottom w:val="single" w:sz="4" w:space="0" w:color="auto"/>
              <w:right w:val="single" w:sz="4" w:space="0" w:color="auto"/>
            </w:tcBorders>
            <w:shd w:val="clear" w:color="auto" w:fill="DCE6F1"/>
            <w:noWrap/>
            <w:vAlign w:val="center"/>
            <w:hideMark/>
          </w:tcPr>
          <w:p w:rsidR="001063DF" w:rsidRPr="00377267" w:rsidRDefault="001063DF" w:rsidP="00825640">
            <w:pPr>
              <w:jc w:val="center"/>
              <w:rPr>
                <w:b/>
                <w:bCs/>
                <w:color w:val="000000"/>
                <w:sz w:val="20"/>
              </w:rPr>
            </w:pPr>
            <w:r w:rsidRPr="00377267">
              <w:rPr>
                <w:b/>
                <w:bCs/>
                <w:color w:val="000000"/>
                <w:sz w:val="20"/>
              </w:rPr>
              <w:t>Differenza</w:t>
            </w:r>
          </w:p>
        </w:tc>
      </w:tr>
      <w:tr w:rsidR="001063DF" w:rsidRPr="00377267" w:rsidTr="00825640">
        <w:trPr>
          <w:trHeight w:val="54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4.0.1</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Strumento di assistenza preadesione (IPA II)</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-85 000 000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05 05 04 02</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Turchia - Sostegno allo sviluppo socioeconomico e strutturale e al relativo progressivo allineamento con l'acquis dell'Unione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28 178 364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18 178 364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-10 000 000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22 02 03 01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Turchia - Sostegno alle riforme politiche e relativo progressivo allineamento con l'</w:t>
            </w:r>
            <w:r w:rsidRPr="00377267">
              <w:rPr>
                <w:i/>
                <w:sz w:val="20"/>
              </w:rPr>
              <w:t>acquis</w:t>
            </w:r>
            <w:r w:rsidRPr="00377267">
              <w:rPr>
                <w:sz w:val="20"/>
              </w:rPr>
              <w:t xml:space="preserve"> dell'Unione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160 000 000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150 000 000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-10 000 000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22 02 03 02</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Turchia - Sostegno allo sviluppo socioeconomico e strutturale e al relativo progressivo allineamento con l'acquis dell'Unione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65 000 000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-65 000 000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4.0.10</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Assistenza macrofinanziaria (AMF)</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-7 000 000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01 03 02</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Assistenza macrofinanziaria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27 000 000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20 000 000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-7 000 000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4.0.2</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Strumento europeo di vicinato (ENI)</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25 000 000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22 04 01 03</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Paesi del Mediterraneo — Rafforzamento della fiducia, sicurezza e prevenzione/risoluzione dei conflitti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401 220 115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421 220 115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20 000 000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22 04 02 01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Partenariato orientale — Diritti umani, buon governo e mobilità</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251 379 012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252 879 012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1 500 000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22 04 02 02</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Partenariato orientale — Riduzione della povertà e sviluppo sostenibile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385 828 623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389 328 623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3 500 000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4.0.3</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Strumento di cooperazione allo sviluppo (DCI)</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20 000 000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21 02 07 01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Ambiente e cambiamenti climatici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216 473 403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222 473 403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6 000 000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21 02 07 02</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Energia sostenibile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96 210 401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110 210 401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14 000 000</w:t>
            </w:r>
          </w:p>
        </w:tc>
      </w:tr>
      <w:tr w:rsidR="001063DF" w:rsidRPr="00377267" w:rsidTr="00825640">
        <w:trPr>
          <w:trHeight w:val="54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4.0.5</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Strumento europeo per la democrazia e i diritti umani (EIDHR)</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-5 000 000</w:t>
            </w:r>
          </w:p>
        </w:tc>
      </w:tr>
      <w:tr w:rsidR="001063DF" w:rsidRPr="00377267" w:rsidTr="00825640">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19 04 01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Migliorare l'affidabilità dei processi elettorali, in particolare attraverso missioni di osservazione elettorale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48 442 462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43 442 462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-5 000 000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4.0.OTH</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Altre azioni e programmi</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2 000 000</w:t>
            </w:r>
          </w:p>
        </w:tc>
      </w:tr>
      <w:tr w:rsidR="001063DF" w:rsidRPr="00377267" w:rsidTr="00825640">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13 07 01</w:t>
            </w:r>
          </w:p>
        </w:tc>
        <w:tc>
          <w:tcPr>
            <w:tcW w:w="3897" w:type="dxa"/>
            <w:tcBorders>
              <w:top w:val="single" w:sz="4" w:space="0" w:color="auto"/>
              <w:left w:val="single" w:sz="4" w:space="0" w:color="auto"/>
              <w:bottom w:val="single" w:sz="4" w:space="0" w:color="auto"/>
              <w:right w:val="single" w:sz="4" w:space="0" w:color="auto"/>
            </w:tcBorders>
            <w:vAlign w:val="center"/>
            <w:hideMark/>
          </w:tcPr>
          <w:p w:rsidR="001063DF" w:rsidRPr="00377267" w:rsidRDefault="001063DF" w:rsidP="00825640">
            <w:pPr>
              <w:rPr>
                <w:sz w:val="20"/>
              </w:rPr>
            </w:pPr>
            <w:r w:rsidRPr="00377267">
              <w:rPr>
                <w:sz w:val="20"/>
              </w:rPr>
              <w:t>Sostegno finanziario per promuovere lo sviluppo economico della comunità turco- cipriota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33 762 000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35 762 000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2 000 000</w:t>
            </w:r>
          </w:p>
        </w:tc>
      </w:tr>
      <w:tr w:rsidR="001063DF" w:rsidRPr="00377267" w:rsidTr="00825640">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1063DF" w:rsidRPr="00377267" w:rsidRDefault="001063DF" w:rsidP="00825640">
            <w:pPr>
              <w:rPr>
                <w:b/>
                <w:bCs/>
                <w:i/>
                <w:iCs/>
                <w:sz w:val="20"/>
              </w:rPr>
            </w:pPr>
            <w:r w:rsidRPr="00377267">
              <w:rPr>
                <w:b/>
                <w:bCs/>
                <w:i/>
                <w:iCs/>
                <w:sz w:val="20"/>
              </w:rPr>
              <w:t>4.0.PPPA</w:t>
            </w:r>
          </w:p>
        </w:tc>
        <w:tc>
          <w:tcPr>
            <w:tcW w:w="3897" w:type="dxa"/>
            <w:tcBorders>
              <w:top w:val="single" w:sz="4" w:space="0" w:color="auto"/>
              <w:left w:val="nil"/>
              <w:bottom w:val="single" w:sz="4" w:space="0" w:color="auto"/>
              <w:right w:val="nil"/>
            </w:tcBorders>
            <w:shd w:val="clear" w:color="auto" w:fill="F2F2F2"/>
            <w:vAlign w:val="center"/>
            <w:hideMark/>
          </w:tcPr>
          <w:p w:rsidR="001063DF" w:rsidRPr="00377267" w:rsidRDefault="001063DF" w:rsidP="00825640">
            <w:pPr>
              <w:rPr>
                <w:b/>
                <w:bCs/>
                <w:i/>
                <w:iCs/>
                <w:sz w:val="20"/>
              </w:rPr>
            </w:pPr>
            <w:r w:rsidRPr="00377267">
              <w:rPr>
                <w:b/>
                <w:bCs/>
                <w:i/>
                <w:iCs/>
                <w:sz w:val="20"/>
              </w:rPr>
              <w:t>Progetti pilota e azioni preparatorie</w:t>
            </w:r>
          </w:p>
        </w:tc>
        <w:tc>
          <w:tcPr>
            <w:tcW w:w="1418"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b/>
                <w:bCs/>
                <w:i/>
                <w:iCs/>
                <w:sz w:val="20"/>
              </w:rPr>
            </w:pPr>
          </w:p>
        </w:tc>
        <w:tc>
          <w:tcPr>
            <w:tcW w:w="1417" w:type="dxa"/>
            <w:tcBorders>
              <w:top w:val="single" w:sz="4" w:space="0" w:color="auto"/>
              <w:left w:val="nil"/>
              <w:bottom w:val="single" w:sz="4" w:space="0" w:color="auto"/>
              <w:right w:val="nil"/>
            </w:tcBorders>
            <w:shd w:val="clear" w:color="auto" w:fill="F2F2F2"/>
            <w:noWrap/>
            <w:vAlign w:val="center"/>
            <w:hideMark/>
          </w:tcPr>
          <w:p w:rsidR="001063DF" w:rsidRPr="00377267" w:rsidRDefault="001063DF" w:rsidP="00825640">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1063DF" w:rsidRPr="00377267" w:rsidRDefault="001063DF" w:rsidP="00825640">
            <w:pPr>
              <w:jc w:val="right"/>
              <w:rPr>
                <w:b/>
                <w:bCs/>
                <w:i/>
                <w:iCs/>
                <w:sz w:val="20"/>
              </w:rPr>
            </w:pPr>
            <w:r w:rsidRPr="00377267">
              <w:rPr>
                <w:b/>
                <w:bCs/>
                <w:i/>
                <w:iCs/>
                <w:sz w:val="20"/>
              </w:rPr>
              <w:t>4 000 000</w:t>
            </w:r>
          </w:p>
        </w:tc>
      </w:tr>
      <w:tr w:rsidR="001063DF" w:rsidRPr="00377267" w:rsidTr="00825640">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b/>
                <w:bCs/>
                <w:i/>
                <w:iCs/>
                <w:sz w:val="20"/>
              </w:rPr>
            </w:pPr>
          </w:p>
        </w:tc>
        <w:tc>
          <w:tcPr>
            <w:tcW w:w="3897"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1063DF" w:rsidRPr="00377267" w:rsidRDefault="001063DF" w:rsidP="00825640">
            <w:pPr>
              <w:rPr>
                <w:b/>
                <w:bCs/>
                <w:sz w:val="20"/>
              </w:rPr>
            </w:pPr>
            <w:r w:rsidRPr="00377267">
              <w:rPr>
                <w:b/>
                <w:bCs/>
                <w:sz w:val="20"/>
              </w:rPr>
              <w:t>Totale</w:t>
            </w:r>
          </w:p>
        </w:tc>
        <w:tc>
          <w:tcPr>
            <w:tcW w:w="1418"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rPr>
                <w:sz w:val="20"/>
              </w:rPr>
            </w:pPr>
          </w:p>
        </w:tc>
        <w:tc>
          <w:tcPr>
            <w:tcW w:w="1393"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1063DF" w:rsidRPr="00377267" w:rsidRDefault="001063DF" w:rsidP="00825640">
            <w:pPr>
              <w:jc w:val="right"/>
              <w:rPr>
                <w:b/>
                <w:bCs/>
                <w:sz w:val="20"/>
              </w:rPr>
            </w:pPr>
            <w:r w:rsidRPr="00377267">
              <w:rPr>
                <w:b/>
                <w:bCs/>
                <w:sz w:val="20"/>
              </w:rPr>
              <w:t>-46 000 000</w:t>
            </w:r>
          </w:p>
        </w:tc>
      </w:tr>
    </w:tbl>
    <w:p w:rsidR="001063DF" w:rsidRPr="00377267" w:rsidRDefault="001063DF" w:rsidP="001063DF">
      <w:pPr>
        <w:spacing w:before="120" w:after="120"/>
        <w:jc w:val="both"/>
        <w:rPr>
          <w:szCs w:val="24"/>
        </w:rPr>
      </w:pPr>
      <w:r w:rsidRPr="00377267">
        <w:t>Di conseguenza, il livello di stanziamenti d'impegno concordato è fissato a 10 261,6 milioni di EUR, lasciando un margine di 248,4 milioni di EUR al di sotto del massimale di spesa della rubrica 4.</w:t>
      </w:r>
    </w:p>
    <w:p w:rsidR="001063DF" w:rsidRPr="00377267" w:rsidRDefault="001063DF" w:rsidP="001063DF">
      <w:pPr>
        <w:rPr>
          <w:b/>
          <w:u w:val="single"/>
        </w:rPr>
      </w:pPr>
    </w:p>
    <w:p w:rsidR="001063DF" w:rsidRPr="00377267" w:rsidRDefault="001063DF" w:rsidP="001063DF">
      <w:pPr>
        <w:rPr>
          <w:b/>
          <w:u w:val="single"/>
        </w:rPr>
      </w:pPr>
      <w:r w:rsidRPr="00377267">
        <w:rPr>
          <w:b/>
          <w:u w:val="single"/>
        </w:rPr>
        <w:t>Rubrica 5 – Amministrazione</w:t>
      </w:r>
    </w:p>
    <w:p w:rsidR="001063DF" w:rsidRPr="00377267" w:rsidRDefault="001063DF" w:rsidP="001063DF">
      <w:pPr>
        <w:spacing w:before="120"/>
        <w:jc w:val="both"/>
      </w:pPr>
      <w:r w:rsidRPr="00377267">
        <w:t>Il numero di posti nell'organico delle istituzioni e gli stanziamenti proposti dalla Commissione nel progetto di bilancio, quale modificato dalla lettera rettificativa n. 1/2020, sono approvati dal comitato di conciliazione, con le eccezioni seguenti:</w:t>
      </w:r>
    </w:p>
    <w:p w:rsidR="001063DF" w:rsidRPr="00377267" w:rsidRDefault="001063DF" w:rsidP="001063DF">
      <w:pPr>
        <w:spacing w:before="120" w:after="120"/>
        <w:ind w:left="780" w:hanging="360"/>
        <w:jc w:val="both"/>
      </w:pPr>
      <w:r w:rsidRPr="00377267">
        <w:rPr>
          <w:rFonts w:ascii="Symbol" w:hAnsi="Symbol"/>
          <w:szCs w:val="24"/>
        </w:rPr>
        <w:t></w:t>
      </w:r>
      <w:r w:rsidRPr="00377267">
        <w:rPr>
          <w:rFonts w:ascii="Symbol" w:hAnsi="Symbol"/>
          <w:szCs w:val="24"/>
        </w:rPr>
        <w:tab/>
      </w:r>
      <w:r w:rsidRPr="00377267">
        <w:t xml:space="preserve">nella sezione del Parlamento, per la quale sono approvati i seguenti aumenti degli stanziamenti di impegno e di pagamento a seguito dello Statuto dei deputati e del rinvio del recesso del Regno Unito dall'Unione europea, deciso dal Consiglio europeo il 28 ottobre 2019: 410 000 EUR sulla linea di bilancio 1 0 0 0 </w:t>
      </w:r>
      <w:r w:rsidRPr="00377267">
        <w:rPr>
          <w:i/>
        </w:rPr>
        <w:t>Indennità</w:t>
      </w:r>
      <w:r w:rsidRPr="00377267">
        <w:t xml:space="preserve">, 408 000 EUR sulla linea di bilancio 1 0 0 4 </w:t>
      </w:r>
      <w:r w:rsidRPr="00377267">
        <w:rPr>
          <w:i/>
        </w:rPr>
        <w:t>Spese di viaggio  ordinarie</w:t>
      </w:r>
      <w:r w:rsidRPr="00377267">
        <w:t xml:space="preserve">, 12 000 EUR sulla linea 1 0 0 5 </w:t>
      </w:r>
      <w:r w:rsidRPr="00377267">
        <w:rPr>
          <w:i/>
        </w:rPr>
        <w:t>Altre spese di viaggio</w:t>
      </w:r>
      <w:r w:rsidRPr="00377267">
        <w:t xml:space="preserve">, 900 000 EUR  sulla linea 1 0 0 6 </w:t>
      </w:r>
      <w:r w:rsidRPr="00377267">
        <w:rPr>
          <w:i/>
        </w:rPr>
        <w:t>Indennità di spese generali</w:t>
      </w:r>
      <w:r w:rsidRPr="00377267">
        <w:t xml:space="preserve">, 6 050 000 EUR sulla  linea di bilancio 1 0 2 </w:t>
      </w:r>
      <w:r w:rsidRPr="00377267">
        <w:rPr>
          <w:i/>
        </w:rPr>
        <w:t>Indennità transitorie</w:t>
      </w:r>
      <w:r w:rsidRPr="00377267">
        <w:t>, 12 000 EUR sulla linea di bilancio 3 2 2 </w:t>
      </w:r>
      <w:r w:rsidRPr="00377267">
        <w:rPr>
          <w:i/>
        </w:rPr>
        <w:t>Spese di documentazione</w:t>
      </w:r>
      <w:r w:rsidRPr="00377267">
        <w:t xml:space="preserve">, 68 000 EUR sulla linea di bilancio 3 2 4 4 </w:t>
      </w:r>
      <w:r w:rsidRPr="00377267">
        <w:rPr>
          <w:i/>
        </w:rPr>
        <w:t>Organizzazione di gruppi di visitatori, programma Euroscola e inviti a moltiplicatori di opinione dei paesi terzi</w:t>
      </w:r>
      <w:r w:rsidRPr="00377267">
        <w:t xml:space="preserve">, 1 463 000 EUR sulla linea di bilancio 4 2 2 </w:t>
      </w:r>
      <w:r w:rsidRPr="00377267">
        <w:rPr>
          <w:i/>
        </w:rPr>
        <w:t>Spese relative agli assistenti parlamentari</w:t>
      </w:r>
      <w:r w:rsidRPr="00377267">
        <w:t>;</w:t>
      </w:r>
    </w:p>
    <w:p w:rsidR="001063DF" w:rsidRPr="00377267" w:rsidRDefault="001063DF" w:rsidP="001063DF">
      <w:pPr>
        <w:spacing w:before="120" w:after="120"/>
        <w:ind w:left="780" w:hanging="360"/>
        <w:jc w:val="both"/>
      </w:pPr>
      <w:r w:rsidRPr="00377267">
        <w:rPr>
          <w:rFonts w:ascii="Symbol" w:hAnsi="Symbol"/>
          <w:szCs w:val="24"/>
        </w:rPr>
        <w:t></w:t>
      </w:r>
      <w:r w:rsidRPr="00377267">
        <w:rPr>
          <w:rFonts w:ascii="Symbol" w:hAnsi="Symbol"/>
          <w:szCs w:val="24"/>
        </w:rPr>
        <w:tab/>
      </w:r>
      <w:r w:rsidRPr="00377267">
        <w:t>nella sezione relativa al Consiglio, la cui lettura del proprio bilancio è approvata.</w:t>
      </w:r>
    </w:p>
    <w:p w:rsidR="001063DF" w:rsidRPr="00377267" w:rsidRDefault="001063DF" w:rsidP="001063DF"/>
    <w:p w:rsidR="001063DF" w:rsidRPr="00377267" w:rsidRDefault="001063DF" w:rsidP="001063DF">
      <w:pPr>
        <w:spacing w:before="120" w:after="120"/>
        <w:jc w:val="both"/>
      </w:pPr>
      <w:r w:rsidRPr="00377267">
        <w:t>Inoltre, l'impatto sul bilancio 2020 dell'adeguamento automatico delle retribuzioni da applicare con effetto a partire dal 1° luglio 2019 (2,0%, anziché 3,1%) è integrato in tutte le sezioni delle Istituzioni nel modo seguente:</w:t>
      </w:r>
    </w:p>
    <w:tbl>
      <w:tblPr>
        <w:tblW w:w="5636" w:type="dxa"/>
        <w:jc w:val="center"/>
        <w:tblLook w:val="04A0" w:firstRow="1" w:lastRow="0" w:firstColumn="1" w:lastColumn="0" w:noHBand="0" w:noVBand="1"/>
      </w:tblPr>
      <w:tblGrid>
        <w:gridCol w:w="3920"/>
        <w:gridCol w:w="1716"/>
      </w:tblGrid>
      <w:tr w:rsidR="001063DF" w:rsidRPr="00377267" w:rsidTr="00825640">
        <w:trPr>
          <w:trHeight w:val="255"/>
          <w:jc w:val="center"/>
        </w:trPr>
        <w:tc>
          <w:tcPr>
            <w:tcW w:w="3920" w:type="dxa"/>
            <w:noWrap/>
            <w:vAlign w:val="center"/>
            <w:hideMark/>
          </w:tcPr>
          <w:p w:rsidR="001063DF" w:rsidRPr="00377267" w:rsidRDefault="001063DF" w:rsidP="00825640"/>
        </w:tc>
        <w:tc>
          <w:tcPr>
            <w:tcW w:w="1716" w:type="dxa"/>
            <w:noWrap/>
            <w:vAlign w:val="center"/>
            <w:hideMark/>
          </w:tcPr>
          <w:p w:rsidR="001063DF" w:rsidRPr="00377267" w:rsidRDefault="001063DF" w:rsidP="00825640">
            <w:pPr>
              <w:jc w:val="right"/>
              <w:rPr>
                <w:i/>
                <w:iCs/>
                <w:sz w:val="20"/>
              </w:rPr>
            </w:pPr>
            <w:r w:rsidRPr="00377267">
              <w:rPr>
                <w:i/>
                <w:iCs/>
                <w:sz w:val="20"/>
              </w:rPr>
              <w:t>In EUR</w:t>
            </w:r>
          </w:p>
        </w:tc>
      </w:tr>
      <w:tr w:rsidR="001063DF" w:rsidRPr="00377267" w:rsidTr="00825640">
        <w:trPr>
          <w:trHeight w:val="255"/>
          <w:jc w:val="center"/>
        </w:trPr>
        <w:tc>
          <w:tcPr>
            <w:tcW w:w="3920" w:type="dxa"/>
            <w:tcBorders>
              <w:top w:val="single" w:sz="4" w:space="0" w:color="auto"/>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Parlamento</w:t>
            </w:r>
          </w:p>
        </w:tc>
        <w:tc>
          <w:tcPr>
            <w:tcW w:w="1716" w:type="dxa"/>
            <w:tcBorders>
              <w:top w:val="single" w:sz="4" w:space="0" w:color="auto"/>
              <w:left w:val="single" w:sz="4" w:space="0" w:color="auto"/>
              <w:bottom w:val="nil"/>
              <w:right w:val="single" w:sz="4" w:space="0" w:color="auto"/>
            </w:tcBorders>
            <w:noWrap/>
            <w:vAlign w:val="center"/>
            <w:hideMark/>
          </w:tcPr>
          <w:p w:rsidR="001063DF" w:rsidRPr="00377267" w:rsidRDefault="001063DF" w:rsidP="00825640">
            <w:pPr>
              <w:jc w:val="right"/>
              <w:rPr>
                <w:sz w:val="20"/>
              </w:rPr>
            </w:pPr>
            <w:r w:rsidRPr="00377267">
              <w:rPr>
                <w:sz w:val="20"/>
              </w:rPr>
              <w:t>-10 922 000</w:t>
            </w:r>
          </w:p>
        </w:tc>
      </w:tr>
      <w:tr w:rsidR="001063DF" w:rsidRPr="00377267" w:rsidTr="00825640">
        <w:trPr>
          <w:trHeight w:val="255"/>
          <w:jc w:val="center"/>
        </w:trPr>
        <w:tc>
          <w:tcPr>
            <w:tcW w:w="3920" w:type="dxa"/>
            <w:tcBorders>
              <w:top w:val="nil"/>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Consiglio</w:t>
            </w:r>
          </w:p>
        </w:tc>
        <w:tc>
          <w:tcPr>
            <w:tcW w:w="1716" w:type="dxa"/>
            <w:tcBorders>
              <w:top w:val="nil"/>
              <w:left w:val="nil"/>
              <w:bottom w:val="nil"/>
              <w:right w:val="single" w:sz="4" w:space="0" w:color="auto"/>
            </w:tcBorders>
            <w:noWrap/>
            <w:vAlign w:val="center"/>
            <w:hideMark/>
          </w:tcPr>
          <w:p w:rsidR="001063DF" w:rsidRPr="00377267" w:rsidRDefault="001063DF" w:rsidP="00825640">
            <w:pPr>
              <w:jc w:val="right"/>
              <w:rPr>
                <w:sz w:val="20"/>
              </w:rPr>
            </w:pPr>
            <w:r w:rsidRPr="00377267">
              <w:rPr>
                <w:sz w:val="20"/>
              </w:rPr>
              <w:t>-3 627 000</w:t>
            </w:r>
          </w:p>
        </w:tc>
      </w:tr>
      <w:tr w:rsidR="001063DF" w:rsidRPr="00377267" w:rsidTr="00825640">
        <w:trPr>
          <w:trHeight w:val="255"/>
          <w:jc w:val="center"/>
        </w:trPr>
        <w:tc>
          <w:tcPr>
            <w:tcW w:w="3920" w:type="dxa"/>
            <w:tcBorders>
              <w:top w:val="nil"/>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Commissione (incluse le pensioni)</w:t>
            </w:r>
          </w:p>
        </w:tc>
        <w:tc>
          <w:tcPr>
            <w:tcW w:w="1716" w:type="dxa"/>
            <w:tcBorders>
              <w:top w:val="nil"/>
              <w:left w:val="nil"/>
              <w:bottom w:val="nil"/>
              <w:right w:val="single" w:sz="4" w:space="0" w:color="auto"/>
            </w:tcBorders>
            <w:noWrap/>
            <w:vAlign w:val="center"/>
            <w:hideMark/>
          </w:tcPr>
          <w:p w:rsidR="001063DF" w:rsidRPr="00377267" w:rsidRDefault="001063DF" w:rsidP="00825640">
            <w:pPr>
              <w:jc w:val="right"/>
              <w:rPr>
                <w:sz w:val="20"/>
              </w:rPr>
            </w:pPr>
            <w:r w:rsidRPr="00377267">
              <w:rPr>
                <w:sz w:val="20"/>
              </w:rPr>
              <w:t>-52 453 000</w:t>
            </w:r>
          </w:p>
        </w:tc>
      </w:tr>
      <w:tr w:rsidR="001063DF" w:rsidRPr="00377267" w:rsidTr="00825640">
        <w:trPr>
          <w:trHeight w:val="255"/>
          <w:jc w:val="center"/>
        </w:trPr>
        <w:tc>
          <w:tcPr>
            <w:tcW w:w="3920" w:type="dxa"/>
            <w:tcBorders>
              <w:top w:val="nil"/>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Corte di giustizia</w:t>
            </w:r>
          </w:p>
        </w:tc>
        <w:tc>
          <w:tcPr>
            <w:tcW w:w="1716" w:type="dxa"/>
            <w:tcBorders>
              <w:top w:val="nil"/>
              <w:left w:val="nil"/>
              <w:bottom w:val="nil"/>
              <w:right w:val="single" w:sz="4" w:space="0" w:color="auto"/>
            </w:tcBorders>
            <w:noWrap/>
            <w:vAlign w:val="center"/>
            <w:hideMark/>
          </w:tcPr>
          <w:p w:rsidR="001063DF" w:rsidRPr="00377267" w:rsidRDefault="001063DF" w:rsidP="00825640">
            <w:pPr>
              <w:jc w:val="right"/>
              <w:rPr>
                <w:sz w:val="20"/>
              </w:rPr>
            </w:pPr>
            <w:r w:rsidRPr="00377267">
              <w:rPr>
                <w:sz w:val="20"/>
              </w:rPr>
              <w:t>-3 393 000</w:t>
            </w:r>
          </w:p>
        </w:tc>
      </w:tr>
      <w:tr w:rsidR="001063DF" w:rsidRPr="00377267" w:rsidTr="00825640">
        <w:trPr>
          <w:trHeight w:val="243"/>
          <w:jc w:val="center"/>
        </w:trPr>
        <w:tc>
          <w:tcPr>
            <w:tcW w:w="3920" w:type="dxa"/>
            <w:tcBorders>
              <w:top w:val="nil"/>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Corte dei conti</w:t>
            </w:r>
          </w:p>
        </w:tc>
        <w:tc>
          <w:tcPr>
            <w:tcW w:w="1716" w:type="dxa"/>
            <w:tcBorders>
              <w:top w:val="nil"/>
              <w:left w:val="nil"/>
              <w:bottom w:val="nil"/>
              <w:right w:val="single" w:sz="4" w:space="0" w:color="auto"/>
            </w:tcBorders>
            <w:noWrap/>
            <w:vAlign w:val="center"/>
            <w:hideMark/>
          </w:tcPr>
          <w:p w:rsidR="001063DF" w:rsidRPr="00377267" w:rsidRDefault="001063DF" w:rsidP="00825640">
            <w:pPr>
              <w:jc w:val="right"/>
              <w:rPr>
                <w:sz w:val="20"/>
              </w:rPr>
            </w:pPr>
            <w:r w:rsidRPr="00377267">
              <w:rPr>
                <w:sz w:val="20"/>
              </w:rPr>
              <w:t>-1 380 000</w:t>
            </w:r>
          </w:p>
        </w:tc>
      </w:tr>
      <w:tr w:rsidR="001063DF" w:rsidRPr="00377267" w:rsidTr="00825640">
        <w:trPr>
          <w:trHeight w:val="255"/>
          <w:jc w:val="center"/>
        </w:trPr>
        <w:tc>
          <w:tcPr>
            <w:tcW w:w="3920" w:type="dxa"/>
            <w:tcBorders>
              <w:top w:val="nil"/>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Comitato economico e sociale europeo</w:t>
            </w:r>
          </w:p>
        </w:tc>
        <w:tc>
          <w:tcPr>
            <w:tcW w:w="1716" w:type="dxa"/>
            <w:tcBorders>
              <w:top w:val="nil"/>
              <w:left w:val="nil"/>
              <w:bottom w:val="nil"/>
              <w:right w:val="single" w:sz="4" w:space="0" w:color="auto"/>
            </w:tcBorders>
            <w:noWrap/>
            <w:vAlign w:val="center"/>
            <w:hideMark/>
          </w:tcPr>
          <w:p w:rsidR="001063DF" w:rsidRPr="00377267" w:rsidRDefault="001063DF" w:rsidP="00825640">
            <w:pPr>
              <w:jc w:val="right"/>
              <w:rPr>
                <w:sz w:val="20"/>
              </w:rPr>
            </w:pPr>
            <w:r w:rsidRPr="00377267">
              <w:rPr>
                <w:sz w:val="20"/>
              </w:rPr>
              <w:t>-819 672</w:t>
            </w:r>
          </w:p>
        </w:tc>
      </w:tr>
      <w:tr w:rsidR="001063DF" w:rsidRPr="00377267" w:rsidTr="00825640">
        <w:trPr>
          <w:trHeight w:val="255"/>
          <w:jc w:val="center"/>
        </w:trPr>
        <w:tc>
          <w:tcPr>
            <w:tcW w:w="3920" w:type="dxa"/>
            <w:tcBorders>
              <w:top w:val="nil"/>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Comitato delle regioni</w:t>
            </w:r>
          </w:p>
        </w:tc>
        <w:tc>
          <w:tcPr>
            <w:tcW w:w="1716" w:type="dxa"/>
            <w:tcBorders>
              <w:top w:val="nil"/>
              <w:left w:val="nil"/>
              <w:bottom w:val="nil"/>
              <w:right w:val="single" w:sz="4" w:space="0" w:color="auto"/>
            </w:tcBorders>
            <w:noWrap/>
            <w:vAlign w:val="center"/>
            <w:hideMark/>
          </w:tcPr>
          <w:p w:rsidR="001063DF" w:rsidRPr="00377267" w:rsidRDefault="001063DF" w:rsidP="00825640">
            <w:pPr>
              <w:jc w:val="right"/>
              <w:rPr>
                <w:sz w:val="20"/>
              </w:rPr>
            </w:pPr>
            <w:r w:rsidRPr="00377267">
              <w:rPr>
                <w:sz w:val="20"/>
              </w:rPr>
              <w:t>-610 000</w:t>
            </w:r>
          </w:p>
        </w:tc>
      </w:tr>
      <w:tr w:rsidR="001063DF" w:rsidRPr="00377267" w:rsidTr="00825640">
        <w:trPr>
          <w:trHeight w:val="255"/>
          <w:jc w:val="center"/>
        </w:trPr>
        <w:tc>
          <w:tcPr>
            <w:tcW w:w="3920" w:type="dxa"/>
            <w:tcBorders>
              <w:top w:val="nil"/>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Mediatore</w:t>
            </w:r>
          </w:p>
        </w:tc>
        <w:tc>
          <w:tcPr>
            <w:tcW w:w="1716" w:type="dxa"/>
            <w:tcBorders>
              <w:top w:val="nil"/>
              <w:left w:val="nil"/>
              <w:bottom w:val="nil"/>
              <w:right w:val="single" w:sz="4" w:space="0" w:color="auto"/>
            </w:tcBorders>
            <w:noWrap/>
            <w:vAlign w:val="center"/>
            <w:hideMark/>
          </w:tcPr>
          <w:p w:rsidR="001063DF" w:rsidRPr="00377267" w:rsidRDefault="001063DF" w:rsidP="00825640">
            <w:pPr>
              <w:jc w:val="right"/>
              <w:rPr>
                <w:sz w:val="20"/>
              </w:rPr>
            </w:pPr>
            <w:r w:rsidRPr="00377267">
              <w:rPr>
                <w:sz w:val="20"/>
              </w:rPr>
              <w:t>-111 000</w:t>
            </w:r>
          </w:p>
        </w:tc>
      </w:tr>
      <w:tr w:rsidR="001063DF" w:rsidRPr="00377267" w:rsidTr="00825640">
        <w:trPr>
          <w:trHeight w:val="255"/>
          <w:jc w:val="center"/>
        </w:trPr>
        <w:tc>
          <w:tcPr>
            <w:tcW w:w="3920" w:type="dxa"/>
            <w:tcBorders>
              <w:top w:val="nil"/>
              <w:left w:val="single" w:sz="4" w:space="0" w:color="auto"/>
              <w:bottom w:val="nil"/>
              <w:right w:val="single" w:sz="4" w:space="0" w:color="auto"/>
            </w:tcBorders>
            <w:noWrap/>
            <w:vAlign w:val="center"/>
            <w:hideMark/>
          </w:tcPr>
          <w:p w:rsidR="001063DF" w:rsidRPr="00377267" w:rsidRDefault="001063DF" w:rsidP="00825640">
            <w:pPr>
              <w:rPr>
                <w:sz w:val="20"/>
              </w:rPr>
            </w:pPr>
            <w:r w:rsidRPr="00377267">
              <w:rPr>
                <w:sz w:val="20"/>
              </w:rPr>
              <w:t>Garante europeo della protezione dei dati</w:t>
            </w:r>
          </w:p>
        </w:tc>
        <w:tc>
          <w:tcPr>
            <w:tcW w:w="1716" w:type="dxa"/>
            <w:tcBorders>
              <w:top w:val="nil"/>
              <w:left w:val="nil"/>
              <w:bottom w:val="nil"/>
              <w:right w:val="single" w:sz="4" w:space="0" w:color="auto"/>
            </w:tcBorders>
            <w:noWrap/>
            <w:vAlign w:val="center"/>
            <w:hideMark/>
          </w:tcPr>
          <w:p w:rsidR="001063DF" w:rsidRPr="00377267" w:rsidRDefault="001063DF" w:rsidP="00825640">
            <w:pPr>
              <w:jc w:val="right"/>
              <w:rPr>
                <w:sz w:val="20"/>
              </w:rPr>
            </w:pPr>
            <w:r w:rsidRPr="00377267">
              <w:rPr>
                <w:sz w:val="20"/>
              </w:rPr>
              <w:t>-64 000</w:t>
            </w:r>
          </w:p>
        </w:tc>
      </w:tr>
      <w:tr w:rsidR="001063DF" w:rsidRPr="00377267" w:rsidTr="00825640">
        <w:trPr>
          <w:trHeight w:val="255"/>
          <w:jc w:val="center"/>
        </w:trPr>
        <w:tc>
          <w:tcPr>
            <w:tcW w:w="3920" w:type="dxa"/>
            <w:tcBorders>
              <w:top w:val="nil"/>
              <w:left w:val="single" w:sz="4" w:space="0" w:color="auto"/>
              <w:bottom w:val="single" w:sz="4" w:space="0" w:color="auto"/>
              <w:right w:val="single" w:sz="4" w:space="0" w:color="auto"/>
            </w:tcBorders>
            <w:noWrap/>
            <w:vAlign w:val="center"/>
            <w:hideMark/>
          </w:tcPr>
          <w:p w:rsidR="001063DF" w:rsidRPr="00377267" w:rsidRDefault="001063DF" w:rsidP="00825640">
            <w:pPr>
              <w:rPr>
                <w:sz w:val="20"/>
              </w:rPr>
            </w:pPr>
            <w:r w:rsidRPr="00377267">
              <w:rPr>
                <w:sz w:val="20"/>
              </w:rPr>
              <w:t>Servizio europeo per l'azione esterna</w:t>
            </w:r>
          </w:p>
        </w:tc>
        <w:tc>
          <w:tcPr>
            <w:tcW w:w="1716" w:type="dxa"/>
            <w:tcBorders>
              <w:top w:val="nil"/>
              <w:left w:val="single" w:sz="4" w:space="0" w:color="auto"/>
              <w:bottom w:val="single" w:sz="4" w:space="0" w:color="auto"/>
              <w:right w:val="single" w:sz="4" w:space="0" w:color="auto"/>
            </w:tcBorders>
            <w:noWrap/>
            <w:vAlign w:val="center"/>
            <w:hideMark/>
          </w:tcPr>
          <w:p w:rsidR="001063DF" w:rsidRPr="00377267" w:rsidRDefault="001063DF" w:rsidP="00825640">
            <w:pPr>
              <w:jc w:val="right"/>
              <w:rPr>
                <w:sz w:val="20"/>
              </w:rPr>
            </w:pPr>
            <w:r w:rsidRPr="00377267">
              <w:rPr>
                <w:sz w:val="20"/>
              </w:rPr>
              <w:t>-3 529 000</w:t>
            </w:r>
          </w:p>
        </w:tc>
      </w:tr>
      <w:tr w:rsidR="001063DF" w:rsidRPr="00377267" w:rsidTr="00825640">
        <w:trPr>
          <w:trHeight w:val="255"/>
          <w:jc w:val="center"/>
        </w:trPr>
        <w:tc>
          <w:tcPr>
            <w:tcW w:w="3920" w:type="dxa"/>
            <w:tcBorders>
              <w:top w:val="nil"/>
              <w:left w:val="single" w:sz="4" w:space="0" w:color="auto"/>
              <w:bottom w:val="single" w:sz="4" w:space="0" w:color="auto"/>
              <w:right w:val="single" w:sz="4" w:space="0" w:color="auto"/>
            </w:tcBorders>
            <w:shd w:val="clear" w:color="auto" w:fill="DCE6F1"/>
            <w:vAlign w:val="center"/>
            <w:hideMark/>
          </w:tcPr>
          <w:p w:rsidR="001063DF" w:rsidRPr="00377267" w:rsidRDefault="001063DF" w:rsidP="00825640">
            <w:pPr>
              <w:jc w:val="center"/>
              <w:rPr>
                <w:b/>
                <w:bCs/>
                <w:color w:val="000000"/>
                <w:sz w:val="20"/>
              </w:rPr>
            </w:pPr>
            <w:r w:rsidRPr="00377267">
              <w:rPr>
                <w:b/>
                <w:bCs/>
                <w:color w:val="000000"/>
                <w:sz w:val="20"/>
              </w:rPr>
              <w:t>Totale</w:t>
            </w:r>
          </w:p>
        </w:tc>
        <w:tc>
          <w:tcPr>
            <w:tcW w:w="1716" w:type="dxa"/>
            <w:tcBorders>
              <w:top w:val="nil"/>
              <w:left w:val="nil"/>
              <w:bottom w:val="single" w:sz="4" w:space="0" w:color="auto"/>
              <w:right w:val="single" w:sz="4" w:space="0" w:color="auto"/>
            </w:tcBorders>
            <w:shd w:val="clear" w:color="auto" w:fill="DCE6F1"/>
            <w:vAlign w:val="center"/>
            <w:hideMark/>
          </w:tcPr>
          <w:p w:rsidR="001063DF" w:rsidRPr="00377267" w:rsidRDefault="001063DF" w:rsidP="00825640">
            <w:pPr>
              <w:jc w:val="right"/>
              <w:rPr>
                <w:b/>
                <w:bCs/>
                <w:color w:val="000000"/>
                <w:sz w:val="20"/>
              </w:rPr>
            </w:pPr>
            <w:r w:rsidRPr="00377267">
              <w:rPr>
                <w:b/>
                <w:bCs/>
                <w:color w:val="000000"/>
                <w:sz w:val="20"/>
              </w:rPr>
              <w:t>-76 908 672</w:t>
            </w:r>
          </w:p>
        </w:tc>
      </w:tr>
    </w:tbl>
    <w:p w:rsidR="001063DF" w:rsidRPr="00377267" w:rsidRDefault="001063DF" w:rsidP="001063DF">
      <w:pPr>
        <w:spacing w:before="120" w:after="120"/>
        <w:jc w:val="both"/>
      </w:pPr>
    </w:p>
    <w:p w:rsidR="001063DF" w:rsidRPr="00377267" w:rsidRDefault="001063DF" w:rsidP="001063DF">
      <w:pPr>
        <w:spacing w:before="120" w:after="120"/>
        <w:jc w:val="both"/>
        <w:rPr>
          <w:szCs w:val="24"/>
        </w:rPr>
      </w:pPr>
      <w:r w:rsidRPr="00377267">
        <w:t>Di conseguenza, il livello di stanziamenti d'impegno concordato è fissato a 10 272,1 milioni di EUR, lasciando un margine di 729,9 milioni di EUR al di sotto del massimale di spesa della rubrica 5, dopo aver utilizzato 252,0 milioni di EUR del margine per compensare la mobilizzazione del margine per imprevisti nel 2017.</w:t>
      </w:r>
    </w:p>
    <w:p w:rsidR="001063DF" w:rsidRPr="00377267" w:rsidRDefault="001063DF" w:rsidP="001063DF">
      <w:pPr>
        <w:spacing w:before="240" w:after="120"/>
        <w:jc w:val="both"/>
        <w:rPr>
          <w:b/>
          <w:u w:val="single"/>
        </w:rPr>
      </w:pPr>
      <w:r w:rsidRPr="00377267">
        <w:rPr>
          <w:b/>
          <w:u w:val="single"/>
        </w:rPr>
        <w:t>Strumenti speciali: Fondo europeo di adeguamento alla globalizzazione (FEG), riserva per gli aiuti d'urgenza e Fondo di solidarietà dell'Unione europea (FSUE)</w:t>
      </w:r>
    </w:p>
    <w:p w:rsidR="009967E3" w:rsidRPr="00377267" w:rsidRDefault="001063DF" w:rsidP="00F256FF">
      <w:pPr>
        <w:spacing w:before="120" w:after="120"/>
        <w:jc w:val="both"/>
      </w:pPr>
      <w:r w:rsidRPr="00377267">
        <w:t xml:space="preserve">Gli stanziamenti d'impegno per il Fondo europeo di adeguamento alla globalizzazione (FEG), la riserva per gli aiuti d'urgenza e il Fondo di solidarietà dell'Unione europea (FSUE) sono fissati al livello proposto dalla Commissione nel progetto di bilancio. </w:t>
      </w:r>
    </w:p>
    <w:p w:rsidR="006A2A3A" w:rsidRPr="00377267" w:rsidRDefault="006A2A3A" w:rsidP="006A2A3A">
      <w:pPr>
        <w:rPr>
          <w:b/>
          <w:szCs w:val="22"/>
        </w:rPr>
      </w:pPr>
      <w:r w:rsidRPr="00377267">
        <w:rPr>
          <w:b/>
          <w:szCs w:val="22"/>
        </w:rPr>
        <w:t>1.4.</w:t>
      </w:r>
      <w:r w:rsidRPr="00377267">
        <w:rPr>
          <w:b/>
          <w:szCs w:val="22"/>
        </w:rPr>
        <w:tab/>
        <w:t>Stanziamenti di pagamento</w:t>
      </w:r>
    </w:p>
    <w:p w:rsidR="006A2A3A" w:rsidRPr="00377267" w:rsidRDefault="006A2A3A" w:rsidP="006A2A3A">
      <w:pPr>
        <w:spacing w:before="120" w:after="120"/>
        <w:jc w:val="both"/>
        <w:rPr>
          <w:szCs w:val="24"/>
        </w:rPr>
      </w:pPr>
      <w:r w:rsidRPr="00377267">
        <w:t xml:space="preserve">L'importo complessivo degli </w:t>
      </w:r>
      <w:r w:rsidRPr="00377267">
        <w:rPr>
          <w:u w:val="single"/>
        </w:rPr>
        <w:t>stanziamenti di pagamento</w:t>
      </w:r>
      <w:r w:rsidRPr="00377267">
        <w:t xml:space="preserve"> nel bilancio 2020 è fissato al livello del progetto di bilancio, quale modificato dalla lettera rettificativa n. 1/2020, integrando i seguenti adeguamenti decisi in sede di comitato di conciliazione:</w:t>
      </w:r>
    </w:p>
    <w:p w:rsidR="006A2A3A" w:rsidRPr="00377267" w:rsidRDefault="006A2A3A" w:rsidP="006A2A3A">
      <w:pPr>
        <w:widowControl/>
        <w:spacing w:before="120" w:after="120"/>
        <w:ind w:left="720" w:hanging="360"/>
        <w:jc w:val="both"/>
      </w:pPr>
      <w:r w:rsidRPr="00377267">
        <w:t>1.</w:t>
      </w:r>
      <w:r w:rsidRPr="00377267">
        <w:tab/>
        <w:t>in primo luogo, si tiene conto del livello degli stanziamenti d'impegno concordato per le spese non dissociate, per le quali il livello degli stanziamenti di pagamento equivale al livello degli stanziamenti d'impegno. Ciò include l'ulteriore riduzione delle spese agricole di 72,0 milioni di EUR. Questo orientamento si applica, per analogia, al contributo dell'UE alle agenzie decentrate. L'effetto combinato è una diminuzione di 156,4 milioni di EUR;</w:t>
      </w:r>
    </w:p>
    <w:p w:rsidR="006A2A3A" w:rsidRPr="00377267" w:rsidRDefault="006A2A3A" w:rsidP="006A2A3A">
      <w:pPr>
        <w:widowControl/>
        <w:spacing w:before="120" w:after="120"/>
        <w:ind w:left="720" w:hanging="360"/>
        <w:jc w:val="both"/>
      </w:pPr>
      <w:r w:rsidRPr="00377267">
        <w:t>2.</w:t>
      </w:r>
      <w:r w:rsidRPr="00377267">
        <w:tab/>
        <w:t xml:space="preserve">gli stanziamenti di pagamento per la totalità dei </w:t>
      </w:r>
      <w:r w:rsidRPr="00377267">
        <w:rPr>
          <w:i/>
        </w:rPr>
        <w:t>nuovi</w:t>
      </w:r>
      <w:r w:rsidRPr="00377267">
        <w:t xml:space="preserve"> progetti pilota e delle </w:t>
      </w:r>
      <w:r w:rsidRPr="00377267">
        <w:rPr>
          <w:i/>
        </w:rPr>
        <w:t>nuove</w:t>
      </w:r>
      <w:r w:rsidRPr="00377267">
        <w:t xml:space="preserve"> azioni preparatorie proposti dal Parlamento sono fissati al 25 % dei relativi stanziamenti d'impegno o al livello proposto dal Parlamento se di entità inferiore. In caso di proroga dei progetti pilota e delle azioni preparatorie </w:t>
      </w:r>
      <w:r w:rsidRPr="00377267">
        <w:rPr>
          <w:i/>
        </w:rPr>
        <w:t>esistenti</w:t>
      </w:r>
      <w:r w:rsidRPr="00377267">
        <w:t>, il livello degli stanziamenti di pagamento corrisponde a quello definito nel progetto di bilancio, cui è aggiunto un importo pari al 25 % dei nuovi stanziamenti d'impegno corrispondenti, o all'importo proposto dal Parlamento se di entità inferiore. L'effetto combinato è un aumento di 35,0 milioni di EUR;</w:t>
      </w:r>
    </w:p>
    <w:p w:rsidR="006A2A3A" w:rsidRPr="00377267" w:rsidRDefault="006A2A3A" w:rsidP="006A2A3A">
      <w:pPr>
        <w:widowControl/>
        <w:spacing w:before="120" w:after="120"/>
        <w:ind w:left="714" w:hanging="357"/>
        <w:jc w:val="both"/>
      </w:pPr>
      <w:r w:rsidRPr="00377267">
        <w:t>3.</w:t>
      </w:r>
      <w:r w:rsidRPr="00377267">
        <w:tab/>
        <w:t>gli adeguamenti alle seguenti linee di bilancio sono decisi a seguito dell'evoluzione degli stanziamenti d'impegno relativi alle spese dissociate:</w:t>
      </w:r>
    </w:p>
    <w:tbl>
      <w:tblPr>
        <w:tblW w:w="9365" w:type="dxa"/>
        <w:tblInd w:w="108" w:type="dxa"/>
        <w:tblLook w:val="04A0" w:firstRow="1" w:lastRow="0" w:firstColumn="1" w:lastColumn="0" w:noHBand="0" w:noVBand="1"/>
      </w:tblPr>
      <w:tblGrid>
        <w:gridCol w:w="1240"/>
        <w:gridCol w:w="3755"/>
        <w:gridCol w:w="1418"/>
        <w:gridCol w:w="1559"/>
        <w:gridCol w:w="1393"/>
      </w:tblGrid>
      <w:tr w:rsidR="006A2A3A" w:rsidRPr="00377267" w:rsidTr="000F66CA">
        <w:trPr>
          <w:trHeight w:val="255"/>
          <w:tblHeader/>
        </w:trPr>
        <w:tc>
          <w:tcPr>
            <w:tcW w:w="1240" w:type="dxa"/>
            <w:noWrap/>
            <w:vAlign w:val="center"/>
            <w:hideMark/>
          </w:tcPr>
          <w:p w:rsidR="006A2A3A" w:rsidRPr="00377267" w:rsidRDefault="006A2A3A" w:rsidP="000F66CA"/>
        </w:tc>
        <w:tc>
          <w:tcPr>
            <w:tcW w:w="3755" w:type="dxa"/>
            <w:noWrap/>
            <w:vAlign w:val="bottom"/>
            <w:hideMark/>
          </w:tcPr>
          <w:p w:rsidR="006A2A3A" w:rsidRPr="00377267" w:rsidRDefault="006A2A3A" w:rsidP="000F66CA">
            <w:pPr>
              <w:rPr>
                <w:sz w:val="20"/>
              </w:rPr>
            </w:pPr>
          </w:p>
        </w:tc>
        <w:tc>
          <w:tcPr>
            <w:tcW w:w="1418" w:type="dxa"/>
            <w:noWrap/>
            <w:vAlign w:val="center"/>
            <w:hideMark/>
          </w:tcPr>
          <w:p w:rsidR="006A2A3A" w:rsidRPr="00377267" w:rsidRDefault="006A2A3A" w:rsidP="000F66CA">
            <w:pPr>
              <w:rPr>
                <w:sz w:val="20"/>
              </w:rPr>
            </w:pPr>
          </w:p>
        </w:tc>
        <w:tc>
          <w:tcPr>
            <w:tcW w:w="1559" w:type="dxa"/>
            <w:noWrap/>
            <w:vAlign w:val="center"/>
            <w:hideMark/>
          </w:tcPr>
          <w:p w:rsidR="006A2A3A" w:rsidRPr="00377267" w:rsidRDefault="006A2A3A" w:rsidP="000F66CA">
            <w:pPr>
              <w:rPr>
                <w:sz w:val="20"/>
              </w:rPr>
            </w:pPr>
          </w:p>
        </w:tc>
        <w:tc>
          <w:tcPr>
            <w:tcW w:w="1393" w:type="dxa"/>
            <w:noWrap/>
            <w:vAlign w:val="center"/>
            <w:hideMark/>
          </w:tcPr>
          <w:p w:rsidR="006A2A3A" w:rsidRPr="00377267" w:rsidRDefault="006A2A3A" w:rsidP="000F66CA">
            <w:pPr>
              <w:jc w:val="right"/>
              <w:rPr>
                <w:i/>
                <w:iCs/>
                <w:sz w:val="20"/>
              </w:rPr>
            </w:pPr>
            <w:r w:rsidRPr="00377267">
              <w:rPr>
                <w:i/>
                <w:iCs/>
                <w:sz w:val="20"/>
              </w:rPr>
              <w:t>In EUR</w:t>
            </w:r>
          </w:p>
        </w:tc>
      </w:tr>
      <w:tr w:rsidR="006A2A3A" w:rsidRPr="00377267" w:rsidTr="000F66CA">
        <w:trPr>
          <w:trHeight w:val="255"/>
          <w:tblHeader/>
        </w:trPr>
        <w:tc>
          <w:tcPr>
            <w:tcW w:w="1240" w:type="dxa"/>
            <w:vMerge w:val="restart"/>
            <w:tcBorders>
              <w:top w:val="single" w:sz="4" w:space="0" w:color="auto"/>
              <w:left w:val="single" w:sz="4" w:space="0" w:color="auto"/>
              <w:bottom w:val="single" w:sz="4" w:space="0" w:color="000000"/>
              <w:right w:val="nil"/>
            </w:tcBorders>
            <w:shd w:val="clear" w:color="auto" w:fill="DCE6F1"/>
            <w:vAlign w:val="center"/>
            <w:hideMark/>
          </w:tcPr>
          <w:p w:rsidR="006A2A3A" w:rsidRPr="00377267" w:rsidRDefault="006A2A3A" w:rsidP="000F66CA">
            <w:pPr>
              <w:jc w:val="center"/>
              <w:rPr>
                <w:b/>
                <w:bCs/>
                <w:color w:val="000000"/>
                <w:sz w:val="16"/>
                <w:szCs w:val="16"/>
              </w:rPr>
            </w:pPr>
            <w:r w:rsidRPr="00377267">
              <w:rPr>
                <w:b/>
                <w:bCs/>
                <w:color w:val="000000"/>
                <w:sz w:val="16"/>
                <w:szCs w:val="16"/>
              </w:rPr>
              <w:t>Linea di bilancio / Programma</w:t>
            </w:r>
          </w:p>
        </w:tc>
        <w:tc>
          <w:tcPr>
            <w:tcW w:w="3755" w:type="dxa"/>
            <w:vMerge w:val="restart"/>
            <w:tcBorders>
              <w:top w:val="single" w:sz="4" w:space="0" w:color="auto"/>
              <w:left w:val="single" w:sz="4" w:space="0" w:color="auto"/>
              <w:bottom w:val="single" w:sz="4" w:space="0" w:color="000000"/>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Denominazione</w:t>
            </w:r>
          </w:p>
        </w:tc>
        <w:tc>
          <w:tcPr>
            <w:tcW w:w="4370" w:type="dxa"/>
            <w:gridSpan w:val="3"/>
            <w:tcBorders>
              <w:top w:val="single" w:sz="4" w:space="0" w:color="auto"/>
              <w:left w:val="single" w:sz="4" w:space="0" w:color="auto"/>
              <w:bottom w:val="single" w:sz="4" w:space="0" w:color="auto"/>
              <w:right w:val="single" w:sz="4" w:space="0" w:color="000000"/>
            </w:tcBorders>
            <w:shd w:val="clear" w:color="auto" w:fill="DCE6F1"/>
            <w:vAlign w:val="center"/>
            <w:hideMark/>
          </w:tcPr>
          <w:p w:rsidR="006A2A3A" w:rsidRPr="00377267" w:rsidRDefault="006A2A3A" w:rsidP="000F66CA">
            <w:pPr>
              <w:jc w:val="center"/>
              <w:rPr>
                <w:b/>
                <w:bCs/>
                <w:sz w:val="20"/>
              </w:rPr>
            </w:pPr>
            <w:r w:rsidRPr="00377267">
              <w:rPr>
                <w:b/>
                <w:bCs/>
                <w:sz w:val="20"/>
              </w:rPr>
              <w:t>Variazione in stanziamenti d'impegno</w:t>
            </w:r>
          </w:p>
        </w:tc>
      </w:tr>
      <w:tr w:rsidR="006A2A3A" w:rsidRPr="00377267" w:rsidTr="000F66CA">
        <w:trPr>
          <w:trHeight w:val="510"/>
          <w:tblHeader/>
        </w:trPr>
        <w:tc>
          <w:tcPr>
            <w:tcW w:w="0" w:type="auto"/>
            <w:vMerge/>
            <w:tcBorders>
              <w:top w:val="single" w:sz="4" w:space="0" w:color="auto"/>
              <w:left w:val="single" w:sz="4" w:space="0" w:color="auto"/>
              <w:bottom w:val="single" w:sz="4" w:space="0" w:color="000000"/>
              <w:right w:val="nil"/>
            </w:tcBorders>
            <w:vAlign w:val="center"/>
            <w:hideMark/>
          </w:tcPr>
          <w:p w:rsidR="006A2A3A" w:rsidRPr="00377267" w:rsidRDefault="006A2A3A" w:rsidP="000F66CA">
            <w:pPr>
              <w:rPr>
                <w:b/>
                <w:bCs/>
                <w:color w:val="000000"/>
                <w:sz w:val="16"/>
                <w:szCs w:val="16"/>
              </w:rPr>
            </w:pPr>
          </w:p>
        </w:tc>
        <w:tc>
          <w:tcPr>
            <w:tcW w:w="3755" w:type="dxa"/>
            <w:vMerge/>
            <w:tcBorders>
              <w:top w:val="single" w:sz="4" w:space="0" w:color="auto"/>
              <w:left w:val="single" w:sz="4" w:space="0" w:color="auto"/>
              <w:bottom w:val="single" w:sz="4" w:space="0" w:color="000000"/>
              <w:right w:val="single" w:sz="4" w:space="0" w:color="auto"/>
            </w:tcBorders>
            <w:vAlign w:val="center"/>
            <w:hideMark/>
          </w:tcPr>
          <w:p w:rsidR="006A2A3A" w:rsidRPr="00377267" w:rsidRDefault="006A2A3A" w:rsidP="000F66CA">
            <w:pPr>
              <w:rPr>
                <w:b/>
                <w:bCs/>
                <w:color w:val="000000"/>
                <w:sz w:val="20"/>
              </w:rPr>
            </w:pPr>
          </w:p>
        </w:tc>
        <w:tc>
          <w:tcPr>
            <w:tcW w:w="1418" w:type="dxa"/>
            <w:tcBorders>
              <w:top w:val="nil"/>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PB 2020 (inclusa la lettera rettificativa n. 1)</w:t>
            </w:r>
          </w:p>
        </w:tc>
        <w:tc>
          <w:tcPr>
            <w:tcW w:w="1559" w:type="dxa"/>
            <w:tcBorders>
              <w:top w:val="nil"/>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Bilancio 2020</w:t>
            </w:r>
          </w:p>
        </w:tc>
        <w:tc>
          <w:tcPr>
            <w:tcW w:w="1393" w:type="dxa"/>
            <w:tcBorders>
              <w:top w:val="nil"/>
              <w:left w:val="nil"/>
              <w:bottom w:val="single" w:sz="4" w:space="0" w:color="auto"/>
              <w:right w:val="single" w:sz="4" w:space="0" w:color="auto"/>
            </w:tcBorders>
            <w:shd w:val="clear" w:color="auto" w:fill="DCE6F1"/>
            <w:noWrap/>
            <w:vAlign w:val="center"/>
            <w:hideMark/>
          </w:tcPr>
          <w:p w:rsidR="006A2A3A" w:rsidRPr="00377267" w:rsidRDefault="006A2A3A" w:rsidP="000F66CA">
            <w:pPr>
              <w:jc w:val="center"/>
              <w:rPr>
                <w:b/>
                <w:bCs/>
                <w:color w:val="000000"/>
                <w:sz w:val="20"/>
              </w:rPr>
            </w:pPr>
            <w:r w:rsidRPr="00377267">
              <w:rPr>
                <w:b/>
                <w:bCs/>
                <w:color w:val="000000"/>
                <w:sz w:val="20"/>
              </w:rPr>
              <w:t>Differenza</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1.1.31</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Orizzonte 2020</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87 754 856</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02 04 03 01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Conseguire un'economia efficiente sotto il profilo delle risorse e resistente ai cambiamenti climatici e un approvvigionamento sostenibile di materie prime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68 500 000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79 753 000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11 253 000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05 09 03 01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Garantire approvvigionamenti sufficienti di prodotti alimentari sicuri e di elevata qualità e altri bioprodotti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246 618 066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257 493 066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10 875 000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06 03 03 01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Realizzare un sistema di trasporto europeo efficiente sotto il profilo delle risorse, rispettoso dell'ambiente, sicuro e continuo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72 392 254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78 482 254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6 090 000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08 02 02 02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Migliorare l'accesso al capitale di rischio per investire nella ricerca e nell'innovazione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120 856 938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98 806 938</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-22 050 000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Migliorare la salute e il benessere nell'intero arco della vita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597 667 007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605 575 007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7 908 000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08 02 03 03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Effettuare la transizione verso un sistema energetico affidabile, sostenibile e competitivo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371 904 517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389 637 517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17 733 000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08 02 03 04</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Realizzare un sistema di trasporto europeo efficiente sotto il profilo delle risorse, rispettoso dell'ambiente, sicuro e senza soluzione di continuità</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281 336 863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288 816 863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7 480 000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08 02 03 05</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Conseguire un'economia efficiente sotto il profilo delle risorse e resistente ai cambiamenti climatici e un approvvigionamento sostenibile di materie prime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270 375 566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276 823 566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6 448 000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08 02 04</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Diffondere l'eccellenza e ampliare la partecipazione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134 355 325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135 975 325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1 620 000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08 02 07 32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Impresa comune per l'iniziativa in materia di medicinali innovativi 2 (IMI2)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184 313 342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179 520 198</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-4 793 144</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08 02 08</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Strumento per le PMI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532 049 827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553 649 827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21 600 000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09 04 01 01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Rafforzare la ricerca sulle tecnologie emergenti e future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466 500 000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468 325 000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1 825 000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09 04 02 01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Leadership nelle tecnologie dell'informazione e della comunicazione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711 700 000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716 567 000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4 867 000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09 04 03 01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Migliorare la salute e il benessere nell'intero arco della vita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147 200 000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149 633 000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2 433 000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09 04 03 02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Promuovere società europee inclusive, innovative e riflessive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47 700 000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48 000 000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300 000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09 04 03 03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Promuovere società europee sicure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55 400 000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52 400 000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-3 000 000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15 03 01 01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Azioni Marie Skłodowska-Curie — Generare, sviluppare e trasferire nuove competenze, conoscenze e innovazione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862 725 632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865 158 632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2 433 000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18 05 03 01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Promuovere società europee sicure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168 549 256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165 549 256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-3 000 000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32 04 03 01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Transizione a un sistema energetico affidabile, sostenibile e competitivo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398 861 189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416 594 189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17 733 000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1.1.32</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Programma Euratom di ricerca e formazione</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-1 100 000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08 03 01 02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Euratom — Fissione nucleare e radioprotezione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92 297 374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91 597 374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-700 000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10 03 01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Attività Euratom di ricerca diretta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12 000 000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11 600 000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-400 000</w:t>
            </w:r>
          </w:p>
        </w:tc>
      </w:tr>
      <w:tr w:rsidR="006A2A3A" w:rsidRPr="00377267" w:rsidTr="000F66CA">
        <w:trPr>
          <w:trHeight w:val="54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1.1.4</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Programma per la competitività delle imprese e le piccole e medie imprese (COSME)</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5 000 000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02 02 02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Migliorare l'accesso delle piccole e medie imprese (PMI) ai finanziamenti sotto forma di capitale proprio e di debito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210 000 000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215 000 000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5 000 000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1.1.5</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Istruzione, formazione e sport (Erasmus+)</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50 000 000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15 02 01 01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Promuovere l'eccellenza e la cooperazione nei settori dell'istruzione e della formazione europei e accrescere la loro rilevanza per il mercato del lavoro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2 375 000 000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2 415 509 851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40 509 851</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15 02 01 02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Promuovere l'eccellenza e la cooperazione nel settore della gioventù europea e la partecipazione dei giovani alla vita democratica in Europa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180 000 000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187 583 896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7 583 896</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15 02 02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Promuovere l'eccellenza nelle attività di insegnamento e di ricerca sull'integrazione europea mediante le attività «Jean Monnet» a livello mondiale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46 000 000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47 906 253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1 906 253</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1.1.6</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Occupazione e innovazione sociale (EaSI)</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-2 000 000</w:t>
            </w:r>
          </w:p>
        </w:tc>
      </w:tr>
      <w:tr w:rsidR="006A2A3A" w:rsidRPr="00377267" w:rsidTr="000F66CA">
        <w:trPr>
          <w:trHeight w:val="102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04 03 02 01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PROGRESS – Sostenere lo sviluppo, l'attuazione, il monitoraggio e la valutazione della politica sociale e dell'occupazione dell'Unione nonché della legislazione sulle condizioni di lavoro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59 400 000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58 900 000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-500 000</w:t>
            </w:r>
          </w:p>
        </w:tc>
      </w:tr>
      <w:tr w:rsidR="006A2A3A" w:rsidRPr="00377267" w:rsidTr="000F66CA">
        <w:trPr>
          <w:trHeight w:val="127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04 03 02 03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Microfinanza e imprenditoria sociale — Ampliare l'accesso ai finanziamenti, e la loro disponibilità, per le persone fisiche e giuridiche, soprattutto quelle più lontane dal mercato del lavoro, e per le imprese sociali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23 000 000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21 500 000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-1 500 000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1.1.81</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Energia</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28 740 000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32 02 01 01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Ulteriore integrazione del mercato interno dell'energia e dell'interoperabilità transfrontaliera delle reti elettriche e del gas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131 500 000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148 240 000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16 740 000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32 02 01 02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Miglioramento della sicurezza dell'approvvigionamento energetico nell'Unione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128 200 000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134 200 000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6 000 000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32 02 01 03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Contribuire allo sviluppo sostenibile e alla tutela dell'ambiente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128 300 000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134 300 000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6 000 000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1.1.82</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Trasporti</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11 100 000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06 02 01 01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Eliminare le strozzature, accrescere l'interoperabilità ferroviaria, realizzare i collegamenti mancanti e migliorare le tratte transfrontaliere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980 000 000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989 435 000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9 435 000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06 02 01 02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Garantire sistemi di trasporto efficienti e sostenibili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95 000 000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96 665 000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1 665 000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 OTH</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Altre azioni e programmi</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-200 000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26 02 01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Procedure di aggiudicazione e di pubblicazione degli appalti pubblici di forniture, di lavori e di servizi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7 200 000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7 000 000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-200 000</w:t>
            </w:r>
          </w:p>
        </w:tc>
      </w:tr>
      <w:tr w:rsidR="006A2A3A" w:rsidRPr="00377267" w:rsidTr="000F66CA">
        <w:trPr>
          <w:trHeight w:val="81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1.1. SPEC</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Azioni finanziate a titolo delle prerogative e delle competenze specifiche conferite alla Commissione</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-1 200 000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02 03 01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Funzionamento e sviluppo del mercato interno per beni e servizi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26 610 000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25 810 000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-800 000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Definizione e attuazione della politica dell'Unione nel settore della comunicazione elettronica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2 600 000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-400 000</w:t>
            </w:r>
          </w:p>
        </w:tc>
      </w:tr>
      <w:tr w:rsidR="006A2A3A" w:rsidRPr="00377267" w:rsidTr="000F66CA">
        <w:trPr>
          <w:trHeight w:val="54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1.2.5</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Iniziativa a favore dell'occupazione giovanile (dotazione complementare specifica)</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3 000 000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04 02 64</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Iniziativa a favore dell'occupazione giovanile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600 000 000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603 000 000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3 000 000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2.0.4</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Ambiente e azione per il clima (LIFE)</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5 000 001</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34 02 01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Ridurre le emissioni di gas serra dell'Unione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42 000 000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44 777 778</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2 777 778</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34 02 02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Accrescere la resilienza dell'Unione ai cambiamenti climatici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22 500 000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24 087 302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1 587 302</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34 02 03</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Migliorare la governance e l'informazione in materia di clima a tutti i livelli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15 000 000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15 634 921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634 921</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3.0.11</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Europa creativa</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6 000 000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09 05 01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Sottoprogramma MEDIA — Agire a livello transnazionale e internazionale e promuovere la circolazione e la mobilità transnazionali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99 200 000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103 200 000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4 000 000</w:t>
            </w:r>
          </w:p>
        </w:tc>
      </w:tr>
      <w:tr w:rsidR="006A2A3A" w:rsidRPr="00377267" w:rsidTr="000F66CA">
        <w:trPr>
          <w:trHeight w:val="127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15 04 01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Rafforzare la capacità finanziaria delle PMI e delle organizzazioni di piccole o piccolissime dimensioni operanti nei settori culturali e creativi europei, promuovere l'elaborazione di politiche e nuovi modelli aziendali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29 200 000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30 000 000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800 000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15 04 02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Sottoprogramma Cultura — Sostenere azioni transfrontaliere e promuovere la circolazione e la mobilità transnazionali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66 000 000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67 200 000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1 200 000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3.0.5</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Diritti, uguaglianza e cittadinanza</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1 200 000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33 02 01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Garantire la tutela dei diritti e l'empowerment dei cittadini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28 800 000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30 000 000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1 200 000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3.0.6</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Meccanismo unionale di protezione civile</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-15 000 000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23 03 01 01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Prevenzione delle calamità e preparazione alle calamità all'interno dell'Unione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63 000 000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48 000 000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-15 000 000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3.0.7</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Europa per i cittadini</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1 000 000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18 04 01 01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Programma «Europa per i cittadini» — Rafforzare la memoria e accrescere la capacità di partecipazione civica a livello di 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25 000 000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26 000 000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1 000 000</w:t>
            </w:r>
          </w:p>
        </w:tc>
      </w:tr>
      <w:tr w:rsidR="006A2A3A" w:rsidRPr="00377267" w:rsidTr="000F66CA">
        <w:trPr>
          <w:trHeight w:val="81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3.0. SPEC</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Azioni finanziate a titolo delle prerogative e delle competenze specifiche conferite alla Commissione</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1 000 000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09 05 05</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Azioni multimedia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22 000 000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23 000 000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1 000 000</w:t>
            </w:r>
          </w:p>
        </w:tc>
      </w:tr>
      <w:tr w:rsidR="006A2A3A" w:rsidRPr="00377267" w:rsidTr="000F66CA">
        <w:trPr>
          <w:trHeight w:val="54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4.0.1</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Strumento di assistenza preadesione (IPA II)</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-75 000 000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22 02 03 01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Sostegno alle riforme politiche e relativo progressivo allineamento con l'acquis dell'Unione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58 772 300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48 772 300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-10 000 000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22 02 03 02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Sostegno allo sviluppo economico, sociale e territoriale e relativo progressivo allineamento con l'acquis dell'Unione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463 786 099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398 786 099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-65 000 000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4.0.3</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Strumento di cooperazione allo sviluppo (DCI)</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20 000 000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21 02 07 01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Ambiente e cambiamenti climatici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157 900 000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163 900 000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6 000 000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21 02 07 02</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Energia sostenibile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50 250 000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64 250 000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14 000 000</w:t>
            </w:r>
          </w:p>
        </w:tc>
      </w:tr>
      <w:tr w:rsidR="006A2A3A" w:rsidRPr="00377267" w:rsidTr="000F66CA">
        <w:trPr>
          <w:trHeight w:val="54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4.0.5</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Strumento europeo per la democrazia e i diritti umani (EIDHR)</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-5 000 000</w:t>
            </w:r>
          </w:p>
        </w:tc>
      </w:tr>
      <w:tr w:rsidR="006A2A3A" w:rsidRPr="00377267" w:rsidTr="000F66CA">
        <w:trPr>
          <w:trHeight w:val="765"/>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19 04 01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Migliorare l'affidabilità dei processi elettorali, in particolare attraverso missioni di osservazione elettorale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42 000 000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37 000 000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-5 000 000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4.0.OTH</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Altre azioni e programmi</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2 000 000</w:t>
            </w:r>
          </w:p>
        </w:tc>
      </w:tr>
      <w:tr w:rsidR="006A2A3A" w:rsidRPr="00377267" w:rsidTr="000F66CA">
        <w:trPr>
          <w:trHeight w:val="51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13 07 01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Sostegno finanziario per promuovere lo sviluppo economico della comunità turco-cipriota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35 000 000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37 000 000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2 000 000</w:t>
            </w:r>
          </w:p>
        </w:tc>
      </w:tr>
      <w:tr w:rsidR="006A2A3A" w:rsidRPr="00377267" w:rsidTr="000F66CA">
        <w:trPr>
          <w:trHeight w:val="270"/>
        </w:trPr>
        <w:tc>
          <w:tcPr>
            <w:tcW w:w="1240" w:type="dxa"/>
            <w:tcBorders>
              <w:top w:val="single" w:sz="4" w:space="0" w:color="auto"/>
              <w:left w:val="single" w:sz="4" w:space="0" w:color="auto"/>
              <w:bottom w:val="single" w:sz="4" w:space="0" w:color="auto"/>
              <w:right w:val="nil"/>
            </w:tcBorders>
            <w:shd w:val="clear" w:color="auto" w:fill="F2F2F2"/>
            <w:noWrap/>
            <w:vAlign w:val="center"/>
            <w:hideMark/>
          </w:tcPr>
          <w:p w:rsidR="006A2A3A" w:rsidRPr="00377267" w:rsidRDefault="006A2A3A" w:rsidP="000F66CA">
            <w:pPr>
              <w:rPr>
                <w:b/>
                <w:bCs/>
                <w:i/>
                <w:iCs/>
                <w:sz w:val="20"/>
              </w:rPr>
            </w:pPr>
            <w:r w:rsidRPr="00377267">
              <w:rPr>
                <w:b/>
                <w:bCs/>
                <w:i/>
                <w:iCs/>
                <w:sz w:val="20"/>
              </w:rPr>
              <w:t>9.0.3</w:t>
            </w:r>
          </w:p>
        </w:tc>
        <w:tc>
          <w:tcPr>
            <w:tcW w:w="3755" w:type="dxa"/>
            <w:tcBorders>
              <w:top w:val="single" w:sz="4" w:space="0" w:color="auto"/>
              <w:left w:val="nil"/>
              <w:bottom w:val="single" w:sz="4" w:space="0" w:color="auto"/>
              <w:right w:val="nil"/>
            </w:tcBorders>
            <w:shd w:val="clear" w:color="auto" w:fill="F2F2F2"/>
            <w:vAlign w:val="center"/>
            <w:hideMark/>
          </w:tcPr>
          <w:p w:rsidR="006A2A3A" w:rsidRPr="00377267" w:rsidRDefault="006A2A3A" w:rsidP="000F66CA">
            <w:pPr>
              <w:rPr>
                <w:b/>
                <w:bCs/>
                <w:i/>
                <w:iCs/>
                <w:sz w:val="20"/>
              </w:rPr>
            </w:pPr>
            <w:r w:rsidRPr="00377267">
              <w:rPr>
                <w:b/>
                <w:bCs/>
                <w:i/>
                <w:iCs/>
                <w:sz w:val="20"/>
              </w:rPr>
              <w:t>Fondo di solidarietà dell'Unione europea (FSUE)</w:t>
            </w:r>
          </w:p>
        </w:tc>
        <w:tc>
          <w:tcPr>
            <w:tcW w:w="1418"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b/>
                <w:bCs/>
                <w:i/>
                <w:iCs/>
                <w:sz w:val="20"/>
              </w:rPr>
            </w:pPr>
          </w:p>
        </w:tc>
        <w:tc>
          <w:tcPr>
            <w:tcW w:w="1559" w:type="dxa"/>
            <w:tcBorders>
              <w:top w:val="single" w:sz="4" w:space="0" w:color="auto"/>
              <w:left w:val="nil"/>
              <w:bottom w:val="single" w:sz="4" w:space="0" w:color="auto"/>
              <w:right w:val="nil"/>
            </w:tcBorders>
            <w:shd w:val="clear" w:color="auto" w:fill="F2F2F2"/>
            <w:noWrap/>
            <w:vAlign w:val="center"/>
            <w:hideMark/>
          </w:tcPr>
          <w:p w:rsidR="006A2A3A" w:rsidRPr="00377267" w:rsidRDefault="006A2A3A" w:rsidP="000F66CA">
            <w:pPr>
              <w:rPr>
                <w:sz w:val="20"/>
              </w:rPr>
            </w:pPr>
          </w:p>
        </w:tc>
        <w:tc>
          <w:tcPr>
            <w:tcW w:w="1393" w:type="dxa"/>
            <w:tcBorders>
              <w:top w:val="single" w:sz="4" w:space="0" w:color="auto"/>
              <w:left w:val="nil"/>
              <w:bottom w:val="single" w:sz="4" w:space="0" w:color="auto"/>
              <w:right w:val="single" w:sz="4" w:space="0" w:color="auto"/>
            </w:tcBorders>
            <w:shd w:val="clear" w:color="auto" w:fill="F2F2F2"/>
            <w:noWrap/>
            <w:vAlign w:val="center"/>
            <w:hideMark/>
          </w:tcPr>
          <w:p w:rsidR="006A2A3A" w:rsidRPr="00377267" w:rsidRDefault="006A2A3A" w:rsidP="000F66CA">
            <w:pPr>
              <w:jc w:val="right"/>
              <w:rPr>
                <w:b/>
                <w:bCs/>
                <w:i/>
                <w:iCs/>
                <w:sz w:val="20"/>
              </w:rPr>
            </w:pPr>
            <w:r w:rsidRPr="00377267">
              <w:rPr>
                <w:b/>
                <w:bCs/>
                <w:i/>
                <w:iCs/>
                <w:sz w:val="20"/>
              </w:rPr>
              <w:t>-50 000 000</w:t>
            </w:r>
          </w:p>
        </w:tc>
      </w:tr>
      <w:tr w:rsidR="006A2A3A" w:rsidRPr="00377267" w:rsidTr="000F66CA">
        <w:trPr>
          <w:trHeight w:val="1020"/>
        </w:trPr>
        <w:tc>
          <w:tcPr>
            <w:tcW w:w="12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13 06 01</w:t>
            </w:r>
          </w:p>
        </w:tc>
        <w:tc>
          <w:tcPr>
            <w:tcW w:w="3755"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Assistere gli Stati membri colpiti da catastrofi naturali gravi aventi serie ripercussioni sulle condizioni di vita, sull'ambiente o sull'economia.</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100 000 000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50 000 000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right"/>
              <w:rPr>
                <w:sz w:val="20"/>
              </w:rPr>
            </w:pPr>
            <w:r w:rsidRPr="00377267">
              <w:rPr>
                <w:sz w:val="20"/>
              </w:rPr>
              <w:t>-50 000 000</w:t>
            </w:r>
          </w:p>
        </w:tc>
      </w:tr>
      <w:tr w:rsidR="006A2A3A" w:rsidRPr="00377267" w:rsidTr="000F66CA">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6A2A3A" w:rsidRPr="00377267" w:rsidRDefault="006A2A3A" w:rsidP="000F66CA">
            <w:pPr>
              <w:rPr>
                <w:sz w:val="20"/>
              </w:rPr>
            </w:pPr>
          </w:p>
        </w:tc>
        <w:tc>
          <w:tcPr>
            <w:tcW w:w="375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A2A3A" w:rsidRPr="00377267" w:rsidRDefault="006A2A3A" w:rsidP="000F66CA">
            <w:pPr>
              <w:rPr>
                <w:b/>
                <w:bCs/>
                <w:sz w:val="20"/>
              </w:rPr>
            </w:pPr>
            <w:r w:rsidRPr="00377267">
              <w:rPr>
                <w:b/>
                <w:bCs/>
                <w:sz w:val="20"/>
              </w:rPr>
              <w:t>Totale</w:t>
            </w:r>
          </w:p>
        </w:tc>
        <w:tc>
          <w:tcPr>
            <w:tcW w:w="1418"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6A2A3A" w:rsidRPr="00377267" w:rsidRDefault="006A2A3A" w:rsidP="000F66CA">
            <w:pP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6A2A3A" w:rsidRPr="00377267" w:rsidRDefault="006A2A3A" w:rsidP="000F66CA">
            <w:pPr>
              <w:rPr>
                <w:sz w:val="20"/>
              </w:rPr>
            </w:pPr>
          </w:p>
        </w:tc>
        <w:tc>
          <w:tcPr>
            <w:tcW w:w="1393"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6A2A3A" w:rsidRPr="00377267" w:rsidRDefault="006A2A3A" w:rsidP="000F66CA">
            <w:pPr>
              <w:jc w:val="right"/>
              <w:rPr>
                <w:b/>
                <w:bCs/>
                <w:sz w:val="20"/>
              </w:rPr>
            </w:pPr>
            <w:r w:rsidRPr="00377267">
              <w:rPr>
                <w:b/>
                <w:bCs/>
                <w:sz w:val="20"/>
              </w:rPr>
              <w:t>72 294 857</w:t>
            </w:r>
          </w:p>
        </w:tc>
      </w:tr>
    </w:tbl>
    <w:p w:rsidR="006A2A3A" w:rsidRPr="00377267" w:rsidRDefault="006A2A3A" w:rsidP="006A2A3A">
      <w:pPr>
        <w:spacing w:before="120" w:after="120"/>
        <w:jc w:val="both"/>
        <w:rPr>
          <w:b/>
          <w:sz w:val="22"/>
          <w:szCs w:val="22"/>
        </w:rPr>
      </w:pPr>
    </w:p>
    <w:p w:rsidR="006A2A3A" w:rsidRPr="00377267" w:rsidRDefault="006A2A3A" w:rsidP="006A2A3A">
      <w:pPr>
        <w:spacing w:before="120" w:after="120"/>
        <w:jc w:val="both"/>
        <w:rPr>
          <w:b/>
          <w:szCs w:val="22"/>
        </w:rPr>
      </w:pPr>
      <w:r w:rsidRPr="00377267">
        <w:rPr>
          <w:b/>
          <w:szCs w:val="22"/>
        </w:rPr>
        <w:t>1.5.</w:t>
      </w:r>
      <w:r w:rsidRPr="00377267">
        <w:rPr>
          <w:b/>
          <w:szCs w:val="22"/>
        </w:rPr>
        <w:tab/>
        <w:t>Riserve</w:t>
      </w:r>
    </w:p>
    <w:p w:rsidR="006A2A3A" w:rsidRPr="00377267" w:rsidRDefault="006A2A3A" w:rsidP="006A2A3A">
      <w:pPr>
        <w:spacing w:before="120" w:after="120"/>
        <w:jc w:val="both"/>
        <w:rPr>
          <w:szCs w:val="24"/>
        </w:rPr>
      </w:pPr>
      <w:r w:rsidRPr="00377267">
        <w:t>Le riserve nel bilancio 2020 sono fissate in linea con il progetto di bilancio, quale modificato dalla lettera rettificativa n. 1/2020, fatta eccezione per gli articoli di bilancio 13 06 01 (Fondo di solidarietà dell'Unione europea) e 18 03 02 (Ufficio europeo di sostegno per l'asilo — EASO) le cui riserve sono annullate.</w:t>
      </w:r>
    </w:p>
    <w:p w:rsidR="006A2A3A" w:rsidRPr="00377267" w:rsidRDefault="006A2A3A" w:rsidP="006A2A3A">
      <w:pPr>
        <w:rPr>
          <w:b/>
          <w:sz w:val="22"/>
          <w:szCs w:val="22"/>
        </w:rPr>
      </w:pPr>
      <w:r w:rsidRPr="00377267">
        <w:br w:type="page"/>
      </w:r>
    </w:p>
    <w:p w:rsidR="006A2A3A" w:rsidRPr="00377267" w:rsidRDefault="006A2A3A" w:rsidP="006A2A3A">
      <w:pPr>
        <w:spacing w:before="120" w:after="120"/>
        <w:jc w:val="both"/>
        <w:rPr>
          <w:b/>
          <w:szCs w:val="22"/>
        </w:rPr>
      </w:pPr>
      <w:r w:rsidRPr="00377267">
        <w:rPr>
          <w:b/>
          <w:szCs w:val="22"/>
        </w:rPr>
        <w:t>1.6.</w:t>
      </w:r>
      <w:r w:rsidRPr="00377267">
        <w:rPr>
          <w:b/>
          <w:szCs w:val="22"/>
        </w:rPr>
        <w:tab/>
        <w:t>Commento delle linee di bilancio</w:t>
      </w:r>
    </w:p>
    <w:p w:rsidR="006A2A3A" w:rsidRPr="00377267" w:rsidRDefault="006A2A3A" w:rsidP="006A2A3A">
      <w:pPr>
        <w:spacing w:before="120" w:after="120"/>
        <w:jc w:val="both"/>
        <w:rPr>
          <w:szCs w:val="24"/>
        </w:rPr>
      </w:pPr>
      <w:r w:rsidRPr="00377267">
        <w:t>Salvo altrimenti indicato nei punti precedenti, gli emendamenti presentati dal Parlamento europeo o dal Consiglio al testo del commento delle linee di bilancio sono approvati, fatta eccezione per il commento delle linee di bilancio elencate nelle tabelle in appresso:</w:t>
      </w:r>
    </w:p>
    <w:p w:rsidR="006A2A3A" w:rsidRPr="00377267" w:rsidRDefault="006A2A3A" w:rsidP="006A2A3A">
      <w:pPr>
        <w:spacing w:before="120" w:after="120"/>
        <w:ind w:left="720" w:hanging="360"/>
        <w:jc w:val="both"/>
      </w:pPr>
      <w:r w:rsidRPr="00377267">
        <w:rPr>
          <w:rFonts w:ascii="Symbol" w:hAnsi="Symbol"/>
          <w:szCs w:val="24"/>
        </w:rPr>
        <w:t></w:t>
      </w:r>
      <w:r w:rsidRPr="00377267">
        <w:rPr>
          <w:rFonts w:ascii="Symbol" w:hAnsi="Symbol"/>
          <w:szCs w:val="24"/>
        </w:rPr>
        <w:tab/>
      </w:r>
      <w:r w:rsidRPr="00377267">
        <w:t>Linee di bilancio per le quali gli emendamenti presentati dal Parlamento sono approvati con le modifiche proposte dalla Commissione nella sua lettera di eseguibilità.</w:t>
      </w:r>
    </w:p>
    <w:tbl>
      <w:tblPr>
        <w:tblW w:w="9248" w:type="dxa"/>
        <w:tblInd w:w="103" w:type="dxa"/>
        <w:tblLook w:val="04A0" w:firstRow="1" w:lastRow="0" w:firstColumn="1" w:lastColumn="0" w:noHBand="0" w:noVBand="1"/>
      </w:tblPr>
      <w:tblGrid>
        <w:gridCol w:w="1440"/>
        <w:gridCol w:w="7808"/>
      </w:tblGrid>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Linea di bilancio</w:t>
            </w:r>
          </w:p>
        </w:tc>
        <w:tc>
          <w:tcPr>
            <w:tcW w:w="7808" w:type="dxa"/>
            <w:tcBorders>
              <w:top w:val="single" w:sz="4" w:space="0" w:color="auto"/>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Denominazione</w:t>
            </w:r>
          </w:p>
        </w:tc>
      </w:tr>
      <w:tr w:rsidR="006A2A3A" w:rsidRPr="00377267" w:rsidTr="000F66CA">
        <w:trPr>
          <w:trHeight w:val="510"/>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15 02 01 01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Promuovere l'eccellenza e la cooperazione nei settori dell'istruzione e della formazione europei e accrescere la loro rilevanza per il mercato del lavoro</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19 05 01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Cooperazione con i paesi terzi al fine di far progredire e promuovere gli interessi dell'Unione e gli interessi reciproci</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21 02 07 03</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Sviluppo umano</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21 02 08 01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Società civile nello sviluppo</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21 07 01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Cooperazione con la Groenlandia</w:t>
            </w:r>
          </w:p>
        </w:tc>
      </w:tr>
    </w:tbl>
    <w:p w:rsidR="006A2A3A" w:rsidRPr="00377267" w:rsidRDefault="006A2A3A" w:rsidP="006A2A3A">
      <w:pPr>
        <w:spacing w:before="120" w:after="120"/>
        <w:ind w:left="720" w:hanging="360"/>
        <w:jc w:val="both"/>
      </w:pPr>
      <w:r w:rsidRPr="00377267">
        <w:rPr>
          <w:rFonts w:ascii="Symbol" w:hAnsi="Symbol"/>
          <w:szCs w:val="24"/>
        </w:rPr>
        <w:t></w:t>
      </w:r>
      <w:r w:rsidRPr="00377267">
        <w:rPr>
          <w:rFonts w:ascii="Symbol" w:hAnsi="Symbol"/>
          <w:szCs w:val="24"/>
        </w:rPr>
        <w:tab/>
      </w:r>
      <w:r w:rsidRPr="00377267">
        <w:t>Linee di bilancio per le quali è approvato il testo del commento proposto nel progetto di bilancio, quale modificato dalla lettera rettificativa n. 1/2020.</w:t>
      </w:r>
    </w:p>
    <w:tbl>
      <w:tblPr>
        <w:tblW w:w="9248" w:type="dxa"/>
        <w:tblInd w:w="103" w:type="dxa"/>
        <w:tblLook w:val="04A0" w:firstRow="1" w:lastRow="0" w:firstColumn="1" w:lastColumn="0" w:noHBand="0" w:noVBand="1"/>
      </w:tblPr>
      <w:tblGrid>
        <w:gridCol w:w="1440"/>
        <w:gridCol w:w="7808"/>
      </w:tblGrid>
      <w:tr w:rsidR="006A2A3A" w:rsidRPr="00377267" w:rsidTr="000F66CA">
        <w:trPr>
          <w:trHeight w:val="255"/>
          <w:tblHeader/>
        </w:trPr>
        <w:tc>
          <w:tcPr>
            <w:tcW w:w="1440"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Linea di bilancio</w:t>
            </w:r>
          </w:p>
        </w:tc>
        <w:tc>
          <w:tcPr>
            <w:tcW w:w="7808" w:type="dxa"/>
            <w:tcBorders>
              <w:top w:val="single" w:sz="4" w:space="0" w:color="auto"/>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Denominazione</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02 04 03 01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Conseguire un'economia efficiente sotto il profilo delle risorse e resistente ai cambiamenti climatici e un approvvigionamento sostenibile di materie prime</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06 01 04 01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Spese di supporto per il meccanismo per collegare l'Europa (CEF) — Trasporti</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07 02 06</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Agenzia europea dell'ambiente</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08 02 03 03</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Effettuare la transizione verso un sistema energetico affidabile, sostenibile e competitivo</w:t>
            </w:r>
          </w:p>
        </w:tc>
      </w:tr>
      <w:tr w:rsidR="006A2A3A" w:rsidRPr="00377267" w:rsidTr="000F66CA">
        <w:trPr>
          <w:trHeight w:val="510"/>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08 02 03 05</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Conseguire un'economia efficiente sotto il profilo delle risorse e resistente ai cambiamenti climatici e un approvvigionamento sostenibile di materie prime</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08 02 07 33</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Impresa comune Bioindustrie (ICB) — Spese di sostegno</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09 02 01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Definizione e attuazione della politica dell'Unione nel settore della comunicazione elettronica</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13 04 61 01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Fondo di coesione — Assistenza tecnica operativa</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21 01 04 05</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Spese di supporto per lo strumento per la cooperazione in materia di sicurezza nucleare (INSC)</w:t>
            </w:r>
          </w:p>
        </w:tc>
      </w:tr>
      <w:tr w:rsidR="006A2A3A" w:rsidRPr="00377267" w:rsidTr="000F66CA">
        <w:trPr>
          <w:trHeight w:val="255"/>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32 04 03 01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Transizione a un sistema energetico affidabile, sostenibile e competitivo</w:t>
            </w:r>
          </w:p>
        </w:tc>
      </w:tr>
    </w:tbl>
    <w:p w:rsidR="006A2A3A" w:rsidRPr="00377267" w:rsidRDefault="006A2A3A" w:rsidP="006A2A3A">
      <w:pPr>
        <w:spacing w:before="120" w:after="120"/>
        <w:ind w:left="720" w:hanging="360"/>
        <w:jc w:val="both"/>
      </w:pPr>
      <w:r w:rsidRPr="00377267">
        <w:rPr>
          <w:rFonts w:ascii="Symbol" w:hAnsi="Symbol"/>
          <w:szCs w:val="24"/>
        </w:rPr>
        <w:t></w:t>
      </w:r>
      <w:r w:rsidRPr="00377267">
        <w:rPr>
          <w:rFonts w:ascii="Symbol" w:hAnsi="Symbol"/>
          <w:szCs w:val="24"/>
        </w:rPr>
        <w:tab/>
      </w:r>
      <w:r w:rsidRPr="00377267">
        <w:t>Linee di bilancio per le quali il testo del commento proposto nel progetto di bilancio, quale modificato dalla lettera rettificativa, è approvato con le seguenti modifiche.</w:t>
      </w:r>
    </w:p>
    <w:tbl>
      <w:tblPr>
        <w:tblW w:w="9248" w:type="dxa"/>
        <w:tblInd w:w="103" w:type="dxa"/>
        <w:tblLook w:val="04A0" w:firstRow="1" w:lastRow="0" w:firstColumn="1" w:lastColumn="0" w:noHBand="0" w:noVBand="1"/>
      </w:tblPr>
      <w:tblGrid>
        <w:gridCol w:w="1440"/>
        <w:gridCol w:w="7808"/>
      </w:tblGrid>
      <w:tr w:rsidR="006A2A3A" w:rsidRPr="00377267" w:rsidTr="000F66CA">
        <w:trPr>
          <w:trHeight w:val="255"/>
          <w:tblHeader/>
        </w:trPr>
        <w:tc>
          <w:tcPr>
            <w:tcW w:w="1440"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Linea di bilancio</w:t>
            </w:r>
          </w:p>
        </w:tc>
        <w:tc>
          <w:tcPr>
            <w:tcW w:w="7808" w:type="dxa"/>
            <w:tcBorders>
              <w:top w:val="single" w:sz="4" w:space="0" w:color="auto"/>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Denominazione</w:t>
            </w:r>
          </w:p>
        </w:tc>
      </w:tr>
      <w:tr w:rsidR="006A2A3A" w:rsidRPr="00377267" w:rsidTr="000F66CA">
        <w:trPr>
          <w:trHeight w:val="510"/>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04 03 02 01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PROGRESS – Sostenere lo sviluppo, l'attuazione, il monitoraggio e la valutazione della politica sociale e dell'occupazione dell'Unione nonché della legislazione sulle condizioni di lavoro</w:t>
            </w:r>
          </w:p>
        </w:tc>
      </w:tr>
      <w:tr w:rsidR="006A2A3A" w:rsidRPr="00377267" w:rsidTr="000F66CA">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Modificare il testo come segue:</w:t>
            </w:r>
            <w:r w:rsidRPr="00377267">
              <w:rPr>
                <w:i/>
                <w:iCs/>
                <w:sz w:val="20"/>
              </w:rPr>
              <w:br/>
              <w:t>—</w:t>
            </w:r>
            <w:r w:rsidRPr="00377267">
              <w:rPr>
                <w:i/>
                <w:iCs/>
                <w:sz w:val="20"/>
              </w:rPr>
              <w:tab/>
              <w:t>gli incentivi alla creazione di posti di lavoro</w:t>
            </w:r>
            <w:r w:rsidRPr="00377267">
              <w:rPr>
                <w:i/>
                <w:iCs/>
                <w:strike/>
                <w:sz w:val="20"/>
              </w:rPr>
              <w:t>, la promozione dell'occupazione giovanile e la lotta alla povertà, incoraggiando una maggiore convergenza sociale tramite il marchio sociale</w:t>
            </w:r>
            <w:r w:rsidRPr="00377267">
              <w:rPr>
                <w:i/>
                <w:iCs/>
                <w:sz w:val="20"/>
              </w:rPr>
              <w:t xml:space="preserve"> </w:t>
            </w:r>
            <w:r w:rsidRPr="00377267">
              <w:rPr>
                <w:b/>
                <w:i/>
                <w:iCs/>
                <w:sz w:val="20"/>
              </w:rPr>
              <w:t>dignitosi in termini di lavoro stabile e retribuzione adeguata, la promozione di un'occupazione accettabile per i giovani e la lotta alla povertà favorendo la convergenza sociale</w:t>
            </w:r>
            <w:r w:rsidRPr="00377267">
              <w:rPr>
                <w:i/>
                <w:iCs/>
                <w:sz w:val="20"/>
              </w:rPr>
              <w:t>.</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08 02 03 01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Migliorare la salute e il benessere nell'intero arco della vita</w:t>
            </w:r>
          </w:p>
        </w:tc>
      </w:tr>
      <w:tr w:rsidR="006A2A3A" w:rsidRPr="00377267" w:rsidTr="000F66CA">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Modificare il testo come segue:</w:t>
            </w:r>
            <w:r w:rsidRPr="00377267">
              <w:rPr>
                <w:i/>
                <w:iCs/>
                <w:sz w:val="20"/>
              </w:rPr>
              <w:br/>
              <w:t xml:space="preserve">Gli obiettivi di quest'attività sono la salute e il benessere nell'intero arco della vita per tutti, sistemi sanitari e assistenziali di alta qualità ed economicamente sostenibili, con una sanità che diventi più personalizzata all'insegna di una maggiore efficacia, e nuove opportunità di lavoro e crescita nel settore sanitario e nelle industrie correlate. In tale ottica, le attività si concentreranno su interventi in grado di promuovere la salute e prevenire le malattie in modo efficace (ad esempio, comprensione dei determinanti della salute e sviluppo di migliori vaccini preventivi). Sarà prestata particolare attenzione alle specificità in materia di salute legate al genere e all'età. Inoltre, sarà data particolare importanza agli sforzi volti a prevenire, gestire, curare e guarire le malattie (in particolare grazie a una crescente personalizzazione dei farmaci), </w:t>
            </w:r>
            <w:r w:rsidRPr="00377267">
              <w:rPr>
                <w:b/>
                <w:i/>
                <w:iCs/>
                <w:sz w:val="20"/>
              </w:rPr>
              <w:t>inclusa la lotta contro il cancro,</w:t>
            </w:r>
            <w:r w:rsidRPr="00377267">
              <w:rPr>
                <w:i/>
                <w:iCs/>
                <w:sz w:val="20"/>
              </w:rPr>
              <w:t xml:space="preserve"> la disabilità e la ridotta funzionalità (ad esempio mediante il trasferimento delle conoscenze verso la pratica clinica e le azioni di innovazione scalabili, un uso migliore dei dati sanitari e la vita indipendente ed assistita). Inoltre, verranno compiuti sforzi per migliorare il processo decisionale in materia di offerta di prevenzione e di trattamento, individuare e sostenere la diffusione delle migliori pratiche nei settori della sanità e dell'assistenza e sostenere forme integrate di assistenza con la diffusione delle innovazioni tecnologiche, organizzative e sociali che permettono di coinvolgere in particolare gli anziani e i disabili affinché restino attivi e indipendenti. Infine, le attività saranno improntate a un approccio sensibile alla problematica di genere che riconosca, fra le altre cose, la posizione delle donne nel settore dell'assistenza sia informale che formale.</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08 02 03 03</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Effettuare la transizione verso un sistema energetico affidabile, sostenibile e competitivo</w:t>
            </w:r>
          </w:p>
        </w:tc>
      </w:tr>
      <w:tr w:rsidR="006A2A3A" w:rsidRPr="00377267" w:rsidTr="000F66CA">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Aggiungere il testo seguente:</w:t>
            </w:r>
            <w:r w:rsidRPr="00377267">
              <w:rPr>
                <w:i/>
                <w:iCs/>
                <w:sz w:val="20"/>
              </w:rPr>
              <w:br/>
            </w:r>
            <w:r w:rsidRPr="00377267">
              <w:rPr>
                <w:b/>
                <w:bCs/>
                <w:i/>
                <w:iCs/>
                <w:sz w:val="20"/>
              </w:rPr>
              <w:t>Occorre prestare attenzione a contribuire a colmare il divario in materia di ricerca e innovazione in Europa, senza pregiudicare i criteri di eccellenza.</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08 02 08</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Strumento per le PMI</w:t>
            </w:r>
          </w:p>
        </w:tc>
      </w:tr>
      <w:tr w:rsidR="006A2A3A" w:rsidRPr="00377267" w:rsidTr="000F66C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Modificare il testo come segue:</w:t>
            </w:r>
            <w:r w:rsidRPr="00377267">
              <w:rPr>
                <w:i/>
                <w:iCs/>
                <w:sz w:val="20"/>
              </w:rPr>
              <w:br/>
            </w:r>
            <w:r w:rsidRPr="00377267">
              <w:rPr>
                <w:rFonts w:ascii="Times New Roman Bold" w:hAnsi="Times New Roman Bold"/>
                <w:b/>
                <w:bCs/>
                <w:i/>
                <w:iCs/>
                <w:dstrike/>
                <w:sz w:val="20"/>
              </w:rPr>
              <w:t>Conformemente all'articolo 15, paragrafo 3, del regolamento finanziario, un importo di 72 000 000 EUR in stanziamenti di impegno è disponibile per questo articolo di bilancio in seguito ai disimpegni effettuati nel 2018 come conseguenza dell'inesecuzione totale o parziale di progetti di ricerca.</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09 04 02 01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Leadership nelle tecnologie dell'informazione e della comunicazione</w:t>
            </w:r>
          </w:p>
        </w:tc>
      </w:tr>
      <w:tr w:rsidR="006A2A3A" w:rsidRPr="00377267" w:rsidTr="000F66C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Aggiungere il testo seguente:</w:t>
            </w:r>
            <w:r w:rsidRPr="00377267">
              <w:rPr>
                <w:i/>
                <w:iCs/>
                <w:sz w:val="20"/>
              </w:rPr>
              <w:br/>
            </w:r>
            <w:r w:rsidRPr="00377267">
              <w:rPr>
                <w:b/>
                <w:bCs/>
                <w:i/>
                <w:iCs/>
                <w:sz w:val="20"/>
              </w:rPr>
              <w:t>Lo stanziamento potrebbe coprire ulteriori attività di ricerca nel campo dello sviluppo di motori di ricerca europei.</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09 04 03 02</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Promuovere società europee inclusive, innovative e riflessive</w:t>
            </w:r>
          </w:p>
        </w:tc>
      </w:tr>
      <w:tr w:rsidR="006A2A3A" w:rsidRPr="00377267" w:rsidTr="000F66C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Modificare il testo come segue:</w:t>
            </w:r>
            <w:r w:rsidRPr="00377267">
              <w:rPr>
                <w:i/>
                <w:iCs/>
                <w:sz w:val="20"/>
              </w:rPr>
              <w:br/>
              <w:t>L'obiettivo della seconda sfida è «contribuire a comprendere il fondamento intellettuale e il patrimonio culturale dell'Europa: la sua storia e le numerose influenze europee ed extraeuropee, quale ispirazione per la nostra vita odierna», come pure per facilitare l'accesso a tale patrimonio culturale e la valorizzazione dello stesso</w:t>
            </w:r>
            <w:r w:rsidRPr="00377267">
              <w:rPr>
                <w:b/>
                <w:i/>
                <w:iCs/>
                <w:sz w:val="20"/>
              </w:rPr>
              <w:t>, anche in vista del futuro cloud europeo per il patrimonio culturale</w:t>
            </w:r>
            <w:r w:rsidRPr="00377267">
              <w:rPr>
                <w:i/>
                <w:iCs/>
                <w:sz w:val="20"/>
              </w:rPr>
              <w:t>.</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32 04 03 01</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Transizione a un sistema energetico affidabile, sostenibile e competitivo</w:t>
            </w:r>
          </w:p>
        </w:tc>
      </w:tr>
      <w:tr w:rsidR="006A2A3A" w:rsidRPr="00377267" w:rsidTr="000F66CA">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Aggiungere il testo seguente:</w:t>
            </w:r>
            <w:r w:rsidRPr="00377267">
              <w:rPr>
                <w:i/>
                <w:iCs/>
                <w:sz w:val="20"/>
              </w:rPr>
              <w:br/>
            </w:r>
            <w:r w:rsidRPr="00377267">
              <w:rPr>
                <w:b/>
                <w:bCs/>
                <w:i/>
                <w:iCs/>
                <w:sz w:val="20"/>
              </w:rPr>
              <w:t>Occorre prestare attenzione a contribuire a colmare il divario in materia di ricerca e innovazione in Europa, senza pregiudicare i criteri di eccellenza.</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32 02 77 12</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Azione preparatoria — Istituzione di un sostegno globale per le regioni carbonifere e ad alta intensità di carbonio in transizione</w:t>
            </w:r>
          </w:p>
        </w:tc>
      </w:tr>
      <w:tr w:rsidR="006A2A3A" w:rsidRPr="00377267" w:rsidTr="000F66CA">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keepNext/>
              <w:rPr>
                <w:i/>
                <w:sz w:val="20"/>
              </w:rPr>
            </w:pPr>
            <w:r w:rsidRPr="00377267">
              <w:rPr>
                <w:i/>
                <w:iCs/>
                <w:sz w:val="20"/>
                <w:u w:val="single"/>
              </w:rPr>
              <w:t>Aggiungere il testo seguente:</w:t>
            </w:r>
          </w:p>
          <w:p w:rsidR="006A2A3A" w:rsidRPr="00377267" w:rsidRDefault="006A2A3A" w:rsidP="000F66CA">
            <w:pPr>
              <w:widowControl/>
              <w:tabs>
                <w:tab w:val="left" w:pos="720"/>
              </w:tabs>
              <w:spacing w:before="60" w:after="60"/>
              <w:ind w:left="360" w:hanging="360"/>
              <w:jc w:val="both"/>
              <w:rPr>
                <w:i/>
                <w:sz w:val="20"/>
              </w:rPr>
            </w:pPr>
            <w:r w:rsidRPr="00377267">
              <w:rPr>
                <w:sz w:val="20"/>
              </w:rPr>
              <w:t>—</w:t>
            </w:r>
            <w:r w:rsidRPr="00377267">
              <w:rPr>
                <w:sz w:val="20"/>
              </w:rPr>
              <w:tab/>
            </w:r>
            <w:r w:rsidRPr="00377267">
              <w:rPr>
                <w:i/>
                <w:sz w:val="20"/>
              </w:rPr>
              <w:t xml:space="preserve">istituire un'équipe trasversale a tutte le direzioni generali al fine di: a) individuare i settori in cui è possibile creare sinergie tra le politiche e i programmi dell'UE per assicurare il sostegno strategico e finanziario più efficace post-2020; b) aiutare le regioni (autorità centrali/locali) a sviluppare strategie di transizione sostenibili </w:t>
            </w:r>
            <w:r w:rsidRPr="00377267">
              <w:rPr>
                <w:b/>
                <w:i/>
                <w:sz w:val="20"/>
              </w:rPr>
              <w:t>fornendo strumenti su misura per gli scambi interregionali di migliori prassi, anche in merito a tabelle di marcia complessive per la reindustrializzazione a basse emissioni</w:t>
            </w:r>
            <w:r w:rsidRPr="00377267">
              <w:rPr>
                <w:i/>
                <w:sz w:val="20"/>
              </w:rPr>
              <w:t>;</w:t>
            </w:r>
          </w:p>
          <w:p w:rsidR="006A2A3A" w:rsidRPr="00377267" w:rsidRDefault="006A2A3A" w:rsidP="000F66CA">
            <w:pPr>
              <w:widowControl/>
              <w:tabs>
                <w:tab w:val="left" w:pos="360"/>
              </w:tabs>
              <w:spacing w:before="60" w:after="60"/>
              <w:ind w:left="360" w:hanging="360"/>
              <w:jc w:val="both"/>
              <w:rPr>
                <w:b/>
                <w:i/>
                <w:sz w:val="20"/>
              </w:rPr>
            </w:pPr>
            <w:r w:rsidRPr="00377267">
              <w:rPr>
                <w:sz w:val="20"/>
              </w:rPr>
              <w:t>—</w:t>
            </w:r>
            <w:r w:rsidRPr="00377267">
              <w:rPr>
                <w:sz w:val="20"/>
              </w:rPr>
              <w:tab/>
            </w:r>
            <w:r w:rsidRPr="00377267">
              <w:rPr>
                <w:b/>
                <w:i/>
                <w:sz w:val="20"/>
              </w:rPr>
              <w:t>riorientare i forum esistenti di parti interessate, inclusi il dialogo sociale e il dialogo con la società civile in generale, verso la definizione di strategie economiche e di transizione equa;</w:t>
            </w:r>
          </w:p>
          <w:p w:rsidR="006A2A3A" w:rsidRPr="00377267" w:rsidRDefault="006A2A3A" w:rsidP="000F66CA">
            <w:pPr>
              <w:widowControl/>
              <w:tabs>
                <w:tab w:val="left" w:pos="360"/>
              </w:tabs>
              <w:spacing w:before="60" w:after="60"/>
              <w:ind w:left="360" w:hanging="360"/>
              <w:jc w:val="both"/>
              <w:rPr>
                <w:i/>
                <w:iCs/>
                <w:sz w:val="20"/>
              </w:rPr>
            </w:pPr>
            <w:r w:rsidRPr="00377267">
              <w:rPr>
                <w:iCs/>
                <w:sz w:val="20"/>
              </w:rPr>
              <w:t>—</w:t>
            </w:r>
            <w:r w:rsidRPr="00377267">
              <w:rPr>
                <w:iCs/>
                <w:sz w:val="20"/>
              </w:rPr>
              <w:tab/>
            </w:r>
            <w:r w:rsidRPr="00377267">
              <w:rPr>
                <w:b/>
                <w:i/>
                <w:sz w:val="20"/>
              </w:rPr>
              <w:t>fornire ulteriore sostegno finanziario, in aggiunta ai regimi di finanziamento esistenti, senza ricorrere alla riassegnazione da altri programmi, per la definizione di tabelle di marcia per una transizione regionale/locale equa verso la neutralità in termini di emissioni di carbonio entro il 2050 nelle regioni e nelle comunità maggiormente interessate. Finanziamenti supplementari dovrebbero altresì sostenere i progetti a livello di territorio/collettività esistenti o futuri basati sul coinvolgimento dei lavoratori e delle comunità interessati attraverso la consultazione e la corresponsabilizzazione;</w:t>
            </w:r>
          </w:p>
          <w:p w:rsidR="006A2A3A" w:rsidRPr="00377267" w:rsidRDefault="006A2A3A" w:rsidP="000F66CA">
            <w:pPr>
              <w:widowControl/>
              <w:tabs>
                <w:tab w:val="left" w:pos="720"/>
              </w:tabs>
              <w:spacing w:before="60" w:after="60"/>
              <w:ind w:left="360" w:hanging="360"/>
              <w:jc w:val="both"/>
              <w:rPr>
                <w:b/>
                <w:i/>
                <w:sz w:val="20"/>
              </w:rPr>
            </w:pPr>
            <w:r w:rsidRPr="00377267">
              <w:rPr>
                <w:sz w:val="20"/>
              </w:rPr>
              <w:t>—</w:t>
            </w:r>
            <w:r w:rsidRPr="00377267">
              <w:rPr>
                <w:sz w:val="20"/>
              </w:rPr>
              <w:tab/>
            </w:r>
            <w:r w:rsidRPr="00377267">
              <w:rPr>
                <w:b/>
                <w:i/>
                <w:sz w:val="20"/>
              </w:rPr>
              <w:t>rafforzare la piattaforma per le regioni carbonifere in transizione e la relativa segreteria (istituite dall'azione preparatoria nel 2018 e portate avanti nel 2019), al fine di conseguire gli obiettivi dell'UE in materia di clima e adempiere agli impegni assunti dall'UE nel quadro dell'accordo di Parigi, garantendo al contempo una transizione energetica equa in cui le regioni carbonifere non rimangano indietro, incrementando il bilancio nel 2020 e ampliando l'ambito di intervento alle seguenti attività:</w:t>
            </w:r>
          </w:p>
          <w:p w:rsidR="006A2A3A" w:rsidRPr="00377267" w:rsidRDefault="006A2A3A" w:rsidP="000F66CA">
            <w:pPr>
              <w:widowControl/>
              <w:tabs>
                <w:tab w:val="left" w:pos="1440"/>
              </w:tabs>
              <w:spacing w:before="60" w:after="60"/>
              <w:ind w:left="720" w:hanging="360"/>
              <w:jc w:val="both"/>
              <w:rPr>
                <w:b/>
                <w:i/>
                <w:sz w:val="20"/>
              </w:rPr>
            </w:pPr>
            <w:r w:rsidRPr="00377267">
              <w:rPr>
                <w:sz w:val="20"/>
              </w:rPr>
              <w:t>—</w:t>
            </w:r>
            <w:r w:rsidRPr="00377267">
              <w:rPr>
                <w:sz w:val="20"/>
              </w:rPr>
              <w:tab/>
            </w:r>
            <w:r w:rsidRPr="00377267">
              <w:rPr>
                <w:b/>
                <w:i/>
                <w:sz w:val="20"/>
              </w:rPr>
              <w:t>incremento dell'assistenza tecnica e dello sviluppo di capacità nelle regioni carbonifere e ad alta intensità di carbonio nell'UE per quanto riguarda, ad esempio, la preparazione di strategie, lo sviluppo di progetti, il finanziamento di progetti e l'agevolazione degli investimenti privati (il numero di regioni pilota partecipanti all'iniziativa dell'UE è giunto a 20 nel marzo 2019, a fronte di 4 regioni nel 2017);</w:t>
            </w:r>
          </w:p>
          <w:p w:rsidR="006A2A3A" w:rsidRPr="00377267" w:rsidRDefault="006A2A3A" w:rsidP="000F66CA">
            <w:pPr>
              <w:widowControl/>
              <w:tabs>
                <w:tab w:val="left" w:pos="1440"/>
              </w:tabs>
              <w:spacing w:before="60" w:after="60"/>
              <w:ind w:left="720" w:hanging="360"/>
              <w:jc w:val="both"/>
              <w:rPr>
                <w:i/>
                <w:iCs/>
                <w:sz w:val="20"/>
              </w:rPr>
            </w:pPr>
            <w:r w:rsidRPr="00377267">
              <w:rPr>
                <w:iCs/>
                <w:sz w:val="20"/>
              </w:rPr>
              <w:t>—</w:t>
            </w:r>
            <w:r w:rsidRPr="00377267">
              <w:rPr>
                <w:iCs/>
                <w:sz w:val="20"/>
              </w:rPr>
              <w:tab/>
            </w:r>
            <w:r w:rsidRPr="00377267">
              <w:rPr>
                <w:b/>
                <w:i/>
                <w:sz w:val="20"/>
              </w:rPr>
              <w:t>collaborazione con i membri della Comunità dell'energia e gli osservatori sulle regioni carbonifere in transizione, mediante l'organizzazione di iniziative di sensibilizzazione regionali in cooperazione con le istituzioni finanziarie internazionali e i partner internazionali;</w:t>
            </w:r>
          </w:p>
          <w:p w:rsidR="006A2A3A" w:rsidRPr="00377267" w:rsidRDefault="006A2A3A" w:rsidP="000F66CA">
            <w:pPr>
              <w:widowControl/>
              <w:tabs>
                <w:tab w:val="left" w:pos="1440"/>
              </w:tabs>
              <w:spacing w:before="60" w:after="60"/>
              <w:ind w:left="720" w:hanging="360"/>
              <w:jc w:val="both"/>
              <w:rPr>
                <w:i/>
                <w:iCs/>
                <w:sz w:val="20"/>
              </w:rPr>
            </w:pPr>
            <w:r w:rsidRPr="00377267">
              <w:rPr>
                <w:iCs/>
                <w:sz w:val="20"/>
              </w:rPr>
              <w:t>—</w:t>
            </w:r>
            <w:r w:rsidRPr="00377267">
              <w:rPr>
                <w:iCs/>
                <w:sz w:val="20"/>
              </w:rPr>
              <w:tab/>
            </w:r>
            <w:r w:rsidRPr="00377267">
              <w:rPr>
                <w:b/>
                <w:i/>
                <w:sz w:val="20"/>
              </w:rPr>
              <w:t>sviluppo di una dimensione sociale della piattaforma per le regioni carbonifere in transizione, mediante l'applicazione delle migliori prassi dell'innovazione sociale: la riqualificazione e lo sviluppo delle competenze dei lavoratori, i programmi per i giovani e per i minatori in pensione.</w:t>
            </w:r>
          </w:p>
        </w:tc>
      </w:tr>
      <w:tr w:rsidR="006A2A3A" w:rsidRPr="00377267" w:rsidTr="000F66CA">
        <w:trPr>
          <w:trHeight w:val="319"/>
        </w:trPr>
        <w:tc>
          <w:tcPr>
            <w:tcW w:w="0" w:type="auto"/>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6A2A3A" w:rsidRPr="00377267" w:rsidRDefault="006A2A3A" w:rsidP="000F66CA">
            <w:pPr>
              <w:rPr>
                <w:sz w:val="20"/>
              </w:rPr>
            </w:pPr>
            <w:r w:rsidRPr="00377267">
              <w:rPr>
                <w:sz w:val="20"/>
              </w:rPr>
              <w:t>34 02 01</w:t>
            </w:r>
          </w:p>
        </w:tc>
        <w:tc>
          <w:tcPr>
            <w:tcW w:w="78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A2A3A" w:rsidRPr="00377267" w:rsidRDefault="006A2A3A" w:rsidP="000F66CA">
            <w:pPr>
              <w:rPr>
                <w:sz w:val="20"/>
              </w:rPr>
            </w:pPr>
            <w:r w:rsidRPr="00377267">
              <w:rPr>
                <w:sz w:val="20"/>
              </w:rPr>
              <w:t>Ridurre le emissioni di gas serra dell'Unione</w:t>
            </w:r>
          </w:p>
        </w:tc>
      </w:tr>
      <w:tr w:rsidR="006A2A3A" w:rsidRPr="00377267" w:rsidTr="000F66CA">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A2A3A" w:rsidRPr="00377267" w:rsidRDefault="006A2A3A" w:rsidP="000F66CA">
            <w:pPr>
              <w:spacing w:before="60" w:after="60"/>
              <w:jc w:val="both"/>
              <w:rPr>
                <w:i/>
                <w:iCs/>
                <w:sz w:val="20"/>
                <w:u w:val="single"/>
              </w:rPr>
            </w:pPr>
            <w:r w:rsidRPr="00377267">
              <w:rPr>
                <w:i/>
                <w:iCs/>
                <w:sz w:val="20"/>
                <w:u w:val="single"/>
              </w:rPr>
              <w:t>Aggiungere il testo seguente:</w:t>
            </w:r>
          </w:p>
          <w:p w:rsidR="006A2A3A" w:rsidRPr="00377267" w:rsidRDefault="006A2A3A" w:rsidP="000F66CA">
            <w:pPr>
              <w:spacing w:before="60" w:after="60"/>
              <w:jc w:val="both"/>
              <w:rPr>
                <w:i/>
                <w:iCs/>
                <w:sz w:val="20"/>
              </w:rPr>
            </w:pPr>
            <w:r w:rsidRPr="00377267">
              <w:rPr>
                <w:b/>
                <w:bCs/>
                <w:i/>
                <w:iCs/>
                <w:sz w:val="20"/>
              </w:rPr>
              <w:t>Per quanto riguarda i progetti integrati, occorre tener conto di un elemento distributivo nella selezione dei progetti allo scopo di favorire l'equilibrio geografico. Tale elemento ha carattere indicativo e non dovrebbe implicare per gli Stati membri la garanzia di fondi o allocazioni.</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34 02 02</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Accrescere la resilienza dell'Unione ai cambiamenti climatici</w:t>
            </w:r>
          </w:p>
        </w:tc>
      </w:tr>
      <w:tr w:rsidR="006A2A3A" w:rsidRPr="00377267" w:rsidTr="000F66CA">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Aggiungere il testo seguente:</w:t>
            </w:r>
            <w:r w:rsidRPr="00377267">
              <w:rPr>
                <w:i/>
                <w:iCs/>
                <w:sz w:val="20"/>
              </w:rPr>
              <w:br/>
            </w:r>
            <w:r w:rsidRPr="00377267">
              <w:rPr>
                <w:b/>
                <w:bCs/>
                <w:i/>
                <w:iCs/>
                <w:sz w:val="20"/>
              </w:rPr>
              <w:t>Per quanto riguarda i progetti integrati, occorre tener conto di un elemento distributivo nella selezione dei progetti allo scopo di favorire l'equilibrio geografico. Tale elemento ha carattere indicativo e non dovrebbe implicare per gli Stati membri la garanzia di fondi o allocazioni.</w:t>
            </w:r>
          </w:p>
        </w:tc>
      </w:tr>
      <w:tr w:rsidR="006A2A3A" w:rsidRPr="00377267" w:rsidTr="000F66CA">
        <w:trPr>
          <w:trHeight w:val="255"/>
        </w:trPr>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rPr>
                <w:sz w:val="20"/>
              </w:rPr>
            </w:pPr>
            <w:r w:rsidRPr="00377267">
              <w:rPr>
                <w:sz w:val="20"/>
              </w:rPr>
              <w:t>34 02 03</w:t>
            </w: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Migliorare la governance e l'informazione in materia di clima a tutti i livelli</w:t>
            </w:r>
          </w:p>
        </w:tc>
      </w:tr>
      <w:tr w:rsidR="006A2A3A" w:rsidRPr="00377267" w:rsidTr="000F66CA">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p>
        </w:tc>
        <w:tc>
          <w:tcPr>
            <w:tcW w:w="7808"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i/>
                <w:iCs/>
                <w:sz w:val="20"/>
              </w:rPr>
            </w:pPr>
            <w:r w:rsidRPr="00377267">
              <w:rPr>
                <w:i/>
                <w:iCs/>
                <w:sz w:val="20"/>
                <w:u w:val="single"/>
              </w:rPr>
              <w:t>Aggiungere il testo seguente:</w:t>
            </w:r>
            <w:r w:rsidRPr="00377267">
              <w:rPr>
                <w:i/>
                <w:iCs/>
                <w:sz w:val="20"/>
              </w:rPr>
              <w:br/>
            </w:r>
            <w:r w:rsidRPr="00377267">
              <w:rPr>
                <w:b/>
                <w:bCs/>
                <w:i/>
                <w:iCs/>
                <w:sz w:val="20"/>
              </w:rPr>
              <w:t>Per quanto riguarda i progetti integrati, occorre tener conto di un elemento distributivo nella selezione dei progetti allo scopo di favorire l'equilibrio geografico. Tale elemento ha carattere indicativo e non dovrebbe implicare per gli Stati membri la garanzia di fondi o allocazioni.</w:t>
            </w:r>
          </w:p>
        </w:tc>
      </w:tr>
    </w:tbl>
    <w:p w:rsidR="006A2A3A" w:rsidRPr="00377267" w:rsidRDefault="006A2A3A" w:rsidP="006A2A3A">
      <w:pPr>
        <w:spacing w:before="120" w:after="120"/>
        <w:jc w:val="both"/>
        <w:rPr>
          <w:szCs w:val="24"/>
        </w:rPr>
      </w:pPr>
      <w:r w:rsidRPr="00377267">
        <w:t>Ciò è subordinato alla condizione che gli emendamenti presentati dal Parlamento europeo o dal Consiglio non possono modificare o estendere la portata di una base giuridica esistente, né interferire con l'autonomia amministrativa delle istituzioni e alla condizione che possano essere coperti dalle risorse disponibili.</w:t>
      </w:r>
    </w:p>
    <w:p w:rsidR="006A2A3A" w:rsidRPr="00377267" w:rsidRDefault="006A2A3A" w:rsidP="006A2A3A">
      <w:pPr>
        <w:spacing w:before="120" w:after="120"/>
        <w:jc w:val="both"/>
        <w:rPr>
          <w:b/>
          <w:sz w:val="22"/>
          <w:szCs w:val="22"/>
        </w:rPr>
      </w:pPr>
    </w:p>
    <w:p w:rsidR="006A2A3A" w:rsidRPr="00377267" w:rsidRDefault="006A2A3A" w:rsidP="006A2A3A">
      <w:pPr>
        <w:spacing w:before="120" w:after="120"/>
        <w:jc w:val="both"/>
        <w:rPr>
          <w:b/>
          <w:szCs w:val="22"/>
        </w:rPr>
      </w:pPr>
      <w:r w:rsidRPr="00377267">
        <w:rPr>
          <w:b/>
          <w:szCs w:val="22"/>
        </w:rPr>
        <w:t>1.7.</w:t>
      </w:r>
      <w:r w:rsidRPr="00377267">
        <w:rPr>
          <w:b/>
          <w:szCs w:val="22"/>
        </w:rPr>
        <w:tab/>
        <w:t>Nomenclatura di bilancio</w:t>
      </w:r>
    </w:p>
    <w:p w:rsidR="006A2A3A" w:rsidRPr="00377267" w:rsidRDefault="006A2A3A" w:rsidP="006A2A3A">
      <w:pPr>
        <w:spacing w:before="120" w:after="120"/>
        <w:jc w:val="both"/>
        <w:rPr>
          <w:szCs w:val="24"/>
        </w:rPr>
      </w:pPr>
      <w:r w:rsidRPr="00377267">
        <w:t>La nomenclatura di bilancio proposta dalla Commissione nel progetto di bilancio, quale modificato dalla lettera rettificativa n. 1/2020, è approvata con l'inclusione dei nuovi progetti pilota e delle nuove azioni preparatorie tenendo conto delle seguenti modifiche.</w:t>
      </w:r>
    </w:p>
    <w:tbl>
      <w:tblPr>
        <w:tblW w:w="9248" w:type="dxa"/>
        <w:tblInd w:w="103" w:type="dxa"/>
        <w:tblLook w:val="04A0" w:firstRow="1" w:lastRow="0" w:firstColumn="1" w:lastColumn="0" w:noHBand="0" w:noVBand="1"/>
      </w:tblPr>
      <w:tblGrid>
        <w:gridCol w:w="1549"/>
        <w:gridCol w:w="939"/>
        <w:gridCol w:w="4619"/>
        <w:gridCol w:w="1280"/>
        <w:gridCol w:w="861"/>
      </w:tblGrid>
      <w:tr w:rsidR="006A2A3A" w:rsidRPr="00377267" w:rsidTr="000F66CA">
        <w:trPr>
          <w:trHeight w:val="765"/>
          <w:tblHeader/>
        </w:trPr>
        <w:tc>
          <w:tcPr>
            <w:tcW w:w="1280"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Linea di bilancio conformemente alla lettura del PE</w:t>
            </w:r>
          </w:p>
        </w:tc>
        <w:tc>
          <w:tcPr>
            <w:tcW w:w="939" w:type="dxa"/>
            <w:tcBorders>
              <w:top w:val="single" w:sz="4" w:space="0" w:color="auto"/>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Rubrica</w:t>
            </w:r>
          </w:p>
        </w:tc>
        <w:tc>
          <w:tcPr>
            <w:tcW w:w="4996" w:type="dxa"/>
            <w:tcBorders>
              <w:top w:val="single" w:sz="4" w:space="0" w:color="auto"/>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Denominazione / Nuova denominazione</w:t>
            </w:r>
          </w:p>
        </w:tc>
        <w:tc>
          <w:tcPr>
            <w:tcW w:w="1280" w:type="dxa"/>
            <w:tcBorders>
              <w:top w:val="single" w:sz="4" w:space="0" w:color="auto"/>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Nuova linea di bilancio</w:t>
            </w:r>
          </w:p>
        </w:tc>
        <w:tc>
          <w:tcPr>
            <w:tcW w:w="753" w:type="dxa"/>
            <w:tcBorders>
              <w:top w:val="single" w:sz="4" w:space="0" w:color="auto"/>
              <w:left w:val="nil"/>
              <w:bottom w:val="single" w:sz="4" w:space="0" w:color="auto"/>
              <w:right w:val="single" w:sz="4" w:space="0" w:color="auto"/>
            </w:tcBorders>
            <w:shd w:val="clear" w:color="auto" w:fill="DCE6F1"/>
            <w:vAlign w:val="center"/>
            <w:hideMark/>
          </w:tcPr>
          <w:p w:rsidR="006A2A3A" w:rsidRPr="00377267" w:rsidRDefault="006A2A3A" w:rsidP="000F66CA">
            <w:pPr>
              <w:jc w:val="center"/>
              <w:rPr>
                <w:b/>
                <w:bCs/>
                <w:color w:val="000000"/>
                <w:sz w:val="20"/>
              </w:rPr>
            </w:pPr>
            <w:r w:rsidRPr="00377267">
              <w:rPr>
                <w:b/>
                <w:bCs/>
                <w:color w:val="000000"/>
                <w:sz w:val="20"/>
              </w:rPr>
              <w:t>Nuova rubrica</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02 04 77 08</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 xml:space="preserve">Progetto pilota — Resilienza del trasporto aereo al disturbo intenzionale del GNSS e </w:t>
            </w:r>
            <w:r w:rsidRPr="00377267">
              <w:rPr>
                <w:b/>
                <w:i/>
                <w:sz w:val="20"/>
              </w:rPr>
              <w:t>agli attacchi informatici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02 04 77 08</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765"/>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06 02 77 25</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Etichettatura ecologica per il trasporto aereo / Progetto dimostrativo in vista dell'introduzione di un sistema volontario di etichettatura ecologica nel trasporto aereo</w:t>
            </w:r>
            <w:r w:rsidRPr="00377267">
              <w:rPr>
                <w:strike/>
                <w:sz w:val="20"/>
              </w:rPr>
              <w:t>, basato sul portale ecologico dell'Agenzia europea per la sicurezza aerea</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06 02 77 25</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06 02 77 26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2</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Interconnessione della mobilità urbana con le infrastrutture per il trasporto aereo</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06 02 77 26</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255"/>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06 02 77 27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2</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Rilancio dei treni notturni internazionali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06 02 77 27</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255"/>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06 02 77 28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2</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Capacità di ecologizzazione dei porti marittimi europei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06 02 77 28</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255"/>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09 02 77 15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2</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Mobilità urbana intelligente attraverso i veicoli autonomi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09 02 77 15</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13 03 77 30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1b</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BEST Cultura: Programma di sostegno della diversità culturale dei territori d'oltremare europei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13 03 77 30</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1b</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14 03 77 05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Studio di fattibilità per un registro europeo degli attivi nel contesto della lotta contro il riciclaggio e l'evasione fiscale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12 02 77 11</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15 04 77 22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Azione preparatoria — Finanziamenti, apprendimento, innovazione e brevettazione per le industrie culturali e creative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15 04 77 22</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w:t>
            </w:r>
          </w:p>
        </w:tc>
      </w:tr>
      <w:tr w:rsidR="006A2A3A" w:rsidRPr="00377267" w:rsidTr="000F66CA">
        <w:trPr>
          <w:trHeight w:val="765"/>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15 04 77 23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Azione preparatoria — Tutela dei cimiteri ebraici in Europa: un processo di mappatura completa affiancato da attività di ricerca e monitoraggio e da proposte specifiche di tutela corredate di stime dei costi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15 04 77 23</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32 02 77 16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Azione preparatoria — Istituzione di un sostegno globale per le regioni carbonifere e ad alta intensità di carbonio in transizione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32 02 77 12</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32 02 77 17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Azione preparatoria — Insegnare alle isole come bandire gare d'appalto per progetti nel campo delle energie rinnovabili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32 02 77 16</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765"/>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32 02 77 18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Azione preparatoria — Rafforzare la cooperazione sull'azione per il clima tra i piccoli comuni all'interno e all'esterno dell'UE mediante la creazione di un'identità rurale nel Patto dei sindaci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32 02 77 17</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32 02 77 19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1b</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Archivio delle comunità energetiche – Monitoraggio e sostegno alle comunità energetiche nell'UE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32 02 77 18</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255"/>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32 02 77 20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2</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Coinvolgere le imprese nella transizione energetica</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32 02 77 19</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33 04 77 07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Progetto pilota — Accessibilità web inclusiva per le persone con disabilità cognitive (Inclusività web: accesso per tutti)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09 04 77 29</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w:t>
            </w:r>
          </w:p>
        </w:tc>
      </w:tr>
      <w:tr w:rsidR="006A2A3A" w:rsidRPr="00377267" w:rsidTr="000F66CA">
        <w:trPr>
          <w:trHeight w:val="510"/>
        </w:trPr>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 xml:space="preserve">33 04 77 08 </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2</w:t>
            </w:r>
          </w:p>
        </w:tc>
        <w:tc>
          <w:tcPr>
            <w:tcW w:w="499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rPr>
                <w:sz w:val="20"/>
              </w:rPr>
            </w:pPr>
            <w:r w:rsidRPr="00377267">
              <w:rPr>
                <w:sz w:val="20"/>
              </w:rPr>
              <w:t>Azione preparatoria — Valutazione di presunte differenze di qualità tra prodotti venduti nel mercato unico</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33 04 77 07</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2A3A" w:rsidRPr="00377267" w:rsidRDefault="006A2A3A" w:rsidP="000F66CA">
            <w:pPr>
              <w:jc w:val="center"/>
              <w:rPr>
                <w:sz w:val="20"/>
              </w:rPr>
            </w:pPr>
            <w:r w:rsidRPr="00377267">
              <w:rPr>
                <w:sz w:val="20"/>
              </w:rPr>
              <w:t>1a</w:t>
            </w:r>
          </w:p>
        </w:tc>
      </w:tr>
    </w:tbl>
    <w:p w:rsidR="006A2A3A" w:rsidRPr="00377267" w:rsidRDefault="006A2A3A" w:rsidP="006A2A3A">
      <w:pPr>
        <w:spacing w:before="120" w:after="120"/>
        <w:jc w:val="both"/>
        <w:rPr>
          <w:b/>
          <w:sz w:val="32"/>
        </w:rPr>
      </w:pPr>
    </w:p>
    <w:p w:rsidR="006A2A3A" w:rsidRPr="00377267" w:rsidRDefault="006A2A3A" w:rsidP="006A2A3A">
      <w:pPr>
        <w:spacing w:before="120" w:after="120"/>
        <w:jc w:val="both"/>
        <w:rPr>
          <w:b/>
          <w:sz w:val="32"/>
          <w:szCs w:val="24"/>
        </w:rPr>
      </w:pPr>
      <w:r w:rsidRPr="00377267">
        <w:rPr>
          <w:b/>
          <w:sz w:val="32"/>
        </w:rPr>
        <w:t>2.</w:t>
      </w:r>
      <w:r w:rsidRPr="00377267">
        <w:rPr>
          <w:b/>
          <w:sz w:val="32"/>
        </w:rPr>
        <w:tab/>
        <w:t>Dichiarazioni</w:t>
      </w:r>
    </w:p>
    <w:p w:rsidR="006A2A3A" w:rsidRPr="00377267" w:rsidRDefault="006A2A3A" w:rsidP="006A2A3A">
      <w:pPr>
        <w:spacing w:before="120" w:after="120"/>
        <w:ind w:left="709" w:hanging="709"/>
        <w:jc w:val="both"/>
        <w:rPr>
          <w:b/>
          <w:sz w:val="22"/>
          <w:szCs w:val="22"/>
        </w:rPr>
      </w:pPr>
    </w:p>
    <w:p w:rsidR="006A2A3A" w:rsidRPr="00377267" w:rsidRDefault="006A2A3A" w:rsidP="006A2A3A">
      <w:pPr>
        <w:spacing w:before="120" w:after="120"/>
        <w:ind w:left="709" w:hanging="709"/>
        <w:jc w:val="both"/>
        <w:rPr>
          <w:b/>
          <w:szCs w:val="22"/>
        </w:rPr>
      </w:pPr>
      <w:r w:rsidRPr="00377267">
        <w:rPr>
          <w:b/>
          <w:szCs w:val="22"/>
        </w:rPr>
        <w:t xml:space="preserve">2.1 </w:t>
      </w:r>
      <w:r w:rsidRPr="00377267">
        <w:rPr>
          <w:b/>
          <w:szCs w:val="22"/>
        </w:rPr>
        <w:tab/>
        <w:t>Dichiarazione comune del Parlamento europeo, del Consiglio e della Commissione sul finanziamento dell'EASO</w:t>
      </w:r>
    </w:p>
    <w:p w:rsidR="006A2A3A" w:rsidRPr="00377267" w:rsidRDefault="006A2A3A" w:rsidP="006A2A3A">
      <w:pPr>
        <w:spacing w:before="120" w:after="120"/>
        <w:jc w:val="both"/>
        <w:rPr>
          <w:szCs w:val="24"/>
        </w:rPr>
      </w:pPr>
      <w:r w:rsidRPr="00377267">
        <w:t>Il Parlamento europeo e il Consiglio prendono atto dell'intenzione della Commissione di riesaminare il fabbisogno di finanziamento dell'Agenzia dell'Unione europea per l'asilo (EASO) per l'esercizio 2020 quando sarà stata adottata la proposta legislativa del 12 settembre 2018 mirante a rafforzare le capacità di sostegno operativo dell'agenzia.</w:t>
      </w:r>
    </w:p>
    <w:p w:rsidR="006A2A3A" w:rsidRPr="00377267" w:rsidRDefault="006A2A3A" w:rsidP="006A2A3A">
      <w:pPr>
        <w:spacing w:before="120" w:after="120"/>
        <w:jc w:val="both"/>
      </w:pPr>
      <w:r w:rsidRPr="00377267">
        <w:t>Il Parlamento europeo e il Consiglio si impegnano a trattare un'eventuale richiesta di rafforzamento del contributo dell'UE all'EASO nel 2020, che potrebbe richiedere uno storno dell'autorità di bilancio o un progetto di bilancio rettificativo, tenendo debitamente conto della sua urgenza.</w:t>
      </w:r>
    </w:p>
    <w:p w:rsidR="006A2A3A" w:rsidRPr="00377267" w:rsidRDefault="006A2A3A" w:rsidP="006A2A3A">
      <w:pPr>
        <w:spacing w:before="120" w:after="120"/>
        <w:ind w:left="709" w:hanging="709"/>
        <w:jc w:val="both"/>
        <w:rPr>
          <w:b/>
          <w:sz w:val="22"/>
          <w:szCs w:val="22"/>
        </w:rPr>
      </w:pPr>
    </w:p>
    <w:p w:rsidR="006A2A3A" w:rsidRPr="00377267" w:rsidRDefault="006A2A3A" w:rsidP="006A2A3A">
      <w:pPr>
        <w:spacing w:before="120" w:after="120"/>
        <w:ind w:left="709" w:hanging="709"/>
        <w:jc w:val="both"/>
        <w:rPr>
          <w:b/>
          <w:szCs w:val="22"/>
        </w:rPr>
      </w:pPr>
      <w:r w:rsidRPr="00377267">
        <w:rPr>
          <w:b/>
          <w:szCs w:val="22"/>
        </w:rPr>
        <w:t>2.2.</w:t>
      </w:r>
      <w:r w:rsidRPr="00377267">
        <w:rPr>
          <w:b/>
          <w:szCs w:val="22"/>
        </w:rPr>
        <w:tab/>
        <w:t>Dichiarazione comune del Parlamento europeo, del Consiglio e della Commissione sugli stanziamenti di pagamento</w:t>
      </w:r>
    </w:p>
    <w:p w:rsidR="006A2A3A" w:rsidRPr="00377267" w:rsidRDefault="006A2A3A" w:rsidP="006A2A3A">
      <w:pPr>
        <w:spacing w:before="120" w:after="120"/>
        <w:jc w:val="both"/>
        <w:rPr>
          <w:szCs w:val="24"/>
        </w:rPr>
      </w:pPr>
      <w:r w:rsidRPr="00377267">
        <w:t xml:space="preserve">Il Parlamento europeo e il Consiglio ricordano la necessità di garantire, tenuto conto dell'esecuzione, un andamento ordinato dei pagamenti in relazione agli stanziamenti per impegni, onde evitare un livello anormale di fatture non pagate a fine esercizio. </w:t>
      </w:r>
    </w:p>
    <w:p w:rsidR="006A2A3A" w:rsidRPr="00377267" w:rsidRDefault="006A2A3A" w:rsidP="006A2A3A">
      <w:pPr>
        <w:spacing w:before="120" w:after="120"/>
        <w:jc w:val="both"/>
      </w:pPr>
      <w:r w:rsidRPr="00377267">
        <w:t xml:space="preserve">Il Parlamento europeo e il Consiglio invitano la Commissione a continuare a monitorare attentamente e attivamente l'esecuzione dei programmi 2014-2020 (in particolare nell'ambito della sottorubrica 1b e dello sviluppo rurale). A tal fine, invitano la Commissione a presentare tempestivamente cifre aggiornate relative allo stato dell'esecuzione e previsioni concernenti gli stanziamenti di pagamento nel 2020. </w:t>
      </w:r>
    </w:p>
    <w:p w:rsidR="006A2A3A" w:rsidRPr="00377267" w:rsidRDefault="006A2A3A" w:rsidP="006A2A3A">
      <w:pPr>
        <w:spacing w:before="120" w:after="120"/>
        <w:jc w:val="both"/>
      </w:pPr>
      <w:r w:rsidRPr="00377267">
        <w:t>Se le cifre dimostrano che gli stanziamenti iscritti nel bilancio 2020 non sono sufficienti a coprire i fabbisogni, il Parlamento europeo e il Consiglio invitano la Commissione a presentare quanto prima una soluzione adeguata, segnatamente un bilancio rettificativo, per consentire all'autorità di bilancio di adottare a tempo debito le decisioni necessarie a fronte di esigenze giustificate. Se del caso, il Parlamento europeo e il Consiglio terranno conto dell'urgenza della questione. Per il Consiglio ciò potrebbe comportare l'accorciamento del termine di otto settimane per la decisione, qualora lo ritenga necessario.</w:t>
      </w:r>
    </w:p>
    <w:p w:rsidR="006A2A3A" w:rsidRPr="00377267" w:rsidRDefault="006A2A3A" w:rsidP="006A2A3A">
      <w:pPr>
        <w:spacing w:before="120" w:after="120"/>
        <w:ind w:left="709" w:hanging="709"/>
        <w:jc w:val="both"/>
        <w:rPr>
          <w:b/>
          <w:sz w:val="22"/>
          <w:szCs w:val="22"/>
        </w:rPr>
      </w:pPr>
    </w:p>
    <w:p w:rsidR="006A2A3A" w:rsidRPr="00377267" w:rsidRDefault="006A2A3A" w:rsidP="006A2A3A">
      <w:pPr>
        <w:spacing w:before="120" w:after="120"/>
        <w:ind w:left="709" w:hanging="709"/>
        <w:jc w:val="both"/>
        <w:rPr>
          <w:b/>
          <w:szCs w:val="22"/>
        </w:rPr>
      </w:pPr>
      <w:r w:rsidRPr="00377267">
        <w:rPr>
          <w:b/>
          <w:szCs w:val="22"/>
        </w:rPr>
        <w:t>2.3</w:t>
      </w:r>
      <w:r w:rsidRPr="00377267">
        <w:rPr>
          <w:b/>
          <w:szCs w:val="22"/>
        </w:rPr>
        <w:tab/>
        <w:t>Dichiarazione comune del Parlamento europeo, del Consiglio e della Commissione sull'iniziativa a favore dell'occupazione giovanile</w:t>
      </w:r>
    </w:p>
    <w:p w:rsidR="006A2A3A" w:rsidRPr="00377267" w:rsidRDefault="006A2A3A" w:rsidP="006A2A3A">
      <w:pPr>
        <w:spacing w:before="120" w:after="120"/>
        <w:jc w:val="both"/>
        <w:rPr>
          <w:szCs w:val="24"/>
        </w:rPr>
      </w:pPr>
      <w:r w:rsidRPr="00377267">
        <w:t xml:space="preserve">Il Parlamento europeo, il Consiglio e la Commissione ricordano che la riduzione della disoccupazione giovanile resta una priorità politica importante e condivisa e, a tal fine, riaffermano la loro determinazione a utilizzare al meglio le risorse di bilancio disponibili per farvi fronte, in particolare tramite l'iniziativa a favore dell'occupazione giovanile (Youth Employment Initiative, YEI). </w:t>
      </w:r>
    </w:p>
    <w:p w:rsidR="006A2A3A" w:rsidRPr="00377267" w:rsidRDefault="006A2A3A" w:rsidP="006A2A3A">
      <w:pPr>
        <w:spacing w:before="120" w:after="120"/>
        <w:jc w:val="both"/>
      </w:pPr>
      <w:r w:rsidRPr="00377267">
        <w:t xml:space="preserve">Il Parlamento europeo e il Consiglio invitano la Commissione a monitorare da vicino l'andamento dell'attuazione di questa iniziativa e a presentare una relazione entro il 30 giugno 2020. </w:t>
      </w:r>
    </w:p>
    <w:p w:rsidR="006A2A3A" w:rsidRPr="00377267" w:rsidRDefault="006A2A3A" w:rsidP="006A2A3A">
      <w:pPr>
        <w:spacing w:before="120" w:after="120"/>
        <w:jc w:val="both"/>
      </w:pPr>
      <w:r w:rsidRPr="00377267">
        <w:t>Qualora la valutazione della Commissione dovesse confermare la necessità di aumentare la dotazione dell'YEI, la Commissione presenterà in parallelo un progetto di bilancio rettificativo per aumentare la dotazione specifica dell'YEI di 50 milioni di EUR.</w:t>
      </w:r>
    </w:p>
    <w:p w:rsidR="006A2A3A" w:rsidRPr="00377267" w:rsidRDefault="006A2A3A" w:rsidP="006A2A3A">
      <w:pPr>
        <w:spacing w:before="120" w:after="120"/>
        <w:jc w:val="both"/>
      </w:pPr>
      <w:r w:rsidRPr="00377267">
        <w:t>Il Consiglio e il Parlamento europeo si impegnano a trattare rapidamente tale eventuale progetto di bilancio rettificativo per il 2020 presentato dalla Commissione.</w:t>
      </w:r>
    </w:p>
    <w:p w:rsidR="006A2A3A" w:rsidRPr="00377267" w:rsidRDefault="006A2A3A" w:rsidP="006A2A3A">
      <w:pPr>
        <w:spacing w:before="120" w:after="120"/>
        <w:ind w:left="709" w:hanging="709"/>
        <w:jc w:val="both"/>
        <w:rPr>
          <w:b/>
          <w:sz w:val="22"/>
          <w:szCs w:val="22"/>
        </w:rPr>
      </w:pPr>
    </w:p>
    <w:p w:rsidR="006A2A3A" w:rsidRPr="00377267" w:rsidRDefault="006A2A3A" w:rsidP="006A2A3A">
      <w:pPr>
        <w:spacing w:before="120" w:after="120"/>
        <w:ind w:left="709" w:hanging="709"/>
        <w:jc w:val="both"/>
        <w:rPr>
          <w:b/>
          <w:szCs w:val="22"/>
        </w:rPr>
      </w:pPr>
      <w:r w:rsidRPr="00377267">
        <w:rPr>
          <w:b/>
          <w:szCs w:val="22"/>
        </w:rPr>
        <w:t>2.4.</w:t>
      </w:r>
      <w:r w:rsidRPr="00377267">
        <w:rPr>
          <w:b/>
          <w:szCs w:val="22"/>
        </w:rPr>
        <w:tab/>
        <w:t>Dichiarazione unilaterale della Commissione sull'iniziativa a favore dell'occupazione giovanile</w:t>
      </w:r>
    </w:p>
    <w:p w:rsidR="006A2A3A" w:rsidRPr="00377267" w:rsidRDefault="006A2A3A" w:rsidP="006A2A3A">
      <w:pPr>
        <w:spacing w:before="120" w:after="120"/>
        <w:jc w:val="both"/>
        <w:rPr>
          <w:szCs w:val="24"/>
        </w:rPr>
      </w:pPr>
      <w:r w:rsidRPr="00377267">
        <w:t xml:space="preserve">L'aumento della dotazione specifica dell'YEI richiede una modifica tecnica del regolamento recante disposizioni comuni. </w:t>
      </w:r>
    </w:p>
    <w:p w:rsidR="006A2A3A" w:rsidRPr="00377267" w:rsidRDefault="006A2A3A" w:rsidP="006A2A3A">
      <w:pPr>
        <w:spacing w:before="120" w:after="120"/>
        <w:jc w:val="both"/>
      </w:pPr>
      <w:r w:rsidRPr="00377267">
        <w:t>Come avvenuto negli anni precedenti, tale modifica sarà strettamente limitata alle modifiche necessarie per assicurare la dotazione supplementare dell'YEI e non avrà alcun impatto sull'attuazione della politica di coesione.</w:t>
      </w:r>
    </w:p>
    <w:p w:rsidR="006A2A3A" w:rsidRPr="00377267" w:rsidRDefault="006A2A3A" w:rsidP="006A2A3A">
      <w:pPr>
        <w:spacing w:before="120" w:after="120"/>
        <w:ind w:left="709" w:hanging="709"/>
        <w:jc w:val="both"/>
        <w:rPr>
          <w:b/>
          <w:szCs w:val="22"/>
        </w:rPr>
      </w:pPr>
      <w:r w:rsidRPr="00377267">
        <w:rPr>
          <w:b/>
          <w:szCs w:val="22"/>
        </w:rPr>
        <w:t>2.5.</w:t>
      </w:r>
      <w:r w:rsidRPr="00377267">
        <w:rPr>
          <w:b/>
          <w:szCs w:val="22"/>
        </w:rPr>
        <w:tab/>
        <w:t>Dichiarazione unilaterale della Commissione sull'avvicinamento all'obiettivo del 20 % per quanto riguarda la spesa connessa al clima nel periodo 2014-2020</w:t>
      </w:r>
    </w:p>
    <w:p w:rsidR="006A2A3A" w:rsidRPr="00377267" w:rsidRDefault="006A2A3A" w:rsidP="006A2A3A">
      <w:pPr>
        <w:spacing w:before="120" w:after="120"/>
        <w:jc w:val="both"/>
        <w:rPr>
          <w:szCs w:val="24"/>
        </w:rPr>
      </w:pPr>
      <w:r w:rsidRPr="00377267">
        <w:t>La Commissione monitorerà attentamente l'esecuzione del bilancio nel corso del 2020. In caso di sottoesecuzione nell'ambito delle rubriche pertinenti, la Commissione presenterà le opportune proposte di bilancio al fine di aumentare, ove possibile, la spesa connessa al clima.</w:t>
      </w:r>
    </w:p>
    <w:p w:rsidR="006A2A3A" w:rsidRPr="00377267" w:rsidRDefault="006A2A3A" w:rsidP="006A2A3A">
      <w:pPr>
        <w:widowControl/>
      </w:pPr>
      <w:r w:rsidRPr="00377267">
        <w:br w:type="page"/>
      </w:r>
    </w:p>
    <w:p w:rsidR="006A2A3A" w:rsidRPr="00377267" w:rsidRDefault="006A2A3A" w:rsidP="006A2A3A">
      <w:pPr>
        <w:pStyle w:val="PageHeading"/>
        <w:spacing w:before="360"/>
        <w:rPr>
          <w:szCs w:val="24"/>
        </w:rPr>
      </w:pPr>
      <w:bookmarkStart w:id="3" w:name="_Toc25161694"/>
      <w:bookmarkStart w:id="4" w:name="_Toc25225800"/>
      <w:bookmarkStart w:id="5" w:name="_Toc25590307"/>
      <w:r w:rsidRPr="00377267">
        <w:rPr>
          <w:caps/>
          <w:szCs w:val="24"/>
        </w:rPr>
        <w:t>PROC</w:t>
      </w:r>
      <w:r w:rsidRPr="00377267">
        <w:t>EDURA DELLA COMMISSIONE COMPETENTE PER IL MERITO</w:t>
      </w:r>
      <w:bookmarkEnd w:id="3"/>
      <w:bookmarkEnd w:id="4"/>
      <w:bookmarkEnd w:id="5"/>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01"/>
        <w:gridCol w:w="1417"/>
        <w:gridCol w:w="1418"/>
        <w:gridCol w:w="1624"/>
      </w:tblGrid>
      <w:tr w:rsidR="006A2A3A" w:rsidRPr="00377267" w:rsidTr="000F66CA">
        <w:trPr>
          <w:jc w:val="center"/>
        </w:trPr>
        <w:tc>
          <w:tcPr>
            <w:tcW w:w="3686" w:type="dxa"/>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Cs w:val="24"/>
              </w:rPr>
            </w:pPr>
            <w:r w:rsidRPr="00377267">
              <w:rPr>
                <w:b/>
                <w:sz w:val="20"/>
                <w:szCs w:val="24"/>
              </w:rPr>
              <w:t>Titolo</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Cs w:val="24"/>
              </w:rPr>
            </w:pPr>
            <w:r w:rsidRPr="00377267">
              <w:rPr>
                <w:sz w:val="20"/>
                <w:szCs w:val="24"/>
              </w:rPr>
              <w:t>General budget of the European Union for the financial year 2020</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Cs w:val="24"/>
              </w:rPr>
            </w:pPr>
            <w:r w:rsidRPr="00377267">
              <w:rPr>
                <w:b/>
                <w:sz w:val="20"/>
                <w:szCs w:val="24"/>
              </w:rPr>
              <w:t>Riferimenti</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Cs w:val="24"/>
              </w:rPr>
            </w:pPr>
            <w:r w:rsidRPr="00377267">
              <w:rPr>
                <w:sz w:val="20"/>
                <w:szCs w:val="24"/>
              </w:rPr>
              <w:t>00000/2019 – C9-0000/2019 – 2019/2020(BUD)</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spacing w:before="20" w:after="40"/>
              <w:rPr>
                <w:szCs w:val="24"/>
              </w:rPr>
            </w:pPr>
            <w:r w:rsidRPr="00377267">
              <w:rPr>
                <w:b/>
                <w:sz w:val="20"/>
                <w:szCs w:val="24"/>
              </w:rPr>
              <w:t>Presidente della delegazione: Presidente</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 w:val="20"/>
                <w:szCs w:val="24"/>
              </w:rPr>
            </w:pPr>
            <w:r w:rsidRPr="00377267">
              <w:rPr>
                <w:sz w:val="20"/>
                <w:szCs w:val="24"/>
              </w:rPr>
              <w:t>David Maria Sassoli</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tabs>
                <w:tab w:val="left" w:pos="443"/>
              </w:tabs>
              <w:spacing w:before="20" w:after="40"/>
              <w:rPr>
                <w:szCs w:val="24"/>
              </w:rPr>
            </w:pPr>
            <w:r w:rsidRPr="00377267">
              <w:rPr>
                <w:b/>
                <w:sz w:val="20"/>
                <w:szCs w:val="24"/>
              </w:rPr>
              <w:t xml:space="preserve">Commissione competente per il merito </w:t>
            </w:r>
            <w:r w:rsidRPr="00377267">
              <w:rPr>
                <w:b/>
                <w:sz w:val="20"/>
                <w:szCs w:val="24"/>
              </w:rPr>
              <w:br/>
            </w:r>
            <w:r w:rsidRPr="00377267">
              <w:rPr>
                <w:b/>
                <w:sz w:val="20"/>
                <w:szCs w:val="24"/>
              </w:rPr>
              <w:tab/>
            </w:r>
            <w:r w:rsidRPr="00377267">
              <w:rPr>
                <w:sz w:val="20"/>
                <w:szCs w:val="24"/>
              </w:rPr>
              <w:t xml:space="preserve">Presidente </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Cs w:val="24"/>
              </w:rPr>
            </w:pPr>
            <w:r w:rsidRPr="00377267">
              <w:rPr>
                <w:sz w:val="20"/>
                <w:szCs w:val="24"/>
              </w:rPr>
              <w:t>BUDG</w:t>
            </w:r>
            <w:r w:rsidRPr="00377267">
              <w:rPr>
                <w:sz w:val="20"/>
                <w:szCs w:val="24"/>
              </w:rPr>
              <w:br/>
              <w:t>Johan Van Overtveldt</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spacing w:before="20" w:after="40"/>
              <w:rPr>
                <w:szCs w:val="24"/>
              </w:rPr>
            </w:pPr>
            <w:r w:rsidRPr="00377267">
              <w:rPr>
                <w:b/>
                <w:sz w:val="20"/>
                <w:szCs w:val="24"/>
              </w:rPr>
              <w:t>Relatori</w:t>
            </w:r>
          </w:p>
        </w:tc>
        <w:tc>
          <w:tcPr>
            <w:tcW w:w="2818" w:type="dxa"/>
            <w:gridSpan w:val="2"/>
            <w:tcBorders>
              <w:top w:val="single" w:sz="4" w:space="0" w:color="auto"/>
              <w:left w:val="single" w:sz="4" w:space="0" w:color="auto"/>
              <w:bottom w:val="single" w:sz="4" w:space="0" w:color="auto"/>
              <w:right w:val="nil"/>
            </w:tcBorders>
            <w:hideMark/>
          </w:tcPr>
          <w:p w:rsidR="006A2A3A" w:rsidRPr="00377267" w:rsidRDefault="006A2A3A" w:rsidP="000F66CA">
            <w:pPr>
              <w:spacing w:before="20" w:after="40"/>
              <w:rPr>
                <w:sz w:val="20"/>
                <w:szCs w:val="24"/>
              </w:rPr>
            </w:pPr>
            <w:r w:rsidRPr="00377267">
              <w:rPr>
                <w:sz w:val="20"/>
                <w:szCs w:val="24"/>
              </w:rPr>
              <w:t>Monika Hohlmeier</w:t>
            </w:r>
          </w:p>
        </w:tc>
        <w:tc>
          <w:tcPr>
            <w:tcW w:w="3042" w:type="dxa"/>
            <w:gridSpan w:val="2"/>
            <w:tcBorders>
              <w:top w:val="single" w:sz="4" w:space="0" w:color="auto"/>
              <w:left w:val="nil"/>
              <w:bottom w:val="single" w:sz="4" w:space="0" w:color="auto"/>
              <w:right w:val="single" w:sz="4" w:space="0" w:color="auto"/>
            </w:tcBorders>
            <w:hideMark/>
          </w:tcPr>
          <w:p w:rsidR="006A2A3A" w:rsidRPr="00377267" w:rsidRDefault="006A2A3A" w:rsidP="000F66CA">
            <w:pPr>
              <w:spacing w:before="20" w:after="40"/>
              <w:rPr>
                <w:sz w:val="20"/>
                <w:szCs w:val="24"/>
              </w:rPr>
            </w:pPr>
            <w:r w:rsidRPr="00377267">
              <w:rPr>
                <w:sz w:val="20"/>
                <w:szCs w:val="24"/>
              </w:rPr>
              <w:t>Eider Gardiazabal Rubial</w:t>
            </w:r>
          </w:p>
        </w:tc>
      </w:tr>
      <w:tr w:rsidR="006A2A3A" w:rsidRPr="00377267" w:rsidTr="000F66C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spacing w:before="20" w:after="40"/>
              <w:rPr>
                <w:szCs w:val="24"/>
              </w:rPr>
            </w:pPr>
            <w:r w:rsidRPr="00377267">
              <w:rPr>
                <w:b/>
                <w:sz w:val="20"/>
                <w:szCs w:val="24"/>
              </w:rPr>
              <w:t>Progetti di atto esaminati</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Cs w:val="24"/>
              </w:rPr>
            </w:pPr>
            <w:r w:rsidRPr="00377267">
              <w:rPr>
                <w:sz w:val="20"/>
                <w:szCs w:val="24"/>
              </w:rPr>
              <w:t>COM(2019)0400, COM(2019)0487</w:t>
            </w:r>
          </w:p>
        </w:tc>
      </w:tr>
      <w:tr w:rsidR="006A2A3A" w:rsidRPr="00377267" w:rsidTr="000F66C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tabs>
                <w:tab w:val="left" w:pos="443"/>
              </w:tabs>
              <w:spacing w:before="20" w:after="40"/>
              <w:rPr>
                <w:szCs w:val="24"/>
              </w:rPr>
            </w:pPr>
            <w:r w:rsidRPr="00377267">
              <w:rPr>
                <w:b/>
                <w:sz w:val="20"/>
                <w:szCs w:val="24"/>
              </w:rPr>
              <w:t xml:space="preserve">Posizione del Consiglio </w:t>
            </w:r>
            <w:r w:rsidRPr="00377267">
              <w:rPr>
                <w:b/>
                <w:sz w:val="20"/>
                <w:szCs w:val="24"/>
              </w:rPr>
              <w:br/>
            </w:r>
            <w:r w:rsidRPr="00377267">
              <w:rPr>
                <w:sz w:val="20"/>
                <w:szCs w:val="24"/>
              </w:rPr>
              <w:tab/>
              <w:t>Adozione</w:t>
            </w:r>
          </w:p>
          <w:p w:rsidR="006A2A3A" w:rsidRPr="00377267" w:rsidRDefault="006A2A3A" w:rsidP="000F66CA">
            <w:pPr>
              <w:tabs>
                <w:tab w:val="left" w:pos="443"/>
              </w:tabs>
              <w:spacing w:before="20" w:after="40"/>
              <w:rPr>
                <w:szCs w:val="24"/>
              </w:rPr>
            </w:pPr>
            <w:r w:rsidRPr="00377267">
              <w:rPr>
                <w:sz w:val="20"/>
                <w:szCs w:val="24"/>
              </w:rPr>
              <w:tab/>
              <w:t>Annuncio in Aula</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 w:val="20"/>
                <w:szCs w:val="24"/>
              </w:rPr>
            </w:pPr>
            <w:r w:rsidRPr="00377267">
              <w:rPr>
                <w:sz w:val="20"/>
                <w:szCs w:val="24"/>
              </w:rPr>
              <w:t>11374/2019 – C9-0119/2019</w:t>
            </w:r>
          </w:p>
          <w:p w:rsidR="006A2A3A" w:rsidRPr="00377267" w:rsidRDefault="006A2A3A" w:rsidP="000F66CA">
            <w:pPr>
              <w:spacing w:before="20" w:after="40"/>
              <w:rPr>
                <w:szCs w:val="24"/>
              </w:rPr>
            </w:pPr>
            <w:r w:rsidRPr="00377267">
              <w:rPr>
                <w:sz w:val="20"/>
                <w:szCs w:val="24"/>
              </w:rPr>
              <w:t>5.9.2019</w:t>
            </w:r>
          </w:p>
          <w:p w:rsidR="006A2A3A" w:rsidRPr="00377267" w:rsidRDefault="006A2A3A" w:rsidP="000F66CA">
            <w:pPr>
              <w:spacing w:before="20" w:after="40"/>
              <w:rPr>
                <w:szCs w:val="24"/>
              </w:rPr>
            </w:pPr>
            <w:r w:rsidRPr="00377267">
              <w:rPr>
                <w:sz w:val="20"/>
                <w:szCs w:val="24"/>
              </w:rPr>
              <w:t>16.9.2019</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spacing w:before="20" w:after="40"/>
              <w:rPr>
                <w:szCs w:val="24"/>
              </w:rPr>
            </w:pPr>
            <w:r w:rsidRPr="00377267">
              <w:rPr>
                <w:b/>
                <w:sz w:val="20"/>
                <w:szCs w:val="24"/>
              </w:rPr>
              <w:t>Posizione del PE</w:t>
            </w:r>
          </w:p>
        </w:tc>
        <w:tc>
          <w:tcPr>
            <w:tcW w:w="2818" w:type="dxa"/>
            <w:gridSpan w:val="2"/>
            <w:tcBorders>
              <w:top w:val="single" w:sz="4" w:space="0" w:color="auto"/>
              <w:left w:val="single" w:sz="4" w:space="0" w:color="auto"/>
              <w:bottom w:val="single" w:sz="4" w:space="0" w:color="auto"/>
              <w:right w:val="nil"/>
            </w:tcBorders>
            <w:hideMark/>
          </w:tcPr>
          <w:p w:rsidR="006A2A3A" w:rsidRPr="00377267" w:rsidRDefault="006A2A3A" w:rsidP="000F66CA">
            <w:pPr>
              <w:spacing w:before="20" w:after="40"/>
              <w:rPr>
                <w:sz w:val="20"/>
                <w:szCs w:val="24"/>
              </w:rPr>
            </w:pPr>
            <w:r w:rsidRPr="00377267">
              <w:rPr>
                <w:sz w:val="20"/>
                <w:szCs w:val="24"/>
              </w:rPr>
              <w:t>23.10.2019</w:t>
            </w:r>
          </w:p>
        </w:tc>
        <w:tc>
          <w:tcPr>
            <w:tcW w:w="3042" w:type="dxa"/>
            <w:gridSpan w:val="2"/>
            <w:tcBorders>
              <w:top w:val="single" w:sz="4" w:space="0" w:color="auto"/>
              <w:left w:val="nil"/>
              <w:bottom w:val="single" w:sz="4" w:space="0" w:color="auto"/>
              <w:right w:val="single" w:sz="4" w:space="0" w:color="auto"/>
            </w:tcBorders>
            <w:hideMark/>
          </w:tcPr>
          <w:p w:rsidR="006A2A3A" w:rsidRPr="00377267" w:rsidRDefault="006A2A3A" w:rsidP="000F66CA">
            <w:pPr>
              <w:spacing w:before="20" w:after="40"/>
              <w:rPr>
                <w:szCs w:val="24"/>
              </w:rPr>
            </w:pPr>
            <w:r w:rsidRPr="00377267">
              <w:rPr>
                <w:sz w:val="20"/>
                <w:szCs w:val="24"/>
              </w:rPr>
              <w:t>P9_TA(2019)0038</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spacing w:before="20" w:after="40"/>
              <w:rPr>
                <w:szCs w:val="24"/>
              </w:rPr>
            </w:pPr>
            <w:r w:rsidRPr="00377267">
              <w:rPr>
                <w:b/>
                <w:sz w:val="20"/>
                <w:szCs w:val="24"/>
              </w:rPr>
              <w:t xml:space="preserve">Lettera del Consiglio sulla mancata approvazione degli emendamenti del PE </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 w:val="20"/>
                <w:szCs w:val="24"/>
              </w:rPr>
            </w:pPr>
            <w:r w:rsidRPr="00377267">
              <w:rPr>
                <w:sz w:val="20"/>
                <w:szCs w:val="24"/>
              </w:rPr>
              <w:t>23.10.2019</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tabs>
                <w:tab w:val="left" w:pos="426"/>
              </w:tabs>
              <w:spacing w:before="20" w:after="40"/>
              <w:rPr>
                <w:szCs w:val="24"/>
              </w:rPr>
            </w:pPr>
            <w:r w:rsidRPr="00377267">
              <w:rPr>
                <w:b/>
                <w:sz w:val="20"/>
                <w:szCs w:val="24"/>
              </w:rPr>
              <w:t>Riunioni del comitato di conciliazione</w:t>
            </w:r>
          </w:p>
        </w:tc>
        <w:tc>
          <w:tcPr>
            <w:tcW w:w="1401" w:type="dxa"/>
            <w:tcBorders>
              <w:top w:val="single" w:sz="4" w:space="0" w:color="auto"/>
              <w:left w:val="single" w:sz="4" w:space="0" w:color="auto"/>
              <w:bottom w:val="single" w:sz="4" w:space="0" w:color="auto"/>
              <w:right w:val="nil"/>
            </w:tcBorders>
            <w:hideMark/>
          </w:tcPr>
          <w:p w:rsidR="006A2A3A" w:rsidRPr="00377267" w:rsidRDefault="006A2A3A" w:rsidP="000F66CA">
            <w:pPr>
              <w:spacing w:before="20" w:after="40"/>
              <w:rPr>
                <w:sz w:val="20"/>
                <w:szCs w:val="24"/>
              </w:rPr>
            </w:pPr>
            <w:r w:rsidRPr="00377267">
              <w:rPr>
                <w:sz w:val="20"/>
                <w:szCs w:val="24"/>
              </w:rPr>
              <w:t>4.11.2019</w:t>
            </w:r>
          </w:p>
        </w:tc>
        <w:tc>
          <w:tcPr>
            <w:tcW w:w="1417" w:type="dxa"/>
            <w:tcBorders>
              <w:top w:val="single" w:sz="4" w:space="0" w:color="auto"/>
              <w:left w:val="nil"/>
              <w:bottom w:val="single" w:sz="4" w:space="0" w:color="auto"/>
              <w:right w:val="nil"/>
            </w:tcBorders>
            <w:hideMark/>
          </w:tcPr>
          <w:p w:rsidR="006A2A3A" w:rsidRPr="00377267" w:rsidRDefault="006A2A3A" w:rsidP="000F66CA">
            <w:pPr>
              <w:spacing w:before="20" w:after="40"/>
              <w:rPr>
                <w:b/>
                <w:sz w:val="20"/>
                <w:szCs w:val="24"/>
              </w:rPr>
            </w:pPr>
            <w:r w:rsidRPr="00377267">
              <w:rPr>
                <w:sz w:val="20"/>
                <w:szCs w:val="24"/>
              </w:rPr>
              <w:t>15.11.2019</w:t>
            </w:r>
          </w:p>
        </w:tc>
        <w:tc>
          <w:tcPr>
            <w:tcW w:w="1418" w:type="dxa"/>
            <w:tcBorders>
              <w:top w:val="single" w:sz="4" w:space="0" w:color="auto"/>
              <w:left w:val="nil"/>
              <w:bottom w:val="single" w:sz="4" w:space="0" w:color="auto"/>
              <w:right w:val="nil"/>
            </w:tcBorders>
          </w:tcPr>
          <w:p w:rsidR="006A2A3A" w:rsidRPr="00377267" w:rsidRDefault="006A2A3A" w:rsidP="000F66CA">
            <w:pPr>
              <w:spacing w:before="20" w:after="40"/>
              <w:rPr>
                <w:b/>
                <w:sz w:val="20"/>
                <w:szCs w:val="24"/>
              </w:rPr>
            </w:pPr>
            <w:r w:rsidRPr="00377267">
              <w:rPr>
                <w:sz w:val="20"/>
                <w:szCs w:val="24"/>
              </w:rPr>
              <w:t>18.11.2019</w:t>
            </w:r>
          </w:p>
        </w:tc>
        <w:tc>
          <w:tcPr>
            <w:tcW w:w="1624" w:type="dxa"/>
            <w:tcBorders>
              <w:top w:val="single" w:sz="4" w:space="0" w:color="auto"/>
              <w:left w:val="nil"/>
              <w:bottom w:val="single" w:sz="4" w:space="0" w:color="auto"/>
              <w:right w:val="single" w:sz="4" w:space="0" w:color="auto"/>
            </w:tcBorders>
          </w:tcPr>
          <w:p w:rsidR="006A2A3A" w:rsidRPr="00377267" w:rsidRDefault="006A2A3A" w:rsidP="000F66CA">
            <w:pPr>
              <w:spacing w:before="20" w:after="40"/>
              <w:rPr>
                <w:sz w:val="20"/>
                <w:szCs w:val="24"/>
              </w:rPr>
            </w:pP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A2A3A" w:rsidRPr="00377267" w:rsidRDefault="006A2A3A" w:rsidP="000F66CA">
            <w:pPr>
              <w:tabs>
                <w:tab w:val="left" w:pos="426"/>
              </w:tabs>
              <w:spacing w:before="20" w:after="40"/>
              <w:rPr>
                <w:szCs w:val="24"/>
              </w:rPr>
            </w:pPr>
            <w:r w:rsidRPr="00377267">
              <w:rPr>
                <w:b/>
                <w:sz w:val="20"/>
                <w:szCs w:val="24"/>
              </w:rPr>
              <w:t>Approvazione da parte della delegazione del PE a norma dell'articolo 314, paragrafo 5, del TFUE</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b/>
                <w:sz w:val="20"/>
                <w:szCs w:val="24"/>
              </w:rPr>
            </w:pPr>
            <w:r w:rsidRPr="00377267">
              <w:rPr>
                <w:sz w:val="20"/>
                <w:szCs w:val="24"/>
              </w:rPr>
              <w:t>18.11.2019</w:t>
            </w:r>
          </w:p>
        </w:tc>
      </w:tr>
      <w:tr w:rsidR="006A2A3A" w:rsidRPr="00377267" w:rsidTr="000F66CA">
        <w:trPr>
          <w:jc w:val="center"/>
        </w:trPr>
        <w:tc>
          <w:tcPr>
            <w:tcW w:w="3686" w:type="dxa"/>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tabs>
                <w:tab w:val="left" w:pos="709"/>
              </w:tabs>
              <w:spacing w:before="20" w:after="40"/>
              <w:rPr>
                <w:szCs w:val="24"/>
              </w:rPr>
            </w:pPr>
            <w:r w:rsidRPr="00377267">
              <w:rPr>
                <w:b/>
                <w:sz w:val="20"/>
                <w:szCs w:val="24"/>
              </w:rPr>
              <w:t>Membri presenti</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 w:val="20"/>
                <w:szCs w:val="24"/>
              </w:rPr>
            </w:pPr>
            <w:r w:rsidRPr="00377267">
              <w:rPr>
                <w:sz w:val="20"/>
                <w:szCs w:val="24"/>
              </w:rPr>
              <w:t>Rasmus Andresen, Clotilde Armand, Erik Bergkvist, Olivier Chastel, Lefteris Christoforou, David Cormand, José Manuel Fernandes, Eider Gardiazabal Rubial, Valerie Hayer, Monika Hohlmeier, Moritz Körner, Pierre Larrouturou, Margarida Marques, Andrey Novakov, Jan Olbrycht, Bogdan Rzońca, Nils Ušakovs, Johan Van Overtveldt, Angelika Winzig</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tabs>
                <w:tab w:val="left" w:pos="426"/>
              </w:tabs>
              <w:spacing w:before="20" w:after="40"/>
              <w:rPr>
                <w:szCs w:val="24"/>
              </w:rPr>
            </w:pPr>
            <w:r w:rsidRPr="00377267">
              <w:rPr>
                <w:b/>
                <w:sz w:val="20"/>
                <w:szCs w:val="24"/>
              </w:rPr>
              <w:t>Accordo di sede di comitato di conciliazione</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b/>
                <w:sz w:val="20"/>
                <w:szCs w:val="24"/>
              </w:rPr>
            </w:pPr>
            <w:r w:rsidRPr="00377267">
              <w:rPr>
                <w:sz w:val="20"/>
                <w:szCs w:val="24"/>
              </w:rPr>
              <w:t>18.11.2019</w:t>
            </w:r>
          </w:p>
        </w:tc>
      </w:tr>
      <w:tr w:rsidR="006A2A3A" w:rsidRPr="00377267" w:rsidTr="000F66CA">
        <w:trPr>
          <w:cantSplit/>
          <w:jc w:val="center"/>
        </w:trPr>
        <w:tc>
          <w:tcPr>
            <w:tcW w:w="3686" w:type="dxa"/>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tabs>
                <w:tab w:val="left" w:pos="426"/>
              </w:tabs>
              <w:spacing w:before="20" w:after="40"/>
              <w:rPr>
                <w:szCs w:val="24"/>
              </w:rPr>
            </w:pPr>
            <w:r w:rsidRPr="00377267">
              <w:rPr>
                <w:b/>
                <w:sz w:val="20"/>
                <w:szCs w:val="24"/>
              </w:rPr>
              <w:t>Constatazione, da parte dei copresidenti, dell'approvazione del progetto comune e trasmissione di quest'ultimo al PE e al Consiglio</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 w:val="20"/>
                <w:szCs w:val="24"/>
              </w:rPr>
            </w:pPr>
            <w:r w:rsidRPr="00377267">
              <w:rPr>
                <w:sz w:val="20"/>
                <w:szCs w:val="24"/>
              </w:rPr>
              <w:t>18.11.2019</w:t>
            </w:r>
          </w:p>
        </w:tc>
      </w:tr>
      <w:tr w:rsidR="006A2A3A" w:rsidRPr="00377267" w:rsidTr="000F66CA">
        <w:trPr>
          <w:jc w:val="center"/>
        </w:trPr>
        <w:tc>
          <w:tcPr>
            <w:tcW w:w="3686" w:type="dxa"/>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Cs w:val="24"/>
              </w:rPr>
            </w:pPr>
            <w:r w:rsidRPr="00377267">
              <w:rPr>
                <w:b/>
                <w:sz w:val="20"/>
                <w:szCs w:val="24"/>
              </w:rPr>
              <w:t>Deposito</w:t>
            </w:r>
          </w:p>
        </w:tc>
        <w:tc>
          <w:tcPr>
            <w:tcW w:w="5860" w:type="dxa"/>
            <w:gridSpan w:val="4"/>
            <w:tcBorders>
              <w:top w:val="single" w:sz="4" w:space="0" w:color="auto"/>
              <w:left w:val="single" w:sz="4" w:space="0" w:color="auto"/>
              <w:bottom w:val="single" w:sz="4" w:space="0" w:color="auto"/>
              <w:right w:val="single" w:sz="4" w:space="0" w:color="auto"/>
            </w:tcBorders>
            <w:hideMark/>
          </w:tcPr>
          <w:p w:rsidR="006A2A3A" w:rsidRPr="00377267" w:rsidRDefault="006A2A3A" w:rsidP="000F66CA">
            <w:pPr>
              <w:spacing w:before="20" w:after="40"/>
              <w:rPr>
                <w:sz w:val="20"/>
                <w:szCs w:val="24"/>
              </w:rPr>
            </w:pPr>
            <w:r w:rsidRPr="00377267">
              <w:rPr>
                <w:sz w:val="20"/>
                <w:szCs w:val="24"/>
              </w:rPr>
              <w:t>20.11.2019</w:t>
            </w:r>
          </w:p>
        </w:tc>
      </w:tr>
    </w:tbl>
    <w:p w:rsidR="006A2A3A" w:rsidRPr="00377267" w:rsidRDefault="006A2A3A" w:rsidP="006A2A3A"/>
    <w:p w:rsidR="006A2A3A" w:rsidRPr="00377267" w:rsidRDefault="006A2A3A" w:rsidP="006A2A3A">
      <w:pPr>
        <w:pStyle w:val="NormalHanging12a"/>
      </w:pPr>
    </w:p>
    <w:p w:rsidR="006A2A3A" w:rsidRPr="00377267" w:rsidRDefault="006A2A3A" w:rsidP="006A2A3A">
      <w:bookmarkStart w:id="6" w:name="_GoBack"/>
      <w:bookmarkEnd w:id="6"/>
    </w:p>
    <w:p w:rsidR="009967E3" w:rsidRPr="00377267" w:rsidRDefault="009967E3" w:rsidP="001063DF"/>
    <w:sectPr w:rsidR="009967E3" w:rsidRPr="00377267" w:rsidSect="006A2A3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23" w:rsidRPr="00377267" w:rsidRDefault="003D3123">
      <w:r w:rsidRPr="00377267">
        <w:separator/>
      </w:r>
    </w:p>
  </w:endnote>
  <w:endnote w:type="continuationSeparator" w:id="0">
    <w:p w:rsidR="003D3123" w:rsidRPr="00377267" w:rsidRDefault="003D3123">
      <w:r w:rsidRPr="003772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KOJOD P+ Adv T T 5843c 571">
    <w:altName w:val="Adv TT 584 3c"/>
    <w:panose1 w:val="00000000000000000000"/>
    <w:charset w:val="00"/>
    <w:family w:val="roman"/>
    <w:notTrueType/>
    <w:pitch w:val="default"/>
    <w:sig w:usb0="00000003" w:usb1="00000000" w:usb2="00000000" w:usb3="00000000" w:csb0="00000001" w:csb1="00000000"/>
  </w:font>
  <w:font w:name="DokChampa">
    <w:charset w:val="00"/>
    <w:family w:val="swiss"/>
    <w:pitch w:val="variable"/>
    <w:sig w:usb0="00000000" w:usb1="00000000" w:usb2="00000000" w:usb3="00000000" w:csb0="0001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3A" w:rsidRPr="00377267" w:rsidRDefault="006A2A3A" w:rsidP="006A2A3A">
    <w:pPr>
      <w:pStyle w:val="EPFooter"/>
    </w:pPr>
    <w:r w:rsidRPr="00377267">
      <w:t>PE</w:t>
    </w:r>
    <w:r w:rsidRPr="00377267">
      <w:rPr>
        <w:rStyle w:val="HideTWBExt"/>
        <w:noProof w:val="0"/>
      </w:rPr>
      <w:t>&lt;NoPE&gt;</w:t>
    </w:r>
    <w:r w:rsidRPr="00377267">
      <w:t>643.245</w:t>
    </w:r>
    <w:r w:rsidRPr="00377267">
      <w:rPr>
        <w:rStyle w:val="HideTWBExt"/>
        <w:noProof w:val="0"/>
      </w:rPr>
      <w:t>&lt;/NoPE&gt;&lt;Version&gt;</w:t>
    </w:r>
    <w:r w:rsidRPr="00377267">
      <w:t>v01-00</w:t>
    </w:r>
    <w:r w:rsidRPr="00377267">
      <w:rPr>
        <w:rStyle w:val="HideTWBExt"/>
        <w:noProof w:val="0"/>
      </w:rPr>
      <w:t>&lt;/Version&gt;</w:t>
    </w:r>
    <w:r w:rsidRPr="00377267">
      <w:tab/>
    </w:r>
    <w:r w:rsidRPr="00377267">
      <w:fldChar w:fldCharType="begin"/>
    </w:r>
    <w:r w:rsidRPr="00377267">
      <w:instrText xml:space="preserve"> PAGE  \* MERGEFORMAT </w:instrText>
    </w:r>
    <w:r w:rsidRPr="00377267">
      <w:fldChar w:fldCharType="separate"/>
    </w:r>
    <w:r w:rsidR="0072469F">
      <w:rPr>
        <w:noProof/>
      </w:rPr>
      <w:t>28</w:t>
    </w:r>
    <w:r w:rsidRPr="00377267">
      <w:fldChar w:fldCharType="end"/>
    </w:r>
    <w:r w:rsidRPr="00377267">
      <w:t>/</w:t>
    </w:r>
    <w:fldSimple w:instr=" NUMPAGES  \* MERGEFORMAT ">
      <w:r w:rsidR="0072469F">
        <w:rPr>
          <w:noProof/>
        </w:rPr>
        <w:t>28</w:t>
      </w:r>
    </w:fldSimple>
    <w:r w:rsidRPr="00377267">
      <w:tab/>
    </w:r>
    <w:r w:rsidRPr="00377267">
      <w:rPr>
        <w:rStyle w:val="HideTWBExt"/>
        <w:noProof w:val="0"/>
      </w:rPr>
      <w:t>&lt;PathFdR&gt;</w:t>
    </w:r>
    <w:r w:rsidRPr="00377267">
      <w:t>RR\1193106IT.docx</w:t>
    </w:r>
    <w:r w:rsidRPr="00377267">
      <w:rPr>
        <w:rStyle w:val="HideTWBExt"/>
        <w:noProof w:val="0"/>
      </w:rPr>
      <w:t>&lt;/PathFdR&gt;</w:t>
    </w:r>
  </w:p>
  <w:p w:rsidR="0059728B" w:rsidRPr="00377267" w:rsidRDefault="006A2A3A" w:rsidP="006A2A3A">
    <w:pPr>
      <w:pStyle w:val="EPFooter2"/>
    </w:pPr>
    <w:r w:rsidRPr="00377267">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3A" w:rsidRPr="00377267" w:rsidRDefault="006A2A3A" w:rsidP="006A2A3A">
    <w:pPr>
      <w:pStyle w:val="EPFooter"/>
    </w:pPr>
    <w:r w:rsidRPr="00377267">
      <w:rPr>
        <w:rStyle w:val="HideTWBExt"/>
        <w:noProof w:val="0"/>
      </w:rPr>
      <w:t>&lt;PathFdR&gt;</w:t>
    </w:r>
    <w:r w:rsidRPr="00377267">
      <w:t>RR\1193106IT.docx</w:t>
    </w:r>
    <w:r w:rsidRPr="00377267">
      <w:rPr>
        <w:rStyle w:val="HideTWBExt"/>
        <w:noProof w:val="0"/>
      </w:rPr>
      <w:t>&lt;/PathFdR&gt;</w:t>
    </w:r>
    <w:r w:rsidRPr="00377267">
      <w:tab/>
    </w:r>
    <w:r w:rsidRPr="00377267">
      <w:fldChar w:fldCharType="begin"/>
    </w:r>
    <w:r w:rsidRPr="00377267">
      <w:instrText xml:space="preserve"> PAGE  \* MERGEFORMAT </w:instrText>
    </w:r>
    <w:r w:rsidRPr="00377267">
      <w:fldChar w:fldCharType="separate"/>
    </w:r>
    <w:r w:rsidR="0072469F">
      <w:rPr>
        <w:noProof/>
      </w:rPr>
      <w:t>27</w:t>
    </w:r>
    <w:r w:rsidRPr="00377267">
      <w:fldChar w:fldCharType="end"/>
    </w:r>
    <w:r w:rsidRPr="00377267">
      <w:t>/</w:t>
    </w:r>
    <w:fldSimple w:instr=" NUMPAGES  \* MERGEFORMAT ">
      <w:r w:rsidR="0072469F">
        <w:rPr>
          <w:noProof/>
        </w:rPr>
        <w:t>28</w:t>
      </w:r>
    </w:fldSimple>
    <w:r w:rsidRPr="00377267">
      <w:tab/>
      <w:t>PE</w:t>
    </w:r>
    <w:r w:rsidRPr="00377267">
      <w:rPr>
        <w:rStyle w:val="HideTWBExt"/>
        <w:noProof w:val="0"/>
      </w:rPr>
      <w:t>&lt;NoPE&gt;</w:t>
    </w:r>
    <w:r w:rsidRPr="00377267">
      <w:t>643.245</w:t>
    </w:r>
    <w:r w:rsidRPr="00377267">
      <w:rPr>
        <w:rStyle w:val="HideTWBExt"/>
        <w:noProof w:val="0"/>
      </w:rPr>
      <w:t>&lt;/NoPE&gt;&lt;Version&gt;</w:t>
    </w:r>
    <w:r w:rsidRPr="00377267">
      <w:t>v01-00</w:t>
    </w:r>
    <w:r w:rsidRPr="00377267">
      <w:rPr>
        <w:rStyle w:val="HideTWBExt"/>
        <w:noProof w:val="0"/>
      </w:rPr>
      <w:t>&lt;/Version&gt;</w:t>
    </w:r>
  </w:p>
  <w:p w:rsidR="0059728B" w:rsidRPr="00377267" w:rsidRDefault="006A2A3A" w:rsidP="006A2A3A">
    <w:pPr>
      <w:pStyle w:val="EPFooter2"/>
    </w:pPr>
    <w:r w:rsidRPr="00377267">
      <w:tab/>
    </w:r>
    <w:r w:rsidRPr="00377267">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3A" w:rsidRPr="00377267" w:rsidRDefault="006A2A3A" w:rsidP="006A2A3A">
    <w:pPr>
      <w:pStyle w:val="EPFooter"/>
    </w:pPr>
    <w:r w:rsidRPr="00377267">
      <w:rPr>
        <w:rStyle w:val="HideTWBExt"/>
        <w:noProof w:val="0"/>
      </w:rPr>
      <w:t>&lt;PathFdR&gt;</w:t>
    </w:r>
    <w:r w:rsidRPr="00377267">
      <w:t>RR\1193106IT.docx</w:t>
    </w:r>
    <w:r w:rsidRPr="00377267">
      <w:rPr>
        <w:rStyle w:val="HideTWBExt"/>
        <w:noProof w:val="0"/>
      </w:rPr>
      <w:t>&lt;/PathFdR&gt;</w:t>
    </w:r>
    <w:r w:rsidRPr="00377267">
      <w:tab/>
    </w:r>
    <w:r w:rsidRPr="00377267">
      <w:tab/>
      <w:t>PE</w:t>
    </w:r>
    <w:r w:rsidRPr="00377267">
      <w:rPr>
        <w:rStyle w:val="HideTWBExt"/>
        <w:noProof w:val="0"/>
      </w:rPr>
      <w:t>&lt;NoPE&gt;</w:t>
    </w:r>
    <w:r w:rsidRPr="00377267">
      <w:t>643.245</w:t>
    </w:r>
    <w:r w:rsidRPr="00377267">
      <w:rPr>
        <w:rStyle w:val="HideTWBExt"/>
        <w:noProof w:val="0"/>
      </w:rPr>
      <w:t>&lt;/NoPE&gt;&lt;Version&gt;</w:t>
    </w:r>
    <w:r w:rsidRPr="00377267">
      <w:t>v01-00</w:t>
    </w:r>
    <w:r w:rsidRPr="00377267">
      <w:rPr>
        <w:rStyle w:val="HideTWBExt"/>
        <w:noProof w:val="0"/>
      </w:rPr>
      <w:t>&lt;/Version&gt;</w:t>
    </w:r>
  </w:p>
  <w:p w:rsidR="0059728B" w:rsidRPr="00377267" w:rsidRDefault="006A2A3A" w:rsidP="006A2A3A">
    <w:pPr>
      <w:pStyle w:val="EPFooter2"/>
    </w:pPr>
    <w:r w:rsidRPr="00377267">
      <w:t>IT</w:t>
    </w:r>
    <w:r w:rsidRPr="00377267">
      <w:tab/>
    </w:r>
    <w:r w:rsidRPr="00377267">
      <w:rPr>
        <w:b w:val="0"/>
        <w:i/>
        <w:color w:val="C0C0C0"/>
        <w:sz w:val="22"/>
      </w:rPr>
      <w:t>Unita nella diversità</w:t>
    </w:r>
    <w:r w:rsidRPr="00377267">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23" w:rsidRPr="00377267" w:rsidRDefault="003D3123">
      <w:r w:rsidRPr="00377267">
        <w:separator/>
      </w:r>
    </w:p>
  </w:footnote>
  <w:footnote w:type="continuationSeparator" w:id="0">
    <w:p w:rsidR="003D3123" w:rsidRPr="00377267" w:rsidRDefault="003D3123">
      <w:r w:rsidRPr="00377267">
        <w:continuationSeparator/>
      </w:r>
    </w:p>
  </w:footnote>
  <w:footnote w:id="1">
    <w:p w:rsidR="001063DF" w:rsidRPr="00377267" w:rsidRDefault="001063DF" w:rsidP="001063DF">
      <w:r w:rsidRPr="00377267">
        <w:rPr>
          <w:rStyle w:val="FootnoteReference"/>
        </w:rPr>
        <w:footnoteRef/>
      </w:r>
      <w:r w:rsidRPr="00377267">
        <w:t xml:space="preserve"> Testi approvati di tale data, P9_TA(2019)0038.</w:t>
      </w:r>
    </w:p>
  </w:footnote>
  <w:footnote w:id="2">
    <w:p w:rsidR="001063DF" w:rsidRPr="00377267" w:rsidRDefault="001063DF" w:rsidP="001063DF">
      <w:r w:rsidRPr="00377267">
        <w:rPr>
          <w:rStyle w:val="FootnoteReference"/>
        </w:rPr>
        <w:footnoteRef/>
      </w:r>
      <w:r w:rsidRPr="00377267">
        <w:t xml:space="preserve"> GU L 168 del 7.6.2014, pag. 105.</w:t>
      </w:r>
    </w:p>
  </w:footnote>
  <w:footnote w:id="3">
    <w:p w:rsidR="001063DF" w:rsidRPr="00377267" w:rsidRDefault="001063DF" w:rsidP="001063DF">
      <w:r w:rsidRPr="00377267">
        <w:rPr>
          <w:rStyle w:val="FootnoteReference"/>
        </w:rPr>
        <w:footnoteRef/>
      </w:r>
      <w:r w:rsidRPr="00377267">
        <w:t xml:space="preserve"> GU L 193 del 30.7.2018, pag. 1.</w:t>
      </w:r>
    </w:p>
  </w:footnote>
  <w:footnote w:id="4">
    <w:p w:rsidR="001063DF" w:rsidRPr="00377267" w:rsidRDefault="001063DF" w:rsidP="001063DF">
      <w:r w:rsidRPr="00377267">
        <w:rPr>
          <w:rStyle w:val="FootnoteReference"/>
        </w:rPr>
        <w:footnoteRef/>
      </w:r>
      <w:r w:rsidRPr="00377267">
        <w:t xml:space="preserve"> GU L 347 del 20.12.2013, pag. 884.</w:t>
      </w:r>
    </w:p>
  </w:footnote>
  <w:footnote w:id="5">
    <w:p w:rsidR="001063DF" w:rsidRPr="00377267" w:rsidRDefault="001063DF" w:rsidP="001063DF">
      <w:r w:rsidRPr="00377267">
        <w:rPr>
          <w:rStyle w:val="FootnoteReference"/>
        </w:rPr>
        <w:footnoteRef/>
      </w:r>
      <w:r w:rsidRPr="00377267">
        <w:t xml:space="preserve"> GU C 373 del 20.12.2013, pag.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C9"/>
    <w:multiLevelType w:val="singleLevel"/>
    <w:tmpl w:val="04090001"/>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00060FC4"/>
    <w:multiLevelType w:val="multilevel"/>
    <w:tmpl w:val="71F8C0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9BB51A8"/>
    <w:multiLevelType w:val="hybridMultilevel"/>
    <w:tmpl w:val="9F2032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64D0345"/>
    <w:multiLevelType w:val="hybridMultilevel"/>
    <w:tmpl w:val="32E617FC"/>
    <w:name w:val="Tiret 0"/>
    <w:lvl w:ilvl="0" w:tplc="ED927FA4">
      <w:start w:val="1"/>
      <w:numFmt w:val="bullet"/>
      <w:pStyle w:val="Tiret0"/>
      <w:lvlText w:val=""/>
      <w:lvlJc w:val="left"/>
      <w:pPr>
        <w:tabs>
          <w:tab w:val="num" w:pos="850"/>
        </w:tabs>
        <w:ind w:left="850" w:hanging="8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6337D"/>
    <w:multiLevelType w:val="hybridMultilevel"/>
    <w:tmpl w:val="3064D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E261514"/>
    <w:multiLevelType w:val="hybridMultilevel"/>
    <w:tmpl w:val="83B40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4A97972"/>
    <w:multiLevelType w:val="hybridMultilevel"/>
    <w:tmpl w:val="AB5A2A18"/>
    <w:lvl w:ilvl="0" w:tplc="8C1459FC">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7C030B"/>
    <w:multiLevelType w:val="hybridMultilevel"/>
    <w:tmpl w:val="F042C49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BF90535"/>
    <w:multiLevelType w:val="hybridMultilevel"/>
    <w:tmpl w:val="B1628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9"/>
    <w:lvlOverride w:ilvl="0">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5"/>
  </w:num>
  <w:num w:numId="47">
    <w:abstractNumId w:val="17"/>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LastEditedSection" w:val=" 1"/>
    <w:docVar w:name="strSubDir" w:val="1193"/>
    <w:docVar w:name="TXTBUDYEAR" w:val="2020"/>
    <w:docVar w:name="TXTLANGUE" w:val="IT"/>
    <w:docVar w:name="TXTLANGUEMIN" w:val="it"/>
    <w:docVar w:name="TXTNRBUD" w:val="2019/2028"/>
    <w:docVar w:name="TXTNRC" w:val="0000/2019"/>
    <w:docVar w:name="TXTNRCONS" w:val="00000/2019"/>
    <w:docVar w:name="TXTNRPE" w:val="643.245"/>
    <w:docVar w:name="TXTPEorAP" w:val="PE"/>
    <w:docVar w:name="TXTROUTE" w:val="RR\1193106IT.docx"/>
    <w:docVar w:name="TXTVERSION" w:val="01-00"/>
  </w:docVars>
  <w:rsids>
    <w:rsidRoot w:val="003D3123"/>
    <w:rsid w:val="00005C8F"/>
    <w:rsid w:val="000145D5"/>
    <w:rsid w:val="00016C68"/>
    <w:rsid w:val="000535CF"/>
    <w:rsid w:val="00101F0A"/>
    <w:rsid w:val="001063DF"/>
    <w:rsid w:val="00162518"/>
    <w:rsid w:val="0016336B"/>
    <w:rsid w:val="00167B7D"/>
    <w:rsid w:val="00171AB8"/>
    <w:rsid w:val="00186912"/>
    <w:rsid w:val="001D4D89"/>
    <w:rsid w:val="001D60E9"/>
    <w:rsid w:val="00230BC5"/>
    <w:rsid w:val="002446D0"/>
    <w:rsid w:val="00262423"/>
    <w:rsid w:val="00293C3B"/>
    <w:rsid w:val="00297476"/>
    <w:rsid w:val="00302513"/>
    <w:rsid w:val="00313416"/>
    <w:rsid w:val="00320726"/>
    <w:rsid w:val="00326E1F"/>
    <w:rsid w:val="0034518C"/>
    <w:rsid w:val="00377267"/>
    <w:rsid w:val="00382A5A"/>
    <w:rsid w:val="00395BFB"/>
    <w:rsid w:val="003D3123"/>
    <w:rsid w:val="004246DF"/>
    <w:rsid w:val="00424E0D"/>
    <w:rsid w:val="0043714A"/>
    <w:rsid w:val="004930DB"/>
    <w:rsid w:val="00497A57"/>
    <w:rsid w:val="00497ED0"/>
    <w:rsid w:val="004B0111"/>
    <w:rsid w:val="004F4674"/>
    <w:rsid w:val="005222C4"/>
    <w:rsid w:val="00586350"/>
    <w:rsid w:val="0059728B"/>
    <w:rsid w:val="005F5410"/>
    <w:rsid w:val="00655730"/>
    <w:rsid w:val="00666FE0"/>
    <w:rsid w:val="006A2A3A"/>
    <w:rsid w:val="006B7CBF"/>
    <w:rsid w:val="0072469F"/>
    <w:rsid w:val="007805EF"/>
    <w:rsid w:val="00791D54"/>
    <w:rsid w:val="007F2E7E"/>
    <w:rsid w:val="008302DE"/>
    <w:rsid w:val="008330CF"/>
    <w:rsid w:val="008405A0"/>
    <w:rsid w:val="00851A49"/>
    <w:rsid w:val="008A093E"/>
    <w:rsid w:val="008E7DEC"/>
    <w:rsid w:val="009160CF"/>
    <w:rsid w:val="00920432"/>
    <w:rsid w:val="009473DB"/>
    <w:rsid w:val="00966BBA"/>
    <w:rsid w:val="009967E3"/>
    <w:rsid w:val="00A10E63"/>
    <w:rsid w:val="00A23554"/>
    <w:rsid w:val="00A40FAB"/>
    <w:rsid w:val="00AA3D51"/>
    <w:rsid w:val="00AC185A"/>
    <w:rsid w:val="00AF005A"/>
    <w:rsid w:val="00AF5AD1"/>
    <w:rsid w:val="00B65030"/>
    <w:rsid w:val="00B725FB"/>
    <w:rsid w:val="00C51BDA"/>
    <w:rsid w:val="00C72AF6"/>
    <w:rsid w:val="00CB16AB"/>
    <w:rsid w:val="00CF2B50"/>
    <w:rsid w:val="00D357AB"/>
    <w:rsid w:val="00D5267F"/>
    <w:rsid w:val="00D638CA"/>
    <w:rsid w:val="00D84ED2"/>
    <w:rsid w:val="00D96DFB"/>
    <w:rsid w:val="00DD7C8A"/>
    <w:rsid w:val="00DF5C6F"/>
    <w:rsid w:val="00E44FF5"/>
    <w:rsid w:val="00E457E4"/>
    <w:rsid w:val="00EC0BB2"/>
    <w:rsid w:val="00EC2628"/>
    <w:rsid w:val="00ED242F"/>
    <w:rsid w:val="00F01D0C"/>
    <w:rsid w:val="00F10C8A"/>
    <w:rsid w:val="00F256FF"/>
    <w:rsid w:val="00F735B4"/>
    <w:rsid w:val="00F80906"/>
    <w:rsid w:val="00FE7121"/>
    <w:rsid w:val="00FF6D9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D3633"/>
  <w15:chartTrackingRefBased/>
  <w15:docId w15:val="{1A6557F0-03AE-448C-AAD8-E89AB21E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FB"/>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1D60E9"/>
    <w:pPr>
      <w:spacing w:before="480" w:after="240"/>
    </w:pPr>
  </w:style>
  <w:style w:type="paragraph" w:styleId="TOC1">
    <w:name w:val="toc 1"/>
    <w:basedOn w:val="Normal"/>
    <w:next w:val="Normal"/>
    <w:autoRedefine/>
    <w:uiPriority w:val="39"/>
    <w:rsid w:val="008405A0"/>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CoverNormalHanging">
    <w:name w:val="CoverNormalHanging"/>
    <w:basedOn w:val="Normal"/>
    <w:rsid w:val="007F2E7E"/>
    <w:pPr>
      <w:ind w:left="3686" w:hanging="2268"/>
    </w:pPr>
    <w:rPr>
      <w:snapToGrid w:val="0"/>
      <w:lang w:eastAsia="en-US"/>
    </w:rPr>
  </w:style>
  <w:style w:type="paragraph" w:customStyle="1" w:styleId="CoverNormal24a">
    <w:name w:val="CoverNormal24a"/>
    <w:basedOn w:val="Normal"/>
    <w:rsid w:val="007805EF"/>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016C68"/>
    <w:pPr>
      <w:spacing w:before="1080"/>
      <w:jc w:val="right"/>
    </w:pPr>
    <w:rPr>
      <w:rFonts w:ascii="Arial" w:hAnsi="Arial" w:cs="Arial"/>
      <w:b/>
    </w:rPr>
  </w:style>
  <w:style w:type="paragraph" w:customStyle="1" w:styleId="CoverDocType24a">
    <w:name w:val="CoverDocType24a"/>
    <w:basedOn w:val="Normal"/>
    <w:rsid w:val="00497A57"/>
    <w:pPr>
      <w:spacing w:after="480"/>
      <w:ind w:left="1418"/>
    </w:pPr>
    <w:rPr>
      <w:rFonts w:ascii="Arial" w:hAnsi="Arial"/>
      <w:b/>
      <w:sz w:val="48"/>
    </w:rPr>
  </w:style>
  <w:style w:type="paragraph" w:customStyle="1" w:styleId="CoverDate">
    <w:name w:val="CoverDate"/>
    <w:basedOn w:val="Normal"/>
    <w:rsid w:val="00791D54"/>
    <w:pPr>
      <w:spacing w:before="240" w:after="1200"/>
    </w:pPr>
  </w:style>
  <w:style w:type="paragraph" w:styleId="Header">
    <w:name w:val="header"/>
    <w:basedOn w:val="Normal"/>
    <w:link w:val="HeaderChar"/>
    <w:semiHidden/>
    <w:rsid w:val="008330CF"/>
    <w:pPr>
      <w:tabs>
        <w:tab w:val="center" w:pos="4513"/>
        <w:tab w:val="right" w:pos="9026"/>
      </w:tabs>
    </w:pPr>
  </w:style>
  <w:style w:type="table" w:styleId="TableGrid">
    <w:name w:val="Table Grid"/>
    <w:basedOn w:val="TableNormal"/>
    <w:rsid w:val="00CF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2B50"/>
    <w:pPr>
      <w:jc w:val="center"/>
    </w:pPr>
    <w:rPr>
      <w:rFonts w:ascii="Arial" w:hAnsi="Arial" w:cs="Arial"/>
      <w:i/>
      <w:sz w:val="22"/>
      <w:szCs w:val="22"/>
    </w:rPr>
  </w:style>
  <w:style w:type="paragraph" w:customStyle="1" w:styleId="LineTop">
    <w:name w:val="LineTop"/>
    <w:basedOn w:val="Normal"/>
    <w:next w:val="Normal"/>
    <w:rsid w:val="00CF2B5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F2B50"/>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320726"/>
    <w:pPr>
      <w:spacing w:before="80" w:after="80"/>
    </w:pPr>
    <w:rPr>
      <w:rFonts w:ascii="Arial Narrow" w:hAnsi="Arial Narrow" w:cs="Arial"/>
      <w:b/>
      <w:sz w:val="32"/>
      <w:szCs w:val="22"/>
    </w:rPr>
  </w:style>
  <w:style w:type="paragraph" w:customStyle="1" w:styleId="EPTerm">
    <w:name w:val="EPTerm"/>
    <w:basedOn w:val="Normal"/>
    <w:next w:val="Normal"/>
    <w:rsid w:val="00320726"/>
    <w:pPr>
      <w:spacing w:after="80"/>
    </w:pPr>
    <w:rPr>
      <w:rFonts w:ascii="Arial" w:hAnsi="Arial" w:cs="Arial"/>
      <w:sz w:val="20"/>
      <w:szCs w:val="22"/>
    </w:rPr>
  </w:style>
  <w:style w:type="paragraph" w:customStyle="1" w:styleId="EPLogo">
    <w:name w:val="EPLogo"/>
    <w:basedOn w:val="Normal"/>
    <w:qFormat/>
    <w:rsid w:val="00320726"/>
    <w:pPr>
      <w:jc w:val="right"/>
    </w:pPr>
  </w:style>
  <w:style w:type="paragraph" w:customStyle="1" w:styleId="EPFooter">
    <w:name w:val="EPFooter"/>
    <w:basedOn w:val="Normal"/>
    <w:rsid w:val="007805EF"/>
    <w:pPr>
      <w:tabs>
        <w:tab w:val="center" w:pos="4535"/>
        <w:tab w:val="right" w:pos="9071"/>
      </w:tabs>
      <w:spacing w:before="240" w:after="240"/>
    </w:pPr>
    <w:rPr>
      <w:color w:val="010000"/>
      <w:sz w:val="22"/>
    </w:rPr>
  </w:style>
  <w:style w:type="character" w:styleId="PageNumber">
    <w:name w:val="page number"/>
    <w:basedOn w:val="DefaultParagraphFont"/>
    <w:semiHidden/>
    <w:rsid w:val="00171AB8"/>
  </w:style>
  <w:style w:type="character" w:customStyle="1" w:styleId="HeaderChar">
    <w:name w:val="Header Char"/>
    <w:basedOn w:val="DefaultParagraphFont"/>
    <w:link w:val="Header"/>
    <w:semiHidden/>
    <w:rsid w:val="008330CF"/>
    <w:rPr>
      <w:sz w:val="24"/>
    </w:rPr>
  </w:style>
  <w:style w:type="character" w:customStyle="1" w:styleId="Heading1Char">
    <w:name w:val="Heading 1 Char"/>
    <w:basedOn w:val="DefaultParagraphFont"/>
    <w:link w:val="Heading1"/>
    <w:rsid w:val="001063DF"/>
    <w:rPr>
      <w:rFonts w:ascii="Arial" w:hAnsi="Arial"/>
      <w:b/>
      <w:kern w:val="28"/>
      <w:sz w:val="28"/>
      <w:lang w:val="it-IT"/>
    </w:rPr>
  </w:style>
  <w:style w:type="character" w:customStyle="1" w:styleId="Heading2Char">
    <w:name w:val="Heading 2 Char"/>
    <w:basedOn w:val="DefaultParagraphFont"/>
    <w:link w:val="Heading2"/>
    <w:semiHidden/>
    <w:rsid w:val="001063DF"/>
    <w:rPr>
      <w:rFonts w:ascii="Arial" w:hAnsi="Arial"/>
      <w:b/>
      <w:i/>
      <w:sz w:val="24"/>
      <w:lang w:val="it-IT"/>
    </w:rPr>
  </w:style>
  <w:style w:type="character" w:styleId="FootnoteReference">
    <w:name w:val="footnote reference"/>
    <w:aliases w:val="Footnote,Footnote number,Footnote symbol,Footnote Reference Number,Footnote reference number,Times 10 Point,Exposant 3 Point,Voetnootverwijzing,fr,o,Footnotemark,FR,Footnotemark1,Footnotemark2,FR1,Footnotemark3,FR2,FR3,stylish,BVI fnr"/>
    <w:basedOn w:val="DefaultParagraphFont"/>
    <w:uiPriority w:val="99"/>
    <w:qFormat/>
    <w:rsid w:val="001063DF"/>
    <w:rPr>
      <w:vertAlign w:val="superscript"/>
    </w:rPr>
  </w:style>
  <w:style w:type="paragraph" w:customStyle="1" w:styleId="msonormal0">
    <w:name w:val="msonormal"/>
    <w:basedOn w:val="Normal"/>
    <w:rsid w:val="001063DF"/>
    <w:pPr>
      <w:widowControl/>
      <w:spacing w:before="100" w:beforeAutospacing="1" w:after="100" w:afterAutospacing="1"/>
    </w:pPr>
    <w:rPr>
      <w:szCs w:val="24"/>
    </w:rPr>
  </w:style>
  <w:style w:type="character" w:customStyle="1" w:styleId="FooterChar">
    <w:name w:val="Footer Char"/>
    <w:basedOn w:val="DefaultParagraphFont"/>
    <w:link w:val="Footer"/>
    <w:semiHidden/>
    <w:rsid w:val="001063DF"/>
    <w:rPr>
      <w:sz w:val="24"/>
      <w:szCs w:val="24"/>
    </w:rPr>
  </w:style>
  <w:style w:type="paragraph" w:styleId="Footer">
    <w:name w:val="footer"/>
    <w:basedOn w:val="Normal"/>
    <w:link w:val="FooterChar"/>
    <w:semiHidden/>
    <w:unhideWhenUsed/>
    <w:rsid w:val="001063DF"/>
    <w:pPr>
      <w:widowControl/>
      <w:tabs>
        <w:tab w:val="center" w:pos="4536"/>
        <w:tab w:val="right" w:pos="9072"/>
      </w:tabs>
    </w:pPr>
    <w:rPr>
      <w:szCs w:val="24"/>
    </w:rPr>
  </w:style>
  <w:style w:type="character" w:customStyle="1" w:styleId="FooterChar1">
    <w:name w:val="Footer Char1"/>
    <w:basedOn w:val="DefaultParagraphFont"/>
    <w:semiHidden/>
    <w:rsid w:val="001063DF"/>
    <w:rPr>
      <w:sz w:val="24"/>
      <w:lang w:val="it-IT"/>
    </w:rPr>
  </w:style>
  <w:style w:type="paragraph" w:styleId="DocumentMap">
    <w:name w:val="Document Map"/>
    <w:basedOn w:val="Normal"/>
    <w:link w:val="DocumentMapChar"/>
    <w:unhideWhenUsed/>
    <w:rsid w:val="001063DF"/>
    <w:pPr>
      <w:widowControl/>
      <w:shd w:val="clear" w:color="auto" w:fill="000080"/>
    </w:pPr>
    <w:rPr>
      <w:rFonts w:ascii="Tahoma" w:hAnsi="Tahoma" w:cs="Tahoma"/>
      <w:szCs w:val="24"/>
    </w:rPr>
  </w:style>
  <w:style w:type="character" w:customStyle="1" w:styleId="DocumentMapChar">
    <w:name w:val="Document Map Char"/>
    <w:basedOn w:val="DefaultParagraphFont"/>
    <w:link w:val="DocumentMap"/>
    <w:rsid w:val="001063DF"/>
    <w:rPr>
      <w:rFonts w:ascii="Tahoma" w:hAnsi="Tahoma" w:cs="Tahoma"/>
      <w:sz w:val="24"/>
      <w:szCs w:val="24"/>
      <w:shd w:val="clear" w:color="auto" w:fill="000080"/>
    </w:rPr>
  </w:style>
  <w:style w:type="paragraph" w:styleId="BalloonText">
    <w:name w:val="Balloon Text"/>
    <w:basedOn w:val="Normal"/>
    <w:link w:val="BalloonTextChar"/>
    <w:unhideWhenUsed/>
    <w:rsid w:val="001063DF"/>
    <w:pPr>
      <w:widowControl/>
    </w:pPr>
    <w:rPr>
      <w:rFonts w:ascii="Tahoma" w:hAnsi="Tahoma" w:cs="Tahoma"/>
      <w:sz w:val="16"/>
      <w:szCs w:val="16"/>
    </w:rPr>
  </w:style>
  <w:style w:type="character" w:customStyle="1" w:styleId="BalloonTextChar">
    <w:name w:val="Balloon Text Char"/>
    <w:basedOn w:val="DefaultParagraphFont"/>
    <w:link w:val="BalloonText"/>
    <w:rsid w:val="001063DF"/>
    <w:rPr>
      <w:rFonts w:ascii="Tahoma" w:hAnsi="Tahoma" w:cs="Tahoma"/>
      <w:sz w:val="16"/>
      <w:szCs w:val="16"/>
    </w:rPr>
  </w:style>
  <w:style w:type="paragraph" w:styleId="ListParagraph">
    <w:name w:val="List Paragraph"/>
    <w:basedOn w:val="Normal"/>
    <w:uiPriority w:val="34"/>
    <w:qFormat/>
    <w:rsid w:val="001063DF"/>
    <w:pPr>
      <w:widowControl/>
    </w:pPr>
    <w:rPr>
      <w:szCs w:val="24"/>
    </w:rPr>
  </w:style>
  <w:style w:type="paragraph" w:customStyle="1" w:styleId="Text1">
    <w:name w:val="Text 1"/>
    <w:basedOn w:val="Normal"/>
    <w:rsid w:val="001063DF"/>
    <w:pPr>
      <w:widowControl/>
      <w:spacing w:after="240"/>
      <w:ind w:left="482"/>
      <w:jc w:val="both"/>
    </w:pPr>
    <w:rPr>
      <w:lang w:eastAsia="en-US"/>
    </w:rPr>
  </w:style>
  <w:style w:type="paragraph" w:customStyle="1" w:styleId="Tiret0">
    <w:name w:val="Tiret 0"/>
    <w:basedOn w:val="Normal"/>
    <w:rsid w:val="001063DF"/>
    <w:pPr>
      <w:widowControl/>
      <w:numPr>
        <w:numId w:val="42"/>
      </w:numPr>
    </w:pPr>
    <w:rPr>
      <w:szCs w:val="24"/>
    </w:rPr>
  </w:style>
  <w:style w:type="paragraph" w:customStyle="1" w:styleId="Considrant">
    <w:name w:val="Considérant"/>
    <w:basedOn w:val="Normal"/>
    <w:rsid w:val="001063DF"/>
    <w:pPr>
      <w:widowControl/>
      <w:numPr>
        <w:numId w:val="43"/>
      </w:numPr>
      <w:spacing w:before="120" w:after="120"/>
      <w:ind w:left="720" w:hanging="360"/>
      <w:jc w:val="both"/>
    </w:pPr>
    <w:rPr>
      <w:rFonts w:eastAsia="Calibri"/>
      <w:szCs w:val="22"/>
      <w:lang w:eastAsia="en-US"/>
    </w:rPr>
  </w:style>
  <w:style w:type="paragraph" w:customStyle="1" w:styleId="Institutionquisigne">
    <w:name w:val="Institution qui signe"/>
    <w:basedOn w:val="Normal"/>
    <w:next w:val="Personnequisigne"/>
    <w:rsid w:val="001063DF"/>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1063DF"/>
    <w:pPr>
      <w:widowControl/>
      <w:tabs>
        <w:tab w:val="left" w:pos="4252"/>
      </w:tabs>
    </w:pPr>
    <w:rPr>
      <w:rFonts w:eastAsia="Calibri"/>
      <w:i/>
      <w:szCs w:val="22"/>
      <w:lang w:eastAsia="en-US"/>
    </w:rPr>
  </w:style>
  <w:style w:type="paragraph" w:customStyle="1" w:styleId="Fait">
    <w:name w:val="Fait à"/>
    <w:basedOn w:val="Normal"/>
    <w:next w:val="Institutionquisigne"/>
    <w:rsid w:val="001063DF"/>
    <w:pPr>
      <w:keepNext/>
      <w:widowControl/>
      <w:spacing w:before="120"/>
      <w:jc w:val="both"/>
    </w:pPr>
    <w:rPr>
      <w:rFonts w:eastAsia="Calibri"/>
      <w:szCs w:val="22"/>
      <w:lang w:eastAsia="en-US"/>
    </w:rPr>
  </w:style>
  <w:style w:type="paragraph" w:customStyle="1" w:styleId="Titrearticle">
    <w:name w:val="Titre article"/>
    <w:basedOn w:val="Normal"/>
    <w:next w:val="Normal"/>
    <w:rsid w:val="001063DF"/>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1063DF"/>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1063DF"/>
    <w:pPr>
      <w:keepNext/>
      <w:widowControl/>
      <w:spacing w:before="600" w:after="120"/>
      <w:jc w:val="both"/>
    </w:pPr>
    <w:rPr>
      <w:rFonts w:eastAsia="Calibri"/>
      <w:szCs w:val="22"/>
      <w:lang w:eastAsia="en-US"/>
    </w:rPr>
  </w:style>
  <w:style w:type="paragraph" w:customStyle="1" w:styleId="Typedudocument">
    <w:name w:val="Type du document"/>
    <w:basedOn w:val="Normal"/>
    <w:next w:val="Titreobjet"/>
    <w:rsid w:val="001063DF"/>
    <w:pPr>
      <w:widowControl/>
      <w:spacing w:before="360"/>
      <w:jc w:val="center"/>
    </w:pPr>
    <w:rPr>
      <w:rFonts w:eastAsia="Calibri"/>
      <w:b/>
      <w:szCs w:val="22"/>
      <w:lang w:eastAsia="en-US"/>
    </w:rPr>
  </w:style>
  <w:style w:type="paragraph" w:customStyle="1" w:styleId="Titreobjet">
    <w:name w:val="Titre objet"/>
    <w:basedOn w:val="Normal"/>
    <w:next w:val="Normal"/>
    <w:rsid w:val="001063DF"/>
    <w:pPr>
      <w:widowControl/>
      <w:spacing w:before="360" w:after="360"/>
      <w:jc w:val="center"/>
    </w:pPr>
    <w:rPr>
      <w:rFonts w:eastAsia="Calibri"/>
      <w:b/>
      <w:szCs w:val="22"/>
      <w:lang w:eastAsia="en-US"/>
    </w:rPr>
  </w:style>
  <w:style w:type="paragraph" w:customStyle="1" w:styleId="Statut">
    <w:name w:val="Statut"/>
    <w:basedOn w:val="Normal"/>
    <w:next w:val="Typedudocument"/>
    <w:rsid w:val="001063DF"/>
    <w:pPr>
      <w:widowControl/>
      <w:spacing w:before="360"/>
      <w:jc w:val="center"/>
    </w:pPr>
    <w:rPr>
      <w:rFonts w:eastAsia="Calibri"/>
      <w:szCs w:val="22"/>
      <w:lang w:eastAsia="en-US"/>
    </w:rPr>
  </w:style>
  <w:style w:type="paragraph" w:customStyle="1" w:styleId="CM1">
    <w:name w:val="CM1"/>
    <w:basedOn w:val="Normal"/>
    <w:next w:val="Normal"/>
    <w:uiPriority w:val="99"/>
    <w:rsid w:val="001063DF"/>
    <w:pPr>
      <w:widowControl/>
      <w:autoSpaceDE w:val="0"/>
      <w:autoSpaceDN w:val="0"/>
      <w:adjustRightInd w:val="0"/>
    </w:pPr>
    <w:rPr>
      <w:rFonts w:ascii="KOJOD P+ Adv T T 5843c 571" w:hAnsi="KOJOD P+ Adv T T 5843c 571"/>
      <w:szCs w:val="24"/>
    </w:rPr>
  </w:style>
  <w:style w:type="paragraph" w:customStyle="1" w:styleId="CM3">
    <w:name w:val="CM3"/>
    <w:basedOn w:val="Normal"/>
    <w:next w:val="Normal"/>
    <w:uiPriority w:val="99"/>
    <w:rsid w:val="001063DF"/>
    <w:pPr>
      <w:widowControl/>
      <w:autoSpaceDE w:val="0"/>
      <w:autoSpaceDN w:val="0"/>
      <w:adjustRightInd w:val="0"/>
    </w:pPr>
    <w:rPr>
      <w:rFonts w:ascii="KOJOD P+ Adv T T 5843c 571" w:hAnsi="KOJOD P+ Adv T T 5843c 571"/>
      <w:szCs w:val="24"/>
    </w:rPr>
  </w:style>
  <w:style w:type="character" w:customStyle="1" w:styleId="Marker">
    <w:name w:val="Marker"/>
    <w:basedOn w:val="DefaultParagraphFont"/>
    <w:rsid w:val="001063D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C719-B200-43AA-A1E5-723867A2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9225</Words>
  <Characters>49447</Characters>
  <Application>Microsoft Office Word</Application>
  <DocSecurity>0</DocSecurity>
  <Lines>2060</Lines>
  <Paragraphs>1431</Paragraphs>
  <ScaleCrop>false</ScaleCrop>
  <HeadingPairs>
    <vt:vector size="2" baseType="variant">
      <vt:variant>
        <vt:lpstr>Title</vt:lpstr>
      </vt:variant>
      <vt:variant>
        <vt:i4>1</vt:i4>
      </vt:variant>
    </vt:vector>
  </HeadingPairs>
  <TitlesOfParts>
    <vt:vector size="1" baseType="lpstr">
      <vt:lpstr>PR_BUD_Conciliation</vt:lpstr>
    </vt:vector>
  </TitlesOfParts>
  <Company/>
  <LinksUpToDate>false</LinksUpToDate>
  <CharactersWithSpaces>57241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PR_BUD_Conciliation</dc:title>
  <dc:subject/>
  <dc:creator>LATERZA Angela</dc:creator>
  <cp:keywords/>
  <dc:description/>
  <cp:lastModifiedBy>LATERZA Angela</cp:lastModifiedBy>
  <cp:revision>2</cp:revision>
  <cp:lastPrinted>2004-11-04T09:41:00Z</cp:lastPrinted>
  <dcterms:created xsi:type="dcterms:W3CDTF">2019-11-25T15:05:00Z</dcterms:created>
  <dcterms:modified xsi:type="dcterms:W3CDTF">2019-11-25T15:05:00Z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1193106</vt:lpwstr>
  </property>
  <property fmtid="{D5CDD505-2E9C-101B-9397-08002B2CF9AE}" pid="5" name="&lt;Type&gt;">
    <vt:lpwstr>RR</vt:lpwstr>
  </property>
  <property fmtid="{D5CDD505-2E9C-101B-9397-08002B2CF9AE}" pid="6" name="&lt;ModelCod&gt;">
    <vt:lpwstr>\\eiciLUXpr1\pdocep$\DocEP\DOCS\General\PR\PR_BUD\BUD\PR_BUD_Conciliation.dotx(15/10/2019 06:17:20)</vt:lpwstr>
  </property>
  <property fmtid="{D5CDD505-2E9C-101B-9397-08002B2CF9AE}" pid="7" name="&lt;ModelTra&gt;">
    <vt:lpwstr>\\eiciLUXpr1\pdocep$\DocEP\TRANSFIL\IT\PR_BUD_Conciliation.IT(01/10/2019 11:10:01)</vt:lpwstr>
  </property>
  <property fmtid="{D5CDD505-2E9C-101B-9397-08002B2CF9AE}" pid="8" name="&lt;Model&gt;">
    <vt:lpwstr>PR_BUD_Conciliation</vt:lpwstr>
  </property>
  <property fmtid="{D5CDD505-2E9C-101B-9397-08002B2CF9AE}" pid="9" name="FooterPath">
    <vt:lpwstr>RR\1193106IT.docx</vt:lpwstr>
  </property>
  <property fmtid="{D5CDD505-2E9C-101B-9397-08002B2CF9AE}" pid="10" name="PE number">
    <vt:lpwstr>643.245</vt:lpwstr>
  </property>
  <property fmtid="{D5CDD505-2E9C-101B-9397-08002B2CF9AE}" pid="11" name="Bookout">
    <vt:lpwstr>OK - 2019/11/25 16:04</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