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C0" w:rsidRDefault="00BE3BC0" w:rsidP="00BE3BC0">
      <w:pPr>
        <w:tabs>
          <w:tab w:val="right" w:pos="9184"/>
        </w:tabs>
      </w:pPr>
    </w:p>
    <w:p w:rsidR="00BE3BC0" w:rsidRDefault="00BE3BC0" w:rsidP="00BE3BC0">
      <w:pPr>
        <w:tabs>
          <w:tab w:val="right" w:pos="9184"/>
        </w:tabs>
      </w:pPr>
    </w:p>
    <w:p w:rsidR="00BE3BC0" w:rsidRDefault="00BE3BC0" w:rsidP="00BE3BC0">
      <w:pPr>
        <w:tabs>
          <w:tab w:val="right" w:pos="9184"/>
        </w:tabs>
      </w:pPr>
    </w:p>
    <w:p w:rsidR="00BE3BC0" w:rsidRDefault="00BE3BC0" w:rsidP="00BE3BC0">
      <w:pPr>
        <w:tabs>
          <w:tab w:val="right" w:pos="9184"/>
        </w:tabs>
      </w:pPr>
    </w:p>
    <w:p w:rsidR="00BE3BC0" w:rsidRDefault="00BE3BC0" w:rsidP="00BE3BC0">
      <w:pPr>
        <w:tabs>
          <w:tab w:val="right" w:pos="9184"/>
        </w:tabs>
      </w:pPr>
      <w:r w:rsidRPr="00BE3BC0">
        <w:rPr>
          <w:rStyle w:val="HideTWBExt"/>
        </w:rPr>
        <w:t>&lt;Date&gt;</w:t>
      </w:r>
      <w:r>
        <w:t>13.12.2019</w:t>
      </w:r>
      <w:r w:rsidRPr="00BE3BC0">
        <w:rPr>
          <w:rStyle w:val="HideTWBExt"/>
        </w:rPr>
        <w:t>&lt;/Date&gt;</w:t>
      </w:r>
      <w:r>
        <w:tab/>
        <w:t xml:space="preserve">A9-0047/ </w:t>
      </w:r>
      <w:r w:rsidRPr="00BE3BC0">
        <w:rPr>
          <w:rStyle w:val="HideTWBExt"/>
        </w:rPr>
        <w:t>&lt;NumOfAM&gt;</w:t>
      </w:r>
      <w:r>
        <w:t>001-017</w:t>
      </w:r>
      <w:bookmarkStart w:id="0" w:name="_GoBack"/>
      <w:bookmarkEnd w:id="0"/>
      <w:r w:rsidRPr="00BE3BC0">
        <w:rPr>
          <w:rStyle w:val="HideTWBExt"/>
        </w:rPr>
        <w:t>&lt;/NumOfAM&gt;</w:t>
      </w:r>
    </w:p>
    <w:p w:rsidR="00BE3BC0" w:rsidRDefault="00BE3BC0" w:rsidP="00BE3BC0">
      <w:pPr>
        <w:tabs>
          <w:tab w:val="right" w:pos="9184"/>
        </w:tabs>
      </w:pPr>
    </w:p>
    <w:p w:rsidR="00BE3BC0" w:rsidRDefault="00BE3BC0" w:rsidP="00BE3BC0">
      <w:pPr>
        <w:tabs>
          <w:tab w:val="right" w:pos="9184"/>
        </w:tabs>
      </w:pPr>
    </w:p>
    <w:p w:rsidR="00BE3BC0" w:rsidRDefault="00BE3BC0" w:rsidP="00BE3BC0">
      <w:pPr>
        <w:tabs>
          <w:tab w:val="right" w:pos="9184"/>
        </w:tabs>
      </w:pPr>
      <w:r>
        <w:rPr>
          <w:b/>
        </w:rPr>
        <w:t xml:space="preserve">ΤΡΟΠΟΛΟΓΙΕΣ 001-017 </w:t>
      </w:r>
    </w:p>
    <w:p w:rsidR="00BE3BC0" w:rsidRDefault="00BE3BC0" w:rsidP="00BE3BC0">
      <w:pPr>
        <w:tabs>
          <w:tab w:val="right" w:pos="9184"/>
        </w:tabs>
      </w:pPr>
      <w:r>
        <w:t xml:space="preserve">κατάθεση: </w:t>
      </w:r>
      <w:r w:rsidRPr="00BE3BC0">
        <w:rPr>
          <w:rStyle w:val="HideTWBExt"/>
        </w:rPr>
        <w:t>&lt;Committee&gt;</w:t>
      </w:r>
      <w:r>
        <w:t>Επιτροπή Οικονομικής και Νομισματικής Πολιτικής</w:t>
      </w:r>
      <w:r w:rsidRPr="00BE3BC0">
        <w:rPr>
          <w:rStyle w:val="HideTWBExt"/>
        </w:rPr>
        <w:t>&lt;/Committee&gt;</w:t>
      </w:r>
    </w:p>
    <w:p w:rsidR="00BE3BC0" w:rsidRDefault="00BE3BC0" w:rsidP="00BE3BC0">
      <w:pPr>
        <w:tabs>
          <w:tab w:val="right" w:pos="9184"/>
        </w:tabs>
      </w:pPr>
    </w:p>
    <w:p w:rsidR="00BE3BC0" w:rsidRDefault="00BE3BC0" w:rsidP="00BE3BC0">
      <w:pPr>
        <w:tabs>
          <w:tab w:val="right" w:pos="9184"/>
        </w:tabs>
        <w:rPr>
          <w:b/>
        </w:rPr>
      </w:pPr>
      <w:r>
        <w:rPr>
          <w:b/>
        </w:rPr>
        <w:t>Έκθεση</w:t>
      </w:r>
    </w:p>
    <w:p w:rsidR="00BE3BC0" w:rsidRDefault="00BE3BC0" w:rsidP="00BE3BC0">
      <w:pPr>
        <w:tabs>
          <w:tab w:val="right" w:pos="9184"/>
        </w:tabs>
        <w:rPr>
          <w:b/>
        </w:rPr>
      </w:pPr>
      <w:r w:rsidRPr="00BE3BC0">
        <w:rPr>
          <w:rStyle w:val="HideTWBExt"/>
        </w:rPr>
        <w:t>&lt;Chairman&gt;</w:t>
      </w:r>
      <w:r>
        <w:rPr>
          <w:b/>
        </w:rPr>
        <w:t>Lídia Pereira</w:t>
      </w:r>
      <w:r w:rsidRPr="00BE3BC0">
        <w:rPr>
          <w:rStyle w:val="HideTWBExt"/>
        </w:rPr>
        <w:t>&lt;/Chairman&gt;</w:t>
      </w:r>
      <w:r>
        <w:rPr>
          <w:b/>
        </w:rPr>
        <w:tab/>
      </w:r>
      <w:r w:rsidRPr="00BE3BC0">
        <w:rPr>
          <w:rStyle w:val="HideTWBExt"/>
        </w:rPr>
        <w:t>&lt;A5Nr&gt;</w:t>
      </w:r>
      <w:r>
        <w:rPr>
          <w:b/>
        </w:rPr>
        <w:t>A9-0047/2019</w:t>
      </w:r>
      <w:r w:rsidRPr="00BE3BC0">
        <w:rPr>
          <w:rStyle w:val="HideTWBExt"/>
        </w:rPr>
        <w:t>&lt;/A5Nr&gt;</w:t>
      </w:r>
    </w:p>
    <w:p w:rsidR="00BE3BC0" w:rsidRDefault="00BE3BC0" w:rsidP="00BE3BC0">
      <w:pPr>
        <w:tabs>
          <w:tab w:val="right" w:pos="9184"/>
        </w:tabs>
      </w:pPr>
      <w:r w:rsidRPr="00BE3BC0">
        <w:rPr>
          <w:rStyle w:val="HideTWBExt"/>
        </w:rPr>
        <w:t>&lt;ShortTitel&gt;</w:t>
      </w:r>
      <w:r>
        <w:t>Μέτρα ενίσχυσης της διοικητικής συνεργασίας για την καταπολέμηση της απάτης στον τομέα του ΦΠΑ</w:t>
      </w:r>
      <w:r w:rsidRPr="00BE3BC0">
        <w:rPr>
          <w:rStyle w:val="HideTWBExt"/>
        </w:rPr>
        <w:t>&lt;/ShortTitel&gt;</w:t>
      </w:r>
    </w:p>
    <w:p w:rsidR="00BE3BC0" w:rsidRDefault="00BE3BC0" w:rsidP="00BE3BC0">
      <w:pPr>
        <w:tabs>
          <w:tab w:val="right" w:pos="9184"/>
        </w:tabs>
      </w:pPr>
    </w:p>
    <w:p w:rsidR="00BE3BC0" w:rsidRDefault="00BE3BC0" w:rsidP="00BE3BC0">
      <w:pPr>
        <w:tabs>
          <w:tab w:val="right" w:pos="9184"/>
        </w:tabs>
      </w:pPr>
      <w:r w:rsidRPr="00BE3BC0">
        <w:rPr>
          <w:rStyle w:val="HideTWBExt"/>
        </w:rPr>
        <w:t>&lt;Procedure&gt;</w:t>
      </w:r>
      <w:r>
        <w:t>Πρόταση κανονισμού</w:t>
      </w:r>
      <w:r w:rsidRPr="00BE3BC0">
        <w:rPr>
          <w:rStyle w:val="HideTWBExt"/>
        </w:rPr>
        <w:t>&lt;/Procedure&gt;</w:t>
      </w:r>
      <w:r>
        <w:t xml:space="preserve"> </w:t>
      </w:r>
      <w:r w:rsidRPr="00BE3BC0">
        <w:rPr>
          <w:rStyle w:val="HideTWBExt"/>
        </w:rPr>
        <w:t>&lt;ReferenceNo&gt;</w:t>
      </w:r>
      <w:r>
        <w:t>(COM(2018)0813 – C8-0016/2019 – 2018/0413(CNS))</w:t>
      </w:r>
      <w:r w:rsidRPr="00BE3BC0">
        <w:rPr>
          <w:rStyle w:val="HideTWBExt"/>
        </w:rPr>
        <w:t>&lt;/ReferenceNo&gt;</w:t>
      </w:r>
    </w:p>
    <w:p w:rsidR="00BE3BC0" w:rsidRDefault="00BE3BC0" w:rsidP="00BE3BC0">
      <w:pPr>
        <w:tabs>
          <w:tab w:val="right" w:pos="9184"/>
        </w:tabs>
      </w:pPr>
    </w:p>
    <w:p w:rsidR="00BE3BC0" w:rsidRDefault="00BE3BC0" w:rsidP="00BE3BC0">
      <w:pPr>
        <w:tabs>
          <w:tab w:val="right" w:pos="9184"/>
        </w:tabs>
      </w:pPr>
    </w:p>
    <w:p w:rsidR="00BE3BC0" w:rsidRDefault="00BE3BC0" w:rsidP="00BE3BC0">
      <w:pPr>
        <w:tabs>
          <w:tab w:val="right" w:pos="9184"/>
        </w:tabs>
      </w:pPr>
    </w:p>
    <w:p w:rsidR="00BE3BC0" w:rsidRDefault="00BE3BC0" w:rsidP="00BE3BC0">
      <w:pPr>
        <w:tabs>
          <w:tab w:val="right" w:pos="9184"/>
        </w:tabs>
        <w:jc w:val="center"/>
      </w:pPr>
      <w:r>
        <w:t>_____________________________________________________________</w:t>
      </w:r>
    </w:p>
    <w:p w:rsidR="00BE3BC0" w:rsidRDefault="00BE3BC0" w:rsidP="00BE3BC0">
      <w:pPr>
        <w:tabs>
          <w:tab w:val="right" w:pos="9184"/>
        </w:tabs>
        <w:jc w:val="center"/>
      </w:pPr>
    </w:p>
    <w:p w:rsidR="003E2F06" w:rsidRPr="00BE3BC0" w:rsidRDefault="003E2F06" w:rsidP="00BE3BC0">
      <w:pPr>
        <w:pStyle w:val="AMNumberTabs"/>
      </w:pPr>
      <w:r w:rsidRPr="00BE3BC0">
        <w:t>Τροπολογία</w:t>
      </w:r>
      <w:r w:rsidRPr="00BE3BC0">
        <w:tab/>
      </w:r>
      <w:r w:rsidRPr="00BE3BC0">
        <w:tab/>
        <w:t>1</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Αιτιολογική σκέψη 2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(2α)</w:t>
            </w:r>
            <w:r w:rsidRPr="00BE3BC0">
              <w:tab/>
            </w:r>
            <w:r w:rsidRPr="00BE3BC0">
              <w:rPr>
                <w:b/>
                <w:i/>
              </w:rPr>
              <w:t>Σύμφωνα με την τελική έκθεση του 2019 στο πλαίσιο της μελέτης και των εκθέσεων σχετικά με το έλλειμμα ΦΠΑ στα 28 κράτη μέλη της ΕΕ</w:t>
            </w:r>
            <w:r w:rsidRPr="00BE3BC0">
              <w:rPr>
                <w:b/>
                <w:i/>
                <w:vertAlign w:val="superscript"/>
              </w:rPr>
              <w:t>3α</w:t>
            </w:r>
            <w:r w:rsidRPr="00BE3BC0">
              <w:rPr>
                <w:b/>
                <w:i/>
              </w:rPr>
              <w:t xml:space="preserve">, που εκπονήθηκαν για την Επιτροπή, το έλλειμμα ΦΠΑ, δηλαδή η διαφορά μεταξύ των αναμενόμενων εσόδων από τον ΦΠΑ και του ποσού που πράγματι εισπράχθηκε, ανήλθε σε 137,5 δισεκατομμύρια EUR το 2017 στην Ένωση, ποσό που αντιστοιχεί σε απώλεια του 11,2 % των συνολικών αναμενόμενων εσόδων από τον ΦΠΑ και σε απώλεια εσόδων 267 EUR ανά άτομο στην Ένωση. Υπάρχουν, ωστόσο, μεγάλες διαφορές μεταξύ των κρατών μελών, με τα ελλείμματα ΦΠΑ να κυμαίνονται από το 0,6 % έως το 35,5 %. Αυτό τονίζει την ανάγκη για εντονότερη διακρατική συνεργασία με σκοπό την </w:t>
            </w:r>
            <w:r w:rsidRPr="00BE3BC0">
              <w:rPr>
                <w:b/>
                <w:i/>
              </w:rPr>
              <w:lastRenderedPageBreak/>
              <w:t>αποτελεσματικότερη καταπολέμηση της απάτης στον τομέα του ΦΠΑ στο ηλεκτρονικό εμπόριο, ειδικότερα, καθώς και της απάτης στον τομέα του ΦΠΑ, γενικότερα (συμπεριλαμβανομένης της αλυσιδωτής απάτης).</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rPr>
                <w:b/>
                <w:i/>
              </w:rPr>
            </w:pPr>
            <w:r w:rsidRPr="00BE3BC0">
              <w:t>_________________</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rPr>
                <w:b/>
                <w:i/>
              </w:rPr>
            </w:pPr>
            <w:r w:rsidRPr="00BE3BC0">
              <w:rPr>
                <w:b/>
                <w:i/>
                <w:vertAlign w:val="superscript"/>
              </w:rPr>
              <w:t>3α</w:t>
            </w:r>
            <w:r w:rsidRPr="00BE3BC0">
              <w:rPr>
                <w:b/>
                <w:i/>
              </w:rPr>
              <w:t xml:space="preserve"> Διατίθεται στη διεύθυνση </w:t>
            </w:r>
            <w:hyperlink r:id="rId7" w:history="1">
              <w:r w:rsidRPr="00BE3BC0">
                <w:rPr>
                  <w:rStyle w:val="Hyperlink"/>
                  <w:b/>
                  <w:i/>
                  <w:color w:val="auto"/>
                  <w:u w:val="none"/>
                </w:rPr>
                <w:t>https://ec.europa.eu/taxation_customs/sites/taxation/files/vat-gap-full-report-2019_en.pdf</w:t>
              </w:r>
            </w:hyperlink>
            <w:r w:rsidRPr="00BE3BC0">
              <w:rPr>
                <w:b/>
                <w:i/>
              </w:rPr>
              <w:t>.</w:t>
            </w:r>
          </w:p>
        </w:tc>
      </w:tr>
    </w:tbl>
    <w:p w:rsidR="003E2F06" w:rsidRPr="00BE3BC0" w:rsidRDefault="003E2F06" w:rsidP="003E2F06"/>
    <w:p w:rsidR="003E2F06" w:rsidRPr="00BE3BC0" w:rsidRDefault="003E2F06" w:rsidP="005A637F">
      <w:pPr>
        <w:pStyle w:val="AMNumberTabs"/>
        <w:keepNext/>
      </w:pPr>
      <w:r w:rsidRPr="00BE3BC0">
        <w:t>Τροπολογία</w:t>
      </w:r>
      <w:r w:rsidRPr="00BE3BC0">
        <w:tab/>
      </w:r>
      <w:r w:rsidRPr="00BE3BC0">
        <w:tab/>
        <w:t>2</w:t>
      </w:r>
    </w:p>
    <w:p w:rsidR="003E2F06" w:rsidRPr="00BE3BC0" w:rsidRDefault="003E2F06" w:rsidP="005A637F">
      <w:pPr>
        <w:pStyle w:val="NormalBold12b"/>
        <w:keepNext/>
      </w:pPr>
      <w:r w:rsidRPr="00BE3BC0">
        <w:t>Πρόταση κανονισμού</w:t>
      </w:r>
    </w:p>
    <w:p w:rsidR="003E2F06" w:rsidRPr="00BE3BC0" w:rsidRDefault="003E2F06" w:rsidP="003E2F06">
      <w:pPr>
        <w:pStyle w:val="NormalBold"/>
      </w:pPr>
      <w:r w:rsidRPr="00BE3BC0">
        <w:t>Αιτιολογική σκέψη 2 β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(2β)</w:t>
            </w:r>
            <w:r w:rsidRPr="00BE3BC0">
              <w:tab/>
            </w:r>
            <w:r w:rsidRPr="00BE3BC0">
              <w:rPr>
                <w:b/>
                <w:i/>
              </w:rPr>
              <w:t>Η απάτη στον τομέα του ΦΠΑ συνδέεται συχνά με το οργανωμένο έγκλημα και ένας πολύ μικρός αριθμός αυτών των οργανωμένων δικτύων μπορεί να είναι υπεύθυνος για δισεκατομμύρια ευρώ διασυνοριακής απάτης στον τομέα του ΦΠΑ, που δεν πλήττει μόνο την είσπραξη των εσόδων στα κράτη μέλη αλλά επίσης έχει αρνητικό αντίκτυπο στους ιδίους πόρους της Ένωσης. Συνεπώς, είναι αναγκαίο να εγκριθεί μια φιλόδοξη εντολή για την Ευρωπαϊκή Εισαγγελία σε συνεργασία με τις εθνικές δικαστικές αρχές, προκειμένου να διασφαλιστεί η αποτελεσματική δίωξη ενώπιον των εθνικών δικαστηρίων όσων επιδίδονται σε απάτες. Η οργανωμένη διασυνοριακή απάτη στον τομέα του ΦΠΑ θα πρέπει να διώκεται δεόντως και οι υπαίτιοι της απάτης θα πρέπει να τιμωρούνται</w:t>
            </w:r>
            <w:r w:rsidR="00855231" w:rsidRPr="004701DB">
              <w:rPr>
                <w:b/>
                <w:i/>
              </w:rPr>
              <w:t>.</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3</w:t>
      </w:r>
    </w:p>
    <w:p w:rsidR="003E2F06" w:rsidRPr="00BE3BC0" w:rsidRDefault="003E2F06" w:rsidP="003E2F06">
      <w:pPr>
        <w:pStyle w:val="NormalBold12b"/>
        <w:keepNext/>
      </w:pPr>
      <w:r w:rsidRPr="00BE3BC0">
        <w:t>Πρόταση κανονισμού</w:t>
      </w:r>
    </w:p>
    <w:p w:rsidR="003E2F06" w:rsidRPr="00BE3BC0" w:rsidRDefault="003E2F06" w:rsidP="003E2F06">
      <w:pPr>
        <w:pStyle w:val="NormalBold"/>
      </w:pPr>
      <w:r w:rsidRPr="00BE3BC0">
        <w:t>Αιτιολογική σκέψη 2 γ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jc w:val="center"/>
        </w:trPr>
        <w:tc>
          <w:tcPr>
            <w:tcW w:w="9752" w:type="dxa"/>
            <w:gridSpan w:val="2"/>
          </w:tcPr>
          <w:p w:rsidR="003E2F06" w:rsidRPr="00BE3BC0" w:rsidRDefault="003E2F06" w:rsidP="00C06D60">
            <w:pPr>
              <w:keepNext/>
            </w:pPr>
          </w:p>
        </w:tc>
      </w:tr>
      <w:tr w:rsidR="003E2F06" w:rsidRPr="00BE3BC0" w:rsidTr="00C06D60">
        <w:trPr>
          <w:jc w:val="center"/>
        </w:trPr>
        <w:tc>
          <w:tcPr>
            <w:tcW w:w="4876" w:type="dxa"/>
            <w:hideMark/>
          </w:tcPr>
          <w:p w:rsidR="003E2F06" w:rsidRPr="00BE3BC0" w:rsidRDefault="003E2F06" w:rsidP="00C06D60">
            <w:pPr>
              <w:pStyle w:val="ColumnHeading"/>
              <w:keepNext/>
            </w:pPr>
            <w:r w:rsidRPr="00BE3BC0">
              <w:t>Κείμενο που προτείνει η Επιτροπή</w:t>
            </w:r>
          </w:p>
        </w:tc>
        <w:tc>
          <w:tcPr>
            <w:tcW w:w="4876" w:type="dxa"/>
            <w:hideMark/>
          </w:tcPr>
          <w:p w:rsidR="003E2F06" w:rsidRPr="00BE3BC0" w:rsidRDefault="003E2F06" w:rsidP="00C06D60">
            <w:pPr>
              <w:pStyle w:val="ColumnHeading"/>
              <w:keepNext/>
            </w:pPr>
            <w:r w:rsidRPr="00BE3BC0">
              <w:t>Τροπολογία</w:t>
            </w:r>
          </w:p>
        </w:tc>
      </w:tr>
      <w:tr w:rsidR="003E2F06" w:rsidRPr="00BE3BC0" w:rsidTr="00C06D60">
        <w:trPr>
          <w:jc w:val="center"/>
        </w:trPr>
        <w:tc>
          <w:tcPr>
            <w:tcW w:w="4876" w:type="dxa"/>
          </w:tcPr>
          <w:p w:rsidR="003E2F06" w:rsidRPr="00BE3BC0" w:rsidRDefault="003E2F06" w:rsidP="00C06D60">
            <w:pPr>
              <w:pStyle w:val="Normal6"/>
            </w:pPr>
          </w:p>
        </w:tc>
        <w:tc>
          <w:tcPr>
            <w:tcW w:w="4876" w:type="dxa"/>
            <w:hideMark/>
          </w:tcPr>
          <w:p w:rsidR="003E2F06" w:rsidRPr="00BE3BC0" w:rsidRDefault="003E2F06" w:rsidP="00C06D60">
            <w:pPr>
              <w:pStyle w:val="Normal6"/>
              <w:rPr>
                <w:szCs w:val="24"/>
              </w:rPr>
            </w:pPr>
            <w:r w:rsidRPr="00BE3BC0">
              <w:rPr>
                <w:b/>
                <w:i/>
              </w:rPr>
              <w:t>(2γ)</w:t>
            </w:r>
            <w:r w:rsidRPr="00BE3BC0">
              <w:rPr>
                <w:b/>
                <w:i/>
              </w:rPr>
              <w:tab/>
              <w:t>Η στρατηγική για την καταπολέμηση της απάτης στον τομέα του ΦΠΑ θα πρέπει να εξελιχθεί παράλληλα με την επέκταση του εκσυγχρονισμού και της ψηφιοποίησης στην οικονομία, με ταυτόχρονη απλούστευση του συστήματος ΦΠΑ στον μέγιστο δυνατό βαθμό για τις επιχειρήσεις και τους πολίτες. Συνεπώς, είναι ιδιαίτερα σημαντικό να συνεχίσουν τα κράτη μέλη να επενδύουν σε τεχνολογικά συστήματα είσπραξης των φόρων, ιδίως με την αυτόματη σύνδεση των εταιρικών ταμειακών μηχανών και των συστημάτων πωλήσεων με τις δηλώσεις ΦΠΑ. Επιπλέον, οι φορολογικές αρχές θα πρέπει να συνεχίσουν τις προσπάθειές τους για στενότερη συνεργασία και ανταλλαγή βέλτιστων πρακτικών, μεταξύ άλλων μέσω της Συνόδου Κορυφής των Φορολογικών Διοικήσεων της ΕΕ (TADEUS), ενός δικτύου προϊσταμένων των φορολογικών διοικήσεων των κρατών μελών το οποίο επιδιώκει καλύτερο συντονισμό σε στρατηγικό επίπεδο μεταξύ των φορολογικών διοικήσεων. Στο πλαίσιο αυτό, οι φορολογικές αρχές θα πρέπει να εργάζονται με σκοπό την αποτελεσματική επικοινωνία και τη διαλειτουργικότητα μεταξύ όλων των βάσεων δεδομένων που αφορούν φορολογικά θέματα σε ενωσιακό επίπεδο. Η τεχνολογία αλυσίδας συστοιχιών (blockchain) θα μπορούσε επίσης να χρησιμοποιηθεί για την καλύτερη προστασία των δεδομένων προσωπικού χαρακτήρα και τη βελτίωση της επιγραμμικής ανταλλαγής πληροφοριών μεταξύ των φορολογικών αρχών.</w:t>
            </w:r>
          </w:p>
        </w:tc>
      </w:tr>
    </w:tbl>
    <w:p w:rsidR="003E2F06" w:rsidRPr="00BE3BC0" w:rsidRDefault="003E2F06" w:rsidP="003E2F06">
      <w:pPr>
        <w:rPr>
          <w:szCs w:val="24"/>
        </w:rPr>
      </w:pPr>
    </w:p>
    <w:p w:rsidR="003E2F06" w:rsidRPr="00BE3BC0" w:rsidRDefault="003E2F06" w:rsidP="003E2F06">
      <w:pPr>
        <w:pStyle w:val="AMNumberTabs"/>
        <w:keepNext/>
      </w:pPr>
      <w:r w:rsidRPr="00BE3BC0">
        <w:t>Τροπολογία</w:t>
      </w:r>
      <w:r w:rsidRPr="00BE3BC0">
        <w:tab/>
      </w:r>
      <w:r w:rsidRPr="00BE3BC0">
        <w:tab/>
        <w:t>4</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Αιτιολογική σκέψη 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r w:rsidRPr="00BE3BC0">
              <w:t>(8)</w:t>
            </w:r>
            <w:r w:rsidRPr="00BE3BC0">
              <w:tab/>
              <w:t>Ο στόχος της καταπολέμησης της απάτης στον τομέα του ΦΠΑ του ηλεκτρονικού εμπορίου θα επιτευχθεί αποτελεσματικότερα με ένα κεντρικό ηλεκτρονικό σύστημα πληροφοριών, το «CESOP», στο οποίο τα κράτη μέλη θα διαβιβάζουν τις πληροφορίες για πληρωμές που αποθηκεύουν σε εθνικό επίπεδο. Αυτό το σύστημα θα πρέπει να συγκεντρώνει, σε σχέση με μεμονωμένους δικαιούχους, όλες τις σχετικές με τον ΦΠΑ πληροφορίες αναφορικά με πράξεις πληρωμών που διαβιβάζονται από τα κράτη μέλη και θα πρέπει να παρέχει πλήρη επισκόπηση των πληρωμών τις οποίες λαμβάνουν οι δικαιούχοι από πληρωτές που βρίσκονται στα κράτη μέλη. Επιπλέον, το εν λόγω σύστημα πληροφοριών θα πρέπει να αναγνωρίζει τις πολλαπλές καταχωρίσεις των ίδιων πράξεων πληρωμών, να εκκαθαρίζει τις πληροφορίες που λαμβάνονται από τα κράτη μέλη (π.χ. αφαίρεση διπλών καταχωρίσεων, διόρθωση σφαλμάτων στα δεδομένα κ.λπ.) και να παρέχει στους υπαλλήλους συνδέσμους του Eurofisc από τα κράτη μέλη τη δυνατότητα να διασταυρώνουν στοιχεία για τις πληρωμές με τις σχετικές με τον ΦΠΑ πληροφορίες που διαθέτουν, καθώς και να πραγματοποιούν αναζητήσεις για τους σκοπούς έρευνας για εικαζόμενη απάτη στον τομέα του ΦΠΑ ή για τον εντοπισμό περιπτώσεων απάτης στον τομέα του ΦΠΑ.</w:t>
            </w:r>
          </w:p>
        </w:tc>
        <w:tc>
          <w:tcPr>
            <w:tcW w:w="4876" w:type="dxa"/>
          </w:tcPr>
          <w:p w:rsidR="003E2F06" w:rsidRPr="00BE3BC0" w:rsidRDefault="003E2F06" w:rsidP="00C06D60">
            <w:pPr>
              <w:pStyle w:val="Normal6a"/>
            </w:pPr>
            <w:r w:rsidRPr="00BE3BC0">
              <w:t>(8)</w:t>
            </w:r>
            <w:r w:rsidRPr="00BE3BC0">
              <w:tab/>
              <w:t xml:space="preserve">Ο στόχος της καταπολέμησης της απάτης στον τομέα του ΦΠΑ του ηλεκτρονικού εμπορίου θα επιτευχθεί αποτελεσματικότερα με ένα κεντρικό ηλεκτρονικό σύστημα πληροφοριών, το «CESOP», στο οποίο τα κράτη μέλη θα διαβιβάζουν τις πληροφορίες για πληρωμές που αποθηκεύουν σε εθνικό επίπεδο. Αυτό το σύστημα θα πρέπει να συγκεντρώνει, σε σχέση με μεμονωμένους δικαιούχους, όλες τις σχετικές με τον ΦΠΑ πληροφορίες αναφορικά με πράξεις πληρωμών που διαβιβάζονται από τα κράτη μέλη και θα πρέπει να παρέχει πλήρη επισκόπηση των πληρωμών τις οποίες λαμβάνουν οι δικαιούχοι από πληρωτές που βρίσκονται στα κράτη μέλη. Επιπλέον, το εν λόγω σύστημα πληροφοριών θα πρέπει να αναγνωρίζει τις πολλαπλές καταχωρίσεις των ίδιων πράξεων πληρωμών, να εκκαθαρίζει τις πληροφορίες που λαμβάνονται από τα κράτη μέλη (π.χ. αφαίρεση διπλών καταχωρίσεων, διόρθωση σφαλμάτων στα δεδομένα κ.λπ.) και να παρέχει στους υπαλλήλους συνδέσμους του Eurofisc από τα κράτη μέλη τη δυνατότητα να διασταυρώνουν στοιχεία για τις πληρωμές με τις σχετικές με τον ΦΠΑ πληροφορίες που διαθέτουν, καθώς και να πραγματοποιούν αναζητήσεις για τους σκοπούς έρευνας για εικαζόμενη απάτη στον τομέα του ΦΠΑ ή για τον εντοπισμό περιπτώσεων απάτης στον τομέα του ΦΠΑ. </w:t>
            </w:r>
            <w:r w:rsidRPr="00BE3BC0">
              <w:rPr>
                <w:b/>
                <w:i/>
              </w:rPr>
              <w:t>Όλα τα κράτη μέλη θα πρέπει να συμμετέχουν σε όλες τις ομάδες εργασίας του Eurofisc και να διορίζουν αναλόγως υπαλλήλους συνδέσμους.</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5</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Αιτιολογική σκέψη 11</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r w:rsidRPr="00BE3BC0">
              <w:t>(11)</w:t>
            </w:r>
            <w:r w:rsidRPr="00BE3BC0">
              <w:tab/>
              <w:t xml:space="preserve">Η ανταλλαγή δεδομένων για τις </w:t>
            </w:r>
            <w:r w:rsidRPr="00BE3BC0">
              <w:lastRenderedPageBreak/>
              <w:t>πληρωμές μεταξύ φορολογικών αρχών είναι καθοριστικής σημασίας για την αποτελεσματική καταπολέμηση της απάτης. Μόνο οι υπάλληλοι σύνδεσμοι του Eurofisc θα πρέπει να επεξεργάζονται τις πληροφορίες για τις πληρωμές και μόνο με στόχο την καταπολέμηση της απάτης στον τομέα του ΦΠΑ. Οι πληροφορίες αυτές δεν θα πρέπει να χρησιμοποιούνται για άλλους σκοπούς εκτός από εκείνους που καθορίζονται με τον εν λόγω κανονισμό, όπως π.χ. για εμπορικούς σκοπούς.</w:t>
            </w:r>
          </w:p>
        </w:tc>
        <w:tc>
          <w:tcPr>
            <w:tcW w:w="4876" w:type="dxa"/>
          </w:tcPr>
          <w:p w:rsidR="003E2F06" w:rsidRPr="00BE3BC0" w:rsidRDefault="003E2F06" w:rsidP="00C06D60">
            <w:pPr>
              <w:pStyle w:val="Normal6a"/>
            </w:pPr>
            <w:r w:rsidRPr="00BE3BC0">
              <w:lastRenderedPageBreak/>
              <w:t>(11)</w:t>
            </w:r>
            <w:r w:rsidRPr="00BE3BC0">
              <w:tab/>
              <w:t xml:space="preserve">Η ανταλλαγή δεδομένων για τις </w:t>
            </w:r>
            <w:r w:rsidRPr="00BE3BC0">
              <w:lastRenderedPageBreak/>
              <w:t>πληρωμές μεταξύ φορολογικών αρχών είναι καθοριστικής σημασίας για την αποτελεσματική καταπολέμηση της απάτης. Μόνο οι υπάλληλοι σύνδεσμοι του Eurofisc θα πρέπει να επεξεργάζονται τις πληροφορίες για τις πληρωμές και μόνο με στόχο την καταπολέμηση της απάτης στον τομέα του ΦΠΑ. Οι πληροφορίες αυτές δεν θα πρέπει να χρησιμοποιούνται για άλλους σκοπούς εκτός από εκείνους που καθορίζονται με τον εν λόγω κανονισμό, όπως π.χ. για εμπορικούς σκοπούς</w:t>
            </w:r>
            <w:r w:rsidRPr="00BE3BC0">
              <w:rPr>
                <w:b/>
                <w:i/>
              </w:rPr>
              <w:t>, και θα πρέπει επίσης να χρησιμοποιούνται κατά την εφαρμογή της οδηγίας (ΕΕ) 2015/849 του Ευρωπαϊκού Κοινοβουλίου και του Συμβουλίου</w:t>
            </w:r>
            <w:r w:rsidRPr="00BE3BC0">
              <w:rPr>
                <w:rStyle w:val="SupBoldItalic"/>
              </w:rPr>
              <w:t>6α</w:t>
            </w:r>
            <w:r w:rsidRPr="00BE3BC0">
              <w:t>.</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t>_________________</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rStyle w:val="SupBoldItalic"/>
              </w:rPr>
              <w:t>6α</w:t>
            </w:r>
            <w:r w:rsidRPr="00BE3BC0">
              <w:rPr>
                <w:b/>
                <w:i/>
              </w:rPr>
              <w:t xml:space="preserve"> 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6</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Αιτιολογική σκέψη 11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(11α)</w:t>
            </w:r>
            <w:r w:rsidRPr="00BE3BC0">
              <w:tab/>
            </w:r>
            <w:r w:rsidRPr="00BE3BC0">
              <w:rPr>
                <w:b/>
                <w:i/>
              </w:rPr>
              <w:t xml:space="preserve">Λόγω του χαμηλού αριθμού των κρατών μελών που δημοσιεύουν εκτιμήσεις σχετικά με τις απώλειες ΦΠΑ λόγω ενδοκοινοτικής απάτης, η ύπαρξη συγκρίσιμων στοιχείων σχετικά με την ενδοκοινοτική απάτη στον τομέα του </w:t>
            </w:r>
            <w:r w:rsidRPr="00BE3BC0">
              <w:rPr>
                <w:b/>
                <w:i/>
              </w:rPr>
              <w:lastRenderedPageBreak/>
              <w:t>ΦΠΑ θα συνέβαλλε σε μια πιο στοχοθετημένη συνεργασία μεταξύ των κρατών μελών. Ως εκ τούτου, η Επιτροπή θα πρέπει να αναπτύξει κοινή στατιστική προσέγγιση μαζί με τα κράτη μέλη για την ποσοτικοποίηση και την ανάλυση της απάτης στον τομέα του ΦΠΑ.</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7</w:t>
      </w:r>
    </w:p>
    <w:p w:rsidR="003E2F06" w:rsidRPr="00BE3BC0" w:rsidRDefault="003E2F06" w:rsidP="003E2F06">
      <w:pPr>
        <w:pStyle w:val="NormalBold12b"/>
        <w:keepNext/>
      </w:pPr>
      <w:r w:rsidRPr="00BE3BC0">
        <w:t>Πρόταση κανονισμού</w:t>
      </w:r>
    </w:p>
    <w:p w:rsidR="003E2F06" w:rsidRPr="00BE3BC0" w:rsidRDefault="003E2F06" w:rsidP="003E2F06">
      <w:pPr>
        <w:pStyle w:val="NormalBold"/>
      </w:pPr>
      <w:r w:rsidRPr="00BE3BC0">
        <w:t>Αιτιολογική σκέψη 13</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jc w:val="center"/>
        </w:trPr>
        <w:tc>
          <w:tcPr>
            <w:tcW w:w="9752" w:type="dxa"/>
            <w:gridSpan w:val="2"/>
          </w:tcPr>
          <w:p w:rsidR="003E2F06" w:rsidRPr="00BE3BC0" w:rsidRDefault="003E2F06" w:rsidP="00C06D60">
            <w:pPr>
              <w:keepNext/>
            </w:pPr>
          </w:p>
        </w:tc>
      </w:tr>
      <w:tr w:rsidR="003E2F06" w:rsidRPr="00BE3BC0" w:rsidTr="00C06D60">
        <w:trPr>
          <w:jc w:val="center"/>
        </w:trPr>
        <w:tc>
          <w:tcPr>
            <w:tcW w:w="4876" w:type="dxa"/>
            <w:hideMark/>
          </w:tcPr>
          <w:p w:rsidR="003E2F06" w:rsidRPr="00BE3BC0" w:rsidRDefault="003E2F06" w:rsidP="00C06D60">
            <w:pPr>
              <w:pStyle w:val="ColumnHeading"/>
              <w:keepNext/>
            </w:pPr>
            <w:r w:rsidRPr="00BE3BC0">
              <w:t>Κείμενο που προτείνει η Επιτροπή</w:t>
            </w:r>
          </w:p>
        </w:tc>
        <w:tc>
          <w:tcPr>
            <w:tcW w:w="4876" w:type="dxa"/>
            <w:hideMark/>
          </w:tcPr>
          <w:p w:rsidR="003E2F06" w:rsidRPr="00BE3BC0" w:rsidRDefault="003E2F06" w:rsidP="00C06D60">
            <w:pPr>
              <w:pStyle w:val="ColumnHeading"/>
              <w:keepNext/>
            </w:pPr>
            <w:r w:rsidRPr="00BE3BC0">
              <w:t>Τροπολογία</w:t>
            </w:r>
          </w:p>
        </w:tc>
      </w:tr>
      <w:tr w:rsidR="003E2F06" w:rsidRPr="00BE3BC0" w:rsidTr="00C06D60">
        <w:trPr>
          <w:jc w:val="center"/>
        </w:trPr>
        <w:tc>
          <w:tcPr>
            <w:tcW w:w="4876" w:type="dxa"/>
            <w:hideMark/>
          </w:tcPr>
          <w:p w:rsidR="003E2F06" w:rsidRPr="00BE3BC0" w:rsidRDefault="003E2F06" w:rsidP="00C06D60">
            <w:pPr>
              <w:pStyle w:val="Normal6"/>
            </w:pPr>
            <w:r w:rsidRPr="00BE3BC0">
              <w:t>(13)</w:t>
            </w:r>
            <w:r w:rsidRPr="00BE3BC0">
              <w:tab/>
              <w:t xml:space="preserve">Είναι αναγκαίο και αναλογικό οι πάροχοι υπηρεσιών πληρωμών να διατηρούν αρχεία με τις πληροφορίες για πράξεις πληρωμής για περίοδο </w:t>
            </w:r>
            <w:r w:rsidRPr="00BE3BC0">
              <w:rPr>
                <w:b/>
                <w:i/>
              </w:rPr>
              <w:t>δύο</w:t>
            </w:r>
            <w:r w:rsidRPr="00BE3BC0">
              <w:t xml:space="preserve"> ετών, ώστε να συνδράμουν τα κράτη μέλη στην καταπολέμηση της απάτης στον τομέα του ΦΠΑ του ηλεκτρονικού εμπορίου και τον εντοπισμό επιχειρήσεων που διαπράττουν απάτη. </w:t>
            </w:r>
            <w:r w:rsidRPr="00BE3BC0">
              <w:rPr>
                <w:b/>
                <w:i/>
              </w:rPr>
              <w:t>Αυτή</w:t>
            </w:r>
            <w:r w:rsidRPr="00BE3BC0">
              <w:t xml:space="preserve"> </w:t>
            </w:r>
            <w:r w:rsidRPr="00BE3BC0">
              <w:rPr>
                <w:b/>
                <w:i/>
              </w:rPr>
              <w:t>η</w:t>
            </w:r>
            <w:r w:rsidRPr="00BE3BC0">
              <w:t xml:space="preserve"> χρονική περίοδος είναι η ελάχιστη αναγκαία ώστε τα κράτη μέλη να διενεργούν ελέγχους με αποτελεσματικό τρόπο και να διερευνούν υποθέσεις εικαζόμενης απάτης στον τομέα του ΦΠΑ ή να εντοπίζουν περιπτώσεις απάτης στον τομέα του ΦΠΑ, και είναι αναλογική, αν ληφθεί υπόψη ο τεράστιος όγκος των πληροφοριών για τις πληρωμές και η ευαισθησία αυτών των πληροφοριών όσον αφορά την προστασία δεδομένων προσωπικού χαρακτήρα.</w:t>
            </w:r>
          </w:p>
        </w:tc>
        <w:tc>
          <w:tcPr>
            <w:tcW w:w="4876" w:type="dxa"/>
            <w:hideMark/>
          </w:tcPr>
          <w:p w:rsidR="003E2F06" w:rsidRPr="00BE3BC0" w:rsidRDefault="003E2F06" w:rsidP="00C06D60">
            <w:pPr>
              <w:pStyle w:val="Normal6"/>
              <w:rPr>
                <w:szCs w:val="24"/>
              </w:rPr>
            </w:pPr>
            <w:r w:rsidRPr="00BE3BC0">
              <w:t>(13)</w:t>
            </w:r>
            <w:r w:rsidRPr="00BE3BC0">
              <w:tab/>
              <w:t xml:space="preserve">Είναι αναγκαίο και αναλογικό οι πάροχοι υπηρεσιών πληρωμών να διατηρούν αρχεία με τις πληροφορίες για πράξεις πληρωμής για περίοδο </w:t>
            </w:r>
            <w:r w:rsidRPr="00BE3BC0">
              <w:rPr>
                <w:b/>
                <w:i/>
              </w:rPr>
              <w:t>τριών</w:t>
            </w:r>
            <w:r w:rsidRPr="00BE3BC0">
              <w:t xml:space="preserve"> ετών, ώστε να συνδράμουν τα κράτη μέλη στην καταπολέμηση της απάτης στον τομέα του ΦΠΑ του ηλεκτρονικού εμπορίου και τον εντοπισμό επιχειρήσεων που διαπράττουν απάτη. </w:t>
            </w:r>
            <w:r w:rsidRPr="00BE3BC0">
              <w:rPr>
                <w:b/>
                <w:i/>
              </w:rPr>
              <w:t>Η</w:t>
            </w:r>
            <w:r w:rsidRPr="00BE3BC0">
              <w:t xml:space="preserve"> </w:t>
            </w:r>
            <w:r w:rsidRPr="00BE3BC0">
              <w:rPr>
                <w:b/>
                <w:i/>
              </w:rPr>
              <w:t>εν λόγω</w:t>
            </w:r>
            <w:r w:rsidRPr="00BE3BC0">
              <w:t xml:space="preserve"> χρονική περίοδος είναι η ελάχιστη αναγκαία ώστε τα κράτη μέλη να διενεργούν ελέγχους με αποτελεσματικό τρόπο και να διερευνούν υποθέσεις εικαζόμενης απάτης στον τομέα του ΦΠΑ ή να εντοπίζουν περιπτώσεις απάτης στον τομέα του ΦΠΑ, και είναι αναλογική, αν ληφθεί υπόψη ο τεράστιος όγκος των πληροφοριών για τις πληρωμές και η ευαισθησία αυτών των πληροφοριών όσον αφορά την προστασία δεδομένων προσωπικού χαρακτήρα.</w:t>
            </w:r>
          </w:p>
        </w:tc>
      </w:tr>
    </w:tbl>
    <w:p w:rsidR="003E2F06" w:rsidRPr="00BE3BC0" w:rsidRDefault="003E2F06" w:rsidP="003E2F06">
      <w:pPr>
        <w:rPr>
          <w:szCs w:val="24"/>
        </w:rPr>
      </w:pPr>
    </w:p>
    <w:p w:rsidR="003E2F06" w:rsidRPr="00BE3BC0" w:rsidRDefault="003E2F06" w:rsidP="003E2F06">
      <w:pPr>
        <w:pStyle w:val="AMNumberTabs"/>
        <w:keepNext/>
      </w:pPr>
      <w:r w:rsidRPr="00BE3BC0">
        <w:t>Τροπολογία</w:t>
      </w:r>
      <w:r w:rsidRPr="00BE3BC0">
        <w:tab/>
      </w:r>
      <w:r w:rsidRPr="00BE3BC0">
        <w:tab/>
        <w:t>8</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Αιτιολογική σκέψη 14</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r w:rsidRPr="00BE3BC0">
              <w:t>(14)</w:t>
            </w:r>
            <w:r w:rsidRPr="00BE3BC0">
              <w:tab/>
              <w:t xml:space="preserve">Οι υπάλληλοι σύνδεσμοι του Eurofisc από κάθε κράτος μέλος θα πρέπει να έχουν δυνατότητα πρόσβασης στις πληροφορίες σχετικά με τις πράξεις </w:t>
            </w:r>
            <w:r w:rsidRPr="00BE3BC0">
              <w:lastRenderedPageBreak/>
              <w:t xml:space="preserve">πληρωμών και ανάλυσης των πληροφοριών αυτών, για τους σκοπούς της καταπολέμησης της απάτης στον τομέα του ΦΠΑ. Δεόντως διαπιστευμένα πρόσωπα από την Επιτροπή θα πρέπει να έχουν πρόσβαση στις πληροφορίες </w:t>
            </w:r>
            <w:r w:rsidRPr="00BE3BC0">
              <w:rPr>
                <w:b/>
                <w:i/>
              </w:rPr>
              <w:t>μόνο</w:t>
            </w:r>
            <w:r w:rsidRPr="00BE3BC0">
              <w:rPr>
                <w:b/>
              </w:rPr>
              <w:t xml:space="preserve"> </w:t>
            </w:r>
            <w:r w:rsidRPr="00BE3BC0">
              <w:t>για τους σκοπούς της ανάπτυξης και συντήρησης του κεντρικού ηλεκτρονικού συστήματος πληροφοριών. Και οι δύο ομάδες χρηστών θα πρέπει να δεσμεύονται από τους κανόνες εμπιστευτικότητας που προβλέπονται στον εν λόγω κανονισμό.</w:t>
            </w:r>
          </w:p>
        </w:tc>
        <w:tc>
          <w:tcPr>
            <w:tcW w:w="4876" w:type="dxa"/>
          </w:tcPr>
          <w:p w:rsidR="003E2F06" w:rsidRPr="00BE3BC0" w:rsidRDefault="003E2F06" w:rsidP="00855231">
            <w:pPr>
              <w:pStyle w:val="Normal6a"/>
            </w:pPr>
            <w:r w:rsidRPr="00BE3BC0">
              <w:lastRenderedPageBreak/>
              <w:t>(14)</w:t>
            </w:r>
            <w:r w:rsidRPr="00BE3BC0">
              <w:tab/>
              <w:t xml:space="preserve">Οι υπάλληλοι σύνδεσμοι του Eurofisc από κάθε κράτος μέλος θα πρέπει να έχουν δυνατότητα πρόσβασης στις πληροφορίες σχετικά με τις πράξεις </w:t>
            </w:r>
            <w:r w:rsidRPr="00BE3BC0">
              <w:lastRenderedPageBreak/>
              <w:t>πληρωμών και ανάλυσης των πληροφοριών αυτών, για τους σκοπούς της καταπολέμησης της απάτης στον τομέα του ΦΠΑ. Δεόντως διαπιστευμένα πρόσωπα από την Επιτροπή θα πρέπει να έχουν πρόσβαση στις πληροφορίες για τους σκοπούς της ανάπτυξης και συντήρησης του κεντρικού ηλεκτρονικού συστήματος πληροφοριών</w:t>
            </w:r>
            <w:r w:rsidRPr="00BE3BC0">
              <w:rPr>
                <w:b/>
                <w:i/>
              </w:rPr>
              <w:t xml:space="preserve">, καθώς και για τη διασφάλιση της ορθής εφαρμογής του </w:t>
            </w:r>
            <w:r w:rsidR="00855231" w:rsidRPr="00BE3BC0">
              <w:rPr>
                <w:b/>
                <w:i/>
              </w:rPr>
              <w:t xml:space="preserve">παρόντος </w:t>
            </w:r>
            <w:r w:rsidRPr="00BE3BC0">
              <w:rPr>
                <w:b/>
                <w:i/>
              </w:rPr>
              <w:t>κανονισμού</w:t>
            </w:r>
            <w:r w:rsidRPr="00BE3BC0">
              <w:t xml:space="preserve">. Και οι δύο ομάδες χρηστών θα πρέπει να δεσμεύονται από τους κανόνες εμπιστευτικότητας που προβλέπονται στον εν λόγω κανονισμό. </w:t>
            </w:r>
            <w:r w:rsidRPr="00BE3BC0">
              <w:rPr>
                <w:b/>
                <w:i/>
              </w:rPr>
              <w:t>Επιπλέον, η Επιτροπή θα πρέπει να μπορεί να προβαίνει σε επισκέψεις στα κράτη μέλη, για να αξιολογεί τον τρόπο λειτουργίας των ρυθμίσεων διοικητικής συνεργασίας.</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9</w:t>
      </w:r>
    </w:p>
    <w:p w:rsidR="003E2F06" w:rsidRPr="00BE3BC0" w:rsidRDefault="003E2F06" w:rsidP="003E2F06">
      <w:pPr>
        <w:pStyle w:val="NormalBold12b"/>
        <w:keepNext/>
      </w:pPr>
      <w:r w:rsidRPr="00BE3BC0">
        <w:t>Πρόταση κανονισμού</w:t>
      </w:r>
    </w:p>
    <w:p w:rsidR="003E2F06" w:rsidRPr="00BE3BC0" w:rsidRDefault="003E2F06" w:rsidP="003E2F06">
      <w:pPr>
        <w:pStyle w:val="NormalBold"/>
      </w:pPr>
      <w:r w:rsidRPr="00BE3BC0">
        <w:t>Αιτιολογική σκέψη 14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jc w:val="center"/>
        </w:trPr>
        <w:tc>
          <w:tcPr>
            <w:tcW w:w="9752" w:type="dxa"/>
            <w:gridSpan w:val="2"/>
          </w:tcPr>
          <w:p w:rsidR="003E2F06" w:rsidRPr="00BE3BC0" w:rsidRDefault="003E2F06" w:rsidP="00C06D60">
            <w:pPr>
              <w:keepNext/>
            </w:pPr>
          </w:p>
        </w:tc>
      </w:tr>
      <w:tr w:rsidR="003E2F06" w:rsidRPr="00BE3BC0" w:rsidTr="00C06D60">
        <w:trPr>
          <w:jc w:val="center"/>
        </w:trPr>
        <w:tc>
          <w:tcPr>
            <w:tcW w:w="4876" w:type="dxa"/>
            <w:hideMark/>
          </w:tcPr>
          <w:p w:rsidR="003E2F06" w:rsidRPr="00BE3BC0" w:rsidRDefault="003E2F06" w:rsidP="00C06D60">
            <w:pPr>
              <w:pStyle w:val="ColumnHeading"/>
              <w:keepNext/>
            </w:pPr>
            <w:r w:rsidRPr="00BE3BC0">
              <w:t>Κείμενο που προτείνει η Επιτροπή</w:t>
            </w:r>
          </w:p>
        </w:tc>
        <w:tc>
          <w:tcPr>
            <w:tcW w:w="4876" w:type="dxa"/>
            <w:hideMark/>
          </w:tcPr>
          <w:p w:rsidR="003E2F06" w:rsidRPr="00BE3BC0" w:rsidRDefault="003E2F06" w:rsidP="00C06D60">
            <w:pPr>
              <w:pStyle w:val="ColumnHeading"/>
              <w:keepNext/>
            </w:pPr>
            <w:r w:rsidRPr="00BE3BC0">
              <w:t>Τροπολογία</w:t>
            </w:r>
          </w:p>
        </w:tc>
      </w:tr>
      <w:tr w:rsidR="003E2F06" w:rsidRPr="00BE3BC0" w:rsidTr="00C06D60">
        <w:trPr>
          <w:jc w:val="center"/>
        </w:trPr>
        <w:tc>
          <w:tcPr>
            <w:tcW w:w="4876" w:type="dxa"/>
          </w:tcPr>
          <w:p w:rsidR="003E2F06" w:rsidRPr="00BE3BC0" w:rsidRDefault="003E2F06" w:rsidP="00C06D60">
            <w:pPr>
              <w:pStyle w:val="Normal6"/>
            </w:pPr>
          </w:p>
        </w:tc>
        <w:tc>
          <w:tcPr>
            <w:tcW w:w="4876" w:type="dxa"/>
            <w:hideMark/>
          </w:tcPr>
          <w:p w:rsidR="003E2F06" w:rsidRPr="00BE3BC0" w:rsidRDefault="003E2F06" w:rsidP="00C06D60">
            <w:pPr>
              <w:pStyle w:val="Normal6"/>
              <w:rPr>
                <w:szCs w:val="24"/>
              </w:rPr>
            </w:pPr>
            <w:r w:rsidRPr="00BE3BC0">
              <w:rPr>
                <w:b/>
                <w:i/>
              </w:rPr>
              <w:t>(14α)</w:t>
            </w:r>
            <w:r w:rsidRPr="00BE3BC0">
              <w:rPr>
                <w:b/>
                <w:i/>
              </w:rPr>
              <w:tab/>
              <w:t>Η διαχείριση του CESOP καθώς και η ανάλυση κρίσιμων πληροφοριών αποτελούν επιπλέον καθήκοντα για το Eurofisc. Η ετήσια έκθεση του Eurofisc θα πρέπει να εξετάζει κατά πόσον οι πόροι που διατίθενται στο Eurofisc είναι κατάλληλοι και επαρκείς για τη βελτίωση της συνεργασίας μεταξύ των κρατών μελών και την αποτελεσματική καταπολέμηση της απάτης στον τομέα του ΦΠΑ.</w:t>
            </w:r>
          </w:p>
        </w:tc>
      </w:tr>
    </w:tbl>
    <w:p w:rsidR="003E2F06" w:rsidRPr="00BE3BC0" w:rsidRDefault="003E2F06" w:rsidP="003E2F06">
      <w:pPr>
        <w:rPr>
          <w:szCs w:val="24"/>
        </w:rPr>
      </w:pPr>
    </w:p>
    <w:p w:rsidR="003E2F06" w:rsidRPr="00BE3BC0" w:rsidRDefault="003E2F06" w:rsidP="003E2F06">
      <w:pPr>
        <w:pStyle w:val="AMNumberTabs"/>
        <w:keepNext/>
      </w:pPr>
      <w:r w:rsidRPr="00BE3BC0">
        <w:t>Τροπολογία</w:t>
      </w:r>
      <w:r w:rsidRPr="00BE3BC0">
        <w:tab/>
      </w:r>
      <w:r w:rsidRPr="00BE3BC0">
        <w:tab/>
        <w:t>10</w:t>
      </w:r>
    </w:p>
    <w:p w:rsidR="003E2F06" w:rsidRPr="00BE3BC0" w:rsidRDefault="003E2F06" w:rsidP="003E2F06">
      <w:pPr>
        <w:pStyle w:val="NormalBold12b"/>
        <w:keepNext/>
      </w:pPr>
      <w:r w:rsidRPr="00BE3BC0">
        <w:t>Πρόταση κανονισμού</w:t>
      </w:r>
    </w:p>
    <w:p w:rsidR="003E2F06" w:rsidRPr="00BE3BC0" w:rsidRDefault="003E2F06" w:rsidP="003E2F06">
      <w:pPr>
        <w:pStyle w:val="NormalBold"/>
      </w:pPr>
      <w:r w:rsidRPr="00BE3BC0">
        <w:t>Αιτιολογική σκέψη 18</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jc w:val="center"/>
        </w:trPr>
        <w:tc>
          <w:tcPr>
            <w:tcW w:w="9752" w:type="dxa"/>
            <w:gridSpan w:val="2"/>
          </w:tcPr>
          <w:p w:rsidR="003E2F06" w:rsidRPr="00BE3BC0" w:rsidRDefault="003E2F06" w:rsidP="00C06D60">
            <w:pPr>
              <w:keepNext/>
            </w:pPr>
          </w:p>
        </w:tc>
      </w:tr>
      <w:tr w:rsidR="003E2F06" w:rsidRPr="00BE3BC0" w:rsidTr="00C06D60">
        <w:trPr>
          <w:jc w:val="center"/>
        </w:trPr>
        <w:tc>
          <w:tcPr>
            <w:tcW w:w="4876" w:type="dxa"/>
            <w:hideMark/>
          </w:tcPr>
          <w:p w:rsidR="003E2F06" w:rsidRPr="00BE3BC0" w:rsidRDefault="003E2F06" w:rsidP="00C06D60">
            <w:pPr>
              <w:pStyle w:val="ColumnHeading"/>
              <w:keepNext/>
            </w:pPr>
            <w:r w:rsidRPr="00BE3BC0">
              <w:t>Κείμενο που προτείνει η Επιτροπή</w:t>
            </w:r>
          </w:p>
        </w:tc>
        <w:tc>
          <w:tcPr>
            <w:tcW w:w="4876" w:type="dxa"/>
            <w:hideMark/>
          </w:tcPr>
          <w:p w:rsidR="003E2F06" w:rsidRPr="00BE3BC0" w:rsidRDefault="003E2F06" w:rsidP="00C06D60">
            <w:pPr>
              <w:pStyle w:val="ColumnHeading"/>
              <w:keepNext/>
            </w:pPr>
            <w:r w:rsidRPr="00BE3BC0">
              <w:t>Τροπολογία</w:t>
            </w:r>
          </w:p>
        </w:tc>
      </w:tr>
      <w:tr w:rsidR="003E2F06" w:rsidRPr="00BE3BC0" w:rsidTr="00C06D60">
        <w:trPr>
          <w:jc w:val="center"/>
        </w:trPr>
        <w:tc>
          <w:tcPr>
            <w:tcW w:w="4876" w:type="dxa"/>
            <w:hideMark/>
          </w:tcPr>
          <w:p w:rsidR="003E2F06" w:rsidRPr="00BE3BC0" w:rsidRDefault="003E2F06" w:rsidP="00C06D60">
            <w:pPr>
              <w:pStyle w:val="Normal6"/>
            </w:pPr>
            <w:r w:rsidRPr="00BE3BC0">
              <w:t>(18)</w:t>
            </w:r>
            <w:r w:rsidRPr="00BE3BC0">
              <w:tab/>
              <w:t xml:space="preserve">Ζητήθηκε η γνώμη του Ευρωπαίου </w:t>
            </w:r>
            <w:r w:rsidRPr="00BE3BC0">
              <w:lastRenderedPageBreak/>
              <w:t>Επόπτη Προστασίας Δεδομένων σύμφωνα με το άρθρο 42 παράγραφος 1 του κανονισμού (ΕΕ) 2018/1725 του Ευρωπαϊκού Κοινοβουλίου και του Συμβουλίου, ο οποίος γνωμοδότησε στις…</w:t>
            </w:r>
            <w:r w:rsidRPr="00BE3BC0">
              <w:rPr>
                <w:vertAlign w:val="superscript"/>
              </w:rPr>
              <w:t>17</w:t>
            </w:r>
            <w:r w:rsidRPr="00BE3BC0">
              <w:t>.</w:t>
            </w:r>
          </w:p>
        </w:tc>
        <w:tc>
          <w:tcPr>
            <w:tcW w:w="4876" w:type="dxa"/>
            <w:hideMark/>
          </w:tcPr>
          <w:p w:rsidR="003E2F06" w:rsidRPr="00BE3BC0" w:rsidRDefault="003E2F06" w:rsidP="00C06D60">
            <w:pPr>
              <w:pStyle w:val="Normal6"/>
              <w:rPr>
                <w:szCs w:val="24"/>
              </w:rPr>
            </w:pPr>
            <w:r w:rsidRPr="00BE3BC0">
              <w:lastRenderedPageBreak/>
              <w:t>(18)</w:t>
            </w:r>
            <w:r w:rsidRPr="00BE3BC0">
              <w:tab/>
              <w:t xml:space="preserve">Ζητήθηκε η γνώμη του Ευρωπαίου </w:t>
            </w:r>
            <w:r w:rsidRPr="00BE3BC0">
              <w:lastRenderedPageBreak/>
              <w:t xml:space="preserve">Επόπτη Προστασίας Δεδομένων </w:t>
            </w:r>
            <w:r w:rsidRPr="00BE3BC0">
              <w:rPr>
                <w:b/>
                <w:i/>
              </w:rPr>
              <w:t>(ΕΕΠΔ)</w:t>
            </w:r>
            <w:r w:rsidRPr="00BE3BC0">
              <w:rPr>
                <w:b/>
              </w:rPr>
              <w:t xml:space="preserve"> </w:t>
            </w:r>
            <w:r w:rsidRPr="00BE3BC0">
              <w:t>σύμφωνα με το άρθρο 42 παράγραφος 1 του κανονισμού (ΕΕ) 2018/1725 του Ευρωπαϊκού Κοινοβουλίου και του Συμβουλίου, ο οποίος γνωμοδότησε στις…</w:t>
            </w:r>
            <w:r w:rsidRPr="00BE3BC0">
              <w:rPr>
                <w:vertAlign w:val="superscript"/>
              </w:rPr>
              <w:t>17</w:t>
            </w:r>
            <w:r w:rsidRPr="00BE3BC0">
              <w:t>.</w:t>
            </w:r>
            <w:r w:rsidRPr="00BE3BC0">
              <w:rPr>
                <w:b/>
                <w:i/>
              </w:rPr>
              <w:t xml:space="preserve"> Δεδομένου ότι η προστασία των δεδομένων προσωπικού χαρακτήρα αποτελεί θεμελιώδη αξία της Ένωσης, θα πρέπει να ζητείται η γνώμη του ΕΕΠΔ για κάθε μέτρο που πρόκειται να ληφθεί δυνάμει του άρθρου 24ε του κανονισμού (ΕΕ) αριθ. 904/2010, όπως τροποποιείται από τον παρόντα κανονισμό.</w:t>
            </w:r>
          </w:p>
        </w:tc>
      </w:tr>
      <w:tr w:rsidR="003E2F06" w:rsidRPr="00BE3BC0" w:rsidTr="00C06D60">
        <w:trPr>
          <w:jc w:val="center"/>
        </w:trPr>
        <w:tc>
          <w:tcPr>
            <w:tcW w:w="4876" w:type="dxa"/>
            <w:hideMark/>
          </w:tcPr>
          <w:p w:rsidR="003E2F06" w:rsidRPr="00BE3BC0" w:rsidRDefault="003E2F06" w:rsidP="00C06D60">
            <w:pPr>
              <w:pStyle w:val="Normal6"/>
            </w:pPr>
            <w:r w:rsidRPr="00BE3BC0">
              <w:lastRenderedPageBreak/>
              <w:t>__________________</w:t>
            </w:r>
          </w:p>
        </w:tc>
        <w:tc>
          <w:tcPr>
            <w:tcW w:w="4876" w:type="dxa"/>
            <w:hideMark/>
          </w:tcPr>
          <w:p w:rsidR="003E2F06" w:rsidRPr="00BE3BC0" w:rsidRDefault="003E2F06" w:rsidP="00C06D60">
            <w:pPr>
              <w:pStyle w:val="Normal6"/>
              <w:rPr>
                <w:szCs w:val="24"/>
              </w:rPr>
            </w:pPr>
            <w:r w:rsidRPr="00BE3BC0">
              <w:t>__________________</w:t>
            </w:r>
          </w:p>
        </w:tc>
      </w:tr>
      <w:tr w:rsidR="003E2F06" w:rsidRPr="00BE3BC0" w:rsidTr="00C06D60">
        <w:trPr>
          <w:jc w:val="center"/>
        </w:trPr>
        <w:tc>
          <w:tcPr>
            <w:tcW w:w="4876" w:type="dxa"/>
            <w:hideMark/>
          </w:tcPr>
          <w:p w:rsidR="003E2F06" w:rsidRPr="00BE3BC0" w:rsidRDefault="003E2F06" w:rsidP="00C06D60">
            <w:pPr>
              <w:pStyle w:val="Normal6"/>
            </w:pPr>
            <w:r w:rsidRPr="00BE3BC0">
              <w:rPr>
                <w:vertAlign w:val="superscript"/>
              </w:rPr>
              <w:t>17</w:t>
            </w:r>
            <w:r w:rsidRPr="00BE3BC0">
              <w:t xml:space="preserve"> ΕΕ C […] της […], σ. […].</w:t>
            </w:r>
          </w:p>
        </w:tc>
        <w:tc>
          <w:tcPr>
            <w:tcW w:w="4876" w:type="dxa"/>
            <w:hideMark/>
          </w:tcPr>
          <w:p w:rsidR="003E2F06" w:rsidRPr="00BE3BC0" w:rsidRDefault="003E2F06" w:rsidP="00C06D60">
            <w:pPr>
              <w:pStyle w:val="Normal6"/>
              <w:rPr>
                <w:szCs w:val="24"/>
              </w:rPr>
            </w:pPr>
            <w:r w:rsidRPr="00BE3BC0">
              <w:rPr>
                <w:vertAlign w:val="superscript"/>
              </w:rPr>
              <w:t>17</w:t>
            </w:r>
            <w:r w:rsidRPr="00BE3BC0">
              <w:t xml:space="preserve"> ΕΕ C […] της […], σ. […].</w:t>
            </w:r>
          </w:p>
        </w:tc>
      </w:tr>
    </w:tbl>
    <w:p w:rsidR="003E2F06" w:rsidRPr="00BE3BC0" w:rsidRDefault="003E2F06" w:rsidP="003E2F06">
      <w:pPr>
        <w:rPr>
          <w:szCs w:val="24"/>
        </w:rPr>
      </w:pPr>
    </w:p>
    <w:p w:rsidR="003E2F06" w:rsidRPr="00BE3BC0" w:rsidRDefault="003E2F06" w:rsidP="003E2F06">
      <w:pPr>
        <w:pStyle w:val="AMNumberTabs"/>
        <w:keepNext/>
      </w:pPr>
      <w:r w:rsidRPr="00BE3BC0">
        <w:t>Τροπολογία</w:t>
      </w:r>
      <w:r w:rsidRPr="00BE3BC0">
        <w:tab/>
      </w:r>
      <w:r w:rsidRPr="00BE3BC0">
        <w:tab/>
        <w:t>11</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Άρθρο 1 – παράγραφος 1 – σημείο 1 α (νέο)</w:t>
      </w:r>
    </w:p>
    <w:p w:rsidR="003E2F06" w:rsidRPr="00BE3BC0" w:rsidRDefault="003E2F06" w:rsidP="003E2F06">
      <w:r w:rsidRPr="00BE3BC0">
        <w:t>Κανονισμός (ΕΕ) αριθ. 904/2010</w:t>
      </w:r>
    </w:p>
    <w:p w:rsidR="003E2F06" w:rsidRPr="00BE3BC0" w:rsidRDefault="003E2F06" w:rsidP="003E2F06">
      <w:r w:rsidRPr="00BE3BC0">
        <w:t>Κεφάλαιο II – Τμήμα 2 – Άρθρο 12α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(1α)</w:t>
            </w:r>
            <w:r w:rsidRPr="00BE3BC0">
              <w:tab/>
            </w:r>
            <w:r w:rsidRPr="00BE3BC0">
              <w:rPr>
                <w:b/>
                <w:i/>
              </w:rPr>
              <w:t>Στο τμήμα 2 του ΚΕΦΑΛΑΙΟΥ ΙΙ, προστίθεται το ακόλουθο άρθρο:</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«Άρθρο 12α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Όλα τα κράτη μέλη καλούνται να λάβουν μέτρα για τη μείωση του ποσοστού των καθυστερημένων απαντήσεων και τη βελτίωση της ποιότητας των αιτήσεων για παροχή πληροφοριών. Τα κράτη μέλη ενημερώνουν την Επιτροπή σχετικά με τα μέτρα αυτά.»</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12</w:t>
      </w:r>
    </w:p>
    <w:p w:rsidR="003E2F06" w:rsidRPr="00BE3BC0" w:rsidRDefault="003E2F06" w:rsidP="003E2F06">
      <w:pPr>
        <w:pStyle w:val="NormalBold12b"/>
        <w:keepNext/>
      </w:pPr>
      <w:r w:rsidRPr="00BE3BC0">
        <w:t>Πρόταση κανονισμού</w:t>
      </w:r>
    </w:p>
    <w:p w:rsidR="003E2F06" w:rsidRPr="00BE3BC0" w:rsidRDefault="003E2F06" w:rsidP="003E2F06">
      <w:pPr>
        <w:pStyle w:val="NormalBold"/>
      </w:pPr>
      <w:r w:rsidRPr="00BE3BC0">
        <w:t>Άρθρο 1 – παράγραφος 1 – σημείο 2 – στοιχείο δ</w:t>
      </w:r>
    </w:p>
    <w:p w:rsidR="003E2F06" w:rsidRPr="00BE3BC0" w:rsidRDefault="003E2F06" w:rsidP="003E2F06">
      <w:pPr>
        <w:keepNext/>
      </w:pPr>
      <w:r w:rsidRPr="00BE3BC0">
        <w:t>Κανονισμός (ΕΕ) αριθ. 904/2010</w:t>
      </w:r>
    </w:p>
    <w:p w:rsidR="003E2F06" w:rsidRPr="00BE3BC0" w:rsidRDefault="003E2F06" w:rsidP="003E2F06">
      <w:r w:rsidRPr="00BE3BC0">
        <w:t>Άρθρο 24γ – παράγραφος 2</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jc w:val="center"/>
        </w:trPr>
        <w:tc>
          <w:tcPr>
            <w:tcW w:w="9752" w:type="dxa"/>
            <w:gridSpan w:val="2"/>
          </w:tcPr>
          <w:p w:rsidR="003E2F06" w:rsidRPr="00BE3BC0" w:rsidRDefault="003E2F06" w:rsidP="00C06D60">
            <w:pPr>
              <w:keepNext/>
            </w:pPr>
          </w:p>
        </w:tc>
      </w:tr>
      <w:tr w:rsidR="003E2F06" w:rsidRPr="00BE3BC0" w:rsidTr="00C06D60">
        <w:trPr>
          <w:jc w:val="center"/>
        </w:trPr>
        <w:tc>
          <w:tcPr>
            <w:tcW w:w="4876" w:type="dxa"/>
            <w:hideMark/>
          </w:tcPr>
          <w:p w:rsidR="003E2F06" w:rsidRPr="00BE3BC0" w:rsidRDefault="003E2F06" w:rsidP="00C06D60">
            <w:pPr>
              <w:pStyle w:val="ColumnHeading"/>
              <w:keepNext/>
            </w:pPr>
            <w:r w:rsidRPr="00BE3BC0">
              <w:t>Κείμενο που προτείνει η Επιτροπή</w:t>
            </w:r>
          </w:p>
        </w:tc>
        <w:tc>
          <w:tcPr>
            <w:tcW w:w="4876" w:type="dxa"/>
            <w:hideMark/>
          </w:tcPr>
          <w:p w:rsidR="003E2F06" w:rsidRPr="00BE3BC0" w:rsidRDefault="003E2F06" w:rsidP="00C06D60">
            <w:pPr>
              <w:pStyle w:val="ColumnHeading"/>
              <w:keepNext/>
            </w:pPr>
            <w:r w:rsidRPr="00BE3BC0">
              <w:t>Τροπολογία</w:t>
            </w:r>
          </w:p>
        </w:tc>
      </w:tr>
      <w:tr w:rsidR="003E2F06" w:rsidRPr="00BE3BC0" w:rsidTr="00C06D60">
        <w:trPr>
          <w:jc w:val="center"/>
        </w:trPr>
        <w:tc>
          <w:tcPr>
            <w:tcW w:w="4876" w:type="dxa"/>
            <w:hideMark/>
          </w:tcPr>
          <w:p w:rsidR="003E2F06" w:rsidRPr="00BE3BC0" w:rsidRDefault="003E2F06" w:rsidP="00C06D60">
            <w:pPr>
              <w:pStyle w:val="Normal6"/>
            </w:pPr>
            <w:r w:rsidRPr="00BE3BC0">
              <w:t>2.</w:t>
            </w:r>
            <w:r w:rsidRPr="00BE3BC0">
              <w:tab/>
              <w:t xml:space="preserve">Το CESOP διατηρεί τις πληροφορίες </w:t>
            </w:r>
            <w:r w:rsidRPr="00BE3BC0">
              <w:lastRenderedPageBreak/>
              <w:t xml:space="preserve">που αναφέρονται στην παράγραφο 1 στοιχεία α) </w:t>
            </w:r>
            <w:r w:rsidRPr="00BE3BC0">
              <w:rPr>
                <w:b/>
                <w:i/>
              </w:rPr>
              <w:t>και β)</w:t>
            </w:r>
            <w:r w:rsidRPr="00BE3BC0">
              <w:t xml:space="preserve"> για περίοδο </w:t>
            </w:r>
            <w:r w:rsidRPr="00BE3BC0">
              <w:rPr>
                <w:b/>
                <w:i/>
              </w:rPr>
              <w:t>δύο</w:t>
            </w:r>
            <w:r w:rsidRPr="00BE3BC0">
              <w:t xml:space="preserve"> ετών, κατ’ ανώτατο όριο, από την παρέλευση του έτους κατά το οποίο οι πληροφορίες διαβιβάστηκαν στο σύστημα.</w:t>
            </w:r>
          </w:p>
        </w:tc>
        <w:tc>
          <w:tcPr>
            <w:tcW w:w="4876" w:type="dxa"/>
            <w:hideMark/>
          </w:tcPr>
          <w:p w:rsidR="003E2F06" w:rsidRPr="00BE3BC0" w:rsidRDefault="003E2F06" w:rsidP="00C06D60">
            <w:pPr>
              <w:pStyle w:val="Normal6"/>
              <w:rPr>
                <w:szCs w:val="24"/>
              </w:rPr>
            </w:pPr>
            <w:r w:rsidRPr="00BE3BC0">
              <w:lastRenderedPageBreak/>
              <w:t>2.</w:t>
            </w:r>
            <w:r w:rsidRPr="00BE3BC0">
              <w:tab/>
              <w:t xml:space="preserve">Το CESOP διατηρεί τις πληροφορίες </w:t>
            </w:r>
            <w:r w:rsidRPr="00BE3BC0">
              <w:lastRenderedPageBreak/>
              <w:t xml:space="preserve">που αναφέρονται στην παράγραφο 1 στοιχεία α) </w:t>
            </w:r>
            <w:r w:rsidRPr="00BE3BC0">
              <w:rPr>
                <w:b/>
                <w:i/>
              </w:rPr>
              <w:t>έως γ)</w:t>
            </w:r>
            <w:r w:rsidRPr="00BE3BC0">
              <w:t xml:space="preserve"> για περίοδο </w:t>
            </w:r>
            <w:r w:rsidRPr="00BE3BC0">
              <w:rPr>
                <w:b/>
                <w:i/>
              </w:rPr>
              <w:t>πέντε</w:t>
            </w:r>
            <w:r w:rsidRPr="00BE3BC0">
              <w:t xml:space="preserve"> ετών, κατ’ ανώτατο όριο, από την παρέλευση του έτους κατά το οποίο οι πληροφορίες διαβιβάστηκαν στο σύστημα.</w:t>
            </w:r>
          </w:p>
        </w:tc>
      </w:tr>
    </w:tbl>
    <w:p w:rsidR="003E2F06" w:rsidRPr="00BE3BC0" w:rsidRDefault="003E2F06" w:rsidP="003E2F06">
      <w:pPr>
        <w:pStyle w:val="AMNumberTabs"/>
        <w:keepNext/>
      </w:pPr>
      <w:r w:rsidRPr="00BE3BC0">
        <w:lastRenderedPageBreak/>
        <w:t>Τροπολογία</w:t>
      </w:r>
      <w:r w:rsidRPr="00BE3BC0">
        <w:tab/>
      </w:r>
      <w:r w:rsidRPr="00BE3BC0">
        <w:tab/>
        <w:t>13</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Άrθρο 1 – παράγραφος 1 – σημείο 2 – στοιχείο δ</w:t>
      </w:r>
    </w:p>
    <w:p w:rsidR="003E2F06" w:rsidRPr="00BE3BC0" w:rsidRDefault="003E2F06" w:rsidP="003E2F06">
      <w:r w:rsidRPr="00BE3BC0">
        <w:t>Κανονισμός (ΕΕ) αριθ. 904/2010</w:t>
      </w:r>
    </w:p>
    <w:p w:rsidR="003E2F06" w:rsidRPr="00BE3BC0" w:rsidRDefault="003E2F06" w:rsidP="003E2F06">
      <w:r w:rsidRPr="00BE3BC0">
        <w:t>Άρθρο 24δ – εδάφιο 2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Επιπλέον, η Επιτροπή θα πρέπει να μπορεί να διενεργεί επισκέψεις στα κράτη μέλη, για να αξιολογεί τον τρόπο λειτουργίας των ρυθμίσεων συνεργασίας μεταξύ των κρατών μελών όσον αφορά τη διασυνοριακή απάτη στον τομέα του ΦΠΑ.</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14</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Άρθρο 1 – παράγραφος 1 – σημείο 2 α (νέο)</w:t>
      </w:r>
    </w:p>
    <w:p w:rsidR="003E2F06" w:rsidRPr="00BE3BC0" w:rsidRDefault="003E2F06" w:rsidP="003E2F06">
      <w:r w:rsidRPr="00BE3BC0">
        <w:t>Κανονισμός (ΕΕ) αριθ. 904/2010</w:t>
      </w:r>
    </w:p>
    <w:p w:rsidR="003E2F06" w:rsidRPr="00BE3BC0" w:rsidRDefault="003E2F06" w:rsidP="003E2F06">
      <w:r w:rsidRPr="00BE3BC0">
        <w:t>Κεφάλαιο Χ – Άρθρο 36 – παράγραφος 2 – εισαγωγικό μέρος</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Ισχύον κείμενο</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2α)</w:t>
            </w:r>
            <w:r w:rsidRPr="00BE3BC0">
              <w:tab/>
            </w:r>
            <w:r w:rsidRPr="00BE3BC0">
              <w:rPr>
                <w:b/>
                <w:i/>
              </w:rPr>
              <w:t>Στο άρθρο 36 παράγραφος 2, το εισαγωγικό μέρος αντικαθίσταται από το ακόλουθο κείμενο:</w:t>
            </w:r>
          </w:p>
        </w:tc>
      </w:tr>
      <w:tr w:rsidR="003E2F06" w:rsidRPr="00BE3BC0" w:rsidTr="00C06D60">
        <w:trPr>
          <w:jc w:val="center"/>
        </w:trPr>
        <w:tc>
          <w:tcPr>
            <w:tcW w:w="4876" w:type="dxa"/>
          </w:tcPr>
          <w:p w:rsidR="003E2F06" w:rsidRPr="00BE3BC0" w:rsidRDefault="003E2F06" w:rsidP="00C06D60">
            <w:pPr>
              <w:pStyle w:val="Normal6a"/>
            </w:pPr>
            <w:r w:rsidRPr="00BE3BC0">
              <w:t>«2.</w:t>
            </w:r>
            <w:r w:rsidRPr="00BE3BC0">
              <w:tab/>
              <w:t xml:space="preserve">Οι υπάλληλοι σύνδεσμοι των κρατών μελών τα οποία συμμετέχουν </w:t>
            </w:r>
            <w:r w:rsidRPr="00BE3BC0">
              <w:rPr>
                <w:b/>
                <w:i/>
              </w:rPr>
              <w:t>σε συγκεκριμένο</w:t>
            </w:r>
            <w:r w:rsidRPr="00BE3BC0">
              <w:t xml:space="preserve"> τομέα εργασίας του Eurofisc (στο εξής «συμμετέχοντες υπάλληλοι σύνδεσμοι του Eurofisc») ορίζουν συντονιστή (στο εξής «συντονιστής του τομέα εργασίας του Eurofisc»), μεταξύ των συμμετεχόντων υπαλλήλων συνδέσμων του Eurofisc, για περιορισμένο χρονικό διάστημα. Οι συντονιστές του τομέα εργασίας του Eurofisc:»</w:t>
            </w:r>
          </w:p>
        </w:tc>
        <w:tc>
          <w:tcPr>
            <w:tcW w:w="4876" w:type="dxa"/>
          </w:tcPr>
          <w:p w:rsidR="003E2F06" w:rsidRPr="00BE3BC0" w:rsidRDefault="003E2F06" w:rsidP="00C06D60">
            <w:pPr>
              <w:pStyle w:val="Normal6a"/>
            </w:pPr>
            <w:r w:rsidRPr="00BE3BC0">
              <w:t>«2.</w:t>
            </w:r>
            <w:r w:rsidRPr="00BE3BC0">
              <w:tab/>
              <w:t xml:space="preserve">Οι υπάλληλοι σύνδεσμοι των κρατών μελών τα οποία συμμετέχουν </w:t>
            </w:r>
            <w:r w:rsidRPr="00BE3BC0">
              <w:rPr>
                <w:b/>
                <w:i/>
              </w:rPr>
              <w:t>στον οικείο</w:t>
            </w:r>
            <w:r w:rsidRPr="00BE3BC0">
              <w:t xml:space="preserve"> τομέα εργασίας του Eurofisc (στο εξής «συμμετέχοντες υπάλληλοι σύνδεσμοι του Eurofisc») ορίζουν συντονιστή (στο εξής «συντονιστής του τομέα εργασίας του Eurofisc»), μεταξύ των συμμετεχόντων υπαλλήλων συνδέσμων του Eurofisc, για περιορισμένο χρονικό διάστημα. Οι συντονιστές του τομέα εργασίας του Eurofisc:»</w:t>
            </w:r>
          </w:p>
        </w:tc>
      </w:tr>
    </w:tbl>
    <w:p w:rsidR="003E2F06" w:rsidRPr="00BE3BC0" w:rsidRDefault="003E2F06" w:rsidP="003E2F06"/>
    <w:p w:rsidR="003E2F06" w:rsidRPr="00BE3BC0" w:rsidRDefault="003E2F06" w:rsidP="003E2F06">
      <w:pPr>
        <w:pStyle w:val="AMNumberTabs"/>
        <w:keepNext/>
      </w:pPr>
      <w:r w:rsidRPr="00BE3BC0">
        <w:t>Τροπολογία</w:t>
      </w:r>
      <w:r w:rsidRPr="00BE3BC0">
        <w:tab/>
      </w:r>
      <w:r w:rsidRPr="00BE3BC0">
        <w:tab/>
        <w:t>15</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Άρθρο 1 – παράγραφος 1 – σημείο 3</w:t>
      </w:r>
    </w:p>
    <w:p w:rsidR="003E2F06" w:rsidRPr="00BE3BC0" w:rsidRDefault="003E2F06" w:rsidP="003E2F06">
      <w:r w:rsidRPr="00BE3BC0">
        <w:t>Κανονισμός (ΕΕ) αριθ. 904/2010</w:t>
      </w:r>
    </w:p>
    <w:p w:rsidR="003E2F06" w:rsidRPr="00BE3BC0" w:rsidRDefault="003E2F06" w:rsidP="003E2F06">
      <w:r w:rsidRPr="00BE3BC0">
        <w:t>Άρθρο 37 – εδάφιο 1α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r w:rsidRPr="00BE3BC0">
              <w:t xml:space="preserve">Στην ετήσια έκθεση αναφέρεται τουλάχιστον λεπτομερώς για κάθε κράτος μέλος ο αριθμός των ελέγχων που διενεργήθηκαν </w:t>
            </w:r>
            <w:r w:rsidRPr="00BE3BC0">
              <w:rPr>
                <w:b/>
                <w:i/>
              </w:rPr>
              <w:t>και</w:t>
            </w:r>
            <w:r w:rsidRPr="00BE3BC0">
              <w:t xml:space="preserve"> ο επιπλέον ΦΠΑ που βεβαιώθηκε και εισπράχθηκε ως αποτέλεσμα των πληροφοριών που υποβλήθηκαν σε επεξεργασία σύμφωνα με το άρθρο 24δ.</w:t>
            </w:r>
          </w:p>
        </w:tc>
        <w:tc>
          <w:tcPr>
            <w:tcW w:w="4876" w:type="dxa"/>
          </w:tcPr>
          <w:p w:rsidR="003E2F06" w:rsidRPr="00BE3BC0" w:rsidRDefault="003E2F06" w:rsidP="00C06D60">
            <w:pPr>
              <w:pStyle w:val="Normal6a"/>
            </w:pPr>
            <w:r w:rsidRPr="00BE3BC0">
              <w:t>Στην ετήσια έκθεση αναφέρεται τουλάχιστον λεπτομερώς για κάθε κράτος μέλος</w:t>
            </w:r>
            <w:r w:rsidRPr="00BE3BC0">
              <w:rPr>
                <w:b/>
                <w:i/>
              </w:rPr>
              <w:t>:</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tab/>
              <w:t>o αριθμός των ελέγχων που διενεργήθηκαν</w:t>
            </w:r>
            <w:r w:rsidRPr="00BE3BC0">
              <w:rPr>
                <w:b/>
                <w:i/>
              </w:rPr>
              <w:t>·</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rPr>
                <w:b/>
                <w:i/>
              </w:rPr>
              <w:tab/>
              <w:t>ο αριθμός των υπαλλήλων που είναι εξουσιοδοτημένοι να βρίσκονται στα γραφεία των διοικητικών αρχών άλλου κράτους μέλους και ο αριθμός των υπαλλήλων που είναι παρόντες κατά τις διοικητικές έρευνες που διεξάγονται στο έδαφος του κράτους μέλους στο οποίο υποβάλλεται η αίτηση·</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rPr>
                <w:b/>
                <w:i/>
              </w:rPr>
              <w:tab/>
              <w:t>ο αριθμός των ελέγχων που διοργανώνονται ταυτόχρονα με ένα ή περισσότερα κράτη μέλη και ο αριθμός υπαλλήλων που συμμετέχουν στις συνεδριάσεις προεπιλογής για τους ταυτόχρονους ελέγχους·</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rPr>
                <w:b/>
                <w:i/>
              </w:rPr>
              <w:tab/>
              <w:t>ο αριθμός κοινών ομάδων ελέγχου στις οποίες έχει συμμετάσχει κάθε κράτος μέλος·</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rPr>
                <w:b/>
                <w:i/>
              </w:rPr>
              <w:tab/>
              <w:t>τα μέτρα που λαμβάνονται για την ενημέρωση των ελεγκτών σχετικά με τα μέσα τα οποία προβλέπονται στον παρόντα κανονισμό·</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rPr>
                <w:b/>
                <w:i/>
              </w:rPr>
              <w:tab/>
              <w:t xml:space="preserve">ο αριθμός των ειδικευμένων μελών του προσωπικού ανθρώπινων πόρων για τη διασφάλιση της παρουσίας στα διοικητικά γραφεία, καθώς και της συμμετοχής στις διοικητικές έρευνες και </w:t>
            </w:r>
            <w:r w:rsidRPr="00BE3BC0">
              <w:rPr>
                <w:b/>
                <w:i/>
              </w:rPr>
              <w:lastRenderedPageBreak/>
              <w:t>τους ταυτόχρονους ελέγχους (όπως αναφέρεται στα άρθρα 28 έως 30)·</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rPr>
                <w:b/>
                <w:i/>
              </w:rPr>
              <w:tab/>
              <w:t>ο αριθμός των μελών του προσωπικού που βρίσκονται στη μοναδική κεντρική υπηρεσία διασύνδεσης και σε άλλες υπηρεσίες διασύνδεσης που έχουν οριστεί, καθώς και τυχόν άλλοι αρμόδιοι υπάλληλοι που μπορούν να ανταλλάσσουν απευθείας πληροφορίες στο πλαίσιο του παρόντος κανονισμού (όπως αναφέρεται στο άρθρο 4), καθώς και ο τρόπος συλλογής και ανταλλαγής πληροφοριών μεταξύ αυτών των οργάνων· και</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w:t>
            </w:r>
            <w:r w:rsidRPr="00BE3BC0">
              <w:tab/>
              <w:t>ο επιπλέον ΦΠΑ που βεβαιώθηκε και εισπράχθηκε ως αποτέλεσμα των πληροφοριών που υποβλήθηκαν σε επεξεργασία σύμφωνα με το άρθρο 24δ.</w:t>
            </w:r>
          </w:p>
        </w:tc>
      </w:tr>
    </w:tbl>
    <w:p w:rsidR="003E2F06" w:rsidRPr="00BE3BC0" w:rsidRDefault="003E2F06" w:rsidP="003E2F06"/>
    <w:p w:rsidR="003E2F06" w:rsidRPr="00BE3BC0" w:rsidRDefault="003E2F06" w:rsidP="005A637F">
      <w:pPr>
        <w:pStyle w:val="AMNumberTabs"/>
        <w:keepNext/>
      </w:pPr>
      <w:r w:rsidRPr="00BE3BC0">
        <w:t>Τροπολογία</w:t>
      </w:r>
      <w:r w:rsidRPr="00BE3BC0">
        <w:tab/>
      </w:r>
      <w:r w:rsidRPr="00BE3BC0">
        <w:tab/>
        <w:t>16</w:t>
      </w:r>
    </w:p>
    <w:p w:rsidR="003E2F06" w:rsidRPr="00BE3BC0" w:rsidRDefault="003E2F06" w:rsidP="005A637F">
      <w:pPr>
        <w:pStyle w:val="NormalBold12b"/>
        <w:keepNext/>
      </w:pPr>
      <w:r w:rsidRPr="00BE3BC0">
        <w:t>Πρόταση κανονισμού</w:t>
      </w:r>
    </w:p>
    <w:p w:rsidR="003E2F06" w:rsidRPr="00BE3BC0" w:rsidRDefault="003E2F06" w:rsidP="003E2F06">
      <w:pPr>
        <w:pStyle w:val="NormalBold"/>
      </w:pPr>
      <w:r w:rsidRPr="00BE3BC0">
        <w:t>Άρθρο 1 – παράγραφος 1 – σημείο 3 α (νέο)</w:t>
      </w:r>
    </w:p>
    <w:p w:rsidR="003E2F06" w:rsidRPr="00BE3BC0" w:rsidRDefault="003E2F06" w:rsidP="003E2F06">
      <w:r w:rsidRPr="00BE3BC0">
        <w:t>Κανονισμός (ΕΕ) αριθ. 904/2010</w:t>
      </w:r>
    </w:p>
    <w:p w:rsidR="003E2F06" w:rsidRPr="00BE3BC0" w:rsidRDefault="003E2F06" w:rsidP="003E2F06">
      <w:r w:rsidRPr="00BE3BC0">
        <w:t>Κεφάλαιο XIII – Άρθρο 49 α (νέο)</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3α)</w:t>
            </w:r>
            <w:r w:rsidRPr="00BE3BC0">
              <w:tab/>
            </w:r>
            <w:r w:rsidRPr="00BE3BC0">
              <w:rPr>
                <w:b/>
                <w:i/>
              </w:rPr>
              <w:t>Στο κεφάλαιο XIII προστίθεται το ακόλουθο άρθρο:</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«Άρθρο 49α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Τα κράτη μέλη και η Επιτροπή θεσπίζουν κοινό σύστημα συλλογής στατιστικών στοιχείων για τις ενδοκοινοτικές απάτες στον τομέα του ΦΠΑ και δημοσιεύουν εθνικές εκτιμήσεις για τις απώλειες ΦΠΑ που οφείλονται σε αυτή την απάτη, καθώς και εκτιμήσεις για την Ένωση στο σύνολό της. Η Επιτροπή θεσπίζει, μέσω εκτελεστικών πράξεων, τις πρακτικές ρυθμίσεις για το εν λόγω στατιστικό σύστημα. Αυτές οι εκτελεστικές πράξεις εκδίδονται σύμφωνα με τη διαδικασία εξέτασης στην οποία αναφέρεται το άρθρο 58 παράγραφος 2.»</w:t>
            </w:r>
          </w:p>
        </w:tc>
      </w:tr>
    </w:tbl>
    <w:p w:rsidR="003E2F06" w:rsidRPr="00BE3BC0" w:rsidRDefault="003E2F06" w:rsidP="003E2F06"/>
    <w:p w:rsidR="003E2F06" w:rsidRPr="00BE3BC0" w:rsidRDefault="003E2F06" w:rsidP="003E2F06">
      <w:pPr>
        <w:pStyle w:val="AMNumberTabs"/>
        <w:keepNext/>
      </w:pPr>
      <w:r w:rsidRPr="00BE3BC0">
        <w:lastRenderedPageBreak/>
        <w:t>Τροπολογία</w:t>
      </w:r>
      <w:r w:rsidRPr="00BE3BC0">
        <w:tab/>
      </w:r>
      <w:r w:rsidRPr="00BE3BC0">
        <w:tab/>
        <w:t>17</w:t>
      </w:r>
    </w:p>
    <w:p w:rsidR="003E2F06" w:rsidRPr="00BE3BC0" w:rsidRDefault="003E2F06" w:rsidP="003E2F06">
      <w:pPr>
        <w:pStyle w:val="NormalBold12b"/>
      </w:pPr>
      <w:r w:rsidRPr="00BE3BC0">
        <w:t>Πρόταση κανονισμού</w:t>
      </w:r>
    </w:p>
    <w:p w:rsidR="003E2F06" w:rsidRPr="00BE3BC0" w:rsidRDefault="003E2F06" w:rsidP="003E2F06">
      <w:pPr>
        <w:pStyle w:val="NormalBold"/>
      </w:pPr>
      <w:r w:rsidRPr="00BE3BC0">
        <w:t>Άρθρο 1 – παράγραφος 1 – σημείο 3 α (νέο)</w:t>
      </w:r>
    </w:p>
    <w:p w:rsidR="003E2F06" w:rsidRPr="00BE3BC0" w:rsidRDefault="003E2F06" w:rsidP="003E2F06">
      <w:r w:rsidRPr="00BE3BC0">
        <w:t>Κανονισμός (ΕΕ) αριθ. 904/2010</w:t>
      </w:r>
    </w:p>
    <w:p w:rsidR="003E2F06" w:rsidRPr="00BE3BC0" w:rsidRDefault="003E2F06" w:rsidP="003E2F06">
      <w:r w:rsidRPr="00BE3BC0">
        <w:t>Κεφάλαιο XIV – άρθρο 50 – παράγραφος 1 α (νέα)</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E2F06" w:rsidRPr="00BE3BC0" w:rsidTr="00C06D60">
        <w:trPr>
          <w:trHeight w:hRule="exact" w:val="240"/>
          <w:jc w:val="center"/>
        </w:trPr>
        <w:tc>
          <w:tcPr>
            <w:tcW w:w="9752" w:type="dxa"/>
            <w:gridSpan w:val="2"/>
          </w:tcPr>
          <w:p w:rsidR="003E2F06" w:rsidRPr="00BE3BC0" w:rsidRDefault="003E2F06" w:rsidP="00C06D60"/>
        </w:tc>
      </w:tr>
      <w:tr w:rsidR="003E2F06" w:rsidRPr="00BE3BC0" w:rsidTr="00C06D60">
        <w:trPr>
          <w:trHeight w:val="240"/>
          <w:jc w:val="center"/>
        </w:trPr>
        <w:tc>
          <w:tcPr>
            <w:tcW w:w="4876" w:type="dxa"/>
          </w:tcPr>
          <w:p w:rsidR="003E2F06" w:rsidRPr="00BE3BC0" w:rsidRDefault="003E2F06" w:rsidP="00C06D60">
            <w:pPr>
              <w:pStyle w:val="AmColumnHeading"/>
            </w:pPr>
            <w:r w:rsidRPr="00BE3BC0">
              <w:t>Κείμενο που προτείνει η Επιτροπή</w:t>
            </w:r>
          </w:p>
        </w:tc>
        <w:tc>
          <w:tcPr>
            <w:tcW w:w="4876" w:type="dxa"/>
          </w:tcPr>
          <w:p w:rsidR="003E2F06" w:rsidRPr="00BE3BC0" w:rsidRDefault="003E2F06" w:rsidP="00C06D60">
            <w:pPr>
              <w:pStyle w:val="AmColumnHeading"/>
            </w:pPr>
            <w:r w:rsidRPr="00BE3BC0">
              <w:t>Τροπολογία</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3a)</w:t>
            </w:r>
            <w:r w:rsidRPr="00BE3BC0">
              <w:tab/>
            </w:r>
            <w:r w:rsidRPr="00BE3BC0">
              <w:rPr>
                <w:b/>
                <w:i/>
              </w:rPr>
              <w:t>Στο άρθρο 50 του ΚΕΦΑΛΑΙΟΥ XIV εισάγεται η ακόλουθη παράγραφος:</w:t>
            </w:r>
          </w:p>
        </w:tc>
      </w:tr>
      <w:tr w:rsidR="003E2F06" w:rsidRPr="00BE3BC0" w:rsidTr="00C06D60">
        <w:trPr>
          <w:jc w:val="center"/>
        </w:trPr>
        <w:tc>
          <w:tcPr>
            <w:tcW w:w="4876" w:type="dxa"/>
          </w:tcPr>
          <w:p w:rsidR="003E2F06" w:rsidRPr="00BE3BC0" w:rsidRDefault="003E2F06" w:rsidP="00C06D60">
            <w:pPr>
              <w:pStyle w:val="Normal6a"/>
            </w:pPr>
          </w:p>
        </w:tc>
        <w:tc>
          <w:tcPr>
            <w:tcW w:w="4876" w:type="dxa"/>
          </w:tcPr>
          <w:p w:rsidR="003E2F06" w:rsidRPr="00BE3BC0" w:rsidRDefault="003E2F06" w:rsidP="00C06D60">
            <w:pPr>
              <w:pStyle w:val="Normal6a"/>
            </w:pPr>
            <w:r w:rsidRPr="00BE3BC0">
              <w:rPr>
                <w:b/>
                <w:i/>
              </w:rPr>
              <w:t>«1α.</w:t>
            </w:r>
            <w:r w:rsidRPr="00BE3BC0">
              <w:rPr>
                <w:b/>
                <w:i/>
              </w:rPr>
              <w:tab/>
              <w:t>Όταν κράτος μέλος παρέχει ευρύτερη πληροφόρηση σε τρίτη χώρα πέρα από εκείνη που προβλέπεται στα κεφάλαια ΙΙ και ΙΙΙ του παρόντος κανονισμού, το εν λόγω κράτος μέλος δεν αρνείται να παράσχει τις πληροφορίες αυτές σε άλλο κράτος μέλος που ζητεί συνεργασία ή έχει συμφέρον να λάβει τις πληροφορίες.»</w:t>
            </w:r>
          </w:p>
        </w:tc>
      </w:tr>
    </w:tbl>
    <w:p w:rsidR="003E2F06" w:rsidRPr="00BE3BC0" w:rsidRDefault="003E2F06" w:rsidP="003E2F06">
      <w:pPr>
        <w:rPr>
          <w:szCs w:val="24"/>
        </w:rPr>
      </w:pPr>
    </w:p>
    <w:sectPr w:rsidR="003E2F06" w:rsidRPr="00BE3BC0" w:rsidSect="000A0F6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D0" w:rsidRPr="000A0F6B" w:rsidRDefault="002229D0">
      <w:r w:rsidRPr="000A0F6B">
        <w:separator/>
      </w:r>
    </w:p>
  </w:endnote>
  <w:endnote w:type="continuationSeparator" w:id="0">
    <w:p w:rsidR="002229D0" w:rsidRPr="000A0F6B" w:rsidRDefault="002229D0">
      <w:r w:rsidRPr="000A0F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C9" w:rsidRDefault="0040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Default="00064002" w:rsidP="00BE3BC0">
    <w:pPr>
      <w:pStyle w:val="Footer"/>
      <w:tabs>
        <w:tab w:val="clear" w:pos="4513"/>
        <w:tab w:val="clear" w:pos="9026"/>
        <w:tab w:val="right" w:pos="9184"/>
      </w:tabs>
    </w:pPr>
  </w:p>
  <w:p w:rsidR="00BE3BC0" w:rsidRDefault="00BE3BC0" w:rsidP="00BE3BC0">
    <w:pPr>
      <w:pStyle w:val="Footer"/>
      <w:pBdr>
        <w:top w:val="single" w:sz="2" w:space="1" w:color="000000"/>
      </w:pBdr>
      <w:tabs>
        <w:tab w:val="clear" w:pos="4513"/>
        <w:tab w:val="clear" w:pos="9026"/>
        <w:tab w:val="right" w:pos="9184"/>
      </w:tabs>
    </w:pPr>
    <w:r>
      <w:tab/>
    </w:r>
    <w:r w:rsidRPr="00BE3BC0">
      <w:rPr>
        <w:rStyle w:val="HideTWBExt"/>
      </w:rPr>
      <w:t>&lt;NuPE&gt;</w:t>
    </w:r>
    <w:r>
      <w:t>PE643.404</w:t>
    </w:r>
    <w:r w:rsidRPr="00BE3BC0">
      <w:rPr>
        <w:rStyle w:val="HideTWBExt"/>
      </w:rPr>
      <w:t>&lt;/NuPE&gt;</w:t>
    </w:r>
    <w:r>
      <w:t xml:space="preserve">/ </w:t>
    </w:r>
    <w:r>
      <w:fldChar w:fldCharType="begin"/>
    </w:r>
    <w:r>
      <w:instrText xml:space="preserve"> PAGE  \* MERGEFORMAT </w:instrText>
    </w:r>
    <w:r>
      <w:fldChar w:fldCharType="separate"/>
    </w:r>
    <w:r w:rsidR="004065C9">
      <w:rPr>
        <w:noProof/>
      </w:rPr>
      <w:t>2</w:t>
    </w:r>
    <w:r>
      <w:fldChar w:fldCharType="end"/>
    </w:r>
  </w:p>
  <w:p w:rsidR="00BE3BC0" w:rsidRPr="00BE3BC0" w:rsidRDefault="00BE3BC0" w:rsidP="00BE3BC0">
    <w:pPr>
      <w:pStyle w:val="Footer"/>
      <w:pBdr>
        <w:top w:val="single" w:sz="2" w:space="1" w:color="000000"/>
      </w:pBdr>
      <w:tabs>
        <w:tab w:val="clear" w:pos="4513"/>
        <w:tab w:val="clear" w:pos="9026"/>
        <w:tab w:val="right" w:pos="9638"/>
      </w:tabs>
      <w:rPr>
        <w:rFonts w:ascii="Arial" w:hAnsi="Arial" w:cs="Arial"/>
        <w:b/>
        <w:sz w:val="48"/>
      </w:rPr>
    </w:pPr>
    <w:r>
      <w:tab/>
    </w:r>
    <w:r>
      <w:rPr>
        <w:rFonts w:ascii="Arial" w:hAnsi="Arial" w:cs="Arial"/>
        <w:b/>
        <w:sz w:val="48"/>
      </w:rPr>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C9" w:rsidRDefault="0040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D0" w:rsidRPr="000A0F6B" w:rsidRDefault="002229D0">
      <w:r w:rsidRPr="000A0F6B">
        <w:separator/>
      </w:r>
    </w:p>
  </w:footnote>
  <w:footnote w:type="continuationSeparator" w:id="0">
    <w:p w:rsidR="002229D0" w:rsidRPr="000A0F6B" w:rsidRDefault="002229D0">
      <w:r w:rsidRPr="000A0F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C9" w:rsidRDefault="00406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C9" w:rsidRDefault="00406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C9" w:rsidRDefault="00406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9"/>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047/2019"/>
    <w:docVar w:name="dvlangue" w:val="EL"/>
    <w:docVar w:name="dvnumam" w:val="0"/>
    <w:docVar w:name="dvpe" w:val="641.419"/>
    <w:docVar w:name="dvrapporteur" w:val="Εισηγήτρια: "/>
    <w:docVar w:name="dvtitre" w:val="Νομοθετικό ψήφισμα του Ευρωπαϊκού Κοινοβουλίου σχετικά με την πρόταση κανονισμού του Συμβουλίου για την τροποποίηση του κανονισμού (ΕΕ) αριθ. 904/2010 σχετικά με μέτρα ενίσχυσης της διοικητικής συνεργασίας για την καταπολέμηση της απάτης στον τομέα του ΦΠΑ(COM(2018)0813 – C8-0016/2019 – 2018/0413(CNS))"/>
    <w:docVar w:name="TA_Comm_A5Nr" w:val="A9-0047/2019"/>
    <w:docVar w:name="TA_Comm_Langue" w:val="EL"/>
    <w:docVar w:name="TA_Comm_NrAM" w:val="001-017"/>
    <w:docVar w:name="TA_Type" w:val="TA_COMM"/>
  </w:docVars>
  <w:rsids>
    <w:rsidRoot w:val="002229D0"/>
    <w:rsid w:val="00002272"/>
    <w:rsid w:val="00064002"/>
    <w:rsid w:val="000677B9"/>
    <w:rsid w:val="000831BA"/>
    <w:rsid w:val="000A0F6B"/>
    <w:rsid w:val="000A42CC"/>
    <w:rsid w:val="000E7DD9"/>
    <w:rsid w:val="0010095E"/>
    <w:rsid w:val="00125B37"/>
    <w:rsid w:val="00187494"/>
    <w:rsid w:val="001F32AE"/>
    <w:rsid w:val="002229D0"/>
    <w:rsid w:val="002767FF"/>
    <w:rsid w:val="002B18FE"/>
    <w:rsid w:val="002B5493"/>
    <w:rsid w:val="00343214"/>
    <w:rsid w:val="00361C00"/>
    <w:rsid w:val="00395FA1"/>
    <w:rsid w:val="003E15D4"/>
    <w:rsid w:val="003E2F06"/>
    <w:rsid w:val="004061A0"/>
    <w:rsid w:val="004065C9"/>
    <w:rsid w:val="00411CCE"/>
    <w:rsid w:val="0041666E"/>
    <w:rsid w:val="00421060"/>
    <w:rsid w:val="004701DB"/>
    <w:rsid w:val="00471C19"/>
    <w:rsid w:val="00494A28"/>
    <w:rsid w:val="004C0004"/>
    <w:rsid w:val="004C5D52"/>
    <w:rsid w:val="0050519A"/>
    <w:rsid w:val="005072A1"/>
    <w:rsid w:val="00514517"/>
    <w:rsid w:val="00545827"/>
    <w:rsid w:val="00560270"/>
    <w:rsid w:val="005A637F"/>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55231"/>
    <w:rsid w:val="00865F67"/>
    <w:rsid w:val="00881A7B"/>
    <w:rsid w:val="008840E5"/>
    <w:rsid w:val="00887B3E"/>
    <w:rsid w:val="008C2AC6"/>
    <w:rsid w:val="00925F20"/>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3BC0"/>
    <w:rsid w:val="00BE6ADC"/>
    <w:rsid w:val="00C05BFE"/>
    <w:rsid w:val="00C23CD4"/>
    <w:rsid w:val="00C61C0C"/>
    <w:rsid w:val="00C941CB"/>
    <w:rsid w:val="00CA6A39"/>
    <w:rsid w:val="00CC2357"/>
    <w:rsid w:val="00CF071A"/>
    <w:rsid w:val="00D058B8"/>
    <w:rsid w:val="00D56C11"/>
    <w:rsid w:val="00D834A0"/>
    <w:rsid w:val="00D872DF"/>
    <w:rsid w:val="00D91E21"/>
    <w:rsid w:val="00DA7FCD"/>
    <w:rsid w:val="00E1006F"/>
    <w:rsid w:val="00E365E1"/>
    <w:rsid w:val="00E820A4"/>
    <w:rsid w:val="00EB006A"/>
    <w:rsid w:val="00EB4772"/>
    <w:rsid w:val="00ED169E"/>
    <w:rsid w:val="00ED4235"/>
    <w:rsid w:val="00F04346"/>
    <w:rsid w:val="00F075DC"/>
    <w:rsid w:val="00F149E9"/>
    <w:rsid w:val="00F5134D"/>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90BA89-BF6D-4D76-8BAE-0A5253E4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l-G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semiHidden/>
    <w:rsid w:val="00395FA1"/>
    <w:rPr>
      <w:b w:val="0"/>
      <w:vertAlign w:val="superscript"/>
    </w:rPr>
  </w:style>
  <w:style w:type="paragraph" w:styleId="FootnoteText">
    <w:name w:val="footnote text"/>
    <w:basedOn w:val="Normal"/>
    <w:link w:val="FootnoteTextChar"/>
    <w:semiHidden/>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semiHidden/>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12">
    <w:name w:val="Normal12"/>
    <w:basedOn w:val="Normal"/>
    <w:rsid w:val="003E2F06"/>
    <w:pPr>
      <w:spacing w:after="240"/>
    </w:pPr>
  </w:style>
  <w:style w:type="paragraph" w:customStyle="1" w:styleId="Normal6">
    <w:name w:val="Normal6"/>
    <w:basedOn w:val="Normal"/>
    <w:link w:val="Normal6Char"/>
    <w:rsid w:val="003E2F06"/>
    <w:pPr>
      <w:spacing w:after="120"/>
    </w:pPr>
  </w:style>
  <w:style w:type="character" w:customStyle="1" w:styleId="Normal6Char">
    <w:name w:val="Normal6 Char"/>
    <w:link w:val="Normal6"/>
    <w:rsid w:val="003E2F06"/>
    <w:rPr>
      <w:sz w:val="24"/>
      <w:lang w:val="el-GR"/>
    </w:rPr>
  </w:style>
  <w:style w:type="paragraph" w:customStyle="1" w:styleId="NormalBold">
    <w:name w:val="NormalBold"/>
    <w:basedOn w:val="Normal"/>
    <w:link w:val="NormalBoldChar"/>
    <w:rsid w:val="003E2F06"/>
    <w:rPr>
      <w:b/>
    </w:rPr>
  </w:style>
  <w:style w:type="character" w:customStyle="1" w:styleId="NormalBoldChar">
    <w:name w:val="NormalBold Char"/>
    <w:link w:val="NormalBold"/>
    <w:rsid w:val="003E2F06"/>
    <w:rPr>
      <w:b/>
      <w:sz w:val="24"/>
      <w:lang w:val="el-GR"/>
    </w:rPr>
  </w:style>
  <w:style w:type="paragraph" w:customStyle="1" w:styleId="Normal12Bold">
    <w:name w:val="Normal12Bold"/>
    <w:basedOn w:val="Normal12"/>
    <w:rsid w:val="003E2F06"/>
    <w:rPr>
      <w:b/>
    </w:rPr>
  </w:style>
  <w:style w:type="paragraph" w:customStyle="1" w:styleId="Normal12Hanging">
    <w:name w:val="Normal12Hanging"/>
    <w:basedOn w:val="Normal12"/>
    <w:rsid w:val="003E2F06"/>
    <w:pPr>
      <w:ind w:left="567" w:hanging="567"/>
    </w:pPr>
  </w:style>
  <w:style w:type="paragraph" w:customStyle="1" w:styleId="ColumnHeading">
    <w:name w:val="ColumnHeading"/>
    <w:basedOn w:val="Normal"/>
    <w:rsid w:val="003E2F06"/>
    <w:pPr>
      <w:spacing w:after="240"/>
      <w:jc w:val="center"/>
    </w:pPr>
    <w:rPr>
      <w:i/>
    </w:rPr>
  </w:style>
  <w:style w:type="paragraph" w:customStyle="1" w:styleId="AMNumberTabs">
    <w:name w:val="AMNumberTabs"/>
    <w:basedOn w:val="Normal"/>
    <w:rsid w:val="003E2F06"/>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3E2F06"/>
    <w:pPr>
      <w:spacing w:before="240"/>
    </w:pPr>
    <w:rPr>
      <w:b/>
    </w:rPr>
  </w:style>
  <w:style w:type="paragraph" w:customStyle="1" w:styleId="Normal6a">
    <w:name w:val="Normal6a"/>
    <w:basedOn w:val="Normal"/>
    <w:rsid w:val="003E2F06"/>
    <w:pPr>
      <w:spacing w:after="120"/>
    </w:pPr>
  </w:style>
  <w:style w:type="paragraph" w:customStyle="1" w:styleId="AmColumnHeading">
    <w:name w:val="AmColumnHeading"/>
    <w:basedOn w:val="Normal"/>
    <w:rsid w:val="003E2F06"/>
    <w:pPr>
      <w:spacing w:after="240"/>
      <w:jc w:val="center"/>
    </w:pPr>
    <w:rPr>
      <w:i/>
    </w:rPr>
  </w:style>
  <w:style w:type="paragraph" w:customStyle="1" w:styleId="AmCrossRef">
    <w:name w:val="AmCrossRef"/>
    <w:basedOn w:val="Normal"/>
    <w:rsid w:val="003E2F06"/>
    <w:pPr>
      <w:spacing w:before="240" w:after="240"/>
      <w:jc w:val="center"/>
    </w:pPr>
    <w:rPr>
      <w:i/>
    </w:rPr>
  </w:style>
  <w:style w:type="character" w:customStyle="1" w:styleId="SupBoldItalic">
    <w:name w:val="SupBoldItalic"/>
    <w:uiPriority w:val="1"/>
    <w:qFormat/>
    <w:rsid w:val="003E2F06"/>
    <w:rPr>
      <w:b/>
      <w:i/>
      <w:vertAlign w:val="superscript"/>
    </w:rPr>
  </w:style>
  <w:style w:type="character" w:styleId="Hyperlink">
    <w:name w:val="Hyperlink"/>
    <w:basedOn w:val="DefaultParagraphFont"/>
    <w:rsid w:val="003E2F06"/>
    <w:rPr>
      <w:color w:val="0563C1" w:themeColor="hyperlink"/>
      <w:u w:val="single"/>
    </w:rPr>
  </w:style>
  <w:style w:type="paragraph" w:styleId="BalloonText">
    <w:name w:val="Balloon Text"/>
    <w:basedOn w:val="Normal"/>
    <w:link w:val="BalloonTextChar"/>
    <w:rsid w:val="005A637F"/>
    <w:rPr>
      <w:rFonts w:ascii="Segoe UI" w:hAnsi="Segoe UI" w:cs="Segoe UI"/>
      <w:sz w:val="18"/>
      <w:szCs w:val="18"/>
    </w:rPr>
  </w:style>
  <w:style w:type="character" w:customStyle="1" w:styleId="BalloonTextChar">
    <w:name w:val="Balloon Text Char"/>
    <w:basedOn w:val="DefaultParagraphFont"/>
    <w:link w:val="BalloonText"/>
    <w:rsid w:val="005A637F"/>
    <w:rPr>
      <w:rFonts w:ascii="Segoe UI" w:hAnsi="Segoe UI" w:cs="Segoe UI"/>
      <w:sz w:val="18"/>
      <w:szCs w:val="18"/>
      <w:lang w:val="el-GR"/>
    </w:rPr>
  </w:style>
  <w:style w:type="paragraph" w:styleId="Footer">
    <w:name w:val="footer"/>
    <w:basedOn w:val="Normal"/>
    <w:link w:val="FooterChar"/>
    <w:rsid w:val="00BE3BC0"/>
    <w:pPr>
      <w:tabs>
        <w:tab w:val="center" w:pos="4513"/>
        <w:tab w:val="right" w:pos="9026"/>
      </w:tabs>
    </w:pPr>
  </w:style>
  <w:style w:type="character" w:customStyle="1" w:styleId="FooterChar">
    <w:name w:val="Footer Char"/>
    <w:basedOn w:val="DefaultParagraphFont"/>
    <w:link w:val="Footer"/>
    <w:rsid w:val="00BE3BC0"/>
    <w:rPr>
      <w:sz w:val="24"/>
      <w:lang w:val="el-GR"/>
    </w:rPr>
  </w:style>
  <w:style w:type="paragraph" w:styleId="Header">
    <w:name w:val="header"/>
    <w:basedOn w:val="Normal"/>
    <w:link w:val="HeaderChar"/>
    <w:rsid w:val="00BE3BC0"/>
    <w:pPr>
      <w:tabs>
        <w:tab w:val="center" w:pos="4513"/>
        <w:tab w:val="right" w:pos="9026"/>
      </w:tabs>
    </w:pPr>
  </w:style>
  <w:style w:type="character" w:customStyle="1" w:styleId="HeaderChar">
    <w:name w:val="Header Char"/>
    <w:basedOn w:val="DefaultParagraphFont"/>
    <w:link w:val="Header"/>
    <w:rsid w:val="00BE3BC0"/>
    <w:rPr>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taxation_customs/sites/taxation/files/vat-gap-full-report-2019_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16642</Characters>
  <Application>Microsoft Office Word</Application>
  <DocSecurity>0</DocSecurity>
  <Lines>693</Lines>
  <Paragraphs>183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KOLOKYTHIA Amalia</cp:lastModifiedBy>
  <cp:revision>3</cp:revision>
  <cp:lastPrinted>2019-12-13T11:13:00Z</cp:lastPrinted>
  <dcterms:created xsi:type="dcterms:W3CDTF">2019-12-13T11:16:00Z</dcterms:created>
  <dcterms:modified xsi:type="dcterms:W3CDTF">2019-12-13T11:16:00Z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A9-0047/2019</vt:lpwstr>
  </property>
  <property fmtid="{D5CDD505-2E9C-101B-9397-08002B2CF9AE}" pid="4" name="&lt;Type&gt;">
    <vt:lpwstr>RR</vt:lpwstr>
  </property>
</Properties>
</file>