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mDateTab"/>
      </w:pPr>
      <w:r w:rsidR="00A77B3E">
        <w:rPr>
          <w:rStyle w:val="HideTWBExt"/>
        </w:rPr>
        <w:t>&lt;</w:t>
      </w:r>
      <w:r w:rsidR="00A77B3E">
        <w:rPr>
          <w:rStyle w:val="HideTWBExt"/>
        </w:rPr>
        <w:t>RepeatBlock-Amend</w:t>
      </w:r>
      <w:r w:rsidR="00A77B3E">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Recalls that Article 61 of the Financial Regulation, which entered into force on 2 August 2018, has enlarged the definition of conflicts of interests; calls on the Commission, as ‘Guardian of the Treaties’, to fight all forms of conflict of interests and to evaluate on a regular basis the preventive measures taken by the Member States to avoid them; calls on the Commission to propose common guidelines for the avoidance of conflicts of interest affecting high-profile politicians; urges the Council to adopt common ethical standards on all issues related to conflicts of interest and to create a common understanding in all Member States; underlines that, given the widespread problems of conflict of interests in the distribution of Union’s agricultural funds, it is undesirable that members of the European Council, agricultural ministers, functionaries, or their family members should be taking decisions on income support;</w:t>
            </w:r>
          </w:p>
        </w:tc>
        <w:tc>
          <w:tcPr>
            <w:tcW w:w="4876" w:type="dxa"/>
            <w:vAlign w:val="top"/>
          </w:tcPr>
          <w:p>
            <w:pPr>
              <w:pStyle w:val="Normal6a"/>
            </w:pPr>
            <w:r>
              <w:t>3.</w:t>
            </w:r>
            <w:r>
              <w:tab/>
            </w:r>
            <w:r>
              <w:t xml:space="preserve">Recalls that Article 61 of the Financial Regulation, which entered into force on 2 August 2018, has enlarged the definition of conflicts of interests; calls on the Commission, as ‘Guardian of the Treaties’, to fight all forms of conflict of interests and to evaluate on a regular basis the preventive measures taken by the Member States to avoid them; calls on the Commission to propose common guidelines for the avoidance of conflicts of interest affecting high-profile politicians; urges the Council to adopt common ethical standards on all issues related to conflicts of interest and to create a common understanding in all Member States; underlines that, given the widespread problems of conflict of interests in the distribution of Union’s agricultural funds, it is undesirable that members of the European Council, agricultural ministers, </w:t>
            </w:r>
            <w:r>
              <w:rPr>
                <w:rFonts w:ascii="Times New Roman" w:eastAsia="Times New Roman" w:hAnsi="Times New Roman" w:cs="Times New Roman"/>
                <w:b/>
                <w:i/>
                <w:strike w:val="0"/>
                <w:color w:val="auto"/>
                <w:sz w:val="24"/>
                <w:highlight w:val="none"/>
                <w:u w:val="none" w:color="auto"/>
                <w:vertAlign w:val="baseline"/>
              </w:rPr>
              <w:t>members of agricultural committees of parliaments,</w:t>
            </w:r>
            <w:r>
              <w:t xml:space="preserve"> functionaries, or their family members should be taking decisions on income support;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4"/>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9.</w:t>
            </w:r>
            <w:r>
              <w:tab/>
            </w:r>
            <w:r>
              <w:rPr>
                <w:rFonts w:ascii="Times New Roman" w:eastAsia="Times New Roman" w:hAnsi="Times New Roman" w:cs="Times New Roman"/>
                <w:b/>
                <w:i/>
                <w:strike w:val="0"/>
                <w:color w:val="auto"/>
                <w:sz w:val="24"/>
                <w:highlight w:val="none"/>
                <w:u w:val="none" w:color="auto"/>
                <w:vertAlign w:val="baseline"/>
              </w:rPr>
              <w:t>Encourages the Commission and the Court to accelerate the discharge process to N+1;</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5"/>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125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125.</w:t>
            </w:r>
            <w:r>
              <w:tab/>
            </w:r>
            <w:r>
              <w:t xml:space="preserve">Notes with concern that the Court found </w:t>
            </w:r>
            <w:r>
              <w:rPr>
                <w:rFonts w:ascii="Times New Roman" w:eastAsia="Times New Roman" w:hAnsi="Times New Roman" w:cs="Times New Roman"/>
                <w:b/>
                <w:i/>
                <w:strike w:val="0"/>
                <w:color w:val="auto"/>
                <w:sz w:val="24"/>
                <w:highlight w:val="none"/>
                <w:u w:val="none" w:color="auto"/>
                <w:vertAlign w:val="baseline"/>
              </w:rPr>
              <w:t>in Spain</w:t>
            </w:r>
            <w:r>
              <w:t xml:space="preserve"> weaknesses in the control systems for compiling the monthly statements of customs duties;</w:t>
            </w:r>
          </w:p>
        </w:tc>
        <w:tc>
          <w:tcPr>
            <w:tcW w:w="4876" w:type="dxa"/>
            <w:vAlign w:val="top"/>
          </w:tcPr>
          <w:p>
            <w:pPr>
              <w:pStyle w:val="Normal6a"/>
            </w:pPr>
            <w:r>
              <w:t>125.</w:t>
            </w:r>
            <w:r>
              <w:tab/>
            </w:r>
            <w:r>
              <w:t>Notes with concern that the Court found</w:t>
            </w:r>
            <w:r>
              <w:rPr>
                <w:rFonts w:ascii="Times New Roman" w:eastAsia="Times New Roman" w:hAnsi="Times New Roman" w:cs="Times New Roman"/>
                <w:b/>
                <w:i/>
                <w:strike w:val="0"/>
                <w:color w:val="auto"/>
                <w:sz w:val="24"/>
                <w:highlight w:val="none"/>
                <w:u w:val="none" w:color="auto"/>
                <w:vertAlign w:val="baseline"/>
              </w:rPr>
              <w:t>, within a random sample of three countries,</w:t>
            </w:r>
            <w:r>
              <w:t xml:space="preserve"> weaknesses in the control systems for compiling the monthly statements of customs duties </w:t>
            </w:r>
            <w:r>
              <w:rPr>
                <w:rFonts w:ascii="Times New Roman" w:eastAsia="Times New Roman" w:hAnsi="Times New Roman" w:cs="Times New Roman"/>
                <w:b/>
                <w:i/>
                <w:strike w:val="0"/>
                <w:color w:val="auto"/>
                <w:sz w:val="24"/>
                <w:highlight w:val="none"/>
                <w:u w:val="none" w:color="auto"/>
                <w:vertAlign w:val="baseline"/>
              </w:rPr>
              <w:t>in one of the selected countries</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6"/>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185 a.</w:t>
            </w:r>
            <w:r>
              <w:tab/>
            </w:r>
            <w:r>
              <w:rPr>
                <w:rFonts w:ascii="Times New Roman" w:eastAsia="Times New Roman" w:hAnsi="Times New Roman" w:cs="Times New Roman"/>
                <w:b/>
                <w:i/>
                <w:strike w:val="0"/>
                <w:color w:val="auto"/>
                <w:sz w:val="24"/>
                <w:highlight w:val="none"/>
                <w:u w:val="none" w:color="auto"/>
                <w:vertAlign w:val="baseline"/>
              </w:rPr>
              <w:t>Stresses the importance of the Union cohesion policy in supporting the implementation of the European Pillar of Social Rights and the United Nations Sustainable Development Goals and in assisting the Member States and regions to harness new opportunities and address challenges, such as tackling the economic and social aftermath of the COVID-19 pandemic, globalisation, unemployment, industrial change, digitalisation and reskilling of people;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7"/>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185 b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185 b.</w:t>
            </w:r>
            <w:r>
              <w:tab/>
            </w:r>
            <w:r>
              <w:rPr>
                <w:rFonts w:ascii="Times New Roman" w:eastAsia="Times New Roman" w:hAnsi="Times New Roman" w:cs="Times New Roman"/>
                <w:b/>
                <w:i/>
                <w:strike w:val="0"/>
                <w:color w:val="auto"/>
                <w:sz w:val="24"/>
                <w:highlight w:val="none"/>
                <w:u w:val="none" w:color="auto"/>
                <w:vertAlign w:val="baseline"/>
              </w:rPr>
              <w:t>Points out that the ESF and the Youth Employment Initiative (YEI) aim to encourage a high level of employment, education and training and the creation of more and better jobs; highlights that YEI should have the continued financial and political support of the Union and welcomes in this respect the Commission's commitment to making YEI a permanent instrument to fight youth unemployment; and stresses that in the aftermath of the COVID-19 pandemic, Europe's youth will face distinct economic and social challenges and disruptions that will need to be properly addressed at Union level.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8"/>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188</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188.</w:t>
            </w:r>
            <w:r>
              <w:tab/>
            </w:r>
            <w:r>
              <w:t>Notes that the Commission does not share the assessment of the Court on three significant errors concerning the programming period 2014 to 2020 and two errors concerning the programming period 2007 to 2013; notes that the Commission refers to a diverging interpretation of applicable national or Union rules with an impact on the calculated error rate</w:t>
            </w:r>
            <w:r>
              <w:rPr>
                <w:rStyle w:val="Sup"/>
              </w:rPr>
              <w:t>98</w:t>
            </w:r>
            <w:r>
              <w:t xml:space="preserve"> ;</w:t>
            </w:r>
          </w:p>
        </w:tc>
        <w:tc>
          <w:tcPr>
            <w:tcW w:w="4876" w:type="dxa"/>
            <w:vAlign w:val="top"/>
          </w:tcPr>
          <w:p>
            <w:pPr>
              <w:pStyle w:val="Normal6a"/>
            </w:pPr>
            <w:r>
              <w:t>188.</w:t>
            </w:r>
            <w:r>
              <w:tab/>
            </w:r>
            <w:r>
              <w:t>Notes that the Commission does not share the assessment of the Court on three significant errors concerning the programming period 2014 to 2020 and two errors concerning the programming period 2007 to 2013; notes that the Commission refers to a diverging interpretation of applicable national or Union rules with an impact on the calculated error rate</w:t>
            </w:r>
            <w:r>
              <w:rPr>
                <w:rStyle w:val="Sup"/>
              </w:rPr>
              <w:t>98</w:t>
            </w:r>
            <w:r>
              <w:t xml:space="preserve"> ;</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_________________</w:t>
            </w: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Style w:val="Sup"/>
              </w:rPr>
              <w:t>98</w:t>
            </w:r>
            <w:r>
              <w:t xml:space="preserve"> </w:t>
            </w:r>
            <w:r>
              <w:t xml:space="preserve">Reply to question 24, questionnaire </w:t>
            </w:r>
            <w:r>
              <w:rPr>
                <w:rFonts w:ascii="Times New Roman" w:eastAsia="Times New Roman" w:hAnsi="Times New Roman" w:cs="Times New Roman"/>
                <w:b/>
                <w:i/>
                <w:strike w:val="0"/>
                <w:color w:val="auto"/>
                <w:sz w:val="24"/>
                <w:highlight w:val="none"/>
                <w:u w:val="none" w:color="auto"/>
                <w:vertAlign w:val="baseline"/>
              </w:rPr>
              <w:t>in preparation of the discussion with</w:t>
            </w:r>
            <w:r>
              <w:t xml:space="preserve"> Commissioner Hahn</w:t>
            </w:r>
            <w:r>
              <w:rPr>
                <w:rFonts w:ascii="Times New Roman" w:eastAsia="Times New Roman" w:hAnsi="Times New Roman" w:cs="Times New Roman"/>
                <w:b/>
                <w:i/>
                <w:strike w:val="0"/>
                <w:color w:val="auto"/>
                <w:sz w:val="24"/>
                <w:highlight w:val="none"/>
                <w:u w:val="none" w:color="auto"/>
                <w:vertAlign w:val="baseline"/>
              </w:rPr>
              <w:t>: Three of these cases relate to an issue with a national State aid scheme (law) which had provisions not compatible with the EU State aid rules on the “incentive effect”, allowing companies candidate for a public support to start financing part of their investments before requesting the public aid. Another case relates to an SME bonus that became ineligible when the beneficiary lost its SME status and to the absence of incentive effect of the increase in the co-financing rate. In particular, the beneficiary in question was an SME at the time of applying for assistance, but no longer qualified as an SME at the time of granting the aid. Lastly, the last case refers to a “Service of General Economic Interest” which the Court deemed to be an unlawful state aid.</w:t>
            </w:r>
          </w:p>
        </w:tc>
        <w:tc>
          <w:tcPr>
            <w:tcW w:w="4876" w:type="dxa"/>
            <w:vAlign w:val="top"/>
          </w:tcPr>
          <w:p>
            <w:pPr>
              <w:pStyle w:val="Normal6a"/>
            </w:pPr>
            <w:r>
              <w:rPr>
                <w:rStyle w:val="Sup"/>
              </w:rPr>
              <w:t>98</w:t>
            </w:r>
            <w:r>
              <w:t xml:space="preserve"> </w:t>
            </w:r>
            <w:r>
              <w:rPr>
                <w:rFonts w:ascii="Times New Roman" w:eastAsia="Times New Roman" w:hAnsi="Times New Roman" w:cs="Times New Roman"/>
                <w:b/>
                <w:i/>
                <w:strike w:val="0"/>
                <w:color w:val="auto"/>
                <w:sz w:val="24"/>
                <w:highlight w:val="none"/>
                <w:u w:val="none" w:color="auto"/>
                <w:vertAlign w:val="baseline"/>
              </w:rPr>
              <w:t>See</w:t>
            </w:r>
            <w:r>
              <w:t xml:space="preserve"> reply to question 24, questionnaire </w:t>
            </w:r>
            <w:r>
              <w:rPr>
                <w:rFonts w:ascii="Times New Roman" w:eastAsia="Times New Roman" w:hAnsi="Times New Roman" w:cs="Times New Roman"/>
                <w:b/>
                <w:i/>
                <w:strike w:val="0"/>
                <w:color w:val="auto"/>
                <w:sz w:val="24"/>
                <w:highlight w:val="none"/>
                <w:u w:val="none" w:color="auto"/>
                <w:vertAlign w:val="baseline"/>
              </w:rPr>
              <w:t>to</w:t>
            </w:r>
            <w:r>
              <w:t xml:space="preserve"> Commissioner Hahn </w:t>
            </w:r>
            <w:r>
              <w:rPr>
                <w:rFonts w:ascii="Times New Roman" w:eastAsia="Times New Roman" w:hAnsi="Times New Roman" w:cs="Times New Roman"/>
                <w:b/>
                <w:i/>
                <w:strike w:val="0"/>
                <w:color w:val="auto"/>
                <w:sz w:val="24"/>
                <w:highlight w:val="none"/>
                <w:u w:val="none" w:color="auto"/>
                <w:vertAlign w:val="baseline"/>
              </w:rPr>
              <w:t>for the Hearing in CONT on 11 November 2019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9"/>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275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275.</w:t>
            </w:r>
            <w:r>
              <w:tab/>
            </w:r>
            <w:r>
              <w:t xml:space="preserve">Notes with concern that </w:t>
            </w:r>
            <w:r>
              <w:rPr>
                <w:rFonts w:ascii="Times New Roman" w:eastAsia="Times New Roman" w:hAnsi="Times New Roman" w:cs="Times New Roman"/>
                <w:b/>
                <w:i/>
                <w:strike w:val="0"/>
                <w:color w:val="auto"/>
                <w:sz w:val="24"/>
                <w:highlight w:val="none"/>
                <w:u w:val="none" w:color="auto"/>
                <w:vertAlign w:val="baseline"/>
              </w:rPr>
              <w:t>in its replies to Written Question No 41 asked of DG AGRI Director-General at the CONT hearing of 17 October 2019,</w:t>
            </w:r>
            <w:r>
              <w:t xml:space="preserve"> the Commission states that “According to the EU legislation the beneficiaries entitled to payment are those who farm the land. The parcels declared by a beneficiaries need to be at the farmer’s disposal on a given reference date fixed by a Member State (....). If the land is taken by force, then there is a rule of law issue and the judicial system of the Member State should act. The Commission can assist the Member State, if necessary. Some Member States have asked the beneficiaries to provide evidence that they are legally entitled to farm the land. Others have not. It is up to the Member States to regulate this issue”;</w:t>
            </w:r>
          </w:p>
        </w:tc>
        <w:tc>
          <w:tcPr>
            <w:tcW w:w="4876" w:type="dxa"/>
            <w:vAlign w:val="top"/>
          </w:tcPr>
          <w:p>
            <w:pPr>
              <w:pStyle w:val="Normal6a"/>
            </w:pPr>
            <w:r>
              <w:t>275.</w:t>
            </w:r>
            <w:r>
              <w:tab/>
            </w:r>
            <w:r>
              <w:t>Notes with concern that the Commission states</w:t>
            </w:r>
            <w:r>
              <w:rPr>
                <w:rStyle w:val="SupBoldItalic"/>
              </w:rPr>
              <w:t>21b</w:t>
            </w:r>
            <w:r>
              <w:t xml:space="preserve"> that “According to the EU legislation the beneficiaries entitled to payment are those who farm the land. The parcels declared by a beneficiaries need to be at the farmer’s disposal on a given reference date fixed by a Member State (....). If the land is taken by force, then there is a rule of law issue and the judicial system of the Member State should act. The Commission can assist the Member State, if necessary. Some Member States have asked the beneficiaries to provide evidence that they are legally entitled to farm the land. Others have not. It is up to the Member States to regulate this issue”;</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21b</w:t>
            </w:r>
            <w:r>
              <w:t xml:space="preserve"> </w:t>
            </w:r>
            <w:r>
              <w:rPr>
                <w:rFonts w:ascii="Times New Roman" w:eastAsia="Times New Roman" w:hAnsi="Times New Roman" w:cs="Times New Roman"/>
                <w:b/>
                <w:i/>
                <w:strike w:val="0"/>
                <w:color w:val="auto"/>
                <w:sz w:val="24"/>
                <w:highlight w:val="none"/>
                <w:u w:val="none" w:color="auto"/>
                <w:vertAlign w:val="baseline"/>
              </w:rPr>
              <w:t>See reply to Written question 41, questionnaire to Commissioner Hogan for the Hearing in CONT on 17 October 2019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10"/>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283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283.</w:t>
            </w:r>
            <w:r>
              <w:tab/>
            </w:r>
            <w:r>
              <w:t xml:space="preserve">Welcomes the fact that according to the </w:t>
            </w:r>
            <w:r>
              <w:rPr>
                <w:rFonts w:ascii="Times New Roman" w:eastAsia="Times New Roman" w:hAnsi="Times New Roman" w:cs="Times New Roman"/>
                <w:b/>
                <w:i/>
                <w:strike w:val="0"/>
                <w:color w:val="auto"/>
                <w:sz w:val="24"/>
                <w:highlight w:val="none"/>
                <w:u w:val="none" w:color="auto"/>
                <w:vertAlign w:val="baseline"/>
              </w:rPr>
              <w:t>Commission reply to the Written Question No 39,</w:t>
            </w:r>
            <w:r>
              <w:t xml:space="preserve"> “provisional data suggest that the total number of beneficiaries has increased in claim year 2018 by some 28 %, from 364 153 to 466 006. The total amount raised by 53 %, from EUR 390 million in 2017 to EUR 600 million in 2018” (AGRIVIEW DATA);</w:t>
            </w:r>
          </w:p>
        </w:tc>
        <w:tc>
          <w:tcPr>
            <w:tcW w:w="4876" w:type="dxa"/>
            <w:vAlign w:val="top"/>
          </w:tcPr>
          <w:p>
            <w:pPr>
              <w:pStyle w:val="Normal6a"/>
            </w:pPr>
            <w:r>
              <w:t>283.</w:t>
            </w:r>
            <w:r>
              <w:tab/>
            </w:r>
            <w:r>
              <w:t xml:space="preserve">Welcomes the fact that according to the </w:t>
            </w:r>
            <w:r>
              <w:rPr>
                <w:rFonts w:ascii="Times New Roman" w:eastAsia="Times New Roman" w:hAnsi="Times New Roman" w:cs="Times New Roman"/>
                <w:b/>
                <w:i/>
                <w:strike w:val="0"/>
                <w:color w:val="auto"/>
                <w:sz w:val="24"/>
                <w:highlight w:val="none"/>
                <w:u w:val="none" w:color="auto"/>
                <w:vertAlign w:val="baseline"/>
              </w:rPr>
              <w:t>Commission's Agriview Data</w:t>
            </w:r>
            <w:r>
              <w:rPr>
                <w:rStyle w:val="SupBoldItalic"/>
              </w:rPr>
              <w:t>22a</w:t>
            </w:r>
            <w:r>
              <w:t xml:space="preserve"> “provisional data suggest that the total number of beneficiaries has increased in claim year 2018 by some 28 %, from 364 153 to 466 006. The total amount raised by 53 %, from EUR 390 million in 2017 to EUR 600 million in 2018” (AGRIVIEW DATA);</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22a</w:t>
            </w:r>
            <w:r>
              <w:t xml:space="preserve"> </w:t>
            </w:r>
            <w:r>
              <w:rPr>
                <w:rFonts w:ascii="Times New Roman" w:eastAsia="Times New Roman" w:hAnsi="Times New Roman" w:cs="Times New Roman"/>
                <w:b/>
                <w:i/>
                <w:strike w:val="0"/>
                <w:color w:val="auto"/>
                <w:sz w:val="24"/>
                <w:highlight w:val="none"/>
                <w:u w:val="none" w:color="auto"/>
                <w:vertAlign w:val="baseline"/>
              </w:rPr>
              <w:t>See reply to Written question 39, questionnaire to Commissioner Hogan for the Hearing in CONT on 17 October 2019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11"/>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302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302.</w:t>
            </w:r>
            <w:r>
              <w:tab/>
            </w:r>
            <w:r>
              <w:rPr>
                <w:rFonts w:ascii="Times New Roman" w:eastAsia="Times New Roman" w:hAnsi="Times New Roman" w:cs="Times New Roman"/>
                <w:b/>
                <w:i/>
                <w:strike w:val="0"/>
                <w:color w:val="auto"/>
                <w:sz w:val="24"/>
                <w:highlight w:val="none"/>
                <w:u w:val="none" w:color="auto"/>
                <w:vertAlign w:val="baseline"/>
              </w:rPr>
              <w:t>Is concerned that problematic material in Palestinian school textbooks has still not been removed and is concerned about the continued failure to act effectively against hate speech and violence in school textbooks. Insists that salaries of teachers and education sector civil servants that are financed from Union funds such as PEGASE be used for drafting and teaching curricula which reflects UNESCO standards of peace, tolerance, coexistence, and non-violence, as was decided upon by Union education ministers in Paris on 17 March 2015; and the European Parliament decision of 18 April 2018 on discharge in respect of the implementation of the general budget of the European Union for the financial year 2016, Section III – Commission (2017/2136(DEC));</w:t>
            </w: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deleted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12"/>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07/05/2020</w:t>
      </w:r>
      <w:r>
        <w:rPr>
          <w:rStyle w:val="HideTWBInt"/>
        </w:rPr>
        <w:t>}</w:t>
      </w:r>
      <w:r>
        <w:t>7.5.2020</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A9-0069</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Tsvetelina Penkova</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S&amp;D</w:t>
      </w:r>
      <w:r>
        <w:rPr>
          <w:rStyle w:val="HideTWBInt"/>
        </w:rPr>
        <w:t>}</w:t>
      </w:r>
      <w:r>
        <w:t xml:space="preserve">on behalf of the </w:t>
      </w:r>
      <w:r>
        <w:t>S&amp;D</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A9-0069/2020</w:t>
      </w:r>
    </w:p>
    <w:p>
      <w:pPr>
        <w:pStyle w:val="NormalBold"/>
      </w:pPr>
      <w:r>
        <w:rPr>
          <w:rStyle w:val="HideTWBExt"/>
        </w:rPr>
        <w:t>&lt;</w:t>
      </w:r>
      <w:r>
        <w:rPr>
          <w:rStyle w:val="HideTWBExt"/>
        </w:rPr>
        <w:t>Rapporteur</w:t>
      </w:r>
      <w:r>
        <w:rPr>
          <w:rStyle w:val="HideTWBExt"/>
        </w:rPr>
        <w:t>&gt;</w:t>
      </w:r>
      <w:r>
        <w:t>Monika Hohlmeier</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2018 discharge: General budget of the EU - European Commission</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2019/2055(DEC)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307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307 a.</w:t>
            </w:r>
            <w:r>
              <w:tab/>
            </w:r>
            <w:r>
              <w:rPr>
                <w:rFonts w:ascii="Times New Roman" w:eastAsia="Times New Roman" w:hAnsi="Times New Roman" w:cs="Times New Roman"/>
                <w:b/>
                <w:i/>
                <w:strike w:val="0"/>
                <w:color w:val="auto"/>
                <w:sz w:val="24"/>
                <w:highlight w:val="none"/>
                <w:u w:val="none" w:color="auto"/>
                <w:vertAlign w:val="baseline"/>
              </w:rPr>
              <w:t>Notes with concern the large number of contracts awarded to a very limited number of national development agencies; observes that the fifty largest contracts (grants and procurement) and Delegation Agreements attributed since 2010 to national agencies were granted to agencies of only seven nationalities with a high concentration by country (42 %, 25 % and 17 % of the total amount granted respectively to the three biggest beneficiaries</w:t>
            </w:r>
            <w:r>
              <w:rPr>
                <w:rStyle w:val="SupBoldItalic"/>
              </w:rPr>
              <w:t>25a</w:t>
            </w:r>
            <w:r>
              <w:rPr>
                <w:rFonts w:ascii="Times New Roman" w:eastAsia="Times New Roman" w:hAnsi="Times New Roman" w:cs="Times New Roman"/>
                <w:b/>
                <w:i/>
                <w:strike w:val="0"/>
                <w:color w:val="auto"/>
                <w:sz w:val="24"/>
                <w:highlight w:val="none"/>
                <w:u w:val="none" w:color="auto"/>
                <w:vertAlign w:val="baseline"/>
              </w:rPr>
              <w:t>); warns of the risk of re-nationalisation of, and a growing influence on, the EU development, cooperation and neighbourhood policies, which is in contradiction with the sought-after greater integration of the Union external policy; urges the Commission to make access to the pillar assessment public; calls on the Commission to review and strengthen the tendering and contracting procedures to avoid any distortion of competition between this limited number of strongly subsidised national agencies and other public/private entities with a clear European vocation;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_________________</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Style w:val="SupBoldItalic"/>
              </w:rPr>
              <w:t>25a</w:t>
            </w:r>
            <w:r>
              <w:t xml:space="preserve"> </w:t>
            </w:r>
            <w:r>
              <w:rPr>
                <w:rFonts w:ascii="Times New Roman" w:eastAsia="Times New Roman" w:hAnsi="Times New Roman" w:cs="Times New Roman"/>
                <w:b/>
                <w:i/>
                <w:strike w:val="0"/>
                <w:color w:val="auto"/>
                <w:sz w:val="24"/>
                <w:highlight w:val="none"/>
                <w:u w:val="none" w:color="auto"/>
                <w:vertAlign w:val="baseline"/>
              </w:rPr>
              <w:t>See reply and annex to written question 4, follow-up questions to Commissioner Mimica for the Hearing in CONT on 18 November 2019</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default" r:id="rId13"/>
      <w:type w:val="nextPage"/>
      <w:pgSz w:w="11906" w:h="16838"/>
      <w:pgMar w:top="1134" w:right="1417" w:bottom="1417" w:left="1417" w:header="1134" w:footer="567" w:gutter="0"/>
      <w:cols w:num="1"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AM\P9_AMA(2020)0069(019-028)EN.docx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647.608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sid w:val="002A1B45"/>
    <w:rPr>
      <w:rFonts w:ascii="Arial" w:hAnsi="Arial"/>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1" w:right="-851"/>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footer" Target="footer9.xml" /><Relationship Id="rId13" Type="http://schemas.openxmlformats.org/officeDocument/2006/relationships/footer" Target="footer10.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20200507-121102-101506-796033</vt:lpwstr>
  </property>
  <property fmtid="{D5CDD505-2E9C-101B-9397-08002B2CF9AE}" pid="7" name="FooterPath">
    <vt:lpwstr>AM\P9_AMA(2020)0069(019-028)EN.docx</vt:lpwstr>
  </property>
  <property fmtid="{D5CDD505-2E9C-101B-9397-08002B2CF9AE}" pid="8" name="PE Number">
    <vt:lpwstr>647.608</vt:lpwstr>
  </property>
  <property fmtid="{D5CDD505-2E9C-101B-9397-08002B2CF9AE}" pid="9" name="UID">
    <vt:lpwstr>eu.europa.europarl-DIN1-2020-0000022707_01.00-en-01.00_text-xml</vt:lpwstr>
  </property>
</Properties>
</file>