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97A2D" w:rsidRPr="006B378D" w:rsidTr="00CA22CD">
        <w:trPr>
          <w:trHeight w:hRule="exact" w:val="1418"/>
        </w:trPr>
        <w:tc>
          <w:tcPr>
            <w:tcW w:w="6804" w:type="dxa"/>
            <w:vAlign w:val="center"/>
            <w:hideMark/>
          </w:tcPr>
          <w:p w:rsidR="00CA22CD" w:rsidRPr="006B378D" w:rsidRDefault="004141F0">
            <w:pPr>
              <w:pStyle w:val="EPName"/>
            </w:pPr>
            <w:bookmarkStart w:id="0" w:name="_GoBack"/>
            <w:bookmarkEnd w:id="0"/>
            <w:r w:rsidRPr="006B378D">
              <w:t>Parlament Europejski</w:t>
            </w:r>
          </w:p>
          <w:p w:rsidR="00CA22CD" w:rsidRPr="006B378D" w:rsidRDefault="004141F0">
            <w:pPr>
              <w:pStyle w:val="EPTerm"/>
              <w:rPr>
                <w:rStyle w:val="HideTWBExt"/>
                <w:noProof w:val="0"/>
                <w:vanish w:val="0"/>
              </w:rPr>
            </w:pPr>
            <w:r w:rsidRPr="006B378D">
              <w:t>2019-2024</w:t>
            </w:r>
          </w:p>
        </w:tc>
        <w:tc>
          <w:tcPr>
            <w:tcW w:w="2268" w:type="dxa"/>
            <w:hideMark/>
          </w:tcPr>
          <w:p w:rsidR="00CA22CD" w:rsidRPr="006B378D" w:rsidRDefault="004141F0">
            <w:pPr>
              <w:pStyle w:val="EPLogo"/>
            </w:pPr>
            <w:r w:rsidRPr="006B378D">
              <w:drawing>
                <wp:inline distT="0" distB="0" distL="0" distR="0">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824903"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2050" cy="647700"/>
                          </a:xfrm>
                          <a:prstGeom prst="rect">
                            <a:avLst/>
                          </a:prstGeom>
                          <a:noFill/>
                          <a:ln>
                            <a:noFill/>
                          </a:ln>
                        </pic:spPr>
                      </pic:pic>
                    </a:graphicData>
                  </a:graphic>
                </wp:inline>
              </w:drawing>
            </w:r>
          </w:p>
        </w:tc>
      </w:tr>
    </w:tbl>
    <w:p w:rsidR="00CA22CD" w:rsidRPr="006B378D" w:rsidRDefault="00CA22CD" w:rsidP="00CA22CD">
      <w:pPr>
        <w:pStyle w:val="LineTop"/>
      </w:pPr>
    </w:p>
    <w:p w:rsidR="00CA22CD" w:rsidRPr="006B378D" w:rsidRDefault="004141F0" w:rsidP="00CA22CD">
      <w:pPr>
        <w:pStyle w:val="EPBody"/>
      </w:pPr>
      <w:r w:rsidRPr="006B378D">
        <w:t>Dokument z posiedzenia</w:t>
      </w:r>
    </w:p>
    <w:p w:rsidR="00CA22CD" w:rsidRPr="006B378D" w:rsidRDefault="00CA22CD" w:rsidP="00CA22CD">
      <w:pPr>
        <w:pStyle w:val="LineBottom"/>
      </w:pPr>
    </w:p>
    <w:p w:rsidR="00CA22CD" w:rsidRPr="006B378D" w:rsidRDefault="004141F0" w:rsidP="00CA22CD">
      <w:pPr>
        <w:pStyle w:val="CoverReference"/>
      </w:pPr>
      <w:r w:rsidRPr="006B378D">
        <w:rPr>
          <w:rStyle w:val="HideTWBExt"/>
          <w:noProof w:val="0"/>
        </w:rPr>
        <w:t>&lt;NoDocSe&gt;</w:t>
      </w:r>
      <w:r w:rsidRPr="006B378D">
        <w:t>A9-0093/2020</w:t>
      </w:r>
      <w:r w:rsidRPr="006B378D">
        <w:rPr>
          <w:rStyle w:val="HideTWBExt"/>
          <w:noProof w:val="0"/>
        </w:rPr>
        <w:t>&lt;/NoDocSe&gt;</w:t>
      </w:r>
    </w:p>
    <w:p w:rsidR="00CA22CD" w:rsidRPr="006B378D" w:rsidRDefault="004141F0" w:rsidP="00CA22CD">
      <w:pPr>
        <w:pStyle w:val="CoverDate"/>
      </w:pPr>
      <w:r w:rsidRPr="006B378D">
        <w:rPr>
          <w:rStyle w:val="HideTWBExt"/>
          <w:noProof w:val="0"/>
        </w:rPr>
        <w:t>&lt;Date&gt;</w:t>
      </w:r>
      <w:r w:rsidRPr="006B378D">
        <w:rPr>
          <w:rStyle w:val="HideTWBInt"/>
          <w:color w:val="auto"/>
        </w:rPr>
        <w:t>{28/04/2020}</w:t>
      </w:r>
      <w:r w:rsidRPr="006B378D">
        <w:t>28.4.2020</w:t>
      </w:r>
      <w:r w:rsidRPr="006B378D">
        <w:rPr>
          <w:rStyle w:val="HideTWBExt"/>
          <w:noProof w:val="0"/>
        </w:rPr>
        <w:t>&lt;/Date&gt;</w:t>
      </w:r>
    </w:p>
    <w:p w:rsidR="00CA22CD" w:rsidRPr="006B378D" w:rsidRDefault="004141F0" w:rsidP="00CA22CD">
      <w:pPr>
        <w:pStyle w:val="CoverDocType"/>
      </w:pPr>
      <w:r w:rsidRPr="006B378D">
        <w:rPr>
          <w:rStyle w:val="HideTWBExt"/>
          <w:noProof w:val="0"/>
        </w:rPr>
        <w:t>&lt;RefProcLect&gt;</w:t>
      </w:r>
      <w:r w:rsidRPr="006B378D">
        <w:t>***I</w:t>
      </w:r>
      <w:r w:rsidRPr="006B378D">
        <w:rPr>
          <w:rStyle w:val="HideTWBExt"/>
          <w:noProof w:val="0"/>
        </w:rPr>
        <w:t>&lt;/RefProcLect&gt;</w:t>
      </w:r>
    </w:p>
    <w:p w:rsidR="00CA22CD" w:rsidRPr="006B378D" w:rsidRDefault="004141F0" w:rsidP="00CA22CD">
      <w:pPr>
        <w:pStyle w:val="CoverDocType24a"/>
      </w:pPr>
      <w:r w:rsidRPr="006B378D">
        <w:rPr>
          <w:rStyle w:val="HideTWBExt"/>
          <w:noProof w:val="0"/>
        </w:rPr>
        <w:t>&lt;TitreType&gt;</w:t>
      </w:r>
      <w:r w:rsidRPr="006B378D">
        <w:t>SPRAWOZDANIE</w:t>
      </w:r>
      <w:r w:rsidRPr="006B378D">
        <w:rPr>
          <w:rStyle w:val="HideTWBExt"/>
          <w:noProof w:val="0"/>
        </w:rPr>
        <w:t>&lt;/TitreType&gt;</w:t>
      </w:r>
    </w:p>
    <w:p w:rsidR="00CA22CD" w:rsidRPr="006B378D" w:rsidRDefault="004141F0" w:rsidP="00CA22CD">
      <w:pPr>
        <w:pStyle w:val="CoverNormal"/>
      </w:pPr>
      <w:r w:rsidRPr="006B378D">
        <w:rPr>
          <w:rStyle w:val="HideTWBExt"/>
          <w:noProof w:val="0"/>
        </w:rPr>
        <w:t>&lt;Titre&gt;</w:t>
      </w:r>
      <w:r w:rsidRPr="006B378D">
        <w:t xml:space="preserve">w sprawie wniosku dotyczącego rozporządzenia </w:t>
      </w:r>
      <w:r w:rsidRPr="006B378D">
        <w:t>Parlamentu Europejskiego i Rady zmieniającego rozporządzenie (UE) 2016/1139 w zakresie wprowadzenia pułapów zdolności połowowej w odniesieniu do dorsza atlantyckiego ze wschodniej części Morza Bałtyckiego, gromadzenia danych i środków kontroli na Morzu Bał</w:t>
      </w:r>
      <w:r w:rsidRPr="006B378D">
        <w:t>tyckim oraz zmieniające rozporządzenie (UE) nr 508/2014 w odniesieniu do trwałego zaprzestania działalności połowowej flot poławiających dorsza atlantyckiego ze wschodniej części Morza Bałtyckiego</w:t>
      </w:r>
      <w:r w:rsidRPr="006B378D">
        <w:rPr>
          <w:rStyle w:val="HideTWBExt"/>
          <w:noProof w:val="0"/>
        </w:rPr>
        <w:t>&lt;/Titre&gt;</w:t>
      </w:r>
    </w:p>
    <w:p w:rsidR="00CA22CD" w:rsidRPr="006B378D" w:rsidRDefault="004141F0" w:rsidP="00CA22CD">
      <w:pPr>
        <w:pStyle w:val="CoverNormal24a"/>
      </w:pPr>
      <w:r w:rsidRPr="006B378D">
        <w:rPr>
          <w:rStyle w:val="HideTWBExt"/>
          <w:noProof w:val="0"/>
        </w:rPr>
        <w:t>&lt;DocRef&gt;</w:t>
      </w:r>
      <w:r w:rsidRPr="006B378D">
        <w:t>(COM(2019)0564 – C9-0161/2019 – 2019/0246(C</w:t>
      </w:r>
      <w:r w:rsidRPr="006B378D">
        <w:t>OD))</w:t>
      </w:r>
      <w:r w:rsidRPr="006B378D">
        <w:rPr>
          <w:rStyle w:val="HideTWBExt"/>
          <w:noProof w:val="0"/>
        </w:rPr>
        <w:t>&lt;/DocRef&gt;</w:t>
      </w:r>
    </w:p>
    <w:p w:rsidR="00CA22CD" w:rsidRPr="006B378D" w:rsidRDefault="004141F0" w:rsidP="00CA22CD">
      <w:pPr>
        <w:pStyle w:val="CoverNormal24a"/>
      </w:pPr>
      <w:r w:rsidRPr="006B378D">
        <w:rPr>
          <w:rStyle w:val="HideTWBExt"/>
          <w:noProof w:val="0"/>
        </w:rPr>
        <w:t>&lt;Commission&gt;</w:t>
      </w:r>
      <w:r w:rsidRPr="006B378D">
        <w:rPr>
          <w:rStyle w:val="HideTWBInt"/>
          <w:color w:val="auto"/>
        </w:rPr>
        <w:t>{PECH}</w:t>
      </w:r>
      <w:r w:rsidRPr="006B378D">
        <w:t>Komisja Rybołówstwa</w:t>
      </w:r>
      <w:r w:rsidRPr="006B378D">
        <w:rPr>
          <w:rStyle w:val="HideTWBExt"/>
          <w:noProof w:val="0"/>
        </w:rPr>
        <w:t>&lt;/Commission&gt;</w:t>
      </w:r>
    </w:p>
    <w:p w:rsidR="00CA22CD" w:rsidRPr="006B378D" w:rsidRDefault="004141F0" w:rsidP="00CA22CD">
      <w:pPr>
        <w:pStyle w:val="CoverNormal24a"/>
      </w:pPr>
      <w:r w:rsidRPr="006B378D">
        <w:t xml:space="preserve">Sprawozdawca: </w:t>
      </w:r>
      <w:r w:rsidRPr="006B378D">
        <w:rPr>
          <w:rStyle w:val="HideTWBExt"/>
          <w:noProof w:val="0"/>
        </w:rPr>
        <w:t>&lt;Depute&gt;</w:t>
      </w:r>
      <w:r w:rsidRPr="006B378D">
        <w:t>Niclas Herbst</w:t>
      </w:r>
      <w:r w:rsidRPr="006B378D">
        <w:rPr>
          <w:rStyle w:val="HideTWBExt"/>
          <w:noProof w:val="0"/>
        </w:rPr>
        <w:t>&lt;/Depute&gt;</w:t>
      </w:r>
    </w:p>
    <w:p w:rsidR="00CA22CD" w:rsidRPr="006B378D" w:rsidRDefault="00CA22CD" w:rsidP="00CA22CD">
      <w:pPr>
        <w:pStyle w:val="CoverNormal"/>
      </w:pPr>
    </w:p>
    <w:p w:rsidR="00CA22CD" w:rsidRPr="006B378D" w:rsidRDefault="004141F0" w:rsidP="00CA22CD">
      <w:r w:rsidRPr="006B378D">
        <w:br w:type="page"/>
      </w:r>
      <w:fldSimple w:instr=" TITLE  \* MERGEFORMAT ">
        <w:r>
          <w:t>PR_COD_1amCom</w:t>
        </w:r>
      </w:fldSimple>
    </w:p>
    <w:p w:rsidR="00CA22CD" w:rsidRPr="006B378D" w:rsidRDefault="00CA22CD" w:rsidP="00CA22CD"/>
    <w:p w:rsidR="00CA22CD" w:rsidRPr="006B378D" w:rsidRDefault="00CA22CD" w:rsidP="00CA22CD"/>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811"/>
      </w:tblGrid>
      <w:tr w:rsidR="00497A2D" w:rsidRPr="006B378D" w:rsidTr="00CA22CD">
        <w:tc>
          <w:tcPr>
            <w:tcW w:w="5811" w:type="dxa"/>
            <w:tcBorders>
              <w:top w:val="single" w:sz="4" w:space="0" w:color="auto"/>
              <w:left w:val="single" w:sz="4" w:space="0" w:color="auto"/>
              <w:bottom w:val="nil"/>
              <w:right w:val="single" w:sz="4" w:space="0" w:color="auto"/>
            </w:tcBorders>
            <w:hideMark/>
          </w:tcPr>
          <w:p w:rsidR="00CA22CD" w:rsidRPr="006B378D" w:rsidRDefault="004141F0">
            <w:pPr>
              <w:pStyle w:val="Lgendetitre"/>
            </w:pPr>
            <w:r w:rsidRPr="006B378D">
              <w:t>Objaśnienie używanych znaków</w:t>
            </w:r>
          </w:p>
        </w:tc>
      </w:tr>
      <w:tr w:rsidR="00497A2D" w:rsidRPr="006B378D" w:rsidTr="00CA22CD">
        <w:trPr>
          <w:cantSplit/>
          <w:trHeight w:val="1807"/>
        </w:trPr>
        <w:tc>
          <w:tcPr>
            <w:tcW w:w="5811" w:type="dxa"/>
            <w:tcBorders>
              <w:top w:val="nil"/>
              <w:left w:val="single" w:sz="4" w:space="0" w:color="auto"/>
              <w:bottom w:val="single" w:sz="4" w:space="0" w:color="auto"/>
              <w:right w:val="single" w:sz="4" w:space="0" w:color="auto"/>
            </w:tcBorders>
          </w:tcPr>
          <w:p w:rsidR="00CA22CD" w:rsidRPr="006B378D" w:rsidRDefault="004141F0">
            <w:pPr>
              <w:pStyle w:val="Lgendesigne"/>
            </w:pPr>
            <w:r w:rsidRPr="006B378D">
              <w:tab/>
              <w:t>*</w:t>
            </w:r>
            <w:r w:rsidRPr="006B378D">
              <w:tab/>
              <w:t>Procedura konsultacji</w:t>
            </w:r>
          </w:p>
          <w:p w:rsidR="00CA22CD" w:rsidRPr="006B378D" w:rsidRDefault="004141F0">
            <w:pPr>
              <w:pStyle w:val="Lgendesigne"/>
            </w:pPr>
            <w:r w:rsidRPr="006B378D">
              <w:tab/>
              <w:t>***</w:t>
            </w:r>
            <w:r w:rsidRPr="006B378D">
              <w:tab/>
              <w:t>Procedura zgody</w:t>
            </w:r>
          </w:p>
          <w:p w:rsidR="00CA22CD" w:rsidRPr="006B378D" w:rsidRDefault="004141F0">
            <w:pPr>
              <w:pStyle w:val="Lgendesigne"/>
            </w:pPr>
            <w:r w:rsidRPr="006B378D">
              <w:tab/>
              <w:t>***I</w:t>
            </w:r>
            <w:r w:rsidRPr="006B378D">
              <w:tab/>
              <w:t xml:space="preserve">Zwykła procedura </w:t>
            </w:r>
            <w:r w:rsidRPr="006B378D">
              <w:t>ustawodawcza (pierwsze czytanie)</w:t>
            </w:r>
          </w:p>
          <w:p w:rsidR="00CA22CD" w:rsidRPr="006B378D" w:rsidRDefault="004141F0">
            <w:pPr>
              <w:pStyle w:val="Lgendesigne"/>
            </w:pPr>
            <w:r w:rsidRPr="006B378D">
              <w:tab/>
              <w:t>***II</w:t>
            </w:r>
            <w:r w:rsidRPr="006B378D">
              <w:tab/>
              <w:t>Zwykła procedura ustawodawcza (drugie czytanie)</w:t>
            </w:r>
          </w:p>
          <w:p w:rsidR="00CA22CD" w:rsidRPr="006B378D" w:rsidRDefault="004141F0">
            <w:pPr>
              <w:pStyle w:val="Lgendesigne"/>
            </w:pPr>
            <w:r w:rsidRPr="006B378D">
              <w:tab/>
              <w:t>***III</w:t>
            </w:r>
            <w:r w:rsidRPr="006B378D">
              <w:tab/>
              <w:t>Zwykła procedura ustawodawcza (trzecie czytanie)</w:t>
            </w:r>
          </w:p>
          <w:p w:rsidR="00CA22CD" w:rsidRPr="006B378D" w:rsidRDefault="00CA22CD">
            <w:pPr>
              <w:pStyle w:val="Lgendestandard"/>
            </w:pPr>
          </w:p>
          <w:p w:rsidR="00CA22CD" w:rsidRPr="006B378D" w:rsidRDefault="004141F0">
            <w:pPr>
              <w:pStyle w:val="Lgendestandard"/>
            </w:pPr>
            <w:r w:rsidRPr="006B378D">
              <w:t>(Wskazana procedura opiera się na podstawie prawnej zaproponowanej w projekcie aktu.)</w:t>
            </w:r>
          </w:p>
          <w:p w:rsidR="00CA22CD" w:rsidRPr="006B378D" w:rsidRDefault="00CA22CD">
            <w:pPr>
              <w:pStyle w:val="Lgendestandard"/>
            </w:pPr>
          </w:p>
        </w:tc>
      </w:tr>
    </w:tbl>
    <w:p w:rsidR="00CA22CD" w:rsidRPr="006B378D" w:rsidRDefault="00CA22CD" w:rsidP="00CA22CD"/>
    <w:p w:rsidR="00CA22CD" w:rsidRPr="006B378D" w:rsidRDefault="00CA22CD" w:rsidP="00CA22CD"/>
    <w:p w:rsidR="00CA22CD" w:rsidRPr="006B378D" w:rsidRDefault="00CA22CD" w:rsidP="00CA22CD"/>
    <w:p w:rsidR="00CA22CD" w:rsidRPr="006B378D" w:rsidRDefault="00CA22CD" w:rsidP="00CA22CD"/>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4A0" w:firstRow="1" w:lastRow="0" w:firstColumn="1" w:lastColumn="0" w:noHBand="0" w:noVBand="1"/>
      </w:tblPr>
      <w:tblGrid>
        <w:gridCol w:w="5811"/>
      </w:tblGrid>
      <w:tr w:rsidR="00497A2D" w:rsidRPr="006B378D" w:rsidTr="00CA22CD">
        <w:tc>
          <w:tcPr>
            <w:tcW w:w="5811" w:type="dxa"/>
            <w:tcBorders>
              <w:top w:val="single" w:sz="4" w:space="0" w:color="auto"/>
              <w:left w:val="single" w:sz="4" w:space="0" w:color="auto"/>
              <w:bottom w:val="nil"/>
              <w:right w:val="single" w:sz="4" w:space="0" w:color="auto"/>
            </w:tcBorders>
            <w:hideMark/>
          </w:tcPr>
          <w:p w:rsidR="00CA22CD" w:rsidRPr="006B378D" w:rsidRDefault="004141F0">
            <w:pPr>
              <w:pStyle w:val="Lgendetitre"/>
            </w:pPr>
            <w:r w:rsidRPr="006B378D">
              <w:t xml:space="preserve">Poprawki do </w:t>
            </w:r>
            <w:r w:rsidRPr="006B378D">
              <w:t>projektu aktu</w:t>
            </w:r>
          </w:p>
        </w:tc>
      </w:tr>
      <w:tr w:rsidR="00497A2D" w:rsidRPr="006B378D" w:rsidTr="00CA22CD">
        <w:trPr>
          <w:trHeight w:val="4496"/>
        </w:trPr>
        <w:tc>
          <w:tcPr>
            <w:tcW w:w="5811" w:type="dxa"/>
            <w:tcBorders>
              <w:top w:val="nil"/>
              <w:left w:val="single" w:sz="4" w:space="0" w:color="auto"/>
              <w:bottom w:val="single" w:sz="4" w:space="0" w:color="auto"/>
              <w:right w:val="single" w:sz="4" w:space="0" w:color="auto"/>
            </w:tcBorders>
          </w:tcPr>
          <w:p w:rsidR="00CA22CD" w:rsidRPr="006B378D" w:rsidRDefault="004141F0">
            <w:pPr>
              <w:pStyle w:val="Lgendestandard"/>
              <w:rPr>
                <w:szCs w:val="24"/>
              </w:rPr>
            </w:pPr>
            <w:r w:rsidRPr="006B378D">
              <w:rPr>
                <w:b/>
                <w:szCs w:val="24"/>
              </w:rPr>
              <w:t>Poprawki Parlamentu w postaci dwóch kolumn</w:t>
            </w:r>
          </w:p>
          <w:p w:rsidR="00CA22CD" w:rsidRPr="006B378D" w:rsidRDefault="00CA22CD">
            <w:pPr>
              <w:pStyle w:val="Lgendestandard"/>
              <w:rPr>
                <w:szCs w:val="24"/>
              </w:rPr>
            </w:pPr>
          </w:p>
          <w:p w:rsidR="00CA22CD" w:rsidRPr="006B378D" w:rsidRDefault="004141F0">
            <w:pPr>
              <w:pStyle w:val="Lgendestandard"/>
              <w:rPr>
                <w:szCs w:val="24"/>
              </w:rPr>
            </w:pPr>
            <w:r w:rsidRPr="006B378D">
              <w:t xml:space="preserve">Skreślenia zaznacza się wytłuszczonym drukiem i kursywą w lewej kolumnie. Zmianę brzmienia zaznacza się wytłuszczonym drukiem i kursywą w obu kolumnach. Nowy tekst zaznacza się wytłuszczonym </w:t>
            </w:r>
            <w:r w:rsidRPr="006B378D">
              <w:t>drukiem i kursywą w prawej kolumnie.</w:t>
            </w:r>
          </w:p>
          <w:p w:rsidR="00CA22CD" w:rsidRPr="006B378D" w:rsidRDefault="00CA22CD">
            <w:pPr>
              <w:pStyle w:val="Lgendestandard"/>
              <w:rPr>
                <w:szCs w:val="24"/>
              </w:rPr>
            </w:pPr>
          </w:p>
          <w:p w:rsidR="00CA22CD" w:rsidRPr="006B378D" w:rsidRDefault="004141F0">
            <w:pPr>
              <w:pStyle w:val="Lgendestandard"/>
              <w:rPr>
                <w:szCs w:val="24"/>
              </w:rPr>
            </w:pPr>
            <w:r w:rsidRPr="006B378D">
              <w:t>Pierwszy i drugi wiersz nagłówka każdej poprawki wskazuje element rozpatrywanego projektu aktu, którego dotyczy poprawka. Jeżeli poprawka odnosi się do obowiązującego aktu, do którego zmiany zmierza projekt aktu, nagłó</w:t>
            </w:r>
            <w:r w:rsidRPr="006B378D">
              <w:t>wek zawiera dodatkowo trzeci wiersz, w którym wskazuje się odpowiednio obowiązujący akt i przepis, którego dotyczy poprawka.</w:t>
            </w:r>
          </w:p>
          <w:p w:rsidR="00CA22CD" w:rsidRPr="006B378D" w:rsidRDefault="00CA22CD">
            <w:pPr>
              <w:pStyle w:val="Lgendestandard"/>
              <w:rPr>
                <w:szCs w:val="24"/>
              </w:rPr>
            </w:pPr>
          </w:p>
          <w:p w:rsidR="00CA22CD" w:rsidRPr="006B378D" w:rsidRDefault="004141F0">
            <w:pPr>
              <w:pStyle w:val="Lgendestandard"/>
              <w:rPr>
                <w:b/>
                <w:szCs w:val="24"/>
              </w:rPr>
            </w:pPr>
            <w:r w:rsidRPr="006B378D">
              <w:rPr>
                <w:b/>
                <w:szCs w:val="24"/>
              </w:rPr>
              <w:t>Poprawki Parlamentu w postaci tekstu skonsolidowanego</w:t>
            </w:r>
          </w:p>
          <w:p w:rsidR="00CA22CD" w:rsidRPr="006B378D" w:rsidRDefault="00CA22CD">
            <w:pPr>
              <w:pStyle w:val="Lgendestandard"/>
              <w:rPr>
                <w:szCs w:val="24"/>
              </w:rPr>
            </w:pPr>
          </w:p>
          <w:p w:rsidR="00CA22CD" w:rsidRPr="006B378D" w:rsidRDefault="004141F0">
            <w:pPr>
              <w:pStyle w:val="Lgendestandard"/>
              <w:rPr>
                <w:szCs w:val="24"/>
              </w:rPr>
            </w:pPr>
            <w:r w:rsidRPr="006B378D">
              <w:t>Nowe fragmenty tekstu zaznacza się wytłuszczonym drukiem i kursywą. Fragmen</w:t>
            </w:r>
            <w:r w:rsidRPr="006B378D">
              <w:t xml:space="preserve">ty tekstu, które zostały skreślone, zaznacza się za pomocą symbolu ▌ lub przekreśla. Zmianę brzmienia zaznacza się przez wyróżnienie nowego tekstu wytłuszczonym drukiem i kursywą i usunięcie lub przekreślenie zastąpionego tekstu. </w:t>
            </w:r>
          </w:p>
          <w:p w:rsidR="00CA22CD" w:rsidRPr="006B378D" w:rsidRDefault="004141F0">
            <w:pPr>
              <w:pStyle w:val="Lgendestandard"/>
            </w:pPr>
            <w:r w:rsidRPr="006B378D">
              <w:t>Tytułem wyjątku nie zazna</w:t>
            </w:r>
            <w:r w:rsidRPr="006B378D">
              <w:t>cza się zmian o charakterze ściśle technicznym wprowadzonych przez służby w celu opracowania końcowej wersji tekstu.</w:t>
            </w:r>
          </w:p>
          <w:p w:rsidR="00CA22CD" w:rsidRPr="006B378D" w:rsidRDefault="00CA22CD">
            <w:pPr>
              <w:pStyle w:val="Lgendestandard"/>
            </w:pPr>
          </w:p>
        </w:tc>
      </w:tr>
    </w:tbl>
    <w:p w:rsidR="00CA22CD" w:rsidRPr="006B378D" w:rsidRDefault="00CA22CD" w:rsidP="00CA22CD"/>
    <w:p w:rsidR="00CA22CD" w:rsidRPr="006B378D" w:rsidRDefault="00CA22CD" w:rsidP="00CA22CD">
      <w:pPr>
        <w:widowControl/>
        <w:tabs>
          <w:tab w:val="center" w:pos="4677"/>
        </w:tabs>
      </w:pPr>
    </w:p>
    <w:p w:rsidR="00CA22CD" w:rsidRPr="006B378D" w:rsidRDefault="004141F0" w:rsidP="00CA22CD">
      <w:pPr>
        <w:pStyle w:val="TOCHeading"/>
      </w:pPr>
      <w:r w:rsidRPr="006B378D">
        <w:br w:type="page"/>
      </w:r>
      <w:r w:rsidRPr="006B378D">
        <w:lastRenderedPageBreak/>
        <w:t>SPIS TREŚCI</w:t>
      </w:r>
    </w:p>
    <w:p w:rsidR="00CA22CD" w:rsidRPr="006B378D" w:rsidRDefault="004141F0" w:rsidP="00CA22CD">
      <w:pPr>
        <w:pStyle w:val="TOCPage"/>
      </w:pPr>
      <w:r w:rsidRPr="006B378D">
        <w:t>Strona</w:t>
      </w:r>
    </w:p>
    <w:p w:rsidR="004141F0" w:rsidRDefault="004141F0">
      <w:pPr>
        <w:pStyle w:val="TOC1"/>
        <w:tabs>
          <w:tab w:val="right" w:leader="dot" w:pos="9060"/>
        </w:tabs>
        <w:rPr>
          <w:rFonts w:asciiTheme="minorHAnsi" w:eastAsiaTheme="minorEastAsia" w:hAnsiTheme="minorHAnsi" w:cstheme="minorBidi"/>
          <w:noProof/>
          <w:sz w:val="22"/>
          <w:szCs w:val="22"/>
          <w:lang w:val="en-GB"/>
        </w:rPr>
      </w:pPr>
      <w:r w:rsidRPr="006B378D">
        <w:rPr>
          <w:b/>
        </w:rPr>
        <w:fldChar w:fldCharType="begin"/>
      </w:r>
      <w:r w:rsidRPr="006B378D">
        <w:rPr>
          <w:b/>
        </w:rPr>
        <w:instrText xml:space="preserve"> TOC \t "PageHeading</w:instrText>
      </w:r>
      <w:r>
        <w:rPr>
          <w:b/>
        </w:rPr>
        <w:instrText>;</w:instrText>
      </w:r>
      <w:r w:rsidRPr="006B378D">
        <w:rPr>
          <w:b/>
        </w:rPr>
        <w:instrText xml:space="preserve">1" </w:instrText>
      </w:r>
      <w:r w:rsidRPr="006B378D">
        <w:rPr>
          <w:b/>
        </w:rPr>
        <w:fldChar w:fldCharType="separate"/>
      </w:r>
      <w:r>
        <w:rPr>
          <w:noProof/>
        </w:rPr>
        <w:t>PROJEKT REZOLUCJI USTAWODAWCZEJ PARLAMENTU EUROPEJSKIEGO</w:t>
      </w:r>
      <w:r>
        <w:rPr>
          <w:noProof/>
        </w:rPr>
        <w:tab/>
      </w:r>
      <w:r>
        <w:rPr>
          <w:noProof/>
        </w:rPr>
        <w:fldChar w:fldCharType="begin"/>
      </w:r>
      <w:r>
        <w:rPr>
          <w:noProof/>
        </w:rPr>
        <w:instrText xml:space="preserve"> PAGEREF _Toc40341301 \h </w:instrText>
      </w:r>
      <w:r>
        <w:rPr>
          <w:noProof/>
        </w:rPr>
      </w:r>
      <w:r>
        <w:rPr>
          <w:noProof/>
        </w:rPr>
        <w:fldChar w:fldCharType="separate"/>
      </w:r>
      <w:r>
        <w:rPr>
          <w:noProof/>
        </w:rPr>
        <w:t>5</w:t>
      </w:r>
      <w:r>
        <w:rPr>
          <w:noProof/>
        </w:rPr>
        <w:fldChar w:fldCharType="end"/>
      </w:r>
    </w:p>
    <w:p w:rsidR="004141F0" w:rsidRDefault="004141F0">
      <w:pPr>
        <w:pStyle w:val="TOC1"/>
        <w:tabs>
          <w:tab w:val="right" w:leader="dot" w:pos="9060"/>
        </w:tabs>
        <w:rPr>
          <w:rFonts w:asciiTheme="minorHAnsi" w:eastAsiaTheme="minorEastAsia" w:hAnsiTheme="minorHAnsi" w:cstheme="minorBidi"/>
          <w:noProof/>
          <w:sz w:val="22"/>
          <w:szCs w:val="22"/>
          <w:lang w:val="en-GB"/>
        </w:rPr>
      </w:pPr>
      <w:r>
        <w:rPr>
          <w:noProof/>
        </w:rPr>
        <w:t>UZASADNIENIE</w:t>
      </w:r>
      <w:r>
        <w:rPr>
          <w:noProof/>
        </w:rPr>
        <w:tab/>
      </w:r>
      <w:r>
        <w:rPr>
          <w:noProof/>
        </w:rPr>
        <w:fldChar w:fldCharType="begin"/>
      </w:r>
      <w:r>
        <w:rPr>
          <w:noProof/>
        </w:rPr>
        <w:instrText xml:space="preserve"> PAGEREF _Toc40341302 \h </w:instrText>
      </w:r>
      <w:r>
        <w:rPr>
          <w:noProof/>
        </w:rPr>
      </w:r>
      <w:r>
        <w:rPr>
          <w:noProof/>
        </w:rPr>
        <w:fldChar w:fldCharType="separate"/>
      </w:r>
      <w:r>
        <w:rPr>
          <w:noProof/>
        </w:rPr>
        <w:t>19</w:t>
      </w:r>
      <w:r>
        <w:rPr>
          <w:noProof/>
        </w:rPr>
        <w:fldChar w:fldCharType="end"/>
      </w:r>
    </w:p>
    <w:p w:rsidR="004141F0" w:rsidRDefault="004141F0">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_Toc40341303 \h </w:instrText>
      </w:r>
      <w:r>
        <w:rPr>
          <w:noProof/>
        </w:rPr>
      </w:r>
      <w:r>
        <w:rPr>
          <w:noProof/>
        </w:rPr>
        <w:fldChar w:fldCharType="separate"/>
      </w:r>
      <w:r>
        <w:rPr>
          <w:noProof/>
        </w:rPr>
        <w:t>20</w:t>
      </w:r>
      <w:r>
        <w:rPr>
          <w:noProof/>
        </w:rPr>
        <w:fldChar w:fldCharType="end"/>
      </w:r>
    </w:p>
    <w:p w:rsidR="004141F0" w:rsidRDefault="004141F0">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_Toc40341304 \h </w:instrText>
      </w:r>
      <w:r>
        <w:rPr>
          <w:noProof/>
        </w:rPr>
      </w:r>
      <w:r>
        <w:rPr>
          <w:noProof/>
        </w:rPr>
        <w:fldChar w:fldCharType="separate"/>
      </w:r>
      <w:r>
        <w:rPr>
          <w:noProof/>
        </w:rPr>
        <w:t>21</w:t>
      </w:r>
      <w:r>
        <w:rPr>
          <w:noProof/>
        </w:rPr>
        <w:fldChar w:fldCharType="end"/>
      </w:r>
    </w:p>
    <w:p w:rsidR="00CA22CD" w:rsidRPr="006B378D" w:rsidRDefault="004141F0" w:rsidP="00CA22CD">
      <w:r w:rsidRPr="006B378D">
        <w:rPr>
          <w:b/>
        </w:rPr>
        <w:fldChar w:fldCharType="end"/>
      </w:r>
    </w:p>
    <w:p w:rsidR="00CA22CD" w:rsidRPr="006B378D" w:rsidRDefault="004141F0" w:rsidP="00CA22CD">
      <w:pPr>
        <w:pStyle w:val="PageHeading"/>
      </w:pPr>
      <w:r w:rsidRPr="006B378D">
        <w:br w:type="page"/>
      </w:r>
      <w:r w:rsidRPr="006B378D">
        <w:br w:type="page"/>
      </w:r>
      <w:bookmarkStart w:id="1" w:name="_Toc40341301"/>
      <w:r w:rsidRPr="006B378D">
        <w:t>PROJEKT REZOLUCJI USTAWODAWCZEJ PARLAMENTU EUROPEJSKIEGO</w:t>
      </w:r>
      <w:bookmarkEnd w:id="1"/>
    </w:p>
    <w:p w:rsidR="00CA22CD" w:rsidRPr="006B378D" w:rsidRDefault="004141F0" w:rsidP="00CA22CD">
      <w:pPr>
        <w:pStyle w:val="NormalBold"/>
      </w:pPr>
      <w:r w:rsidRPr="006B378D">
        <w:t>w sprawie wniosku dotyczącego rozporządzenia Parlamentu Europejskiego i Rady zmieniającego rozporządzenie (UE) 2016/1139 w zakres</w:t>
      </w:r>
      <w:r w:rsidRPr="006B378D">
        <w:t>ie wprowadzenia pułapów zdolności połowowej w odniesieniu do dorsza atlantyckiego ze wschodniej części Morza Bałtyckiego, gromadzenia danych i środków kontroli na Morzu Bałtyckim oraz zmieniające rozporządzenie (UE) nr 508/2014 w odniesieniu do trwałego za</w:t>
      </w:r>
      <w:r w:rsidRPr="006B378D">
        <w:t>przestania działalności połowowej flot poławiających dorsza atlantyckiego ze wschodniej części Morza Bałtyckiego</w:t>
      </w:r>
    </w:p>
    <w:p w:rsidR="00CA22CD" w:rsidRPr="006B378D" w:rsidRDefault="004141F0" w:rsidP="00CA22CD">
      <w:pPr>
        <w:pStyle w:val="NormalBold12a"/>
      </w:pPr>
      <w:r w:rsidRPr="006B378D">
        <w:t>(COM(2019)0564 – C9-0161/2019 – 2019/0246(COD))</w:t>
      </w:r>
    </w:p>
    <w:p w:rsidR="00CA22CD" w:rsidRPr="006B378D" w:rsidRDefault="004141F0" w:rsidP="00CA22CD">
      <w:pPr>
        <w:pStyle w:val="NormalBold"/>
      </w:pPr>
      <w:r w:rsidRPr="006B378D">
        <w:t>(Zwykła procedura ustawodawcza: pierwsze czytanie)</w:t>
      </w:r>
    </w:p>
    <w:p w:rsidR="00CA22CD" w:rsidRPr="006B378D" w:rsidRDefault="004141F0" w:rsidP="00CA22CD">
      <w:pPr>
        <w:pStyle w:val="EPComma"/>
      </w:pPr>
      <w:r w:rsidRPr="006B378D">
        <w:rPr>
          <w:i/>
        </w:rPr>
        <w:t>Parlament Europejski</w:t>
      </w:r>
      <w:r w:rsidRPr="006B378D">
        <w:t>,</w:t>
      </w:r>
    </w:p>
    <w:p w:rsidR="00CA22CD" w:rsidRPr="006B378D" w:rsidRDefault="004141F0" w:rsidP="00CA22CD">
      <w:pPr>
        <w:pStyle w:val="NormalHanging12a"/>
      </w:pPr>
      <w:r w:rsidRPr="006B378D">
        <w:t>–</w:t>
      </w:r>
      <w:r w:rsidRPr="006B378D">
        <w:tab/>
        <w:t xml:space="preserve">uwzględniając </w:t>
      </w:r>
      <w:r w:rsidRPr="006B378D">
        <w:t>wniosek Komisji przedstawiony Parlamentowi Europejskiemu i Radzie (COM(2019)0564),</w:t>
      </w:r>
    </w:p>
    <w:p w:rsidR="00CA22CD" w:rsidRPr="006B378D" w:rsidRDefault="004141F0" w:rsidP="00CA22CD">
      <w:pPr>
        <w:pStyle w:val="NormalHanging12a"/>
      </w:pPr>
      <w:r w:rsidRPr="006B378D">
        <w:t>–</w:t>
      </w:r>
      <w:r w:rsidRPr="006B378D">
        <w:tab/>
        <w:t>uwzględniając art. 294 ust. 2 oraz art. 43 ust. 2 Traktatu o funkcjonowaniu Unii Europejskiej, zgodnie z którymi wniosek został przedstawiony Parlamentowi przez Komisję (C</w:t>
      </w:r>
      <w:r w:rsidRPr="006B378D">
        <w:t>9-0161/2019),</w:t>
      </w:r>
    </w:p>
    <w:p w:rsidR="00CA22CD" w:rsidRPr="006B378D" w:rsidRDefault="004141F0" w:rsidP="00CA22CD">
      <w:pPr>
        <w:pStyle w:val="NormalHanging12a"/>
      </w:pPr>
      <w:r w:rsidRPr="006B378D">
        <w:t>–</w:t>
      </w:r>
      <w:r w:rsidRPr="006B378D">
        <w:tab/>
        <w:t>uwzględniając art. 294 ust. 3 Traktatu o funkcjonowaniu Unii Europejskiej,</w:t>
      </w:r>
    </w:p>
    <w:p w:rsidR="00CA22CD" w:rsidRPr="006B378D" w:rsidRDefault="004141F0" w:rsidP="00CA22CD">
      <w:pPr>
        <w:pStyle w:val="NormalHanging12a"/>
      </w:pPr>
      <w:r w:rsidRPr="006B378D">
        <w:t>–</w:t>
      </w:r>
      <w:r w:rsidRPr="006B378D">
        <w:tab/>
        <w:t>uwzględniając opinię Europejskiego Komitetu Ekonomiczno-Społecznego z dnia 23 stycznia 2020 r.</w:t>
      </w:r>
      <w:r w:rsidRPr="006B378D">
        <w:rPr>
          <w:rStyle w:val="FootnoteReference"/>
        </w:rPr>
        <w:footnoteReference w:id="1"/>
      </w:r>
      <w:r w:rsidRPr="006B378D">
        <w:t>,</w:t>
      </w:r>
    </w:p>
    <w:p w:rsidR="00CA22CD" w:rsidRPr="006B378D" w:rsidRDefault="004141F0" w:rsidP="00CA22CD">
      <w:pPr>
        <w:pStyle w:val="NormalHanging12a"/>
      </w:pPr>
      <w:r w:rsidRPr="006B378D">
        <w:t>–</w:t>
      </w:r>
      <w:r w:rsidRPr="006B378D">
        <w:tab/>
        <w:t>uwzględniając art. 59 Regulaminu,</w:t>
      </w:r>
    </w:p>
    <w:p w:rsidR="00CA22CD" w:rsidRPr="006B378D" w:rsidRDefault="004141F0" w:rsidP="00CA22CD">
      <w:pPr>
        <w:pStyle w:val="NormalHanging12a"/>
      </w:pPr>
      <w:r w:rsidRPr="006B378D">
        <w:t>–</w:t>
      </w:r>
      <w:r w:rsidRPr="006B378D">
        <w:tab/>
        <w:t>uwzględniając sprawozdanie K</w:t>
      </w:r>
      <w:r w:rsidRPr="006B378D">
        <w:t>omisji Rybołówstwa (A9-0093/2020),</w:t>
      </w:r>
    </w:p>
    <w:p w:rsidR="00CA22CD" w:rsidRPr="006B378D" w:rsidRDefault="004141F0" w:rsidP="00CA22CD">
      <w:pPr>
        <w:pStyle w:val="NormalHanging12a"/>
      </w:pPr>
      <w:r w:rsidRPr="006B378D">
        <w:t>1.</w:t>
      </w:r>
      <w:r w:rsidRPr="006B378D">
        <w:tab/>
        <w:t>przyjmuje poniższe stanowisko w pierwszym czytaniu;</w:t>
      </w:r>
    </w:p>
    <w:p w:rsidR="00CA22CD" w:rsidRPr="006B378D" w:rsidRDefault="004141F0" w:rsidP="00CA22CD">
      <w:pPr>
        <w:pStyle w:val="NormalHanging12a"/>
      </w:pPr>
      <w:r w:rsidRPr="006B378D">
        <w:t>2.</w:t>
      </w:r>
      <w:r w:rsidRPr="006B378D">
        <w:tab/>
        <w:t>zwraca się do Komisji o ponowne przekazanie mu sprawy, jeśli zastąpi ona pierwotny wniosek, wprowadzi w nim istotne zmiany lub planuje ich wprowadzenie;</w:t>
      </w:r>
    </w:p>
    <w:p w:rsidR="00CA22CD" w:rsidRPr="006B378D" w:rsidRDefault="004141F0" w:rsidP="00CA22CD">
      <w:pPr>
        <w:pStyle w:val="NormalHanging12a"/>
      </w:pPr>
      <w:r w:rsidRPr="006B378D">
        <w:t>3.</w:t>
      </w:r>
      <w:r w:rsidRPr="006B378D">
        <w:tab/>
        <w:t>zobowią</w:t>
      </w:r>
      <w:r w:rsidRPr="006B378D">
        <w:t>zuje swoją przewodniczącą do przekazania stanowiska Parlamentu Radzie i Komisji oraz parlamentom narodowym.</w:t>
      </w:r>
    </w:p>
    <w:p w:rsidR="00CA22CD" w:rsidRPr="006B378D" w:rsidRDefault="00CA22CD" w:rsidP="00CA22CD"/>
    <w:p w:rsidR="00E22338" w:rsidRPr="006B378D" w:rsidRDefault="004141F0" w:rsidP="00E22338">
      <w:bookmarkStart w:id="2" w:name="PasteOldAMStart"/>
      <w:bookmarkStart w:id="3" w:name="PasteOldAMEnd"/>
      <w:bookmarkEnd w:id="2"/>
      <w:bookmarkEnd w:id="3"/>
      <w:r w:rsidRPr="006B378D">
        <w:rPr>
          <w:rStyle w:val="HideTWBExt"/>
          <w:noProof w:val="0"/>
        </w:rPr>
        <w:t>&lt;RepeatBlock-Amend&gt;</w:t>
      </w:r>
    </w:p>
    <w:p w:rsidR="00E22338" w:rsidRPr="006B378D" w:rsidRDefault="004141F0" w:rsidP="00E22338">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w:t>
      </w:r>
      <w:r w:rsidRPr="006B378D">
        <w:rPr>
          <w:rStyle w:val="HideTWBExt"/>
          <w:noProof w:val="0"/>
        </w:rPr>
        <w:t>&lt;/NumAm&gt;</w:t>
      </w:r>
    </w:p>
    <w:p w:rsidR="00E22338" w:rsidRPr="006B378D" w:rsidRDefault="004141F0" w:rsidP="00E22338">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E22338" w:rsidRPr="006B378D" w:rsidRDefault="004141F0" w:rsidP="00E22338">
      <w:pPr>
        <w:pStyle w:val="NormalBold"/>
      </w:pPr>
      <w:r w:rsidRPr="006B378D">
        <w:rPr>
          <w:rStyle w:val="HideTWBExt"/>
          <w:noProof w:val="0"/>
        </w:rPr>
        <w:t>&lt;Article&gt;</w:t>
      </w:r>
      <w:r w:rsidRPr="006B378D">
        <w:t>Tytuł</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E420EF">
        <w:trPr>
          <w:jc w:val="center"/>
        </w:trPr>
        <w:tc>
          <w:tcPr>
            <w:tcW w:w="9752" w:type="dxa"/>
            <w:gridSpan w:val="2"/>
          </w:tcPr>
          <w:p w:rsidR="00E22338" w:rsidRPr="006B378D" w:rsidRDefault="00E22338" w:rsidP="00E420EF">
            <w:pPr>
              <w:keepNext/>
            </w:pPr>
          </w:p>
        </w:tc>
      </w:tr>
      <w:tr w:rsidR="00497A2D" w:rsidRPr="006B378D" w:rsidTr="00E420EF">
        <w:trPr>
          <w:jc w:val="center"/>
        </w:trPr>
        <w:tc>
          <w:tcPr>
            <w:tcW w:w="4876" w:type="dxa"/>
            <w:hideMark/>
          </w:tcPr>
          <w:p w:rsidR="00E22338" w:rsidRPr="006B378D" w:rsidRDefault="004141F0" w:rsidP="00E420EF">
            <w:pPr>
              <w:pStyle w:val="ColumnHeading"/>
              <w:keepNext/>
            </w:pPr>
            <w:r w:rsidRPr="006B378D">
              <w:t xml:space="preserve">Tekst </w:t>
            </w:r>
            <w:r w:rsidRPr="006B378D">
              <w:t>proponowany przez Komisję</w:t>
            </w:r>
          </w:p>
        </w:tc>
        <w:tc>
          <w:tcPr>
            <w:tcW w:w="4876" w:type="dxa"/>
            <w:hideMark/>
          </w:tcPr>
          <w:p w:rsidR="00E22338" w:rsidRPr="006B378D" w:rsidRDefault="004141F0" w:rsidP="00E420EF">
            <w:pPr>
              <w:pStyle w:val="ColumnHeading"/>
              <w:keepNext/>
            </w:pPr>
            <w:r w:rsidRPr="006B378D">
              <w:t>Poprawka</w:t>
            </w:r>
          </w:p>
        </w:tc>
      </w:tr>
      <w:tr w:rsidR="00497A2D" w:rsidRPr="006B378D" w:rsidTr="00E420EF">
        <w:trPr>
          <w:jc w:val="center"/>
        </w:trPr>
        <w:tc>
          <w:tcPr>
            <w:tcW w:w="4876" w:type="dxa"/>
            <w:hideMark/>
          </w:tcPr>
          <w:p w:rsidR="00E22338" w:rsidRPr="006B378D" w:rsidRDefault="004141F0" w:rsidP="00E420EF">
            <w:pPr>
              <w:pStyle w:val="Normal6"/>
            </w:pPr>
            <w:r w:rsidRPr="006B378D">
              <w:t>Wniosek</w:t>
            </w:r>
          </w:p>
        </w:tc>
        <w:tc>
          <w:tcPr>
            <w:tcW w:w="4876" w:type="dxa"/>
            <w:hideMark/>
          </w:tcPr>
          <w:p w:rsidR="00E22338" w:rsidRPr="006B378D" w:rsidRDefault="004141F0" w:rsidP="00E420EF">
            <w:pPr>
              <w:pStyle w:val="Normal6"/>
              <w:rPr>
                <w:szCs w:val="24"/>
              </w:rPr>
            </w:pPr>
            <w:r w:rsidRPr="006B378D">
              <w:t>Wniosek</w:t>
            </w:r>
          </w:p>
        </w:tc>
      </w:tr>
      <w:tr w:rsidR="00497A2D" w:rsidRPr="006B378D" w:rsidTr="00E420EF">
        <w:trPr>
          <w:jc w:val="center"/>
        </w:trPr>
        <w:tc>
          <w:tcPr>
            <w:tcW w:w="4876" w:type="dxa"/>
            <w:hideMark/>
          </w:tcPr>
          <w:p w:rsidR="00E22338" w:rsidRPr="006B378D" w:rsidRDefault="004141F0" w:rsidP="00E420EF">
            <w:pPr>
              <w:pStyle w:val="Normal6"/>
            </w:pPr>
            <w:r w:rsidRPr="006B378D">
              <w:t>ROZPORZĄDZENIE PARLAMENTU EUROPEJSKIEGO I RADY</w:t>
            </w:r>
          </w:p>
        </w:tc>
        <w:tc>
          <w:tcPr>
            <w:tcW w:w="4876" w:type="dxa"/>
            <w:hideMark/>
          </w:tcPr>
          <w:p w:rsidR="00E22338" w:rsidRPr="006B378D" w:rsidRDefault="004141F0" w:rsidP="00E420EF">
            <w:pPr>
              <w:pStyle w:val="Normal6"/>
              <w:rPr>
                <w:szCs w:val="24"/>
              </w:rPr>
            </w:pPr>
            <w:r w:rsidRPr="006B378D">
              <w:t>ROZPORZĄDZENIE PARLAMENTU EUROPEJSKIEGO I RADY</w:t>
            </w:r>
          </w:p>
        </w:tc>
      </w:tr>
      <w:tr w:rsidR="00497A2D" w:rsidRPr="006B378D" w:rsidTr="00E420EF">
        <w:trPr>
          <w:jc w:val="center"/>
        </w:trPr>
        <w:tc>
          <w:tcPr>
            <w:tcW w:w="4876" w:type="dxa"/>
            <w:hideMark/>
          </w:tcPr>
          <w:p w:rsidR="00E22338" w:rsidRPr="006B378D" w:rsidRDefault="004141F0" w:rsidP="00E420EF">
            <w:pPr>
              <w:pStyle w:val="Normal6"/>
            </w:pPr>
            <w:r w:rsidRPr="006B378D">
              <w:t xml:space="preserve">zmieniające rozporządzenie (UE) 2016/1139 w zakresie </w:t>
            </w:r>
            <w:r w:rsidRPr="006B378D">
              <w:rPr>
                <w:b/>
                <w:i/>
              </w:rPr>
              <w:t>wprowadzenia pułapów</w:t>
            </w:r>
            <w:r w:rsidRPr="006B378D">
              <w:t xml:space="preserve"> zdolności połowowej w</w:t>
            </w:r>
            <w:r w:rsidRPr="006B378D">
              <w:rPr>
                <w:b/>
                <w:i/>
              </w:rPr>
              <w:t xml:space="preserve"> odniesieniu do dorsza atlantyckiego ze wschodniej części Morza Bałtyckiego, gromadzenia danych i środków kontroli na</w:t>
            </w:r>
            <w:r w:rsidRPr="006B378D">
              <w:t xml:space="preserve"> Morzu Bałtyckim oraz zmieniające rozporządzenie (UE) nr 508/2014 w odniesieniu do trwałego zaprzestania działalności połowowej flot poławi</w:t>
            </w:r>
            <w:r w:rsidRPr="006B378D">
              <w:t xml:space="preserve">ających dorsza atlantyckiego </w:t>
            </w:r>
            <w:r w:rsidRPr="006B378D">
              <w:rPr>
                <w:b/>
                <w:i/>
              </w:rPr>
              <w:t>ze</w:t>
            </w:r>
            <w:r w:rsidRPr="006B378D">
              <w:t xml:space="preserve"> wschodniej części Morza Bałtyckiego</w:t>
            </w:r>
          </w:p>
        </w:tc>
        <w:tc>
          <w:tcPr>
            <w:tcW w:w="4876" w:type="dxa"/>
            <w:hideMark/>
          </w:tcPr>
          <w:p w:rsidR="00E22338" w:rsidRPr="006B378D" w:rsidRDefault="004141F0" w:rsidP="00E420EF">
            <w:pPr>
              <w:pStyle w:val="Normal6"/>
              <w:rPr>
                <w:szCs w:val="24"/>
              </w:rPr>
            </w:pPr>
            <w:r w:rsidRPr="006B378D">
              <w:t xml:space="preserve">zmieniające rozporządzenie (UE) 2016/1139 w zakresie </w:t>
            </w:r>
            <w:r w:rsidRPr="006B378D">
              <w:rPr>
                <w:b/>
                <w:i/>
              </w:rPr>
              <w:t>zmniejszenia</w:t>
            </w:r>
            <w:r w:rsidRPr="006B378D">
              <w:t xml:space="preserve"> zdolności połowowej w Morzu Bałtyckim oraz zmieniające rozporządzenie (UE) nr 508/2014 w odniesieniu do trwałego zaprzesta</w:t>
            </w:r>
            <w:r w:rsidRPr="006B378D">
              <w:t xml:space="preserve">nia działalności połowowej flot poławiających dorsza atlantyckiego </w:t>
            </w:r>
            <w:r w:rsidRPr="006B378D">
              <w:rPr>
                <w:b/>
                <w:i/>
              </w:rPr>
              <w:t>we</w:t>
            </w:r>
            <w:r w:rsidRPr="006B378D">
              <w:t xml:space="preserve"> wschodniej części Morza Bałtyckiego</w:t>
            </w:r>
            <w:r w:rsidRPr="006B378D">
              <w:rPr>
                <w:b/>
                <w:i/>
              </w:rPr>
              <w:t>, dorsza atlantyckiego w zachodniej części Morza Bałtyckiego i śledzia atlantyckiego w zachodniej części Morza Bałtyckiego</w:t>
            </w:r>
          </w:p>
        </w:tc>
      </w:tr>
    </w:tbl>
    <w:p w:rsidR="00E22338" w:rsidRPr="006B378D" w:rsidRDefault="004141F0" w:rsidP="00E22338">
      <w:r w:rsidRPr="006B378D">
        <w:rPr>
          <w:rStyle w:val="HideTWBExt"/>
          <w:noProof w:val="0"/>
        </w:rPr>
        <w:t>&lt;/Amend&gt;</w:t>
      </w:r>
    </w:p>
    <w:p w:rsidR="00E22338" w:rsidRPr="006B378D" w:rsidRDefault="004141F0" w:rsidP="00E22338">
      <w:pPr>
        <w:pStyle w:val="AmNumberTabs"/>
      </w:pPr>
      <w:r w:rsidRPr="006B378D">
        <w:rPr>
          <w:rStyle w:val="HideTWBExt"/>
          <w:noProof w:val="0"/>
        </w:rPr>
        <w:t>&lt;Amend&gt;</w:t>
      </w:r>
      <w:r w:rsidRPr="006B378D">
        <w:t>Poprawka</w:t>
      </w:r>
      <w:r w:rsidRPr="006B378D">
        <w:tab/>
      </w:r>
      <w:r w:rsidRPr="006B378D">
        <w:tab/>
      </w:r>
      <w:r w:rsidRPr="006B378D">
        <w:rPr>
          <w:rStyle w:val="HideTWBExt"/>
          <w:noProof w:val="0"/>
        </w:rPr>
        <w:t>&lt;</w:t>
      </w:r>
      <w:r w:rsidRPr="006B378D">
        <w:rPr>
          <w:rStyle w:val="HideTWBExt"/>
          <w:noProof w:val="0"/>
        </w:rPr>
        <w:t>NumAm&gt;</w:t>
      </w:r>
      <w:r w:rsidRPr="006B378D">
        <w:t>2</w:t>
      </w:r>
      <w:r w:rsidRPr="006B378D">
        <w:rPr>
          <w:rStyle w:val="HideTWBExt"/>
          <w:noProof w:val="0"/>
        </w:rPr>
        <w:t>&lt;/NumAm&gt;</w:t>
      </w:r>
    </w:p>
    <w:p w:rsidR="00E22338" w:rsidRPr="006B378D" w:rsidRDefault="004141F0" w:rsidP="00E22338">
      <w:pPr>
        <w:pStyle w:val="NormalBold12b"/>
      </w:pPr>
      <w:r w:rsidRPr="006B378D">
        <w:rPr>
          <w:rStyle w:val="HideTWBExt"/>
          <w:noProof w:val="0"/>
        </w:rPr>
        <w:t>&lt;DocAmend&gt;</w:t>
      </w:r>
      <w:r w:rsidRPr="006B378D">
        <w:t>Wniosek dotyczący rozporządzenia</w:t>
      </w:r>
      <w:r w:rsidRPr="006B378D">
        <w:rPr>
          <w:rStyle w:val="HideTWBExt"/>
          <w:noProof w:val="0"/>
        </w:rPr>
        <w:t>&lt;/DocAmend&gt;</w:t>
      </w:r>
    </w:p>
    <w:p w:rsidR="00E22338" w:rsidRPr="006B378D" w:rsidRDefault="004141F0" w:rsidP="00E22338">
      <w:pPr>
        <w:pStyle w:val="NormalBold"/>
      </w:pPr>
      <w:r w:rsidRPr="006B378D">
        <w:rPr>
          <w:rStyle w:val="HideTWBExt"/>
          <w:noProof w:val="0"/>
        </w:rPr>
        <w:t>&lt;Article&gt;</w:t>
      </w:r>
      <w:r w:rsidRPr="006B378D">
        <w:t>Motyw 1</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E420EF">
        <w:trPr>
          <w:trHeight w:hRule="exact" w:val="240"/>
          <w:jc w:val="center"/>
        </w:trPr>
        <w:tc>
          <w:tcPr>
            <w:tcW w:w="9752" w:type="dxa"/>
            <w:gridSpan w:val="2"/>
          </w:tcPr>
          <w:p w:rsidR="00E22338" w:rsidRPr="006B378D" w:rsidRDefault="00E22338" w:rsidP="00E420EF"/>
        </w:tc>
      </w:tr>
      <w:tr w:rsidR="00497A2D" w:rsidRPr="006B378D" w:rsidTr="00E420EF">
        <w:trPr>
          <w:trHeight w:val="240"/>
          <w:jc w:val="center"/>
        </w:trPr>
        <w:tc>
          <w:tcPr>
            <w:tcW w:w="4876" w:type="dxa"/>
          </w:tcPr>
          <w:p w:rsidR="00E22338" w:rsidRPr="006B378D" w:rsidRDefault="004141F0" w:rsidP="00E420EF">
            <w:pPr>
              <w:pStyle w:val="AmColumnHeading"/>
            </w:pPr>
            <w:r w:rsidRPr="006B378D">
              <w:t>Tekst proponowany przez Komisję</w:t>
            </w:r>
          </w:p>
        </w:tc>
        <w:tc>
          <w:tcPr>
            <w:tcW w:w="4876" w:type="dxa"/>
          </w:tcPr>
          <w:p w:rsidR="00E22338" w:rsidRPr="006B378D" w:rsidRDefault="004141F0" w:rsidP="00E420EF">
            <w:pPr>
              <w:pStyle w:val="AmColumnHeading"/>
            </w:pPr>
            <w:r w:rsidRPr="006B378D">
              <w:t>Poprawka</w:t>
            </w:r>
          </w:p>
        </w:tc>
      </w:tr>
      <w:tr w:rsidR="00497A2D" w:rsidRPr="006B378D" w:rsidTr="00E420EF">
        <w:trPr>
          <w:jc w:val="center"/>
        </w:trPr>
        <w:tc>
          <w:tcPr>
            <w:tcW w:w="4876" w:type="dxa"/>
          </w:tcPr>
          <w:p w:rsidR="00E22338" w:rsidRPr="006B378D" w:rsidRDefault="004141F0" w:rsidP="00E420EF">
            <w:pPr>
              <w:pStyle w:val="Normal6a"/>
            </w:pPr>
            <w:r w:rsidRPr="006B378D">
              <w:t>(1)</w:t>
            </w:r>
            <w:r w:rsidRPr="006B378D">
              <w:tab/>
              <w:t>W art. 3 ust. 3 rozporządzenia Parlamentu Europejskiego i Rady (UE) 2016/1139</w:t>
            </w:r>
            <w:r w:rsidRPr="006B378D">
              <w:rPr>
                <w:rStyle w:val="Normal6Char"/>
                <w:vertAlign w:val="superscript"/>
              </w:rPr>
              <w:t>3</w:t>
            </w:r>
            <w:r w:rsidRPr="006B378D">
              <w:t xml:space="preserve"> zawarto zobowiązanie do wdrażania podejścia ekosystemowego do zarządzania rybołówstwem, aby zapewnić minimalizowanie negatywnego wpływu działalności połowowej na ekosystem morski. Plan musi być spójny z unijnym prawodawstwem dotyczącym środowiska, w szcze</w:t>
            </w:r>
            <w:r w:rsidRPr="006B378D">
              <w:t>gólności z celem polegającym na osiągnięciu do 2020 r. dobrego stanu środowiska, zgodnie z art. 1 ust. 1 dyrektywy Parlamentu Europejskiego i Rady 2008/56/WE</w:t>
            </w:r>
            <w:r w:rsidRPr="006B378D">
              <w:rPr>
                <w:rStyle w:val="Normal6Char"/>
                <w:vertAlign w:val="superscript"/>
              </w:rPr>
              <w:t>4</w:t>
            </w:r>
            <w:r w:rsidRPr="006B378D">
              <w:t>.</w:t>
            </w:r>
          </w:p>
        </w:tc>
        <w:tc>
          <w:tcPr>
            <w:tcW w:w="4876" w:type="dxa"/>
          </w:tcPr>
          <w:p w:rsidR="00E22338" w:rsidRPr="006B378D" w:rsidRDefault="004141F0" w:rsidP="00E420EF">
            <w:pPr>
              <w:pStyle w:val="Normal6a"/>
            </w:pPr>
            <w:r w:rsidRPr="006B378D">
              <w:t>(1)</w:t>
            </w:r>
            <w:r w:rsidRPr="006B378D">
              <w:tab/>
              <w:t>W art. 3 ust. 3 rozporządzenia Parlamentu Europejskiego i Rady (UE) 2016/1139</w:t>
            </w:r>
            <w:r w:rsidRPr="006B378D">
              <w:rPr>
                <w:rStyle w:val="Normal6Char"/>
                <w:vertAlign w:val="superscript"/>
              </w:rPr>
              <w:t>3</w:t>
            </w:r>
            <w:r w:rsidRPr="006B378D">
              <w:t xml:space="preserve"> zawarto zobow</w:t>
            </w:r>
            <w:r w:rsidRPr="006B378D">
              <w:t>iązanie do wdrażania podejścia ekosystemowego do zarządzania rybołówstwem, aby zapewnić minimalizowanie negatywnego wpływu działalności połowowej na ekosystem morski. Plan musi być spójny z unijnym prawodawstwem dotyczącym środowiska, w szczególności z cel</w:t>
            </w:r>
            <w:r w:rsidRPr="006B378D">
              <w:t>em polegającym na osiągnięciu do 2020 r. dobrego stanu środowiska, zgodnie z art. 1 ust. 1 dyrektywy Parlamentu Europejskiego i Rady 2008/56/WE</w:t>
            </w:r>
            <w:r w:rsidRPr="006B378D">
              <w:rPr>
                <w:rStyle w:val="Normal6Char"/>
                <w:vertAlign w:val="superscript"/>
              </w:rPr>
              <w:t>4</w:t>
            </w:r>
            <w:r w:rsidRPr="006B378D">
              <w:t xml:space="preserve">. </w:t>
            </w:r>
            <w:r w:rsidRPr="006B378D">
              <w:rPr>
                <w:b/>
                <w:i/>
              </w:rPr>
              <w:t>Jest kluczowe, aby plan przyczynił się do posiadania zdrowych zasobów, co z kolei jest związane ze zrównoważon</w:t>
            </w:r>
            <w:r w:rsidRPr="006B378D">
              <w:rPr>
                <w:b/>
                <w:i/>
              </w:rPr>
              <w:t>ym rybołówstwem.</w:t>
            </w:r>
          </w:p>
        </w:tc>
      </w:tr>
      <w:tr w:rsidR="00497A2D" w:rsidRPr="006B378D" w:rsidTr="00E420EF">
        <w:trPr>
          <w:jc w:val="center"/>
        </w:trPr>
        <w:tc>
          <w:tcPr>
            <w:tcW w:w="4876" w:type="dxa"/>
          </w:tcPr>
          <w:p w:rsidR="00E22338" w:rsidRPr="006B378D" w:rsidRDefault="004141F0" w:rsidP="00E420EF">
            <w:pPr>
              <w:pStyle w:val="Normal6a"/>
            </w:pPr>
            <w:r w:rsidRPr="006B378D">
              <w:t>_________________</w:t>
            </w:r>
          </w:p>
        </w:tc>
        <w:tc>
          <w:tcPr>
            <w:tcW w:w="4876" w:type="dxa"/>
          </w:tcPr>
          <w:p w:rsidR="00E22338" w:rsidRPr="006B378D" w:rsidRDefault="004141F0" w:rsidP="00E420EF">
            <w:pPr>
              <w:pStyle w:val="Normal6a"/>
            </w:pPr>
            <w:r w:rsidRPr="006B378D">
              <w:t>_________________</w:t>
            </w:r>
          </w:p>
        </w:tc>
      </w:tr>
      <w:tr w:rsidR="00497A2D" w:rsidRPr="006B378D" w:rsidTr="00E420EF">
        <w:trPr>
          <w:jc w:val="center"/>
        </w:trPr>
        <w:tc>
          <w:tcPr>
            <w:tcW w:w="4876" w:type="dxa"/>
          </w:tcPr>
          <w:p w:rsidR="00E22338" w:rsidRPr="006B378D" w:rsidRDefault="004141F0" w:rsidP="00E420EF">
            <w:pPr>
              <w:pStyle w:val="Normal6a"/>
            </w:pPr>
            <w:r w:rsidRPr="006B378D">
              <w:rPr>
                <w:rStyle w:val="Normal6Char"/>
                <w:vertAlign w:val="superscript"/>
              </w:rPr>
              <w:t>3</w:t>
            </w:r>
            <w:r w:rsidRPr="006B378D">
              <w:t xml:space="preserve"> Rozporządzenie Parlamentu Europejskiego i Rady (UE) 2016/1139 z dnia 6 lipca 2016 r. ustanawiające wieloletni plan w odniesieniu do stad dorsza, śledzia i szprota w Morzu Bałtyckim oraz połowów ekspl</w:t>
            </w:r>
            <w:r w:rsidRPr="006B378D">
              <w:t>oatujących te stada, zmieniające rozporządzenie Rady (WE) nr 2187/2005 i uchylające rozporządzenie Rady (WE) nr 1098/2007 (Dz.U. L 191 z 15.7.2016, s. 1).</w:t>
            </w:r>
          </w:p>
        </w:tc>
        <w:tc>
          <w:tcPr>
            <w:tcW w:w="4876" w:type="dxa"/>
          </w:tcPr>
          <w:p w:rsidR="00E22338" w:rsidRPr="006B378D" w:rsidRDefault="004141F0" w:rsidP="00E420EF">
            <w:pPr>
              <w:pStyle w:val="Normal6a"/>
            </w:pPr>
            <w:r w:rsidRPr="006B378D">
              <w:rPr>
                <w:rStyle w:val="Normal6Char"/>
                <w:vertAlign w:val="superscript"/>
              </w:rPr>
              <w:t>3</w:t>
            </w:r>
            <w:r w:rsidRPr="006B378D">
              <w:t xml:space="preserve"> Rozporządzenie Parlamentu Europejskiego i Rady (UE) 2016/1139 z dnia 6 lipca 2016 r. ustanawiające </w:t>
            </w:r>
            <w:r w:rsidRPr="006B378D">
              <w:t>wieloletni plan w odniesieniu do stad dorsza, śledzia i szprota w Morzu Bałtyckim oraz połowów eksploatujących te stada, zmieniające rozporządzenie Rady (WE) nr 2187/2005 i uchylające rozporządzenie Rady (WE) nr 1098/2007 (Dz.U. L 191 z 15.7.2016, s. 1).</w:t>
            </w:r>
          </w:p>
        </w:tc>
      </w:tr>
      <w:tr w:rsidR="00497A2D" w:rsidRPr="006B378D" w:rsidTr="00E420EF">
        <w:trPr>
          <w:jc w:val="center"/>
        </w:trPr>
        <w:tc>
          <w:tcPr>
            <w:tcW w:w="4876" w:type="dxa"/>
          </w:tcPr>
          <w:p w:rsidR="00E22338" w:rsidRPr="006B378D" w:rsidRDefault="004141F0" w:rsidP="00E420EF">
            <w:pPr>
              <w:pStyle w:val="Normal6a"/>
            </w:pPr>
            <w:r w:rsidRPr="006B378D">
              <w:rPr>
                <w:rStyle w:val="Normal6Char"/>
                <w:vertAlign w:val="superscript"/>
              </w:rPr>
              <w:t>4</w:t>
            </w:r>
            <w:r w:rsidRPr="006B378D">
              <w:t xml:space="preserve"> Dyrektywa Parlamentu Europejskiego i Rady 2008/56/WE z dnia 17 czerwca 2008 r. ustanawiająca ramy działań Wspólnoty w dziedzinie polityki środowiska morskiego (dyrektywa ramowa w sprawie strategii morskiej) (Dz.U. L 164 z 25.6.2008, s. 19).</w:t>
            </w:r>
          </w:p>
        </w:tc>
        <w:tc>
          <w:tcPr>
            <w:tcW w:w="4876" w:type="dxa"/>
          </w:tcPr>
          <w:p w:rsidR="00E22338" w:rsidRPr="006B378D" w:rsidRDefault="004141F0" w:rsidP="00E420EF">
            <w:pPr>
              <w:pStyle w:val="Normal6a"/>
            </w:pPr>
            <w:r w:rsidRPr="006B378D">
              <w:rPr>
                <w:rStyle w:val="Normal6Char"/>
                <w:vertAlign w:val="superscript"/>
              </w:rPr>
              <w:t>4</w:t>
            </w:r>
            <w:r w:rsidRPr="006B378D">
              <w:t xml:space="preserve"> Dyrektywa P</w:t>
            </w:r>
            <w:r w:rsidRPr="006B378D">
              <w:t>arlamentu Europejskiego i Rady 2008/56/WE z dnia 17 czerwca 2008 r. ustanawiająca ramy działań Wspólnoty w dziedzinie polityki środowiska morskiego (dyrektywa ramowa w sprawie strategii morskiej) (Dz.U. L 164 z 25.6.2008, s. 19).</w:t>
            </w:r>
          </w:p>
        </w:tc>
      </w:tr>
    </w:tbl>
    <w:p w:rsidR="006E4EDD" w:rsidRPr="006B378D" w:rsidRDefault="004141F0" w:rsidP="00E22338">
      <w:r w:rsidRPr="006B378D">
        <w:rPr>
          <w:rStyle w:val="HideTWBExt"/>
          <w:noProof w:val="0"/>
        </w:rPr>
        <w:t>&lt;/Amend&gt;</w:t>
      </w:r>
    </w:p>
    <w:p w:rsidR="006E4EDD" w:rsidRPr="006B378D" w:rsidRDefault="004141F0" w:rsidP="006E4EDD">
      <w:pPr>
        <w:pStyle w:val="AmNumberTabs"/>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3</w:t>
      </w:r>
      <w:r w:rsidRPr="006B378D">
        <w:rPr>
          <w:rStyle w:val="HideTWBExt"/>
          <w:noProof w:val="0"/>
        </w:rPr>
        <w:t>&lt;/NumAm&gt;</w:t>
      </w:r>
    </w:p>
    <w:p w:rsidR="006E4EDD" w:rsidRPr="006B378D" w:rsidRDefault="004141F0" w:rsidP="006E4EDD">
      <w:pPr>
        <w:pStyle w:val="NormalBold12b"/>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2 a (nowy)</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trHeight w:val="240"/>
          <w:jc w:val="center"/>
        </w:trPr>
        <w:tc>
          <w:tcPr>
            <w:tcW w:w="9752" w:type="dxa"/>
            <w:gridSpan w:val="2"/>
          </w:tcPr>
          <w:p w:rsidR="006E4EDD" w:rsidRPr="006B378D" w:rsidRDefault="006E4EDD"/>
        </w:tc>
      </w:tr>
      <w:tr w:rsidR="00497A2D" w:rsidRPr="006B378D" w:rsidTr="006E4EDD">
        <w:trPr>
          <w:trHeight w:val="240"/>
          <w:jc w:val="center"/>
        </w:trPr>
        <w:tc>
          <w:tcPr>
            <w:tcW w:w="4876" w:type="dxa"/>
            <w:hideMark/>
          </w:tcPr>
          <w:p w:rsidR="006E4EDD" w:rsidRPr="006B378D" w:rsidRDefault="004141F0">
            <w:pPr>
              <w:pStyle w:val="AmColumnHeading"/>
            </w:pPr>
            <w:r w:rsidRPr="006B378D">
              <w:t>Tekst proponowany przez Komisję</w:t>
            </w:r>
          </w:p>
        </w:tc>
        <w:tc>
          <w:tcPr>
            <w:tcW w:w="4876" w:type="dxa"/>
            <w:hideMark/>
          </w:tcPr>
          <w:p w:rsidR="006E4EDD" w:rsidRPr="006B378D" w:rsidRDefault="004141F0">
            <w:pPr>
              <w:pStyle w:val="AmColumnHeading"/>
            </w:pPr>
            <w:r w:rsidRPr="006B378D">
              <w:t>Poprawka</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pPr>
            <w:r w:rsidRPr="006B378D">
              <w:rPr>
                <w:b/>
                <w:i/>
              </w:rPr>
              <w:t>(2a)</w:t>
            </w:r>
            <w:r w:rsidRPr="006B378D">
              <w:tab/>
            </w:r>
            <w:r w:rsidRPr="006B378D">
              <w:rPr>
                <w:b/>
                <w:i/>
              </w:rPr>
              <w:t xml:space="preserve">Ów wysoki dopływ składników pokarmowych wynika m.in. z niewystarczającego wdrożenia dyrektyw, </w:t>
            </w:r>
            <w:r w:rsidRPr="006B378D">
              <w:rPr>
                <w:b/>
                <w:i/>
              </w:rPr>
              <w:t>takich jak dyrektywa Rady 91/676/EWG</w:t>
            </w:r>
            <w:r w:rsidRPr="006B378D">
              <w:rPr>
                <w:b/>
                <w:i/>
                <w:vertAlign w:val="superscript"/>
              </w:rPr>
              <w:t>1a</w:t>
            </w:r>
            <w:r w:rsidRPr="006B378D">
              <w:rPr>
                <w:b/>
                <w:i/>
              </w:rPr>
              <w:t xml:space="preserve"> i dyrektywa Parlamentu Europejskiego i Rady 2000/60/WE</w:t>
            </w:r>
            <w:r w:rsidRPr="006B378D">
              <w:rPr>
                <w:b/>
                <w:i/>
                <w:vertAlign w:val="superscript"/>
              </w:rPr>
              <w:t>1b</w:t>
            </w:r>
            <w:r w:rsidRPr="006B378D">
              <w:rPr>
                <w:b/>
                <w:i/>
              </w:rPr>
              <w:t>.</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rPr>
                <w:b/>
                <w:i/>
                <w:vertAlign w:val="subscript"/>
              </w:rPr>
            </w:pPr>
            <w:r w:rsidRPr="006B378D">
              <w:rPr>
                <w:b/>
                <w:i/>
              </w:rPr>
              <w:t>______________________</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rPr>
                <w:b/>
                <w:i/>
              </w:rPr>
            </w:pPr>
            <w:r w:rsidRPr="006B378D">
              <w:rPr>
                <w:b/>
                <w:i/>
                <w:vertAlign w:val="superscript"/>
              </w:rPr>
              <w:t xml:space="preserve">1a </w:t>
            </w:r>
            <w:r w:rsidRPr="006B378D">
              <w:rPr>
                <w:b/>
                <w:i/>
              </w:rPr>
              <w:t>Dyrektywa Rady 91/676/EWG z dnia 12 grudnia 1991 r. dotycząca ochrony wód przed zanieczyszczeniami powodowanymi przez azotany poc</w:t>
            </w:r>
            <w:r w:rsidRPr="006B378D">
              <w:rPr>
                <w:b/>
                <w:i/>
              </w:rPr>
              <w:t>hodzenia rolniczego (Dz.U. L 375 z 31.12.1991, s. 1).</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rPr>
                <w:b/>
                <w:i/>
              </w:rPr>
            </w:pPr>
            <w:r w:rsidRPr="006B378D">
              <w:rPr>
                <w:b/>
                <w:i/>
                <w:vertAlign w:val="superscript"/>
              </w:rPr>
              <w:t xml:space="preserve">1b </w:t>
            </w:r>
            <w:r w:rsidRPr="006B378D">
              <w:rPr>
                <w:b/>
                <w:i/>
              </w:rPr>
              <w:t>Dyrektywa Parlamentu Europejskiego i Rady 2000/60/WE z dnia 23 października 2000 r. ustanawiająca ramy wspólnotowego działania w dziedzinie polityki wodnej (Dz.U. L 327 z 22.12.2000, s. 1).</w:t>
            </w:r>
          </w:p>
        </w:tc>
      </w:tr>
    </w:tbl>
    <w:p w:rsidR="006E4EDD" w:rsidRPr="006B378D" w:rsidRDefault="004141F0" w:rsidP="006E4EDD">
      <w:r w:rsidRPr="006B378D">
        <w:rPr>
          <w:rStyle w:val="HideTWBExt"/>
          <w:noProof w:val="0"/>
        </w:rPr>
        <w:t>&lt;/Amen</w:t>
      </w:r>
      <w:r w:rsidRPr="006B378D">
        <w:rPr>
          <w:rStyle w:val="HideTWBExt"/>
          <w:noProof w:val="0"/>
        </w:rPr>
        <w:t>d&gt;</w:t>
      </w:r>
    </w:p>
    <w:p w:rsidR="006E4EDD" w:rsidRPr="006B378D" w:rsidRDefault="004141F0" w:rsidP="006E4EDD">
      <w:pPr>
        <w:pStyle w:val="AmNumberTabs"/>
        <w:keepNext/>
      </w:pPr>
      <w:r w:rsidRPr="006B378D">
        <w:rPr>
          <w:rStyle w:val="HideTWBExt"/>
          <w:b w:val="0"/>
          <w:noProof w:val="0"/>
        </w:rPr>
        <w:t>&lt;Amend&gt;</w:t>
      </w:r>
      <w:r w:rsidRPr="006B378D">
        <w:t>Poprawka</w:t>
      </w:r>
      <w:r w:rsidRPr="006B378D">
        <w:tab/>
      </w:r>
      <w:r w:rsidRPr="006B378D">
        <w:tab/>
      </w:r>
      <w:r w:rsidRPr="006B378D">
        <w:rPr>
          <w:rStyle w:val="HideTWBExt"/>
          <w:b w:val="0"/>
          <w:noProof w:val="0"/>
        </w:rPr>
        <w:t>&lt;NumAm&gt;</w:t>
      </w:r>
      <w:r w:rsidRPr="006B378D">
        <w:t>4</w:t>
      </w:r>
      <w:r w:rsidRPr="006B378D">
        <w:rPr>
          <w:rStyle w:val="HideTWBExt"/>
          <w:b w:val="0"/>
          <w:noProof w:val="0"/>
        </w:rPr>
        <w:t>&lt;/NumAm&gt;</w:t>
      </w:r>
    </w:p>
    <w:p w:rsidR="006E4EDD" w:rsidRPr="006B378D" w:rsidRDefault="004141F0" w:rsidP="006E4EDD">
      <w:pPr>
        <w:pStyle w:val="NormalBold12b"/>
      </w:pPr>
      <w:r w:rsidRPr="006B378D">
        <w:rPr>
          <w:rStyle w:val="HideTWBExt"/>
          <w:b w:val="0"/>
          <w:noProof w:val="0"/>
        </w:rPr>
        <w:t>&lt;DocAmend&gt;</w:t>
      </w:r>
      <w:r w:rsidRPr="006B378D">
        <w:t>Wniosek dotyczący rozporządzenia</w:t>
      </w:r>
      <w:r w:rsidRPr="006B378D">
        <w:rPr>
          <w:rStyle w:val="HideTWBExt"/>
          <w:b w:val="0"/>
          <w:noProof w:val="0"/>
        </w:rPr>
        <w:t>&lt;/DocAmend&gt;</w:t>
      </w:r>
    </w:p>
    <w:p w:rsidR="006E4EDD" w:rsidRPr="006B378D" w:rsidRDefault="004141F0" w:rsidP="006E4EDD">
      <w:pPr>
        <w:pStyle w:val="NormalBold"/>
        <w:keepNext/>
      </w:pPr>
      <w:r w:rsidRPr="006B378D">
        <w:rPr>
          <w:rStyle w:val="HideTWBExt"/>
          <w:b w:val="0"/>
          <w:noProof w:val="0"/>
        </w:rPr>
        <w:t>&lt;Article&gt;</w:t>
      </w:r>
      <w:r w:rsidRPr="006B378D">
        <w:t>Motyw 3</w:t>
      </w:r>
      <w:r w:rsidRPr="006B378D">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AmColumnHeading"/>
              <w:keepNext/>
            </w:pPr>
            <w:r w:rsidRPr="006B378D">
              <w:t>Tekst proponowany przez Komisję</w:t>
            </w:r>
          </w:p>
        </w:tc>
        <w:tc>
          <w:tcPr>
            <w:tcW w:w="4876" w:type="dxa"/>
            <w:hideMark/>
          </w:tcPr>
          <w:p w:rsidR="006E4EDD" w:rsidRPr="006B378D" w:rsidRDefault="004141F0">
            <w:pPr>
              <w:pStyle w:val="Am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a"/>
              <w:rPr>
                <w:szCs w:val="24"/>
              </w:rPr>
            </w:pPr>
            <w:r w:rsidRPr="006B378D">
              <w:rPr>
                <w:szCs w:val="24"/>
              </w:rPr>
              <w:t xml:space="preserve">(3) </w:t>
            </w:r>
            <w:r w:rsidRPr="006B378D">
              <w:rPr>
                <w:szCs w:val="24"/>
              </w:rPr>
              <w:tab/>
            </w:r>
            <w:r w:rsidRPr="006B378D">
              <w:t xml:space="preserve">Pogorszenie stanu stada dorsza atlantyckiego </w:t>
            </w:r>
            <w:r w:rsidRPr="006B378D">
              <w:rPr>
                <w:b/>
                <w:i/>
              </w:rPr>
              <w:t>ze wschodniej części</w:t>
            </w:r>
            <w:r w:rsidRPr="006B378D">
              <w:t xml:space="preserve"> Morza Bałtyckiego (Gadus morhua) jest powiązane z tą sytuacją.</w:t>
            </w:r>
            <w:r w:rsidRPr="006B378D">
              <w:rPr>
                <w:szCs w:val="24"/>
              </w:rPr>
              <w:t xml:space="preserve"> </w:t>
            </w:r>
            <w:r w:rsidRPr="006B378D">
              <w:t xml:space="preserve">Według ICES </w:t>
            </w:r>
            <w:r w:rsidRPr="006B378D">
              <w:rPr>
                <w:b/>
                <w:i/>
              </w:rPr>
              <w:t>stado to</w:t>
            </w:r>
            <w:r w:rsidRPr="006B378D">
              <w:t xml:space="preserve"> dotyka problem zbyt niskiej biomasy ze względu na połączenie malejącej liczebności uzupełnienia, czynników środowiskowych i zmian w ekosystemie </w:t>
            </w:r>
            <w:r w:rsidRPr="006B378D">
              <w:rPr>
                <w:b/>
                <w:i/>
              </w:rPr>
              <w:t>prowadzących</w:t>
            </w:r>
            <w:r w:rsidRPr="006B378D">
              <w:t xml:space="preserve"> do wysokiej śmiertelności naturalnej (stanowiącej około trzykrotność śmiertelności połowowej) oraz nadmiernej śmiertelności połowowej, biorąc pod uwagę stan </w:t>
            </w:r>
            <w:r w:rsidRPr="006B378D">
              <w:rPr>
                <w:b/>
                <w:i/>
              </w:rPr>
              <w:t>stada</w:t>
            </w:r>
            <w:r w:rsidRPr="006B378D">
              <w:t>. Biomasa dorsza atlantyckiego o wymiarach handlowych znajduje się obecnie na najniższym pozi</w:t>
            </w:r>
            <w:r w:rsidRPr="006B378D">
              <w:t>omie od lat 50</w:t>
            </w:r>
            <w:r w:rsidRPr="006B378D">
              <w:rPr>
                <w:b/>
                <w:i/>
              </w:rPr>
              <w:t>-tych</w:t>
            </w:r>
            <w:r w:rsidRPr="006B378D">
              <w:t xml:space="preserve"> XX w. Ponadto ICES szacuje, że w średniej perspektywie czasowej (do 2024 r.) biomasa stada tarłowego nie osiągnie punktu odniesienia dla zrównoważonego rybołówstwa nawet w przypadku całkowitego braku połowów</w:t>
            </w:r>
            <w:r w:rsidRPr="006B378D">
              <w:rPr>
                <w:b/>
                <w:i/>
              </w:rPr>
              <w:t>.</w:t>
            </w:r>
            <w:r w:rsidRPr="006B378D">
              <w:t xml:space="preserve"> </w:t>
            </w:r>
            <w:r w:rsidRPr="006B378D">
              <w:rPr>
                <w:szCs w:val="24"/>
              </w:rPr>
              <w:t xml:space="preserve">W </w:t>
            </w:r>
            <w:r w:rsidRPr="006B378D">
              <w:rPr>
                <w:b/>
                <w:i/>
                <w:szCs w:val="24"/>
              </w:rPr>
              <w:t>swojej</w:t>
            </w:r>
            <w:r w:rsidRPr="006B378D">
              <w:rPr>
                <w:szCs w:val="24"/>
              </w:rPr>
              <w:t xml:space="preserve"> opinii dotyczącej </w:t>
            </w:r>
            <w:r w:rsidRPr="006B378D">
              <w:rPr>
                <w:szCs w:val="24"/>
              </w:rPr>
              <w:t xml:space="preserve">stad w 2020 r. </w:t>
            </w:r>
            <w:r w:rsidRPr="006B378D">
              <w:rPr>
                <w:b/>
                <w:i/>
                <w:szCs w:val="24"/>
              </w:rPr>
              <w:t xml:space="preserve">ICES </w:t>
            </w:r>
            <w:r w:rsidRPr="006B378D">
              <w:rPr>
                <w:szCs w:val="24"/>
              </w:rPr>
              <w:t xml:space="preserve">zaleca </w:t>
            </w:r>
            <w:r w:rsidRPr="006B378D">
              <w:rPr>
                <w:b/>
                <w:i/>
                <w:szCs w:val="24"/>
              </w:rPr>
              <w:t>zatem połowy na poziomie zerowym</w:t>
            </w:r>
            <w:r w:rsidRPr="006B378D">
              <w:rPr>
                <w:szCs w:val="24"/>
              </w:rPr>
              <w:t>.</w:t>
            </w:r>
          </w:p>
        </w:tc>
        <w:tc>
          <w:tcPr>
            <w:tcW w:w="4876" w:type="dxa"/>
            <w:hideMark/>
          </w:tcPr>
          <w:p w:rsidR="006E4EDD" w:rsidRPr="006B378D" w:rsidRDefault="004141F0">
            <w:pPr>
              <w:pStyle w:val="Normal6a"/>
              <w:rPr>
                <w:szCs w:val="24"/>
              </w:rPr>
            </w:pPr>
            <w:r w:rsidRPr="006B378D">
              <w:rPr>
                <w:szCs w:val="24"/>
              </w:rPr>
              <w:t xml:space="preserve">(3) </w:t>
            </w:r>
            <w:r w:rsidRPr="006B378D">
              <w:rPr>
                <w:szCs w:val="24"/>
              </w:rPr>
              <w:tab/>
              <w:t xml:space="preserve">Pogorszenie stanu stada dorsza atlantyckiego </w:t>
            </w:r>
            <w:r w:rsidRPr="006B378D">
              <w:rPr>
                <w:b/>
                <w:i/>
                <w:szCs w:val="24"/>
              </w:rPr>
              <w:t>z</w:t>
            </w:r>
            <w:r w:rsidRPr="006B378D">
              <w:rPr>
                <w:szCs w:val="24"/>
              </w:rPr>
              <w:t xml:space="preserve"> Morza Bałtyckiego (Gadus morhua) jest powiązane z tą sytuacją. </w:t>
            </w:r>
            <w:r w:rsidRPr="006B378D">
              <w:t xml:space="preserve">Według ICES </w:t>
            </w:r>
            <w:r w:rsidRPr="006B378D">
              <w:rPr>
                <w:b/>
                <w:i/>
              </w:rPr>
              <w:t>stad tych</w:t>
            </w:r>
            <w:r w:rsidRPr="006B378D">
              <w:t xml:space="preserve"> dotyka problem zbyt niskiej biomasy ze względu na połączen</w:t>
            </w:r>
            <w:r w:rsidRPr="006B378D">
              <w:t>ie malejącej liczebności uzupełnienia, czynników środowiskowych</w:t>
            </w:r>
            <w:r w:rsidRPr="006B378D">
              <w:rPr>
                <w:b/>
                <w:i/>
              </w:rPr>
              <w:t>, niewielkiej dostępności gatunków stanowiących pokarm</w:t>
            </w:r>
            <w:r w:rsidRPr="006B378D">
              <w:t xml:space="preserve"> i zmian w ekosystemie </w:t>
            </w:r>
            <w:r w:rsidRPr="006B378D">
              <w:rPr>
                <w:b/>
                <w:i/>
              </w:rPr>
              <w:t>(np. ubytek tlenu, wzrost temperatur lub zanieczyszczenia),</w:t>
            </w:r>
            <w:r w:rsidRPr="006B378D">
              <w:rPr>
                <w:szCs w:val="24"/>
              </w:rPr>
              <w:t xml:space="preserve"> </w:t>
            </w:r>
            <w:r w:rsidRPr="006B378D">
              <w:rPr>
                <w:b/>
                <w:i/>
                <w:szCs w:val="24"/>
              </w:rPr>
              <w:t>co prowadzi</w:t>
            </w:r>
            <w:r w:rsidRPr="006B378D">
              <w:rPr>
                <w:szCs w:val="24"/>
              </w:rPr>
              <w:t xml:space="preserve"> do wysokiej śmiertelności naturalnej (stanow</w:t>
            </w:r>
            <w:r w:rsidRPr="006B378D">
              <w:rPr>
                <w:szCs w:val="24"/>
              </w:rPr>
              <w:t xml:space="preserve">iącej około trzykrotność śmiertelności połowowej) oraz nadmiernej śmiertelności połowowej, biorąc pod uwagę stan </w:t>
            </w:r>
            <w:r w:rsidRPr="006B378D">
              <w:rPr>
                <w:b/>
                <w:i/>
                <w:szCs w:val="24"/>
              </w:rPr>
              <w:t>stad</w:t>
            </w:r>
            <w:r w:rsidRPr="006B378D">
              <w:rPr>
                <w:szCs w:val="24"/>
              </w:rPr>
              <w:t>. Biomasa dorsza atlantyckiego o wymiarach handlowych znajduje się obecnie na najniższym poziomie od lat 50</w:t>
            </w:r>
            <w:r w:rsidRPr="006B378D">
              <w:rPr>
                <w:b/>
                <w:i/>
                <w:szCs w:val="24"/>
              </w:rPr>
              <w:t>.</w:t>
            </w:r>
            <w:r w:rsidRPr="006B378D">
              <w:rPr>
                <w:szCs w:val="24"/>
              </w:rPr>
              <w:t xml:space="preserve"> XX w. Ponadto ICES szacuje, że</w:t>
            </w:r>
            <w:r w:rsidRPr="006B378D">
              <w:rPr>
                <w:szCs w:val="24"/>
              </w:rPr>
              <w:t xml:space="preserve"> w średniej perspektywie czasowej (do 2024 r.) biomasa stada tarłowego </w:t>
            </w:r>
            <w:r w:rsidRPr="006B378D">
              <w:rPr>
                <w:b/>
                <w:i/>
                <w:szCs w:val="24"/>
              </w:rPr>
              <w:t xml:space="preserve">dorsza atlantyckiego ze wschodniej części Morza Bałtyckiego </w:t>
            </w:r>
            <w:r w:rsidRPr="006B378D">
              <w:rPr>
                <w:szCs w:val="24"/>
              </w:rPr>
              <w:t>nie osiągnie punktu odniesienia dla zrównoważonego rybołówstwa nawet w przypadku całkowitego braku połowów</w:t>
            </w:r>
            <w:r w:rsidRPr="006B378D">
              <w:rPr>
                <w:b/>
                <w:i/>
                <w:szCs w:val="24"/>
              </w:rPr>
              <w:t>,</w:t>
            </w:r>
            <w:r w:rsidRPr="006B378D">
              <w:rPr>
                <w:szCs w:val="24"/>
              </w:rPr>
              <w:t xml:space="preserve"> w </w:t>
            </w:r>
            <w:r w:rsidRPr="006B378D">
              <w:rPr>
                <w:b/>
                <w:i/>
                <w:szCs w:val="24"/>
              </w:rPr>
              <w:t xml:space="preserve">związku z czym </w:t>
            </w:r>
            <w:r w:rsidRPr="006B378D">
              <w:rPr>
                <w:b/>
                <w:i/>
                <w:szCs w:val="24"/>
              </w:rPr>
              <w:t>w</w:t>
            </w:r>
            <w:r w:rsidRPr="006B378D">
              <w:rPr>
                <w:szCs w:val="24"/>
              </w:rPr>
              <w:t xml:space="preserve"> opinii dotyczącej stad w 2020 r. zaleca </w:t>
            </w:r>
            <w:r w:rsidRPr="006B378D">
              <w:rPr>
                <w:b/>
                <w:i/>
                <w:szCs w:val="24"/>
              </w:rPr>
              <w:t>zaniechanie połowów</w:t>
            </w:r>
            <w:r w:rsidRPr="006B378D">
              <w:rPr>
                <w:szCs w:val="24"/>
              </w:rPr>
              <w:t>.</w:t>
            </w:r>
          </w:p>
        </w:tc>
      </w:tr>
    </w:tbl>
    <w:p w:rsidR="00E420EF" w:rsidRPr="004141F0" w:rsidRDefault="004141F0" w:rsidP="006E4EDD">
      <w:pPr>
        <w:rPr>
          <w:rFonts w:eastAsiaTheme="majorEastAsia"/>
        </w:rPr>
      </w:pPr>
      <w:r w:rsidRPr="006B378D">
        <w:rPr>
          <w:rStyle w:val="HideTWBExt"/>
          <w:noProof w:val="0"/>
        </w:rPr>
        <w:t>&lt;/Amend&gt;</w:t>
      </w:r>
    </w:p>
    <w:p w:rsidR="006E4EDD" w:rsidRPr="006B378D" w:rsidRDefault="004141F0" w:rsidP="006E4EDD">
      <w:pPr>
        <w:pStyle w:val="AmNumberTabs"/>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5</w:t>
      </w:r>
      <w:r w:rsidRPr="006B378D">
        <w:rPr>
          <w:rStyle w:val="HideTWBExt"/>
          <w:noProof w:val="0"/>
        </w:rPr>
        <w:t>&lt;/NumAm&gt;</w:t>
      </w:r>
    </w:p>
    <w:p w:rsidR="006E4EDD" w:rsidRPr="006B378D" w:rsidRDefault="004141F0" w:rsidP="006E4EDD">
      <w:pPr>
        <w:pStyle w:val="NormalBold12b"/>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3 a (nowy)</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trHeight w:val="240"/>
          <w:jc w:val="center"/>
        </w:trPr>
        <w:tc>
          <w:tcPr>
            <w:tcW w:w="9752" w:type="dxa"/>
            <w:gridSpan w:val="2"/>
          </w:tcPr>
          <w:p w:rsidR="006E4EDD" w:rsidRPr="006B378D" w:rsidRDefault="006E4EDD"/>
        </w:tc>
      </w:tr>
      <w:tr w:rsidR="00497A2D" w:rsidRPr="006B378D" w:rsidTr="006E4EDD">
        <w:trPr>
          <w:trHeight w:val="240"/>
          <w:jc w:val="center"/>
        </w:trPr>
        <w:tc>
          <w:tcPr>
            <w:tcW w:w="4876" w:type="dxa"/>
            <w:hideMark/>
          </w:tcPr>
          <w:p w:rsidR="006E4EDD" w:rsidRPr="006B378D" w:rsidRDefault="004141F0">
            <w:pPr>
              <w:pStyle w:val="AmColumnHeading"/>
            </w:pPr>
            <w:r w:rsidRPr="006B378D">
              <w:t>Tekst proponowany przez Komisję</w:t>
            </w:r>
          </w:p>
        </w:tc>
        <w:tc>
          <w:tcPr>
            <w:tcW w:w="4876" w:type="dxa"/>
            <w:hideMark/>
          </w:tcPr>
          <w:p w:rsidR="006E4EDD" w:rsidRPr="006B378D" w:rsidRDefault="004141F0">
            <w:pPr>
              <w:pStyle w:val="AmColumnHeading"/>
            </w:pPr>
            <w:r w:rsidRPr="006B378D">
              <w:t>Poprawka</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pPr>
            <w:r w:rsidRPr="006B378D">
              <w:rPr>
                <w:b/>
                <w:i/>
              </w:rPr>
              <w:t>(3a)</w:t>
            </w:r>
            <w:r w:rsidRPr="006B378D">
              <w:tab/>
            </w:r>
            <w:r w:rsidRPr="006B378D">
              <w:rPr>
                <w:b/>
                <w:i/>
              </w:rPr>
              <w:t>W zarządzaniu połowami na Morzu Bałtyckim problemem jest również brak równowagi między aktywnymi segmentami floty a dostępnymi uprawnieniami do połowów, jak określono w komunikacie Komisji z dnia 7 czerwca 2019 r. w sprawie stanu realizacji wspólnej polity</w:t>
            </w:r>
            <w:r w:rsidRPr="006B378D">
              <w:rPr>
                <w:b/>
                <w:i/>
              </w:rPr>
              <w:t>ki rybołówstwa oraz konsultacji dotyczących uprawnień do połowów na 2020 r.</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6</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5</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(5)</w:t>
            </w:r>
            <w:r w:rsidRPr="006B378D">
              <w:tab/>
              <w:t xml:space="preserve">Na </w:t>
            </w:r>
            <w:r w:rsidRPr="006B378D">
              <w:t>podstawie oceny stada dorsza atlantyckiego ze wschodniej części Morza Bałtyckiego Komisja przyjęła rozporządzenie wykonawcze (UE) 2019/1248</w:t>
            </w:r>
            <w:r w:rsidRPr="006B378D">
              <w:rPr>
                <w:vertAlign w:val="superscript"/>
              </w:rPr>
              <w:t>5</w:t>
            </w:r>
            <w:r w:rsidRPr="006B378D">
              <w:t xml:space="preserve"> zakazujące do dnia 31 grudnia 2019 r. połowów dorsza w podrejonach ICES 24–26.</w:t>
            </w:r>
          </w:p>
        </w:tc>
        <w:tc>
          <w:tcPr>
            <w:tcW w:w="4876" w:type="dxa"/>
            <w:hideMark/>
          </w:tcPr>
          <w:p w:rsidR="006E4EDD" w:rsidRPr="006B378D" w:rsidRDefault="004141F0">
            <w:pPr>
              <w:pStyle w:val="Normal6"/>
              <w:rPr>
                <w:szCs w:val="24"/>
              </w:rPr>
            </w:pPr>
            <w:r w:rsidRPr="006B378D">
              <w:t>(5)</w:t>
            </w:r>
            <w:r w:rsidRPr="006B378D">
              <w:tab/>
              <w:t xml:space="preserve">Na podstawie oceny stada dorsza </w:t>
            </w:r>
            <w:r w:rsidRPr="006B378D">
              <w:t>atlantyckiego ze wschodniej części Morza Bałtyckiego Komisja przyjęła rozporządzenie wykonawcze (UE) 2019/1248</w:t>
            </w:r>
            <w:r w:rsidRPr="006B378D">
              <w:rPr>
                <w:vertAlign w:val="superscript"/>
              </w:rPr>
              <w:t>5</w:t>
            </w:r>
            <w:r w:rsidRPr="006B378D">
              <w:t xml:space="preserve"> zakazujące do dnia 31 grudnia 2019 r. połowów dorsza w podrejonach ICES 24–26. </w:t>
            </w:r>
            <w:r w:rsidRPr="006B378D">
              <w:rPr>
                <w:b/>
                <w:i/>
              </w:rPr>
              <w:t>Zakaz ten wywarł znaczący wpływ na wschodni region Morza Bałtycki</w:t>
            </w:r>
            <w:r w:rsidRPr="006B378D">
              <w:rPr>
                <w:b/>
                <w:i/>
              </w:rPr>
              <w:t>ego, zwłaszcza na sektor tradycyjnego łodziowego rybołówstwa przybrzeżnego. Zakaz wywarł również wpływ na rybołówstwo w zachodniej części Morza Bałtyckiego.</w:t>
            </w:r>
          </w:p>
        </w:tc>
      </w:tr>
      <w:tr w:rsidR="00497A2D" w:rsidRPr="006B378D" w:rsidTr="006E4EDD">
        <w:trPr>
          <w:jc w:val="center"/>
        </w:trPr>
        <w:tc>
          <w:tcPr>
            <w:tcW w:w="4876" w:type="dxa"/>
            <w:hideMark/>
          </w:tcPr>
          <w:p w:rsidR="006E4EDD" w:rsidRPr="006B378D" w:rsidRDefault="004141F0">
            <w:pPr>
              <w:pStyle w:val="Normal6"/>
            </w:pPr>
            <w:r w:rsidRPr="006B378D">
              <w:t>__________________</w:t>
            </w:r>
          </w:p>
        </w:tc>
        <w:tc>
          <w:tcPr>
            <w:tcW w:w="4876" w:type="dxa"/>
            <w:hideMark/>
          </w:tcPr>
          <w:p w:rsidR="006E4EDD" w:rsidRPr="006B378D" w:rsidRDefault="004141F0">
            <w:pPr>
              <w:pStyle w:val="Normal6"/>
              <w:rPr>
                <w:szCs w:val="24"/>
              </w:rPr>
            </w:pPr>
            <w:r w:rsidRPr="006B378D">
              <w:t>__________________</w:t>
            </w:r>
          </w:p>
        </w:tc>
      </w:tr>
      <w:tr w:rsidR="00497A2D" w:rsidRPr="006B378D" w:rsidTr="006E4EDD">
        <w:trPr>
          <w:jc w:val="center"/>
        </w:trPr>
        <w:tc>
          <w:tcPr>
            <w:tcW w:w="4876" w:type="dxa"/>
            <w:hideMark/>
          </w:tcPr>
          <w:p w:rsidR="006E4EDD" w:rsidRPr="006B378D" w:rsidRDefault="004141F0">
            <w:pPr>
              <w:pStyle w:val="Normal6"/>
            </w:pPr>
            <w:r w:rsidRPr="006B378D">
              <w:rPr>
                <w:vertAlign w:val="superscript"/>
              </w:rPr>
              <w:t>5</w:t>
            </w:r>
            <w:r w:rsidRPr="006B378D">
              <w:t xml:space="preserve"> Rozporządzenie wykonawcze Komisji (UE) 2019/1248 z dnia 2</w:t>
            </w:r>
            <w:r w:rsidRPr="006B378D">
              <w:t>2 lipca 2019 r. ustanawiające środki w celu zmniejszenia poważnego zagrożenia dla ochrony stada dorsza atlantyckiego (Gadus morhua) ze wschodniej części Morza Bałtyckiego (Dz.U. L 195 z 23.7.2019, s. 2).</w:t>
            </w:r>
          </w:p>
        </w:tc>
        <w:tc>
          <w:tcPr>
            <w:tcW w:w="4876" w:type="dxa"/>
            <w:hideMark/>
          </w:tcPr>
          <w:p w:rsidR="006E4EDD" w:rsidRPr="006B378D" w:rsidRDefault="004141F0">
            <w:pPr>
              <w:pStyle w:val="Normal6"/>
              <w:rPr>
                <w:szCs w:val="24"/>
              </w:rPr>
            </w:pPr>
            <w:r w:rsidRPr="006B378D">
              <w:rPr>
                <w:vertAlign w:val="superscript"/>
              </w:rPr>
              <w:t>5</w:t>
            </w:r>
            <w:r w:rsidRPr="006B378D">
              <w:t xml:space="preserve"> Rozporządzenie wykonawcze Komisji (UE) 2019/1248 z</w:t>
            </w:r>
            <w:r w:rsidRPr="006B378D">
              <w:t xml:space="preserve"> dnia 22 lipca 2019 r. ustanawiające środki w celu zmniejszenia poważnego zagrożenia dla ochrony stada dorsza atlantyckiego (Gadus morhua) ze wschodniej części Morza Bałtyckiego (Dz.U. L 195 z 23.7.2019, s. 2).</w:t>
            </w:r>
          </w:p>
        </w:tc>
      </w:tr>
    </w:tbl>
    <w:p w:rsidR="00E420EF" w:rsidRPr="006B378D" w:rsidRDefault="004141F0" w:rsidP="006E4EDD">
      <w:r w:rsidRPr="006B378D">
        <w:rPr>
          <w:rStyle w:val="HideTWBExt"/>
          <w:noProof w:val="0"/>
        </w:rPr>
        <w:t>&lt;/Amend&gt;</w:t>
      </w:r>
    </w:p>
    <w:p w:rsidR="006E4EDD" w:rsidRPr="006B378D" w:rsidRDefault="004141F0" w:rsidP="006E4EDD">
      <w:pPr>
        <w:pStyle w:val="AmNumberTabs"/>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7</w:t>
      </w:r>
      <w:r w:rsidRPr="006B378D">
        <w:rPr>
          <w:rStyle w:val="HideTWBExt"/>
          <w:noProof w:val="0"/>
        </w:rPr>
        <w:t>&lt;/NumAm&gt;</w:t>
      </w:r>
    </w:p>
    <w:p w:rsidR="006E4EDD" w:rsidRPr="006B378D" w:rsidRDefault="004141F0" w:rsidP="006E4EDD">
      <w:pPr>
        <w:pStyle w:val="NormalBold12b"/>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5 a (nowy)</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trHeight w:val="240"/>
          <w:jc w:val="center"/>
        </w:trPr>
        <w:tc>
          <w:tcPr>
            <w:tcW w:w="9752" w:type="dxa"/>
            <w:gridSpan w:val="2"/>
          </w:tcPr>
          <w:p w:rsidR="006E4EDD" w:rsidRPr="006B378D" w:rsidRDefault="006E4EDD"/>
        </w:tc>
      </w:tr>
      <w:tr w:rsidR="00497A2D" w:rsidRPr="006B378D" w:rsidTr="006E4EDD">
        <w:trPr>
          <w:trHeight w:val="240"/>
          <w:jc w:val="center"/>
        </w:trPr>
        <w:tc>
          <w:tcPr>
            <w:tcW w:w="4876" w:type="dxa"/>
            <w:hideMark/>
          </w:tcPr>
          <w:p w:rsidR="006E4EDD" w:rsidRPr="006B378D" w:rsidRDefault="004141F0">
            <w:pPr>
              <w:pStyle w:val="AmColumnHeading"/>
            </w:pPr>
            <w:r w:rsidRPr="006B378D">
              <w:t>Tekst proponowany przez Komisję</w:t>
            </w:r>
          </w:p>
        </w:tc>
        <w:tc>
          <w:tcPr>
            <w:tcW w:w="4876" w:type="dxa"/>
            <w:hideMark/>
          </w:tcPr>
          <w:p w:rsidR="006E4EDD" w:rsidRPr="006B378D" w:rsidRDefault="004141F0">
            <w:pPr>
              <w:pStyle w:val="AmColumnHeading"/>
            </w:pPr>
            <w:r w:rsidRPr="006B378D">
              <w:t>Poprawka</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pPr>
            <w:r w:rsidRPr="006B378D">
              <w:rPr>
                <w:b/>
                <w:i/>
              </w:rPr>
              <w:t>(5a)</w:t>
            </w:r>
            <w:r w:rsidRPr="006B378D">
              <w:tab/>
            </w:r>
            <w:r w:rsidRPr="006B378D">
              <w:rPr>
                <w:b/>
                <w:i/>
              </w:rPr>
              <w:t xml:space="preserve">Dorsz atlantycki ze wschodniej części Morza Bałtyckiego jest poławiany również przez rybaków z krajów trzecich, co </w:t>
            </w:r>
            <w:r w:rsidRPr="006B378D">
              <w:rPr>
                <w:b/>
                <w:i/>
              </w:rPr>
              <w:t>wpływa także na liczebność stad gatunków.</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8</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6</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(6)</w:t>
            </w:r>
            <w:r w:rsidRPr="006B378D">
              <w:tab/>
              <w:t xml:space="preserve">15 października 2019 r. Rada przyjęła </w:t>
            </w:r>
            <w:r w:rsidRPr="006B378D">
              <w:t>porozumienie polityczne w sprawie uprawnień do połowów na Morzu Bałtyckim na rok 2020. Porozumienie to przewiduje konieczną i bezprecedensową redukcję uprawnień do połowów na 2020 r. o 92 % w porównaniu z 2019 r. w odniesieniu do dorsza atlantyckiego ze ws</w:t>
            </w:r>
            <w:r w:rsidRPr="006B378D">
              <w:t>chodniej części Morza Bałtyckiego i ogranicza stosowanie tego TAC wyłącznie do przyłowów. Nie zezwala się zatem na żadne ukierunkowane połowy tego stada. Ponieważ w podrejonie ICES 24 występuje głównie dorsz atlantycki ze wschodniej części Morza Bałtyckieg</w:t>
            </w:r>
            <w:r w:rsidRPr="006B378D">
              <w:t>o, wykorzystanie TAC w odniesieniu do dorsza atlantyckiego z zachodniej części Morza Bałtyckiego w podrejonie 24 jest także ograniczone do przyłowów dorsza ze wschodniej części Morza Bałtyckiego.</w:t>
            </w:r>
          </w:p>
        </w:tc>
        <w:tc>
          <w:tcPr>
            <w:tcW w:w="4876" w:type="dxa"/>
            <w:hideMark/>
          </w:tcPr>
          <w:p w:rsidR="006E4EDD" w:rsidRPr="006B378D" w:rsidRDefault="004141F0">
            <w:pPr>
              <w:pStyle w:val="Normal6"/>
              <w:rPr>
                <w:szCs w:val="24"/>
              </w:rPr>
            </w:pPr>
            <w:r w:rsidRPr="006B378D">
              <w:t>(6)</w:t>
            </w:r>
            <w:r w:rsidRPr="006B378D">
              <w:tab/>
              <w:t>15 października 2019 r. Rada przyjęła porozumienie polit</w:t>
            </w:r>
            <w:r w:rsidRPr="006B378D">
              <w:t>yczne w sprawie uprawnień do połowów na Morzu Bałtyckim na rok 2020. Porozumienie to przewiduje konieczną i bezprecedensową redukcję uprawnień do połowów na 2020 r. o 92 % w porównaniu z 2019 r. w odniesieniu do dorsza atlantyckiego ze wschodniej części Mo</w:t>
            </w:r>
            <w:r w:rsidRPr="006B378D">
              <w:t xml:space="preserve">rza Bałtyckiego i ogranicza stosowanie tego TAC wyłącznie do przyłowów. Nie zezwala się zatem na żadne ukierunkowane połowy tego stada. </w:t>
            </w:r>
            <w:r w:rsidRPr="006B378D">
              <w:rPr>
                <w:b/>
                <w:i/>
              </w:rPr>
              <w:t>Zawsze należy dopuszczać działalność połowową prowadzoną w celach naukowych, tak aby monitorować tendencje w odniesieniu</w:t>
            </w:r>
            <w:r w:rsidRPr="006B378D">
              <w:rPr>
                <w:b/>
                <w:i/>
              </w:rPr>
              <w:t xml:space="preserve"> do biomasy stada. </w:t>
            </w:r>
            <w:r w:rsidRPr="006B378D">
              <w:t>Ponieważ w podrejonie ICES 24 występuje głównie dorsz atlantycki ze wschodniej części Morza Bałtyckiego, wykorzystanie TAC w odniesieniu do dorsza atlantyckiego z zachodniej części Morza Bałtyckiego w podrejonie 24 jest także ograniczone</w:t>
            </w:r>
            <w:r w:rsidRPr="006B378D">
              <w:t xml:space="preserve"> do przyłowów dorsza ze wschodniej części Morza Bałtyckiego.</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9</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7</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(7)</w:t>
            </w:r>
            <w:r w:rsidRPr="006B378D">
              <w:tab/>
            </w:r>
            <w:r w:rsidRPr="006B378D">
              <w:t>Floty rybackie, które do tej pory były zależne od dorsza atlantyckiego ze wschodniej części Morza Bałtyckiego, nie mają możliwości poławiania innych stad. Szacuje się, że kompensacja strat gospodarczych spowodowanych zamknięciem połowów dorsza atlantyckieg</w:t>
            </w:r>
            <w:r w:rsidRPr="006B378D">
              <w:t xml:space="preserve">o ze wschodniej części Morza Bałtyckiego wymagałaby dodatkowych połowów około 20 000 ton gatunków alternatywnych. Rada uzgodniła jednak również znaczne ograniczenia w odniesieniu do innych stad, w szczególności zmniejszenie połowów o 65 % w odniesieniu do </w:t>
            </w:r>
            <w:r w:rsidRPr="006B378D">
              <w:t>stada śledzia w zachodniej części Morza Bałtyckiego, 60 % w odniesieniu do stada dorsza atlantyckiego w zachodniej części Morza Bałtyckiego, 32 % w odniesieniu do gładzicy, 27 % w odniesieniu do śledzia atlantyckiego w Zatoce Botnickiej i 22 % w odniesieni</w:t>
            </w:r>
            <w:r w:rsidRPr="006B378D">
              <w:t>u do szprota.</w:t>
            </w:r>
          </w:p>
        </w:tc>
        <w:tc>
          <w:tcPr>
            <w:tcW w:w="4876" w:type="dxa"/>
            <w:hideMark/>
          </w:tcPr>
          <w:p w:rsidR="006E4EDD" w:rsidRPr="006B378D" w:rsidRDefault="004141F0">
            <w:pPr>
              <w:pStyle w:val="Normal6"/>
              <w:rPr>
                <w:szCs w:val="24"/>
              </w:rPr>
            </w:pPr>
            <w:r w:rsidRPr="006B378D">
              <w:t>(7)</w:t>
            </w:r>
            <w:r w:rsidRPr="006B378D">
              <w:tab/>
              <w:t>Floty rybackie, które do tej pory były zależne od dorsza atlantyckiego ze wschodniej części Morza Bałtyckiego, nie mają możliwości poławiania innych stad. Szacuje się, że kompensacja strat gospodarczych spowodowanych zamknięciem połowów d</w:t>
            </w:r>
            <w:r w:rsidRPr="006B378D">
              <w:t>orsza atlantyckiego ze wschodniej części Morza Bałtyckiego wymagałaby dodatkowych połowów około 20 000 ton gatunków alternatywnych. Rada uzgodniła jednak również znaczne ograniczenia w odniesieniu do innych stad, w szczególności zmniejszenie połowów o 65 %</w:t>
            </w:r>
            <w:r w:rsidRPr="006B378D">
              <w:t xml:space="preserve"> w odniesieniu do stada śledzia w zachodniej części Morza Bałtyckiego, 60 % w odniesieniu do stada dorsza atlantyckiego w zachodniej części Morza Bałtyckiego, 32 % w odniesieniu do gładzicy, 27 % w odniesieniu do śledzia atlantyckiego w Zatoce Botnickiej i</w:t>
            </w:r>
            <w:r w:rsidRPr="006B378D">
              <w:t xml:space="preserve"> 22 % w odniesieniu do szprota. </w:t>
            </w:r>
            <w:r w:rsidRPr="006B378D">
              <w:rPr>
                <w:b/>
                <w:i/>
              </w:rPr>
              <w:t>Trzeci rok z rzędu znacznie zmniejszono TAC dla śledzia z zachodniej części Morza Bałtyckiego. TAC dla dorsza z zachodniej części Morza Bałtyckiego również uległ znacznemu zmniejszeniu. W związku z tym dorsz i śledź z zachod</w:t>
            </w:r>
            <w:r w:rsidRPr="006B378D">
              <w:rPr>
                <w:b/>
                <w:i/>
              </w:rPr>
              <w:t>niej części Morza Bałtyckiego podlegają ograniczeniom podobnym do tych, które mają zastosowanie do dorsza ze wschodniej części Morza Bałtyckiego.</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10</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w:t>
      </w:r>
      <w:r w:rsidRPr="006B378D">
        <w:t>tyw 8</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(8)</w:t>
            </w:r>
            <w:r w:rsidRPr="006B378D">
              <w:tab/>
              <w:t xml:space="preserve">Z analizy Komisji wynika, że segmenty floty o najwyższej zależności od dorsza atlantyckiego ze wschodniej części Morza Bałtyckiego obejmują ponad 300 statków, głównie trawlery i statki </w:t>
            </w:r>
            <w:r w:rsidRPr="006B378D">
              <w:t>poławiające niewyspecyfikowanymi narzędziami skrzelowymi z Litwy, Łotwy i Polski oraz, w mniejszym stopniu, Danii. Wspomniane segmenty floty mają istotne znaczenie społeczno-gospodarcze i stanowią około 20–50 % krajowej floty na Litwie, Łotwie i w Polsce w</w:t>
            </w:r>
            <w:r w:rsidRPr="006B378D">
              <w:t xml:space="preserve"> ekwiwalentach pełnego czasu pracy. Jedynie niewielka część z nich wydaje się zdolna do przetrwania zamknięcia połowów w perspektywie krótkoterminowej, ale nie średnio- lub długoterminowej. Pozostała część już teraz znajduje się w złej sytuacji, która wsku</w:t>
            </w:r>
            <w:r w:rsidRPr="006B378D">
              <w:t>tek zamknięcia połowów będzie jeszcze gorsza, co może doprowadzić do zupełnej utraty rentowności. Wykorzystanie kwot dorsza atlantyckiego ze wschodniej części Morza Bałtyckiego od wielu lat utrzymuje się na poziomie poniżej 60 %, przy czym w 2018 r. nastąp</w:t>
            </w:r>
            <w:r w:rsidRPr="006B378D">
              <w:t xml:space="preserve">ił dalszy spadek do 40 %, a do połowy lipca 2019 r., kiedy to Komisja wprowadziła środki nadzwyczajne, poziom ten był jeszcze niższy (19 %), co odzwierciedla problem biologiczny związany z tymi połowami. Ponieważ nie oczekuje się, aby </w:t>
            </w:r>
            <w:r w:rsidRPr="006B378D">
              <w:rPr>
                <w:b/>
                <w:i/>
              </w:rPr>
              <w:t>stado</w:t>
            </w:r>
            <w:r w:rsidRPr="006B378D">
              <w:t xml:space="preserve"> dorsza atlantyc</w:t>
            </w:r>
            <w:r w:rsidRPr="006B378D">
              <w:t xml:space="preserve">kiego ze wschodniej części Morza Bałtyckiego </w:t>
            </w:r>
            <w:r w:rsidRPr="006B378D">
              <w:rPr>
                <w:b/>
                <w:i/>
              </w:rPr>
              <w:t>odbudowało</w:t>
            </w:r>
            <w:r w:rsidRPr="006B378D">
              <w:t xml:space="preserve"> się do zdrowego poziomu nawet w perspektywie średnioterminowej, w przypadku tych segmentów floty utrzymywać się będzie nierównowaga strukturalna, co uzasadnia restrukturyzację floty.</w:t>
            </w:r>
          </w:p>
        </w:tc>
        <w:tc>
          <w:tcPr>
            <w:tcW w:w="4876" w:type="dxa"/>
            <w:hideMark/>
          </w:tcPr>
          <w:p w:rsidR="006E4EDD" w:rsidRPr="006B378D" w:rsidRDefault="004141F0">
            <w:pPr>
              <w:pStyle w:val="Normal6"/>
              <w:rPr>
                <w:szCs w:val="24"/>
              </w:rPr>
            </w:pPr>
            <w:r w:rsidRPr="006B378D">
              <w:t>(8)</w:t>
            </w:r>
            <w:r w:rsidRPr="006B378D">
              <w:tab/>
            </w:r>
            <w:r w:rsidRPr="006B378D">
              <w:rPr>
                <w:b/>
                <w:i/>
              </w:rPr>
              <w:t>Analiza wykaz</w:t>
            </w:r>
            <w:r w:rsidRPr="006B378D">
              <w:rPr>
                <w:b/>
                <w:i/>
              </w:rPr>
              <w:t>ała</w:t>
            </w:r>
            <w:r w:rsidRPr="006B378D">
              <w:t>, że segmenty floty o najwyższej zależności od dorsza atlantyckiego ze wschodniej części Morza Bałtyckiego obejmują ponad 300 statków, głównie trawlery i statki poławiające niewyspecyfikowanymi narzędziami skrzelowymi z Litwy, Łotwy i Polski oraz, w mni</w:t>
            </w:r>
            <w:r w:rsidRPr="006B378D">
              <w:t>ejszym stopniu, Danii</w:t>
            </w:r>
            <w:r w:rsidRPr="006B378D">
              <w:rPr>
                <w:b/>
                <w:i/>
              </w:rPr>
              <w:t xml:space="preserve"> i Niemiec</w:t>
            </w:r>
            <w:r w:rsidRPr="006B378D">
              <w:t>. Wspomniane segmenty floty mają istotne znaczenie społeczno-gospodarcze i stanowią około 20–50 % krajowej floty na Litwie, Łotwie i w Polsce w ekwiwalentach pełnego czasu pracy. Jedynie niewielka część z nich wydaje się zdol</w:t>
            </w:r>
            <w:r w:rsidRPr="006B378D">
              <w:t>na do przetrwania zamknięcia połowów w perspektywie krótkoterminowej, ale nie średnio- lub długoterminowej. Pozostała część już teraz znajduje się w złej sytuacji, która wskutek zamknięcia połowów będzie jeszcze gorsza, co może doprowadzić do zupełnej utra</w:t>
            </w:r>
            <w:r w:rsidRPr="006B378D">
              <w:t xml:space="preserve">ty rentowności. Wykorzystanie kwot dorsza atlantyckiego ze wschodniej części Morza Bałtyckiego od wielu lat utrzymuje się na poziomie poniżej 60 %, przy czym w 2018 r. nastąpił dalszy spadek do 40 %, a do połowy lipca 2019 r., kiedy to Komisja wprowadziła </w:t>
            </w:r>
            <w:r w:rsidRPr="006B378D">
              <w:t xml:space="preserve">środki nadzwyczajne, poziom ten był jeszcze niższy (19 %), co odzwierciedla problem biologiczny związany z tymi połowami. Ponieważ nie oczekuje się, aby </w:t>
            </w:r>
            <w:r w:rsidRPr="006B378D">
              <w:rPr>
                <w:b/>
                <w:i/>
              </w:rPr>
              <w:t>stada</w:t>
            </w:r>
            <w:r w:rsidRPr="006B378D">
              <w:t xml:space="preserve"> dorsza atlantyckiego ze wschodniej części Morza Bałtyckiego </w:t>
            </w:r>
            <w:r w:rsidRPr="006B378D">
              <w:rPr>
                <w:b/>
                <w:i/>
              </w:rPr>
              <w:t>odbudowały</w:t>
            </w:r>
            <w:r w:rsidRPr="006B378D">
              <w:t xml:space="preserve"> się do zdrowego poziomu nawet w perspektywie średnioterminowej, w przypadku tych segmentów floty utrzymywać się będzie nierównowaga strukturalna, co uzasadnia restrukturyzację floty.</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
        <w:keepNext/>
      </w:pPr>
      <w:r w:rsidRPr="006B378D">
        <w:rPr>
          <w:rStyle w:val="HideTWBExt"/>
          <w:b w:val="0"/>
          <w:noProof w:val="0"/>
        </w:rPr>
        <w:t>&lt;Amend&gt;</w:t>
      </w:r>
      <w:r w:rsidRPr="006B378D">
        <w:t>Poprawka</w:t>
      </w:r>
      <w:r w:rsidRPr="006B378D">
        <w:tab/>
      </w:r>
      <w:r w:rsidRPr="006B378D">
        <w:tab/>
      </w:r>
      <w:r w:rsidRPr="006B378D">
        <w:rPr>
          <w:rStyle w:val="HideTWBExt"/>
          <w:b w:val="0"/>
          <w:noProof w:val="0"/>
        </w:rPr>
        <w:t>&lt;NumAm&gt;</w:t>
      </w:r>
      <w:r w:rsidRPr="006B378D">
        <w:t>11</w:t>
      </w:r>
      <w:r w:rsidRPr="006B378D">
        <w:rPr>
          <w:rStyle w:val="HideTWBExt"/>
          <w:b w:val="0"/>
          <w:noProof w:val="0"/>
        </w:rPr>
        <w:t>&lt;/NumAm&gt;</w:t>
      </w:r>
    </w:p>
    <w:p w:rsidR="006E4EDD" w:rsidRPr="006B378D" w:rsidRDefault="004141F0" w:rsidP="006E4EDD">
      <w:pPr>
        <w:pStyle w:val="NormalBold12b"/>
      </w:pPr>
      <w:r w:rsidRPr="006B378D">
        <w:rPr>
          <w:rStyle w:val="HideTWBExt"/>
          <w:b w:val="0"/>
          <w:noProof w:val="0"/>
        </w:rPr>
        <w:t>&lt;DocAmend&gt;</w:t>
      </w:r>
      <w:r w:rsidRPr="006B378D">
        <w:t>Wniosek dotycząc</w:t>
      </w:r>
      <w:r w:rsidRPr="006B378D">
        <w:t>y rozporządzenia</w:t>
      </w:r>
      <w:r w:rsidRPr="006B378D">
        <w:rPr>
          <w:rStyle w:val="HideTWBExt"/>
          <w:b w:val="0"/>
          <w:noProof w:val="0"/>
        </w:rPr>
        <w:t>&lt;/DocAmend&gt;</w:t>
      </w:r>
    </w:p>
    <w:p w:rsidR="006E4EDD" w:rsidRPr="006B378D" w:rsidRDefault="004141F0" w:rsidP="006E4EDD">
      <w:pPr>
        <w:pStyle w:val="NormalBold"/>
        <w:keepNext/>
      </w:pPr>
      <w:r w:rsidRPr="006B378D">
        <w:rPr>
          <w:rStyle w:val="HideTWBExt"/>
          <w:b w:val="0"/>
          <w:noProof w:val="0"/>
        </w:rPr>
        <w:t>&lt;Article&gt;</w:t>
      </w:r>
      <w:r w:rsidRPr="006B378D">
        <w:t>Motyw 11</w:t>
      </w:r>
      <w:r w:rsidRPr="006B378D">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AmColumnHeading"/>
              <w:keepNext/>
            </w:pPr>
            <w:r w:rsidRPr="006B378D">
              <w:t>Tekst proponowany przez Komisję</w:t>
            </w:r>
          </w:p>
        </w:tc>
        <w:tc>
          <w:tcPr>
            <w:tcW w:w="4876" w:type="dxa"/>
            <w:hideMark/>
          </w:tcPr>
          <w:p w:rsidR="006E4EDD" w:rsidRPr="006B378D" w:rsidRDefault="004141F0">
            <w:pPr>
              <w:pStyle w:val="Am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a"/>
            </w:pPr>
            <w:r w:rsidRPr="006B378D">
              <w:t xml:space="preserve">(11) </w:t>
            </w:r>
            <w:r w:rsidRPr="006B378D">
              <w:tab/>
            </w:r>
            <w:r w:rsidRPr="006B378D">
              <w:rPr>
                <w:b/>
                <w:i/>
              </w:rPr>
              <w:t xml:space="preserve">Zgodnie z opinią ICES opublikowaną w dniu 29 maja 2019 r. około 70 % wyładunków dorsza atlantyckiego w podrejonach 24–28 zostało dokonane przez </w:t>
            </w:r>
            <w:r w:rsidRPr="006B378D">
              <w:rPr>
                <w:b/>
                <w:i/>
              </w:rPr>
              <w:t>trawlery z oknem selektywnym typu BACOMA wielkości 120 mm lub T90, a 15 % wyładunków dorsza atlantyckiego zostało dokonanych przez lugery o rozmiarze oczek sieci od 110 mm do 156 mm. Te metier są ogólnie uznawane za ukierunkowane na dorsza, a minimalne roz</w:t>
            </w:r>
            <w:r w:rsidRPr="006B378D">
              <w:rPr>
                <w:b/>
                <w:i/>
              </w:rPr>
              <w:t>miary oczek dla nich są określone w rozporządzeniu Parlamentu Europejskiego i Rady (UE) 2019/1241</w:t>
            </w:r>
            <w:r w:rsidRPr="006B378D">
              <w:rPr>
                <w:b/>
                <w:i/>
                <w:vertAlign w:val="superscript"/>
              </w:rPr>
              <w:t>7</w:t>
            </w:r>
            <w:r w:rsidRPr="006B378D">
              <w:rPr>
                <w:b/>
                <w:i/>
              </w:rPr>
              <w:t>. Każde z pozostałych metier w pierwszej piętnastce pod kątem wielkości wyładunków dorsza odpowiadało za mniej niż 5 % całkowitych wyładunków dorsza. Należy</w:t>
            </w:r>
            <w:r w:rsidRPr="006B378D">
              <w:t xml:space="preserve"> z</w:t>
            </w:r>
            <w:r w:rsidRPr="006B378D">
              <w:t xml:space="preserve">apewnić, aby poziomy zdolności połowowej flot poławiających dorsza atlantyckiego </w:t>
            </w:r>
            <w:r w:rsidRPr="006B378D">
              <w:rPr>
                <w:b/>
                <w:i/>
              </w:rPr>
              <w:t>ze wschodniej części</w:t>
            </w:r>
            <w:r w:rsidRPr="006B378D">
              <w:t xml:space="preserve"> Morza Bałtyckiego nie zwiększyły się, a trwałe zaprzestanie działalności z wykorzystaniem środków publicznych skutecznie zmniejszyło zdolność połowową flo</w:t>
            </w:r>
            <w:r w:rsidRPr="006B378D">
              <w:t xml:space="preserve">ty. Poziom zdolności połowowej w odniesieniu do </w:t>
            </w:r>
            <w:r w:rsidRPr="006B378D">
              <w:rPr>
                <w:b/>
                <w:i/>
              </w:rPr>
              <w:t>tych dwóch</w:t>
            </w:r>
            <w:r w:rsidRPr="006B378D">
              <w:t xml:space="preserve"> segmentów floty państw członkowskich powinien zostać ograniczony do poziomu statków aktywnych w </w:t>
            </w:r>
            <w:r w:rsidRPr="006B378D">
              <w:rPr>
                <w:b/>
                <w:i/>
              </w:rPr>
              <w:t>ostatnich latach</w:t>
            </w:r>
            <w:r w:rsidRPr="006B378D">
              <w:t xml:space="preserve"> przed zastosowaniem środków nadzwyczajnych, tj. </w:t>
            </w:r>
            <w:r w:rsidRPr="006B378D">
              <w:rPr>
                <w:b/>
                <w:i/>
              </w:rPr>
              <w:t xml:space="preserve">2017 i </w:t>
            </w:r>
            <w:r w:rsidRPr="006B378D">
              <w:t>2018, i powinien zostać zmnie</w:t>
            </w:r>
            <w:r w:rsidRPr="006B378D">
              <w:t xml:space="preserve">jszony, gdy statki zostaną wycofane z wykorzystaniem pomocy publicznej, w celu odbudowy </w:t>
            </w:r>
            <w:r w:rsidRPr="006B378D">
              <w:rPr>
                <w:b/>
                <w:i/>
              </w:rPr>
              <w:t>stada</w:t>
            </w:r>
            <w:r w:rsidRPr="006B378D">
              <w:t xml:space="preserve"> dorsza</w:t>
            </w:r>
            <w:r w:rsidRPr="006B378D">
              <w:rPr>
                <w:b/>
                <w:i/>
              </w:rPr>
              <w:t xml:space="preserve"> atlantyckiego ze wschodniej części Morza</w:t>
            </w:r>
            <w:r w:rsidRPr="006B378D">
              <w:t xml:space="preserve"> Bałtyckiego.</w:t>
            </w:r>
          </w:p>
        </w:tc>
        <w:tc>
          <w:tcPr>
            <w:tcW w:w="4876" w:type="dxa"/>
            <w:hideMark/>
          </w:tcPr>
          <w:p w:rsidR="006E4EDD" w:rsidRPr="006B378D" w:rsidRDefault="004141F0">
            <w:pPr>
              <w:pStyle w:val="Normal6a"/>
            </w:pPr>
            <w:r w:rsidRPr="006B378D">
              <w:t>(11)</w:t>
            </w:r>
            <w:r w:rsidRPr="006B378D">
              <w:tab/>
            </w:r>
            <w:r w:rsidRPr="006B378D">
              <w:rPr>
                <w:b/>
                <w:i/>
              </w:rPr>
              <w:t>Należy</w:t>
            </w:r>
            <w:r w:rsidRPr="006B378D">
              <w:t xml:space="preserve"> zapewnić, aby poziomy zdolności połowowej flot poławiających dorsza atlantyckiego </w:t>
            </w:r>
            <w:r w:rsidRPr="006B378D">
              <w:rPr>
                <w:b/>
                <w:i/>
              </w:rPr>
              <w:t>z</w:t>
            </w:r>
            <w:r w:rsidRPr="006B378D">
              <w:t xml:space="preserve"> Morza</w:t>
            </w:r>
            <w:r w:rsidRPr="006B378D">
              <w:t xml:space="preserve"> Bałtyckiego nie zwiększyły się, a trwałe zaprzestanie działalności z wykorzystaniem środków publicznych skutecznie zmniejszyło zdolność połowową floty. Poziom zdolności połowowej w odniesieniu do </w:t>
            </w:r>
            <w:r w:rsidRPr="006B378D">
              <w:rPr>
                <w:b/>
                <w:i/>
              </w:rPr>
              <w:t>odnośnych</w:t>
            </w:r>
            <w:r w:rsidRPr="006B378D">
              <w:t xml:space="preserve"> segmentów floty państw członkowskich powinien zos</w:t>
            </w:r>
            <w:r w:rsidRPr="006B378D">
              <w:t xml:space="preserve">tać ograniczony do poziomu </w:t>
            </w:r>
            <w:r w:rsidRPr="006B378D">
              <w:rPr>
                <w:b/>
                <w:i/>
              </w:rPr>
              <w:t xml:space="preserve">poniżej poziomu </w:t>
            </w:r>
            <w:r w:rsidRPr="006B378D">
              <w:t xml:space="preserve">statków aktywnych w </w:t>
            </w:r>
            <w:r w:rsidRPr="006B378D">
              <w:rPr>
                <w:b/>
                <w:i/>
              </w:rPr>
              <w:t>dwóch z pięciu lat bezpośrednio</w:t>
            </w:r>
            <w:r w:rsidRPr="006B378D">
              <w:t xml:space="preserve"> przed zastosowaniem środków nadzwyczajnych, tj. </w:t>
            </w:r>
            <w:r w:rsidRPr="006B378D">
              <w:rPr>
                <w:b/>
                <w:i/>
              </w:rPr>
              <w:t>w latach 2014–</w:t>
            </w:r>
            <w:r w:rsidRPr="006B378D">
              <w:t>2018, i powinien zostać zmniejszony, gdy statki zostaną wycofane z wykorzystaniem pomocy publicznej</w:t>
            </w:r>
            <w:r w:rsidRPr="006B378D">
              <w:t xml:space="preserve">, w celu odbudowy </w:t>
            </w:r>
            <w:r w:rsidRPr="006B378D">
              <w:rPr>
                <w:b/>
                <w:i/>
              </w:rPr>
              <w:t>stad</w:t>
            </w:r>
            <w:r w:rsidRPr="006B378D">
              <w:t xml:space="preserve"> dorsza bałtyckiego.</w:t>
            </w:r>
          </w:p>
        </w:tc>
      </w:tr>
      <w:tr w:rsidR="00497A2D" w:rsidRPr="006B378D" w:rsidTr="006E4EDD">
        <w:trPr>
          <w:jc w:val="center"/>
        </w:trPr>
        <w:tc>
          <w:tcPr>
            <w:tcW w:w="4876" w:type="dxa"/>
            <w:hideMark/>
          </w:tcPr>
          <w:p w:rsidR="006E4EDD" w:rsidRPr="006B378D" w:rsidRDefault="004141F0">
            <w:pPr>
              <w:pStyle w:val="Normal6a"/>
              <w:rPr>
                <w:b/>
                <w:bCs/>
                <w:i/>
                <w:iCs/>
                <w:szCs w:val="24"/>
              </w:rPr>
            </w:pPr>
            <w:r w:rsidRPr="006B378D">
              <w:rPr>
                <w:b/>
                <w:bCs/>
                <w:i/>
                <w:iCs/>
              </w:rPr>
              <w:t>___________</w:t>
            </w:r>
          </w:p>
        </w:tc>
        <w:tc>
          <w:tcPr>
            <w:tcW w:w="4876" w:type="dxa"/>
          </w:tcPr>
          <w:p w:rsidR="006E4EDD" w:rsidRPr="006B378D" w:rsidRDefault="006E4EDD">
            <w:pPr>
              <w:pStyle w:val="Normal6a"/>
              <w:rPr>
                <w:b/>
                <w:bCs/>
                <w:i/>
                <w:iCs/>
                <w:szCs w:val="24"/>
              </w:rPr>
            </w:pPr>
          </w:p>
        </w:tc>
      </w:tr>
      <w:tr w:rsidR="00497A2D" w:rsidRPr="006B378D" w:rsidTr="006E4EDD">
        <w:trPr>
          <w:jc w:val="center"/>
        </w:trPr>
        <w:tc>
          <w:tcPr>
            <w:tcW w:w="4876" w:type="dxa"/>
            <w:hideMark/>
          </w:tcPr>
          <w:p w:rsidR="006E4EDD" w:rsidRPr="006B378D" w:rsidRDefault="004141F0">
            <w:pPr>
              <w:pStyle w:val="Normal6a"/>
              <w:rPr>
                <w:b/>
                <w:bCs/>
                <w:i/>
                <w:iCs/>
                <w:szCs w:val="24"/>
              </w:rPr>
            </w:pPr>
            <w:r w:rsidRPr="004141F0">
              <w:rPr>
                <w:b/>
                <w:bCs/>
                <w:i/>
                <w:iCs/>
                <w:szCs w:val="24"/>
                <w:vertAlign w:val="superscript"/>
              </w:rPr>
              <w:t>7</w:t>
            </w:r>
            <w:r w:rsidRPr="006B378D">
              <w:rPr>
                <w:b/>
                <w:bCs/>
                <w:i/>
                <w:iCs/>
                <w:szCs w:val="24"/>
              </w:rPr>
              <w:t xml:space="preserve"> Rozporządzenie Parlamentu Europejskiego i Rady (UE) 2019/1241 z dnia 20 czerwca 2019 r. w sprawie zachowania zasobów rybnych i ochrony ekosystemów morskich za pomocą środków technicznych, zmieniaj</w:t>
            </w:r>
            <w:r w:rsidRPr="006B378D">
              <w:rPr>
                <w:b/>
                <w:bCs/>
                <w:i/>
                <w:iCs/>
                <w:szCs w:val="24"/>
              </w:rPr>
              <w:t>ące rozporządzenia Rady (WE) nr 1967/2006, (WE) nr 1224/2009 i rozporządzenia Parlamentu Europejskiego i Rady (UE) nr 1380/2013, (UE) 2016/1139, (UE) 2018/973, (UE) 2019/472 i (UE) 2019/1022 oraz uchylające rozporządzenia Rady (WE) nr 894/97, (WE) nr 850/9</w:t>
            </w:r>
            <w:r w:rsidRPr="006B378D">
              <w:rPr>
                <w:b/>
                <w:bCs/>
                <w:i/>
                <w:iCs/>
                <w:szCs w:val="24"/>
              </w:rPr>
              <w:t>8, (WE) nr 2549/2000, (WE) nr 254/2002, (WE) nr 812/2004 i (WE) nr 2187/2005 (Dz.U. L 198 z 25.7.2019, s. 105).</w:t>
            </w:r>
          </w:p>
        </w:tc>
        <w:tc>
          <w:tcPr>
            <w:tcW w:w="4876" w:type="dxa"/>
          </w:tcPr>
          <w:p w:rsidR="006E4EDD" w:rsidRPr="006B378D" w:rsidRDefault="006E4EDD">
            <w:pPr>
              <w:pStyle w:val="Normal6a"/>
              <w:rPr>
                <w:b/>
                <w:bCs/>
                <w:i/>
                <w:iCs/>
                <w:szCs w:val="24"/>
              </w:rPr>
            </w:pPr>
          </w:p>
        </w:tc>
      </w:tr>
    </w:tbl>
    <w:p w:rsidR="006E4EDD" w:rsidRPr="004141F0" w:rsidRDefault="004141F0" w:rsidP="004141F0">
      <w:r w:rsidRPr="006B378D">
        <w:rPr>
          <w:rStyle w:val="HideTWBExt"/>
          <w:noProof w:val="0"/>
        </w:rPr>
        <w:t>&lt;/Amend&gt;</w:t>
      </w:r>
    </w:p>
    <w:p w:rsidR="006E4EDD" w:rsidRPr="006B378D" w:rsidRDefault="004141F0" w:rsidP="006E4EDD">
      <w:pPr>
        <w:pStyle w:val="AmNumberTabs"/>
        <w:keepNext/>
      </w:pPr>
      <w:r w:rsidRPr="006B378D">
        <w:rPr>
          <w:rStyle w:val="HideTWBExt"/>
          <w:b w:val="0"/>
          <w:noProof w:val="0"/>
        </w:rPr>
        <w:t>&lt;</w:t>
      </w:r>
      <w:r w:rsidRPr="006B378D">
        <w:rPr>
          <w:rStyle w:val="HideTWBExt"/>
          <w:b w:val="0"/>
          <w:noProof w:val="0"/>
        </w:rPr>
        <w:t>Amend&gt;</w:t>
      </w:r>
      <w:r w:rsidRPr="006B378D">
        <w:t>Poprawka</w:t>
      </w:r>
      <w:r w:rsidRPr="006B378D">
        <w:tab/>
      </w:r>
      <w:r w:rsidRPr="006B378D">
        <w:tab/>
      </w:r>
      <w:r w:rsidRPr="006B378D">
        <w:rPr>
          <w:rStyle w:val="HideTWBExt"/>
          <w:b w:val="0"/>
          <w:noProof w:val="0"/>
        </w:rPr>
        <w:t>&lt;NumAm&gt;</w:t>
      </w:r>
      <w:r w:rsidRPr="006B378D">
        <w:t>12</w:t>
      </w:r>
      <w:r w:rsidRPr="006B378D">
        <w:rPr>
          <w:rStyle w:val="HideTWBExt"/>
          <w:b w:val="0"/>
          <w:noProof w:val="0"/>
        </w:rPr>
        <w:t>&lt;/NumAm&gt;</w:t>
      </w:r>
    </w:p>
    <w:p w:rsidR="006E4EDD" w:rsidRPr="006B378D" w:rsidRDefault="004141F0" w:rsidP="006E4EDD">
      <w:pPr>
        <w:pStyle w:val="NormalBold12b"/>
      </w:pPr>
      <w:r w:rsidRPr="006B378D">
        <w:rPr>
          <w:rStyle w:val="HideTWBExt"/>
          <w:b w:val="0"/>
          <w:noProof w:val="0"/>
        </w:rPr>
        <w:t>&lt;DocAmend&gt;</w:t>
      </w:r>
      <w:r w:rsidRPr="006B378D">
        <w:t>Wniosek dotyczący rozporządzenia</w:t>
      </w:r>
      <w:r w:rsidRPr="006B378D">
        <w:rPr>
          <w:rStyle w:val="HideTWBExt"/>
          <w:b w:val="0"/>
          <w:noProof w:val="0"/>
        </w:rPr>
        <w:t>&lt;/DocAmend&gt;</w:t>
      </w:r>
    </w:p>
    <w:p w:rsidR="006E4EDD" w:rsidRPr="006B378D" w:rsidRDefault="004141F0" w:rsidP="006E4EDD">
      <w:pPr>
        <w:pStyle w:val="NormalBold"/>
        <w:keepNext/>
      </w:pPr>
      <w:r w:rsidRPr="006B378D">
        <w:rPr>
          <w:rStyle w:val="HideTWBExt"/>
          <w:b w:val="0"/>
          <w:noProof w:val="0"/>
        </w:rPr>
        <w:t>&lt;Article&gt;</w:t>
      </w:r>
      <w:r w:rsidRPr="006B378D">
        <w:t>Motyw 16</w:t>
      </w:r>
      <w:r w:rsidRPr="006B378D">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AmColumnHeading"/>
              <w:keepNext/>
            </w:pPr>
            <w:r w:rsidRPr="006B378D">
              <w:t xml:space="preserve">Tekst </w:t>
            </w:r>
            <w:r w:rsidRPr="006B378D">
              <w:t>proponowany przez Komisję</w:t>
            </w:r>
          </w:p>
        </w:tc>
        <w:tc>
          <w:tcPr>
            <w:tcW w:w="4876" w:type="dxa"/>
            <w:hideMark/>
          </w:tcPr>
          <w:p w:rsidR="006E4EDD" w:rsidRPr="006B378D" w:rsidRDefault="004141F0">
            <w:pPr>
              <w:pStyle w:val="Am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a"/>
              <w:rPr>
                <w:szCs w:val="24"/>
              </w:rPr>
            </w:pPr>
            <w:r w:rsidRPr="006B378D">
              <w:rPr>
                <w:szCs w:val="24"/>
              </w:rPr>
              <w:t>(16)</w:t>
            </w:r>
            <w:r w:rsidRPr="006B378D">
              <w:rPr>
                <w:szCs w:val="24"/>
              </w:rPr>
              <w:tab/>
              <w:t xml:space="preserve">W celu złagodzenia </w:t>
            </w:r>
            <w:r w:rsidRPr="006B378D">
              <w:rPr>
                <w:b/>
                <w:i/>
                <w:szCs w:val="24"/>
              </w:rPr>
              <w:t>negatywnych</w:t>
            </w:r>
            <w:r w:rsidRPr="006B378D">
              <w:rPr>
                <w:szCs w:val="24"/>
              </w:rPr>
              <w:t xml:space="preserve"> skutków </w:t>
            </w:r>
            <w:r w:rsidRPr="006B378D">
              <w:rPr>
                <w:b/>
                <w:i/>
                <w:szCs w:val="24"/>
              </w:rPr>
              <w:t>gospodarczych</w:t>
            </w:r>
            <w:r w:rsidRPr="006B378D">
              <w:rPr>
                <w:szCs w:val="24"/>
              </w:rPr>
              <w:t xml:space="preserve"> wynikających z </w:t>
            </w:r>
            <w:r w:rsidRPr="006B378D">
              <w:rPr>
                <w:b/>
                <w:i/>
                <w:szCs w:val="24"/>
              </w:rPr>
              <w:t>wyjątkowej i trwałej</w:t>
            </w:r>
            <w:r w:rsidRPr="006B378D">
              <w:rPr>
                <w:szCs w:val="24"/>
              </w:rPr>
              <w:t xml:space="preserve"> sytuacji środowiskowej na Morzu Bałtyckim oraz związanego z nią znacznego ograniczenia uprawnień do połowów, a także ze względu na środki szczegółowe przewidziane w planie wieloletnim dla Morza Bałtyckiego, wsparcie publiczne na trwałe zaprzestanie działa</w:t>
            </w:r>
            <w:r w:rsidRPr="006B378D">
              <w:rPr>
                <w:szCs w:val="24"/>
              </w:rPr>
              <w:t>lności połowowej poprzez złomowanie statków rybackich powinno być dostępne dla państw członkowskich, aby umożliwić im osiągnięcie celów planów działania na podstawie art. 22 rozporządzenia (UE) nr 1380/2013 oraz zmniejszenie stwierdzonej strukturalnej nier</w:t>
            </w:r>
            <w:r w:rsidRPr="006B378D">
              <w:rPr>
                <w:szCs w:val="24"/>
              </w:rPr>
              <w:t xml:space="preserve">ównowagi w segmentach rybołówstwa objętych wieloletnim planem dla Morza Bałtyckiego. Należy zatem odpowiednio zmienić rozporządzenie (UE) nr 508/2014, aby ponownie wprowadzić wsparcie na rzecz trwałego zaprzestania działalności połowowej dla tych statków, </w:t>
            </w:r>
            <w:r w:rsidRPr="006B378D">
              <w:rPr>
                <w:szCs w:val="24"/>
              </w:rPr>
              <w:t xml:space="preserve">które są w znacznym stopniu uzależnione od połowów dorsza atlantyckiego </w:t>
            </w:r>
            <w:r w:rsidRPr="006B378D">
              <w:rPr>
                <w:b/>
                <w:i/>
                <w:szCs w:val="24"/>
              </w:rPr>
              <w:t>ze wschodniej części</w:t>
            </w:r>
            <w:r w:rsidRPr="006B378D">
              <w:rPr>
                <w:szCs w:val="24"/>
              </w:rPr>
              <w:t xml:space="preserve"> Morza Bałtyckiego.</w:t>
            </w:r>
          </w:p>
        </w:tc>
        <w:tc>
          <w:tcPr>
            <w:tcW w:w="4876" w:type="dxa"/>
            <w:hideMark/>
          </w:tcPr>
          <w:p w:rsidR="006E4EDD" w:rsidRPr="006B378D" w:rsidRDefault="004141F0">
            <w:pPr>
              <w:pStyle w:val="Normal6a"/>
              <w:rPr>
                <w:szCs w:val="24"/>
              </w:rPr>
            </w:pPr>
            <w:r w:rsidRPr="006B378D">
              <w:rPr>
                <w:szCs w:val="24"/>
              </w:rPr>
              <w:t>(16)</w:t>
            </w:r>
            <w:r w:rsidRPr="006B378D">
              <w:rPr>
                <w:szCs w:val="24"/>
              </w:rPr>
              <w:tab/>
              <w:t xml:space="preserve">W celu złagodzenia </w:t>
            </w:r>
            <w:r w:rsidRPr="006B378D">
              <w:rPr>
                <w:b/>
                <w:i/>
                <w:szCs w:val="24"/>
              </w:rPr>
              <w:t>wielce szkodliwych</w:t>
            </w:r>
            <w:r w:rsidRPr="006B378D">
              <w:rPr>
                <w:szCs w:val="24"/>
              </w:rPr>
              <w:t xml:space="preserve"> skutków </w:t>
            </w:r>
            <w:r w:rsidRPr="006B378D">
              <w:rPr>
                <w:b/>
                <w:i/>
                <w:szCs w:val="24"/>
              </w:rPr>
              <w:t>społeczno-gospodarczych dla społeczności nadbrzeżnych i przedsiębiorstw w sektorze rybołówstw</w:t>
            </w:r>
            <w:r w:rsidRPr="006B378D">
              <w:rPr>
                <w:b/>
                <w:i/>
                <w:szCs w:val="24"/>
              </w:rPr>
              <w:t>a,</w:t>
            </w:r>
            <w:r w:rsidRPr="006B378D">
              <w:rPr>
                <w:szCs w:val="24"/>
              </w:rPr>
              <w:t xml:space="preserve"> wynikających z </w:t>
            </w:r>
            <w:r w:rsidRPr="006B378D">
              <w:rPr>
                <w:b/>
                <w:i/>
                <w:szCs w:val="24"/>
              </w:rPr>
              <w:t>trwale niekorzystnej</w:t>
            </w:r>
            <w:r w:rsidRPr="006B378D">
              <w:rPr>
                <w:szCs w:val="24"/>
              </w:rPr>
              <w:t xml:space="preserve"> sytuacji środowiskowej na Morzu Bałtyckim oraz związanego z nią znacznego ograniczenia uprawnień do połowów, a także ze względu na środki szczegółowe przewidziane w planie wieloletnim dla Morza Bałtyckiego, wsparcie p</w:t>
            </w:r>
            <w:r w:rsidRPr="006B378D">
              <w:rPr>
                <w:szCs w:val="24"/>
              </w:rPr>
              <w:t>ubliczne na trwałe zaprzestanie działalności połowowej poprzez złomowanie statków rybackich powinno być dostępne dla państw członkowskich, aby umożliwić im osiągnięcie celów planów działania na podstawie art. 22 rozporządzenia (UE) nr 1380/2013 oraz zmniej</w:t>
            </w:r>
            <w:r w:rsidRPr="006B378D">
              <w:rPr>
                <w:szCs w:val="24"/>
              </w:rPr>
              <w:t>szenie stwierdzonej strukturalnej nierównowagi w segmentach rybołówstwa objętych wieloletnim planem dla Morza Bałtyckiego. Należy zatem odpowiednio zmienić rozporządzenie (UE) nr 508/2014, aby ponownie wprowadzić wsparcie na rzecz trwałego zaprzestania dzi</w:t>
            </w:r>
            <w:r w:rsidRPr="006B378D">
              <w:rPr>
                <w:szCs w:val="24"/>
              </w:rPr>
              <w:t xml:space="preserve">ałalności połowowej dla tych statków, które są w znacznym stopniu uzależnione od połowów dorsza atlantyckiego </w:t>
            </w:r>
            <w:r w:rsidRPr="006B378D">
              <w:rPr>
                <w:b/>
                <w:i/>
                <w:szCs w:val="24"/>
              </w:rPr>
              <w:t>z</w:t>
            </w:r>
            <w:r w:rsidRPr="006B378D">
              <w:rPr>
                <w:szCs w:val="24"/>
              </w:rPr>
              <w:t xml:space="preserve"> Morza Bałtyckiego.</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13</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17</w:t>
      </w:r>
      <w:r w:rsidRPr="006B378D">
        <w:rPr>
          <w:rStyle w:val="HideTWBExt"/>
          <w:noProof w:val="0"/>
        </w:rPr>
        <w:t>&lt;/Article</w:t>
      </w:r>
      <w:r w:rsidRPr="006B378D">
        <w:rPr>
          <w:rStyle w:val="HideTWBExt"/>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(17)</w:t>
            </w:r>
            <w:r w:rsidRPr="006B378D">
              <w:tab/>
              <w:t xml:space="preserve">Aby zapewnić spójność strukturalnego dostosowania floty na Morzu Bałtyckim z celami w zakresie ochrony określonymi w planie wieloletnim, wsparcie na rzecz trwałego zaprzestania działalności połowowej </w:t>
            </w:r>
            <w:r w:rsidRPr="006B378D">
              <w:t>poprzez złomowanie statków rybackich, które są w znacznym stopniu uzależnione od połowów dorsza atlantyckiego ze wschodniej części Morza Bałtyckiego, powinno być ściśle uzależnione od osiągnięcia celów dostosowawczych i od narzędzi określonych w planach dz</w:t>
            </w:r>
            <w:r w:rsidRPr="006B378D">
              <w:t>iałania w odniesieniu do segmentów charakteryzujących się brakiem równowagi oraz być powiązane z tymi celami i narzędziami.</w:t>
            </w:r>
          </w:p>
        </w:tc>
        <w:tc>
          <w:tcPr>
            <w:tcW w:w="4876" w:type="dxa"/>
            <w:hideMark/>
          </w:tcPr>
          <w:p w:rsidR="006E4EDD" w:rsidRPr="006B378D" w:rsidRDefault="004141F0">
            <w:pPr>
              <w:pStyle w:val="Normal6"/>
              <w:rPr>
                <w:szCs w:val="24"/>
              </w:rPr>
            </w:pPr>
            <w:r w:rsidRPr="006B378D">
              <w:t>(17)</w:t>
            </w:r>
            <w:r w:rsidRPr="006B378D">
              <w:tab/>
              <w:t>Aby zapewnić spójność strukturalnego dostosowania floty na Morzu Bałtyckim z celami w zakresie ochrony określonymi w planie wie</w:t>
            </w:r>
            <w:r w:rsidRPr="006B378D">
              <w:t xml:space="preserve">loletnim, wsparcie na rzecz trwałego zaprzestania działalności połowowej poprzez złomowanie statków rybackich, które są w znacznym stopniu uzależnione od połowów dorsza atlantyckiego ze wschodniej </w:t>
            </w:r>
            <w:r w:rsidRPr="006B378D">
              <w:rPr>
                <w:b/>
                <w:i/>
              </w:rPr>
              <w:t xml:space="preserve">i z zachodniej </w:t>
            </w:r>
            <w:r w:rsidRPr="006B378D">
              <w:t>części Morza Bałtyckiego, powinno być ściśle</w:t>
            </w:r>
            <w:r w:rsidRPr="006B378D">
              <w:t xml:space="preserve"> uzależnione od osiągnięcia celów dostosowawczych i od narzędzi określonych w planach działania w odniesieniu do segmentów charakteryzujących się brakiem równowagi oraz być powiązane z tymi celami i narzędziami.</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14</w:t>
      </w:r>
      <w:r w:rsidRPr="006B378D">
        <w:rPr>
          <w:rStyle w:val="HideTWBExt"/>
          <w:noProof w:val="0"/>
        </w:rPr>
        <w:t>&lt;/NumAm</w:t>
      </w:r>
      <w:r w:rsidRPr="006B378D">
        <w:rPr>
          <w:rStyle w:val="HideTWBExt"/>
          <w:noProof w:val="0"/>
        </w:rPr>
        <w:t>&gt;</w:t>
      </w:r>
    </w:p>
    <w:p w:rsidR="006E4EDD" w:rsidRPr="006B378D" w:rsidRDefault="004141F0" w:rsidP="006E4EDD">
      <w:pPr>
        <w:pStyle w:val="NormalBold12b"/>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19 a (nowy)</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trHeight w:val="240"/>
          <w:jc w:val="center"/>
        </w:trPr>
        <w:tc>
          <w:tcPr>
            <w:tcW w:w="9752" w:type="dxa"/>
            <w:gridSpan w:val="2"/>
          </w:tcPr>
          <w:p w:rsidR="006E4EDD" w:rsidRPr="006B378D" w:rsidRDefault="006E4EDD"/>
        </w:tc>
      </w:tr>
      <w:tr w:rsidR="00497A2D" w:rsidRPr="006B378D" w:rsidTr="006E4EDD">
        <w:trPr>
          <w:trHeight w:val="240"/>
          <w:jc w:val="center"/>
        </w:trPr>
        <w:tc>
          <w:tcPr>
            <w:tcW w:w="4876" w:type="dxa"/>
            <w:hideMark/>
          </w:tcPr>
          <w:p w:rsidR="006E4EDD" w:rsidRPr="006B378D" w:rsidRDefault="004141F0">
            <w:pPr>
              <w:pStyle w:val="AmColumnHeading"/>
            </w:pPr>
            <w:r w:rsidRPr="006B378D">
              <w:t>Tekst proponowany przez Komisję</w:t>
            </w:r>
          </w:p>
        </w:tc>
        <w:tc>
          <w:tcPr>
            <w:tcW w:w="4876" w:type="dxa"/>
            <w:hideMark/>
          </w:tcPr>
          <w:p w:rsidR="006E4EDD" w:rsidRPr="006B378D" w:rsidRDefault="004141F0">
            <w:pPr>
              <w:pStyle w:val="AmColumnHeading"/>
            </w:pPr>
            <w:r w:rsidRPr="006B378D">
              <w:t>Poprawka</w:t>
            </w:r>
          </w:p>
        </w:tc>
      </w:tr>
      <w:tr w:rsidR="00497A2D" w:rsidRPr="006B378D" w:rsidTr="006E4EDD">
        <w:trPr>
          <w:jc w:val="center"/>
        </w:trPr>
        <w:tc>
          <w:tcPr>
            <w:tcW w:w="4876" w:type="dxa"/>
          </w:tcPr>
          <w:p w:rsidR="006E4EDD" w:rsidRPr="006B378D" w:rsidRDefault="006E4EDD">
            <w:pPr>
              <w:pStyle w:val="Normal6a"/>
            </w:pPr>
          </w:p>
        </w:tc>
        <w:tc>
          <w:tcPr>
            <w:tcW w:w="4876" w:type="dxa"/>
            <w:hideMark/>
          </w:tcPr>
          <w:p w:rsidR="006E4EDD" w:rsidRPr="006B378D" w:rsidRDefault="004141F0">
            <w:pPr>
              <w:pStyle w:val="Normal6a"/>
            </w:pPr>
            <w:r w:rsidRPr="006B378D">
              <w:rPr>
                <w:b/>
                <w:i/>
              </w:rPr>
              <w:t>(19a)</w:t>
            </w:r>
            <w:r w:rsidRPr="006B378D">
              <w:tab/>
            </w:r>
            <w:r w:rsidRPr="006B378D">
              <w:rPr>
                <w:b/>
                <w:i/>
              </w:rPr>
              <w:t xml:space="preserve">Artykuł 30 rozporządzenia (UE) nr 508/2014 stanowi, że z EFMR można wspierać inwestycje, które przyczyniają się </w:t>
            </w:r>
            <w:r w:rsidRPr="006B378D">
              <w:rPr>
                <w:b/>
                <w:i/>
              </w:rPr>
              <w:t>do zróżnicowania dochodów rybaków poprzez rozwój działalności uzupełniającej.</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15</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Motyw 21</w:t>
      </w:r>
      <w:r w:rsidRPr="006B378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(21)</w:t>
            </w:r>
            <w:r w:rsidRPr="006B378D">
              <w:tab/>
            </w:r>
            <w:r w:rsidRPr="006B378D">
              <w:t>Biorąc pod uwagę złą sytuację gospodarczą unijnych statków rybackich o znacznej zależności od połowów dorsza atlantyckiego ze wschodniej części Morza Bałtyckiego oraz potrzebę zapewnienia dostępności wsparcia w ramach EFMR na trwałe zaprzestanie działalnoś</w:t>
            </w:r>
            <w:r w:rsidRPr="006B378D">
              <w:t xml:space="preserve">ci połowowej tych statków, uznano za stosowne </w:t>
            </w:r>
            <w:r w:rsidRPr="006B378D">
              <w:rPr>
                <w:b/>
                <w:i/>
              </w:rPr>
              <w:t>przewidzieć wyjątek od ośmiotygodniowego okresu, o którym mowa w art. 4 Protokołu nr 1 w sprawie roli parlamentów narodowych w Unii Europejskiej, załączonego do TUE, Traktatu o funkcjonowaniu</w:t>
            </w:r>
            <w:r w:rsidRPr="006B378D">
              <w:t xml:space="preserve"> Unii</w:t>
            </w:r>
            <w:r w:rsidRPr="006B378D">
              <w:rPr>
                <w:b/>
                <w:i/>
              </w:rPr>
              <w:t xml:space="preserve"> Europejskiej </w:t>
            </w:r>
            <w:r w:rsidRPr="006B378D">
              <w:rPr>
                <w:b/>
                <w:i/>
              </w:rPr>
              <w:t>i Traktatu ustanawiającego Europejską Wspólnotę Energii Atomowej,</w:t>
            </w:r>
          </w:p>
        </w:tc>
        <w:tc>
          <w:tcPr>
            <w:tcW w:w="4876" w:type="dxa"/>
            <w:hideMark/>
          </w:tcPr>
          <w:p w:rsidR="006E4EDD" w:rsidRPr="006B378D" w:rsidRDefault="004141F0">
            <w:pPr>
              <w:pStyle w:val="Normal6"/>
              <w:rPr>
                <w:szCs w:val="24"/>
              </w:rPr>
            </w:pPr>
            <w:r w:rsidRPr="006B378D">
              <w:t>(21)</w:t>
            </w:r>
            <w:r w:rsidRPr="006B378D">
              <w:tab/>
              <w:t>Biorąc pod uwagę złą sytuację gospodarczą unijnych statków rybackich o znacznej zależności od połowów dorsza atlantyckiego ze wschodniej części Morza Bałtyckiego oraz potrzebę zapewnien</w:t>
            </w:r>
            <w:r w:rsidRPr="006B378D">
              <w:t xml:space="preserve">ia dostępności wsparcia w ramach EFMR na trwałe zaprzestanie działalności połowowej tych statków, uznano za stosowne </w:t>
            </w:r>
            <w:r w:rsidRPr="006B378D">
              <w:rPr>
                <w:b/>
                <w:i/>
              </w:rPr>
              <w:t>podjęcie bezzwłocznych działań przy jednoczesnym zagwarantowaniu pełnych praw demokratycznych wszystkich instytucji</w:t>
            </w:r>
            <w:r w:rsidRPr="006B378D">
              <w:t xml:space="preserve"> Unii</w:t>
            </w:r>
            <w:r w:rsidRPr="006B378D">
              <w:rPr>
                <w:b/>
                <w:i/>
              </w:rPr>
              <w:t>.</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16</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Artykuł 1 – akapit 1 – punkt 1</w:t>
      </w:r>
      <w:r w:rsidRPr="006B378D">
        <w:rPr>
          <w:rStyle w:val="HideTWBExt"/>
          <w:noProof w:val="0"/>
        </w:rPr>
        <w:t>&lt;/Article&gt;</w:t>
      </w:r>
    </w:p>
    <w:p w:rsidR="006E4EDD" w:rsidRPr="006B378D" w:rsidRDefault="004141F0" w:rsidP="006E4EDD">
      <w:pPr>
        <w:keepNext/>
      </w:pPr>
      <w:r w:rsidRPr="006B378D">
        <w:rPr>
          <w:rStyle w:val="HideTWBExt"/>
          <w:noProof w:val="0"/>
        </w:rPr>
        <w:t>&lt;DocAmend2&gt;</w:t>
      </w:r>
      <w:r w:rsidRPr="006B378D">
        <w:t>Rozporządzenie (UE) 2016/1139</w:t>
      </w:r>
      <w:r w:rsidRPr="006B378D">
        <w:rPr>
          <w:rStyle w:val="HideTWBExt"/>
          <w:noProof w:val="0"/>
        </w:rPr>
        <w:t>&lt;/DocAmend2&gt;</w:t>
      </w:r>
    </w:p>
    <w:p w:rsidR="006E4EDD" w:rsidRPr="006B378D" w:rsidRDefault="004141F0" w:rsidP="006E4EDD">
      <w:r w:rsidRPr="006B378D">
        <w:rPr>
          <w:rStyle w:val="HideTWBExt"/>
          <w:noProof w:val="0"/>
        </w:rPr>
        <w:t>&lt;Article2&gt;</w:t>
      </w:r>
      <w:r w:rsidRPr="006B378D">
        <w:t>Artykuł 8a – tytuł</w:t>
      </w:r>
      <w:r w:rsidRPr="006B378D">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 xml:space="preserve">Tekst proponowany przez </w:t>
            </w:r>
            <w:r w:rsidRPr="006B378D">
              <w:t>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Zmniejszenie zdolności połowowej w odniesieniu do dorsza atlantyckiego ze wschodniej części Morza Bałtyckiego</w:t>
            </w:r>
          </w:p>
        </w:tc>
        <w:tc>
          <w:tcPr>
            <w:tcW w:w="4876" w:type="dxa"/>
            <w:hideMark/>
          </w:tcPr>
          <w:p w:rsidR="006E4EDD" w:rsidRPr="006B378D" w:rsidRDefault="004141F0">
            <w:pPr>
              <w:pStyle w:val="Normal6"/>
              <w:rPr>
                <w:szCs w:val="24"/>
              </w:rPr>
            </w:pPr>
            <w:r w:rsidRPr="006B378D">
              <w:t>Zmniejszenie zdolności połowowej w odniesieniu do dorsza atlantyckiego ze wschodniej części Morza Bałtyckiego</w:t>
            </w:r>
            <w:r w:rsidRPr="006B378D">
              <w:rPr>
                <w:b/>
                <w:i/>
              </w:rPr>
              <w:t>, dorsza atlantycki</w:t>
            </w:r>
            <w:r w:rsidRPr="006B378D">
              <w:rPr>
                <w:b/>
                <w:i/>
              </w:rPr>
              <w:t>ego z zachodniej części Morza Bałtyckiego i śledzia atlantyckiego z zachodniej części Morza Bałtyckiego</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17</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Artykuł 1 – akapit 1 – punkt 1</w:t>
      </w:r>
      <w:r w:rsidRPr="006B378D">
        <w:rPr>
          <w:rStyle w:val="HideTWBExt"/>
          <w:noProof w:val="0"/>
        </w:rPr>
        <w:t>&lt;/Article&gt;</w:t>
      </w:r>
    </w:p>
    <w:p w:rsidR="006E4EDD" w:rsidRPr="006B378D" w:rsidRDefault="004141F0" w:rsidP="006E4EDD">
      <w:pPr>
        <w:keepNext/>
      </w:pPr>
      <w:r w:rsidRPr="006B378D">
        <w:rPr>
          <w:rStyle w:val="HideTWBExt"/>
          <w:noProof w:val="0"/>
        </w:rPr>
        <w:t>&lt;</w:t>
      </w:r>
      <w:r w:rsidRPr="006B378D">
        <w:rPr>
          <w:rStyle w:val="HideTWBExt"/>
          <w:noProof w:val="0"/>
        </w:rPr>
        <w:t>DocAmend2&gt;</w:t>
      </w:r>
      <w:r w:rsidRPr="006B378D">
        <w:t>Rozporządzenie (UE) 2016/1139</w:t>
      </w:r>
      <w:r w:rsidRPr="006B378D">
        <w:rPr>
          <w:rStyle w:val="HideTWBExt"/>
          <w:noProof w:val="0"/>
        </w:rPr>
        <w:t>&lt;/DocAmend2&gt;</w:t>
      </w:r>
    </w:p>
    <w:p w:rsidR="006E4EDD" w:rsidRPr="006B378D" w:rsidRDefault="004141F0" w:rsidP="006E4EDD">
      <w:r w:rsidRPr="006B378D">
        <w:rPr>
          <w:rStyle w:val="HideTWBExt"/>
          <w:noProof w:val="0"/>
        </w:rPr>
        <w:t>&lt;Article2&gt;</w:t>
      </w:r>
      <w:r w:rsidRPr="006B378D">
        <w:t>Artykuł 8a – ustęp 2</w:t>
      </w:r>
      <w:r w:rsidRPr="006B378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rPr>
                <w:b/>
                <w:i/>
              </w:rPr>
              <w:t>2.</w:t>
            </w:r>
            <w:r w:rsidRPr="006B378D">
              <w:rPr>
                <w:b/>
                <w:i/>
              </w:rPr>
              <w:tab/>
              <w:t>Ust. 1 stosuje się do statków wyposażonych w następujące kategorie narzędzi:</w:t>
            </w:r>
          </w:p>
        </w:tc>
        <w:tc>
          <w:tcPr>
            <w:tcW w:w="4876" w:type="dxa"/>
            <w:hideMark/>
          </w:tcPr>
          <w:p w:rsidR="006E4EDD" w:rsidRPr="006B378D" w:rsidRDefault="004141F0">
            <w:pPr>
              <w:pStyle w:val="Normal6"/>
              <w:rPr>
                <w:szCs w:val="24"/>
              </w:rPr>
            </w:pPr>
            <w:r w:rsidRPr="006B378D">
              <w:rPr>
                <w:b/>
                <w:i/>
              </w:rPr>
              <w:t>skreśla się</w:t>
            </w:r>
          </w:p>
        </w:tc>
      </w:tr>
      <w:tr w:rsidR="00497A2D" w:rsidRPr="006B378D" w:rsidTr="006E4EDD">
        <w:trPr>
          <w:jc w:val="center"/>
        </w:trPr>
        <w:tc>
          <w:tcPr>
            <w:tcW w:w="4876" w:type="dxa"/>
            <w:hideMark/>
          </w:tcPr>
          <w:p w:rsidR="006E4EDD" w:rsidRPr="006B378D" w:rsidRDefault="004141F0">
            <w:pPr>
              <w:pStyle w:val="Normal6"/>
            </w:pPr>
            <w:r w:rsidRPr="006B378D">
              <w:rPr>
                <w:b/>
                <w:i/>
              </w:rPr>
              <w:t>a)</w:t>
            </w:r>
            <w:r w:rsidRPr="006B378D">
              <w:rPr>
                <w:b/>
                <w:i/>
              </w:rPr>
              <w:tab/>
              <w:t xml:space="preserve">narzędzie ciągnione o </w:t>
            </w:r>
            <w:r w:rsidRPr="006B378D">
              <w:rPr>
                <w:b/>
                <w:i/>
              </w:rPr>
              <w:t>oczkach o rozmiarze co najmniej 120 mm we włokach T90 lub co najmniej 105 mm z zamocowanym oknem selektywnym typu „BACOMA” wielkości 120 mm.</w:t>
            </w:r>
          </w:p>
        </w:tc>
        <w:tc>
          <w:tcPr>
            <w:tcW w:w="4876" w:type="dxa"/>
          </w:tcPr>
          <w:p w:rsidR="006E4EDD" w:rsidRPr="006B378D" w:rsidRDefault="006E4EDD">
            <w:pPr>
              <w:pStyle w:val="Normal6"/>
              <w:rPr>
                <w:szCs w:val="24"/>
              </w:rPr>
            </w:pPr>
          </w:p>
        </w:tc>
      </w:tr>
      <w:tr w:rsidR="00497A2D" w:rsidRPr="006B378D" w:rsidTr="006E4EDD">
        <w:trPr>
          <w:jc w:val="center"/>
        </w:trPr>
        <w:tc>
          <w:tcPr>
            <w:tcW w:w="4876" w:type="dxa"/>
            <w:hideMark/>
          </w:tcPr>
          <w:p w:rsidR="006E4EDD" w:rsidRPr="006B378D" w:rsidRDefault="004141F0">
            <w:pPr>
              <w:pStyle w:val="Normal6"/>
            </w:pPr>
            <w:r w:rsidRPr="006B378D">
              <w:rPr>
                <w:b/>
                <w:i/>
              </w:rPr>
              <w:t>b)</w:t>
            </w:r>
            <w:r w:rsidRPr="006B378D">
              <w:rPr>
                <w:b/>
                <w:i/>
              </w:rPr>
              <w:tab/>
              <w:t>sieci stawne o rozmiarze oczek co najmniej 110 mm i nie większym niż 156 mm.</w:t>
            </w:r>
          </w:p>
        </w:tc>
        <w:tc>
          <w:tcPr>
            <w:tcW w:w="4876" w:type="dxa"/>
          </w:tcPr>
          <w:p w:rsidR="006E4EDD" w:rsidRPr="006B378D" w:rsidRDefault="006E4EDD">
            <w:pPr>
              <w:pStyle w:val="Normal6"/>
              <w:rPr>
                <w:szCs w:val="24"/>
              </w:rPr>
            </w:pP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w:t>
      </w:r>
      <w:r w:rsidRPr="006B378D">
        <w:rPr>
          <w:rStyle w:val="HideTWBExt"/>
          <w:noProof w:val="0"/>
        </w:rPr>
        <w:t>NumAm&gt;</w:t>
      </w:r>
      <w:r w:rsidRPr="006B378D">
        <w:t>18</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Artykuł 2 – akapit 1 – punkt 1 a (nowy)</w:t>
      </w:r>
      <w:r w:rsidRPr="006B378D">
        <w:rPr>
          <w:rStyle w:val="HideTWBExt"/>
          <w:noProof w:val="0"/>
        </w:rPr>
        <w:t>&lt;/Article&gt;</w:t>
      </w:r>
    </w:p>
    <w:p w:rsidR="006E4EDD" w:rsidRPr="006B378D" w:rsidRDefault="004141F0" w:rsidP="006E4EDD">
      <w:pPr>
        <w:keepNext/>
      </w:pPr>
      <w:r w:rsidRPr="006B378D">
        <w:rPr>
          <w:rStyle w:val="HideTWBExt"/>
          <w:noProof w:val="0"/>
        </w:rPr>
        <w:t>&lt;DocAmend2&gt;</w:t>
      </w:r>
      <w:r w:rsidRPr="006B378D">
        <w:t>Rozporządzenie (UE) nr 508/2014</w:t>
      </w:r>
      <w:r w:rsidRPr="006B378D">
        <w:rPr>
          <w:rStyle w:val="HideTWBExt"/>
          <w:noProof w:val="0"/>
        </w:rPr>
        <w:t>&lt;/DocAmend2&gt;</w:t>
      </w:r>
    </w:p>
    <w:p w:rsidR="006E4EDD" w:rsidRPr="006B378D" w:rsidRDefault="004141F0" w:rsidP="006E4EDD">
      <w:r w:rsidRPr="006B378D">
        <w:rPr>
          <w:rStyle w:val="HideTWBExt"/>
          <w:noProof w:val="0"/>
        </w:rPr>
        <w:t>&lt;Article2&gt;</w:t>
      </w:r>
      <w:r w:rsidRPr="006B378D">
        <w:t>Artykuł 34 – ustęp 2 – akapit 1 a (nowy)</w:t>
      </w:r>
      <w:r w:rsidRPr="006B378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 xml:space="preserve">Tekst </w:t>
            </w:r>
            <w:r w:rsidRPr="006B378D">
              <w:t>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tcPr>
          <w:p w:rsidR="006E4EDD" w:rsidRPr="006B378D" w:rsidRDefault="006E4EDD">
            <w:pPr>
              <w:pStyle w:val="Normal6"/>
            </w:pPr>
          </w:p>
        </w:tc>
        <w:tc>
          <w:tcPr>
            <w:tcW w:w="4876" w:type="dxa"/>
            <w:hideMark/>
          </w:tcPr>
          <w:p w:rsidR="006E4EDD" w:rsidRPr="006B378D" w:rsidRDefault="004141F0">
            <w:pPr>
              <w:pStyle w:val="Normal6"/>
              <w:rPr>
                <w:szCs w:val="24"/>
              </w:rPr>
            </w:pPr>
            <w:r w:rsidRPr="006B378D">
              <w:rPr>
                <w:b/>
                <w:i/>
              </w:rPr>
              <w:t>1a.</w:t>
            </w:r>
            <w:r w:rsidRPr="006B378D">
              <w:rPr>
                <w:b/>
                <w:i/>
              </w:rPr>
              <w:tab/>
              <w:t>w art. 34 ust. 2 dodaje się akapit w brzmieniu:</w:t>
            </w:r>
          </w:p>
        </w:tc>
      </w:tr>
      <w:tr w:rsidR="00497A2D" w:rsidRPr="006B378D" w:rsidTr="006E4EDD">
        <w:trPr>
          <w:jc w:val="center"/>
        </w:trPr>
        <w:tc>
          <w:tcPr>
            <w:tcW w:w="4876" w:type="dxa"/>
          </w:tcPr>
          <w:p w:rsidR="006E4EDD" w:rsidRPr="006B378D" w:rsidRDefault="006E4EDD">
            <w:pPr>
              <w:pStyle w:val="Normal6"/>
            </w:pPr>
          </w:p>
        </w:tc>
        <w:tc>
          <w:tcPr>
            <w:tcW w:w="4876" w:type="dxa"/>
            <w:hideMark/>
          </w:tcPr>
          <w:p w:rsidR="006E4EDD" w:rsidRPr="006B378D" w:rsidRDefault="004141F0">
            <w:pPr>
              <w:pStyle w:val="Normal6"/>
              <w:rPr>
                <w:szCs w:val="24"/>
              </w:rPr>
            </w:pPr>
            <w:r w:rsidRPr="006B378D">
              <w:rPr>
                <w:b/>
                <w:i/>
              </w:rPr>
              <w:t xml:space="preserve">„W przypadku dorsza atlantyckiego ze wschodniej części Morza Bałtyckiego odniesienie do dwóch ostatnich lat kalendarzowych w akapicie pierwszym lit. a) i b) rozumie </w:t>
            </w:r>
            <w:r w:rsidRPr="006B378D">
              <w:rPr>
                <w:b/>
                <w:i/>
              </w:rPr>
              <w:t>się jako odniesienie do lat 2017 i 2018.”</w:t>
            </w:r>
          </w:p>
        </w:tc>
      </w:tr>
    </w:tbl>
    <w:p w:rsidR="006E4EDD" w:rsidRPr="006B378D" w:rsidRDefault="004141F0" w:rsidP="006E4EDD">
      <w:r w:rsidRPr="006B378D">
        <w:rPr>
          <w:rStyle w:val="HideTWBExt"/>
          <w:noProof w:val="0"/>
        </w:rPr>
        <w:t>&lt;/Amend&gt;</w:t>
      </w:r>
    </w:p>
    <w:p w:rsidR="006E4EDD" w:rsidRPr="006B378D" w:rsidRDefault="004141F0" w:rsidP="006E4EDD">
      <w:pPr>
        <w:pStyle w:val="AMNumberTabs0"/>
        <w:keepNext/>
      </w:pPr>
      <w:r w:rsidRPr="006B378D">
        <w:rPr>
          <w:rStyle w:val="HideTWBExt"/>
          <w:noProof w:val="0"/>
        </w:rPr>
        <w:t>&lt;Amend&gt;</w:t>
      </w:r>
      <w:r w:rsidRPr="006B378D">
        <w:t>Poprawka</w:t>
      </w:r>
      <w:r w:rsidRPr="006B378D">
        <w:tab/>
      </w:r>
      <w:r w:rsidRPr="006B378D">
        <w:tab/>
      </w:r>
      <w:r w:rsidRPr="006B378D">
        <w:rPr>
          <w:rStyle w:val="HideTWBExt"/>
          <w:noProof w:val="0"/>
        </w:rPr>
        <w:t>&lt;NumAm&gt;</w:t>
      </w:r>
      <w:r w:rsidRPr="006B378D">
        <w:t>19</w:t>
      </w:r>
      <w:r w:rsidRPr="006B378D">
        <w:rPr>
          <w:rStyle w:val="HideTWBExt"/>
          <w:noProof w:val="0"/>
        </w:rPr>
        <w:t>&lt;/NumAm&gt;</w:t>
      </w:r>
    </w:p>
    <w:p w:rsidR="006E4EDD" w:rsidRPr="006B378D" w:rsidRDefault="004141F0" w:rsidP="006E4EDD">
      <w:pPr>
        <w:pStyle w:val="NormalBold12b"/>
        <w:keepNext/>
      </w:pPr>
      <w:r w:rsidRPr="006B378D">
        <w:rPr>
          <w:rStyle w:val="HideTWBExt"/>
          <w:noProof w:val="0"/>
        </w:rPr>
        <w:t>&lt;DocAmend&gt;</w:t>
      </w:r>
      <w:r w:rsidRPr="006B378D">
        <w:t>Wniosek dotyczący rozporządzenia</w:t>
      </w:r>
      <w:r w:rsidRPr="006B378D">
        <w:rPr>
          <w:rStyle w:val="HideTWBExt"/>
          <w:noProof w:val="0"/>
        </w:rPr>
        <w:t>&lt;/DocAmend&gt;</w:t>
      </w:r>
    </w:p>
    <w:p w:rsidR="006E4EDD" w:rsidRPr="006B378D" w:rsidRDefault="004141F0" w:rsidP="006E4EDD">
      <w:pPr>
        <w:pStyle w:val="NormalBold"/>
      </w:pPr>
      <w:r w:rsidRPr="006B378D">
        <w:rPr>
          <w:rStyle w:val="HideTWBExt"/>
          <w:noProof w:val="0"/>
        </w:rPr>
        <w:t>&lt;Article&gt;</w:t>
      </w:r>
      <w:r w:rsidRPr="006B378D">
        <w:t>Artykuł 2 – akapit 1 – punkt 2</w:t>
      </w:r>
      <w:r w:rsidRPr="006B378D">
        <w:rPr>
          <w:rStyle w:val="HideTWBExt"/>
          <w:noProof w:val="0"/>
        </w:rPr>
        <w:t>&lt;/Article&gt;</w:t>
      </w:r>
    </w:p>
    <w:p w:rsidR="006E4EDD" w:rsidRPr="006B378D" w:rsidRDefault="004141F0" w:rsidP="006E4EDD">
      <w:pPr>
        <w:keepNext/>
      </w:pPr>
      <w:r w:rsidRPr="006B378D">
        <w:rPr>
          <w:rStyle w:val="HideTWBExt"/>
          <w:noProof w:val="0"/>
        </w:rPr>
        <w:t>&lt;DocAmend2&gt;</w:t>
      </w:r>
      <w:r w:rsidRPr="006B378D">
        <w:t>Rozporządzenie (UE) nr 508/2014</w:t>
      </w:r>
      <w:r w:rsidRPr="006B378D">
        <w:rPr>
          <w:rStyle w:val="HideTWBExt"/>
          <w:noProof w:val="0"/>
        </w:rPr>
        <w:t>&lt;/DocAmend2&gt;</w:t>
      </w:r>
    </w:p>
    <w:p w:rsidR="006E4EDD" w:rsidRPr="006B378D" w:rsidRDefault="004141F0" w:rsidP="006E4EDD">
      <w:r w:rsidRPr="006B378D">
        <w:rPr>
          <w:rStyle w:val="HideTWBExt"/>
          <w:noProof w:val="0"/>
        </w:rPr>
        <w:t>&lt;Article2&gt;</w:t>
      </w:r>
      <w:r w:rsidRPr="006B378D">
        <w:t>Artykuł 34 – ustęp 4 – litera b</w:t>
      </w:r>
      <w:r w:rsidRPr="006B378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7A2D" w:rsidRPr="006B378D" w:rsidTr="006E4EDD">
        <w:trPr>
          <w:jc w:val="center"/>
        </w:trPr>
        <w:tc>
          <w:tcPr>
            <w:tcW w:w="9752" w:type="dxa"/>
            <w:gridSpan w:val="2"/>
          </w:tcPr>
          <w:p w:rsidR="006E4EDD" w:rsidRPr="006B378D" w:rsidRDefault="006E4EDD">
            <w:pPr>
              <w:keepNext/>
            </w:pPr>
          </w:p>
        </w:tc>
      </w:tr>
      <w:tr w:rsidR="00497A2D" w:rsidRPr="006B378D" w:rsidTr="006E4EDD">
        <w:trPr>
          <w:jc w:val="center"/>
        </w:trPr>
        <w:tc>
          <w:tcPr>
            <w:tcW w:w="4876" w:type="dxa"/>
            <w:hideMark/>
          </w:tcPr>
          <w:p w:rsidR="006E4EDD" w:rsidRPr="006B378D" w:rsidRDefault="004141F0">
            <w:pPr>
              <w:pStyle w:val="ColumnHeading"/>
              <w:keepNext/>
            </w:pPr>
            <w:r w:rsidRPr="006B378D">
              <w:t>Tekst proponowany przez Komisję</w:t>
            </w:r>
          </w:p>
        </w:tc>
        <w:tc>
          <w:tcPr>
            <w:tcW w:w="4876" w:type="dxa"/>
            <w:hideMark/>
          </w:tcPr>
          <w:p w:rsidR="006E4EDD" w:rsidRPr="006B378D" w:rsidRDefault="004141F0">
            <w:pPr>
              <w:pStyle w:val="ColumnHeading"/>
              <w:keepNext/>
            </w:pPr>
            <w:r w:rsidRPr="006B378D">
              <w:t>Poprawka</w:t>
            </w:r>
          </w:p>
        </w:tc>
      </w:tr>
      <w:tr w:rsidR="00497A2D" w:rsidRPr="006B378D" w:rsidTr="006E4EDD">
        <w:trPr>
          <w:jc w:val="center"/>
        </w:trPr>
        <w:tc>
          <w:tcPr>
            <w:tcW w:w="4876" w:type="dxa"/>
            <w:hideMark/>
          </w:tcPr>
          <w:p w:rsidR="006E4EDD" w:rsidRPr="006B378D" w:rsidRDefault="004141F0">
            <w:pPr>
              <w:pStyle w:val="Normal6"/>
            </w:pPr>
            <w:r w:rsidRPr="006B378D">
              <w:t>b)</w:t>
            </w:r>
            <w:r w:rsidRPr="006B378D">
              <w:tab/>
              <w:t>wieloletni plan w odniesieniu do stad dorsza, śledzia i szprota w Morzu Bałtyckim oraz połowów eksploatujących te stada, ustanowiony rozporządzeniem Parlamentu Europe</w:t>
            </w:r>
            <w:r w:rsidRPr="006B378D">
              <w:t xml:space="preserve">jskiego i Rady (UE) 2016/1139*, w odniesieniu do statków </w:t>
            </w:r>
            <w:r w:rsidRPr="006B378D">
              <w:rPr>
                <w:b/>
                <w:i/>
              </w:rPr>
              <w:t>objętych pułapem całkowitej zdolności połowowej dorsza</w:t>
            </w:r>
            <w:r w:rsidRPr="006B378D">
              <w:t xml:space="preserve"> atlantyckiego </w:t>
            </w:r>
            <w:r w:rsidRPr="006B378D">
              <w:rPr>
                <w:b/>
                <w:i/>
              </w:rPr>
              <w:t>ze wschodniej</w:t>
            </w:r>
            <w:r w:rsidRPr="006B378D">
              <w:t xml:space="preserve"> części Morza Bałtyckiego, określonych w art. 8a</w:t>
            </w:r>
            <w:r w:rsidRPr="006B378D">
              <w:rPr>
                <w:b/>
                <w:i/>
              </w:rPr>
              <w:t xml:space="preserve"> ust. 2</w:t>
            </w:r>
            <w:r w:rsidRPr="006B378D">
              <w:t xml:space="preserve"> rozporządzenia (UE) 2016/1139.</w:t>
            </w:r>
          </w:p>
        </w:tc>
        <w:tc>
          <w:tcPr>
            <w:tcW w:w="4876" w:type="dxa"/>
            <w:hideMark/>
          </w:tcPr>
          <w:p w:rsidR="006E4EDD" w:rsidRPr="006B378D" w:rsidRDefault="004141F0">
            <w:pPr>
              <w:pStyle w:val="Normal6"/>
              <w:rPr>
                <w:szCs w:val="24"/>
              </w:rPr>
            </w:pPr>
            <w:r w:rsidRPr="006B378D">
              <w:t>b)</w:t>
            </w:r>
            <w:r w:rsidRPr="006B378D">
              <w:tab/>
              <w:t>wieloletni plan w odniesien</w:t>
            </w:r>
            <w:r w:rsidRPr="006B378D">
              <w:t xml:space="preserve">iu do stad dorsza, śledzia i szprota w Morzu Bałtyckim oraz połowów eksploatujących te stada, ustanowiony rozporządzeniem Parlamentu Europejskiego i Rady (UE) 2016/1139*, w odniesieniu do statków </w:t>
            </w:r>
            <w:r w:rsidRPr="006B378D">
              <w:rPr>
                <w:b/>
                <w:i/>
              </w:rPr>
              <w:t>prowadzących połowy dorsza atlantyckiego we wschodniej lub z</w:t>
            </w:r>
            <w:r w:rsidRPr="006B378D">
              <w:rPr>
                <w:b/>
                <w:i/>
              </w:rPr>
              <w:t>achodniej części Morza Bałtyckiego lub śledzia</w:t>
            </w:r>
            <w:r w:rsidRPr="006B378D">
              <w:t xml:space="preserve"> atlantyckiego </w:t>
            </w:r>
            <w:r w:rsidRPr="006B378D">
              <w:rPr>
                <w:b/>
                <w:i/>
              </w:rPr>
              <w:t>w zachodniej</w:t>
            </w:r>
            <w:r w:rsidRPr="006B378D">
              <w:t xml:space="preserve"> części Morza Bałtyckiego, określonych w art. 8a rozporządzenia (UE) 2016/1139.</w:t>
            </w:r>
          </w:p>
        </w:tc>
      </w:tr>
      <w:tr w:rsidR="00497A2D" w:rsidRPr="006B378D" w:rsidTr="006E4EDD">
        <w:trPr>
          <w:jc w:val="center"/>
        </w:trPr>
        <w:tc>
          <w:tcPr>
            <w:tcW w:w="4876" w:type="dxa"/>
            <w:hideMark/>
          </w:tcPr>
          <w:p w:rsidR="006E4EDD" w:rsidRPr="006B378D" w:rsidRDefault="004141F0">
            <w:pPr>
              <w:pStyle w:val="Normal6"/>
            </w:pPr>
            <w:r w:rsidRPr="006B378D">
              <w:t>_____________________</w:t>
            </w:r>
          </w:p>
        </w:tc>
        <w:tc>
          <w:tcPr>
            <w:tcW w:w="4876" w:type="dxa"/>
            <w:hideMark/>
          </w:tcPr>
          <w:p w:rsidR="006E4EDD" w:rsidRPr="006B378D" w:rsidRDefault="004141F0">
            <w:pPr>
              <w:pStyle w:val="Normal6"/>
            </w:pPr>
            <w:r w:rsidRPr="006B378D">
              <w:t>_________________________</w:t>
            </w:r>
          </w:p>
        </w:tc>
      </w:tr>
      <w:tr w:rsidR="00497A2D" w:rsidRPr="006B378D" w:rsidTr="006E4EDD">
        <w:trPr>
          <w:jc w:val="center"/>
        </w:trPr>
        <w:tc>
          <w:tcPr>
            <w:tcW w:w="4876" w:type="dxa"/>
            <w:hideMark/>
          </w:tcPr>
          <w:p w:rsidR="006E4EDD" w:rsidRPr="006B378D" w:rsidRDefault="004141F0">
            <w:pPr>
              <w:pStyle w:val="Normal6"/>
            </w:pPr>
            <w:r w:rsidRPr="006B378D">
              <w:rPr>
                <w:vertAlign w:val="superscript"/>
              </w:rPr>
              <w:t>*</w:t>
            </w:r>
            <w:r w:rsidRPr="006B378D">
              <w:rPr>
                <w:vertAlign w:val="superscript"/>
              </w:rPr>
              <w:tab/>
            </w:r>
            <w:r w:rsidRPr="006B378D">
              <w:t>Rozporządzenie Parlament</w:t>
            </w:r>
            <w:r w:rsidRPr="006B378D">
              <w:t>u Europejskiego i Rady (UE) 2016/1139 z dnia 6 lipca 2016 r. ustanawiające wieloletni plan w odniesieniu do stad dorsza, śledzia i szprota w Morzu Bałtyckim oraz połowów eksploatujących te stada, zmieniające rozporządzenie Rady (WE) nr 2187/2005 i uchylają</w:t>
            </w:r>
            <w:r w:rsidRPr="006B378D">
              <w:t>ce rozporządzenie Rady (WE) nr 1098/2007 (Dz.U. L 191 z 15.7.2016, s. 1).</w:t>
            </w:r>
          </w:p>
        </w:tc>
        <w:tc>
          <w:tcPr>
            <w:tcW w:w="4876" w:type="dxa"/>
            <w:hideMark/>
          </w:tcPr>
          <w:p w:rsidR="006E4EDD" w:rsidRPr="006B378D" w:rsidRDefault="004141F0">
            <w:pPr>
              <w:pStyle w:val="Normal6"/>
            </w:pPr>
            <w:r w:rsidRPr="006B378D">
              <w:rPr>
                <w:vertAlign w:val="superscript"/>
              </w:rPr>
              <w:t>*</w:t>
            </w:r>
            <w:r w:rsidRPr="006B378D">
              <w:rPr>
                <w:vertAlign w:val="superscript"/>
              </w:rPr>
              <w:tab/>
            </w:r>
            <w:r w:rsidRPr="006B378D">
              <w:t>Rozporządzenie Parlamentu Europejskiego i Rady (UE) 2016/1139 z dnia 6 lipca 2016 r. ustanawiające wieloletni plan w odniesieniu do stad dorsza, śledzia i szprota w Morzu Bałtyckim</w:t>
            </w:r>
            <w:r w:rsidRPr="006B378D">
              <w:t xml:space="preserve"> oraz połowów eksploatujących te stada, zmieniające rozporządzenie Rady (WE) nr 2187/2005 i uchylające rozporządzenie Rady (WE) nr 1098/2007 (Dz.U. L 191 z 15.7.2016, s. 1).</w:t>
            </w:r>
          </w:p>
        </w:tc>
      </w:tr>
    </w:tbl>
    <w:p w:rsidR="006E4EDD" w:rsidRPr="006B378D" w:rsidRDefault="004141F0" w:rsidP="006E4EDD">
      <w:r w:rsidRPr="006B378D">
        <w:rPr>
          <w:rStyle w:val="HideTWBExt"/>
          <w:noProof w:val="0"/>
        </w:rPr>
        <w:t>&lt;/Amend&gt;</w:t>
      </w:r>
    </w:p>
    <w:p w:rsidR="006E4EDD" w:rsidRPr="006B378D" w:rsidRDefault="006E4EDD" w:rsidP="006E4EDD">
      <w:pPr>
        <w:rPr>
          <w:rStyle w:val="HideTWBExt"/>
          <w:noProof w:val="0"/>
        </w:rPr>
      </w:pPr>
    </w:p>
    <w:p w:rsidR="006E4EDD" w:rsidRPr="006B378D" w:rsidRDefault="004141F0" w:rsidP="006E4EDD">
      <w:r w:rsidRPr="006B378D">
        <w:rPr>
          <w:rStyle w:val="HideTWBExt"/>
          <w:noProof w:val="0"/>
        </w:rPr>
        <w:t>&lt;/RepeatBlock-Amend&gt;</w:t>
      </w:r>
      <w:r w:rsidRPr="006B378D">
        <w:br w:type="page"/>
      </w:r>
    </w:p>
    <w:p w:rsidR="006E4EDD" w:rsidRPr="006B378D" w:rsidRDefault="006E4EDD" w:rsidP="006E4EDD"/>
    <w:p w:rsidR="006E4EDD" w:rsidRPr="006B378D" w:rsidRDefault="004141F0" w:rsidP="006E4EDD">
      <w:pPr>
        <w:pStyle w:val="PageHeading"/>
      </w:pPr>
      <w:bookmarkStart w:id="4" w:name="_Toc38965971"/>
      <w:bookmarkStart w:id="5" w:name="_Toc40341302"/>
      <w:r w:rsidRPr="006B378D">
        <w:t>UZASADNIENIE</w:t>
      </w:r>
      <w:bookmarkEnd w:id="4"/>
      <w:bookmarkEnd w:id="5"/>
    </w:p>
    <w:p w:rsidR="006E4EDD" w:rsidRPr="006B378D" w:rsidRDefault="004141F0" w:rsidP="006E4EDD">
      <w:pPr>
        <w:jc w:val="both"/>
      </w:pPr>
      <w:r w:rsidRPr="006B378D">
        <w:t>Ekosystem Morza Bałtyckiego od dzie</w:t>
      </w:r>
      <w:r w:rsidRPr="006B378D">
        <w:t>sięcioleci jest niestabilny. Z najnowszych badań naukowych dotyczących stanu Morza Bałtyckiego wynika, że przyczyną tej niepokojącej sytuacji jest nie tylko rybołówstwo, lecz również szereg czynników ekologicznych, takich jak np. niedobór tlenu, zanieczysz</w:t>
      </w:r>
      <w:r w:rsidRPr="006B378D">
        <w:t xml:space="preserve">czenie, ocieplenie, brak pożywienia, nadmiar pasożytów, rozmnożenie się drapieżników itp. </w:t>
      </w:r>
    </w:p>
    <w:p w:rsidR="006E4EDD" w:rsidRPr="006B378D" w:rsidRDefault="006E4EDD" w:rsidP="006E4EDD">
      <w:pPr>
        <w:jc w:val="both"/>
      </w:pPr>
    </w:p>
    <w:p w:rsidR="006E4EDD" w:rsidRPr="006B378D" w:rsidRDefault="004141F0" w:rsidP="006E4EDD">
      <w:pPr>
        <w:jc w:val="both"/>
      </w:pPr>
      <w:r w:rsidRPr="006B378D">
        <w:t>Po działaniach kryzysowych podjętych przez Komisję Europejską 23 lipca 2019 r. w odniesieniu do dorsza atlantyckiego we wschodniej części Morza Bałtyckiego, które m</w:t>
      </w:r>
      <w:r w:rsidRPr="006B378D">
        <w:t>iały wpływ na sektor rybołówstwa w całym regionie Morza Bałtyckiego, 15 października 2019 r. Rada ustanowiła kontyngenty na 2020 r. m.in. w odniesieniu do dorsza z basenu zachodniego i wschodniego oraz śledzia z basenu zachodniego. Po raz trzeci z rzędu zn</w:t>
      </w:r>
      <w:r w:rsidRPr="006B378D">
        <w:t>acznie obniżono całkowity dopuszczalny połów śledzia z basenu zachodniego (w 2018 r. o 39%, w 2019 r. o 48% i w 2020 r. o 65%). Całkowity dopuszczalny połów dorsza z basenu zachodniego również znacząco obniżono, mianowicie o 60%, przez co znajduje się on n</w:t>
      </w:r>
      <w:r w:rsidRPr="006B378D">
        <w:t>a poziomie z lat 2017–2018, przy czym stan ten był poprzedzony istotnymi cięciami o 56% w 2017 r. i o 20% w 2016 r. Obniżenie całkowitego dopuszczalnego połowu w 2020 r. w przypadku dorsza z basenu wschodniego jest wyjątkowo drastyczne. Rada Ministrów wpro</w:t>
      </w:r>
      <w:r w:rsidRPr="006B378D">
        <w:t xml:space="preserve">wadziła tu praktycznie zakaz połowów. Możliwe są jedynie przyłowy dorsza. </w:t>
      </w:r>
    </w:p>
    <w:p w:rsidR="006E4EDD" w:rsidRPr="006B378D" w:rsidRDefault="006E4EDD" w:rsidP="006E4EDD">
      <w:pPr>
        <w:jc w:val="both"/>
      </w:pPr>
    </w:p>
    <w:p w:rsidR="006E4EDD" w:rsidRPr="006B378D" w:rsidRDefault="004141F0" w:rsidP="006E4EDD">
      <w:pPr>
        <w:jc w:val="both"/>
      </w:pPr>
      <w:r w:rsidRPr="006B378D">
        <w:t xml:space="preserve">Owe nadzwyczajne środki będą skutkować nadmierną zdolnością połowową floty i doprowadzą do poważnych negatywnych konsekwencji społeczno-gospodarczych dla społeczności nadbrzeżnych </w:t>
      </w:r>
      <w:r w:rsidRPr="006B378D">
        <w:t>i przedsiębiorstw rybackich w całym regionie Morza Bałtyckiego. Z uwagi na to, że podmioty z sektora rybołówstwa dotknięte negatywnymi skutkami tych decyzji nie są w stanie samodzielnie ich skompensować, UE powinna podjąć odpowiednie środki zaradcze. Powin</w:t>
      </w:r>
      <w:r w:rsidRPr="006B378D">
        <w:t>ny one obejmować niebiurokratyczną pomoc finansową z tytułu ograniczenia zdolności połowowych floty (trwałe zaprzestanie działalności połowowej). Jeżeli nie jest możliwe doprowadzenie do rzeczywistej równowagi między zdolnością połowową a możliwościami dok</w:t>
      </w:r>
      <w:r w:rsidRPr="006B378D">
        <w:t>onywania połowów, państwa członkowskie muszą opracować stosowne krajowe plany działania, wdrożyć je i raz w roku informować Komisję o ich realizacji. W ramach dodatkowych środków kontrolnych należy utrzymać zasadę wyznaczonego portu. Jedynie w przypadku po</w:t>
      </w:r>
      <w:r w:rsidRPr="006B378D">
        <w:t>zytywnej zmiany stanu zasobów możliwa jest korekta w dół.</w:t>
      </w:r>
    </w:p>
    <w:p w:rsidR="006E4EDD" w:rsidRPr="006B378D" w:rsidRDefault="006E4EDD" w:rsidP="006E4EDD">
      <w:pPr>
        <w:jc w:val="both"/>
      </w:pPr>
    </w:p>
    <w:p w:rsidR="006E4EDD" w:rsidRPr="006B378D" w:rsidRDefault="004141F0" w:rsidP="006E4EDD">
      <w:pPr>
        <w:jc w:val="both"/>
      </w:pPr>
      <w:r w:rsidRPr="006B378D">
        <w:t>Trwałe zaprzestanie działalności połowowej to działanie podejmowane w odpowiedzi na sytuację nadzwyczajną. Źródłem owej niebiurokratycznej, elastycznej i szybkiej pomocy powinny być przesunięcia śr</w:t>
      </w:r>
      <w:r w:rsidRPr="006B378D">
        <w:t>odków dostępnych w ramach Europejskiego Funduszu Morskiego i Rybackiego. Środki te powinny być po części udostępniane przez państwa członkowskie. Obejmuje to inwestycje przyczyniające się do dywersyfikacji dochodów rybaków. Wsparcia udzielonego w przeszłoś</w:t>
      </w:r>
      <w:r w:rsidRPr="006B378D">
        <w:t>ci z tytułu okresowego ograniczenia działalności połowowej nie należy brać pod uwagę w przypadku trwałego zaprzestania działalności połowowej. Są to dwa różne rodzaje wsparcia, których nie należy ze sobą łączyć.</w:t>
      </w:r>
    </w:p>
    <w:p w:rsidR="006E4EDD" w:rsidRPr="006B378D" w:rsidRDefault="004141F0" w:rsidP="006E4EDD">
      <w:r w:rsidRPr="006B378D">
        <w:br w:type="page"/>
      </w:r>
    </w:p>
    <w:p w:rsidR="00421C7C" w:rsidRPr="006B378D" w:rsidRDefault="004141F0" w:rsidP="00421C7C">
      <w:pPr>
        <w:pStyle w:val="PageHeading"/>
      </w:pPr>
      <w:bookmarkStart w:id="6" w:name="ProcPageRR"/>
      <w:bookmarkStart w:id="7" w:name="_Toc40341303"/>
      <w:r w:rsidRPr="006B378D">
        <w:t>PROCEDURA W KOMISJI PRZEDMIOTOWO WŁAŚCIWEJ</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 xml:space="preserve">Zmiana rozporządzenia (UE) 2016/1139 w zakresie wprowadzenia pułapów zdolności połowowej w odniesieniu do dorsza atlantyckiego ze wschodniej części Morza Bałtyckiego, gromadzenia danych i środków kontroli na Morzu Bałtyckim oraz rozporządzenia (UE) </w:t>
            </w:r>
            <w:r w:rsidRPr="006B378D">
              <w:rPr>
                <w:color w:val="000000"/>
                <w:sz w:val="20"/>
              </w:rPr>
              <w:t>nr 508/2014 w odniesieniu do trwałego zaprzestania działalności połowowej flot poławiających dorsza atlantyckiego ze wschodniej części Morza Bałtyckiego</w:t>
            </w:r>
          </w:p>
        </w:tc>
      </w:tr>
      <w:tr w:rsidR="00497A2D" w:rsidRPr="006B378D" w:rsidTr="00EC25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COM(2019)0564 – C9-0161/2019 – 2019/0246(COD)</w:t>
            </w:r>
          </w:p>
        </w:tc>
      </w:tr>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Data przedstawienia w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31.10.2019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Komisja przedmiotowo właściwa</w:t>
            </w:r>
          </w:p>
          <w:p w:rsidR="00421C7C" w:rsidRPr="006B378D" w:rsidRDefault="004141F0" w:rsidP="00EC25E8">
            <w:pPr>
              <w:autoSpaceDE w:val="0"/>
              <w:autoSpaceDN w:val="0"/>
              <w:adjustRightInd w:val="0"/>
              <w:rPr>
                <w:color w:val="000000"/>
                <w:sz w:val="20"/>
              </w:rPr>
            </w:pPr>
            <w:r w:rsidRPr="006B378D">
              <w:rPr>
                <w:color w:val="000000"/>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PECH</w:t>
            </w:r>
          </w:p>
          <w:p w:rsidR="00421C7C" w:rsidRPr="006B378D" w:rsidRDefault="004141F0" w:rsidP="00EC25E8">
            <w:pPr>
              <w:autoSpaceDE w:val="0"/>
              <w:autoSpaceDN w:val="0"/>
              <w:adjustRightInd w:val="0"/>
              <w:rPr>
                <w:color w:val="000000"/>
                <w:sz w:val="20"/>
              </w:rPr>
            </w:pPr>
            <w:r w:rsidRPr="006B378D">
              <w:rPr>
                <w:color w:val="000000"/>
                <w:sz w:val="20"/>
              </w:rPr>
              <w:t>13.11.2019</w:t>
            </w:r>
          </w:p>
        </w:tc>
        <w:tc>
          <w:tcPr>
            <w:tcW w:w="1474" w:type="dxa"/>
            <w:tcBorders>
              <w:top w:val="nil"/>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Komisje opiniodawcze</w:t>
            </w:r>
          </w:p>
          <w:p w:rsidR="00421C7C" w:rsidRPr="006B378D" w:rsidRDefault="004141F0" w:rsidP="00EC25E8">
            <w:pPr>
              <w:autoSpaceDE w:val="0"/>
              <w:autoSpaceDN w:val="0"/>
              <w:adjustRightInd w:val="0"/>
              <w:rPr>
                <w:color w:val="000000"/>
                <w:sz w:val="20"/>
              </w:rPr>
            </w:pPr>
            <w:r w:rsidRPr="006B378D">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EMPL</w:t>
            </w:r>
          </w:p>
          <w:p w:rsidR="00421C7C" w:rsidRPr="006B378D" w:rsidRDefault="004141F0" w:rsidP="00EC25E8">
            <w:pPr>
              <w:autoSpaceDE w:val="0"/>
              <w:autoSpaceDN w:val="0"/>
              <w:adjustRightInd w:val="0"/>
              <w:rPr>
                <w:color w:val="000000"/>
                <w:sz w:val="20"/>
              </w:rPr>
            </w:pPr>
            <w:r w:rsidRPr="006B378D">
              <w:rPr>
                <w:color w:val="000000"/>
                <w:sz w:val="20"/>
              </w:rPr>
              <w:t>13.11.2019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REGI</w:t>
            </w:r>
          </w:p>
          <w:p w:rsidR="00421C7C" w:rsidRPr="006B378D" w:rsidRDefault="004141F0" w:rsidP="00EC25E8">
            <w:pPr>
              <w:autoSpaceDE w:val="0"/>
              <w:autoSpaceDN w:val="0"/>
              <w:adjustRightInd w:val="0"/>
              <w:rPr>
                <w:color w:val="000000"/>
                <w:sz w:val="20"/>
              </w:rPr>
            </w:pPr>
            <w:r w:rsidRPr="006B378D">
              <w:rPr>
                <w:color w:val="000000"/>
                <w:sz w:val="20"/>
              </w:rPr>
              <w:t>13.11.2019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Rezygnacja z wydania opinii</w:t>
            </w:r>
          </w:p>
          <w:p w:rsidR="00421C7C" w:rsidRPr="006B378D" w:rsidRDefault="004141F0" w:rsidP="00EC25E8">
            <w:pPr>
              <w:autoSpaceDE w:val="0"/>
              <w:autoSpaceDN w:val="0"/>
              <w:adjustRightInd w:val="0"/>
              <w:rPr>
                <w:color w:val="000000"/>
                <w:sz w:val="20"/>
              </w:rPr>
            </w:pPr>
            <w:r w:rsidRPr="006B378D">
              <w:rPr>
                <w:color w:val="000000"/>
                <w:sz w:val="20"/>
              </w:rPr>
              <w:t>       Data wydania decyzji</w:t>
            </w:r>
          </w:p>
        </w:tc>
        <w:tc>
          <w:tcPr>
            <w:tcW w:w="1530" w:type="dxa"/>
            <w:tcBorders>
              <w:top w:val="nil"/>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EMPL</w:t>
            </w:r>
          </w:p>
          <w:p w:rsidR="00421C7C" w:rsidRPr="006B378D" w:rsidRDefault="004141F0" w:rsidP="00EC25E8">
            <w:pPr>
              <w:autoSpaceDE w:val="0"/>
              <w:autoSpaceDN w:val="0"/>
              <w:adjustRightInd w:val="0"/>
              <w:rPr>
                <w:color w:val="000000"/>
                <w:sz w:val="20"/>
              </w:rPr>
            </w:pPr>
            <w:r w:rsidRPr="006B378D">
              <w:rPr>
                <w:color w:val="000000"/>
                <w:sz w:val="20"/>
              </w:rPr>
              <w:t>4.12.2019</w:t>
            </w:r>
          </w:p>
        </w:tc>
        <w:tc>
          <w:tcPr>
            <w:tcW w:w="1474" w:type="dxa"/>
            <w:tcBorders>
              <w:top w:val="nil"/>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REGI</w:t>
            </w:r>
          </w:p>
          <w:p w:rsidR="00421C7C" w:rsidRPr="006B378D" w:rsidRDefault="004141F0" w:rsidP="00EC25E8">
            <w:pPr>
              <w:autoSpaceDE w:val="0"/>
              <w:autoSpaceDN w:val="0"/>
              <w:adjustRightInd w:val="0"/>
              <w:rPr>
                <w:color w:val="000000"/>
                <w:sz w:val="20"/>
              </w:rPr>
            </w:pPr>
            <w:r w:rsidRPr="006B378D">
              <w:rPr>
                <w:color w:val="000000"/>
                <w:sz w:val="20"/>
              </w:rPr>
              <w:t>5.12.2019</w:t>
            </w:r>
          </w:p>
        </w:tc>
        <w:tc>
          <w:tcPr>
            <w:tcW w:w="1474" w:type="dxa"/>
            <w:tcBorders>
              <w:top w:val="nil"/>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Sprawozdawcy</w:t>
            </w:r>
          </w:p>
          <w:p w:rsidR="00421C7C" w:rsidRPr="006B378D" w:rsidRDefault="004141F0" w:rsidP="00EC25E8">
            <w:pPr>
              <w:autoSpaceDE w:val="0"/>
              <w:autoSpaceDN w:val="0"/>
              <w:adjustRightInd w:val="0"/>
              <w:rPr>
                <w:color w:val="000000"/>
                <w:sz w:val="20"/>
              </w:rPr>
            </w:pPr>
            <w:r w:rsidRPr="006B378D">
              <w:rPr>
                <w:color w:val="000000"/>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Niclas Herbst</w:t>
            </w:r>
          </w:p>
          <w:p w:rsidR="00421C7C" w:rsidRPr="006B378D" w:rsidRDefault="004141F0" w:rsidP="00EC25E8">
            <w:pPr>
              <w:autoSpaceDE w:val="0"/>
              <w:autoSpaceDN w:val="0"/>
              <w:adjustRightInd w:val="0"/>
              <w:rPr>
                <w:color w:val="000000"/>
                <w:sz w:val="20"/>
              </w:rPr>
            </w:pPr>
            <w:r w:rsidRPr="006B378D">
              <w:rPr>
                <w:color w:val="000000"/>
                <w:sz w:val="20"/>
              </w:rPr>
              <w:t>27.11.2019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11.11.2019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20.1.2020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23.4.2020</w:t>
            </w:r>
          </w:p>
        </w:tc>
        <w:tc>
          <w:tcPr>
            <w:tcW w:w="1474" w:type="dxa"/>
            <w:tcBorders>
              <w:top w:val="nil"/>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1C7C" w:rsidRPr="006B378D" w:rsidRDefault="00421C7C" w:rsidP="00EC25E8">
            <w:pPr>
              <w:autoSpaceDE w:val="0"/>
              <w:autoSpaceDN w:val="0"/>
              <w:adjustRightInd w:val="0"/>
              <w:rPr>
                <w:rFonts w:ascii="sans-serif" w:hAnsi="sans-serif" w:cs="sans-serif"/>
                <w:color w:val="000000"/>
                <w:szCs w:val="24"/>
              </w:rPr>
            </w:pPr>
          </w:p>
        </w:tc>
      </w:tr>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w:t>
            </w:r>
          </w:p>
          <w:p w:rsidR="00421C7C" w:rsidRPr="006B378D" w:rsidRDefault="004141F0" w:rsidP="00EC25E8">
            <w:pPr>
              <w:autoSpaceDE w:val="0"/>
              <w:autoSpaceDN w:val="0"/>
              <w:adjustRightInd w:val="0"/>
              <w:rPr>
                <w:color w:val="000000"/>
                <w:sz w:val="20"/>
              </w:rPr>
            </w:pPr>
            <w:r w:rsidRPr="006B378D">
              <w:rPr>
                <w:color w:val="000000"/>
                <w:sz w:val="20"/>
              </w:rPr>
              <w:t>–:</w:t>
            </w:r>
          </w:p>
          <w:p w:rsidR="00421C7C" w:rsidRPr="006B378D" w:rsidRDefault="004141F0" w:rsidP="00EC25E8">
            <w:pPr>
              <w:autoSpaceDE w:val="0"/>
              <w:autoSpaceDN w:val="0"/>
              <w:adjustRightInd w:val="0"/>
              <w:rPr>
                <w:color w:val="000000"/>
                <w:sz w:val="20"/>
              </w:rPr>
            </w:pPr>
            <w:r w:rsidRPr="006B378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20</w:t>
            </w:r>
          </w:p>
          <w:p w:rsidR="00421C7C" w:rsidRPr="006B378D" w:rsidRDefault="004141F0" w:rsidP="00EC25E8">
            <w:pPr>
              <w:autoSpaceDE w:val="0"/>
              <w:autoSpaceDN w:val="0"/>
              <w:adjustRightInd w:val="0"/>
              <w:rPr>
                <w:color w:val="000000"/>
                <w:sz w:val="20"/>
              </w:rPr>
            </w:pPr>
            <w:r w:rsidRPr="006B378D">
              <w:rPr>
                <w:color w:val="000000"/>
                <w:sz w:val="20"/>
              </w:rPr>
              <w:t>8</w:t>
            </w:r>
          </w:p>
          <w:p w:rsidR="00421C7C" w:rsidRPr="006B378D" w:rsidRDefault="004141F0" w:rsidP="00EC25E8">
            <w:pPr>
              <w:autoSpaceDE w:val="0"/>
              <w:autoSpaceDN w:val="0"/>
              <w:adjustRightInd w:val="0"/>
              <w:rPr>
                <w:color w:val="000000"/>
                <w:sz w:val="20"/>
              </w:rPr>
            </w:pPr>
            <w:r w:rsidRPr="006B378D">
              <w:rPr>
                <w:color w:val="000000"/>
                <w:sz w:val="20"/>
              </w:rPr>
              <w:t>0</w:t>
            </w:r>
          </w:p>
        </w:tc>
      </w:tr>
      <w:tr w:rsidR="00497A2D" w:rsidRPr="006B378D" w:rsidTr="00EC25E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 xml:space="preserve">Clara </w:t>
            </w:r>
            <w:r w:rsidRPr="006B378D">
              <w:rPr>
                <w:color w:val="000000"/>
                <w:sz w:val="20"/>
              </w:rPr>
              <w:t>Aguilera, Pietro Bartolo, François-Xavier Bellamy, Izaskun Bilbao Barandica, Isabel Carvalhais, Rosanna Conte, Rosa D’Amato, Fredrick Federley, Giuseppe Ferrandino, Søren Gade, Francisco Guerreiro, Anja Hazekamp, Niclas Herbst, France Jamet, Pierre Karlesk</w:t>
            </w:r>
            <w:r w:rsidRPr="006B378D">
              <w:rPr>
                <w:color w:val="000000"/>
                <w:sz w:val="20"/>
              </w:rPr>
              <w:t>ind, Predrag Fred Matić, Francisco José Millán Mon, Cláudia Monteiro de Aguiar, Grace O’Sullivan, Caroline Roose, Bert-Jan Ruissen, Annie Schreijer-Pierik, Peter van Dalen, Theodoros Zagorakis</w:t>
            </w:r>
          </w:p>
        </w:tc>
      </w:tr>
      <w:tr w:rsidR="00497A2D" w:rsidRPr="006B378D" w:rsidTr="00EC25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Ivo Hristov, Petr</w:t>
            </w:r>
            <w:r w:rsidRPr="006B378D">
              <w:rPr>
                <w:color w:val="000000"/>
                <w:sz w:val="20"/>
              </w:rPr>
              <w:t>os Kokkalis, Elżbieta Rafalska, Annalisa Tardino</w:t>
            </w:r>
          </w:p>
        </w:tc>
      </w:tr>
      <w:tr w:rsidR="00497A2D" w:rsidRPr="006B378D" w:rsidTr="00EC25E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b/>
                <w:bCs/>
                <w:color w:val="000000"/>
                <w:sz w:val="20"/>
              </w:rPr>
            </w:pPr>
            <w:r w:rsidRPr="006B378D">
              <w:rPr>
                <w:b/>
                <w:bCs/>
                <w:color w:val="000000"/>
                <w:sz w:val="20"/>
              </w:rPr>
              <w:t>Data złożenia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1C7C" w:rsidRPr="006B378D" w:rsidRDefault="004141F0" w:rsidP="00EC25E8">
            <w:pPr>
              <w:autoSpaceDE w:val="0"/>
              <w:autoSpaceDN w:val="0"/>
              <w:adjustRightInd w:val="0"/>
              <w:rPr>
                <w:color w:val="000000"/>
                <w:sz w:val="20"/>
              </w:rPr>
            </w:pPr>
            <w:r w:rsidRPr="006B378D">
              <w:rPr>
                <w:color w:val="000000"/>
                <w:sz w:val="20"/>
              </w:rPr>
              <w:t>29.4.2020</w:t>
            </w:r>
          </w:p>
        </w:tc>
      </w:tr>
    </w:tbl>
    <w:p w:rsidR="00421C7C" w:rsidRPr="006B378D" w:rsidRDefault="00421C7C" w:rsidP="00421C7C"/>
    <w:bookmarkEnd w:id="6"/>
    <w:p w:rsidR="00421C7C" w:rsidRPr="006B378D" w:rsidRDefault="00421C7C" w:rsidP="00421C7C"/>
    <w:p w:rsidR="006E4EDD" w:rsidRPr="006B378D" w:rsidRDefault="004141F0" w:rsidP="006E4EDD">
      <w:pPr>
        <w:widowControl/>
      </w:pPr>
      <w:r w:rsidRPr="006B378D">
        <w:br w:type="page"/>
      </w:r>
    </w:p>
    <w:p w:rsidR="006E4EDD" w:rsidRPr="006B378D" w:rsidRDefault="004141F0" w:rsidP="006E4EDD">
      <w:pPr>
        <w:pStyle w:val="PageHeading"/>
      </w:pPr>
      <w:bookmarkStart w:id="8" w:name="_Toc38965973"/>
      <w:bookmarkStart w:id="9" w:name="_Toc38550990"/>
      <w:bookmarkStart w:id="10" w:name="_Toc40341304"/>
      <w:r w:rsidRPr="006B378D">
        <w:t>GŁOSOWANIE KOŃCOWE W FORMIE GŁOSOWANIA IMIENNEGO W KOMISJI PRZEDMIOTOWO WŁAŚCIWEJ</w:t>
      </w:r>
      <w:bookmarkEnd w:id="8"/>
      <w:bookmarkEnd w:id="9"/>
      <w:bookmarkEnd w:id="10"/>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97A2D" w:rsidRPr="006B378D" w:rsidTr="006E4ED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E4EDD" w:rsidRPr="006B378D" w:rsidRDefault="004141F0">
            <w:pPr>
              <w:pStyle w:val="RollCallVotes"/>
            </w:pPr>
            <w:r w:rsidRPr="006B378D">
              <w:t>20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E4EDD" w:rsidRPr="006B378D" w:rsidRDefault="004141F0">
            <w:pPr>
              <w:pStyle w:val="RollCallSymbols14pt"/>
            </w:pPr>
            <w:r w:rsidRPr="006B378D">
              <w:t>+</w:t>
            </w:r>
          </w:p>
        </w:tc>
      </w:tr>
      <w:tr w:rsidR="00497A2D" w:rsidRPr="006B378D" w:rsidTr="006E4E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E4EDD" w:rsidRPr="006B378D" w:rsidRDefault="004141F0">
            <w:pPr>
              <w:pStyle w:val="RollCallTable"/>
            </w:pPr>
            <w:r w:rsidRPr="006B378D">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E4EDD" w:rsidRPr="006B378D" w:rsidRDefault="004141F0">
            <w:pPr>
              <w:pStyle w:val="RollCallTable"/>
            </w:pPr>
            <w:r w:rsidRPr="006B378D">
              <w:t>Elżbieta Rafalska, Bert</w:t>
            </w:r>
            <w:r w:rsidRPr="006B378D">
              <w:noBreakHyphen/>
              <w:t>Jan Ruissen</w:t>
            </w:r>
          </w:p>
        </w:tc>
      </w:tr>
      <w:tr w:rsidR="00497A2D" w:rsidRPr="006B378D" w:rsidTr="006E4E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E4EDD" w:rsidRPr="006B378D" w:rsidRDefault="004141F0">
            <w:pPr>
              <w:pStyle w:val="RollCallTable"/>
            </w:pPr>
            <w:r w:rsidRPr="006B378D">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E4EDD" w:rsidRPr="006B378D" w:rsidRDefault="004141F0">
            <w:pPr>
              <w:pStyle w:val="RollCallTable"/>
            </w:pPr>
            <w:r w:rsidRPr="006B378D">
              <w:t>Rosanna Conte, France Jamet, Annalisa Tardino</w:t>
            </w:r>
          </w:p>
        </w:tc>
      </w:tr>
      <w:tr w:rsidR="00497A2D" w:rsidRPr="006B378D" w:rsidTr="006E4E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E4EDD" w:rsidRPr="006B378D" w:rsidRDefault="004141F0">
            <w:pPr>
              <w:pStyle w:val="RollCallTable"/>
            </w:pPr>
            <w:r w:rsidRPr="006B378D">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E4EDD" w:rsidRPr="006B378D" w:rsidRDefault="004141F0">
            <w:pPr>
              <w:pStyle w:val="RollCallTable"/>
            </w:pPr>
            <w:r w:rsidRPr="006B378D">
              <w:t>Rosa D'Amato</w:t>
            </w:r>
          </w:p>
        </w:tc>
      </w:tr>
      <w:tr w:rsidR="00497A2D" w:rsidRPr="006B378D" w:rsidTr="006E4E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E4EDD" w:rsidRPr="006B378D" w:rsidRDefault="004141F0">
            <w:pPr>
              <w:pStyle w:val="RollCallTable"/>
            </w:pPr>
            <w:r w:rsidRPr="006B378D">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E4EDD" w:rsidRPr="006B378D" w:rsidRDefault="004141F0">
            <w:pPr>
              <w:pStyle w:val="RollCallTable"/>
            </w:pPr>
            <w:r w:rsidRPr="006B378D">
              <w:t>François</w:t>
            </w:r>
            <w:r w:rsidRPr="006B378D">
              <w:noBreakHyphen/>
              <w:t>Xavier Bellamy, Niclas Herbst, Francisco José Millán Mon, Cláudia Monteiro de Aguiar, Annie Schreijer</w:t>
            </w:r>
            <w:r w:rsidRPr="006B378D">
              <w:noBreakHyphen/>
              <w:t>Pierik, Peter van Dalen, Theodoros Zagorakis</w:t>
            </w:r>
          </w:p>
        </w:tc>
      </w:tr>
      <w:tr w:rsidR="00497A2D" w:rsidRPr="006B378D" w:rsidTr="006E4E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E4EDD" w:rsidRPr="006B378D" w:rsidRDefault="004141F0">
            <w:pPr>
              <w:pStyle w:val="RollCallTable"/>
            </w:pPr>
            <w:r w:rsidRPr="006B378D">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E4EDD" w:rsidRPr="006B378D" w:rsidRDefault="004141F0">
            <w:pPr>
              <w:pStyle w:val="RollCallTable"/>
            </w:pPr>
            <w:r w:rsidRPr="006B378D">
              <w:t>Izaskun Bilbao Barandica, Fredrick Federley, Søren Gade, Pierre Karles</w:t>
            </w:r>
            <w:r w:rsidRPr="006B378D">
              <w:t>kind</w:t>
            </w:r>
          </w:p>
        </w:tc>
      </w:tr>
      <w:tr w:rsidR="00497A2D" w:rsidRPr="006B378D" w:rsidTr="006E4ED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E4EDD" w:rsidRPr="006B378D" w:rsidRDefault="004141F0">
            <w:pPr>
              <w:pStyle w:val="RollCallTable"/>
            </w:pPr>
            <w:r w:rsidRPr="006B378D">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6E4EDD" w:rsidRPr="006B378D" w:rsidRDefault="004141F0">
            <w:pPr>
              <w:pStyle w:val="RollCallTable"/>
            </w:pPr>
            <w:r w:rsidRPr="006B378D">
              <w:t>Francisco Guerreiro, Grace O'Sullivan, Caroline Roose</w:t>
            </w:r>
          </w:p>
        </w:tc>
      </w:tr>
    </w:tbl>
    <w:p w:rsidR="006E4EDD" w:rsidRPr="006B378D" w:rsidRDefault="006E4EDD" w:rsidP="006E4EDD"/>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97A2D" w:rsidRPr="006B378D" w:rsidTr="006E4ED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E4EDD" w:rsidRPr="006B378D" w:rsidRDefault="004141F0">
            <w:pPr>
              <w:pStyle w:val="RollCallVotes"/>
            </w:pPr>
            <w:r w:rsidRPr="006B378D">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E4EDD" w:rsidRPr="006B378D" w:rsidRDefault="004141F0">
            <w:pPr>
              <w:pStyle w:val="RollCallSymbols14pt"/>
            </w:pPr>
            <w:r w:rsidRPr="006B378D">
              <w:t>-</w:t>
            </w:r>
          </w:p>
        </w:tc>
      </w:tr>
      <w:tr w:rsidR="00497A2D" w:rsidRPr="006B378D" w:rsidTr="006E4EDD">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6E4EDD" w:rsidRPr="006B378D" w:rsidRDefault="004141F0">
            <w:pPr>
              <w:pStyle w:val="RollCallTable"/>
            </w:pPr>
            <w:r w:rsidRPr="006B378D">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6E4EDD" w:rsidRPr="006B378D" w:rsidRDefault="004141F0">
            <w:pPr>
              <w:pStyle w:val="RollCallTable"/>
            </w:pPr>
            <w:r w:rsidRPr="006B378D">
              <w:t>Anja Hazekamp, Petros Kokkalis</w:t>
            </w:r>
          </w:p>
        </w:tc>
      </w:tr>
      <w:tr w:rsidR="00497A2D" w:rsidRPr="006B378D" w:rsidTr="006E4ED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6E4EDD" w:rsidRPr="006B378D" w:rsidRDefault="004141F0">
            <w:pPr>
              <w:pStyle w:val="RollCallTable"/>
            </w:pPr>
            <w:r w:rsidRPr="006B378D">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6E4EDD" w:rsidRPr="006B378D" w:rsidRDefault="004141F0">
            <w:pPr>
              <w:pStyle w:val="RollCallTable"/>
            </w:pPr>
            <w:r w:rsidRPr="006B378D">
              <w:t>Clara Aguilera, Pietro Bartolo, Isabel Carvalhais, Giuseppe Ferrandino, Ivo Hristov, Predrag Fred Matić</w:t>
            </w:r>
          </w:p>
        </w:tc>
      </w:tr>
    </w:tbl>
    <w:p w:rsidR="006E4EDD" w:rsidRPr="006B378D" w:rsidRDefault="006E4EDD" w:rsidP="006E4EDD"/>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97A2D" w:rsidRPr="006B378D" w:rsidTr="006E4EDD">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6E4EDD" w:rsidRPr="006B378D" w:rsidRDefault="004141F0">
            <w:pPr>
              <w:pStyle w:val="RollCallVotes"/>
            </w:pPr>
            <w:r w:rsidRPr="006B378D">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6E4EDD" w:rsidRPr="006B378D" w:rsidRDefault="004141F0">
            <w:pPr>
              <w:pStyle w:val="RollCallSymbols14pt"/>
            </w:pPr>
            <w:r w:rsidRPr="006B378D">
              <w:t>0</w:t>
            </w:r>
          </w:p>
        </w:tc>
      </w:tr>
      <w:tr w:rsidR="00497A2D" w:rsidRPr="006B378D" w:rsidTr="006E4EDD">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6E4EDD" w:rsidRPr="006B378D" w:rsidRDefault="006E4EDD">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6E4EDD" w:rsidRPr="006B378D" w:rsidRDefault="006E4EDD">
            <w:pPr>
              <w:pStyle w:val="RollCallTable"/>
            </w:pPr>
          </w:p>
        </w:tc>
      </w:tr>
    </w:tbl>
    <w:p w:rsidR="006E4EDD" w:rsidRPr="006B378D" w:rsidRDefault="006E4EDD" w:rsidP="006E4EDD"/>
    <w:p w:rsidR="006E4EDD" w:rsidRPr="006B378D" w:rsidRDefault="006E4EDD" w:rsidP="006E4EDD"/>
    <w:p w:rsidR="006E4EDD" w:rsidRPr="006B378D" w:rsidRDefault="006E4EDD" w:rsidP="006E4EDD">
      <w:pPr>
        <w:pStyle w:val="Normal12a"/>
      </w:pPr>
    </w:p>
    <w:p w:rsidR="006E4EDD" w:rsidRPr="006B378D" w:rsidRDefault="004141F0" w:rsidP="006E4EDD">
      <w:r w:rsidRPr="006B378D">
        <w:t xml:space="preserve">Objaśnienie </w:t>
      </w:r>
      <w:r w:rsidRPr="006B378D">
        <w:t>używanych znaków</w:t>
      </w:r>
    </w:p>
    <w:p w:rsidR="006E4EDD" w:rsidRPr="006B378D" w:rsidRDefault="004141F0" w:rsidP="006E4EDD">
      <w:pPr>
        <w:pStyle w:val="RollCallTabs"/>
      </w:pPr>
      <w:r w:rsidRPr="006B378D">
        <w:t>+</w:t>
      </w:r>
      <w:r w:rsidRPr="006B378D">
        <w:tab/>
        <w:t>:</w:t>
      </w:r>
      <w:r w:rsidRPr="006B378D">
        <w:tab/>
        <w:t>za</w:t>
      </w:r>
    </w:p>
    <w:p w:rsidR="006E4EDD" w:rsidRPr="006B378D" w:rsidRDefault="004141F0" w:rsidP="006E4EDD">
      <w:pPr>
        <w:pStyle w:val="RollCallTabs"/>
      </w:pPr>
      <w:r w:rsidRPr="006B378D">
        <w:t>-</w:t>
      </w:r>
      <w:r w:rsidRPr="006B378D">
        <w:tab/>
        <w:t>:</w:t>
      </w:r>
      <w:r w:rsidRPr="006B378D">
        <w:tab/>
        <w:t>przeciw</w:t>
      </w:r>
    </w:p>
    <w:p w:rsidR="006E4EDD" w:rsidRPr="006B378D" w:rsidRDefault="004141F0" w:rsidP="006E4EDD">
      <w:pPr>
        <w:pStyle w:val="RollCallTabs"/>
      </w:pPr>
      <w:r w:rsidRPr="006B378D">
        <w:t>0</w:t>
      </w:r>
      <w:r w:rsidRPr="006B378D">
        <w:tab/>
        <w:t>:</w:t>
      </w:r>
      <w:r w:rsidRPr="006B378D">
        <w:tab/>
        <w:t>wstrzymało się</w:t>
      </w:r>
    </w:p>
    <w:p w:rsidR="006E4EDD" w:rsidRPr="006B378D" w:rsidRDefault="006E4EDD" w:rsidP="006E4EDD"/>
    <w:p w:rsidR="00B52969" w:rsidRPr="006B378D" w:rsidRDefault="00B52969" w:rsidP="00B52969"/>
    <w:sectPr w:rsidR="00B52969" w:rsidRPr="006B378D" w:rsidSect="006B378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6B378D" w:rsidRDefault="004141F0">
      <w:r w:rsidRPr="006B378D">
        <w:separator/>
      </w:r>
    </w:p>
  </w:endnote>
  <w:endnote w:type="continuationSeparator" w:id="0">
    <w:p w:rsidR="00000000" w:rsidRPr="006B378D" w:rsidRDefault="004141F0">
      <w:r w:rsidRPr="006B37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D" w:rsidRPr="006B378D" w:rsidRDefault="006B378D" w:rsidP="006B378D">
    <w:pPr>
      <w:pStyle w:val="EPFooter"/>
    </w:pPr>
    <w:r w:rsidRPr="006B378D">
      <w:t>PE</w:t>
    </w:r>
    <w:r w:rsidRPr="006B378D">
      <w:rPr>
        <w:rStyle w:val="HideTWBExt"/>
        <w:noProof w:val="0"/>
      </w:rPr>
      <w:t>&lt;NoPE&gt;</w:t>
    </w:r>
    <w:r w:rsidRPr="006B378D">
      <w:t>644.735</w:t>
    </w:r>
    <w:r w:rsidRPr="006B378D">
      <w:rPr>
        <w:rStyle w:val="HideTWBExt"/>
        <w:noProof w:val="0"/>
      </w:rPr>
      <w:t>&lt;/NoPE&gt;&lt;Version&gt;</w:t>
    </w:r>
    <w:r w:rsidRPr="006B378D">
      <w:t>v02-00</w:t>
    </w:r>
    <w:r w:rsidRPr="006B378D">
      <w:rPr>
        <w:rStyle w:val="HideTWBExt"/>
        <w:noProof w:val="0"/>
      </w:rPr>
      <w:t>&lt;/Version&gt;</w:t>
    </w:r>
    <w:r w:rsidRPr="006B378D">
      <w:tab/>
    </w:r>
    <w:r w:rsidRPr="006B378D">
      <w:fldChar w:fldCharType="begin"/>
    </w:r>
    <w:r w:rsidRPr="006B378D">
      <w:instrText xml:space="preserve"> PAGE  \* MERGEFORMAT </w:instrText>
    </w:r>
    <w:r w:rsidRPr="006B378D">
      <w:fldChar w:fldCharType="separate"/>
    </w:r>
    <w:r w:rsidR="004141F0">
      <w:rPr>
        <w:noProof/>
      </w:rPr>
      <w:t>2</w:t>
    </w:r>
    <w:r w:rsidRPr="006B378D">
      <w:fldChar w:fldCharType="end"/>
    </w:r>
    <w:r w:rsidRPr="006B378D">
      <w:t>/</w:t>
    </w:r>
    <w:fldSimple w:instr=" NUMPAGES  \* MERGEFORMAT ">
      <w:r w:rsidR="004141F0">
        <w:rPr>
          <w:noProof/>
        </w:rPr>
        <w:t>21</w:t>
      </w:r>
    </w:fldSimple>
    <w:r w:rsidRPr="006B378D">
      <w:tab/>
    </w:r>
    <w:r w:rsidRPr="006B378D">
      <w:rPr>
        <w:rStyle w:val="HideTWBExt"/>
        <w:noProof w:val="0"/>
      </w:rPr>
      <w:t>&lt;PathFdR&gt;</w:t>
    </w:r>
    <w:r w:rsidRPr="006B378D">
      <w:t>RR\1204012PL.docx</w:t>
    </w:r>
    <w:r w:rsidRPr="006B378D">
      <w:rPr>
        <w:rStyle w:val="HideTWBExt"/>
        <w:noProof w:val="0"/>
      </w:rPr>
      <w:t>&lt;/PathFdR&gt;</w:t>
    </w:r>
  </w:p>
  <w:p w:rsidR="00E420EF" w:rsidRPr="006B378D" w:rsidRDefault="006B378D" w:rsidP="006B378D">
    <w:pPr>
      <w:pStyle w:val="EPFooter2"/>
    </w:pPr>
    <w:r w:rsidRPr="006B378D">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D" w:rsidRPr="006B378D" w:rsidRDefault="006B378D" w:rsidP="006B378D">
    <w:pPr>
      <w:pStyle w:val="EPFooter"/>
    </w:pPr>
    <w:r w:rsidRPr="006B378D">
      <w:rPr>
        <w:rStyle w:val="HideTWBExt"/>
        <w:noProof w:val="0"/>
      </w:rPr>
      <w:t>&lt;PathFdR&gt;</w:t>
    </w:r>
    <w:r w:rsidRPr="006B378D">
      <w:t>RR\1204012PL.docx</w:t>
    </w:r>
    <w:r w:rsidRPr="006B378D">
      <w:rPr>
        <w:rStyle w:val="HideTWBExt"/>
        <w:noProof w:val="0"/>
      </w:rPr>
      <w:t>&lt;/PathFdR&gt;</w:t>
    </w:r>
    <w:r w:rsidRPr="006B378D">
      <w:tab/>
    </w:r>
    <w:r w:rsidRPr="006B378D">
      <w:fldChar w:fldCharType="begin"/>
    </w:r>
    <w:r w:rsidRPr="006B378D">
      <w:instrText xml:space="preserve"> PAGE  \* MERGEFORMAT </w:instrText>
    </w:r>
    <w:r w:rsidRPr="006B378D">
      <w:fldChar w:fldCharType="separate"/>
    </w:r>
    <w:r w:rsidR="004141F0">
      <w:rPr>
        <w:noProof/>
      </w:rPr>
      <w:t>3</w:t>
    </w:r>
    <w:r w:rsidRPr="006B378D">
      <w:fldChar w:fldCharType="end"/>
    </w:r>
    <w:r w:rsidRPr="006B378D">
      <w:t>/</w:t>
    </w:r>
    <w:fldSimple w:instr=" NUMPAGES  \* MERGEFORMAT ">
      <w:r w:rsidR="004141F0">
        <w:rPr>
          <w:noProof/>
        </w:rPr>
        <w:t>21</w:t>
      </w:r>
    </w:fldSimple>
    <w:r w:rsidRPr="006B378D">
      <w:tab/>
      <w:t>PE</w:t>
    </w:r>
    <w:r w:rsidRPr="006B378D">
      <w:rPr>
        <w:rStyle w:val="HideTWBExt"/>
        <w:noProof w:val="0"/>
      </w:rPr>
      <w:t>&lt;NoPE&gt;</w:t>
    </w:r>
    <w:r w:rsidRPr="006B378D">
      <w:t>644.735</w:t>
    </w:r>
    <w:r w:rsidRPr="006B378D">
      <w:rPr>
        <w:rStyle w:val="HideTWBExt"/>
        <w:noProof w:val="0"/>
      </w:rPr>
      <w:t>&lt;/NoPE&gt;&lt;Version&gt;</w:t>
    </w:r>
    <w:r w:rsidRPr="006B378D">
      <w:t>v02-00</w:t>
    </w:r>
    <w:r w:rsidRPr="006B378D">
      <w:rPr>
        <w:rStyle w:val="HideTWBExt"/>
        <w:noProof w:val="0"/>
      </w:rPr>
      <w:t>&lt;/Version&gt;</w:t>
    </w:r>
  </w:p>
  <w:p w:rsidR="00E420EF" w:rsidRPr="006B378D" w:rsidRDefault="006B378D" w:rsidP="006B378D">
    <w:pPr>
      <w:pStyle w:val="EPFooter2"/>
    </w:pPr>
    <w:r w:rsidRPr="006B378D">
      <w:tab/>
    </w:r>
    <w:r w:rsidRPr="006B378D">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D" w:rsidRPr="006B378D" w:rsidRDefault="006B378D" w:rsidP="006B378D">
    <w:pPr>
      <w:pStyle w:val="EPFooter"/>
    </w:pPr>
    <w:r w:rsidRPr="006B378D">
      <w:rPr>
        <w:rStyle w:val="HideTWBExt"/>
        <w:noProof w:val="0"/>
      </w:rPr>
      <w:t>&lt;PathFdR&gt;</w:t>
    </w:r>
    <w:r w:rsidRPr="006B378D">
      <w:t>RR\1204012PL.docx</w:t>
    </w:r>
    <w:r w:rsidRPr="006B378D">
      <w:rPr>
        <w:rStyle w:val="HideTWBExt"/>
        <w:noProof w:val="0"/>
      </w:rPr>
      <w:t>&lt;/PathFdR&gt;</w:t>
    </w:r>
    <w:r w:rsidRPr="006B378D">
      <w:tab/>
    </w:r>
    <w:r w:rsidRPr="006B378D">
      <w:tab/>
      <w:t>PE</w:t>
    </w:r>
    <w:r w:rsidRPr="006B378D">
      <w:rPr>
        <w:rStyle w:val="HideTWBExt"/>
        <w:noProof w:val="0"/>
      </w:rPr>
      <w:t>&lt;NoPE&gt;</w:t>
    </w:r>
    <w:r w:rsidRPr="006B378D">
      <w:t>644.735</w:t>
    </w:r>
    <w:r w:rsidRPr="006B378D">
      <w:rPr>
        <w:rStyle w:val="HideTWBExt"/>
        <w:noProof w:val="0"/>
      </w:rPr>
      <w:t>&lt;/NoPE&gt;&lt;Version&gt;</w:t>
    </w:r>
    <w:r w:rsidRPr="006B378D">
      <w:t>v02-00</w:t>
    </w:r>
    <w:r w:rsidRPr="006B378D">
      <w:rPr>
        <w:rStyle w:val="HideTWBExt"/>
        <w:noProof w:val="0"/>
      </w:rPr>
      <w:t>&lt;/Version&gt;</w:t>
    </w:r>
  </w:p>
  <w:p w:rsidR="00E420EF" w:rsidRPr="006B378D" w:rsidRDefault="006B378D" w:rsidP="006B378D">
    <w:pPr>
      <w:pStyle w:val="EPFooter2"/>
    </w:pPr>
    <w:r w:rsidRPr="006B378D">
      <w:t>PL</w:t>
    </w:r>
    <w:r w:rsidRPr="006B378D">
      <w:tab/>
    </w:r>
    <w:r w:rsidRPr="006B378D">
      <w:rPr>
        <w:b w:val="0"/>
        <w:i/>
        <w:color w:val="C0C0C0"/>
        <w:sz w:val="22"/>
      </w:rPr>
      <w:t>Zjednoczona w różnorodności</w:t>
    </w:r>
    <w:r w:rsidRPr="006B378D">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EF" w:rsidRPr="006B378D" w:rsidRDefault="004141F0">
      <w:r w:rsidRPr="006B378D">
        <w:separator/>
      </w:r>
    </w:p>
  </w:footnote>
  <w:footnote w:type="continuationSeparator" w:id="0">
    <w:p w:rsidR="00E420EF" w:rsidRPr="006B378D" w:rsidRDefault="004141F0">
      <w:r w:rsidRPr="006B378D">
        <w:continuationSeparator/>
      </w:r>
    </w:p>
  </w:footnote>
  <w:footnote w:id="1">
    <w:p w:rsidR="00E420EF" w:rsidRPr="006B378D" w:rsidRDefault="004141F0" w:rsidP="009B157E">
      <w:pPr>
        <w:pStyle w:val="FootnoteText"/>
      </w:pPr>
      <w:r w:rsidRPr="006B378D">
        <w:rPr>
          <w:rStyle w:val="FootnoteReference"/>
        </w:rPr>
        <w:footnoteRef/>
      </w:r>
      <w:r w:rsidRPr="006B378D">
        <w:t xml:space="preserve"> Dz.U. C 106 z 31.3.2020,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F0" w:rsidRDefault="0041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F0" w:rsidRDefault="00414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F0" w:rsidRDefault="0041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Consolidate" w:val="True"/>
    <w:docVar w:name="CopyToNetwork" w:val="-1"/>
    <w:docVar w:name="DOCDT" w:val="28/04/2020"/>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674164 HideTWBExt;}{\*\cs18 \additive \v\f1\fs20\cf15 _x000d__x000a_\spriority0 \styrsid4674164 HideTWBInt;}{\s19\ql \li0\ri0\sa120\nowidctlpar\wrapdefault\aspalpha\aspnum\faauto\adjustright\rin0\lin0\itap0 \rtlch\fcs1 \af0\afs20\alang1025 \ltrch\fcs0 \fs24\lang2057\langfe2057\cgrid\langnp2057\langfenp2057 _x000d__x000a_\sbasedon0 \snext19 \spriority0 \styrsid4674164 Normal6a;}{\s20\ql \li0\ri0\nowidctlpar\wrapdefault\aspalpha\aspnum\faauto\adjustright\rin0\lin0\itap0 \rtlch\fcs1 \af0\afs20\alang1025 \ltrch\fcs0 \b\fs24\lang2057\langfe2057\cgrid\langnp2057\langfenp2057 _x000d__x000a_\sbasedon0 \snext20 \spriority0 \styrsid4674164 NormalBold;}{\s21\ql \li0\ri0\sa240\nowidctlpar\wrapdefault\aspalpha\aspnum\faauto\adjustright\rin0\lin0\itap0 \rtlch\fcs1 \af0\afs20\alang1025 \ltrch\fcs0 _x000d__x000a_\i\fs24\lang2057\langfe2057\cgrid\langnp2057\langfenp2057 \sbasedon0 \snext21 \spriority0 \styrsid4674164 AmJustText;}{\s22\qc \li0\ri0\sb240\sa240\nowidctlpar\wrapdefault\aspalpha\aspnum\faauto\adjustright\rin0\lin0\itap0 \rtlch\fcs1 _x000d__x000a_\af0\afs20\alang1025 \ltrch\fcs0 \i\fs24\lang2057\langfe2057\cgrid\langnp2057\langfenp2057 \sbasedon0 \snext22 \spriority0 \styrsid4674164 AmCrossRef;}{_x000d__x000a_\s23\qc \li0\ri0\sb240\sa240\keepn\nowidctlpar\wrapdefault\aspalpha\aspnum\faauto\adjustright\rin0\lin0\itap0 \rtlch\fcs1 \af0\afs20\alang1025 \ltrch\fcs0 \i\fs24\lang2057\langfe2057\cgrid\langnp2057\langfenp2057 _x000d__x000a_\sbasedon0 \snext21 \spriority0 \styrsid4674164 AmJustTitle;}{\s24\qc \li0\ri0\sa240\nowidctlpar\wrapdefault\aspalpha\aspnum\faauto\adjustright\rin0\lin0\itap0 \rtlch\fcs1 \af0\afs20\alang1025 \ltrch\fcs0 _x000d__x000a_\i\fs24\lang2057\langfe2057\cgrid\langnp2057\langfenp2057 \sbasedon0 \snext24 \spriority0 \styrsid4674164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4674164 AmNumberTabs;}{\s26\ql \li0\ri0\sb240\nowidctlpar\wrapdefault\aspalpha\aspnum\faauto\adjustright\rin0\lin0\itap0 \rtlch\fcs1 _x000d__x000a_\af0\afs20\alang1025 \ltrch\fcs0 \b\fs24\lang2057\langfe2057\cgrid\langnp2057\langfenp2057 \sbasedon0 \snext26 \spriority0 \styrsid4674164 NormalBold12b;}}{\*\rsidtbl \rsid24658\rsid223860\rsid735077\rsid1718133\rsid2892074\rsid3565327\rsid4666813_x000d__x000a_\rsid4674164\rsid6641733\rsid7823322\rsid9636012\rsid10377208\rsid11215221\rsid11549030\rsid12154954\rsid14090685\rsid14382809\rsid14424199\rsid15204470\rsid15285974\rsid15950462\rsid16324206\rsid16662270}{\mmathPr\mmathFont34\mbrkBin0\mbrkBinSub0_x000d__x000a_\msmallFrac0\mdispDef1\mlMargin0\mrMargin0\mdefJc1\mwrapIndent1440\mintLim0\mnaryLim1}{\info{\author BARSTYTE Lina}{\operator BARSTYTE Lina}{\creatim\yr2020\mo4\dy24\hr13\min18}{\revtim\yr2020\mo4\dy24\hr13\min18}{\version1}{\edmins0}{\nofpages1}_x000d__x000a_{\nofwords100}{\nofchars530}{\nofcharsws623}{\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674164\newtblstyruls\nogrowautofit\usenormstyforlist\noindnmbrts\felnbrelev\nocxsptable\indrlsweleven\noafcnsttbl\afelev\utinl\hwelev\spltpgpar\notcvasp\notbrkcnstfrctbl\notvatxbx\krnprsnet\cachedcolbal _x000d__x000a_\nouicompat \fet0{\*\wgrffmtfilter 013f}\nofeaturethrottle1\ilfomacatclnup0{\*\template C:\\Users\\LBARST~1\\AppData\\Local\\Temp\\Blank1.dotx}{\*\ftnsep \ltrpar \pard\plain \ltrpar_x000d__x000a_\ql \li0\ri0\widctlpar\wrapdefault\aspalpha\aspnum\faauto\adjustright\rin0\lin0\itap0 \rtlch\fcs1 \af0\afs20\alang1025 \ltrch\fcs0 \fs24\lang2057\langfe2057\cgrid\langnp2057\langfenp2057 {\rtlch\fcs1 \af0 \ltrch\fcs0 \insrsid14090685 \chftnsep _x000d__x000a_\par }}{\*\ftnsepc \ltrpar \pard\plain \ltrpar\ql \li0\ri0\widctlpar\wrapdefault\aspalpha\aspnum\faauto\adjustright\rin0\lin0\itap0 \rtlch\fcs1 \af0\afs20\alang1025 \ltrch\fcs0 \fs24\lang2057\langfe2057\cgrid\langnp2057\langfenp2057 {\rtlch\fcs1 \af0 _x000d__x000a_\ltrch\fcs0 \insrsid14090685 \chftnsepc _x000d__x000a_\par }}{\*\aftnsep \ltrpar \pard\plain \ltrpar\ql \li0\ri0\widctlpar\wrapdefault\aspalpha\aspnum\faauto\adjustright\rin0\lin0\itap0 \rtlch\fcs1 \af0\afs20\alang1025 \ltrch\fcs0 \fs24\lang2057\langfe2057\cgrid\langnp2057\langfenp2057 {\rtlch\fcs1 \af0 _x000d__x000a_\ltrch\fcs0 \insrsid14090685 \chftnsep _x000d__x000a_\par }}{\*\aftnsepc \ltrpar \pard\plain \ltrpar\ql \li0\ri0\widctlpar\wrapdefault\aspalpha\aspnum\faauto\adjustright\rin0\lin0\itap0 \rtlch\fcs1 \af0\afs20\alang1025 \ltrch\fcs0 \fs24\lang2057\langfe2057\cgrid\langnp2057\langfenp2057 {\rtlch\fcs1 \af0 _x000d__x000a_\ltrch\fcs0 \insrsid1409068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4674164 \rtlch\fcs1 _x000d__x000a_\af0\afs20\alang1025 \ltrch\fcs0 \b\fs24\lang2057\langfe2057\cgrid\langnp2057\langfenp2057 {\rtlch\fcs1 \af0 \ltrch\fcs0 \cs17\b0\v\fs20\cf9\loch\af1\hich\af1\dbch\af31501\insrsid4674164\charrsid2520988 {\*\bkmkstart restart}_x000d__x000a_\hich\af1\dbch\af31501\loch\f1 &lt;Amend&gt;}{\rtlch\fcs1 \af0 \ltrch\fcs0 \insrsid4674164\charrsid2520988 Amendment\tab \tab }{\rtlch\fcs1 \af0 \ltrch\fcs0 \cs17\b0\v\fs20\cf9\loch\af1\hich\af1\dbch\af31501\insrsid4674164\charrsid2520988 _x000d__x000a_\hich\af1\dbch\af31501\loch\f1 &lt;NumAm&gt;}{\rtlch\fcs1 \af0 \ltrch\fcs0 \insrsid4674164\charrsid2520988 #}{\rtlch\fcs1 \af1 \ltrch\fcs0 \cs18\v\f1\fs20\cf15\insrsid4674164\charrsid2520988 ENMIENDA@NRAM@}{\rtlch\fcs1 \af0 \ltrch\fcs0 _x000d__x000a_\insrsid4674164\charrsid2520988 #}{\rtlch\fcs1 \af0 \ltrch\fcs0 \cs17\b0\v\fs20\cf9\loch\af1\hich\af1\dbch\af31501\insrsid4674164\charrsid2520988 \hich\af1\dbch\af31501\loch\f1 &lt;/NumAm&gt;}{\rtlch\fcs1 \af0 \ltrch\fcs0 \insrsid4674164\charrsid2520988 _x000d__x000a_\par }\pard\plain \ltrpar\s26\ql \li0\ri0\sb240\keepn\nowidctlpar\wrapdefault\aspalpha\aspnum\faauto\adjustright\rin0\lin0\itap0\pararsid4674164 \rtlch\fcs1 \af0\afs20\alang1025 \ltrch\fcs0 \b\fs24\lang2057\langfe2057\cgrid\langnp2057\langfenp2057 {_x000d__x000a_\rtlch\fcs1 \af0 \ltrch\fcs0 \cs17\b0\v\fs20\cf9\loch\af1\hich\af1\dbch\af31501\insrsid4674164\charrsid2520988 \hich\af1\dbch\af31501\loch\f1 &lt;DocAmend&gt;}{\rtlch\fcs1 \af0 \ltrch\fcs0 \insrsid4674164\charrsid2520988 Proposal for a #}{\rtlch\fcs1 \af1 _x000d__x000a_\ltrch\fcs0 \cs18\v\f1\fs20\cf15\insrsid4674164\charrsid2520988 MNU[DOC1][DOC2][DOC3]@DOCMSG@DOCMNU}{\rtlch\fcs1 \af0 \ltrch\fcs0 \insrsid4674164\charrsid2520988 ##}{\rtlch\fcs1 \af1 \ltrch\fcs0 \cs18\v\f1\fs20\cf15\insrsid4674164\charrsid2520988 _x000d__x000a_MNU[AMACTYES][NOTAPP]@CHOICE@AMACTMNU}{\rtlch\fcs1 \af0 \ltrch\fcs0 \insrsid4674164\charrsid2520988 #}{\rtlch\fcs1 \af0 \ltrch\fcs0 \cs17\b0\v\fs20\cf9\loch\af1\hich\af1\dbch\af31501\insrsid4674164\charrsid2520988 \hich\af1\dbch\af31501\loch\f1 _x000d__x000a_&lt;/DocAmend&gt;}{\rtlch\fcs1 \af0 \ltrch\fcs0 \insrsid4674164\charrsid2520988 _x000d__x000a_\par }\pard\plain \ltrpar\s20\ql \li0\ri0\keepn\nowidctlpar\wrapdefault\aspalpha\aspnum\faauto\adjustright\rin0\lin0\itap0\pararsid4674164 \rtlch\fcs1 \af0\afs20\alang1025 \ltrch\fcs0 \b\fs24\lang2057\langfe2057\cgrid\langnp2057\langfenp2057 {\rtlch\fcs1 \af0 _x000d__x000a_\ltrch\fcs0 \cs17\b0\v\fs20\cf9\loch\af1\hich\af1\dbch\af31501\insrsid4674164\charrsid2520988 \hich\af1\dbch\af31501\loch\f1 &lt;Article&gt;}{\rtlch\fcs1 \af0 \ltrch\fcs0 \insrsid4674164\charrsid2520988 #}{\rtlch\fcs1 \af1 \ltrch\fcs0 _x000d__x000a_\cs18\v\f1\fs20\cf15\insrsid4674164\charrsid2520988 MNU[AMACTPARTYES][AMACTPARTNO]@CHOICE@AMACTMNU}{\rtlch\fcs1 \af0 \ltrch\fcs0 \insrsid4674164\charrsid2520988 #}{\rtlch\fcs1 \af0 \ltrch\fcs0 _x000d__x000a_\cs17\b0\v\fs20\cf9\loch\af1\hich\af1\dbch\af31501\insrsid4674164\charrsid2520988 \hich\af1\dbch\af31501\loch\f1 &lt;/Article&gt;}{\rtlch\fcs1 \af0 \ltrch\fcs0 \insrsid4674164\charrsid2520988 _x000d__x000a_\par }\pard\plain \ltrpar\ql \li0\ri0\keepn\widctlpar\wrapdefault\aspalpha\aspnum\faauto\adjustright\rin0\lin0\itap0\pararsid4674164 \rtlch\fcs1 \af0\afs20\alang1025 \ltrch\fcs0 \fs24\lang2057\langfe2057\cgrid\langnp2057\langfenp2057 {\rtlch\fcs1 \af0 _x000d__x000a_\ltrch\fcs0 \cs17\v\fs20\cf9\loch\af1\hich\af1\dbch\af31501\insrsid4674164\charrsid2520988 \hich\af1\dbch\af31501\loch\f1 &lt;DocAmend2&gt;&lt;OptDel&gt;}{\rtlch\fcs1 \af0 \ltrch\fcs0 \insrsid4674164\charrsid2520988 #}{\rtlch\fcs1 \af1 \ltrch\fcs0 _x000d__x000a_\cs18\v\f1\fs20\cf15\insrsid4674164\charrsid2520988 MNU[OPTNRACTYES][NOTAPP]@CHOICE@AMACTMNU}{\rtlch\fcs1 \af0 \ltrch\fcs0 \insrsid4674164\charrsid2520988 #}{\rtlch\fcs1 \af0 \ltrch\fcs0 _x000d__x000a_\cs17\v\fs20\cf9\loch\af1\hich\af1\dbch\af31501\insrsid4674164\charrsid2520988 \hich\af1\dbch\af31501\loch\f1 &lt;/OptDel&gt;&lt;/DocAmend2&gt;}{\rtlch\fcs1 \af0 \ltrch\fcs0 \insrsid4674164\charrsid2520988 _x000d__x000a_\par }\pard \ltrpar\ql \li0\ri0\widctlpar\wrapdefault\aspalpha\aspnum\faauto\adjustright\rin0\lin0\itap0\pararsid4674164 {\rtlch\fcs1 \af0 \ltrch\fcs0 \cs17\v\fs20\cf9\loch\af1\hich\af1\dbch\af31501\insrsid4674164\charrsid2520988 _x000d__x000a_\hich\af1\dbch\af31501\loch\f1 &lt;Article2&gt;&lt;OptDel&gt;}{\rtlch\fcs1 \af0 \ltrch\fcs0 \insrsid4674164\charrsid2520988 #}{\rtlch\fcs1 \af1 \ltrch\fcs0 \cs18\v\f1\fs20\cf15\insrsid4674164\charrsid2520988 MNU[OPTACTPARTYES][NOTAPP]@CHOICE@AMACTMNU}{\rtlch\fcs1 _x000d__x000a_\af0 \ltrch\fcs0 \insrsid4674164\charrsid2520988 #}{\rtlch\fcs1 \af0 \ltrch\fcs0 \cs17\v\fs20\cf9\loch\af1\hich\af1\dbch\af31501\insrsid4674164\charrsid2520988 \hich\af1\dbch\af31501\loch\f1 &lt;/OptDel&gt;&lt;/Article2&gt;}{\rtlch\fcs1 \af0 \ltrch\fcs0 _x000d__x000a_\insrsid4674164\charrsid2520988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insrsid4674164\charrsid2520988 \cell }\pard \ltrpar\ql \li0\ri0\widctlpar\intbl\wrapdefault\aspalpha\aspnum\faauto\adjustright\rin0\lin0 {\rtlch\fcs1 \af0 \ltrch\fcs0 \insrsid4674164\charrsid2520988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4674164\charrsid2520988 #}{\rtlch\fcs1 \af1 \ltrch\fcs0 \cs18\v\f1\fs20\cf15\insrsid4674164\charrsid2520988 MNU[OPTLEFTAMACT][LEFTPROP]@CHOICE@AMACTMNU}{\rtlch\fcs1 \af0 \ltrch\fcs0 \insrsid4674164\charrsid2520988 #\cell Amendment\cell _x000d__x000a_}\pard\plain \ltrpar\ql \li0\ri0\widctlpar\intbl\wrapdefault\aspalpha\aspnum\faauto\adjustright\rin0\lin0 \rtlch\fcs1 \af0\afs20\alang1025 \ltrch\fcs0 \fs24\lang2057\langfe2057\cgrid\langnp2057\langfenp2057 {\rtlch\fcs1 \af0 \ltrch\fcs0 _x000d__x000a_\insrsid4674164\charrsid2520988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4674164\charrsid2520988 ##\cell ##}{\rtlch\fcs1 \af0\afs24 \ltrch\fcs0 \insrsid4674164\charrsid2520988 \cell }\pard\plain \ltrpar\ql \li0\ri0\widctlpar\intbl\wrapdefault\aspalpha\aspnum\faauto\adjustright\rin0\lin0 _x000d__x000a_\rtlch\fcs1 \af0\afs20\alang1025 \ltrch\fcs0 \fs24\lang2057\langfe2057\cgrid\langnp2057\langfenp2057 {\rtlch\fcs1 \af0 \ltrch\fcs0 \insrsid4674164\charrsid2520988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4674164 \rtlch\fcs1 \af0\afs20\alang1025 \ltrch\fcs0 \i\fs24\lang2057\langfe2057\cgrid\langnp2057\langfenp2057 {\rtlch\fcs1 \af0 \ltrch\fcs0 _x000d__x000a_\cs17\i0\v\fs20\cf9\loch\af1\hich\af1\dbch\af31501\insrsid4674164\charrsid2520988 \hich\af1\dbch\af31501\loch\f1 &lt;OptDel&gt;}{\rtlch\fcs1 \af0 \ltrch\fcs0 \insrsid4674164\charrsid2520988 #}{\rtlch\fcs1 \af1 \ltrch\fcs0 _x000d__x000a_\cs18\v\f1\fs20\cf15\insrsid4674164\charrsid2520988 MNU[CROSSREFNO][CROSSREFYES]@CHOICE@}{\rtlch\fcs1 \af0 \ltrch\fcs0 \insrsid4674164\charrsid2520988 #}{\rtlch\fcs1 \af0 \ltrch\fcs0 _x000d__x000a_\cs17\i0\v\fs20\cf9\loch\af1\hich\af1\dbch\af31501\insrsid4674164\charrsid2520988 \hich\af1\dbch\af31501\loch\f1 &lt;/OptDel&gt;}{\rtlch\fcs1 \af0 \ltrch\fcs0 \insrsid4674164\charrsid2520988 _x000d__x000a_\par }\pard\plain \ltrpar\s23\qc \li0\ri0\sb240\sa240\keepn\nowidctlpar\wrapdefault\aspalpha\aspnum\faauto\adjustright\rin0\lin0\itap0\pararsid4674164 \rtlch\fcs1 \af0\afs20\alang1025 \ltrch\fcs0 \i\fs24\lang2057\langfe2057\cgrid\langnp2057\langfenp2057 {_x000d__x000a_\rtlch\fcs1 \af0 \ltrch\fcs0 \cs17\i0\v\fs20\cf9\loch\af1\hich\af1\dbch\af31501\insrsid4674164\charrsid2520988 \hich\af1\dbch\af31501\loch\f1 &lt;TitreJust&gt;}{\rtlch\fcs1 \af0 \ltrch\fcs0 \insrsid4674164\charrsid2520988 Justification}{\rtlch\fcs1 \af0 _x000d__x000a_\ltrch\fcs0 \cs17\i0\v\fs20\cf9\loch\af1\hich\af1\dbch\af31501\insrsid4674164\charrsid2520988 \hich\af1\dbch\af31501\loch\f1 &lt;/TitreJust&gt;}{\rtlch\fcs1 \af0 \ltrch\fcs0 \insrsid4674164\charrsid2520988 _x000d__x000a_\par }\pard\plain \ltrpar\s21\ql \li0\ri0\sa240\nowidctlpar\wrapdefault\aspalpha\aspnum\faauto\adjustright\rin0\lin0\itap0\pararsid4674164 \rtlch\fcs1 \af0\afs20\alang1025 \ltrch\fcs0 \i\fs24\lang2057\langfe2057\cgrid\langnp2057\langfenp2057 {\rtlch\fcs1 \af0 _x000d__x000a_\ltrch\fcs0 \cs17\i0\v\fs20\cf9\loch\af1\hich\af1\dbch\af31501\insrsid4674164\charrsid2520988 \hich\af1\dbch\af31501\loch\f1 &lt;OptDelPrev&gt;}{\rtlch\fcs1 \af0 \ltrch\fcs0 \insrsid4674164\charrsid2520988 #}{\rtlch\fcs1 \af1 \ltrch\fcs0 _x000d__x000a_\cs18\v\f1\fs20\cf15\insrsid4674164\charrsid2520988 MNU[TEXTJUSTYES][TEXTJUSTNO]@CHOICE@}{\rtlch\fcs1 \af0 \ltrch\fcs0 \insrsid4674164\charrsid2520988 #}{\rtlch\fcs1 \af0 \ltrch\fcs0 _x000d__x000a_\cs17\i0\v\fs20\cf9\loch\af1\hich\af1\dbch\af31501\insrsid4674164\charrsid2520988 \hich\af1\dbch\af31501\loch\f1 &lt;/OptDelPrev&gt;}{\rtlch\fcs1 \af0 \ltrch\fcs0 \insrsid4674164\charrsid2520988 _x000d__x000a_\par }\pard\plain \ltrpar\ql \li0\ri0\widctlpar\wrapdefault\aspalpha\aspnum\faauto\adjustright\rin0\lin0\itap0\pararsid4674164 \rtlch\fcs1 \af0\afs20\alang1025 \ltrch\fcs0 \fs24\lang2057\langfe2057\cgrid\langnp2057\langfenp2057 {\rtlch\fcs1 \af0 \ltrch\fcs0 _x000d__x000a_\cs17\v\fs20\cf9\loch\af1\hich\af1\dbch\af31501\insrsid4674164\charrsid2520988 \hich\af1\dbch\af31501\loch\f1 &lt;/Amend&gt;}{\rtlch\fcs1 \af0 \ltrch\fcs0 \insrsid467416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9_x000d__x000a_f61f2a1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965048 HideTWBExt;}{_x000d__x000a_\s18\ql \li0\ri0\sa120\nowidctlpar\wrapdefault\aspalpha\aspnum\faauto\adjustright\rin0\lin0\itap0 \rtlch\fcs1 \af0\afs20\alang1025 \ltrch\fcs0 \fs24\lang2057\langfe2057\cgrid\langnp2057\langfenp2057 \sbasedon0 \snext18 \spriority0 \styrsid14965048 _x000d__x000a_Normal6a;}{\s19\ql \li0\ri0\nowidctlpar\wrapdefault\aspalpha\aspnum\faauto\adjustright\rin0\lin0\itap0 \rtlch\fcs1 \af0\afs20\alang1025 \ltrch\fcs0 \b\fs24\lang2057\langfe2057\cgrid\langnp2057\langfenp2057 \sbasedon0 \snext19 \spriority0 \styrsid14965048 _x000d__x000a_NormalBold;}{\s20\ql \li0\ri0\sa240\nowidctlpar\wrapdefault\aspalpha\aspnum\faauto\adjustright\rin0\lin0\itap0 \rtlch\fcs1 \af0\afs20\alang1025 \ltrch\fcs0 \i\fs24\lang2057\langfe2057\cgrid\langnp2057\langfenp2057 _x000d__x000a_\sbasedon0 \snext20 \spriority0 \styrsid14965048 AmJustText;}{\s21\qc \li0\ri0\sb240\sa240\nowidctlpar\wrapdefault\aspalpha\aspnum\faauto\adjustright\rin0\lin0\itap0 \rtlch\fcs1 \af0\afs20\alang1025 \ltrch\fcs0 _x000d__x000a_\i\fs24\lang2057\langfe2057\cgrid\langnp2057\langfenp2057 \sbasedon0 \snext21 \spriority0 \styrsid14965048 AmCrossRef;}{\s22\qc \li0\ri0\sb240\sa240\keepn\nowidctlpar\wrapdefault\aspalpha\aspnum\faauto\adjustright\rin0\lin0\itap0 \rtlch\fcs1 _x000d__x000a_\af0\afs20\alang1025 \ltrch\fcs0 \i\fs24\lang2057\langfe2057\cgrid\langnp2057\langfenp2057 \sbasedon0 \snext20 \spriority0 \styrsid14965048 AmJustTitle;}{\s23\qc \li0\ri0\sa240\nowidctlpar\wrapdefault\aspalpha\aspnum\faauto\adjustright\rin0\lin0\itap0 _x000d__x000a_\rtlch\fcs1 \af0\afs20\alang1025 \ltrch\fcs0 \i\fs24\lang2057\langfe2057\cgrid\langnp2057\langfenp2057 \sbasedon0 \snext23 \spriority0 \styrsid14965048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4965048 AmNumberTabs;}{\s25\ql \li0\ri0\sb240\nowidctlpar\wrapdefault\aspalpha\aspnum\faauto\adjustright\rin0\lin0\itap0 \rtlch\fcs1 _x000d__x000a_\af0\afs20\alang1025 \ltrch\fcs0 \b\fs24\lang2057\langfe2057\cgrid\langnp2057\langfenp2057 \sbasedon0 \snext25 \spriority0 \styrsid14965048 NormalBold12b;}}{\*\rsidtbl \rsid24658\rsid223860\rsid735077\rsid1182982\rsid1718133\rsid2892074\rsid3565327_x000d__x000a_\rsid4666813\rsid6641733\rsid7823322\rsid9636012\rsid10377208\rsid11215221\rsid11549030\rsid12154954\rsid14382809\rsid14424199\rsid14965048\rsid15204470\rsid15285974\rsid15950462\rsid16324206\rsid16662270}{\mmathPr\mmathFont34\mbrkBin0\mbrkBinSub0_x000d__x000a_\msmallFrac0\mdispDef1\mlMargin0\mrMargin0\mdefJc1\mwrapIndent1440\mintLim0\mnaryLim1}{\info{\author BARSTYTE Lina}{\operator BARSTYTE Lina}{\creatim\yr2020\mo4\dy24\hr13\min18}{\revtim\yr2020\mo4\dy24\hr13\min18}{\version1}{\edmins0}{\nofpages1}_x000d__x000a_{\nofwords58}{\nofchars309}{\nofcharsws363}{\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965048\newtblstyruls\nogrowautofit\usenormstyforlist\noindnmbrts\felnbrelev\nocxsptable\indrlsweleven\noafcnsttbl\afelev\utinl\hwelev\spltpgpar\notcvasp\notbrkcnstfrctbl\notvatxbx\krnprsnet\cachedcolbal _x000d__x000a_\nouicompat \fet0{\*\wgrffmtfilter 013f}\nofeaturethrottle1\ilfomacatclnup0{\*\template C:\\Users\\LBARST~1\\AppData\\Local\\Temp\\Blank1.dotx}{\*\ftnsep \ltrpar \pard\plain \ltrpar_x000d__x000a_\ql \li0\ri0\widctlpar\wrapdefault\aspalpha\aspnum\faauto\adjustright\rin0\lin0\itap0 \rtlch\fcs1 \af0\afs20\alang1025 \ltrch\fcs0 \fs24\lang2057\langfe2057\cgrid\langnp2057\langfenp2057 {\rtlch\fcs1 \af0 \ltrch\fcs0 \insrsid1182982 \chftnsep _x000d__x000a_\par }}{\*\ftnsepc \ltrpar \pard\plain \ltrpar\ql \li0\ri0\widctlpar\wrapdefault\aspalpha\aspnum\faauto\adjustright\rin0\lin0\itap0 \rtlch\fcs1 \af0\afs20\alang1025 \ltrch\fcs0 \fs24\lang2057\langfe2057\cgrid\langnp2057\langfenp2057 {\rtlch\fcs1 \af0 _x000d__x000a_\ltrch\fcs0 \insrsid1182982 \chftnsepc _x000d__x000a_\par }}{\*\aftnsep \ltrpar \pard\plain \ltrpar\ql \li0\ri0\widctlpar\wrapdefault\aspalpha\aspnum\faauto\adjustright\rin0\lin0\itap0 \rtlch\fcs1 \af0\afs20\alang1025 \ltrch\fcs0 \fs24\lang2057\langfe2057\cgrid\langnp2057\langfenp2057 {\rtlch\fcs1 \af0 _x000d__x000a_\ltrch\fcs0 \insrsid1182982 \chftnsep _x000d__x000a_\par }}{\*\aftnsepc \ltrpar \pard\plain \ltrpar\ql \li0\ri0\widctlpar\wrapdefault\aspalpha\aspnum\faauto\adjustright\rin0\lin0\itap0 \rtlch\fcs1 \af0\afs20\alang1025 \ltrch\fcs0 \fs24\lang2057\langfe2057\cgrid\langnp2057\langfenp2057 {\rtlch\fcs1 \af0 _x000d__x000a_\ltrch\fcs0 \insrsid118298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965048 \rtlch\fcs1 _x000d__x000a_\af0\afs20\alang1025 \ltrch\fcs0 \b\fs24\lang2057\langfe2057\cgrid\langnp2057\langfenp2057 {\rtlch\fcs1 \af0 \ltrch\fcs0 \cs17\b0\v\fs20\cf9\lang1024\langfe1024\loch\af1\hich\af1\dbch\af31501\noproof\langnp1030\insrsid14965048\charrsid5141309 _x000d__x000a_{\*\bkmkstart restart}\hich\af1\dbch\af31501\loch\f1 &lt;Amend&gt;}{\rtlch\fcs1 \af0 \ltrch\fcs0 \lang1030\langfe2057\langnp1030\insrsid14965048\charrsid5141309 [ZAMENDMENT]\tab \tab }{\rtlch\fcs1 \af0 \ltrch\fcs0 _x000d__x000a_\cs17\b0\v\fs20\cf9\lang1024\langfe1024\loch\af1\hich\af1\dbch\af31501\noproof\langnp1030\insrsid14965048\charrsid5141309 \hich\af1\dbch\af31501\loch\f1 &lt;NumAm&gt;}{\rtlch\fcs1 \af0 \ltrch\fcs0 \lang1030\langfe2057\langnp1030\insrsid14965048\charrsid5141309 _x000d__x000a_[ZNRAM]}{\rtlch\fcs1 \af0 \ltrch\fcs0 \cs17\b0\v\fs20\cf9\lang1024\langfe1024\loch\af1\hich\af1\dbch\af31501\noproof\langnp1030\insrsid14965048\charrsid5141309 \hich\af1\dbch\af31501\loch\f1 &lt;/NumAm&gt;}{\rtlch\fcs1 \af0 \ltrch\fcs0 _x000d__x000a_\lang1030\langfe2057\langnp1030\insrsid14965048\charrsid5141309 _x000d__x000a_\par }\pard\plain \ltrpar\s25\ql \li0\ri0\sb240\keepn\nowidctlpar\wrapdefault\aspalpha\aspnum\faauto\adjustright\rin0\lin0\itap0\pararsid14965048 \rtlch\fcs1 \af0\afs20\alang1025 \ltrch\fcs0 \b\fs24\lang2057\langfe2057\cgrid\langnp2057\langfenp2057 {_x000d__x000a_\rtlch\fcs1 \af0 \ltrch\fcs0 \cs17\b0\v\fs20\cf9\lang1024\langfe1024\loch\af1\hich\af1\dbch\af31501\noproof\langnp1030\insrsid14965048\charrsid5141309 \hich\af1\dbch\af31501\loch\f1 &lt;DocAmend&gt;}{\rtlch\fcs1 \af0 \ltrch\fcs0 _x000d__x000a_\lang1030\langfe2057\langnp1030\insrsid14965048\charrsid5141309 [ZPROPOSAL][ZAMACT]}{\rtlch\fcs1 \af0 \ltrch\fcs0 \cs17\b0\v\fs20\cf9\lang1024\langfe1024\loch\af1\hich\af1\dbch\af31501\noproof\langnp1030\insrsid14965048\charrsid5141309 _x000d__x000a_\hich\af1\dbch\af31501\loch\f1 &lt;/DocAmend&gt;}{\rtlch\fcs1 \af0 \ltrch\fcs0 \lang1030\langfe2057\langnp1030\insrsid14965048\charrsid5141309 _x000d__x000a_\par }\pard\plain \ltrpar\s19\ql \li0\ri0\keepn\nowidctlpar\wrapdefault\aspalpha\aspnum\faauto\adjustright\rin0\lin0\itap0\pararsid14965048 \rtlch\fcs1 \af0\afs20\alang1025 \ltrch\fcs0 \b\fs24\lang2057\langfe2057\cgrid\langnp2057\langfenp2057 {\rtlch\fcs1 _x000d__x000a_\af0 \ltrch\fcs0 \cs17\b0\v\fs20\cf9\lang1024\langfe1024\loch\af1\hich\af1\dbch\af31501\noproof\langnp1030\insrsid14965048\charrsid5141309 \hich\af1\dbch\af31501\loch\f1 &lt;Article&gt;}{\rtlch\fcs1 \af0 \ltrch\fcs0 _x000d__x000a_\lang1030\langfe2057\langnp1030\insrsid14965048\charrsid5141309 [ZAMPART]}{\rtlch\fcs1 \af0 \ltrch\fcs0 \cs17\b0\v\fs20\cf9\lang1024\langfe1024\loch\af1\hich\af1\dbch\af31501\noproof\langnp1030\insrsid14965048\charrsid5141309 _x000d__x000a_\hich\af1\dbch\af31501\loch\f1 &lt;/Article&gt;}{\rtlch\fcs1 \af0 \ltrch\fcs0 \lang1030\langfe2057\langnp1030\insrsid14965048\charrsid5141309 _x000d__x000a_\par }\pard\plain \ltrpar\ql \li0\ri0\keepn\widctlpar\wrapdefault\aspalpha\aspnum\faauto\adjustright\rin0\lin0\itap0\pararsid14965048 \rtlch\fcs1 \af0\afs20\alang1025 \ltrch\fcs0 \fs24\lang2057\langfe2057\cgrid\langnp2057\langfenp2057 {\rtlch\fcs1 \af0 _x000d__x000a_\ltrch\fcs0 \cs17\v\fs20\cf9\lang1024\langfe1024\loch\af1\hich\af1\dbch\af31501\noproof\langnp1043\insrsid14965048\charrsid5141309 \hich\af1\dbch\af31501\loch\f1 &lt;DocAmend2&gt;&lt;OptDel&gt;}{\rtlch\fcs1 \af0 \ltrch\fcs0 _x000d__x000a_\lang1043\langfe2057\langnp1043\insrsid14965048\charrsid5141309 [ZNRACT]}{\rtlch\fcs1 \af0 \ltrch\fcs0 \cs17\v\fs20\cf9\lang1024\langfe1024\loch\af1\hich\af1\dbch\af31501\noproof\langnp1043\insrsid14965048\charrsid5141309 \hich\af1\dbch\af31501\loch\f1 _x000d__x000a_&lt;/OptDel&gt;&lt;/DocAmend2&gt;}{\rtlch\fcs1 \af0 \ltrch\fcs0 \lang1043\langfe2057\langnp1043\insrsid14965048\charrsid5141309 _x000d__x000a_\par }\pard \ltrpar\ql \li0\ri0\widctlpar\wrapdefault\aspalpha\aspnum\faauto\adjustright\rin0\lin0\itap0\pararsid14965048 {\rtlch\fcs1 \af0 \ltrch\fcs0 _x000d__x000a_\cs17\v\fs20\cf9\lang1024\langfe1024\loch\af1\hich\af1\dbch\af31501\noproof\langnp1036\insrsid14965048\charrsid5141309 \hich\af1\dbch\af31501\loch\f1 &lt;Article2&gt;&lt;OptDel&gt;}{\rtlch\fcs1 \af0 \ltrch\fcs0 _x000d__x000a_\lang1036\langfe2057\langnp1036\insrsid14965048\charrsid5141309 [ZACTPART]}{\rtlch\fcs1 \af0 \ltrch\fcs0 \cs17\v\fs20\cf9\lang1024\langfe1024\loch\af1\hich\af1\dbch\af31501\noproof\langnp1036\insrsid14965048\charrsid5141309 \hich\af1\dbch\af31501\loch\f1 _x000d__x000a_&lt;/OptDel&gt;&lt;/Article2&gt;}{\rtlch\fcs1 \af0 \ltrch\fcs0 \lang1036\langfe2057\langnp1036\insrsid14965048\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14965048\charrsid5141309 \cell }\pard \ltrpar\ql \li0\ri0\widctlpar\intbl\wrapdefault\aspalpha\aspnum\faauto\adjustright\rin0\lin0 {\rtlch\fcs1 \af0 \ltrch\fcs0 \insrsid14965048\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4965048\charrsid4593153 [ZLEFT]\cell [ZRIGHT]\cell }\pard\plain \ltrpar\ql \li0\ri0\widctlpar\intbl\wrapdefault\aspalpha\aspnum\faauto\adjustright\rin0\lin0 \rtlch\fcs1 \af0\afs20\alang1025 \ltrch\fcs0 _x000d__x000a_\fs24\lang2057\langfe2057\cgrid\langnp2057\langfenp2057 {\rtlch\fcs1 \af0 \ltrch\fcs0 \insrsid14965048\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14965048\charrsid4593153 [ZTEXTL]\cell [ZTEXTR]}{\rtlch\fcs1 \af0\afs24 \ltrch\fcs0 \insrsid14965048\charrsid4593153 \cell }\pard\plain \ltrpar\ql \li0\ri0\widctlpar\intbl\wrapdefault\aspalpha\aspnum\faauto\adjustright\rin0\lin0 \rtlch\fcs1 _x000d__x000a_\af0\afs20\alang1025 \ltrch\fcs0 \fs24\lang2057\langfe2057\cgrid\langnp2057\langfenp2057 {\rtlch\fcs1 \af0 \ltrch\fcs0 \insrsid14965048\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4965048 \rtlch\fcs1 \af0\afs20\alang1025 \ltrch\fcs0 \i\fs24\lang2057\langfe2057\cgrid\langnp2057\langfenp2057 {\rtlch\fcs1 \af0 \ltrch\fcs0 _x000d__x000a_\cs17\i0\v\fs20\cf9\lang1024\langfe1024\loch\af1\hich\af1\dbch\af31501\noproof\insrsid14965048\charrsid4593153 \hich\af1\dbch\af31501\loch\f1 &lt;OptDel&gt;}{\rtlch\fcs1 \af0 \ltrch\fcs0 \insrsid14965048\charrsid4593153 [ZCROSSREF]}{\rtlch\fcs1 \af0 _x000d__x000a_\ltrch\fcs0 \cs17\i0\v\fs20\cf9\lang1024\langfe1024\loch\af1\hich\af1\dbch\af31501\noproof\insrsid14965048\charrsid4593153 \hich\af1\dbch\af31501\loch\f1 &lt;/OptDel&gt;}{\rtlch\fcs1 \af0 \ltrch\fcs0 \insrsid14965048\charrsid4593153 _x000d__x000a_\par }\pard\plain \ltrpar\s22\qc \li0\ri0\sb240\sa240\keepn\nowidctlpar\wrapdefault\aspalpha\aspnum\faauto\adjustright\rin0\lin0\itap0\pararsid14965048 \rtlch\fcs1 \af0\afs20\alang1025 \ltrch\fcs0 \i\fs24\lang2057\langfe2057\cgrid\langnp2057\langfenp2057 {_x000d__x000a_\rtlch\fcs1 \af0 \ltrch\fcs0 \cs17\i0\v\fs20\cf9\lang1024\langfe1024\loch\af1\hich\af1\dbch\af31501\noproof\insrsid14965048\charrsid4593153 \hich\af1\dbch\af31501\loch\f1 &lt;TitreJust&gt;}{\rtlch\fcs1 \af0 \ltrch\fcs0 \insrsid14965048\charrsid4593153 _x000d__x000a_[ZJUSTIFICATION]}{\rtlch\fcs1 \af0 \ltrch\fcs0 \cs17\i0\v\fs20\cf9\lang1024\langfe1024\loch\af1\hich\af1\dbch\af31501\noproof\insrsid14965048\charrsid4593153 \hich\af1\dbch\af31501\loch\f1 &lt;/TitreJust&gt;}{\rtlch\fcs1 \af0 \ltrch\fcs0 _x000d__x000a_\insrsid14965048\charrsid4593153 _x000d__x000a_\par }\pard\plain \ltrpar\s20\ql \li0\ri0\sa240\nowidctlpar\wrapdefault\aspalpha\aspnum\faauto\adjustright\rin0\lin0\itap0\pararsid14965048 \rtlch\fcs1 \af0\afs20\alang1025 \ltrch\fcs0 \i\fs24\lang2057\langfe2057\cgrid\langnp2057\langfenp2057 {\rtlch\fcs1 _x000d__x000a_\af0 \ltrch\fcs0 \cs17\i0\v\fs20\cf9\lang1024\langfe1024\loch\af1\hich\af1\dbch\af31501\noproof\insrsid14965048\charrsid4593153 \hich\af1\dbch\af31501\loch\f1 &lt;OptDelPrev&gt;}{\rtlch\fcs1 \af0 \ltrch\fcs0 \insrsid14965048\charrsid4593153 [ZTEXTJUST]}{_x000d__x000a_\rtlch\fcs1 \af0 \ltrch\fcs0 \cs17\i0\v\fs20\cf9\lang1024\langfe1024\loch\af1\hich\af1\dbch\af31501\noproof\insrsid14965048\charrsid4593153 \hich\af1\dbch\af31501\loch\f1 &lt;/OptDelPrev&gt;}{\rtlch\fcs1 \af0 \ltrch\fcs0 \insrsid14965048\charrsid4593153 _x000d__x000a_\par }\pard\plain \ltrpar\ql \li0\ri0\widctlpar\wrapdefault\aspalpha\aspnum\faauto\adjustright\rin0\lin0\itap0\pararsid14965048 \rtlch\fcs1 \af0\afs20\alang1025 \ltrch\fcs0 \fs24\lang2057\langfe2057\cgrid\langnp2057\langfenp2057 {\rtlch\fcs1 \af0 \ltrch\fcs0 _x000d__x000a_\cs17\v\fs20\cf9\lang1024\langfe1024\loch\af1\hich\af1\dbch\af31501\noproof\insrsid14965048\charrsid4593153 \hich\af1\dbch\af31501\loch\f1 &lt;/Amend&gt;}{\rtlch\fcs1 \af0 \ltrch\fcs0 \insrsid1496504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3_x000d__x000a_2d212a1a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644"/>
    <w:docVar w:name="TXTLANGUE" w:val="PL"/>
    <w:docVar w:name="TXTLANGUEMIN" w:val="pl"/>
    <w:docVar w:name="TXTNRPE" w:val="644.735"/>
    <w:docVar w:name="TXTPEorAP" w:val="PE"/>
    <w:docVar w:name="TXTROUTE" w:val="RR\1204012PL.docx"/>
    <w:docVar w:name="TXTVERSION" w:val="02-00"/>
  </w:docVars>
  <w:rsids>
    <w:rsidRoot w:val="0026779C"/>
    <w:rsid w:val="00011AAB"/>
    <w:rsid w:val="00012351"/>
    <w:rsid w:val="000139E5"/>
    <w:rsid w:val="000571DE"/>
    <w:rsid w:val="00064349"/>
    <w:rsid w:val="00071E6E"/>
    <w:rsid w:val="00084DD2"/>
    <w:rsid w:val="00084E89"/>
    <w:rsid w:val="000B1AFE"/>
    <w:rsid w:val="000B7489"/>
    <w:rsid w:val="000F1096"/>
    <w:rsid w:val="00120948"/>
    <w:rsid w:val="00123DD5"/>
    <w:rsid w:val="001277AE"/>
    <w:rsid w:val="00142215"/>
    <w:rsid w:val="00145451"/>
    <w:rsid w:val="00157A3F"/>
    <w:rsid w:val="001767E2"/>
    <w:rsid w:val="00187008"/>
    <w:rsid w:val="001956B0"/>
    <w:rsid w:val="001B3829"/>
    <w:rsid w:val="001C25D6"/>
    <w:rsid w:val="001C5592"/>
    <w:rsid w:val="001C5B44"/>
    <w:rsid w:val="001C6FFC"/>
    <w:rsid w:val="001F7C7C"/>
    <w:rsid w:val="00212B84"/>
    <w:rsid w:val="0023232A"/>
    <w:rsid w:val="002346B0"/>
    <w:rsid w:val="00241E76"/>
    <w:rsid w:val="002667C3"/>
    <w:rsid w:val="002669B6"/>
    <w:rsid w:val="0026779C"/>
    <w:rsid w:val="00290BED"/>
    <w:rsid w:val="002A7804"/>
    <w:rsid w:val="002B29A9"/>
    <w:rsid w:val="002C0CDA"/>
    <w:rsid w:val="002D13EE"/>
    <w:rsid w:val="002E33EE"/>
    <w:rsid w:val="002F0579"/>
    <w:rsid w:val="002F40BB"/>
    <w:rsid w:val="002F4B02"/>
    <w:rsid w:val="00314BED"/>
    <w:rsid w:val="00323EF8"/>
    <w:rsid w:val="003316DD"/>
    <w:rsid w:val="00337D86"/>
    <w:rsid w:val="00366A46"/>
    <w:rsid w:val="00370AC3"/>
    <w:rsid w:val="003824EE"/>
    <w:rsid w:val="003B4689"/>
    <w:rsid w:val="003C2068"/>
    <w:rsid w:val="003C37CF"/>
    <w:rsid w:val="004033D8"/>
    <w:rsid w:val="004100B1"/>
    <w:rsid w:val="004141F0"/>
    <w:rsid w:val="00417307"/>
    <w:rsid w:val="00421C7C"/>
    <w:rsid w:val="00426BB1"/>
    <w:rsid w:val="00426E47"/>
    <w:rsid w:val="00437E22"/>
    <w:rsid w:val="0045555E"/>
    <w:rsid w:val="00455743"/>
    <w:rsid w:val="00461601"/>
    <w:rsid w:val="00473AF7"/>
    <w:rsid w:val="00497A2D"/>
    <w:rsid w:val="004C0915"/>
    <w:rsid w:val="004D424E"/>
    <w:rsid w:val="004E42C8"/>
    <w:rsid w:val="004E733D"/>
    <w:rsid w:val="004F3FA5"/>
    <w:rsid w:val="00502FF9"/>
    <w:rsid w:val="0051271F"/>
    <w:rsid w:val="00521F46"/>
    <w:rsid w:val="00551111"/>
    <w:rsid w:val="00551123"/>
    <w:rsid w:val="00563005"/>
    <w:rsid w:val="00570A6A"/>
    <w:rsid w:val="00586E50"/>
    <w:rsid w:val="0059583D"/>
    <w:rsid w:val="005A42D9"/>
    <w:rsid w:val="005A6874"/>
    <w:rsid w:val="005C2BEF"/>
    <w:rsid w:val="005D1A99"/>
    <w:rsid w:val="005D7609"/>
    <w:rsid w:val="005D7EE8"/>
    <w:rsid w:val="00642325"/>
    <w:rsid w:val="00666690"/>
    <w:rsid w:val="00682987"/>
    <w:rsid w:val="006A2F5D"/>
    <w:rsid w:val="006A3B07"/>
    <w:rsid w:val="006B378D"/>
    <w:rsid w:val="006B5F59"/>
    <w:rsid w:val="006D71DB"/>
    <w:rsid w:val="006E4EDD"/>
    <w:rsid w:val="006F7907"/>
    <w:rsid w:val="0070468B"/>
    <w:rsid w:val="007233CB"/>
    <w:rsid w:val="00743189"/>
    <w:rsid w:val="00743D33"/>
    <w:rsid w:val="00761A39"/>
    <w:rsid w:val="00770254"/>
    <w:rsid w:val="007932B3"/>
    <w:rsid w:val="00793EA9"/>
    <w:rsid w:val="007A1F91"/>
    <w:rsid w:val="007A7359"/>
    <w:rsid w:val="007D6F68"/>
    <w:rsid w:val="008033B9"/>
    <w:rsid w:val="00807E0B"/>
    <w:rsid w:val="00823E6B"/>
    <w:rsid w:val="00826780"/>
    <w:rsid w:val="00826881"/>
    <w:rsid w:val="00837CCD"/>
    <w:rsid w:val="008633CC"/>
    <w:rsid w:val="00865190"/>
    <w:rsid w:val="008719B9"/>
    <w:rsid w:val="00894ECE"/>
    <w:rsid w:val="00896BB4"/>
    <w:rsid w:val="008A7FB8"/>
    <w:rsid w:val="008B64A6"/>
    <w:rsid w:val="008C59F9"/>
    <w:rsid w:val="009022B8"/>
    <w:rsid w:val="00914537"/>
    <w:rsid w:val="00917CC4"/>
    <w:rsid w:val="00927EE0"/>
    <w:rsid w:val="00947A82"/>
    <w:rsid w:val="0097011D"/>
    <w:rsid w:val="00971226"/>
    <w:rsid w:val="009763DA"/>
    <w:rsid w:val="009975B3"/>
    <w:rsid w:val="009A17AA"/>
    <w:rsid w:val="009A216D"/>
    <w:rsid w:val="009B157E"/>
    <w:rsid w:val="009B4B93"/>
    <w:rsid w:val="009F1EF5"/>
    <w:rsid w:val="009F24BE"/>
    <w:rsid w:val="009F6C2F"/>
    <w:rsid w:val="009F767A"/>
    <w:rsid w:val="00A035B4"/>
    <w:rsid w:val="00A15EE3"/>
    <w:rsid w:val="00A2041A"/>
    <w:rsid w:val="00A22533"/>
    <w:rsid w:val="00A2352D"/>
    <w:rsid w:val="00A2398A"/>
    <w:rsid w:val="00A26F46"/>
    <w:rsid w:val="00A34FD3"/>
    <w:rsid w:val="00A36929"/>
    <w:rsid w:val="00A402A8"/>
    <w:rsid w:val="00A50548"/>
    <w:rsid w:val="00A60EE7"/>
    <w:rsid w:val="00A910C9"/>
    <w:rsid w:val="00AA35B0"/>
    <w:rsid w:val="00AD18C8"/>
    <w:rsid w:val="00AD45BE"/>
    <w:rsid w:val="00AD7FA6"/>
    <w:rsid w:val="00AE4643"/>
    <w:rsid w:val="00AF0416"/>
    <w:rsid w:val="00B06C01"/>
    <w:rsid w:val="00B10CB4"/>
    <w:rsid w:val="00B23B72"/>
    <w:rsid w:val="00B42702"/>
    <w:rsid w:val="00B52969"/>
    <w:rsid w:val="00B57B8B"/>
    <w:rsid w:val="00B85407"/>
    <w:rsid w:val="00B95702"/>
    <w:rsid w:val="00BC6489"/>
    <w:rsid w:val="00BD480C"/>
    <w:rsid w:val="00C20954"/>
    <w:rsid w:val="00C22E9B"/>
    <w:rsid w:val="00C23324"/>
    <w:rsid w:val="00C42027"/>
    <w:rsid w:val="00C42A41"/>
    <w:rsid w:val="00C47E74"/>
    <w:rsid w:val="00C57A72"/>
    <w:rsid w:val="00C73602"/>
    <w:rsid w:val="00C85447"/>
    <w:rsid w:val="00CA22CD"/>
    <w:rsid w:val="00CA7006"/>
    <w:rsid w:val="00CF3C25"/>
    <w:rsid w:val="00CF60C8"/>
    <w:rsid w:val="00D30DE2"/>
    <w:rsid w:val="00D32924"/>
    <w:rsid w:val="00D503A3"/>
    <w:rsid w:val="00D72DE1"/>
    <w:rsid w:val="00D96603"/>
    <w:rsid w:val="00DA6ED0"/>
    <w:rsid w:val="00DB3DA6"/>
    <w:rsid w:val="00DC5011"/>
    <w:rsid w:val="00DE1C16"/>
    <w:rsid w:val="00E171B6"/>
    <w:rsid w:val="00E22338"/>
    <w:rsid w:val="00E326C9"/>
    <w:rsid w:val="00E4028F"/>
    <w:rsid w:val="00E420EF"/>
    <w:rsid w:val="00E426E0"/>
    <w:rsid w:val="00E5053D"/>
    <w:rsid w:val="00E72695"/>
    <w:rsid w:val="00EB1753"/>
    <w:rsid w:val="00EB6CFF"/>
    <w:rsid w:val="00EC0111"/>
    <w:rsid w:val="00EC25E8"/>
    <w:rsid w:val="00ED09E0"/>
    <w:rsid w:val="00ED618A"/>
    <w:rsid w:val="00EE02D2"/>
    <w:rsid w:val="00EE3996"/>
    <w:rsid w:val="00EF4D0E"/>
    <w:rsid w:val="00F07062"/>
    <w:rsid w:val="00F23CFC"/>
    <w:rsid w:val="00F433E2"/>
    <w:rsid w:val="00F614E8"/>
    <w:rsid w:val="00F65A65"/>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EE7CA-0804-483C-B2B3-499A1D85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07"/>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A2398A"/>
    <w:pPr>
      <w:tabs>
        <w:tab w:val="right" w:pos="454"/>
        <w:tab w:val="left" w:pos="737"/>
      </w:tabs>
      <w:ind w:left="737" w:hanging="737"/>
    </w:pPr>
    <w:rPr>
      <w:snapToGrid w:val="0"/>
      <w:sz w:val="18"/>
      <w:lang w:eastAsia="en-US"/>
    </w:rPr>
  </w:style>
  <w:style w:type="paragraph" w:customStyle="1" w:styleId="Lgendetitre">
    <w:name w:val="Légende titre"/>
    <w:basedOn w:val="Normal"/>
    <w:rsid w:val="00A2398A"/>
    <w:pPr>
      <w:spacing w:before="240" w:after="240"/>
    </w:pPr>
    <w:rPr>
      <w:b/>
      <w:i/>
      <w:snapToGrid w:val="0"/>
      <w:lang w:eastAsia="en-US"/>
    </w:rPr>
  </w:style>
  <w:style w:type="paragraph" w:customStyle="1" w:styleId="Lgendestandard">
    <w:name w:val="Légende standard"/>
    <w:basedOn w:val="Normal"/>
    <w:rsid w:val="00A2398A"/>
    <w:rPr>
      <w:sz w:val="18"/>
    </w:rPr>
  </w:style>
  <w:style w:type="paragraph" w:styleId="Footer">
    <w:name w:val="footer"/>
    <w:basedOn w:val="Normal"/>
    <w:link w:val="FooterChar"/>
    <w:semiHidden/>
    <w:rsid w:val="00A2398A"/>
    <w:pPr>
      <w:tabs>
        <w:tab w:val="center" w:pos="4513"/>
        <w:tab w:val="right" w:pos="9026"/>
      </w:tabs>
    </w:pPr>
  </w:style>
  <w:style w:type="character" w:customStyle="1" w:styleId="FooterChar">
    <w:name w:val="Footer Char"/>
    <w:basedOn w:val="DefaultParagraphFont"/>
    <w:link w:val="Footer"/>
    <w:semiHidden/>
    <w:rsid w:val="00A2398A"/>
    <w:rPr>
      <w:sz w:val="24"/>
    </w:rPr>
  </w:style>
  <w:style w:type="paragraph" w:styleId="BalloonText">
    <w:name w:val="Balloon Text"/>
    <w:basedOn w:val="Normal"/>
    <w:link w:val="BalloonTextChar"/>
    <w:rsid w:val="00A2398A"/>
    <w:rPr>
      <w:rFonts w:ascii="Segoe UI" w:hAnsi="Segoe UI" w:cs="Segoe UI"/>
      <w:sz w:val="18"/>
      <w:szCs w:val="18"/>
    </w:rPr>
  </w:style>
  <w:style w:type="character" w:customStyle="1" w:styleId="BalloonTextChar">
    <w:name w:val="Balloon Text Char"/>
    <w:basedOn w:val="DefaultParagraphFont"/>
    <w:link w:val="BalloonText"/>
    <w:rsid w:val="00A2398A"/>
    <w:rPr>
      <w:rFonts w:ascii="Segoe UI" w:hAnsi="Segoe UI" w:cs="Segoe UI"/>
      <w:sz w:val="18"/>
      <w:szCs w:val="18"/>
    </w:rPr>
  </w:style>
  <w:style w:type="paragraph" w:styleId="FootnoteText">
    <w:name w:val="footnote text"/>
    <w:basedOn w:val="Normal"/>
    <w:link w:val="FootnoteTextChar"/>
    <w:rsid w:val="00A2398A"/>
    <w:rPr>
      <w:sz w:val="20"/>
    </w:rPr>
  </w:style>
  <w:style w:type="character" w:customStyle="1" w:styleId="FootnoteTextChar">
    <w:name w:val="Footnote Text Char"/>
    <w:basedOn w:val="DefaultParagraphFont"/>
    <w:link w:val="FootnoteText"/>
    <w:rsid w:val="00A2398A"/>
  </w:style>
  <w:style w:type="character" w:styleId="FootnoteReference">
    <w:name w:val="footnote reference"/>
    <w:basedOn w:val="DefaultParagraphFont"/>
    <w:rsid w:val="00A2398A"/>
    <w:rPr>
      <w:vertAlign w:val="superscript"/>
    </w:rPr>
  </w:style>
  <w:style w:type="paragraph" w:customStyle="1" w:styleId="msonormal0">
    <w:name w:val="msonormal"/>
    <w:basedOn w:val="Normal"/>
    <w:rsid w:val="00A2398A"/>
    <w:pPr>
      <w:widowControl/>
      <w:spacing w:before="100" w:beforeAutospacing="1" w:after="100" w:afterAutospacing="1"/>
    </w:pPr>
    <w:rPr>
      <w:szCs w:val="24"/>
    </w:rPr>
  </w:style>
  <w:style w:type="paragraph" w:styleId="CommentText">
    <w:name w:val="annotation text"/>
    <w:basedOn w:val="Normal"/>
    <w:link w:val="CommentTextChar"/>
    <w:unhideWhenUsed/>
    <w:rsid w:val="00A2398A"/>
    <w:pPr>
      <w:widowControl/>
    </w:pPr>
    <w:rPr>
      <w:sz w:val="20"/>
    </w:rPr>
  </w:style>
  <w:style w:type="character" w:customStyle="1" w:styleId="CommentTextChar">
    <w:name w:val="Comment Text Char"/>
    <w:basedOn w:val="DefaultParagraphFont"/>
    <w:link w:val="CommentText"/>
    <w:rsid w:val="00A2398A"/>
  </w:style>
  <w:style w:type="paragraph" w:styleId="CommentSubject">
    <w:name w:val="annotation subject"/>
    <w:basedOn w:val="CommentText"/>
    <w:next w:val="CommentText"/>
    <w:link w:val="CommentSubjectChar"/>
    <w:unhideWhenUsed/>
    <w:rsid w:val="00A2398A"/>
    <w:rPr>
      <w:b/>
      <w:bCs/>
    </w:rPr>
  </w:style>
  <w:style w:type="character" w:customStyle="1" w:styleId="CommentSubjectChar">
    <w:name w:val="Comment Subject Char"/>
    <w:basedOn w:val="CommentTextChar"/>
    <w:link w:val="CommentSubject"/>
    <w:rsid w:val="00A2398A"/>
    <w:rPr>
      <w:b/>
      <w:bCs/>
    </w:rPr>
  </w:style>
  <w:style w:type="paragraph" w:styleId="Revision">
    <w:name w:val="Revision"/>
    <w:semiHidden/>
    <w:rsid w:val="00A2398A"/>
    <w:rPr>
      <w:sz w:val="24"/>
      <w:szCs w:val="24"/>
    </w:rPr>
  </w:style>
  <w:style w:type="character" w:customStyle="1" w:styleId="Normal12Char">
    <w:name w:val="Normal12 Char"/>
    <w:link w:val="Normal12"/>
    <w:locked/>
    <w:rsid w:val="00A2398A"/>
    <w:rPr>
      <w:noProof/>
      <w:sz w:val="24"/>
    </w:rPr>
  </w:style>
  <w:style w:type="paragraph" w:customStyle="1" w:styleId="Normal12">
    <w:name w:val="Normal12"/>
    <w:basedOn w:val="Normal"/>
    <w:link w:val="Normal12Char"/>
    <w:rsid w:val="00A2398A"/>
    <w:pPr>
      <w:spacing w:after="240"/>
    </w:pPr>
    <w:rPr>
      <w:noProof/>
    </w:rPr>
  </w:style>
  <w:style w:type="paragraph" w:customStyle="1" w:styleId="CommitteeAM">
    <w:name w:val="CommitteeAM"/>
    <w:basedOn w:val="Normal"/>
    <w:rsid w:val="00A2398A"/>
    <w:pPr>
      <w:spacing w:before="240" w:after="600"/>
      <w:jc w:val="center"/>
    </w:pPr>
    <w:rPr>
      <w:i/>
    </w:rPr>
  </w:style>
  <w:style w:type="paragraph" w:customStyle="1" w:styleId="ZDateAM">
    <w:name w:val="ZDateAM"/>
    <w:basedOn w:val="Normal"/>
    <w:rsid w:val="00A2398A"/>
    <w:pPr>
      <w:tabs>
        <w:tab w:val="right" w:pos="9356"/>
      </w:tabs>
      <w:spacing w:after="480"/>
    </w:pPr>
    <w:rPr>
      <w:noProof/>
    </w:rPr>
  </w:style>
  <w:style w:type="paragraph" w:customStyle="1" w:styleId="ProjRap">
    <w:name w:val="ProjRap"/>
    <w:basedOn w:val="Normal"/>
    <w:rsid w:val="00A2398A"/>
    <w:pPr>
      <w:tabs>
        <w:tab w:val="right" w:pos="9356"/>
      </w:tabs>
    </w:pPr>
    <w:rPr>
      <w:b/>
      <w:noProof/>
    </w:rPr>
  </w:style>
  <w:style w:type="paragraph" w:customStyle="1" w:styleId="PELeft">
    <w:name w:val="PELeft"/>
    <w:basedOn w:val="Normal"/>
    <w:rsid w:val="00A2398A"/>
    <w:pPr>
      <w:spacing w:before="40" w:after="40"/>
    </w:pPr>
    <w:rPr>
      <w:rFonts w:ascii="Arial" w:hAnsi="Arial" w:cs="Arial"/>
      <w:sz w:val="22"/>
      <w:szCs w:val="22"/>
    </w:rPr>
  </w:style>
  <w:style w:type="paragraph" w:customStyle="1" w:styleId="PERight">
    <w:name w:val="PERight"/>
    <w:basedOn w:val="Normal"/>
    <w:next w:val="Normal"/>
    <w:rsid w:val="00A2398A"/>
    <w:pPr>
      <w:jc w:val="right"/>
    </w:pPr>
    <w:rPr>
      <w:rFonts w:ascii="Arial" w:hAnsi="Arial" w:cs="Arial"/>
      <w:sz w:val="22"/>
      <w:szCs w:val="22"/>
    </w:rPr>
  </w:style>
  <w:style w:type="character" w:customStyle="1" w:styleId="Normal6Char">
    <w:name w:val="Normal6 Char"/>
    <w:link w:val="Normal6"/>
    <w:locked/>
    <w:rsid w:val="00A2398A"/>
    <w:rPr>
      <w:sz w:val="24"/>
      <w:lang w:val="pl-PL"/>
    </w:rPr>
  </w:style>
  <w:style w:type="paragraph" w:customStyle="1" w:styleId="Normal6">
    <w:name w:val="Normal6"/>
    <w:basedOn w:val="Normal"/>
    <w:link w:val="Normal6Char"/>
    <w:rsid w:val="00A2398A"/>
    <w:pPr>
      <w:spacing w:after="120"/>
    </w:pPr>
  </w:style>
  <w:style w:type="character" w:customStyle="1" w:styleId="NormalBoldChar">
    <w:name w:val="NormalBold Char"/>
    <w:link w:val="NormalBold"/>
    <w:locked/>
    <w:rsid w:val="00A2398A"/>
    <w:rPr>
      <w:b/>
      <w:sz w:val="24"/>
    </w:rPr>
  </w:style>
  <w:style w:type="paragraph" w:customStyle="1" w:styleId="Normal12Italic">
    <w:name w:val="Normal12Italic"/>
    <w:basedOn w:val="Normal12"/>
    <w:rsid w:val="00A2398A"/>
    <w:rPr>
      <w:i/>
    </w:rPr>
  </w:style>
  <w:style w:type="paragraph" w:customStyle="1" w:styleId="JustificationTitle">
    <w:name w:val="JustificationTitle"/>
    <w:basedOn w:val="Normal"/>
    <w:next w:val="Normal12"/>
    <w:rsid w:val="00A2398A"/>
    <w:pPr>
      <w:keepNext/>
      <w:spacing w:before="240" w:after="240"/>
      <w:jc w:val="center"/>
    </w:pPr>
    <w:rPr>
      <w:i/>
      <w:noProof/>
    </w:rPr>
  </w:style>
  <w:style w:type="paragraph" w:customStyle="1" w:styleId="Olang">
    <w:name w:val="Olang"/>
    <w:basedOn w:val="Normal"/>
    <w:rsid w:val="00A2398A"/>
    <w:pPr>
      <w:spacing w:before="240" w:after="240"/>
      <w:jc w:val="right"/>
    </w:pPr>
    <w:rPr>
      <w:noProof/>
      <w:szCs w:val="24"/>
    </w:rPr>
  </w:style>
  <w:style w:type="paragraph" w:customStyle="1" w:styleId="ColumnHeading">
    <w:name w:val="ColumnHeading"/>
    <w:basedOn w:val="Normal"/>
    <w:rsid w:val="00A2398A"/>
    <w:pPr>
      <w:spacing w:after="240"/>
      <w:jc w:val="center"/>
    </w:pPr>
    <w:rPr>
      <w:i/>
    </w:rPr>
  </w:style>
  <w:style w:type="paragraph" w:customStyle="1" w:styleId="AMNumberTabs0">
    <w:name w:val="AMNumberTabs"/>
    <w:basedOn w:val="Normal"/>
    <w:rsid w:val="00A2398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rossRef">
    <w:name w:val="CrossRef"/>
    <w:basedOn w:val="Normal"/>
    <w:rsid w:val="00A2398A"/>
    <w:pPr>
      <w:spacing w:before="240"/>
      <w:jc w:val="center"/>
    </w:pPr>
    <w:rPr>
      <w:i/>
    </w:rPr>
  </w:style>
  <w:style w:type="paragraph" w:customStyle="1" w:styleId="Footer2">
    <w:name w:val="Footer2"/>
    <w:basedOn w:val="Normal12"/>
    <w:rsid w:val="00A2398A"/>
    <w:pPr>
      <w:tabs>
        <w:tab w:val="center" w:pos="4535"/>
        <w:tab w:val="right" w:pos="9923"/>
      </w:tabs>
      <w:spacing w:line="480" w:lineRule="auto"/>
      <w:ind w:left="-851"/>
    </w:pPr>
    <w:rPr>
      <w:rFonts w:ascii="Arial" w:cs="Arial"/>
      <w:b/>
      <w:sz w:val="48"/>
    </w:rPr>
  </w:style>
  <w:style w:type="character" w:styleId="CommentReference">
    <w:name w:val="annotation reference"/>
    <w:unhideWhenUsed/>
    <w:rsid w:val="00A2398A"/>
    <w:rPr>
      <w:sz w:val="16"/>
      <w:szCs w:val="16"/>
    </w:rPr>
  </w:style>
  <w:style w:type="character" w:customStyle="1" w:styleId="Footer2Middle">
    <w:name w:val="Footer2Middle"/>
    <w:rsid w:val="00A2398A"/>
    <w:rPr>
      <w:rFonts w:ascii="Arial" w:hAnsi="Arial" w:cs="Arial" w:hint="default"/>
      <w:b w:val="0"/>
      <w:bCs w:val="0"/>
      <w:i/>
      <w:iCs w:val="0"/>
      <w:color w:val="C0C0C0"/>
      <w:sz w:val="22"/>
    </w:rPr>
  </w:style>
  <w:style w:type="paragraph" w:customStyle="1" w:styleId="EntPE">
    <w:name w:val="EntPE"/>
    <w:basedOn w:val="Normal12"/>
    <w:rsid w:val="00A2398A"/>
    <w:pPr>
      <w:jc w:val="center"/>
    </w:pPr>
    <w:rPr>
      <w:noProof w:val="0"/>
      <w:sz w:val="56"/>
    </w:rPr>
  </w:style>
  <w:style w:type="character" w:customStyle="1" w:styleId="Heading1Char">
    <w:name w:val="Heading 1 Char"/>
    <w:basedOn w:val="DefaultParagraphFont"/>
    <w:link w:val="Heading1"/>
    <w:rsid w:val="00CA22CD"/>
    <w:rPr>
      <w:rFonts w:ascii="Arial" w:hAnsi="Arial"/>
      <w:b/>
      <w:kern w:val="28"/>
      <w:sz w:val="28"/>
    </w:rPr>
  </w:style>
  <w:style w:type="character" w:customStyle="1" w:styleId="Heading2Char">
    <w:name w:val="Heading 2 Char"/>
    <w:basedOn w:val="DefaultParagraphFont"/>
    <w:link w:val="Heading2"/>
    <w:semiHidden/>
    <w:rsid w:val="00CA22CD"/>
    <w:rPr>
      <w:rFonts w:ascii="Arial" w:hAnsi="Arial"/>
      <w:b/>
      <w:i/>
      <w:sz w:val="24"/>
    </w:rPr>
  </w:style>
  <w:style w:type="character" w:customStyle="1" w:styleId="Heading3Char">
    <w:name w:val="Heading 3 Char"/>
    <w:basedOn w:val="DefaultParagraphFont"/>
    <w:link w:val="Heading3"/>
    <w:semiHidden/>
    <w:rsid w:val="00CA22CD"/>
    <w:rPr>
      <w:rFonts w:ascii="Arial" w:hAnsi="Arial"/>
      <w:sz w:val="24"/>
    </w:rPr>
  </w:style>
  <w:style w:type="character" w:customStyle="1" w:styleId="Heading4Char">
    <w:name w:val="Heading 4 Char"/>
    <w:basedOn w:val="DefaultParagraphFont"/>
    <w:link w:val="Heading4"/>
    <w:semiHidden/>
    <w:rsid w:val="00CA22CD"/>
    <w:rPr>
      <w:rFonts w:ascii="Arial" w:hAnsi="Arial"/>
      <w:b/>
      <w:sz w:val="24"/>
    </w:rPr>
  </w:style>
  <w:style w:type="character" w:customStyle="1" w:styleId="Heading5Char">
    <w:name w:val="Heading 5 Char"/>
    <w:basedOn w:val="DefaultParagraphFont"/>
    <w:link w:val="Heading5"/>
    <w:semiHidden/>
    <w:rsid w:val="00CA22CD"/>
    <w:rPr>
      <w:sz w:val="22"/>
    </w:rPr>
  </w:style>
  <w:style w:type="character" w:customStyle="1" w:styleId="Heading6Char">
    <w:name w:val="Heading 6 Char"/>
    <w:basedOn w:val="DefaultParagraphFont"/>
    <w:link w:val="Heading6"/>
    <w:semiHidden/>
    <w:rsid w:val="00CA22CD"/>
    <w:rPr>
      <w:i/>
      <w:sz w:val="22"/>
    </w:rPr>
  </w:style>
  <w:style w:type="character" w:customStyle="1" w:styleId="Heading7Char">
    <w:name w:val="Heading 7 Char"/>
    <w:basedOn w:val="DefaultParagraphFont"/>
    <w:link w:val="Heading7"/>
    <w:semiHidden/>
    <w:rsid w:val="00CA22CD"/>
    <w:rPr>
      <w:rFonts w:ascii="Arial" w:hAnsi="Arial"/>
      <w:sz w:val="24"/>
    </w:rPr>
  </w:style>
  <w:style w:type="character" w:customStyle="1" w:styleId="Heading8Char">
    <w:name w:val="Heading 8 Char"/>
    <w:basedOn w:val="DefaultParagraphFont"/>
    <w:link w:val="Heading8"/>
    <w:semiHidden/>
    <w:rsid w:val="00CA22CD"/>
    <w:rPr>
      <w:rFonts w:ascii="Arial" w:hAnsi="Arial"/>
      <w:i/>
      <w:sz w:val="24"/>
    </w:rPr>
  </w:style>
  <w:style w:type="character" w:customStyle="1" w:styleId="Heading9Char">
    <w:name w:val="Heading 9 Char"/>
    <w:basedOn w:val="DefaultParagraphFont"/>
    <w:link w:val="Heading9"/>
    <w:semiHidden/>
    <w:rsid w:val="00CA22CD"/>
    <w:rPr>
      <w:rFonts w:ascii="Arial" w:hAnsi="Arial"/>
      <w:b/>
      <w:i/>
      <w:sz w:val="18"/>
    </w:rPr>
  </w:style>
  <w:style w:type="character" w:customStyle="1" w:styleId="Sup">
    <w:name w:val="Sup"/>
    <w:uiPriority w:val="1"/>
    <w:qFormat/>
    <w:rsid w:val="00E22338"/>
    <w:rPr>
      <w:vertAlign w:val="superscript"/>
    </w:rPr>
  </w:style>
  <w:style w:type="paragraph" w:customStyle="1" w:styleId="Normal12a">
    <w:name w:val="Normal12a"/>
    <w:basedOn w:val="Normal"/>
    <w:rsid w:val="009F1EF5"/>
    <w:pPr>
      <w:spacing w:after="240"/>
    </w:pPr>
  </w:style>
  <w:style w:type="paragraph" w:customStyle="1" w:styleId="RollCallVotes">
    <w:name w:val="RollCallVotes"/>
    <w:basedOn w:val="Normal"/>
    <w:rsid w:val="009F1EF5"/>
    <w:pPr>
      <w:spacing w:before="120" w:after="120"/>
      <w:jc w:val="center"/>
    </w:pPr>
    <w:rPr>
      <w:b/>
      <w:bCs/>
      <w:snapToGrid w:val="0"/>
      <w:sz w:val="16"/>
      <w:lang w:eastAsia="en-US"/>
    </w:rPr>
  </w:style>
  <w:style w:type="paragraph" w:customStyle="1" w:styleId="RollCallTabs">
    <w:name w:val="RollCallTabs"/>
    <w:basedOn w:val="Normal"/>
    <w:qFormat/>
    <w:rsid w:val="009F1EF5"/>
    <w:pPr>
      <w:tabs>
        <w:tab w:val="center" w:pos="284"/>
        <w:tab w:val="left" w:pos="426"/>
      </w:tabs>
    </w:pPr>
    <w:rPr>
      <w:snapToGrid w:val="0"/>
      <w:lang w:eastAsia="en-US"/>
    </w:rPr>
  </w:style>
  <w:style w:type="paragraph" w:customStyle="1" w:styleId="RollCallSymbols14pt">
    <w:name w:val="RollCallSymbols14pt"/>
    <w:basedOn w:val="Normal"/>
    <w:rsid w:val="009F1EF5"/>
    <w:pPr>
      <w:spacing w:before="120" w:after="120"/>
      <w:jc w:val="center"/>
    </w:pPr>
    <w:rPr>
      <w:rFonts w:ascii="Arial" w:hAnsi="Arial"/>
      <w:b/>
      <w:bCs/>
      <w:snapToGrid w:val="0"/>
      <w:sz w:val="28"/>
      <w:lang w:eastAsia="en-US"/>
    </w:rPr>
  </w:style>
  <w:style w:type="paragraph" w:customStyle="1" w:styleId="RollCallTable">
    <w:name w:val="RollCallTable"/>
    <w:basedOn w:val="Normal"/>
    <w:rsid w:val="009F1EF5"/>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5121-CD25-48C4-9A5B-C3372962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1C5B5118.dotm</Template>
  <TotalTime>0</TotalTime>
  <Pages>21</Pages>
  <Words>4972</Words>
  <Characters>32222</Characters>
  <Application>Microsoft Office Word</Application>
  <DocSecurity>0</DocSecurity>
  <Lines>1193</Lines>
  <Paragraphs>347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BARSTYTE Lina</dc:creator>
  <cp:lastModifiedBy>WIERTLEWSKA Maria</cp:lastModifiedBy>
  <cp:revision>2</cp:revision>
  <cp:lastPrinted>2019-12-12T15:33:00Z</cp:lastPrinted>
  <dcterms:created xsi:type="dcterms:W3CDTF">2020-05-14T07:34:00Z</dcterms:created>
  <dcterms:modified xsi:type="dcterms:W3CDTF">2020-05-14T07:34:00Z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1204012</vt:lpwstr>
  </property>
  <property fmtid="{D5CDD505-2E9C-101B-9397-08002B2CF9AE}" pid="4" name="&lt;Model&gt;">
    <vt:lpwstr>PR_COD_1amCom</vt:lpwstr>
  </property>
  <property fmtid="{D5CDD505-2E9C-101B-9397-08002B2CF9AE}" pid="5" name="&lt;ModelCod&gt;">
    <vt:lpwstr>\\eiciBRUpr1\pdocep$\DocEP\DOCS\General\PR\PR_Leg\COD\COD_1st\PR_COD_1amCom.dotx(15/10/2019 06:17:24)</vt:lpwstr>
  </property>
  <property fmtid="{D5CDD505-2E9C-101B-9397-08002B2CF9AE}" pid="6" name="&lt;ModelTra&gt;">
    <vt:lpwstr>\\eiciBRUpr1\pdocep$\DocEP\TRANSFIL\EN\PR_COD_1amCom.EN(11/10/2019 09:25:41)</vt:lpwstr>
  </property>
  <property fmtid="{D5CDD505-2E9C-101B-9397-08002B2CF9AE}" pid="7" name="&lt;Type&gt;">
    <vt:lpwstr>RR</vt:lpwstr>
  </property>
  <property fmtid="{D5CDD505-2E9C-101B-9397-08002B2CF9AE}" pid="8" name="Bookout">
    <vt:lpwstr>OK - 2020/05/14 09:34</vt:lpwstr>
  </property>
  <property fmtid="{D5CDD505-2E9C-101B-9397-08002B2CF9AE}" pid="9" name="CheckDocument">
    <vt:lpwstr>OK - 2020/04/28 11:20</vt:lpwstr>
  </property>
  <property fmtid="{D5CDD505-2E9C-101B-9397-08002B2CF9AE}" pid="10" name="Created with">
    <vt:lpwstr>9.8.0 Build [20191010]</vt:lpwstr>
  </property>
  <property fmtid="{D5CDD505-2E9C-101B-9397-08002B2CF9AE}" pid="11" name="FooterPath">
    <vt:lpwstr>RR\1204012PL.docx</vt:lpwstr>
  </property>
  <property fmtid="{D5CDD505-2E9C-101B-9397-08002B2CF9AE}" pid="12" name="LastEdited with">
    <vt:lpwstr>9.8.0 Build [20191010]</vt:lpwstr>
  </property>
  <property fmtid="{D5CDD505-2E9C-101B-9397-08002B2CF9AE}" pid="13" name="PE number">
    <vt:lpwstr>644.735</vt:lpwstr>
  </property>
  <property fmtid="{D5CDD505-2E9C-101B-9397-08002B2CF9AE}" pid="14" name="SDLStudio">
    <vt:lpwstr/>
  </property>
  <property fmtid="{D5CDD505-2E9C-101B-9397-08002B2CF9AE}" pid="15" name="SendToEpades">
    <vt:lpwstr>OK - 2020/04/28 18:45</vt:lpwstr>
  </property>
  <property fmtid="{D5CDD505-2E9C-101B-9397-08002B2CF9AE}" pid="16" name="SubscribeElise">
    <vt:lpwstr/>
  </property>
</Properties>
</file>