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A6272D" w:rsidRPr="00443076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A6272D" w:rsidRPr="00443076" w:rsidRDefault="00443076" w:rsidP="00C85D0F">
            <w:pPr>
              <w:pStyle w:val="EPName"/>
            </w:pPr>
            <w:bookmarkStart w:id="0" w:name="_GoBack"/>
            <w:bookmarkEnd w:id="0"/>
            <w:r w:rsidRPr="00443076">
              <w:t>Európsky parlament</w:t>
            </w:r>
          </w:p>
          <w:p w:rsidR="00A6272D" w:rsidRPr="00D40A26" w:rsidRDefault="00D40A26" w:rsidP="00D40A26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A6272D" w:rsidRPr="00443076" w:rsidRDefault="00A6272D" w:rsidP="00C85D0F">
            <w:pPr>
              <w:pStyle w:val="EPLogo"/>
            </w:pPr>
            <w:r w:rsidRPr="00443076">
              <w:rPr>
                <w:noProof/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833" w:rsidRPr="00443076" w:rsidRDefault="00D65833" w:rsidP="00D65833">
      <w:pPr>
        <w:pStyle w:val="LineTop"/>
      </w:pPr>
    </w:p>
    <w:p w:rsidR="00D65833" w:rsidRPr="00443076" w:rsidRDefault="00D65833" w:rsidP="00D65833">
      <w:pPr>
        <w:pStyle w:val="EPBody"/>
      </w:pPr>
      <w:r w:rsidRPr="00443076">
        <w:rPr>
          <w:rStyle w:val="HideTWBExt"/>
          <w:noProof w:val="0"/>
        </w:rPr>
        <w:t>&lt;</w:t>
      </w:r>
      <w:r w:rsidRPr="00443076">
        <w:rPr>
          <w:rStyle w:val="HideTWBExt"/>
          <w:i w:val="0"/>
          <w:noProof w:val="0"/>
        </w:rPr>
        <w:t>Commission&gt;</w:t>
      </w:r>
      <w:r w:rsidR="00443076" w:rsidRPr="00443076">
        <w:t>Dokument na schôdzu</w:t>
      </w:r>
      <w:r w:rsidRPr="00443076">
        <w:rPr>
          <w:rStyle w:val="HideTWBExt"/>
          <w:noProof w:val="0"/>
        </w:rPr>
        <w:t>&lt;/</w:t>
      </w:r>
      <w:r w:rsidRPr="00443076">
        <w:rPr>
          <w:rStyle w:val="HideTWBExt"/>
          <w:i w:val="0"/>
          <w:noProof w:val="0"/>
        </w:rPr>
        <w:t>Commission</w:t>
      </w:r>
      <w:r w:rsidRPr="00443076">
        <w:rPr>
          <w:rStyle w:val="HideTWBExt"/>
          <w:noProof w:val="0"/>
        </w:rPr>
        <w:t>&gt;</w:t>
      </w:r>
    </w:p>
    <w:p w:rsidR="00D65833" w:rsidRPr="00443076" w:rsidRDefault="00D65833" w:rsidP="00D65833">
      <w:pPr>
        <w:pStyle w:val="LineBottom"/>
      </w:pPr>
    </w:p>
    <w:p w:rsidR="008E4206" w:rsidRPr="00443076" w:rsidRDefault="008E4206" w:rsidP="008E4206">
      <w:pPr>
        <w:pStyle w:val="HeadingReferenceERCO"/>
      </w:pPr>
      <w:r w:rsidRPr="00443076">
        <w:rPr>
          <w:rStyle w:val="HideTWBExt"/>
          <w:b w:val="0"/>
          <w:noProof w:val="0"/>
        </w:rPr>
        <w:t>&lt;NoDocSe&gt;</w:t>
      </w:r>
      <w:r w:rsidR="00D40A26">
        <w:t>A9</w:t>
      </w:r>
      <w:r w:rsidR="00D40A26">
        <w:noBreakHyphen/>
      </w:r>
      <w:r w:rsidR="00D40A26" w:rsidRPr="00D40A26">
        <w:t>0111/2020</w:t>
      </w:r>
      <w:r w:rsidRPr="00443076">
        <w:rPr>
          <w:rStyle w:val="HideTWBExt"/>
          <w:b w:val="0"/>
          <w:noProof w:val="0"/>
        </w:rPr>
        <w:t>&lt;/NoDocSe&gt;</w:t>
      </w:r>
      <w:r w:rsidRPr="00443076">
        <w:t>/err</w:t>
      </w:r>
      <w:r w:rsidRPr="00443076">
        <w:rPr>
          <w:rStyle w:val="HideTWBExt"/>
          <w:b w:val="0"/>
          <w:noProof w:val="0"/>
        </w:rPr>
        <w:t>&lt;NoER&gt;</w:t>
      </w:r>
      <w:r w:rsidR="00D40A26" w:rsidRPr="00D40A26">
        <w:t>01</w:t>
      </w:r>
      <w:r w:rsidRPr="00443076">
        <w:rPr>
          <w:rStyle w:val="HideTWBExt"/>
          <w:b w:val="0"/>
          <w:noProof w:val="0"/>
        </w:rPr>
        <w:t>&lt;/NoER&gt;</w:t>
      </w:r>
    </w:p>
    <w:p w:rsidR="008E4206" w:rsidRPr="00443076" w:rsidRDefault="008E4206" w:rsidP="008E4206">
      <w:pPr>
        <w:pStyle w:val="HeadingDate"/>
      </w:pPr>
      <w:r w:rsidRPr="00443076">
        <w:rPr>
          <w:rStyle w:val="HideTWBExt"/>
          <w:noProof w:val="0"/>
        </w:rPr>
        <w:t>&lt;Date&gt;</w:t>
      </w:r>
      <w:r w:rsidR="00D40A26" w:rsidRPr="00D40A26">
        <w:rPr>
          <w:rStyle w:val="HideTWBInt"/>
        </w:rPr>
        <w:t>{02/07/2020}</w:t>
      </w:r>
      <w:r w:rsidR="00D40A26">
        <w:t>2.7.2020</w:t>
      </w:r>
      <w:r w:rsidRPr="00443076">
        <w:rPr>
          <w:rStyle w:val="HideTWBExt"/>
          <w:noProof w:val="0"/>
        </w:rPr>
        <w:t>&lt;/Date&gt;</w:t>
      </w:r>
    </w:p>
    <w:p w:rsidR="008E4206" w:rsidRPr="00443076" w:rsidRDefault="008E4206" w:rsidP="008E4206">
      <w:pPr>
        <w:pStyle w:val="HeadingDocType24a"/>
      </w:pPr>
      <w:r w:rsidRPr="00443076">
        <w:rPr>
          <w:rStyle w:val="HideTWBExt"/>
          <w:noProof w:val="0"/>
        </w:rPr>
        <w:t>&lt;</w:t>
      </w:r>
      <w:r w:rsidRPr="00443076">
        <w:rPr>
          <w:rStyle w:val="HideTWBExt"/>
          <w:b w:val="0"/>
          <w:noProof w:val="0"/>
        </w:rPr>
        <w:t>TitreType</w:t>
      </w:r>
      <w:r w:rsidRPr="00443076">
        <w:rPr>
          <w:rStyle w:val="HideTWBExt"/>
          <w:noProof w:val="0"/>
        </w:rPr>
        <w:t>&gt;</w:t>
      </w:r>
      <w:r w:rsidR="00D40A26">
        <w:t>DOPLNENIE</w:t>
      </w:r>
      <w:r w:rsidRPr="00443076">
        <w:rPr>
          <w:rStyle w:val="HideTWBExt"/>
          <w:noProof w:val="0"/>
        </w:rPr>
        <w:t>&lt;/</w:t>
      </w:r>
      <w:r w:rsidRPr="00443076">
        <w:rPr>
          <w:rStyle w:val="HideTWBExt"/>
          <w:b w:val="0"/>
          <w:noProof w:val="0"/>
        </w:rPr>
        <w:t>TitreType</w:t>
      </w:r>
      <w:r w:rsidRPr="00443076">
        <w:rPr>
          <w:rStyle w:val="HideTWBExt"/>
          <w:noProof w:val="0"/>
        </w:rPr>
        <w:t>&gt;</w:t>
      </w:r>
    </w:p>
    <w:p w:rsidR="008B31F4" w:rsidRPr="00443076" w:rsidRDefault="0087709A" w:rsidP="00B76128">
      <w:pPr>
        <w:pStyle w:val="NormalCenter12a"/>
      </w:pPr>
      <w:r w:rsidRPr="00443076">
        <w:rPr>
          <w:rStyle w:val="HideTWBExt"/>
          <w:noProof w:val="0"/>
        </w:rPr>
        <w:t>&lt;DocER&gt;</w:t>
      </w:r>
      <w:r w:rsidR="00D40A26">
        <w:t>k správe</w:t>
      </w:r>
      <w:r w:rsidRPr="00443076">
        <w:rPr>
          <w:rStyle w:val="HideTWBExt"/>
          <w:noProof w:val="0"/>
        </w:rPr>
        <w:t>&lt;/DocER&gt;</w:t>
      </w:r>
    </w:p>
    <w:p w:rsidR="00051161" w:rsidRPr="00443076" w:rsidRDefault="00FC7D10" w:rsidP="00051161">
      <w:pPr>
        <w:pStyle w:val="NormalCenter"/>
      </w:pPr>
      <w:r w:rsidRPr="00443076">
        <w:rPr>
          <w:rStyle w:val="HideTWBExt"/>
          <w:noProof w:val="0"/>
        </w:rPr>
        <w:t>&lt;Titre&gt;</w:t>
      </w:r>
      <w:r w:rsidR="00D40A26" w:rsidRPr="00D40A26">
        <w:t>o návrhu nariadenia Európskeho parlamentu a</w:t>
      </w:r>
      <w:r w:rsidR="00B51880">
        <w:t> </w:t>
      </w:r>
      <w:r w:rsidR="00D40A26" w:rsidRPr="00D40A26">
        <w:t>Rady</w:t>
      </w:r>
      <w:r w:rsidR="00B51880">
        <w:t xml:space="preserve"> (EÚ)</w:t>
      </w:r>
      <w:r w:rsidR="00D40A26" w:rsidRPr="00D40A26">
        <w:t>, ktorým sa mení nariadenie (EÚ) č. 1303/2013, pokiaľ ide o zdroje na osobitné pridelené prostriedky na iniciatívu na podporu zamestnanosti mladých ľudí</w:t>
      </w:r>
      <w:r w:rsidRPr="00443076">
        <w:rPr>
          <w:rStyle w:val="HideTWBExt"/>
          <w:noProof w:val="0"/>
        </w:rPr>
        <w:t>&lt;/Titre&gt;</w:t>
      </w:r>
    </w:p>
    <w:p w:rsidR="00051161" w:rsidRPr="00443076" w:rsidRDefault="00FC7D10" w:rsidP="0026698E">
      <w:pPr>
        <w:pStyle w:val="NormalCenter12a"/>
      </w:pPr>
      <w:r w:rsidRPr="00443076">
        <w:rPr>
          <w:rStyle w:val="HideTWBExt"/>
          <w:noProof w:val="0"/>
        </w:rPr>
        <w:t>&lt;DocRef&gt;</w:t>
      </w:r>
      <w:r w:rsidR="00D40A26" w:rsidRPr="00D40A26">
        <w:t>(COM(2020)0206 – C9-0145/2020 – 2020/0086(COD))</w:t>
      </w:r>
      <w:r w:rsidRPr="00443076">
        <w:rPr>
          <w:rStyle w:val="HideTWBExt"/>
          <w:noProof w:val="0"/>
        </w:rPr>
        <w:t>&lt;/DocRef&gt;</w:t>
      </w:r>
    </w:p>
    <w:p w:rsidR="00051161" w:rsidRPr="00443076" w:rsidRDefault="00051161" w:rsidP="00D02C73">
      <w:pPr>
        <w:pStyle w:val="NormalCenter12a"/>
      </w:pPr>
      <w:r w:rsidRPr="00443076">
        <w:rPr>
          <w:rStyle w:val="HideTWBExt"/>
          <w:noProof w:val="0"/>
        </w:rPr>
        <w:t>&lt;Commission&gt;</w:t>
      </w:r>
      <w:r w:rsidR="00D40A26" w:rsidRPr="00D40A26">
        <w:rPr>
          <w:rStyle w:val="HideTWBInt"/>
        </w:rPr>
        <w:t>{REGI}</w:t>
      </w:r>
      <w:r w:rsidR="00D40A26">
        <w:t>Výbor pre regionálny rozvoj</w:t>
      </w:r>
      <w:r w:rsidRPr="00443076">
        <w:rPr>
          <w:rStyle w:val="HideTWBExt"/>
          <w:noProof w:val="0"/>
        </w:rPr>
        <w:t>&lt;/Commission&gt;</w:t>
      </w:r>
    </w:p>
    <w:p w:rsidR="00051161" w:rsidRPr="00443076" w:rsidRDefault="00D40A26" w:rsidP="00051161">
      <w:pPr>
        <w:pStyle w:val="NormalCenter"/>
      </w:pPr>
      <w:r>
        <w:t>Spravodajca</w:t>
      </w:r>
      <w:r w:rsidR="00443076" w:rsidRPr="00443076">
        <w:t>:</w:t>
      </w:r>
      <w:r w:rsidR="00051161" w:rsidRPr="00443076">
        <w:t xml:space="preserve"> </w:t>
      </w:r>
      <w:r w:rsidR="00055703" w:rsidRPr="00443076">
        <w:rPr>
          <w:rStyle w:val="HideTWBExt"/>
          <w:noProof w:val="0"/>
        </w:rPr>
        <w:t>&lt;Depute&gt;</w:t>
      </w:r>
      <w:r w:rsidRPr="00D40A26">
        <w:t>Younous Omarjee</w:t>
      </w:r>
      <w:r w:rsidR="00055703" w:rsidRPr="00443076">
        <w:rPr>
          <w:rStyle w:val="HideTWBExt"/>
          <w:noProof w:val="0"/>
        </w:rPr>
        <w:t>&lt;/Depute&gt;</w:t>
      </w:r>
    </w:p>
    <w:p w:rsidR="00051161" w:rsidRPr="00443076" w:rsidRDefault="00D40A26" w:rsidP="009E4A8C">
      <w:pPr>
        <w:pStyle w:val="NormalCenter"/>
      </w:pPr>
      <w:r>
        <w:t>A9</w:t>
      </w:r>
      <w:r>
        <w:noBreakHyphen/>
      </w:r>
      <w:r w:rsidRPr="00D40A26">
        <w:t>0111/2020</w:t>
      </w:r>
    </w:p>
    <w:p w:rsidR="009E4A8C" w:rsidRPr="00443076" w:rsidRDefault="009E4A8C" w:rsidP="002E0367">
      <w:pPr>
        <w:pStyle w:val="LineSingle"/>
      </w:pPr>
    </w:p>
    <w:p w:rsidR="009E4A8C" w:rsidRPr="00443076" w:rsidRDefault="00D40A26" w:rsidP="00E65025">
      <w:pPr>
        <w:pStyle w:val="Normal12a"/>
      </w:pPr>
      <w:r>
        <w:t>Návrh legislatívneho uznesenia</w:t>
      </w:r>
    </w:p>
    <w:p w:rsidR="009E4A8C" w:rsidRPr="00443076" w:rsidRDefault="00D40A26" w:rsidP="00E65025">
      <w:pPr>
        <w:pStyle w:val="NormalBold12a"/>
      </w:pPr>
      <w:r>
        <w:t>Návrh pozície Európskeho parlamentu po právno-lingvistickej finalizácii útvarmi Európskeho parlamentu a Rady znie:</w:t>
      </w:r>
    </w:p>
    <w:p w:rsidR="00B51880" w:rsidRPr="00B51880" w:rsidRDefault="00D40A26" w:rsidP="00B51880">
      <w:pPr>
        <w:spacing w:before="840" w:line="360" w:lineRule="auto"/>
        <w:jc w:val="center"/>
        <w:rPr>
          <w:rFonts w:eastAsia="Calibri"/>
          <w:b/>
          <w:noProof/>
          <w:szCs w:val="22"/>
          <w:lang w:eastAsia="en-US"/>
        </w:rPr>
      </w:pPr>
      <w:r>
        <w:t xml:space="preserve"> </w:t>
      </w:r>
      <w:r w:rsidR="00B51880" w:rsidRPr="00B51880">
        <w:rPr>
          <w:rFonts w:eastAsia="Calibri"/>
          <w:b/>
          <w:noProof/>
          <w:szCs w:val="22"/>
          <w:lang w:eastAsia="en-US"/>
        </w:rPr>
        <w:t>NARIADENIE EURÓPSKEHO PARLAMENTU A RADY (EÚ) 2020/...</w:t>
      </w:r>
    </w:p>
    <w:p w:rsidR="00B51880" w:rsidRPr="00B51880" w:rsidRDefault="00B51880" w:rsidP="00B51880">
      <w:pPr>
        <w:widowControl/>
        <w:spacing w:before="360" w:line="360" w:lineRule="auto"/>
        <w:jc w:val="center"/>
        <w:rPr>
          <w:rFonts w:eastAsia="Calibri"/>
          <w:b/>
          <w:noProof/>
          <w:szCs w:val="22"/>
          <w:lang w:eastAsia="en-US"/>
        </w:rPr>
      </w:pPr>
      <w:r w:rsidRPr="00B51880">
        <w:rPr>
          <w:rFonts w:eastAsia="Calibri"/>
          <w:b/>
          <w:noProof/>
          <w:szCs w:val="22"/>
          <w:lang w:eastAsia="en-US"/>
        </w:rPr>
        <w:t>z ...,</w:t>
      </w:r>
    </w:p>
    <w:p w:rsidR="00B51880" w:rsidRPr="00B51880" w:rsidRDefault="00B51880" w:rsidP="00B51880">
      <w:pPr>
        <w:widowControl/>
        <w:spacing w:before="360" w:after="360" w:line="360" w:lineRule="auto"/>
        <w:jc w:val="center"/>
        <w:rPr>
          <w:rFonts w:eastAsia="Calibri"/>
          <w:b/>
          <w:noProof/>
          <w:szCs w:val="22"/>
          <w:lang w:eastAsia="en-US"/>
        </w:rPr>
      </w:pPr>
      <w:r w:rsidRPr="00B51880">
        <w:rPr>
          <w:rFonts w:eastAsia="Calibri"/>
          <w:b/>
          <w:noProof/>
          <w:szCs w:val="22"/>
          <w:lang w:eastAsia="en-US"/>
        </w:rPr>
        <w:t>ktorým sa mení nariadenie (EÚ) č. 1303/2013, pokiaľ ide o zdroje na osobitné pridelené prostriedky na iniciatívu na podporu zamestnanosti mladých ľudí</w:t>
      </w:r>
    </w:p>
    <w:p w:rsidR="00B51880" w:rsidRPr="00B51880" w:rsidRDefault="00B51880" w:rsidP="00B51880">
      <w:pPr>
        <w:keepNext/>
        <w:widowControl/>
        <w:spacing w:before="60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lastRenderedPageBreak/>
        <w:t>EURÓPSKY PARLAMENT A RADA EURÓPSKEJ ÚNIE,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so zreteľom na Zmluvu o fungovaní Európskej únie, a najmä na jej článok 177,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so zreteľom na návrh Európskej komisie,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po postúpení návrhu legislatívneho aktu národným parlamentom,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so zreteľom na stanovisko Európskeho hospodárskeho a sociálneho výboru</w:t>
      </w:r>
      <w:r w:rsidRPr="00B51880">
        <w:rPr>
          <w:rFonts w:eastAsia="Calibri"/>
          <w:noProof/>
          <w:szCs w:val="24"/>
          <w:vertAlign w:val="superscript"/>
          <w:lang w:eastAsia="en-US"/>
        </w:rPr>
        <w:footnoteReference w:id="1"/>
      </w:r>
      <w:r w:rsidRPr="00B51880">
        <w:rPr>
          <w:rFonts w:eastAsia="Calibri"/>
          <w:noProof/>
          <w:szCs w:val="22"/>
          <w:lang w:eastAsia="en-US"/>
        </w:rPr>
        <w:t>,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po porade s Výborom regiónov,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konajúc v súlade s riadnym legislatívnym postupom</w:t>
      </w:r>
      <w:r w:rsidRPr="00B51880">
        <w:rPr>
          <w:rFonts w:eastAsia="Calibri"/>
          <w:noProof/>
          <w:szCs w:val="22"/>
          <w:vertAlign w:val="superscript"/>
          <w:lang w:eastAsia="en-US"/>
        </w:rPr>
        <w:footnoteReference w:id="2"/>
      </w:r>
      <w:r w:rsidRPr="00B51880">
        <w:rPr>
          <w:rFonts w:eastAsia="Calibri"/>
          <w:noProof/>
          <w:szCs w:val="22"/>
          <w:lang w:eastAsia="en-US"/>
        </w:rPr>
        <w:t>,</w:t>
      </w:r>
    </w:p>
    <w:p w:rsidR="00B51880" w:rsidRPr="00B51880" w:rsidRDefault="00B51880" w:rsidP="00B51880">
      <w:pPr>
        <w:widowControl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br w:type="page"/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lastRenderedPageBreak/>
        <w:t>keďže:</w:t>
      </w:r>
    </w:p>
    <w:p w:rsidR="00B51880" w:rsidRPr="00B51880" w:rsidRDefault="00B51880" w:rsidP="00B51880">
      <w:pPr>
        <w:widowControl/>
        <w:spacing w:before="120" w:after="120" w:line="360" w:lineRule="auto"/>
        <w:ind w:left="851" w:hanging="851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szCs w:val="22"/>
          <w:lang w:eastAsia="en-US"/>
        </w:rPr>
        <w:t>(1)</w:t>
      </w:r>
      <w:r w:rsidRPr="00B51880">
        <w:rPr>
          <w:rFonts w:eastAsia="Calibri"/>
          <w:szCs w:val="22"/>
          <w:lang w:eastAsia="en-US"/>
        </w:rPr>
        <w:tab/>
      </w:r>
      <w:r w:rsidRPr="00B51880">
        <w:rPr>
          <w:rFonts w:eastAsia="Calibri"/>
          <w:noProof/>
          <w:szCs w:val="22"/>
          <w:lang w:eastAsia="en-US"/>
        </w:rPr>
        <w:t>V nariadení Európskeho parlamentu a Rady (EÚ) č. 1303/2013</w:t>
      </w:r>
      <w:r w:rsidRPr="00B51880">
        <w:rPr>
          <w:rFonts w:eastAsia="Calibri"/>
          <w:noProof/>
          <w:szCs w:val="24"/>
          <w:vertAlign w:val="superscript"/>
          <w:lang w:eastAsia="en-US"/>
        </w:rPr>
        <w:footnoteReference w:id="3"/>
      </w:r>
      <w:r w:rsidRPr="00B51880">
        <w:rPr>
          <w:rFonts w:eastAsia="Calibri"/>
          <w:noProof/>
          <w:szCs w:val="22"/>
          <w:lang w:eastAsia="en-US"/>
        </w:rPr>
        <w:t xml:space="preserve"> sa stanovujú spoločné a všeobecné pravidlá uplatniteľné na európske štrukturálne a investičné fondy.</w:t>
      </w:r>
    </w:p>
    <w:p w:rsidR="00B51880" w:rsidRPr="00B51880" w:rsidRDefault="00B51880" w:rsidP="00B51880">
      <w:pPr>
        <w:widowControl/>
        <w:spacing w:before="120" w:after="120" w:line="360" w:lineRule="auto"/>
        <w:ind w:left="851" w:hanging="851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szCs w:val="22"/>
          <w:lang w:eastAsia="en-US"/>
        </w:rPr>
        <w:t>(2)</w:t>
      </w:r>
      <w:r w:rsidRPr="00B51880">
        <w:rPr>
          <w:rFonts w:eastAsia="Calibri"/>
          <w:szCs w:val="22"/>
          <w:lang w:eastAsia="en-US"/>
        </w:rPr>
        <w:tab/>
      </w:r>
      <w:r w:rsidRPr="00B51880">
        <w:rPr>
          <w:rFonts w:eastAsia="Calibri"/>
          <w:noProof/>
          <w:szCs w:val="22"/>
          <w:lang w:eastAsia="en-US"/>
        </w:rPr>
        <w:t>V rámci všeobecného rozpočtu Európskej únie na rozpočtový rok 2020</w:t>
      </w:r>
      <w:r w:rsidRPr="00B51880">
        <w:rPr>
          <w:rFonts w:eastAsia="Calibri"/>
          <w:noProof/>
          <w:szCs w:val="22"/>
          <w:vertAlign w:val="superscript"/>
          <w:lang w:eastAsia="en-US"/>
        </w:rPr>
        <w:footnoteReference w:id="4"/>
      </w:r>
      <w:r w:rsidRPr="00B51880">
        <w:rPr>
          <w:rFonts w:eastAsia="Calibri"/>
          <w:noProof/>
          <w:szCs w:val="22"/>
          <w:lang w:eastAsia="en-US"/>
        </w:rPr>
        <w:t xml:space="preserve"> sa zmenila celková výška zdrojov na iniciatívu na podporu zamestnanosti mladých ľudí, a to zvýšením viazaných rozpočtových prostriedkov na osobitné pridelené prostriedky na iniciatívu na podporu zamestnanosti mladých ľudí</w:t>
      </w:r>
      <w:r w:rsidRPr="00B51880" w:rsidDel="001D0BED">
        <w:rPr>
          <w:rFonts w:eastAsia="Calibri"/>
          <w:noProof/>
          <w:szCs w:val="22"/>
          <w:lang w:eastAsia="en-US"/>
        </w:rPr>
        <w:t xml:space="preserve"> </w:t>
      </w:r>
      <w:r w:rsidRPr="00B51880">
        <w:rPr>
          <w:rFonts w:eastAsia="Calibri"/>
          <w:noProof/>
          <w:szCs w:val="22"/>
          <w:lang w:eastAsia="en-US"/>
        </w:rPr>
        <w:t>v roku 2020 o 28 333 334 EUR v bežných cenách, a teda zvýšením celkovej sumy viazaných rozpočtových prostriedkov na osobitné pridelené prostriedky na iniciatívu na podporu zamestnanosti mladých ľudí na celé programové obdobie na 4 556 215 406 EUR v bežných cenách.</w:t>
      </w:r>
    </w:p>
    <w:p w:rsidR="00B51880" w:rsidRPr="00B51880" w:rsidRDefault="00B51880" w:rsidP="00B51880">
      <w:pPr>
        <w:widowControl/>
        <w:spacing w:before="120" w:after="120" w:line="360" w:lineRule="auto"/>
        <w:ind w:left="851" w:hanging="851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szCs w:val="22"/>
          <w:lang w:eastAsia="en-US"/>
        </w:rPr>
        <w:t>(3)</w:t>
      </w:r>
      <w:r w:rsidRPr="00B51880">
        <w:rPr>
          <w:rFonts w:eastAsia="Calibri"/>
          <w:szCs w:val="22"/>
          <w:lang w:eastAsia="en-US"/>
        </w:rPr>
        <w:tab/>
      </w:r>
      <w:r w:rsidRPr="00B51880">
        <w:rPr>
          <w:rFonts w:eastAsia="Calibri"/>
          <w:noProof/>
          <w:szCs w:val="22"/>
          <w:lang w:eastAsia="en-US"/>
        </w:rPr>
        <w:t>V roku 2020 sú dodatočné zdroje vo výške 23,7 milióna EUR v cenách z roku 2011 financované z celkovej rezervy na záväzky v rámci rezervy viacročného finančného rámca na roky 2014 – 2020.</w:t>
      </w:r>
    </w:p>
    <w:p w:rsidR="00B51880" w:rsidRPr="00B51880" w:rsidRDefault="00B51880" w:rsidP="00B51880">
      <w:pPr>
        <w:widowControl/>
        <w:spacing w:before="120" w:after="120" w:line="360" w:lineRule="auto"/>
        <w:ind w:left="851" w:hanging="851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(4)</w:t>
      </w:r>
      <w:r w:rsidRPr="00B51880">
        <w:rPr>
          <w:rFonts w:eastAsia="Calibri"/>
          <w:noProof/>
          <w:szCs w:val="22"/>
          <w:lang w:eastAsia="en-US"/>
        </w:rPr>
        <w:tab/>
        <w:t>Vzhľadom na naliehavosť zmeny programov, ktoré podporujú iniciatívu na podporu zamestnanosti mladých ľudí</w:t>
      </w:r>
      <w:r w:rsidRPr="00B51880" w:rsidDel="001D0BED">
        <w:rPr>
          <w:rFonts w:eastAsia="Calibri"/>
          <w:noProof/>
          <w:szCs w:val="22"/>
          <w:lang w:eastAsia="en-US"/>
        </w:rPr>
        <w:t xml:space="preserve"> </w:t>
      </w:r>
      <w:r w:rsidRPr="00B51880">
        <w:rPr>
          <w:rFonts w:eastAsia="Calibri"/>
          <w:noProof/>
          <w:szCs w:val="22"/>
          <w:lang w:eastAsia="en-US"/>
        </w:rPr>
        <w:t>s cieľom zahrnúť dodatočné zdroje na osobitné pridelené prostriedky na iniciatívu na podporu zamestnanosti mladých ľudí</w:t>
      </w:r>
      <w:r w:rsidRPr="00B51880" w:rsidDel="001D0BED">
        <w:rPr>
          <w:rFonts w:eastAsia="Calibri"/>
          <w:noProof/>
          <w:szCs w:val="22"/>
          <w:lang w:eastAsia="en-US"/>
        </w:rPr>
        <w:t xml:space="preserve"> </w:t>
      </w:r>
      <w:r w:rsidRPr="00B51880">
        <w:rPr>
          <w:rFonts w:eastAsia="Calibri"/>
          <w:noProof/>
          <w:szCs w:val="22"/>
          <w:lang w:eastAsia="en-US"/>
        </w:rPr>
        <w:t>do konca roka 2020, by sa mala uplatniť výnimka z osemtýždňovej lehoty uvedenej v článku 4 Protokolu č. 1 o úlohe národných parlamentov v Európskej únii, ktorý tvorí prílohu k Zmluve o Európskej únii, Zmluve o fungovaní Európskej únie a Zmluve o založení Európskeho spoločenstva pre atómovú energiu.</w:t>
      </w:r>
    </w:p>
    <w:p w:rsidR="00B51880" w:rsidRPr="00B51880" w:rsidRDefault="00B51880" w:rsidP="00B51880">
      <w:pPr>
        <w:widowControl/>
        <w:spacing w:before="120" w:after="120" w:line="360" w:lineRule="auto"/>
        <w:ind w:left="851" w:hanging="851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szCs w:val="22"/>
          <w:lang w:eastAsia="en-US"/>
        </w:rPr>
        <w:t>(5)</w:t>
      </w:r>
      <w:r w:rsidRPr="00B51880">
        <w:rPr>
          <w:rFonts w:eastAsia="Calibri"/>
          <w:szCs w:val="22"/>
          <w:lang w:eastAsia="en-US"/>
        </w:rPr>
        <w:tab/>
      </w:r>
      <w:r w:rsidRPr="00B51880">
        <w:rPr>
          <w:rFonts w:eastAsia="Calibri"/>
          <w:noProof/>
          <w:szCs w:val="22"/>
          <w:lang w:eastAsia="en-US"/>
        </w:rPr>
        <w:t>Nariadenie (EÚ) č. 1303/2013 by sa preto malo zodpovedajúcim spôsobom zmeniť.</w:t>
      </w:r>
    </w:p>
    <w:p w:rsidR="00B51880" w:rsidRPr="00B51880" w:rsidRDefault="00B51880" w:rsidP="00B51880">
      <w:pPr>
        <w:widowControl/>
        <w:spacing w:before="120" w:after="120" w:line="360" w:lineRule="auto"/>
        <w:ind w:left="851" w:hanging="851"/>
        <w:rPr>
          <w:rFonts w:eastAsia="Calibri"/>
          <w:noProof/>
          <w:szCs w:val="24"/>
          <w:lang w:eastAsia="en-US"/>
        </w:rPr>
      </w:pPr>
      <w:r w:rsidRPr="00B51880">
        <w:rPr>
          <w:rFonts w:eastAsia="Calibri"/>
          <w:szCs w:val="22"/>
          <w:lang w:eastAsia="en-US"/>
        </w:rPr>
        <w:lastRenderedPageBreak/>
        <w:t>(6)</w:t>
      </w:r>
      <w:r w:rsidRPr="00B51880">
        <w:rPr>
          <w:rFonts w:eastAsia="Calibri"/>
          <w:szCs w:val="22"/>
          <w:lang w:eastAsia="en-US"/>
        </w:rPr>
        <w:tab/>
      </w:r>
      <w:r w:rsidRPr="00B51880">
        <w:rPr>
          <w:rFonts w:eastAsia="Calibri"/>
          <w:noProof/>
          <w:szCs w:val="22"/>
          <w:lang w:eastAsia="en-US"/>
        </w:rPr>
        <w:t xml:space="preserve">Toto nariadenie by malo nadobudnúť účinnosť čo najskôr, a to dňom nasledujúcim po jeho uverejnení v </w:t>
      </w:r>
      <w:r w:rsidRPr="00B51880">
        <w:rPr>
          <w:rFonts w:eastAsia="Calibri"/>
          <w:i/>
          <w:noProof/>
          <w:szCs w:val="24"/>
          <w:lang w:eastAsia="en-US"/>
        </w:rPr>
        <w:t>Úradnom vestníku Európskej únie</w:t>
      </w:r>
      <w:r w:rsidRPr="00B51880">
        <w:rPr>
          <w:rFonts w:eastAsia="Calibri"/>
          <w:noProof/>
          <w:szCs w:val="22"/>
          <w:lang w:eastAsia="en-US"/>
        </w:rPr>
        <w:t>,</w:t>
      </w:r>
    </w:p>
    <w:p w:rsidR="00B51880" w:rsidRPr="00B51880" w:rsidRDefault="00B51880" w:rsidP="00B51880">
      <w:pPr>
        <w:widowControl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br w:type="page"/>
      </w:r>
    </w:p>
    <w:p w:rsidR="00B51880" w:rsidRPr="00B51880" w:rsidRDefault="00B51880" w:rsidP="00B51880">
      <w:pPr>
        <w:keepNext/>
        <w:widowControl/>
        <w:spacing w:before="120" w:after="120" w:line="360" w:lineRule="auto"/>
        <w:jc w:val="both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lastRenderedPageBreak/>
        <w:t>PRIJALI TOTO NARIADENIE:</w:t>
      </w:r>
    </w:p>
    <w:p w:rsidR="00B51880" w:rsidRPr="00B51880" w:rsidRDefault="00B51880" w:rsidP="00B51880">
      <w:pPr>
        <w:keepNext/>
        <w:widowControl/>
        <w:spacing w:before="120" w:after="120" w:line="360" w:lineRule="auto"/>
        <w:jc w:val="center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Článok 1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Nariadenie (EÚ) č. 1303/2013 sa mení takto:</w:t>
      </w:r>
    </w:p>
    <w:p w:rsidR="00B51880" w:rsidRPr="00B51880" w:rsidRDefault="00B51880" w:rsidP="00B51880">
      <w:pPr>
        <w:widowControl/>
        <w:spacing w:before="120" w:after="120" w:line="360" w:lineRule="auto"/>
        <w:ind w:left="850" w:hanging="850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1.</w:t>
      </w:r>
      <w:r w:rsidRPr="00B51880">
        <w:rPr>
          <w:rFonts w:eastAsia="Calibri"/>
          <w:noProof/>
          <w:szCs w:val="22"/>
          <w:lang w:eastAsia="en-US"/>
        </w:rPr>
        <w:tab/>
        <w:t>V článku 91 sa odsek 1 nahrádza takto:</w:t>
      </w:r>
    </w:p>
    <w:p w:rsidR="00B51880" w:rsidRPr="00B51880" w:rsidRDefault="00B51880" w:rsidP="00B51880">
      <w:pPr>
        <w:widowControl/>
        <w:spacing w:before="120" w:after="120" w:line="360" w:lineRule="auto"/>
        <w:ind w:left="1418" w:hanging="568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„1.</w:t>
      </w:r>
      <w:r w:rsidRPr="00B51880">
        <w:rPr>
          <w:rFonts w:eastAsia="Calibri"/>
          <w:noProof/>
          <w:szCs w:val="22"/>
          <w:lang w:eastAsia="en-US"/>
        </w:rPr>
        <w:tab/>
        <w:t>Zdroje na hospodársku, sociálnu a územnú súdržnosť, ktoré sú k dispozícii pre rozpočtový záväzok na roky 2014 – 2020, predstavujú 330 105 627 309 EUR v cenách z roku 2011 v súlade s ročným rozdelením stanoveným v prílohe VI, z čoho 325 938 694 233 EUR prestavuje celkové zdroje pridelené EFRR, ESF a Kohéznemu fondu a 4 166 933 076 EUR predstavuje osobitné pridelené prostriedky na iniciatívu na podporu zamestnanosti mladých ľudí. Na účely programovania a následného zahrnutia do rozpočtu Únie sa výška zdrojov na hospodársku, sociálnu a územnú súdržnosť zaznamenáva s 2 % ročnou sadzbou.“</w:t>
      </w:r>
    </w:p>
    <w:p w:rsidR="00B51880" w:rsidRPr="00B51880" w:rsidRDefault="00B51880" w:rsidP="00B51880">
      <w:pPr>
        <w:widowControl/>
        <w:spacing w:before="120" w:after="120" w:line="360" w:lineRule="auto"/>
        <w:ind w:left="850" w:hanging="850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2.</w:t>
      </w:r>
      <w:r w:rsidRPr="00B51880">
        <w:rPr>
          <w:rFonts w:eastAsia="Calibri"/>
          <w:noProof/>
          <w:szCs w:val="22"/>
          <w:lang w:eastAsia="en-US"/>
        </w:rPr>
        <w:tab/>
        <w:t>V článku 92 sa odsek 5 nahrádza takto:</w:t>
      </w:r>
    </w:p>
    <w:p w:rsidR="00B51880" w:rsidRPr="00B51880" w:rsidRDefault="00B51880" w:rsidP="00B51880">
      <w:pPr>
        <w:widowControl/>
        <w:spacing w:before="120" w:after="120" w:line="360" w:lineRule="auto"/>
        <w:ind w:left="1418" w:hanging="568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„5.</w:t>
      </w:r>
      <w:r w:rsidRPr="00B51880">
        <w:rPr>
          <w:rFonts w:eastAsia="Calibri"/>
          <w:noProof/>
          <w:szCs w:val="22"/>
          <w:lang w:eastAsia="en-US"/>
        </w:rPr>
        <w:tab/>
        <w:t>Zdroje na iniciatívu na podporu zamestnanosti mladých ľudí tvoria 4 166 933 076 EUR, z ktorých 23,7 milióna EUR predstavuje dodatočné zdroje na rok 2020. Uvedené zdroje dopĺňajú cielené investície z ESF v súlade s článkom 22 nariadenia o ESF.</w:t>
      </w:r>
    </w:p>
    <w:p w:rsidR="00B51880" w:rsidRPr="00B51880" w:rsidRDefault="00B51880" w:rsidP="00B51880">
      <w:pPr>
        <w:widowControl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br w:type="page"/>
      </w:r>
    </w:p>
    <w:p w:rsidR="00B51880" w:rsidRPr="00B51880" w:rsidRDefault="00B51880" w:rsidP="00B51880">
      <w:pPr>
        <w:widowControl/>
        <w:spacing w:before="120" w:after="120" w:line="360" w:lineRule="auto"/>
        <w:ind w:left="1418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lastRenderedPageBreak/>
        <w:t>Členské štáty, ktoré využívajú dodatočné zdroje na osobitné pridelené prostriedky na iniciatívu na podporu zamestnanosti mladých ľudí, môžu požiadať o presun až 50 % týchto dodatočných zdrojov do ESF, aby tak predstavovali zodpovedajúce cielené investície z ESF, ako sa vyžaduje v článku 22 ods. 1 nariadenia o ESF. Takýto presun sa vykoná do príslušných kategórií regiónov zodpovedajúcich kategorizácii regiónov oprávnených na zvýšenie osobitných pridelených prostriedkov na iniciatívu na podporu zamestnanosti mladých ľudí. Členské štáty požiadajú o presun v rámci žiadosti o zmenu programu v súlade s článkom 30 ods. 1 tohto nariadenia. Zdroje pridelené na minulé roky sa nesmú presunúť.</w:t>
      </w:r>
    </w:p>
    <w:p w:rsidR="00B51880" w:rsidRPr="00B51880" w:rsidRDefault="00B51880" w:rsidP="00B51880">
      <w:pPr>
        <w:widowControl/>
        <w:spacing w:before="120" w:after="120" w:line="360" w:lineRule="auto"/>
        <w:ind w:left="1418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Druhý pododsek tohto odseku sa uplatňuje na akékoľvek dodatočné zdroje na osobitné pridelené prostriedky na iniciatívu na podporu zamestnanosti mladých ľudí pridelené v roku 2019 a 2020.“</w:t>
      </w:r>
    </w:p>
    <w:p w:rsidR="00B51880" w:rsidRPr="00B51880" w:rsidRDefault="00B51880" w:rsidP="00B51880">
      <w:pPr>
        <w:widowControl/>
        <w:spacing w:before="120" w:after="120" w:line="360" w:lineRule="auto"/>
        <w:ind w:left="850" w:hanging="850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3.</w:t>
      </w:r>
      <w:r w:rsidRPr="00B51880">
        <w:rPr>
          <w:rFonts w:eastAsia="Calibri"/>
          <w:noProof/>
          <w:szCs w:val="22"/>
          <w:lang w:eastAsia="en-US"/>
        </w:rPr>
        <w:tab/>
        <w:t>Príloha VI sa nahrádza textom uvedeným v prílohe k tomuto nariadeniu.</w:t>
      </w:r>
    </w:p>
    <w:p w:rsidR="00B51880" w:rsidRPr="00B51880" w:rsidRDefault="00B51880" w:rsidP="00B51880">
      <w:pPr>
        <w:widowControl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br w:type="page"/>
      </w:r>
    </w:p>
    <w:p w:rsidR="00B51880" w:rsidRPr="00B51880" w:rsidRDefault="00B51880" w:rsidP="00B51880">
      <w:pPr>
        <w:keepNext/>
        <w:widowControl/>
        <w:spacing w:before="120" w:after="120" w:line="360" w:lineRule="auto"/>
        <w:jc w:val="center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lastRenderedPageBreak/>
        <w:t>Článok 2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 xml:space="preserve">Toto nariadenie nadobúda účinnosť dňom nasledujúcim po jeho uverejnení v </w:t>
      </w:r>
      <w:r w:rsidRPr="00B51880">
        <w:rPr>
          <w:rFonts w:eastAsia="Calibri"/>
          <w:i/>
          <w:noProof/>
          <w:szCs w:val="22"/>
          <w:lang w:eastAsia="en-US"/>
        </w:rPr>
        <w:t>Úradnom vestníku Európskej únie</w:t>
      </w:r>
      <w:r w:rsidRPr="00B51880">
        <w:rPr>
          <w:rFonts w:eastAsia="Calibri"/>
          <w:noProof/>
          <w:szCs w:val="22"/>
          <w:lang w:eastAsia="en-US"/>
        </w:rPr>
        <w:t>.</w:t>
      </w:r>
    </w:p>
    <w:p w:rsidR="00B51880" w:rsidRPr="00B51880" w:rsidRDefault="00B51880" w:rsidP="00B51880">
      <w:pPr>
        <w:widowControl/>
        <w:spacing w:before="120" w:after="120" w:line="360" w:lineRule="auto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noProof/>
          <w:szCs w:val="22"/>
          <w:lang w:eastAsia="en-US"/>
        </w:rPr>
        <w:t>Toto nariadenie je záväzné v celom rozsahu a priamo uplatniteľné vo všetkých členských štátoch.</w:t>
      </w:r>
    </w:p>
    <w:p w:rsidR="00B51880" w:rsidRPr="00B51880" w:rsidRDefault="00B51880" w:rsidP="00B51880">
      <w:pPr>
        <w:keepNext/>
        <w:widowControl/>
        <w:spacing w:before="120" w:after="120" w:line="360" w:lineRule="auto"/>
        <w:jc w:val="both"/>
        <w:rPr>
          <w:rFonts w:eastAsia="Calibri"/>
          <w:noProof/>
          <w:szCs w:val="22"/>
          <w:lang w:eastAsia="en-US"/>
        </w:rPr>
      </w:pPr>
      <w:r w:rsidRPr="00B51880">
        <w:rPr>
          <w:rFonts w:eastAsia="Calibri"/>
          <w:szCs w:val="22"/>
          <w:lang w:eastAsia="en-US"/>
        </w:rPr>
        <w:t>V ...</w:t>
      </w:r>
    </w:p>
    <w:p w:rsidR="00B51880" w:rsidRPr="00B51880" w:rsidRDefault="00B51880" w:rsidP="00B51880">
      <w:pPr>
        <w:keepNext/>
        <w:widowControl/>
        <w:tabs>
          <w:tab w:val="left" w:pos="4252"/>
        </w:tabs>
        <w:spacing w:before="720" w:line="360" w:lineRule="auto"/>
        <w:jc w:val="both"/>
        <w:rPr>
          <w:rFonts w:eastAsia="Calibri"/>
          <w:i/>
          <w:noProof/>
          <w:szCs w:val="22"/>
          <w:lang w:eastAsia="en-US"/>
        </w:rPr>
      </w:pPr>
      <w:r w:rsidRPr="00B51880">
        <w:rPr>
          <w:rFonts w:eastAsia="Calibri"/>
          <w:i/>
          <w:noProof/>
          <w:szCs w:val="22"/>
          <w:lang w:eastAsia="en-US"/>
        </w:rPr>
        <w:t>Za Európsky parlament</w:t>
      </w:r>
      <w:r w:rsidRPr="00B51880">
        <w:rPr>
          <w:rFonts w:eastAsia="Calibri"/>
          <w:i/>
          <w:noProof/>
          <w:szCs w:val="22"/>
          <w:lang w:eastAsia="en-US"/>
        </w:rPr>
        <w:tab/>
        <w:t>Za Radu</w:t>
      </w:r>
    </w:p>
    <w:p w:rsidR="00B51880" w:rsidRPr="00B51880" w:rsidRDefault="00B51880" w:rsidP="00B51880">
      <w:pPr>
        <w:widowControl/>
        <w:tabs>
          <w:tab w:val="left" w:pos="4252"/>
        </w:tabs>
        <w:spacing w:line="360" w:lineRule="auto"/>
        <w:rPr>
          <w:rFonts w:eastAsia="Calibri"/>
          <w:i/>
          <w:noProof/>
          <w:szCs w:val="22"/>
          <w:lang w:eastAsia="en-US"/>
        </w:rPr>
      </w:pPr>
      <w:r w:rsidRPr="00B51880">
        <w:rPr>
          <w:rFonts w:eastAsia="Calibri"/>
          <w:i/>
          <w:noProof/>
          <w:szCs w:val="22"/>
          <w:lang w:eastAsia="en-US"/>
        </w:rPr>
        <w:t>predseda</w:t>
      </w:r>
      <w:r w:rsidRPr="00B51880">
        <w:rPr>
          <w:rFonts w:eastAsia="Calibri"/>
          <w:i/>
          <w:noProof/>
          <w:szCs w:val="22"/>
          <w:lang w:eastAsia="en-US"/>
        </w:rPr>
        <w:tab/>
        <w:t>predseda</w:t>
      </w:r>
    </w:p>
    <w:p w:rsidR="00B51880" w:rsidRPr="00B51880" w:rsidRDefault="00B51880" w:rsidP="00B51880">
      <w:pPr>
        <w:widowControl/>
        <w:rPr>
          <w:rFonts w:eastAsia="Calibri"/>
          <w:bCs/>
          <w:noProof/>
          <w:color w:val="000000"/>
          <w:szCs w:val="24"/>
          <w:lang w:eastAsia="en-US"/>
        </w:rPr>
      </w:pPr>
      <w:r w:rsidRPr="00B51880">
        <w:rPr>
          <w:rFonts w:eastAsia="Calibri"/>
          <w:bCs/>
          <w:noProof/>
          <w:color w:val="000000"/>
          <w:szCs w:val="24"/>
          <w:lang w:eastAsia="en-US"/>
        </w:rPr>
        <w:br w:type="page"/>
      </w:r>
    </w:p>
    <w:p w:rsidR="00B51880" w:rsidRPr="00B51880" w:rsidRDefault="00B51880" w:rsidP="00B51880">
      <w:pPr>
        <w:widowControl/>
        <w:spacing w:before="240" w:after="120"/>
        <w:jc w:val="center"/>
        <w:rPr>
          <w:rFonts w:eastAsia="Calibri"/>
          <w:bCs/>
          <w:noProof/>
          <w:color w:val="000000"/>
          <w:szCs w:val="24"/>
          <w:lang w:eastAsia="en-US"/>
        </w:rPr>
      </w:pPr>
      <w:r w:rsidRPr="00B51880">
        <w:rPr>
          <w:rFonts w:eastAsia="Calibri"/>
          <w:bCs/>
          <w:noProof/>
          <w:color w:val="000000"/>
          <w:szCs w:val="24"/>
          <w:lang w:eastAsia="en-US"/>
        </w:rPr>
        <w:lastRenderedPageBreak/>
        <w:t>PRÍLOHA</w:t>
      </w:r>
    </w:p>
    <w:p w:rsidR="00B51880" w:rsidRPr="00B51880" w:rsidRDefault="00B51880" w:rsidP="00B51880">
      <w:pPr>
        <w:widowControl/>
        <w:spacing w:before="240" w:after="120"/>
        <w:jc w:val="center"/>
        <w:rPr>
          <w:rFonts w:eastAsia="Calibri"/>
          <w:bCs/>
          <w:noProof/>
          <w:color w:val="000000"/>
          <w:szCs w:val="24"/>
          <w:lang w:eastAsia="en-US"/>
        </w:rPr>
      </w:pPr>
      <w:r w:rsidRPr="00B51880">
        <w:rPr>
          <w:rFonts w:eastAsia="Calibri"/>
          <w:bCs/>
          <w:noProof/>
          <w:color w:val="000000"/>
          <w:szCs w:val="24"/>
          <w:lang w:eastAsia="en-US"/>
        </w:rPr>
        <w:t>„PRÍLOHA VI</w:t>
      </w:r>
    </w:p>
    <w:p w:rsidR="00B51880" w:rsidRPr="00B51880" w:rsidRDefault="00B51880" w:rsidP="00B51880">
      <w:pPr>
        <w:widowControl/>
        <w:spacing w:before="240" w:after="120"/>
        <w:rPr>
          <w:rFonts w:eastAsia="Calibri"/>
          <w:bCs/>
          <w:noProof/>
          <w:color w:val="000000"/>
          <w:szCs w:val="24"/>
          <w:lang w:eastAsia="en-US"/>
        </w:rPr>
      </w:pPr>
      <w:r w:rsidRPr="00B51880">
        <w:rPr>
          <w:rFonts w:eastAsia="Calibri"/>
          <w:bCs/>
          <w:noProof/>
          <w:color w:val="000000"/>
          <w:szCs w:val="24"/>
          <w:lang w:eastAsia="en-US"/>
        </w:rPr>
        <w:t>ROČNÉ ROZDELENIE VIAZANÝCH ROZPOČTOVÝCH PROSTRIEDKOV NA ROKY 2014 – 2020</w:t>
      </w:r>
    </w:p>
    <w:p w:rsidR="00B51880" w:rsidRPr="00B51880" w:rsidRDefault="00B51880" w:rsidP="00B51880">
      <w:pPr>
        <w:widowControl/>
        <w:spacing w:before="120" w:after="120"/>
        <w:rPr>
          <w:rFonts w:eastAsia="Calibri"/>
          <w:noProof/>
          <w:color w:val="000000"/>
          <w:szCs w:val="24"/>
          <w:lang w:eastAsia="en-US"/>
        </w:rPr>
      </w:pPr>
      <w:r w:rsidRPr="00B51880">
        <w:rPr>
          <w:rFonts w:eastAsia="Calibri"/>
          <w:noProof/>
          <w:color w:val="000000"/>
          <w:szCs w:val="24"/>
          <w:lang w:eastAsia="en-US"/>
        </w:rPr>
        <w:t>Upravený ročný profil (vrátane dodatočných prostriedkov na iniciatívu na podporu zamestnanosti mladých ľudí)</w:t>
      </w:r>
    </w:p>
    <w:p w:rsidR="00B51880" w:rsidRPr="00B51880" w:rsidRDefault="00B51880" w:rsidP="00B51880">
      <w:pPr>
        <w:widowControl/>
        <w:spacing w:before="120" w:after="120"/>
        <w:jc w:val="both"/>
        <w:rPr>
          <w:rFonts w:eastAsia="Calibri"/>
          <w:noProof/>
          <w:color w:val="000000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082"/>
        <w:gridCol w:w="1808"/>
        <w:gridCol w:w="1709"/>
        <w:gridCol w:w="1731"/>
        <w:gridCol w:w="1906"/>
      </w:tblGrid>
      <w:tr w:rsidR="00B51880" w:rsidRPr="00B51880" w:rsidTr="00937E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2017</w:t>
            </w:r>
          </w:p>
        </w:tc>
      </w:tr>
      <w:tr w:rsidR="00B51880" w:rsidRPr="00B51880" w:rsidTr="00937E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120" w:after="60"/>
              <w:rPr>
                <w:rFonts w:eastAsia="Calibri"/>
                <w:b/>
                <w:bCs/>
                <w:noProof/>
                <w:color w:val="000000"/>
                <w:szCs w:val="24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4"/>
                <w:lang w:eastAsia="en-US"/>
              </w:rPr>
              <w:t>v EUR, ceny z roku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34 108 069 924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55 725 174 682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right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46 044 910 736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right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48 027 317 164</w:t>
            </w:r>
          </w:p>
        </w:tc>
      </w:tr>
    </w:tbl>
    <w:p w:rsidR="00B51880" w:rsidRPr="00B51880" w:rsidRDefault="00B51880" w:rsidP="00B51880">
      <w:pPr>
        <w:widowControl/>
        <w:spacing w:before="120" w:after="120"/>
        <w:jc w:val="both"/>
        <w:rPr>
          <w:rFonts w:eastAsia="Calibri"/>
          <w:noProof/>
          <w:color w:val="000000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081"/>
        <w:gridCol w:w="1768"/>
        <w:gridCol w:w="1743"/>
        <w:gridCol w:w="1730"/>
        <w:gridCol w:w="1914"/>
      </w:tblGrid>
      <w:tr w:rsidR="00B51880" w:rsidRPr="00B51880" w:rsidTr="00937E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color w:val="000000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Spolu</w:t>
            </w:r>
          </w:p>
        </w:tc>
      </w:tr>
      <w:tr w:rsidR="00B51880" w:rsidRPr="00B51880" w:rsidTr="00937E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80" w:rsidRPr="00B51880" w:rsidRDefault="00B51880" w:rsidP="00B51880">
            <w:pPr>
              <w:widowControl/>
              <w:spacing w:before="120" w:after="60"/>
              <w:rPr>
                <w:rFonts w:eastAsia="Calibri"/>
                <w:noProof/>
                <w:color w:val="000000"/>
                <w:szCs w:val="24"/>
                <w:lang w:eastAsia="en-US"/>
              </w:rPr>
            </w:pPr>
            <w:r w:rsidRPr="00B51880">
              <w:rPr>
                <w:rFonts w:eastAsia="Calibri"/>
                <w:b/>
                <w:bCs/>
                <w:noProof/>
                <w:color w:val="000000"/>
                <w:szCs w:val="22"/>
                <w:lang w:eastAsia="en-US"/>
              </w:rPr>
              <w:t>v EUR, ceny z roku 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48 341 984 652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48 811 933 191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49 046 236 960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880" w:rsidRPr="00B51880" w:rsidRDefault="00B51880" w:rsidP="00B51880">
            <w:pPr>
              <w:widowControl/>
              <w:spacing w:before="120" w:after="120"/>
              <w:jc w:val="both"/>
              <w:rPr>
                <w:rFonts w:eastAsia="Calibri"/>
                <w:noProof/>
                <w:szCs w:val="24"/>
                <w:lang w:eastAsia="en-US"/>
              </w:rPr>
            </w:pPr>
            <w:r w:rsidRPr="00B51880">
              <w:rPr>
                <w:rFonts w:eastAsia="Calibri"/>
                <w:noProof/>
                <w:szCs w:val="22"/>
                <w:lang w:eastAsia="en-US"/>
              </w:rPr>
              <w:t>330 105 627 309</w:t>
            </w:r>
          </w:p>
        </w:tc>
      </w:tr>
    </w:tbl>
    <w:p w:rsidR="00B51880" w:rsidRPr="00B51880" w:rsidRDefault="00B51880" w:rsidP="00B51880">
      <w:pPr>
        <w:widowControl/>
        <w:spacing w:before="120" w:after="120"/>
        <w:jc w:val="right"/>
        <w:rPr>
          <w:rFonts w:eastAsia="Calibri"/>
          <w:noProof/>
          <w:color w:val="000000"/>
          <w:szCs w:val="24"/>
          <w:lang w:eastAsia="en-US"/>
        </w:rPr>
      </w:pPr>
      <w:r w:rsidRPr="00B51880">
        <w:rPr>
          <w:rFonts w:eastAsia="Calibri"/>
          <w:noProof/>
          <w:color w:val="000000"/>
          <w:szCs w:val="24"/>
          <w:lang w:eastAsia="en-US"/>
        </w:rPr>
        <w:t>‟</w:t>
      </w:r>
    </w:p>
    <w:p w:rsidR="00B51880" w:rsidRPr="00B51880" w:rsidRDefault="00B51880" w:rsidP="00B51880">
      <w:pPr>
        <w:widowControl/>
        <w:spacing w:before="120" w:after="120" w:line="360" w:lineRule="auto"/>
        <w:jc w:val="center"/>
        <w:rPr>
          <w:rFonts w:eastAsia="Calibri"/>
          <w:szCs w:val="24"/>
          <w:lang w:eastAsia="en-US"/>
        </w:rPr>
      </w:pPr>
    </w:p>
    <w:p w:rsidR="009E4A8C" w:rsidRPr="00443076" w:rsidRDefault="009E4A8C" w:rsidP="009E4A8C">
      <w:pPr>
        <w:pStyle w:val="Normal12a"/>
      </w:pPr>
    </w:p>
    <w:p w:rsidR="0026678F" w:rsidRPr="00443076" w:rsidRDefault="00D40A26" w:rsidP="0026678F">
      <w:pPr>
        <w:pStyle w:val="ERVersions"/>
      </w:pPr>
      <w:r>
        <w:t>(Týka sa všetkých jazykov.)</w:t>
      </w:r>
    </w:p>
    <w:p w:rsidR="002B4C0F" w:rsidRPr="00443076" w:rsidRDefault="002B4C0F" w:rsidP="002B4C0F"/>
    <w:sectPr w:rsidR="002B4C0F" w:rsidRPr="00443076" w:rsidSect="00C24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0A" w:rsidRPr="00443076" w:rsidRDefault="00A4220A">
      <w:r w:rsidRPr="00443076">
        <w:separator/>
      </w:r>
    </w:p>
  </w:endnote>
  <w:endnote w:type="continuationSeparator" w:id="0">
    <w:p w:rsidR="00A4220A" w:rsidRPr="00443076" w:rsidRDefault="00A4220A">
      <w:r w:rsidRPr="004430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3D" w:rsidRDefault="00C2483D" w:rsidP="00C2483D">
    <w:pPr>
      <w:pStyle w:val="EPFooter"/>
    </w:pPr>
    <w:r>
      <w:t>PE</w:t>
    </w:r>
    <w:r w:rsidRPr="00C2483D">
      <w:rPr>
        <w:rStyle w:val="HideTWBExt"/>
      </w:rPr>
      <w:t>&lt;NoPE&gt;</w:t>
    </w:r>
    <w:r>
      <w:t>652.550</w:t>
    </w:r>
    <w:r w:rsidRPr="00C2483D">
      <w:rPr>
        <w:rStyle w:val="HideTWBExt"/>
      </w:rPr>
      <w:t>&lt;/NoPE&gt;&lt;Version&gt;</w:t>
    </w:r>
    <w:r>
      <w:t>v02-00</w:t>
    </w:r>
    <w:r w:rsidRPr="00C2483D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8</w:t>
      </w:r>
    </w:fldSimple>
    <w:r>
      <w:tab/>
    </w:r>
    <w:r w:rsidRPr="00C2483D">
      <w:rPr>
        <w:rStyle w:val="HideTWBExt"/>
      </w:rPr>
      <w:t>&lt;PathFdR&gt;</w:t>
    </w:r>
    <w:r>
      <w:t>RR\1207022SK.docx</w:t>
    </w:r>
    <w:r w:rsidRPr="00C2483D">
      <w:rPr>
        <w:rStyle w:val="HideTWBExt"/>
      </w:rPr>
      <w:t>&lt;/PathFdR&gt;</w:t>
    </w:r>
  </w:p>
  <w:p w:rsidR="00C04425" w:rsidRPr="00443076" w:rsidRDefault="00C2483D" w:rsidP="00C2483D">
    <w:pPr>
      <w:pStyle w:val="EPFooter2"/>
    </w:pPr>
    <w:r>
      <w:t>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3D" w:rsidRDefault="00C2483D" w:rsidP="00C2483D">
    <w:pPr>
      <w:pStyle w:val="EPFooter"/>
    </w:pPr>
    <w:r w:rsidRPr="00C2483D">
      <w:rPr>
        <w:rStyle w:val="HideTWBExt"/>
      </w:rPr>
      <w:t>&lt;PathFdR&gt;</w:t>
    </w:r>
    <w:r>
      <w:t>RR\1207022SK.docx</w:t>
    </w:r>
    <w:r w:rsidRPr="00C2483D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 \* MERGEFORMAT ">
      <w:r>
        <w:rPr>
          <w:noProof/>
        </w:rPr>
        <w:t>8</w:t>
      </w:r>
    </w:fldSimple>
    <w:r>
      <w:tab/>
      <w:t>PE</w:t>
    </w:r>
    <w:r w:rsidRPr="00C2483D">
      <w:rPr>
        <w:rStyle w:val="HideTWBExt"/>
      </w:rPr>
      <w:t>&lt;NoPE&gt;</w:t>
    </w:r>
    <w:r>
      <w:t>652.550</w:t>
    </w:r>
    <w:r w:rsidRPr="00C2483D">
      <w:rPr>
        <w:rStyle w:val="HideTWBExt"/>
      </w:rPr>
      <w:t>&lt;/NoPE&gt;&lt;Version&gt;</w:t>
    </w:r>
    <w:r>
      <w:t>v02-00</w:t>
    </w:r>
    <w:r w:rsidRPr="00C2483D">
      <w:rPr>
        <w:rStyle w:val="HideTWBExt"/>
      </w:rPr>
      <w:t>&lt;/Version&gt;</w:t>
    </w:r>
  </w:p>
  <w:p w:rsidR="00C04425" w:rsidRPr="00443076" w:rsidRDefault="00C2483D" w:rsidP="00C2483D">
    <w:pPr>
      <w:pStyle w:val="EPFooter2"/>
    </w:pPr>
    <w:r>
      <w:tab/>
    </w: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3D" w:rsidRDefault="00C2483D" w:rsidP="00C2483D">
    <w:pPr>
      <w:pStyle w:val="EPFooter"/>
    </w:pPr>
    <w:r w:rsidRPr="00C2483D">
      <w:rPr>
        <w:rStyle w:val="HideTWBExt"/>
      </w:rPr>
      <w:t>&lt;PathFdR&gt;</w:t>
    </w:r>
    <w:r>
      <w:t>RR\1207022SK.docx</w:t>
    </w:r>
    <w:r w:rsidRPr="00C2483D">
      <w:rPr>
        <w:rStyle w:val="HideTWBExt"/>
      </w:rPr>
      <w:t>&lt;/PathFdR&gt;</w:t>
    </w:r>
    <w:r>
      <w:tab/>
    </w:r>
    <w:r>
      <w:tab/>
      <w:t>PE</w:t>
    </w:r>
    <w:r w:rsidRPr="00C2483D">
      <w:rPr>
        <w:rStyle w:val="HideTWBExt"/>
      </w:rPr>
      <w:t>&lt;NoPE&gt;</w:t>
    </w:r>
    <w:r>
      <w:t>652.550</w:t>
    </w:r>
    <w:r w:rsidRPr="00C2483D">
      <w:rPr>
        <w:rStyle w:val="HideTWBExt"/>
      </w:rPr>
      <w:t>&lt;/NoPE&gt;&lt;Version&gt;</w:t>
    </w:r>
    <w:r>
      <w:t>v02-00</w:t>
    </w:r>
    <w:r w:rsidRPr="00C2483D">
      <w:rPr>
        <w:rStyle w:val="HideTWBExt"/>
      </w:rPr>
      <w:t>&lt;/Version&gt;</w:t>
    </w:r>
  </w:p>
  <w:p w:rsidR="00C04425" w:rsidRPr="00443076" w:rsidRDefault="00C2483D" w:rsidP="00C2483D">
    <w:pPr>
      <w:pStyle w:val="EPFooter2"/>
    </w:pPr>
    <w:r>
      <w:t>SK</w:t>
    </w:r>
    <w:r>
      <w:tab/>
    </w:r>
    <w:r w:rsidRPr="00C2483D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0A" w:rsidRPr="00443076" w:rsidRDefault="00A4220A">
      <w:r w:rsidRPr="00443076">
        <w:separator/>
      </w:r>
    </w:p>
  </w:footnote>
  <w:footnote w:type="continuationSeparator" w:id="0">
    <w:p w:rsidR="00A4220A" w:rsidRPr="00443076" w:rsidRDefault="00A4220A">
      <w:r w:rsidRPr="00443076">
        <w:continuationSeparator/>
      </w:r>
    </w:p>
  </w:footnote>
  <w:footnote w:id="1">
    <w:p w:rsidR="00B51880" w:rsidRPr="00811A3D" w:rsidRDefault="00B51880" w:rsidP="00B51880">
      <w:pPr>
        <w:ind w:left="851" w:hanging="851"/>
      </w:pPr>
      <w:r w:rsidRPr="00811A3D">
        <w:rPr>
          <w:rStyle w:val="FootnoteReference"/>
        </w:rPr>
        <w:footnoteRef/>
      </w:r>
      <w:r w:rsidRPr="00811A3D">
        <w:tab/>
      </w:r>
      <w:r>
        <w:t>Stanovisko z 10. júna 2020 (zatiaľ neuverejnené v úradnom vestníku)</w:t>
      </w:r>
      <w:r w:rsidRPr="00811A3D">
        <w:t>.</w:t>
      </w:r>
    </w:p>
  </w:footnote>
  <w:footnote w:id="2">
    <w:p w:rsidR="00B51880" w:rsidRPr="00C84EDC" w:rsidRDefault="00B51880" w:rsidP="00B51880">
      <w:pPr>
        <w:pStyle w:val="FootnoteText"/>
        <w:ind w:left="851" w:hanging="851"/>
        <w:jc w:val="left"/>
        <w:rPr>
          <w:sz w:val="24"/>
          <w:szCs w:val="24"/>
          <w:lang w:val="sk-SK"/>
        </w:rPr>
      </w:pPr>
      <w:r>
        <w:rPr>
          <w:rStyle w:val="FootnoteReference"/>
        </w:rPr>
        <w:footnoteRef/>
      </w:r>
      <w:r>
        <w:rPr>
          <w:lang w:val="sk-SK"/>
        </w:rPr>
        <w:tab/>
      </w:r>
      <w:r w:rsidRPr="00C84EDC">
        <w:rPr>
          <w:sz w:val="24"/>
          <w:szCs w:val="24"/>
          <w:lang w:val="sk-SK"/>
        </w:rPr>
        <w:t>Pozícia Európs</w:t>
      </w:r>
      <w:r>
        <w:rPr>
          <w:sz w:val="24"/>
          <w:szCs w:val="24"/>
          <w:lang w:val="sk-SK"/>
        </w:rPr>
        <w:t>keho parlamentu z ...</w:t>
      </w:r>
      <w:r w:rsidRPr="00C84EDC">
        <w:rPr>
          <w:sz w:val="24"/>
          <w:szCs w:val="24"/>
          <w:lang w:val="sk-SK"/>
        </w:rPr>
        <w:t xml:space="preserve"> (zatiaľ neuverejnená v úradnom vestníku) a r</w:t>
      </w:r>
      <w:r>
        <w:rPr>
          <w:sz w:val="24"/>
          <w:szCs w:val="24"/>
          <w:lang w:val="sk-SK"/>
        </w:rPr>
        <w:t>ozhodnutie Rady z ...</w:t>
      </w:r>
      <w:r w:rsidRPr="00C84EDC">
        <w:rPr>
          <w:sz w:val="24"/>
          <w:szCs w:val="24"/>
          <w:lang w:val="sk-SK"/>
        </w:rPr>
        <w:t>.</w:t>
      </w:r>
    </w:p>
  </w:footnote>
  <w:footnote w:id="3">
    <w:p w:rsidR="00B51880" w:rsidRPr="00811A3D" w:rsidRDefault="00B51880" w:rsidP="00B51880">
      <w:pPr>
        <w:ind w:left="851" w:hanging="851"/>
      </w:pPr>
      <w:r w:rsidRPr="00811A3D">
        <w:rPr>
          <w:rStyle w:val="FootnoteReference"/>
        </w:rPr>
        <w:footnoteRef/>
      </w:r>
      <w:r w:rsidRPr="00811A3D">
        <w:tab/>
        <w:t xml:space="preserve">Nariadenie Európskeho parlamentu a Rady (EÚ) č. 1303/2013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 </w:t>
      </w:r>
      <w:r>
        <w:t>(</w:t>
      </w:r>
      <w:r w:rsidRPr="00811A3D">
        <w:t>Ú. v. EÚ L 347, 20.12.2013, s. 320</w:t>
      </w:r>
      <w:r>
        <w:t>)</w:t>
      </w:r>
      <w:r w:rsidRPr="00811A3D">
        <w:t>.</w:t>
      </w:r>
    </w:p>
  </w:footnote>
  <w:footnote w:id="4">
    <w:p w:rsidR="00B51880" w:rsidRPr="00811A3D" w:rsidRDefault="00B51880" w:rsidP="00B51880">
      <w:pPr>
        <w:ind w:left="851" w:hanging="851"/>
      </w:pPr>
      <w:r w:rsidRPr="00811A3D">
        <w:rPr>
          <w:rStyle w:val="FootnoteReference"/>
        </w:rPr>
        <w:footnoteRef/>
      </w:r>
      <w:r w:rsidRPr="00811A3D">
        <w:tab/>
        <w:t xml:space="preserve">Ú. v. EÚ </w:t>
      </w:r>
      <w:r>
        <w:t>L 57</w:t>
      </w:r>
      <w:r w:rsidRPr="00811A3D">
        <w:t xml:space="preserve">, </w:t>
      </w:r>
      <w:r>
        <w:t>27.2.2020</w:t>
      </w:r>
      <w:r w:rsidRPr="00811A3D">
        <w:t xml:space="preserve">, s. </w:t>
      </w:r>
      <w:r>
        <w:t>1</w:t>
      </w:r>
      <w:r w:rsidRPr="00811A3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26" w:rsidRDefault="00D4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26" w:rsidRDefault="00D40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26" w:rsidRDefault="00D4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1"/>
    <w:docVar w:name="ERRCOMM" w:val="REGI"/>
    <w:docVar w:name="ERRDATE" w:val="02/07/2020"/>
    <w:docVar w:name="ERRDOCREF" w:val="4"/>
    <w:docVar w:name="ERRDOCUMENT" w:val="1"/>
    <w:docVar w:name="ERRTYPE" w:val="2"/>
    <w:docVar w:name="LastEditedSection" w:val=" 1"/>
    <w:docVar w:name="strDocTypeID" w:val="ER"/>
    <w:docVar w:name="strSubDir" w:val="1207"/>
    <w:docVar w:name="TA_Type" w:val="TA_Erratum"/>
    <w:docVar w:name="TXTAUTHOR" w:val="Younous Omarjee"/>
    <w:docVar w:name="TXTDOCREF" w:val="(COM(2020)0206 – C9-0145/2020 – 2020/0086(COD))"/>
    <w:docVar w:name="TXTERRVERSION" w:val="01"/>
    <w:docVar w:name="TXTLANGUE" w:val="SK"/>
    <w:docVar w:name="TXTLANGUEMIN" w:val="sk"/>
    <w:docVar w:name="TXTNRA" w:val="0111/2020"/>
    <w:docVar w:name="TXTNRAVERSION" w:val="01"/>
    <w:docVar w:name="TXTNRPE" w:val="652.550"/>
    <w:docVar w:name="TXTPEorAP" w:val="PE"/>
    <w:docVar w:name="TXTROUTE" w:val="RR\1207022SK.docx"/>
    <w:docVar w:name="TXTROUTEFDR" w:val="1207022"/>
    <w:docVar w:name="TXTROUTETYPE" w:val="RR"/>
    <w:docVar w:name="TXTTITLE" w:val="o návrhu nariadenia Európskeho parlamentu a Rady, ktorým sa mení nariadenie (EÚ) č. 1303/2013, pokiaľ ide o zdroje na osobitné pridelené prostriedky na iniciatívu na podporu zamestnanosti mladých ľudí"/>
    <w:docVar w:name="TXTVERSION" w:val="02-00"/>
  </w:docVars>
  <w:rsids>
    <w:rsidRoot w:val="00A4220A"/>
    <w:rsid w:val="00020450"/>
    <w:rsid w:val="000427ED"/>
    <w:rsid w:val="00051161"/>
    <w:rsid w:val="00055703"/>
    <w:rsid w:val="00082280"/>
    <w:rsid w:val="000B0781"/>
    <w:rsid w:val="00115E85"/>
    <w:rsid w:val="00141C4C"/>
    <w:rsid w:val="002122FA"/>
    <w:rsid w:val="00231EA7"/>
    <w:rsid w:val="0026678F"/>
    <w:rsid w:val="0026698E"/>
    <w:rsid w:val="0027459E"/>
    <w:rsid w:val="002B4C0F"/>
    <w:rsid w:val="002D71E5"/>
    <w:rsid w:val="002E0367"/>
    <w:rsid w:val="003A1478"/>
    <w:rsid w:val="00422BB2"/>
    <w:rsid w:val="00443076"/>
    <w:rsid w:val="004545B0"/>
    <w:rsid w:val="00465AFF"/>
    <w:rsid w:val="004716FE"/>
    <w:rsid w:val="004F5E6B"/>
    <w:rsid w:val="00502FC2"/>
    <w:rsid w:val="00523F25"/>
    <w:rsid w:val="0061230C"/>
    <w:rsid w:val="0062001B"/>
    <w:rsid w:val="006853D7"/>
    <w:rsid w:val="006A2838"/>
    <w:rsid w:val="007152AF"/>
    <w:rsid w:val="00756A4B"/>
    <w:rsid w:val="00763534"/>
    <w:rsid w:val="007D08D0"/>
    <w:rsid w:val="00815CE5"/>
    <w:rsid w:val="008269D5"/>
    <w:rsid w:val="00833962"/>
    <w:rsid w:val="00866DC9"/>
    <w:rsid w:val="0087709A"/>
    <w:rsid w:val="008850D6"/>
    <w:rsid w:val="008B31F4"/>
    <w:rsid w:val="008E4206"/>
    <w:rsid w:val="00942D7B"/>
    <w:rsid w:val="00944F17"/>
    <w:rsid w:val="009949CB"/>
    <w:rsid w:val="009C779E"/>
    <w:rsid w:val="009E2EDA"/>
    <w:rsid w:val="009E4A8C"/>
    <w:rsid w:val="00A01A6A"/>
    <w:rsid w:val="00A027A9"/>
    <w:rsid w:val="00A34442"/>
    <w:rsid w:val="00A37E0F"/>
    <w:rsid w:val="00A4220A"/>
    <w:rsid w:val="00A535F0"/>
    <w:rsid w:val="00A57505"/>
    <w:rsid w:val="00A6272D"/>
    <w:rsid w:val="00AC32D3"/>
    <w:rsid w:val="00AC6310"/>
    <w:rsid w:val="00B32CC7"/>
    <w:rsid w:val="00B33A34"/>
    <w:rsid w:val="00B51880"/>
    <w:rsid w:val="00B76128"/>
    <w:rsid w:val="00B81F78"/>
    <w:rsid w:val="00B85286"/>
    <w:rsid w:val="00B87FBC"/>
    <w:rsid w:val="00B90B7F"/>
    <w:rsid w:val="00BA30A6"/>
    <w:rsid w:val="00BD01E1"/>
    <w:rsid w:val="00BE6387"/>
    <w:rsid w:val="00BE7147"/>
    <w:rsid w:val="00C04425"/>
    <w:rsid w:val="00C14B90"/>
    <w:rsid w:val="00C1559F"/>
    <w:rsid w:val="00C2483D"/>
    <w:rsid w:val="00C32AC7"/>
    <w:rsid w:val="00C34681"/>
    <w:rsid w:val="00C37DE1"/>
    <w:rsid w:val="00C511E4"/>
    <w:rsid w:val="00CF550E"/>
    <w:rsid w:val="00D02C73"/>
    <w:rsid w:val="00D034BF"/>
    <w:rsid w:val="00D103F0"/>
    <w:rsid w:val="00D13A2E"/>
    <w:rsid w:val="00D31746"/>
    <w:rsid w:val="00D40A26"/>
    <w:rsid w:val="00D65833"/>
    <w:rsid w:val="00DC4160"/>
    <w:rsid w:val="00E35347"/>
    <w:rsid w:val="00E517A4"/>
    <w:rsid w:val="00E57F50"/>
    <w:rsid w:val="00E615B3"/>
    <w:rsid w:val="00E65025"/>
    <w:rsid w:val="00EC5E57"/>
    <w:rsid w:val="00EC76F1"/>
    <w:rsid w:val="00EE7026"/>
    <w:rsid w:val="00EF03A3"/>
    <w:rsid w:val="00EF1FB7"/>
    <w:rsid w:val="00EF4155"/>
    <w:rsid w:val="00F12B08"/>
    <w:rsid w:val="00F27170"/>
    <w:rsid w:val="00F36373"/>
    <w:rsid w:val="00F36F33"/>
    <w:rsid w:val="00F855F9"/>
    <w:rsid w:val="00FC2355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2E5C-FBD8-4CD8-9354-9BFFB4FB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2FA"/>
    <w:pPr>
      <w:widowControl w:val="0"/>
    </w:pPr>
    <w:rPr>
      <w:sz w:val="24"/>
      <w:lang w:val="sk-SK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LineSingle">
    <w:name w:val="LineSingle"/>
    <w:basedOn w:val="Normal"/>
    <w:next w:val="Normal"/>
    <w:rsid w:val="00A57505"/>
    <w:pPr>
      <w:pBdr>
        <w:bottom w:val="single" w:sz="4" w:space="1" w:color="auto"/>
      </w:pBdr>
      <w:spacing w:after="240"/>
    </w:pPr>
  </w:style>
  <w:style w:type="paragraph" w:customStyle="1" w:styleId="EPFooter2">
    <w:name w:val="EPFooter2"/>
    <w:basedOn w:val="Normal"/>
    <w:next w:val="Normal"/>
    <w:rsid w:val="00BE6387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customStyle="1" w:styleId="ERComments">
    <w:name w:val="ERComments"/>
    <w:basedOn w:val="Normal"/>
    <w:rsid w:val="00F855F9"/>
    <w:pPr>
      <w:spacing w:before="480" w:after="240"/>
    </w:pPr>
    <w:rPr>
      <w:i/>
      <w:iCs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12a">
    <w:name w:val="NormalBold12a"/>
    <w:basedOn w:val="Normal"/>
    <w:rsid w:val="0026698E"/>
    <w:pPr>
      <w:spacing w:after="240"/>
    </w:pPr>
    <w:rPr>
      <w:b/>
    </w:rPr>
  </w:style>
  <w:style w:type="paragraph" w:customStyle="1" w:styleId="ERVersions">
    <w:name w:val="ERVersions"/>
    <w:basedOn w:val="Normal"/>
    <w:rsid w:val="00F855F9"/>
    <w:pPr>
      <w:spacing w:after="240"/>
    </w:pPr>
    <w:rPr>
      <w:i/>
    </w:rPr>
  </w:style>
  <w:style w:type="paragraph" w:customStyle="1" w:styleId="HeadingDocType24a">
    <w:name w:val="HeadingDocType24a"/>
    <w:basedOn w:val="Normal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833962"/>
    <w:pPr>
      <w:tabs>
        <w:tab w:val="center" w:pos="4513"/>
        <w:tab w:val="right" w:pos="9026"/>
      </w:tabs>
    </w:pPr>
  </w:style>
  <w:style w:type="paragraph" w:customStyle="1" w:styleId="NormalCenter">
    <w:name w:val="NormalCenter"/>
    <w:basedOn w:val="Normal"/>
    <w:rsid w:val="00051161"/>
    <w:pPr>
      <w:jc w:val="center"/>
    </w:pPr>
  </w:style>
  <w:style w:type="paragraph" w:customStyle="1" w:styleId="NormalCenter12a">
    <w:name w:val="NormalCenter12a"/>
    <w:basedOn w:val="Normal"/>
    <w:rsid w:val="0026698E"/>
    <w:pPr>
      <w:spacing w:after="240"/>
      <w:jc w:val="center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B7612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D65833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756A4B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9949CB"/>
    <w:pPr>
      <w:jc w:val="right"/>
    </w:pPr>
  </w:style>
  <w:style w:type="paragraph" w:customStyle="1" w:styleId="EPFooter">
    <w:name w:val="EPFooter"/>
    <w:basedOn w:val="Normal"/>
    <w:rsid w:val="007D08D0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paragraph" w:styleId="TOCHeading">
    <w:name w:val="TOC Heading"/>
    <w:basedOn w:val="Normal"/>
    <w:next w:val="Normal"/>
    <w:uiPriority w:val="39"/>
    <w:semiHidden/>
    <w:qFormat/>
    <w:rsid w:val="00A535F0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HeadingReferenceERCO">
    <w:name w:val="HeadingReferenceERCO"/>
    <w:basedOn w:val="Normal"/>
    <w:rsid w:val="008E4206"/>
    <w:pPr>
      <w:spacing w:before="360" w:after="240"/>
      <w:jc w:val="right"/>
    </w:pPr>
    <w:rPr>
      <w:rFonts w:ascii="Arial" w:hAnsi="Arial"/>
      <w:b/>
    </w:rPr>
  </w:style>
  <w:style w:type="paragraph" w:customStyle="1" w:styleId="HeadingDate">
    <w:name w:val="HeadingDate"/>
    <w:basedOn w:val="Normal"/>
    <w:rsid w:val="008E4206"/>
    <w:pPr>
      <w:spacing w:before="240" w:after="240"/>
    </w:pPr>
  </w:style>
  <w:style w:type="character" w:customStyle="1" w:styleId="HeaderChar">
    <w:name w:val="Header Char"/>
    <w:basedOn w:val="DefaultParagraphFont"/>
    <w:link w:val="Header"/>
    <w:semiHidden/>
    <w:rsid w:val="00833962"/>
    <w:rPr>
      <w:sz w:val="24"/>
    </w:rPr>
  </w:style>
  <w:style w:type="character" w:styleId="FootnoteReference">
    <w:name w:val="footnote reference"/>
    <w:basedOn w:val="DefaultParagraphFont"/>
    <w:uiPriority w:val="99"/>
    <w:unhideWhenUsed/>
    <w:rsid w:val="00B51880"/>
    <w:rPr>
      <w:shd w:val="clear" w:color="auto" w:fill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1880"/>
    <w:pPr>
      <w:widowControl/>
      <w:jc w:val="both"/>
    </w:pPr>
    <w:rPr>
      <w:rFonts w:eastAsia="Calibr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1880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0709-45BF-4509-BD93-45EF2BF9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838</Words>
  <Characters>4878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SUCHANOVA Monika</dc:creator>
  <cp:keywords/>
  <dc:description/>
  <cp:lastModifiedBy>SUCHANOVA Monika</cp:lastModifiedBy>
  <cp:revision>2</cp:revision>
  <cp:lastPrinted>2005-10-13T14:57:00Z</cp:lastPrinted>
  <dcterms:created xsi:type="dcterms:W3CDTF">2020-07-02T13:15:00Z</dcterms:created>
  <dcterms:modified xsi:type="dcterms:W3CDTF">2020-07-02T13:15:00Z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SK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652.550</vt:lpwstr>
  </property>
  <property fmtid="{D5CDD505-2E9C-101B-9397-08002B2CF9AE}" pid="6" name="Created with">
    <vt:lpwstr>9.8.2 Build [20200117]</vt:lpwstr>
  </property>
  <property fmtid="{D5CDD505-2E9C-101B-9397-08002B2CF9AE}" pid="7" name="LastEdited with">
    <vt:lpwstr>9.8.2 Build [20200117]</vt:lpwstr>
  </property>
  <property fmtid="{D5CDD505-2E9C-101B-9397-08002B2CF9AE}" pid="8" name="&lt;FdR&gt;">
    <vt:lpwstr>a9-0111_2020(ERR01)_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RR\1207022SK.docx</vt:lpwstr>
  </property>
</Properties>
</file>