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CF" w:rsidRDefault="006D7ACF" w:rsidP="006D7ACF">
      <w:pPr>
        <w:tabs>
          <w:tab w:val="right" w:pos="9184"/>
        </w:tabs>
      </w:pPr>
    </w:p>
    <w:p w:rsidR="006D7ACF" w:rsidRDefault="006D7ACF" w:rsidP="006D7ACF">
      <w:pPr>
        <w:tabs>
          <w:tab w:val="right" w:pos="9184"/>
        </w:tabs>
      </w:pPr>
    </w:p>
    <w:p w:rsidR="006D7ACF" w:rsidRDefault="006D7ACF" w:rsidP="006D7ACF">
      <w:pPr>
        <w:tabs>
          <w:tab w:val="right" w:pos="9184"/>
        </w:tabs>
      </w:pPr>
    </w:p>
    <w:p w:rsidR="006D7ACF" w:rsidRDefault="006D7ACF" w:rsidP="006D7ACF">
      <w:pPr>
        <w:tabs>
          <w:tab w:val="right" w:pos="9184"/>
        </w:tabs>
      </w:pPr>
    </w:p>
    <w:p w:rsidR="006D7ACF" w:rsidRDefault="006D7ACF" w:rsidP="006D7ACF">
      <w:pPr>
        <w:tabs>
          <w:tab w:val="right" w:pos="9184"/>
        </w:tabs>
      </w:pPr>
      <w:r w:rsidRPr="006D7ACF">
        <w:rPr>
          <w:rStyle w:val="HideTWBExt"/>
        </w:rPr>
        <w:t>&lt;Date&gt;</w:t>
      </w:r>
      <w:r>
        <w:t>7.7.2020</w:t>
      </w:r>
      <w:r w:rsidRPr="006D7ACF">
        <w:rPr>
          <w:rStyle w:val="HideTWBExt"/>
        </w:rPr>
        <w:t>&lt;/Date&gt;</w:t>
      </w:r>
      <w:r>
        <w:tab/>
        <w:t xml:space="preserve">A9-0124/ </w:t>
      </w:r>
      <w:r w:rsidRPr="006D7ACF">
        <w:rPr>
          <w:rStyle w:val="HideTWBExt"/>
        </w:rPr>
        <w:t>&lt;NumOfAM&gt;</w:t>
      </w:r>
      <w:r>
        <w:t>001-036</w:t>
      </w:r>
      <w:bookmarkStart w:id="0" w:name="_GoBack"/>
      <w:bookmarkEnd w:id="0"/>
      <w:r w:rsidRPr="006D7ACF">
        <w:rPr>
          <w:rStyle w:val="HideTWBExt"/>
        </w:rPr>
        <w:t>&lt;/NumOfAM&gt;</w:t>
      </w:r>
    </w:p>
    <w:p w:rsidR="006D7ACF" w:rsidRDefault="006D7ACF" w:rsidP="006D7ACF">
      <w:pPr>
        <w:tabs>
          <w:tab w:val="right" w:pos="9184"/>
        </w:tabs>
      </w:pPr>
    </w:p>
    <w:p w:rsidR="006D7ACF" w:rsidRDefault="006D7ACF" w:rsidP="006D7ACF">
      <w:pPr>
        <w:tabs>
          <w:tab w:val="right" w:pos="9184"/>
        </w:tabs>
      </w:pPr>
    </w:p>
    <w:p w:rsidR="006D7ACF" w:rsidRDefault="006D7ACF" w:rsidP="006D7ACF">
      <w:pPr>
        <w:tabs>
          <w:tab w:val="right" w:pos="9184"/>
        </w:tabs>
      </w:pPr>
      <w:r>
        <w:rPr>
          <w:b/>
        </w:rPr>
        <w:t xml:space="preserve">ÄNDRINGSFÖRSLAG 001-036 </w:t>
      </w:r>
    </w:p>
    <w:p w:rsidR="006D7ACF" w:rsidRDefault="006D7ACF" w:rsidP="006D7ACF">
      <w:pPr>
        <w:tabs>
          <w:tab w:val="right" w:pos="9184"/>
        </w:tabs>
      </w:pPr>
      <w:r>
        <w:t xml:space="preserve">från </w:t>
      </w:r>
      <w:r w:rsidRPr="006D7ACF">
        <w:rPr>
          <w:rStyle w:val="HideTWBExt"/>
        </w:rPr>
        <w:t>&lt;Committee&gt;</w:t>
      </w:r>
      <w:r>
        <w:t>utskottet för sysselsättning och sociala frågor</w:t>
      </w:r>
      <w:r w:rsidRPr="006D7ACF">
        <w:rPr>
          <w:rStyle w:val="HideTWBExt"/>
        </w:rPr>
        <w:t>&lt;/Committee&gt;</w:t>
      </w:r>
    </w:p>
    <w:p w:rsidR="006D7ACF" w:rsidRDefault="006D7ACF" w:rsidP="006D7ACF">
      <w:pPr>
        <w:tabs>
          <w:tab w:val="right" w:pos="9184"/>
        </w:tabs>
      </w:pPr>
    </w:p>
    <w:p w:rsidR="006D7ACF" w:rsidRDefault="006D7ACF" w:rsidP="006D7ACF">
      <w:pPr>
        <w:tabs>
          <w:tab w:val="right" w:pos="9184"/>
        </w:tabs>
        <w:rPr>
          <w:b/>
        </w:rPr>
      </w:pPr>
      <w:r>
        <w:rPr>
          <w:b/>
        </w:rPr>
        <w:t>Betänkande</w:t>
      </w:r>
    </w:p>
    <w:p w:rsidR="006D7ACF" w:rsidRDefault="006D7ACF" w:rsidP="006D7ACF">
      <w:pPr>
        <w:tabs>
          <w:tab w:val="right" w:pos="9184"/>
        </w:tabs>
        <w:rPr>
          <w:b/>
        </w:rPr>
      </w:pPr>
      <w:r w:rsidRPr="006D7ACF">
        <w:rPr>
          <w:rStyle w:val="HideTWBExt"/>
        </w:rPr>
        <w:t>&lt;Chairman&gt;</w:t>
      </w:r>
      <w:r>
        <w:rPr>
          <w:b/>
        </w:rPr>
        <w:t>José Gusmão</w:t>
      </w:r>
      <w:r w:rsidRPr="006D7ACF">
        <w:rPr>
          <w:rStyle w:val="HideTWBExt"/>
        </w:rPr>
        <w:t>&lt;/Chairman&gt;</w:t>
      </w:r>
      <w:r>
        <w:rPr>
          <w:b/>
        </w:rPr>
        <w:tab/>
      </w:r>
      <w:r w:rsidRPr="006D7ACF">
        <w:rPr>
          <w:rStyle w:val="HideTWBExt"/>
        </w:rPr>
        <w:t>&lt;A5Nr&gt;</w:t>
      </w:r>
      <w:r>
        <w:rPr>
          <w:b/>
        </w:rPr>
        <w:t>A9-0124/2020</w:t>
      </w:r>
      <w:r w:rsidRPr="006D7ACF">
        <w:rPr>
          <w:rStyle w:val="HideTWBExt"/>
        </w:rPr>
        <w:t>&lt;/A5Nr&gt;</w:t>
      </w:r>
    </w:p>
    <w:p w:rsidR="006D7ACF" w:rsidRDefault="006D7ACF" w:rsidP="006D7ACF">
      <w:pPr>
        <w:tabs>
          <w:tab w:val="right" w:pos="9184"/>
        </w:tabs>
      </w:pPr>
      <w:r w:rsidRPr="006D7ACF">
        <w:rPr>
          <w:rStyle w:val="HideTWBExt"/>
        </w:rPr>
        <w:t>&lt;ShortTitel&gt;</w:t>
      </w:r>
      <w:r>
        <w:t>Riktlinjer för medlemsstaternas sysselsättningspolitik</w:t>
      </w:r>
      <w:r w:rsidRPr="006D7ACF">
        <w:rPr>
          <w:rStyle w:val="HideTWBExt"/>
        </w:rPr>
        <w:t>&lt;/ShortTitel&gt;</w:t>
      </w:r>
    </w:p>
    <w:p w:rsidR="006D7ACF" w:rsidRDefault="006D7ACF" w:rsidP="006D7ACF">
      <w:pPr>
        <w:tabs>
          <w:tab w:val="right" w:pos="9184"/>
        </w:tabs>
      </w:pPr>
    </w:p>
    <w:p w:rsidR="006D7ACF" w:rsidRDefault="006D7ACF" w:rsidP="006D7ACF">
      <w:pPr>
        <w:tabs>
          <w:tab w:val="right" w:pos="9184"/>
        </w:tabs>
      </w:pPr>
      <w:r w:rsidRPr="006D7ACF">
        <w:rPr>
          <w:rStyle w:val="HideTWBExt"/>
        </w:rPr>
        <w:t>&lt;Procedure&gt;</w:t>
      </w:r>
      <w:r>
        <w:t>Förslag till beslut</w:t>
      </w:r>
      <w:r w:rsidRPr="006D7ACF">
        <w:rPr>
          <w:rStyle w:val="HideTWBExt"/>
        </w:rPr>
        <w:t>&lt;/Procedure&gt;</w:t>
      </w:r>
      <w:r>
        <w:t xml:space="preserve"> </w:t>
      </w:r>
      <w:r w:rsidRPr="006D7ACF">
        <w:rPr>
          <w:rStyle w:val="HideTWBExt"/>
        </w:rPr>
        <w:t>&lt;ReferenceNo&gt;</w:t>
      </w:r>
      <w:r>
        <w:t>(COM(2020)0070 – C9-0079/2020 – 2020/0030(NLE))</w:t>
      </w:r>
      <w:r w:rsidRPr="006D7ACF">
        <w:rPr>
          <w:rStyle w:val="HideTWBExt"/>
        </w:rPr>
        <w:t>&lt;/ReferenceNo&gt;</w:t>
      </w:r>
    </w:p>
    <w:p w:rsidR="006D7ACF" w:rsidRDefault="006D7ACF" w:rsidP="006D7ACF">
      <w:pPr>
        <w:tabs>
          <w:tab w:val="right" w:pos="9184"/>
        </w:tabs>
      </w:pPr>
    </w:p>
    <w:p w:rsidR="006D7ACF" w:rsidRDefault="006D7ACF" w:rsidP="006D7ACF">
      <w:pPr>
        <w:tabs>
          <w:tab w:val="right" w:pos="9184"/>
        </w:tabs>
      </w:pPr>
    </w:p>
    <w:p w:rsidR="006D7ACF" w:rsidRDefault="006D7ACF" w:rsidP="006D7ACF">
      <w:pPr>
        <w:tabs>
          <w:tab w:val="right" w:pos="9184"/>
        </w:tabs>
      </w:pPr>
    </w:p>
    <w:p w:rsidR="006D7ACF" w:rsidRDefault="006D7ACF" w:rsidP="006D7ACF">
      <w:pPr>
        <w:tabs>
          <w:tab w:val="right" w:pos="9184"/>
        </w:tabs>
        <w:jc w:val="center"/>
      </w:pPr>
      <w:r>
        <w:t>_____________________________________________________________</w:t>
      </w:r>
    </w:p>
    <w:p w:rsidR="006D7ACF" w:rsidRDefault="006D7ACF" w:rsidP="006D7ACF">
      <w:pPr>
        <w:tabs>
          <w:tab w:val="right" w:pos="9184"/>
        </w:tabs>
        <w:jc w:val="center"/>
      </w:pPr>
    </w:p>
    <w:p w:rsidR="000F50B7" w:rsidRPr="006D7ACF" w:rsidRDefault="000F50B7" w:rsidP="006D7ACF">
      <w:pPr>
        <w:pStyle w:val="AmNumberTabs"/>
      </w:pPr>
      <w:r w:rsidRPr="006D7ACF">
        <w:t>Ändringsförslag</w:t>
      </w:r>
      <w:r w:rsidRPr="006D7ACF">
        <w:tab/>
      </w:r>
      <w:r w:rsidRPr="006D7ACF">
        <w:tab/>
        <w:t>1</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Skäl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(1)</w:t>
            </w:r>
            <w:r w:rsidRPr="006D7ACF">
              <w:tab/>
              <w:t xml:space="preserve">Medlemsstaterna och unionen bör </w:t>
            </w:r>
            <w:r w:rsidRPr="006D7ACF">
              <w:rPr>
                <w:b/>
                <w:i/>
              </w:rPr>
              <w:t>arbeta för att</w:t>
            </w:r>
            <w:r w:rsidRPr="006D7ACF">
              <w:t xml:space="preserve"> utveckla en samordnad sysselsättningsstrategi och särskilt för att främja en kvalificerad</w:t>
            </w:r>
            <w:r w:rsidRPr="006D7ACF">
              <w:rPr>
                <w:b/>
                <w:i/>
              </w:rPr>
              <w:t>,</w:t>
            </w:r>
            <w:r w:rsidRPr="006D7ACF">
              <w:t xml:space="preserve"> utbildad </w:t>
            </w:r>
            <w:r w:rsidRPr="006D7ACF">
              <w:rPr>
                <w:b/>
                <w:i/>
              </w:rPr>
              <w:t>och anpassningsbar</w:t>
            </w:r>
            <w:r w:rsidRPr="006D7ACF">
              <w:t xml:space="preserve"> arbetskraft och en arbetsmarknad som är mottaglig för ekonomiska förändringar i syfte att uppnå full sysselsättning och sociala framsteg, </w:t>
            </w:r>
            <w:r w:rsidRPr="006D7ACF">
              <w:rPr>
                <w:b/>
                <w:i/>
              </w:rPr>
              <w:t>en balanserad tillväxt</w:t>
            </w:r>
            <w:r w:rsidRPr="006D7ACF">
              <w:t>, en hög miljöskyddsnivå och en bättre miljö</w:t>
            </w:r>
            <w:r w:rsidRPr="006D7ACF">
              <w:rPr>
                <w:b/>
                <w:i/>
              </w:rPr>
              <w:t>, enligt de mål som anges i artikel 3 i fördraget om Europeiska unionen</w:t>
            </w:r>
            <w:r w:rsidRPr="006D7ACF">
              <w:t xml:space="preserve">. Medlemsstaterna bör betrakta främjande av </w:t>
            </w:r>
            <w:r w:rsidRPr="006D7ACF">
              <w:rPr>
                <w:b/>
                <w:i/>
              </w:rPr>
              <w:t>sysselsättningen</w:t>
            </w:r>
            <w:r w:rsidRPr="006D7ACF">
              <w:t xml:space="preserve"> som en fråga av gemensamt intresse och inom rådet samordna sina åtgärder i detta hänseende, med </w:t>
            </w:r>
            <w:r w:rsidRPr="006D7ACF">
              <w:rPr>
                <w:b/>
                <w:i/>
              </w:rPr>
              <w:t>beaktande av</w:t>
            </w:r>
            <w:r w:rsidRPr="006D7ACF">
              <w:t xml:space="preserve"> nationell praxis </w:t>
            </w:r>
            <w:r w:rsidRPr="006D7ACF">
              <w:rPr>
                <w:b/>
                <w:i/>
              </w:rPr>
              <w:t>i fråga om</w:t>
            </w:r>
            <w:r w:rsidRPr="006D7ACF">
              <w:t xml:space="preserve"> arbetsmarknadsparternas </w:t>
            </w:r>
            <w:r w:rsidRPr="006D7ACF">
              <w:rPr>
                <w:b/>
                <w:i/>
              </w:rPr>
              <w:lastRenderedPageBreak/>
              <w:t>ansvar</w:t>
            </w:r>
            <w:r w:rsidRPr="006D7ACF">
              <w:t>.</w:t>
            </w:r>
          </w:p>
        </w:tc>
        <w:tc>
          <w:tcPr>
            <w:tcW w:w="4876" w:type="dxa"/>
            <w:hideMark/>
          </w:tcPr>
          <w:p w:rsidR="000F50B7" w:rsidRPr="006D7ACF" w:rsidRDefault="000F50B7" w:rsidP="00F61C05">
            <w:pPr>
              <w:pStyle w:val="Normal6"/>
              <w:rPr>
                <w:szCs w:val="24"/>
              </w:rPr>
            </w:pPr>
            <w:r w:rsidRPr="006D7ACF">
              <w:lastRenderedPageBreak/>
              <w:t>(1)</w:t>
            </w:r>
            <w:r w:rsidRPr="006D7ACF">
              <w:tab/>
              <w:t xml:space="preserve">Medlemsstaterna och unionen bör utveckla </w:t>
            </w:r>
            <w:r w:rsidRPr="006D7ACF">
              <w:rPr>
                <w:b/>
                <w:i/>
              </w:rPr>
              <w:t>och genomföra</w:t>
            </w:r>
            <w:r w:rsidRPr="006D7ACF">
              <w:t xml:space="preserve"> en </w:t>
            </w:r>
            <w:r w:rsidRPr="006D7ACF">
              <w:rPr>
                <w:b/>
                <w:i/>
              </w:rPr>
              <w:t xml:space="preserve">effektiv och </w:t>
            </w:r>
            <w:r w:rsidRPr="006D7ACF">
              <w:t xml:space="preserve">samordnad sysselsättningsstrategi och särskilt för att främja en kvalificerad </w:t>
            </w:r>
            <w:r w:rsidRPr="006D7ACF">
              <w:rPr>
                <w:b/>
                <w:i/>
              </w:rPr>
              <w:t>och</w:t>
            </w:r>
            <w:r w:rsidRPr="006D7ACF">
              <w:t xml:space="preserve"> utbildad arbetskraft och en arbetsmarknad som är </w:t>
            </w:r>
            <w:r w:rsidRPr="006D7ACF">
              <w:rPr>
                <w:b/>
                <w:i/>
              </w:rPr>
              <w:t>dynamisk, framtidsinriktad och</w:t>
            </w:r>
            <w:r w:rsidRPr="006D7ACF">
              <w:t xml:space="preserve"> mottaglig för ekonomiska förändringar i syfte att uppnå full sysselsättning och sociala framsteg, </w:t>
            </w:r>
            <w:r w:rsidRPr="006D7ACF">
              <w:rPr>
                <w:b/>
                <w:i/>
              </w:rPr>
              <w:t>inkludering, ekonomisk, social och territoriell sammanhållning</w:t>
            </w:r>
            <w:r w:rsidRPr="006D7ACF">
              <w:t xml:space="preserve">, en hög miljöskyddsnivå och en bättre miljö. Medlemsstaterna bör betrakta främjande av </w:t>
            </w:r>
            <w:r w:rsidRPr="006D7ACF">
              <w:rPr>
                <w:b/>
                <w:i/>
              </w:rPr>
              <w:t>sysselsättning av hög kvalitet på grundval av lika möjligheter och social rättvisa</w:t>
            </w:r>
            <w:r w:rsidRPr="006D7ACF">
              <w:t xml:space="preserve"> som en fråga av gemensamt intresse och inom rådet samordna sina åtgärder i detta hänseende, med </w:t>
            </w:r>
            <w:r w:rsidRPr="006D7ACF">
              <w:rPr>
                <w:b/>
                <w:i/>
              </w:rPr>
              <w:t>respekt för</w:t>
            </w:r>
            <w:r w:rsidRPr="006D7ACF">
              <w:t xml:space="preserve"> nationell praxis </w:t>
            </w:r>
            <w:r w:rsidRPr="006D7ACF">
              <w:rPr>
                <w:b/>
                <w:i/>
              </w:rPr>
              <w:t>och för</w:t>
            </w:r>
            <w:r w:rsidRPr="006D7ACF">
              <w:t xml:space="preserve"> arbetsmarknadsparternas </w:t>
            </w:r>
            <w:r w:rsidRPr="006D7ACF">
              <w:rPr>
                <w:b/>
                <w:i/>
              </w:rPr>
              <w:lastRenderedPageBreak/>
              <w:t>självständighet</w:t>
            </w:r>
            <w:r w:rsidRPr="006D7ACF">
              <w:t>.</w:t>
            </w:r>
            <w:r w:rsidRPr="006D7ACF">
              <w:rPr>
                <w:b/>
                <w:i/>
              </w:rPr>
              <w:t xml:space="preserve"> Den aktuella situationen till följd av covid-19-pandemin kommer att få allvarliga och långvariga konsekvenser för arbetsmarknader, social rättvisa och arbetsvillkor i unionen och kräver åtgärder som aldrig förr till stöd för sysselsättning, stimulans av ekonomin och en stärkt industribas.</w:t>
            </w:r>
            <w:r w:rsidRPr="006D7ACF">
              <w:t xml:space="preserve"> </w:t>
            </w:r>
            <w:r w:rsidRPr="006D7ACF">
              <w:rPr>
                <w:b/>
                <w:i/>
              </w:rPr>
              <w:t>Handfasta åtgärder måste vidtas för att skydda företag och arbetstagare mot överhängande förluster av arbete och inkomster, för att begränsa krisens ekonomiska och sociala chockverkningar och för att förhindra massarbetslöshet och en djup recession.</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2</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Skäl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(2)</w:t>
            </w:r>
            <w:r w:rsidRPr="006D7ACF">
              <w:tab/>
              <w:t xml:space="preserve">Unionen </w:t>
            </w:r>
            <w:r w:rsidRPr="006D7ACF">
              <w:rPr>
                <w:b/>
                <w:i/>
              </w:rPr>
              <w:t>bör</w:t>
            </w:r>
            <w:r w:rsidRPr="006D7ACF">
              <w:t xml:space="preserve"> </w:t>
            </w:r>
            <w:r w:rsidRPr="006D7ACF">
              <w:rPr>
                <w:b/>
                <w:i/>
              </w:rPr>
              <w:t>bekämpa</w:t>
            </w:r>
            <w:r w:rsidRPr="006D7ACF">
              <w:t xml:space="preserve"> social utestängning och diskriminering, främja social rättvisa och socialt skydd, jämställdhet mellan kvinnor och män, solidaritet mellan generationerna och skydd av </w:t>
            </w:r>
            <w:r w:rsidRPr="006D7ACF">
              <w:rPr>
                <w:b/>
                <w:i/>
              </w:rPr>
              <w:t>barnets rättigheter</w:t>
            </w:r>
            <w:r w:rsidRPr="006D7ACF">
              <w:t xml:space="preserve">. Vid fastställandet och genomförandet av sin politik och verksamhet bör unionen beakta de krav som är förknippade med främjandet av </w:t>
            </w:r>
            <w:r w:rsidRPr="006D7ACF">
              <w:rPr>
                <w:b/>
                <w:i/>
              </w:rPr>
              <w:t>hög</w:t>
            </w:r>
            <w:r w:rsidRPr="006D7ACF">
              <w:t xml:space="preserve"> sysselsättning, </w:t>
            </w:r>
            <w:r w:rsidRPr="006D7ACF">
              <w:rPr>
                <w:b/>
                <w:i/>
              </w:rPr>
              <w:t>garantier för ett fullgott</w:t>
            </w:r>
            <w:r w:rsidRPr="006D7ACF">
              <w:t xml:space="preserve"> socialt skydd, </w:t>
            </w:r>
            <w:r w:rsidRPr="006D7ACF">
              <w:rPr>
                <w:b/>
                <w:i/>
              </w:rPr>
              <w:t>kampen mot fattigdom och social utestängning</w:t>
            </w:r>
            <w:r w:rsidRPr="006D7ACF">
              <w:t xml:space="preserve"> samt en hög utbildningsnivå, i enlighet med artikel 9 i fördraget om Europeiska unionen.</w:t>
            </w:r>
          </w:p>
        </w:tc>
        <w:tc>
          <w:tcPr>
            <w:tcW w:w="4876" w:type="dxa"/>
            <w:hideMark/>
          </w:tcPr>
          <w:p w:rsidR="000F50B7" w:rsidRPr="006D7ACF" w:rsidRDefault="000F50B7" w:rsidP="00F61C05">
            <w:pPr>
              <w:pStyle w:val="Normal6"/>
              <w:rPr>
                <w:szCs w:val="24"/>
              </w:rPr>
            </w:pPr>
            <w:r w:rsidRPr="006D7ACF">
              <w:t>(2)</w:t>
            </w:r>
            <w:r w:rsidRPr="006D7ACF">
              <w:tab/>
            </w:r>
            <w:r w:rsidRPr="006D7ACF">
              <w:rPr>
                <w:b/>
                <w:i/>
              </w:rPr>
              <w:t>För att än mera fullständigt kunna förverkliga sina grundläggande principer om social sammanhållning och fred i en tid av djupgående kris där dessa principer ifrågasätts bör</w:t>
            </w:r>
            <w:r w:rsidRPr="006D7ACF">
              <w:t xml:space="preserve"> unionen </w:t>
            </w:r>
            <w:r w:rsidRPr="006D7ACF">
              <w:rPr>
                <w:b/>
                <w:i/>
              </w:rPr>
              <w:t>ställa</w:t>
            </w:r>
            <w:r w:rsidRPr="006D7ACF">
              <w:t xml:space="preserve"> </w:t>
            </w:r>
            <w:r w:rsidRPr="006D7ACF">
              <w:rPr>
                <w:b/>
                <w:i/>
              </w:rPr>
              <w:t>fattigdomsbekämpningen högst bland sina politiska prioriteringar, liksom också kampen mot</w:t>
            </w:r>
            <w:r w:rsidRPr="006D7ACF">
              <w:t xml:space="preserve"> social utestängning och diskriminering, </w:t>
            </w:r>
            <w:r w:rsidRPr="006D7ACF">
              <w:rPr>
                <w:b/>
                <w:i/>
              </w:rPr>
              <w:t>och bör</w:t>
            </w:r>
            <w:r w:rsidRPr="006D7ACF">
              <w:t xml:space="preserve"> främja social rättvisa och socialt skydd, jämställdhet mellan kvinnor och män, solidaritet mellan generationerna</w:t>
            </w:r>
            <w:r w:rsidRPr="006D7ACF">
              <w:rPr>
                <w:b/>
                <w:i/>
              </w:rPr>
              <w:t>, inkludering av personer med funktionsnedsättning</w:t>
            </w:r>
            <w:r w:rsidRPr="006D7ACF">
              <w:t xml:space="preserve"> och skydd av </w:t>
            </w:r>
            <w:r w:rsidRPr="006D7ACF">
              <w:rPr>
                <w:b/>
                <w:i/>
              </w:rPr>
              <w:t>rättigheterna för barn och andra svårt missgynnade grupper</w:t>
            </w:r>
            <w:r w:rsidRPr="006D7ACF">
              <w:t xml:space="preserve">. Vid fastställandet och genomförandet av sin politik och verksamhet bör unionen beakta de krav som är förknippade med främjandet av </w:t>
            </w:r>
            <w:r w:rsidRPr="006D7ACF">
              <w:rPr>
                <w:b/>
                <w:i/>
              </w:rPr>
              <w:t xml:space="preserve">skyddet av människors hälsa, inkluderande arbetsmarknader med full </w:t>
            </w:r>
            <w:r w:rsidRPr="006D7ACF">
              <w:t>sysselsättning</w:t>
            </w:r>
            <w:r w:rsidRPr="006D7ACF">
              <w:rPr>
                <w:b/>
                <w:i/>
              </w:rPr>
              <w:t xml:space="preserve"> av hög kvalitet, tillgängliga och överkomligt prissatta offentliga </w:t>
            </w:r>
            <w:r w:rsidRPr="006D7ACF">
              <w:rPr>
                <w:b/>
                <w:i/>
              </w:rPr>
              <w:lastRenderedPageBreak/>
              <w:t>tjänster av hög kvalitet, anständiga löner och anständig levnadsstandard</w:t>
            </w:r>
            <w:r w:rsidRPr="006D7ACF">
              <w:t xml:space="preserve">, socialt skydd </w:t>
            </w:r>
            <w:r w:rsidRPr="006D7ACF">
              <w:rPr>
                <w:b/>
                <w:i/>
              </w:rPr>
              <w:t>för alla</w:t>
            </w:r>
            <w:r w:rsidRPr="006D7ACF">
              <w:t xml:space="preserve">, samt en hög utbildningsnivå </w:t>
            </w:r>
            <w:r w:rsidRPr="006D7ACF">
              <w:rPr>
                <w:b/>
                <w:i/>
              </w:rPr>
              <w:t>hela livet igenom</w:t>
            </w:r>
            <w:r w:rsidRPr="006D7ACF">
              <w:t xml:space="preserve">, i enlighet med artikel 9 i fördraget om Europeiska unionen </w:t>
            </w:r>
            <w:r w:rsidRPr="006D7ACF">
              <w:rPr>
                <w:b/>
                <w:i/>
              </w:rPr>
              <w:t>(EUF-fördraget)</w:t>
            </w:r>
            <w:r w:rsidRPr="006D7ACF">
              <w:t>.</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3</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Skäl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(3)</w:t>
            </w:r>
            <w:r w:rsidRPr="006D7ACF">
              <w:tab/>
              <w:t xml:space="preserve">I enlighet med fördraget om </w:t>
            </w:r>
            <w:r w:rsidRPr="006D7ACF">
              <w:rPr>
                <w:b/>
                <w:i/>
              </w:rPr>
              <w:t>Europeiska unionens funktionssätt (</w:t>
            </w:r>
            <w:r w:rsidRPr="006D7ACF">
              <w:t>EUF-fördraget</w:t>
            </w:r>
            <w:r w:rsidRPr="006D7ACF">
              <w:rPr>
                <w:b/>
                <w:i/>
              </w:rPr>
              <w:t>)</w:t>
            </w:r>
            <w:r w:rsidRPr="006D7ACF">
              <w:t xml:space="preserve"> har unionen utarbetat och infört instrument för samordning av den ekonomiska politiken och sysselsättningspolitiken. Ett av dem är dessa riktlinjer för medlemsstaternas sysselsättningspolitik, vilka tillsammans med de allmänna riktlinjer för medlemsstaternas och unionens ekonomiska politik som fastställs i rådets rekommendation (EU) 2015/1184(</w:t>
            </w:r>
            <w:r w:rsidRPr="006D7ACF">
              <w:rPr>
                <w:vertAlign w:val="superscript"/>
              </w:rPr>
              <w:t>5</w:t>
            </w:r>
            <w:r w:rsidRPr="006D7ACF">
              <w:t xml:space="preserve">) utgör de integrerade riktlinjerna. De </w:t>
            </w:r>
            <w:r w:rsidRPr="006D7ACF">
              <w:rPr>
                <w:b/>
                <w:i/>
              </w:rPr>
              <w:t>bör</w:t>
            </w:r>
            <w:r w:rsidRPr="006D7ACF">
              <w:t xml:space="preserve"> fungera som vägledning vid genomförandet av politiken i medlemsstaterna och i unionen och </w:t>
            </w:r>
            <w:r w:rsidRPr="006D7ACF">
              <w:rPr>
                <w:b/>
                <w:i/>
              </w:rPr>
              <w:t>avspeglar</w:t>
            </w:r>
            <w:r w:rsidRPr="006D7ACF">
              <w:t xml:space="preserve"> det ömsesidiga beroendet mellan medlemsstaterna. De samordnade strategier och reformer på europeisk och nationell nivå som blir resultatet bör utgöra en lämplig övergripande och hållbar blandning av ekonomisk politik och sysselsättningspolitik som bör få positiva spridningseffekter.</w:t>
            </w:r>
          </w:p>
        </w:tc>
        <w:tc>
          <w:tcPr>
            <w:tcW w:w="4876" w:type="dxa"/>
            <w:hideMark/>
          </w:tcPr>
          <w:p w:rsidR="000F50B7" w:rsidRPr="006D7ACF" w:rsidRDefault="000F50B7" w:rsidP="00F61C05">
            <w:pPr>
              <w:pStyle w:val="Normal6"/>
              <w:rPr>
                <w:szCs w:val="24"/>
              </w:rPr>
            </w:pPr>
            <w:r w:rsidRPr="006D7ACF">
              <w:t>(3)</w:t>
            </w:r>
            <w:r w:rsidRPr="006D7ACF">
              <w:tab/>
              <w:t>I enlighet med EUF-fördraget har unionen utarbetat och infört instrument för samordning av den ekonomiska politiken och sysselsättningspolitiken. Ett av dem är dessa riktlinjer för medlemsstaternas sysselsättningspolitik, vilka tillsammans med de allmänna riktlinjer för medlemsstaternas och unionens ekonomiska politik som fastställs i rådets rekommendation (EU) 2015/1184(</w:t>
            </w:r>
            <w:r w:rsidRPr="006D7ACF">
              <w:rPr>
                <w:vertAlign w:val="superscript"/>
              </w:rPr>
              <w:t>5</w:t>
            </w:r>
            <w:r w:rsidRPr="006D7ACF">
              <w:t xml:space="preserve">) utgör de integrerade riktlinjerna. De </w:t>
            </w:r>
            <w:r w:rsidRPr="006D7ACF">
              <w:rPr>
                <w:b/>
                <w:i/>
              </w:rPr>
              <w:t>måste stödja den europeiska gröna given, den europeiska pelaren för sociala rättigheter (nedan kallad pelaren), den reviderade europeiska sociala stadgan, Parisavtalet och FN:s mål för hållbar utveckling och</w:t>
            </w:r>
            <w:r w:rsidRPr="006D7ACF">
              <w:t xml:space="preserve"> fungera som vägledning vid genomförandet av politiken i medlemsstaterna och i unionen och </w:t>
            </w:r>
            <w:r w:rsidRPr="006D7ACF">
              <w:rPr>
                <w:b/>
                <w:i/>
              </w:rPr>
              <w:t>avspegla</w:t>
            </w:r>
            <w:r w:rsidRPr="006D7ACF">
              <w:t xml:space="preserve"> det ömsesidiga beroendet mellan medlemsstaterna. De samordnade strategier och reformer på europeisk och nationell nivå som blir resultatet bör utgöra en lämplig övergripande och hållbar blandning av ekonomisk politik och sysselsättningspolitik som bör få positiva spridningseffekter</w:t>
            </w:r>
            <w:r w:rsidRPr="006D7ACF">
              <w:rPr>
                <w:b/>
                <w:i/>
              </w:rPr>
              <w:t>, samtidigt som tillbakagången för kollektivförhandlingars täckningsgrad vänds i sin motsats</w:t>
            </w:r>
            <w:r w:rsidRPr="006D7ACF">
              <w:t>.</w:t>
            </w:r>
          </w:p>
        </w:tc>
      </w:tr>
      <w:tr w:rsidR="000F50B7" w:rsidRPr="006D7ACF" w:rsidTr="00F61C05">
        <w:trPr>
          <w:jc w:val="center"/>
        </w:trPr>
        <w:tc>
          <w:tcPr>
            <w:tcW w:w="4876" w:type="dxa"/>
            <w:hideMark/>
          </w:tcPr>
          <w:p w:rsidR="000F50B7" w:rsidRPr="006D7ACF" w:rsidRDefault="000F50B7" w:rsidP="00F61C05">
            <w:pPr>
              <w:pStyle w:val="Normal6"/>
            </w:pPr>
            <w:r w:rsidRPr="006D7ACF">
              <w:lastRenderedPageBreak/>
              <w:t>__________________</w:t>
            </w:r>
          </w:p>
        </w:tc>
        <w:tc>
          <w:tcPr>
            <w:tcW w:w="4876" w:type="dxa"/>
            <w:hideMark/>
          </w:tcPr>
          <w:p w:rsidR="000F50B7" w:rsidRPr="006D7ACF" w:rsidRDefault="000F50B7" w:rsidP="00F61C05">
            <w:pPr>
              <w:pStyle w:val="Normal6"/>
              <w:rPr>
                <w:szCs w:val="24"/>
              </w:rPr>
            </w:pPr>
            <w:r w:rsidRPr="006D7ACF">
              <w:t>__________________</w:t>
            </w:r>
          </w:p>
        </w:tc>
      </w:tr>
      <w:tr w:rsidR="000F50B7" w:rsidRPr="006D7ACF" w:rsidTr="00F61C05">
        <w:trPr>
          <w:jc w:val="center"/>
        </w:trPr>
        <w:tc>
          <w:tcPr>
            <w:tcW w:w="4876" w:type="dxa"/>
            <w:hideMark/>
          </w:tcPr>
          <w:p w:rsidR="000F50B7" w:rsidRPr="006D7ACF" w:rsidRDefault="000F50B7" w:rsidP="00F61C05">
            <w:pPr>
              <w:pStyle w:val="Normal6"/>
            </w:pPr>
            <w:r w:rsidRPr="006D7ACF">
              <w:rPr>
                <w:vertAlign w:val="superscript"/>
              </w:rPr>
              <w:t>5</w:t>
            </w:r>
            <w:r w:rsidRPr="006D7ACF">
              <w:t xml:space="preserve"> Rådets rekommendation (EU) 2015/1184 av den 14 juli 2015 om allmänna riktlinjer för medlemsstaternas och Europeiska unionens ekonomiska politik (EUT L 192, 18.7.2015, s. 27).</w:t>
            </w:r>
          </w:p>
        </w:tc>
        <w:tc>
          <w:tcPr>
            <w:tcW w:w="4876" w:type="dxa"/>
            <w:hideMark/>
          </w:tcPr>
          <w:p w:rsidR="000F50B7" w:rsidRPr="006D7ACF" w:rsidRDefault="000F50B7" w:rsidP="00F61C05">
            <w:pPr>
              <w:pStyle w:val="Normal6"/>
              <w:rPr>
                <w:szCs w:val="24"/>
              </w:rPr>
            </w:pPr>
            <w:r w:rsidRPr="006D7ACF">
              <w:rPr>
                <w:vertAlign w:val="superscript"/>
              </w:rPr>
              <w:t>5</w:t>
            </w:r>
            <w:r w:rsidRPr="006D7ACF">
              <w:t xml:space="preserve"> Rådets rekommendation (EU) 2015/1184 av den 14 juli 2015 om allmänna riktlinjer för medlemsstaternas och Europeiska unionens ekonomiska politik (EUT L 192, 18.7.2015, s. 27).</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4</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Skäl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(4)</w:t>
            </w:r>
            <w:r w:rsidRPr="006D7ACF">
              <w:tab/>
              <w:t xml:space="preserve">Riktlinjerna för medlemsstaternas sysselsättningspolitik överensstämmer med </w:t>
            </w:r>
            <w:r w:rsidRPr="006D7ACF">
              <w:rPr>
                <w:b/>
                <w:i/>
              </w:rPr>
              <w:t>stabilitets- och tillväxtpakten, med</w:t>
            </w:r>
            <w:r w:rsidRPr="006D7ACF">
              <w:t xml:space="preserve"> befintlig unionslagstiftning och med olika unionsinitiativ, inklusive rådets rekommendation av den 22 april 2013 om att inrätta en ungdomsgaranti (</w:t>
            </w:r>
            <w:r w:rsidRPr="006D7ACF">
              <w:rPr>
                <w:vertAlign w:val="superscript"/>
              </w:rPr>
              <w:t>6</w:t>
            </w:r>
            <w:r w:rsidRPr="006D7ACF">
              <w:t>), rådets rekommendation av den 15 februari 2016 om långtidsarbetslösas återinträde på arbetsmarknaden (</w:t>
            </w:r>
            <w:r w:rsidRPr="006D7ACF">
              <w:rPr>
                <w:vertAlign w:val="superscript"/>
              </w:rPr>
              <w:t>7</w:t>
            </w:r>
            <w:r w:rsidRPr="006D7ACF">
              <w:t>), rådets rekommendation av den 19 december 2016 om kompetenshöjningsvägar: nya möjligheter för vuxna (</w:t>
            </w:r>
            <w:r w:rsidRPr="006D7ACF">
              <w:rPr>
                <w:vertAlign w:val="superscript"/>
              </w:rPr>
              <w:t>8</w:t>
            </w:r>
            <w:r w:rsidRPr="006D7ACF">
              <w:t>), rådets rekommendation av den 15 mars 2018 om en europeisk ram för ändamålsenliga lärlingsutbildningar av god kvalitet (</w:t>
            </w:r>
            <w:r w:rsidRPr="006D7ACF">
              <w:rPr>
                <w:vertAlign w:val="superscript"/>
              </w:rPr>
              <w:t>9</w:t>
            </w:r>
            <w:r w:rsidRPr="006D7ACF">
              <w:t>), rådets rekommendation av den 22 maj 2018 om nyckelkompetenser för livslångt lärande (</w:t>
            </w:r>
            <w:r w:rsidRPr="006D7ACF">
              <w:rPr>
                <w:vertAlign w:val="superscript"/>
              </w:rPr>
              <w:t>10</w:t>
            </w:r>
            <w:r w:rsidRPr="006D7ACF">
              <w:t>), rådets rekommendation av den 22 maj 2019 om förskoleverksamhet och barnomsorg av hög kvalitet (</w:t>
            </w:r>
            <w:r w:rsidRPr="006D7ACF">
              <w:rPr>
                <w:vertAlign w:val="superscript"/>
              </w:rPr>
              <w:t>11</w:t>
            </w:r>
            <w:r w:rsidRPr="006D7ACF">
              <w:t>) och rådets rekommendation av den 8 november 2019 om tillgång till socialt skydd för arbetstagare och egenföretagare (</w:t>
            </w:r>
            <w:r w:rsidRPr="006D7ACF">
              <w:rPr>
                <w:vertAlign w:val="superscript"/>
              </w:rPr>
              <w:t>12</w:t>
            </w:r>
            <w:r w:rsidRPr="006D7ACF">
              <w:t>).</w:t>
            </w:r>
          </w:p>
        </w:tc>
        <w:tc>
          <w:tcPr>
            <w:tcW w:w="4876" w:type="dxa"/>
            <w:hideMark/>
          </w:tcPr>
          <w:p w:rsidR="000F50B7" w:rsidRPr="006D7ACF" w:rsidRDefault="000F50B7" w:rsidP="00F61C05">
            <w:pPr>
              <w:pStyle w:val="Normal6"/>
              <w:rPr>
                <w:szCs w:val="24"/>
              </w:rPr>
            </w:pPr>
            <w:r w:rsidRPr="006D7ACF">
              <w:t>(4)</w:t>
            </w:r>
            <w:r w:rsidRPr="006D7ACF">
              <w:tab/>
              <w:t>Riktlinjerna för medlemsstaternas sysselsättningspolitik överensstämmer med befintlig unionslagstiftning och med olika unionsinitiativ, inklusive rådets rekommendation av den 22 april 2013 om att inrätta en ungdomsgaranti (</w:t>
            </w:r>
            <w:r w:rsidRPr="006D7ACF">
              <w:rPr>
                <w:vertAlign w:val="superscript"/>
              </w:rPr>
              <w:t>6</w:t>
            </w:r>
            <w:r w:rsidRPr="006D7ACF">
              <w:t>), rådets rekommendation av den 15 februari 2016 om långtidsarbetslösas återinträde på arbetsmarknaden (</w:t>
            </w:r>
            <w:r w:rsidRPr="006D7ACF">
              <w:rPr>
                <w:vertAlign w:val="superscript"/>
              </w:rPr>
              <w:t>7</w:t>
            </w:r>
            <w:r w:rsidRPr="006D7ACF">
              <w:t>), rådets rekommendation av den 19 december 2016 om kompetenshöjningsvägar: nya möjligheter för vuxna (</w:t>
            </w:r>
            <w:r w:rsidRPr="006D7ACF">
              <w:rPr>
                <w:vertAlign w:val="superscript"/>
              </w:rPr>
              <w:t>8</w:t>
            </w:r>
            <w:r w:rsidRPr="006D7ACF">
              <w:t>), rådets rekommendation av den 15 mars 2018 om en europeisk ram för ändamålsenliga lärlingsutbildningar av god kvalitet (</w:t>
            </w:r>
            <w:r w:rsidRPr="006D7ACF">
              <w:rPr>
                <w:vertAlign w:val="superscript"/>
              </w:rPr>
              <w:t>9</w:t>
            </w:r>
            <w:r w:rsidRPr="006D7ACF">
              <w:t>), rådets rekommendation av den 22 maj 2018 om nyckelkompetenser för livslångt lärande (</w:t>
            </w:r>
            <w:r w:rsidRPr="006D7ACF">
              <w:rPr>
                <w:vertAlign w:val="superscript"/>
              </w:rPr>
              <w:t>10</w:t>
            </w:r>
            <w:r w:rsidRPr="006D7ACF">
              <w:t>), rådets rekommendation av den 22 maj 2019 om förskoleverksamhet och barnomsorg av hög kvalitet (</w:t>
            </w:r>
            <w:r w:rsidRPr="006D7ACF">
              <w:rPr>
                <w:vertAlign w:val="superscript"/>
              </w:rPr>
              <w:t>11</w:t>
            </w:r>
            <w:r w:rsidRPr="006D7ACF">
              <w:t>) och rådets rekommendation av den 8 november 2019 om tillgång till socialt skydd för arbetstagare och egenföretagare (</w:t>
            </w:r>
            <w:r w:rsidRPr="006D7ACF">
              <w:rPr>
                <w:vertAlign w:val="superscript"/>
              </w:rPr>
              <w:t>12</w:t>
            </w:r>
            <w:r w:rsidRPr="006D7ACF">
              <w:t>).</w:t>
            </w:r>
            <w:r w:rsidRPr="006D7ACF">
              <w:rPr>
                <w:b/>
                <w:i/>
              </w:rPr>
              <w:t xml:space="preserve"> Sedan rådet den 23 mars 2020 beslutat att aktivera den så kallade allmänna undantagsklausulen kan medlemsstaterna vara finanspolitiskt flexibla för att främja och skydda arbetstillfällen och arbetsvillkor av hög kvalitet och finansiera folkhälsotjänster och sociala tjänster. Covid-19-krisens omfattning och </w:t>
            </w:r>
            <w:r w:rsidRPr="006D7ACF">
              <w:rPr>
                <w:b/>
                <w:i/>
              </w:rPr>
              <w:lastRenderedPageBreak/>
              <w:t>varaktighet måste framgå av längden på den tid under vilken den allmänna undantagsklausulen tillämpas. Utifrån kommissionens offentliga samråd bör det undersökas i vilken riktning unionens finanspolitiska regler skulle kunna utvecklas.</w:t>
            </w:r>
          </w:p>
        </w:tc>
      </w:tr>
      <w:tr w:rsidR="000F50B7" w:rsidRPr="006D7ACF" w:rsidTr="00F61C05">
        <w:trPr>
          <w:jc w:val="center"/>
        </w:trPr>
        <w:tc>
          <w:tcPr>
            <w:tcW w:w="4876" w:type="dxa"/>
            <w:hideMark/>
          </w:tcPr>
          <w:p w:rsidR="000F50B7" w:rsidRPr="006D7ACF" w:rsidRDefault="000F50B7" w:rsidP="00F61C05">
            <w:pPr>
              <w:pStyle w:val="Normal6"/>
            </w:pPr>
            <w:r w:rsidRPr="006D7ACF">
              <w:lastRenderedPageBreak/>
              <w:t>__________________</w:t>
            </w:r>
          </w:p>
        </w:tc>
        <w:tc>
          <w:tcPr>
            <w:tcW w:w="4876" w:type="dxa"/>
            <w:hideMark/>
          </w:tcPr>
          <w:p w:rsidR="000F50B7" w:rsidRPr="006D7ACF" w:rsidRDefault="000F50B7" w:rsidP="00F61C05">
            <w:pPr>
              <w:pStyle w:val="Normal6"/>
              <w:rPr>
                <w:szCs w:val="24"/>
              </w:rPr>
            </w:pPr>
            <w:r w:rsidRPr="006D7ACF">
              <w:t>__________________</w:t>
            </w:r>
          </w:p>
        </w:tc>
      </w:tr>
      <w:tr w:rsidR="000F50B7" w:rsidRPr="006D7ACF" w:rsidTr="00F61C05">
        <w:trPr>
          <w:jc w:val="center"/>
        </w:trPr>
        <w:tc>
          <w:tcPr>
            <w:tcW w:w="4876" w:type="dxa"/>
            <w:hideMark/>
          </w:tcPr>
          <w:p w:rsidR="000F50B7" w:rsidRPr="006D7ACF" w:rsidRDefault="000F50B7" w:rsidP="00F61C05">
            <w:pPr>
              <w:pStyle w:val="Normal6"/>
            </w:pPr>
            <w:r w:rsidRPr="006D7ACF">
              <w:rPr>
                <w:vertAlign w:val="superscript"/>
              </w:rPr>
              <w:t>6</w:t>
            </w:r>
            <w:r w:rsidRPr="006D7ACF">
              <w:t xml:space="preserve"> EUT C 120, 26.4.2013, s. 1.</w:t>
            </w:r>
          </w:p>
        </w:tc>
        <w:tc>
          <w:tcPr>
            <w:tcW w:w="4876" w:type="dxa"/>
            <w:hideMark/>
          </w:tcPr>
          <w:p w:rsidR="000F50B7" w:rsidRPr="006D7ACF" w:rsidRDefault="000F50B7" w:rsidP="00F61C05">
            <w:pPr>
              <w:pStyle w:val="Normal6"/>
              <w:rPr>
                <w:szCs w:val="24"/>
              </w:rPr>
            </w:pPr>
            <w:r w:rsidRPr="006D7ACF">
              <w:rPr>
                <w:vertAlign w:val="superscript"/>
              </w:rPr>
              <w:t>6</w:t>
            </w:r>
            <w:r w:rsidRPr="006D7ACF">
              <w:t xml:space="preserve"> EUT C 120, 26.4.2013, s. 1.</w:t>
            </w:r>
          </w:p>
        </w:tc>
      </w:tr>
      <w:tr w:rsidR="000F50B7" w:rsidRPr="006D7ACF" w:rsidTr="00F61C05">
        <w:trPr>
          <w:jc w:val="center"/>
        </w:trPr>
        <w:tc>
          <w:tcPr>
            <w:tcW w:w="4876" w:type="dxa"/>
            <w:hideMark/>
          </w:tcPr>
          <w:p w:rsidR="000F50B7" w:rsidRPr="006D7ACF" w:rsidRDefault="000F50B7" w:rsidP="00F61C05">
            <w:pPr>
              <w:pStyle w:val="Normal6"/>
            </w:pPr>
            <w:r w:rsidRPr="006D7ACF">
              <w:rPr>
                <w:vertAlign w:val="superscript"/>
              </w:rPr>
              <w:t>7</w:t>
            </w:r>
            <w:r w:rsidRPr="006D7ACF">
              <w:t xml:space="preserve"> EUT C 67, 20.2.2016, s. 1.</w:t>
            </w:r>
          </w:p>
        </w:tc>
        <w:tc>
          <w:tcPr>
            <w:tcW w:w="4876" w:type="dxa"/>
            <w:hideMark/>
          </w:tcPr>
          <w:p w:rsidR="000F50B7" w:rsidRPr="006D7ACF" w:rsidRDefault="000F50B7" w:rsidP="00F61C05">
            <w:pPr>
              <w:pStyle w:val="Normal6"/>
              <w:rPr>
                <w:szCs w:val="24"/>
              </w:rPr>
            </w:pPr>
            <w:r w:rsidRPr="006D7ACF">
              <w:rPr>
                <w:vertAlign w:val="superscript"/>
              </w:rPr>
              <w:t>7</w:t>
            </w:r>
            <w:r w:rsidRPr="006D7ACF">
              <w:t xml:space="preserve"> EUT C 67, 20.2.2016, s. 1.</w:t>
            </w:r>
          </w:p>
        </w:tc>
      </w:tr>
      <w:tr w:rsidR="000F50B7" w:rsidRPr="006D7ACF" w:rsidTr="00F61C05">
        <w:trPr>
          <w:jc w:val="center"/>
        </w:trPr>
        <w:tc>
          <w:tcPr>
            <w:tcW w:w="4876" w:type="dxa"/>
            <w:hideMark/>
          </w:tcPr>
          <w:p w:rsidR="000F50B7" w:rsidRPr="006D7ACF" w:rsidRDefault="000F50B7" w:rsidP="00F61C05">
            <w:pPr>
              <w:pStyle w:val="Normal6"/>
            </w:pPr>
            <w:r w:rsidRPr="006D7ACF">
              <w:rPr>
                <w:vertAlign w:val="superscript"/>
              </w:rPr>
              <w:t>8</w:t>
            </w:r>
            <w:r w:rsidRPr="006D7ACF">
              <w:t xml:space="preserve"> EUT C 484, 24.12.2016, s. 1.</w:t>
            </w:r>
          </w:p>
        </w:tc>
        <w:tc>
          <w:tcPr>
            <w:tcW w:w="4876" w:type="dxa"/>
            <w:hideMark/>
          </w:tcPr>
          <w:p w:rsidR="000F50B7" w:rsidRPr="006D7ACF" w:rsidRDefault="000F50B7" w:rsidP="00F61C05">
            <w:pPr>
              <w:pStyle w:val="Normal6"/>
              <w:rPr>
                <w:szCs w:val="24"/>
              </w:rPr>
            </w:pPr>
            <w:r w:rsidRPr="006D7ACF">
              <w:rPr>
                <w:vertAlign w:val="superscript"/>
              </w:rPr>
              <w:t>8</w:t>
            </w:r>
            <w:r w:rsidRPr="006D7ACF">
              <w:t xml:space="preserve"> EUT C 484, 24.12.2016, s. 1.</w:t>
            </w:r>
          </w:p>
        </w:tc>
      </w:tr>
      <w:tr w:rsidR="000F50B7" w:rsidRPr="006D7ACF" w:rsidTr="00F61C05">
        <w:trPr>
          <w:jc w:val="center"/>
        </w:trPr>
        <w:tc>
          <w:tcPr>
            <w:tcW w:w="4876" w:type="dxa"/>
            <w:hideMark/>
          </w:tcPr>
          <w:p w:rsidR="000F50B7" w:rsidRPr="006D7ACF" w:rsidRDefault="000F50B7" w:rsidP="00F61C05">
            <w:pPr>
              <w:pStyle w:val="Normal6"/>
            </w:pPr>
            <w:r w:rsidRPr="006D7ACF">
              <w:rPr>
                <w:vertAlign w:val="superscript"/>
              </w:rPr>
              <w:t>9</w:t>
            </w:r>
            <w:r w:rsidRPr="006D7ACF">
              <w:t xml:space="preserve"> EUT C 153, 2.5.2018, s. 1.</w:t>
            </w:r>
          </w:p>
        </w:tc>
        <w:tc>
          <w:tcPr>
            <w:tcW w:w="4876" w:type="dxa"/>
            <w:hideMark/>
          </w:tcPr>
          <w:p w:rsidR="000F50B7" w:rsidRPr="006D7ACF" w:rsidRDefault="000F50B7" w:rsidP="00F61C05">
            <w:pPr>
              <w:pStyle w:val="Normal6"/>
              <w:rPr>
                <w:szCs w:val="24"/>
              </w:rPr>
            </w:pPr>
            <w:r w:rsidRPr="006D7ACF">
              <w:rPr>
                <w:vertAlign w:val="superscript"/>
              </w:rPr>
              <w:t>9</w:t>
            </w:r>
            <w:r w:rsidRPr="006D7ACF">
              <w:t xml:space="preserve"> EUT C 153, 2.5.2018, s. 1.</w:t>
            </w:r>
          </w:p>
        </w:tc>
      </w:tr>
      <w:tr w:rsidR="000F50B7" w:rsidRPr="006D7ACF" w:rsidTr="00F61C05">
        <w:trPr>
          <w:jc w:val="center"/>
        </w:trPr>
        <w:tc>
          <w:tcPr>
            <w:tcW w:w="4876" w:type="dxa"/>
            <w:hideMark/>
          </w:tcPr>
          <w:p w:rsidR="000F50B7" w:rsidRPr="006D7ACF" w:rsidRDefault="000F50B7" w:rsidP="00F61C05">
            <w:pPr>
              <w:pStyle w:val="Normal6"/>
            </w:pPr>
            <w:r w:rsidRPr="006D7ACF">
              <w:rPr>
                <w:vertAlign w:val="superscript"/>
              </w:rPr>
              <w:t>10</w:t>
            </w:r>
            <w:r w:rsidRPr="006D7ACF">
              <w:t xml:space="preserve"> EUT C 189, 4.6.2018, s. 1.</w:t>
            </w:r>
          </w:p>
        </w:tc>
        <w:tc>
          <w:tcPr>
            <w:tcW w:w="4876" w:type="dxa"/>
            <w:hideMark/>
          </w:tcPr>
          <w:p w:rsidR="000F50B7" w:rsidRPr="006D7ACF" w:rsidRDefault="000F50B7" w:rsidP="00F61C05">
            <w:pPr>
              <w:pStyle w:val="Normal6"/>
              <w:rPr>
                <w:szCs w:val="24"/>
              </w:rPr>
            </w:pPr>
            <w:r w:rsidRPr="006D7ACF">
              <w:rPr>
                <w:vertAlign w:val="superscript"/>
              </w:rPr>
              <w:t>10</w:t>
            </w:r>
            <w:r w:rsidRPr="006D7ACF">
              <w:t xml:space="preserve"> EUT C 189, 4.6.2018, s. 1.</w:t>
            </w:r>
          </w:p>
        </w:tc>
      </w:tr>
      <w:tr w:rsidR="000F50B7" w:rsidRPr="006D7ACF" w:rsidTr="00F61C05">
        <w:trPr>
          <w:jc w:val="center"/>
        </w:trPr>
        <w:tc>
          <w:tcPr>
            <w:tcW w:w="4876" w:type="dxa"/>
            <w:hideMark/>
          </w:tcPr>
          <w:p w:rsidR="000F50B7" w:rsidRPr="006D7ACF" w:rsidRDefault="000F50B7" w:rsidP="00F61C05">
            <w:pPr>
              <w:pStyle w:val="Normal6"/>
            </w:pPr>
            <w:r w:rsidRPr="006D7ACF">
              <w:rPr>
                <w:vertAlign w:val="superscript"/>
              </w:rPr>
              <w:t>11</w:t>
            </w:r>
            <w:r w:rsidRPr="006D7ACF">
              <w:t xml:space="preserve"> EUT C 189, 5.6.2019, s. 4.</w:t>
            </w:r>
          </w:p>
        </w:tc>
        <w:tc>
          <w:tcPr>
            <w:tcW w:w="4876" w:type="dxa"/>
            <w:hideMark/>
          </w:tcPr>
          <w:p w:rsidR="000F50B7" w:rsidRPr="006D7ACF" w:rsidRDefault="000F50B7" w:rsidP="00F61C05">
            <w:pPr>
              <w:pStyle w:val="Normal6"/>
              <w:rPr>
                <w:szCs w:val="24"/>
              </w:rPr>
            </w:pPr>
            <w:r w:rsidRPr="006D7ACF">
              <w:rPr>
                <w:vertAlign w:val="superscript"/>
              </w:rPr>
              <w:t>11</w:t>
            </w:r>
            <w:r w:rsidRPr="006D7ACF">
              <w:t xml:space="preserve"> EUT C 189, 5.6.2019, s. 4.</w:t>
            </w:r>
          </w:p>
        </w:tc>
      </w:tr>
      <w:tr w:rsidR="000F50B7" w:rsidRPr="006D7ACF" w:rsidTr="00F61C05">
        <w:trPr>
          <w:jc w:val="center"/>
        </w:trPr>
        <w:tc>
          <w:tcPr>
            <w:tcW w:w="4876" w:type="dxa"/>
            <w:hideMark/>
          </w:tcPr>
          <w:p w:rsidR="000F50B7" w:rsidRPr="006D7ACF" w:rsidRDefault="000F50B7" w:rsidP="00F61C05">
            <w:pPr>
              <w:pStyle w:val="Normal6"/>
            </w:pPr>
            <w:r w:rsidRPr="006D7ACF">
              <w:rPr>
                <w:vertAlign w:val="superscript"/>
              </w:rPr>
              <w:t>12</w:t>
            </w:r>
            <w:r w:rsidRPr="006D7ACF">
              <w:t xml:space="preserve"> EUT C 387, 15.11.2019, s. 1.</w:t>
            </w:r>
          </w:p>
        </w:tc>
        <w:tc>
          <w:tcPr>
            <w:tcW w:w="4876" w:type="dxa"/>
            <w:hideMark/>
          </w:tcPr>
          <w:p w:rsidR="000F50B7" w:rsidRPr="006D7ACF" w:rsidRDefault="000F50B7" w:rsidP="00F61C05">
            <w:pPr>
              <w:pStyle w:val="Normal6"/>
              <w:rPr>
                <w:szCs w:val="24"/>
              </w:rPr>
            </w:pPr>
            <w:r w:rsidRPr="006D7ACF">
              <w:rPr>
                <w:vertAlign w:val="superscript"/>
              </w:rPr>
              <w:t>12</w:t>
            </w:r>
            <w:r w:rsidRPr="006D7ACF">
              <w:t xml:space="preserve"> EUT C 387, 15.11.2019, s. 1.</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5</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Skäl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(5)</w:t>
            </w:r>
            <w:r w:rsidRPr="006D7ACF">
              <w:tab/>
              <w:t xml:space="preserve">I den europeiska planeringsterminen kombineras de olika instrumenten i en övergripande ram för en integrerad multilateral samordning och övervakning av ekonomisk politik och </w:t>
            </w:r>
            <w:r w:rsidRPr="006D7ACF">
              <w:rPr>
                <w:b/>
                <w:i/>
              </w:rPr>
              <w:t>sysselsättningspolitik</w:t>
            </w:r>
            <w:r w:rsidRPr="006D7ACF">
              <w:t xml:space="preserve">. I planeringsterminen </w:t>
            </w:r>
            <w:r w:rsidRPr="006D7ACF">
              <w:rPr>
                <w:b/>
                <w:i/>
              </w:rPr>
              <w:t>införlivas</w:t>
            </w:r>
            <w:r w:rsidRPr="006D7ACF">
              <w:t xml:space="preserve"> principerna i </w:t>
            </w:r>
            <w:r w:rsidRPr="006D7ACF">
              <w:rPr>
                <w:b/>
                <w:i/>
              </w:rPr>
              <w:t>den europeiska</w:t>
            </w:r>
            <w:r w:rsidRPr="006D7ACF">
              <w:t xml:space="preserve"> pelaren </w:t>
            </w:r>
            <w:r w:rsidRPr="006D7ACF">
              <w:rPr>
                <w:b/>
                <w:i/>
              </w:rPr>
              <w:t>för sociala rättigheter</w:t>
            </w:r>
            <w:r w:rsidRPr="006D7ACF">
              <w:t xml:space="preserve">, inbegripet </w:t>
            </w:r>
            <w:r w:rsidRPr="006D7ACF">
              <w:rPr>
                <w:b/>
                <w:i/>
              </w:rPr>
              <w:t>starka</w:t>
            </w:r>
            <w:r w:rsidRPr="006D7ACF">
              <w:t xml:space="preserve"> förbindelser med arbetsmarknadens parter, civilsamhället och andra berörda parter, samtidigt som miljömässig hållbarhet, produktivitet, rättvisa och stabilitet är riktmärken</w:t>
            </w:r>
            <w:r w:rsidRPr="006D7ACF">
              <w:rPr>
                <w:b/>
                <w:i/>
              </w:rPr>
              <w:t>. Planeringsterminen främjar</w:t>
            </w:r>
            <w:r w:rsidRPr="006D7ACF">
              <w:t xml:space="preserve"> arbetet med att nå FN:s mål för hållbar utveckling (</w:t>
            </w:r>
            <w:r w:rsidRPr="006D7ACF">
              <w:rPr>
                <w:vertAlign w:val="superscript"/>
              </w:rPr>
              <w:t>13</w:t>
            </w:r>
            <w:r w:rsidRPr="006D7ACF">
              <w:t xml:space="preserve">). Unionen och medlemsstaternas sysselsättningspolitik och ekonomiska politik bör samordnas med Europas </w:t>
            </w:r>
            <w:r w:rsidRPr="006D7ACF">
              <w:rPr>
                <w:b/>
                <w:i/>
              </w:rPr>
              <w:t>omställning</w:t>
            </w:r>
            <w:r w:rsidRPr="006D7ACF">
              <w:t xml:space="preserve"> till en klimatneutral, </w:t>
            </w:r>
            <w:r w:rsidRPr="006D7ACF">
              <w:lastRenderedPageBreak/>
              <w:t>miljömässigt hållbar och digital ekonomi, och samtidigt förbättra konkurrenskraften, främja innovation, social rättvisa och lika möjligheter för alla samt bekämpa ojämlikheter och regionala skillnader.</w:t>
            </w:r>
          </w:p>
        </w:tc>
        <w:tc>
          <w:tcPr>
            <w:tcW w:w="4876" w:type="dxa"/>
            <w:hideMark/>
          </w:tcPr>
          <w:p w:rsidR="000F50B7" w:rsidRPr="006D7ACF" w:rsidRDefault="000F50B7" w:rsidP="00F61C05">
            <w:pPr>
              <w:pStyle w:val="Normal6"/>
              <w:rPr>
                <w:szCs w:val="24"/>
              </w:rPr>
            </w:pPr>
            <w:r w:rsidRPr="006D7ACF">
              <w:lastRenderedPageBreak/>
              <w:t>(5)</w:t>
            </w:r>
            <w:r w:rsidRPr="006D7ACF">
              <w:tab/>
              <w:t xml:space="preserve">I den europeiska planeringsterminen kombineras de olika instrumenten i en övergripande ram för en integrerad multilateral samordning och övervakning av ekonomisk politik och </w:t>
            </w:r>
            <w:r w:rsidRPr="006D7ACF">
              <w:rPr>
                <w:b/>
                <w:i/>
              </w:rPr>
              <w:t>sysselsättnings-, social- och miljöpolitik</w:t>
            </w:r>
            <w:r w:rsidRPr="006D7ACF">
              <w:t>.</w:t>
            </w:r>
            <w:r w:rsidRPr="006D7ACF">
              <w:rPr>
                <w:b/>
                <w:i/>
              </w:rPr>
              <w:t xml:space="preserve"> Den europeiska planeringsterminen måste ställa hållbarhet, social inkludering och människors välbefinnande i centrum för unionens ekonomiska politik, och säkerställa att de sociala, miljörelaterade och ekonomiska målen prioriteras lika högt.</w:t>
            </w:r>
            <w:r w:rsidRPr="006D7ACF">
              <w:t xml:space="preserve"> I planeringsterminen </w:t>
            </w:r>
            <w:r w:rsidRPr="006D7ACF">
              <w:rPr>
                <w:b/>
                <w:i/>
              </w:rPr>
              <w:t>bör</w:t>
            </w:r>
            <w:r w:rsidRPr="006D7ACF">
              <w:t xml:space="preserve"> principerna i pelaren </w:t>
            </w:r>
            <w:r w:rsidRPr="006D7ACF">
              <w:rPr>
                <w:b/>
                <w:i/>
              </w:rPr>
              <w:t>införlivas ytterligare</w:t>
            </w:r>
            <w:r w:rsidRPr="006D7ACF">
              <w:t xml:space="preserve">, inbegripet </w:t>
            </w:r>
            <w:r w:rsidRPr="006D7ACF">
              <w:rPr>
                <w:b/>
                <w:i/>
              </w:rPr>
              <w:t>starkare</w:t>
            </w:r>
            <w:r w:rsidRPr="006D7ACF">
              <w:t xml:space="preserve"> förbindelser med arbetsmarknadens parter, civilsamhället och andra berörda parter, samtidigt som miljömässig hållbarhet, produktivitet, rättvisa och stabilitet är riktmärken</w:t>
            </w:r>
            <w:r w:rsidRPr="006D7ACF">
              <w:rPr>
                <w:b/>
                <w:i/>
              </w:rPr>
              <w:t>,</w:t>
            </w:r>
            <w:r w:rsidRPr="006D7ACF">
              <w:t xml:space="preserve"> </w:t>
            </w:r>
            <w:r w:rsidRPr="006D7ACF">
              <w:rPr>
                <w:b/>
                <w:i/>
              </w:rPr>
              <w:t xml:space="preserve">och </w:t>
            </w:r>
            <w:r w:rsidRPr="006D7ACF">
              <w:rPr>
                <w:b/>
                <w:i/>
              </w:rPr>
              <w:lastRenderedPageBreak/>
              <w:t xml:space="preserve">stöd ges till </w:t>
            </w:r>
            <w:r w:rsidRPr="006D7ACF">
              <w:t>arbetet med att nå FN:s mål för hållbar utveckling (</w:t>
            </w:r>
            <w:r w:rsidRPr="006D7ACF">
              <w:rPr>
                <w:vertAlign w:val="superscript"/>
              </w:rPr>
              <w:t>13</w:t>
            </w:r>
            <w:r w:rsidRPr="006D7ACF">
              <w:t>)</w:t>
            </w:r>
            <w:r w:rsidRPr="006D7ACF">
              <w:rPr>
                <w:b/>
                <w:i/>
              </w:rPr>
              <w:t>, bland annat jämställdhet</w:t>
            </w:r>
            <w:r w:rsidRPr="006D7ACF">
              <w:t>.</w:t>
            </w:r>
            <w:r w:rsidRPr="006D7ACF">
              <w:rPr>
                <w:b/>
                <w:i/>
              </w:rPr>
              <w:t xml:space="preserve"> Jämställdhetsindexet skulle kunna bli ett av planeringsterminens verktyg för övervakning av framstegen med sysselsättningsmål och sociala mål och för mätning av sysselsättnings- och socialpolitikens jämställdhetskonsekvenser.</w:t>
            </w:r>
            <w:r w:rsidRPr="006D7ACF">
              <w:t xml:space="preserve"> Unionens och medlemsstaternas sysselsättningspolitik och ekonomiska politik bör samordnas med Europas </w:t>
            </w:r>
            <w:r w:rsidRPr="006D7ACF">
              <w:rPr>
                <w:b/>
                <w:i/>
              </w:rPr>
              <w:t>hantering av covid-19-krisen och bör också, med tanke på de synnerligen allvarliga konsekvenserna av denna kris för vissa av Europas industri- och näringslivssektorer, stödja</w:t>
            </w:r>
            <w:r w:rsidRPr="006D7ACF">
              <w:t xml:space="preserve"> </w:t>
            </w:r>
            <w:r w:rsidRPr="006D7ACF">
              <w:rPr>
                <w:b/>
                <w:i/>
              </w:rPr>
              <w:t>omställningen</w:t>
            </w:r>
            <w:r w:rsidRPr="006D7ACF">
              <w:t xml:space="preserve"> till en klimatneutral, miljömässigt hållbar</w:t>
            </w:r>
            <w:r w:rsidRPr="006D7ACF">
              <w:rPr>
                <w:b/>
                <w:i/>
              </w:rPr>
              <w:t>, socialt inkluderande</w:t>
            </w:r>
            <w:r w:rsidRPr="006D7ACF">
              <w:t xml:space="preserve"> och digital ekonomi </w:t>
            </w:r>
            <w:r w:rsidRPr="006D7ACF">
              <w:rPr>
                <w:b/>
                <w:i/>
              </w:rPr>
              <w:t>som säkerställer uppåtgående social konvergens</w:t>
            </w:r>
            <w:r w:rsidRPr="006D7ACF">
              <w:t xml:space="preserve">, och samtidigt förbättra konkurrenskraften, </w:t>
            </w:r>
            <w:r w:rsidRPr="006D7ACF">
              <w:rPr>
                <w:b/>
                <w:i/>
              </w:rPr>
              <w:t>stödja små och medelstora företag,</w:t>
            </w:r>
            <w:r w:rsidRPr="006D7ACF">
              <w:t xml:space="preserve"> främja innovation, social rättvisa och lika möjligheter för alla </w:t>
            </w:r>
            <w:r w:rsidRPr="006D7ACF">
              <w:rPr>
                <w:b/>
                <w:i/>
              </w:rPr>
              <w:t>jämte ungdomsinriktade investeringar,</w:t>
            </w:r>
            <w:r w:rsidRPr="006D7ACF">
              <w:t xml:space="preserve"> samt bekämpa ojämlikheter och regionala skillnader. </w:t>
            </w:r>
          </w:p>
        </w:tc>
      </w:tr>
      <w:tr w:rsidR="000F50B7" w:rsidRPr="006D7ACF" w:rsidTr="00F61C05">
        <w:trPr>
          <w:jc w:val="center"/>
        </w:trPr>
        <w:tc>
          <w:tcPr>
            <w:tcW w:w="4876" w:type="dxa"/>
            <w:hideMark/>
          </w:tcPr>
          <w:p w:rsidR="000F50B7" w:rsidRPr="006D7ACF" w:rsidRDefault="000F50B7" w:rsidP="00F61C05">
            <w:pPr>
              <w:pStyle w:val="Normal6"/>
            </w:pPr>
            <w:r w:rsidRPr="006D7ACF">
              <w:lastRenderedPageBreak/>
              <w:t>__________________</w:t>
            </w:r>
          </w:p>
        </w:tc>
        <w:tc>
          <w:tcPr>
            <w:tcW w:w="4876" w:type="dxa"/>
            <w:hideMark/>
          </w:tcPr>
          <w:p w:rsidR="000F50B7" w:rsidRPr="006D7ACF" w:rsidRDefault="000F50B7" w:rsidP="00F61C05">
            <w:pPr>
              <w:pStyle w:val="Normal6"/>
              <w:rPr>
                <w:szCs w:val="24"/>
              </w:rPr>
            </w:pPr>
            <w:r w:rsidRPr="006D7ACF">
              <w:t>__________________</w:t>
            </w:r>
          </w:p>
        </w:tc>
      </w:tr>
      <w:tr w:rsidR="000F50B7" w:rsidRPr="006D7ACF" w:rsidTr="00F61C05">
        <w:trPr>
          <w:jc w:val="center"/>
        </w:trPr>
        <w:tc>
          <w:tcPr>
            <w:tcW w:w="4876" w:type="dxa"/>
            <w:hideMark/>
          </w:tcPr>
          <w:p w:rsidR="000F50B7" w:rsidRPr="006D7ACF" w:rsidRDefault="000F50B7" w:rsidP="00F61C05">
            <w:pPr>
              <w:pStyle w:val="Normal6"/>
            </w:pPr>
            <w:r w:rsidRPr="006D7ACF">
              <w:rPr>
                <w:vertAlign w:val="superscript"/>
              </w:rPr>
              <w:t>13</w:t>
            </w:r>
            <w:r w:rsidRPr="006D7ACF">
              <w:t xml:space="preserve"> FN:s resolution A/RES/70/1</w:t>
            </w:r>
          </w:p>
        </w:tc>
        <w:tc>
          <w:tcPr>
            <w:tcW w:w="4876" w:type="dxa"/>
            <w:hideMark/>
          </w:tcPr>
          <w:p w:rsidR="000F50B7" w:rsidRPr="006D7ACF" w:rsidRDefault="000F50B7" w:rsidP="00F61C05">
            <w:pPr>
              <w:pStyle w:val="Normal6"/>
              <w:rPr>
                <w:szCs w:val="24"/>
              </w:rPr>
            </w:pPr>
            <w:r w:rsidRPr="006D7ACF">
              <w:rPr>
                <w:vertAlign w:val="superscript"/>
              </w:rPr>
              <w:t>13</w:t>
            </w:r>
            <w:r w:rsidRPr="006D7ACF">
              <w:t xml:space="preserve"> FN:s resolution A/RES/70/1</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6</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Skäl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(6)</w:t>
            </w:r>
            <w:r w:rsidRPr="006D7ACF">
              <w:tab/>
              <w:t xml:space="preserve">Klimatförändringarna och de miljörelaterade utmaningarna, globaliseringen, digitaliseringen och de demografiska förändringarna </w:t>
            </w:r>
            <w:r w:rsidRPr="006D7ACF">
              <w:rPr>
                <w:b/>
                <w:i/>
              </w:rPr>
              <w:t>kommer</w:t>
            </w:r>
            <w:r w:rsidRPr="006D7ACF">
              <w:t xml:space="preserve"> att förändra europeiska ekonomier och samhällen. Unionen och medlemsstaterna bör arbeta tillsammans för att </w:t>
            </w:r>
            <w:r w:rsidRPr="006D7ACF">
              <w:rPr>
                <w:b/>
                <w:i/>
              </w:rPr>
              <w:t>ta tag i dessa strukturella utmaningar</w:t>
            </w:r>
            <w:r w:rsidRPr="006D7ACF">
              <w:t xml:space="preserve"> och genomföra </w:t>
            </w:r>
            <w:r w:rsidRPr="006D7ACF">
              <w:lastRenderedPageBreak/>
              <w:t>nödvändiga anpassningar av befintliga system, med beaktande av det ömsesidiga beroendet mellan medlemsstaternas ekonomier och arbetsmarknader och den tillhörande</w:t>
            </w:r>
            <w:r w:rsidRPr="006D7ACF">
              <w:rPr>
                <w:b/>
                <w:i/>
              </w:rPr>
              <w:t xml:space="preserve"> politiken</w:t>
            </w:r>
            <w:r w:rsidRPr="006D7ACF">
              <w:t>. Detta kräver en samordnad, ambitiös och verkningsfull politik både på unions- och medlemsstatsnivå</w:t>
            </w:r>
            <w:r w:rsidRPr="006D7ACF">
              <w:rPr>
                <w:b/>
                <w:i/>
              </w:rPr>
              <w:t>, i överensstämmelse med EUF-fördraget och unionens regler om ekonomisk styrning</w:t>
            </w:r>
            <w:r w:rsidRPr="006D7ACF">
              <w:t xml:space="preserve">. Dessa politiska insatser bör omfatta </w:t>
            </w:r>
            <w:r w:rsidRPr="006D7ACF">
              <w:rPr>
                <w:b/>
                <w:i/>
              </w:rPr>
              <w:t>investeringsstimulans, förnyade satsningar på strukturreformer i lämplig ordningsföljd som ökar produktiviteten, den ekonomiska tillväxten, den sociala och territoriella sammanhållningen, den uppåtgående konvergensen, motståndskraften och det finanspolitiska ansvaret</w:t>
            </w:r>
            <w:r w:rsidRPr="006D7ACF">
              <w:t>. De bör kombinera åtgärder på både utbuds- och efterfrågesidan, samtidigt som åtgärdernas sysselsättningsmässiga och sociala konsekvenser beaktas.</w:t>
            </w:r>
          </w:p>
        </w:tc>
        <w:tc>
          <w:tcPr>
            <w:tcW w:w="4876" w:type="dxa"/>
            <w:hideMark/>
          </w:tcPr>
          <w:p w:rsidR="000F50B7" w:rsidRPr="006D7ACF" w:rsidRDefault="000F50B7" w:rsidP="00F61C05">
            <w:pPr>
              <w:pStyle w:val="Normal6"/>
              <w:rPr>
                <w:szCs w:val="24"/>
              </w:rPr>
            </w:pPr>
            <w:r w:rsidRPr="006D7ACF">
              <w:lastRenderedPageBreak/>
              <w:t>(6)</w:t>
            </w:r>
            <w:r w:rsidRPr="006D7ACF">
              <w:tab/>
              <w:t xml:space="preserve">Klimatförändringarna och de miljörelaterade utmaningarna, globaliseringen, digitaliseringen och de demografiska förändringarna </w:t>
            </w:r>
            <w:r w:rsidRPr="006D7ACF">
              <w:rPr>
                <w:b/>
                <w:i/>
              </w:rPr>
              <w:t>är på väg</w:t>
            </w:r>
            <w:r w:rsidRPr="006D7ACF">
              <w:t xml:space="preserve"> att </w:t>
            </w:r>
            <w:r w:rsidRPr="006D7ACF">
              <w:rPr>
                <w:b/>
                <w:i/>
              </w:rPr>
              <w:t>genomgripande</w:t>
            </w:r>
            <w:r w:rsidRPr="006D7ACF">
              <w:t xml:space="preserve"> förändra europeiska ekonomier och samhällen. Unionen och medlemsstaterna bör arbeta tillsammans för att </w:t>
            </w:r>
            <w:r w:rsidRPr="006D7ACF">
              <w:rPr>
                <w:b/>
                <w:i/>
              </w:rPr>
              <w:t xml:space="preserve">bemöta denna aldrig förut upplevda </w:t>
            </w:r>
            <w:r w:rsidRPr="006D7ACF">
              <w:rPr>
                <w:b/>
                <w:i/>
              </w:rPr>
              <w:lastRenderedPageBreak/>
              <w:t>situation genom att bygga in sociala rättigheter och arbeta för mindre fattigdom och ojämlikhet</w:t>
            </w:r>
            <w:r w:rsidRPr="006D7ACF">
              <w:rPr>
                <w:b/>
              </w:rPr>
              <w:t xml:space="preserve"> </w:t>
            </w:r>
            <w:r w:rsidRPr="006D7ACF">
              <w:t xml:space="preserve">och genomföra nödvändiga anpassningar av befintliga system </w:t>
            </w:r>
            <w:r w:rsidRPr="006D7ACF">
              <w:rPr>
                <w:b/>
                <w:i/>
              </w:rPr>
              <w:t>för att de ska bli motståndskraftigare och hållbarare</w:t>
            </w:r>
            <w:r w:rsidRPr="006D7ACF">
              <w:t>, med beaktande av det ömsesidiga beroendet mellan medlemsstaternas ekonomier och arbetsmarknader och den tillhörande</w:t>
            </w:r>
            <w:r w:rsidRPr="006D7ACF">
              <w:rPr>
                <w:b/>
              </w:rPr>
              <w:t xml:space="preserve"> </w:t>
            </w:r>
            <w:r w:rsidRPr="006D7ACF">
              <w:rPr>
                <w:b/>
                <w:i/>
              </w:rPr>
              <w:t>social- och miljöpolitiken</w:t>
            </w:r>
            <w:r w:rsidRPr="006D7ACF">
              <w:t xml:space="preserve">. Detta kräver en samordnad, ambitiös och effektiv politik både på unions- och medlemsstatsnivå. Dessa politiska insatser bör omfatta </w:t>
            </w:r>
            <w:r w:rsidRPr="006D7ACF">
              <w:rPr>
                <w:b/>
                <w:i/>
              </w:rPr>
              <w:t>stimulans till sociala och miljörelaterade investeringar, de ändamålsenliga åtgärder som på lång sikt behövs för att begränsa krisens konsekvenser, jämte finansiellt stöd till företag och till icke-vinstgivande organisationer och välgörenhetsorganisationer, liksom även till hushåll, framför allt till dem som riskerar drabbas av fattigdom och social utestängning</w:t>
            </w:r>
            <w:r w:rsidRPr="006D7ACF">
              <w:t xml:space="preserve">. De bör kombinera åtgärder på både utbuds- och efterfrågesidan, </w:t>
            </w:r>
            <w:r w:rsidRPr="006D7ACF">
              <w:rPr>
                <w:b/>
                <w:i/>
              </w:rPr>
              <w:t xml:space="preserve">varvid det gäller att ta vederbörlig hänsyn också till arbetsmarknadens behov i form av tillgång och efterfrågan och låta ny teknik få komma till användning, </w:t>
            </w:r>
            <w:r w:rsidRPr="006D7ACF">
              <w:t xml:space="preserve">samtidigt som åtgärdernas sysselsättningsmässiga och sociala konsekvenser beaktas. </w:t>
            </w:r>
            <w:r w:rsidRPr="006D7ACF">
              <w:rPr>
                <w:b/>
                <w:i/>
              </w:rPr>
              <w:t xml:space="preserve">Medlemsstaterna och unionen bör införa långsiktiga instrument för detta ändamål, och kommissionens arbete med ett permanent europeiskt system för arbetslöshetsåterförsäkring är välkommet. </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7</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Skäl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(7)</w:t>
            </w:r>
            <w:r w:rsidRPr="006D7ACF">
              <w:tab/>
              <w:t xml:space="preserve">Europaparlamentet, rådet och kommissionen har undertecknat en </w:t>
            </w:r>
            <w:r w:rsidRPr="006D7ACF">
              <w:lastRenderedPageBreak/>
              <w:t xml:space="preserve">interinstitutionell proklamation </w:t>
            </w:r>
            <w:r w:rsidRPr="006D7ACF">
              <w:rPr>
                <w:b/>
                <w:i/>
              </w:rPr>
              <w:t>av</w:t>
            </w:r>
            <w:r w:rsidRPr="006D7ACF">
              <w:t xml:space="preserve"> </w:t>
            </w:r>
            <w:r w:rsidRPr="006D7ACF">
              <w:rPr>
                <w:b/>
                <w:i/>
              </w:rPr>
              <w:t>den europeiska</w:t>
            </w:r>
            <w:r w:rsidRPr="006D7ACF">
              <w:t xml:space="preserve"> pelaren </w:t>
            </w:r>
            <w:r w:rsidRPr="006D7ACF">
              <w:rPr>
                <w:b/>
                <w:i/>
              </w:rPr>
              <w:t>för sociala rättigheter</w:t>
            </w:r>
            <w:r w:rsidRPr="006D7ACF">
              <w:t xml:space="preserve"> (</w:t>
            </w:r>
            <w:r w:rsidRPr="006D7ACF">
              <w:rPr>
                <w:vertAlign w:val="superscript"/>
              </w:rPr>
              <w:t>14</w:t>
            </w:r>
            <w:r w:rsidRPr="006D7ACF">
              <w:t xml:space="preserve">). Pelaren innehåller 20 principer och rättigheter som behövs för att arbetsmarknader och välfärdssystem ska bli rättvisa och välfungerande. De är strukturerade i tre kategorier: lika möjligheter och </w:t>
            </w:r>
            <w:r w:rsidRPr="006D7ACF">
              <w:rPr>
                <w:b/>
                <w:i/>
              </w:rPr>
              <w:t>tillgång</w:t>
            </w:r>
            <w:r w:rsidRPr="006D7ACF">
              <w:t xml:space="preserve"> till arbetsmarknaden, rättvisa arbetsvillkor samt social trygghet och inkludering. Principerna och rättigheterna ger vår strategi riktning </w:t>
            </w:r>
            <w:r w:rsidRPr="006D7ACF">
              <w:rPr>
                <w:b/>
                <w:i/>
              </w:rPr>
              <w:t>genom att säkra en</w:t>
            </w:r>
            <w:r w:rsidRPr="006D7ACF">
              <w:t xml:space="preserve"> </w:t>
            </w:r>
            <w:r w:rsidRPr="006D7ACF">
              <w:rPr>
                <w:b/>
                <w:i/>
              </w:rPr>
              <w:t>socialt rättvis omställning</w:t>
            </w:r>
            <w:r w:rsidRPr="006D7ACF">
              <w:t xml:space="preserve"> till klimatneutralitet, miljömässig hållbarhet, digitalisering och demografisk </w:t>
            </w:r>
            <w:r w:rsidRPr="006D7ACF">
              <w:rPr>
                <w:b/>
                <w:i/>
              </w:rPr>
              <w:t>förändring</w:t>
            </w:r>
            <w:r w:rsidRPr="006D7ACF">
              <w:t xml:space="preserve">. Pelaren utgör </w:t>
            </w:r>
            <w:r w:rsidRPr="006D7ACF">
              <w:rPr>
                <w:b/>
                <w:i/>
              </w:rPr>
              <w:t>ett ramverk</w:t>
            </w:r>
            <w:r w:rsidRPr="006D7ACF">
              <w:t xml:space="preserve"> för övervakning av medlemsstaternas resultat inom områdena sysselsättning och socialpolitik</w:t>
            </w:r>
            <w:r w:rsidRPr="006D7ACF">
              <w:rPr>
                <w:b/>
                <w:i/>
              </w:rPr>
              <w:t>, för att driva på reformer på nationell, regional och lokal nivå och förena det ”sociala” med ”marknaden” i dagens moderna</w:t>
            </w:r>
            <w:r w:rsidRPr="006D7ACF">
              <w:t xml:space="preserve"> </w:t>
            </w:r>
            <w:r w:rsidRPr="006D7ACF">
              <w:rPr>
                <w:b/>
                <w:i/>
              </w:rPr>
              <w:t>ekonomi, bland annat genom att främja</w:t>
            </w:r>
            <w:r w:rsidRPr="006D7ACF">
              <w:t xml:space="preserve"> den sociala </w:t>
            </w:r>
            <w:r w:rsidRPr="006D7ACF">
              <w:rPr>
                <w:b/>
                <w:i/>
              </w:rPr>
              <w:t>ekonomin</w:t>
            </w:r>
            <w:r w:rsidRPr="006D7ACF">
              <w:t>.</w:t>
            </w:r>
          </w:p>
        </w:tc>
        <w:tc>
          <w:tcPr>
            <w:tcW w:w="4876" w:type="dxa"/>
            <w:hideMark/>
          </w:tcPr>
          <w:p w:rsidR="000F50B7" w:rsidRPr="006D7ACF" w:rsidRDefault="000F50B7" w:rsidP="00F61C05">
            <w:pPr>
              <w:pStyle w:val="Normal6"/>
              <w:rPr>
                <w:szCs w:val="24"/>
              </w:rPr>
            </w:pPr>
            <w:r w:rsidRPr="006D7ACF">
              <w:lastRenderedPageBreak/>
              <w:t>(7)</w:t>
            </w:r>
            <w:r w:rsidRPr="006D7ACF">
              <w:tab/>
              <w:t xml:space="preserve">Europaparlamentet, rådet och kommissionen har undertecknat en </w:t>
            </w:r>
            <w:r w:rsidRPr="006D7ACF">
              <w:lastRenderedPageBreak/>
              <w:t xml:space="preserve">interinstitutionell proklamation </w:t>
            </w:r>
            <w:r w:rsidRPr="006D7ACF">
              <w:rPr>
                <w:b/>
                <w:i/>
              </w:rPr>
              <w:t>om</w:t>
            </w:r>
            <w:r w:rsidRPr="006D7ACF">
              <w:t xml:space="preserve"> pelaren(</w:t>
            </w:r>
            <w:r w:rsidRPr="006D7ACF">
              <w:rPr>
                <w:vertAlign w:val="superscript"/>
              </w:rPr>
              <w:t>14</w:t>
            </w:r>
            <w:r w:rsidRPr="006D7ACF">
              <w:t xml:space="preserve">). Pelaren innehåller 20 principer och rättigheter som behövs för att arbetsmarknader och välfärdssystem ska bli rättvisa och välfungerande. De är strukturerade i tre kategorier: lika möjligheter och </w:t>
            </w:r>
            <w:r w:rsidRPr="006D7ACF">
              <w:rPr>
                <w:b/>
                <w:i/>
              </w:rPr>
              <w:t>tillträde</w:t>
            </w:r>
            <w:r w:rsidRPr="006D7ACF">
              <w:t xml:space="preserve"> till arbetsmarknaden, rättvisa arbetsvillkor samt social trygghet och inkludering. Principerna och rättigheterna ger vår strategi riktning </w:t>
            </w:r>
            <w:r w:rsidRPr="006D7ACF">
              <w:rPr>
                <w:b/>
                <w:i/>
              </w:rPr>
              <w:t>och måste omsättas i handling så det kan tillförsäkras att omställningen</w:t>
            </w:r>
            <w:r w:rsidRPr="006D7ACF">
              <w:t xml:space="preserve"> till klimatneutralitet, miljömässig hållbarhet, digitalisering och </w:t>
            </w:r>
            <w:r w:rsidRPr="006D7ACF">
              <w:rPr>
                <w:b/>
                <w:i/>
              </w:rPr>
              <w:t>en ny</w:t>
            </w:r>
            <w:r w:rsidRPr="006D7ACF">
              <w:t xml:space="preserve"> demografisk </w:t>
            </w:r>
            <w:r w:rsidRPr="006D7ACF">
              <w:rPr>
                <w:b/>
                <w:i/>
              </w:rPr>
              <w:t>balans blir socialt rättvis</w:t>
            </w:r>
            <w:r w:rsidRPr="006D7ACF">
              <w:t xml:space="preserve">. </w:t>
            </w:r>
            <w:r w:rsidRPr="006D7ACF">
              <w:rPr>
                <w:b/>
                <w:i/>
              </w:rPr>
              <w:t>Eftersom</w:t>
            </w:r>
            <w:r w:rsidRPr="006D7ACF">
              <w:t xml:space="preserve"> pelaren </w:t>
            </w:r>
            <w:r w:rsidRPr="006D7ACF">
              <w:rPr>
                <w:b/>
                <w:i/>
              </w:rPr>
              <w:t>och dess principer</w:t>
            </w:r>
            <w:r w:rsidRPr="006D7ACF">
              <w:t xml:space="preserve"> utgör </w:t>
            </w:r>
            <w:r w:rsidRPr="006D7ACF">
              <w:rPr>
                <w:b/>
                <w:i/>
              </w:rPr>
              <w:t>en referensram</w:t>
            </w:r>
            <w:r w:rsidRPr="006D7ACF">
              <w:t xml:space="preserve"> för övervakning av medlemsstaternas resultat inom områdena sysselsättning och socialpolitik </w:t>
            </w:r>
            <w:r w:rsidRPr="006D7ACF">
              <w:rPr>
                <w:b/>
                <w:i/>
              </w:rPr>
              <w:t xml:space="preserve">kan riktlinjerna för sysselsättning bli ett viktigt redskap för medlemsstaterna när de utarbetar och genomför politik och åtgärder för att samhället och ekonomin ska bli mera motståndskraftiga och inkluderande, samtidigt som arbetstagarrättigheter främjas och en uppåtgående konvergens eftersträvas med tanke på en vidareutveckling av </w:t>
            </w:r>
            <w:r w:rsidRPr="006D7ACF">
              <w:t>den</w:t>
            </w:r>
            <w:r w:rsidRPr="006D7ACF">
              <w:rPr>
                <w:b/>
                <w:i/>
              </w:rPr>
              <w:t xml:space="preserve"> europeiska </w:t>
            </w:r>
            <w:r w:rsidRPr="006D7ACF">
              <w:t>sociala</w:t>
            </w:r>
            <w:r w:rsidRPr="006D7ACF">
              <w:rPr>
                <w:b/>
                <w:i/>
              </w:rPr>
              <w:t xml:space="preserve"> modellen</w:t>
            </w:r>
            <w:r w:rsidRPr="006D7ACF">
              <w:t>.</w:t>
            </w:r>
          </w:p>
        </w:tc>
      </w:tr>
      <w:tr w:rsidR="000F50B7" w:rsidRPr="006D7ACF" w:rsidTr="00F61C05">
        <w:trPr>
          <w:jc w:val="center"/>
        </w:trPr>
        <w:tc>
          <w:tcPr>
            <w:tcW w:w="4876" w:type="dxa"/>
            <w:hideMark/>
          </w:tcPr>
          <w:p w:rsidR="000F50B7" w:rsidRPr="006D7ACF" w:rsidRDefault="000F50B7" w:rsidP="00F61C05">
            <w:pPr>
              <w:pStyle w:val="Normal6"/>
            </w:pPr>
            <w:r w:rsidRPr="006D7ACF">
              <w:lastRenderedPageBreak/>
              <w:t>__________________</w:t>
            </w:r>
          </w:p>
        </w:tc>
        <w:tc>
          <w:tcPr>
            <w:tcW w:w="4876" w:type="dxa"/>
            <w:hideMark/>
          </w:tcPr>
          <w:p w:rsidR="000F50B7" w:rsidRPr="006D7ACF" w:rsidRDefault="000F50B7" w:rsidP="00F61C05">
            <w:pPr>
              <w:pStyle w:val="Normal6"/>
              <w:rPr>
                <w:szCs w:val="24"/>
              </w:rPr>
            </w:pPr>
            <w:r w:rsidRPr="006D7ACF">
              <w:t>__________________</w:t>
            </w:r>
          </w:p>
        </w:tc>
      </w:tr>
      <w:tr w:rsidR="000F50B7" w:rsidRPr="006D7ACF" w:rsidTr="00F61C05">
        <w:trPr>
          <w:jc w:val="center"/>
        </w:trPr>
        <w:tc>
          <w:tcPr>
            <w:tcW w:w="4876" w:type="dxa"/>
            <w:hideMark/>
          </w:tcPr>
          <w:p w:rsidR="000F50B7" w:rsidRPr="006D7ACF" w:rsidRDefault="000F50B7" w:rsidP="00F61C05">
            <w:pPr>
              <w:pStyle w:val="Normal6"/>
            </w:pPr>
            <w:r w:rsidRPr="006D7ACF">
              <w:rPr>
                <w:vertAlign w:val="superscript"/>
              </w:rPr>
              <w:t>14</w:t>
            </w:r>
            <w:r w:rsidRPr="006D7ACF">
              <w:t xml:space="preserve"> EUT C 428, 13.12.2017, s. 10.</w:t>
            </w:r>
          </w:p>
        </w:tc>
        <w:tc>
          <w:tcPr>
            <w:tcW w:w="4876" w:type="dxa"/>
            <w:hideMark/>
          </w:tcPr>
          <w:p w:rsidR="000F50B7" w:rsidRPr="006D7ACF" w:rsidRDefault="000F50B7" w:rsidP="00F61C05">
            <w:pPr>
              <w:pStyle w:val="Normal6"/>
              <w:rPr>
                <w:szCs w:val="24"/>
              </w:rPr>
            </w:pPr>
            <w:r w:rsidRPr="006D7ACF">
              <w:rPr>
                <w:vertAlign w:val="superscript"/>
              </w:rPr>
              <w:t>14</w:t>
            </w:r>
            <w:r w:rsidRPr="006D7ACF">
              <w:t xml:space="preserve"> EUT C 428, 13.12.2017, s. 10.</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8</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Skäl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(8)</w:t>
            </w:r>
            <w:r w:rsidRPr="006D7ACF">
              <w:tab/>
              <w:t xml:space="preserve">Reformer på arbetsmarknaden, inklusive de nationella lönesättningsmekanismerna, </w:t>
            </w:r>
            <w:r w:rsidRPr="006D7ACF">
              <w:rPr>
                <w:b/>
                <w:i/>
              </w:rPr>
              <w:t xml:space="preserve">bör följa nationell praxis beträffande dialog mellan </w:t>
            </w:r>
            <w:r w:rsidRPr="006D7ACF">
              <w:rPr>
                <w:b/>
                <w:i/>
              </w:rPr>
              <w:lastRenderedPageBreak/>
              <w:t>arbetsmarknadens parter</w:t>
            </w:r>
            <w:r w:rsidRPr="006D7ACF">
              <w:t xml:space="preserve"> och ge tillräckliga möjligheter att övergripande beakta socioekonomiska frågor, inklusive förbättringar vad gäller hållbarhet, konkurrenskraft, innovation, </w:t>
            </w:r>
            <w:r w:rsidRPr="006D7ACF">
              <w:rPr>
                <w:b/>
                <w:i/>
              </w:rPr>
              <w:t>jobbskapande</w:t>
            </w:r>
            <w:r w:rsidRPr="006D7ACF">
              <w:t>, insatser för livslångt lärande och fortbildning, arbetsvillkor, utbildning och kompetens, folkhälsa och inkludering samt reallöner.</w:t>
            </w:r>
          </w:p>
        </w:tc>
        <w:tc>
          <w:tcPr>
            <w:tcW w:w="4876" w:type="dxa"/>
            <w:hideMark/>
          </w:tcPr>
          <w:p w:rsidR="000F50B7" w:rsidRPr="006D7ACF" w:rsidRDefault="000F50B7" w:rsidP="00F61C05">
            <w:pPr>
              <w:pStyle w:val="Normal6"/>
              <w:rPr>
                <w:szCs w:val="24"/>
              </w:rPr>
            </w:pPr>
            <w:r w:rsidRPr="006D7ACF">
              <w:lastRenderedPageBreak/>
              <w:t>(8)</w:t>
            </w:r>
            <w:r w:rsidRPr="006D7ACF">
              <w:tab/>
            </w:r>
            <w:r w:rsidRPr="006D7ACF">
              <w:rPr>
                <w:b/>
                <w:i/>
              </w:rPr>
              <w:t>Med vederbörlig respekt för subsidiaritetsprincipen, sådan den definieras i EUF-fördraget, bör</w:t>
            </w:r>
            <w:r w:rsidRPr="006D7ACF">
              <w:t xml:space="preserve"> reformer på arbetsmarknaden, inklusive de </w:t>
            </w:r>
            <w:r w:rsidRPr="006D7ACF">
              <w:lastRenderedPageBreak/>
              <w:t xml:space="preserve">nationella lönesättningsmekanismerna, </w:t>
            </w:r>
            <w:r w:rsidRPr="006D7ACF">
              <w:rPr>
                <w:b/>
                <w:i/>
              </w:rPr>
              <w:t>främja en snabb återhämtning</w:t>
            </w:r>
            <w:r w:rsidRPr="006D7ACF">
              <w:t xml:space="preserve"> och ge tillräckliga möjligheter att övergripande beakta socioekonomiska frågor, inklusive förbättringar vad gäller hållbarhet, konkurrenskraft, </w:t>
            </w:r>
            <w:r w:rsidRPr="006D7ACF">
              <w:rPr>
                <w:b/>
                <w:i/>
              </w:rPr>
              <w:t>tillväxt,</w:t>
            </w:r>
            <w:r w:rsidRPr="006D7ACF">
              <w:t xml:space="preserve"> innovation, </w:t>
            </w:r>
            <w:r w:rsidRPr="006D7ACF">
              <w:rPr>
                <w:b/>
                <w:i/>
              </w:rPr>
              <w:t>skapande av sysselsättning av hög kvalitet, inkludering av personer med funktionsnedsättning och grupper som på annat sätt är missgynnade</w:t>
            </w:r>
            <w:r w:rsidRPr="006D7ACF">
              <w:t xml:space="preserve">, insatser för livslångt lärande och fortbildning, arbetsvillkor, utbildning och kompetens, folkhälsa och inkludering samt reallöner. </w:t>
            </w:r>
            <w:r w:rsidRPr="006D7ACF">
              <w:rPr>
                <w:b/>
                <w:i/>
              </w:rPr>
              <w:t>Medlemsstaterna bör därför respektera och stärka arbetsmarknadens parter och utöka kollektivförhandlingarnas täckningsgrad, samt vidta åtgärder för en hög facklig organisationsgrad och grad av anslutning till arbetsgivarföreningar, för att säkerställa en demokratisk, inkluderande och socialt rättvis återhämtning.</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9</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Skäl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(9)</w:t>
            </w:r>
            <w:r w:rsidRPr="006D7ACF">
              <w:tab/>
              <w:t xml:space="preserve">Medlemsstaterna </w:t>
            </w:r>
            <w:r w:rsidRPr="006D7ACF">
              <w:rPr>
                <w:b/>
                <w:i/>
              </w:rPr>
              <w:t>och unionen bör</w:t>
            </w:r>
            <w:r w:rsidRPr="006D7ACF">
              <w:t xml:space="preserve"> säkerställa att förändringarna är socialt rättvisa, och främja utvecklingen mot ett inkluderande och motståndskraftigt samhälle där människor är skyddade och kan förutse och hantera förändringar och </w:t>
            </w:r>
            <w:r w:rsidRPr="006D7ACF">
              <w:rPr>
                <w:b/>
                <w:i/>
              </w:rPr>
              <w:t>aktivt</w:t>
            </w:r>
            <w:r w:rsidRPr="006D7ACF">
              <w:t xml:space="preserve"> delta i samhällslivet och ekonomin. Diskriminering i alla former bör </w:t>
            </w:r>
            <w:r w:rsidRPr="006D7ACF">
              <w:rPr>
                <w:b/>
                <w:i/>
              </w:rPr>
              <w:t>åtgärdas</w:t>
            </w:r>
            <w:r w:rsidRPr="006D7ACF">
              <w:t>.</w:t>
            </w:r>
            <w:r w:rsidRPr="006D7ACF">
              <w:rPr>
                <w:b/>
                <w:i/>
              </w:rPr>
              <w:t xml:space="preserve"> Tillgänglighet och</w:t>
            </w:r>
            <w:r w:rsidRPr="006D7ACF">
              <w:t xml:space="preserve"> möjligheter för alla bör säkerställas och fattigdom och social utestängning, även för barn, bör </w:t>
            </w:r>
            <w:r w:rsidRPr="006D7ACF">
              <w:rPr>
                <w:b/>
                <w:i/>
              </w:rPr>
              <w:t xml:space="preserve">minskas, framför allt genom väl fungerande arbetsmarknader och sociala trygghetssystem, genom att hindren för deltagande i utbildning och på </w:t>
            </w:r>
            <w:r w:rsidRPr="006D7ACF">
              <w:rPr>
                <w:b/>
                <w:i/>
              </w:rPr>
              <w:lastRenderedPageBreak/>
              <w:t>arbetsmarknaden undanröjs och genom investeringar i förskoleverksamhet och barnomsorg</w:t>
            </w:r>
            <w:r w:rsidRPr="006D7ACF">
              <w:t>.</w:t>
            </w:r>
            <w:r w:rsidRPr="006D7ACF">
              <w:rPr>
                <w:b/>
                <w:i/>
              </w:rPr>
              <w:t xml:space="preserve"> Med tanke på den åldrande befolkningen är det särskilt viktigt med jämlik tillgång till ekonomiskt överkomlig hälso- och sjukvård i rätt tid, inklusive förebyggande och hälsofrämjande åtgärder.</w:t>
            </w:r>
            <w:r w:rsidRPr="006D7ACF">
              <w:t xml:space="preserve"> Möjligheterna för personer med </w:t>
            </w:r>
            <w:r w:rsidRPr="006D7ACF">
              <w:rPr>
                <w:b/>
                <w:i/>
              </w:rPr>
              <w:t>funktionsnedsättningar</w:t>
            </w:r>
            <w:r w:rsidRPr="006D7ACF">
              <w:t xml:space="preserve"> att bidra till ekonomisk </w:t>
            </w:r>
            <w:r w:rsidRPr="006D7ACF">
              <w:rPr>
                <w:b/>
                <w:i/>
              </w:rPr>
              <w:t>tillväxt</w:t>
            </w:r>
            <w:r w:rsidRPr="006D7ACF">
              <w:t xml:space="preserve"> och social utveckling bör tillvaratas i </w:t>
            </w:r>
            <w:r w:rsidRPr="006D7ACF">
              <w:rPr>
                <w:b/>
                <w:i/>
              </w:rPr>
              <w:t>högre</w:t>
            </w:r>
            <w:r w:rsidRPr="006D7ACF">
              <w:t xml:space="preserve"> utsträckning. När nya ekonomiska modeller och affärsmodeller införs på arbetsplatser i unionen förändras också anställningsförhållandena. Medlemsstaterna bör </w:t>
            </w:r>
            <w:r w:rsidRPr="006D7ACF">
              <w:rPr>
                <w:b/>
                <w:i/>
              </w:rPr>
              <w:t>se till</w:t>
            </w:r>
            <w:r w:rsidRPr="006D7ACF">
              <w:t xml:space="preserve"> </w:t>
            </w:r>
            <w:r w:rsidRPr="006D7ACF">
              <w:rPr>
                <w:b/>
                <w:i/>
              </w:rPr>
              <w:t>att</w:t>
            </w:r>
            <w:r w:rsidRPr="006D7ACF">
              <w:t xml:space="preserve"> den europeiska sociala modellen</w:t>
            </w:r>
            <w:r w:rsidRPr="006D7ACF">
              <w:rPr>
                <w:b/>
                <w:i/>
              </w:rPr>
              <w:t xml:space="preserve"> bibehålls och stärks av</w:t>
            </w:r>
            <w:r w:rsidRPr="006D7ACF">
              <w:t xml:space="preserve"> de anställningsförhållanden som följer av nya arbetsformer.</w:t>
            </w:r>
          </w:p>
        </w:tc>
        <w:tc>
          <w:tcPr>
            <w:tcW w:w="4876" w:type="dxa"/>
            <w:hideMark/>
          </w:tcPr>
          <w:p w:rsidR="000F50B7" w:rsidRPr="006D7ACF" w:rsidRDefault="000F50B7" w:rsidP="00F61C05">
            <w:pPr>
              <w:pStyle w:val="Normal6"/>
              <w:rPr>
                <w:szCs w:val="24"/>
              </w:rPr>
            </w:pPr>
            <w:r w:rsidRPr="006D7ACF">
              <w:lastRenderedPageBreak/>
              <w:t>(9)</w:t>
            </w:r>
            <w:r w:rsidRPr="006D7ACF">
              <w:tab/>
            </w:r>
            <w:r w:rsidRPr="006D7ACF">
              <w:rPr>
                <w:b/>
                <w:i/>
              </w:rPr>
              <w:t>Framför allt i ett läge där unionen står inför enorma utmaningar både ekonomiskt och socialt sett bör</w:t>
            </w:r>
            <w:r w:rsidRPr="006D7ACF">
              <w:t xml:space="preserve"> medlemsstaterna säkerställa att förändringarna är socialt rättvisa, och främja utvecklingen mot ett </w:t>
            </w:r>
            <w:r w:rsidRPr="006D7ACF">
              <w:rPr>
                <w:b/>
                <w:i/>
              </w:rPr>
              <w:t>mera</w:t>
            </w:r>
            <w:r w:rsidRPr="006D7ACF">
              <w:t xml:space="preserve"> inkluderande och motståndskraftigt samhälle där människor är skyddade och kan förutse och hantera förändringar och </w:t>
            </w:r>
            <w:r w:rsidRPr="006D7ACF">
              <w:rPr>
                <w:b/>
                <w:i/>
              </w:rPr>
              <w:t>fullt ut</w:t>
            </w:r>
            <w:r w:rsidRPr="006D7ACF">
              <w:t xml:space="preserve"> delta i samhällslivet och ekonomin. Diskriminering i alla former bör </w:t>
            </w:r>
            <w:r w:rsidRPr="006D7ACF">
              <w:rPr>
                <w:b/>
                <w:i/>
              </w:rPr>
              <w:t>elimineras</w:t>
            </w:r>
            <w:r w:rsidRPr="006D7ACF">
              <w:t>.</w:t>
            </w:r>
            <w:r w:rsidRPr="006D7ACF">
              <w:rPr>
                <w:b/>
                <w:i/>
              </w:rPr>
              <w:t xml:space="preserve"> Var och en bör få kunna ge ett fullständigt bidrag till samhällslivet. Lika</w:t>
            </w:r>
            <w:r w:rsidRPr="006D7ACF">
              <w:t xml:space="preserve"> möjligheter för alla bör säkerställas och fattigdom</w:t>
            </w:r>
            <w:r w:rsidRPr="006D7ACF">
              <w:rPr>
                <w:b/>
                <w:i/>
              </w:rPr>
              <w:t>, diskriminering</w:t>
            </w:r>
            <w:r w:rsidRPr="006D7ACF">
              <w:t xml:space="preserve"> och social </w:t>
            </w:r>
            <w:r w:rsidRPr="006D7ACF">
              <w:lastRenderedPageBreak/>
              <w:t xml:space="preserve">utestängning, även för barn, </w:t>
            </w:r>
            <w:r w:rsidRPr="006D7ACF">
              <w:rPr>
                <w:b/>
                <w:i/>
              </w:rPr>
              <w:t xml:space="preserve">personer med funktionsnedsättning och andra missgynnade grupper, </w:t>
            </w:r>
            <w:r w:rsidRPr="006D7ACF">
              <w:t xml:space="preserve">bör </w:t>
            </w:r>
            <w:r w:rsidRPr="006D7ACF">
              <w:rPr>
                <w:b/>
                <w:i/>
              </w:rPr>
              <w:t>utrotas</w:t>
            </w:r>
            <w:r w:rsidRPr="006D7ACF">
              <w:t>.</w:t>
            </w:r>
            <w:r w:rsidRPr="006D7ACF">
              <w:rPr>
                <w:b/>
                <w:i/>
              </w:rPr>
              <w:t xml:space="preserve"> Unionen bör för detta ändamål genomföra sådana åtgärder som den europeiska barngarantin.</w:t>
            </w:r>
            <w:r w:rsidRPr="006D7ACF">
              <w:t xml:space="preserve"> Möjligheterna för personer med </w:t>
            </w:r>
            <w:r w:rsidRPr="006D7ACF">
              <w:rPr>
                <w:b/>
                <w:i/>
              </w:rPr>
              <w:t>funktionsnedsättning</w:t>
            </w:r>
            <w:r w:rsidRPr="006D7ACF">
              <w:t xml:space="preserve"> att bidra till ekonomisk och social utveckling bör tillvaratas i </w:t>
            </w:r>
            <w:r w:rsidRPr="006D7ACF">
              <w:rPr>
                <w:b/>
                <w:i/>
              </w:rPr>
              <w:t>full</w:t>
            </w:r>
            <w:r w:rsidRPr="006D7ACF">
              <w:t xml:space="preserve"> utsträckning. När nya ekonomiska modeller och affärsmodeller införs på arbetsplatser i unionen förändras också anställningsförhållandena. </w:t>
            </w:r>
            <w:r w:rsidRPr="006D7ACF">
              <w:rPr>
                <w:b/>
                <w:i/>
              </w:rPr>
              <w:t>Såsom det framgår av covid-19-krisen är många lågkvalificerade arbetstagare oumbärliga för ekonomins grundläggande funktion. De är alltför ofta lågavlönade och har osäkra arbetsvillkor.</w:t>
            </w:r>
            <w:r w:rsidRPr="006D7ACF">
              <w:t xml:space="preserve"> Medlemsstaterna bör </w:t>
            </w:r>
            <w:r w:rsidRPr="006D7ACF">
              <w:rPr>
                <w:b/>
                <w:i/>
              </w:rPr>
              <w:t>ytterligare stärka</w:t>
            </w:r>
            <w:r w:rsidRPr="006D7ACF">
              <w:t xml:space="preserve"> den europeiska sociala modellen</w:t>
            </w:r>
            <w:r w:rsidRPr="006D7ACF">
              <w:rPr>
                <w:b/>
                <w:i/>
              </w:rPr>
              <w:t xml:space="preserve"> genom att säkerställa att alla arbetstagare har samma rättigheter, anständiga arbetsvillkor, inbegripet arbetsmiljö, och anständiga löner. Därtill bör medlemsstaterna åtgärda alla former av osäker anställning och falskt egenföretagande och säkerställa</w:t>
            </w:r>
            <w:r w:rsidRPr="006D7ACF">
              <w:t xml:space="preserve"> </w:t>
            </w:r>
            <w:r w:rsidRPr="006D7ACF">
              <w:rPr>
                <w:b/>
                <w:i/>
              </w:rPr>
              <w:t>att</w:t>
            </w:r>
            <w:r w:rsidRPr="006D7ACF">
              <w:t xml:space="preserve"> de anställningsförhållanden som följer av nya arbetsformer </w:t>
            </w:r>
            <w:r w:rsidRPr="006D7ACF">
              <w:rPr>
                <w:b/>
                <w:i/>
              </w:rPr>
              <w:t>är förenliga med den europeiska sociala modellen</w:t>
            </w:r>
            <w:r w:rsidRPr="006D7ACF">
              <w:t xml:space="preserve">. </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10</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Skäl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(10)</w:t>
            </w:r>
            <w:r w:rsidRPr="006D7ACF">
              <w:tab/>
              <w:t>De integrerade riktlinjerna bör ligga till grund för eventuella landsspecifika rekommendationer som rådet kan ge medlemsstaterna. Medlemsstaterna bör utnyttja Europeiska socialfonden+ och annan unionsfinansiering till fullo, inklusive fonden för en rättvis omställning och InvestEU, för att främja sysselsättning</w:t>
            </w:r>
            <w:r w:rsidRPr="006D7ACF">
              <w:rPr>
                <w:b/>
                <w:i/>
              </w:rPr>
              <w:t>,</w:t>
            </w:r>
            <w:r w:rsidRPr="006D7ACF">
              <w:t xml:space="preserve"> sociala investeringar, social </w:t>
            </w:r>
            <w:r w:rsidRPr="006D7ACF">
              <w:rPr>
                <w:b/>
                <w:i/>
              </w:rPr>
              <w:t>inkludering</w:t>
            </w:r>
            <w:r w:rsidRPr="006D7ACF">
              <w:t xml:space="preserve">, </w:t>
            </w:r>
            <w:r w:rsidRPr="006D7ACF">
              <w:lastRenderedPageBreak/>
              <w:t xml:space="preserve">tillgänglighet, kompetenshöjning och omskolning av arbetskraften, livslångt lärande och högkvalitativ utbildning och fortbildning för alla samt digital kompetens och digitala färdigheter. De integrerade riktlinjerna riktar sig till medlemsstaterna och unionen, </w:t>
            </w:r>
            <w:r w:rsidRPr="006D7ACF">
              <w:rPr>
                <w:b/>
                <w:i/>
              </w:rPr>
              <w:t>men de</w:t>
            </w:r>
            <w:r w:rsidRPr="006D7ACF">
              <w:t xml:space="preserve"> bör genomföras i partnerskap med alla nationella, regionala och lokala myndigheter, i nära samarbete med parlamenten, samt med arbetsmarknadens parter och företrädare för det civila samhället.</w:t>
            </w:r>
          </w:p>
        </w:tc>
        <w:tc>
          <w:tcPr>
            <w:tcW w:w="4876" w:type="dxa"/>
            <w:hideMark/>
          </w:tcPr>
          <w:p w:rsidR="000F50B7" w:rsidRPr="006D7ACF" w:rsidRDefault="000F50B7" w:rsidP="00F61C05">
            <w:pPr>
              <w:pStyle w:val="Normal6"/>
              <w:rPr>
                <w:szCs w:val="24"/>
              </w:rPr>
            </w:pPr>
            <w:r w:rsidRPr="006D7ACF">
              <w:lastRenderedPageBreak/>
              <w:t>(10)</w:t>
            </w:r>
            <w:r w:rsidRPr="006D7ACF">
              <w:tab/>
              <w:t>De integrerade riktlinjerna bör ligga till grund för eventuella landsspecifika rekommendationer som rådet kan ge medlemsstaterna. Medlemsstaterna bör utnyttja Europeiska socialfonden+ ,</w:t>
            </w:r>
            <w:r w:rsidRPr="006D7ACF">
              <w:rPr>
                <w:b/>
                <w:i/>
              </w:rPr>
              <w:t xml:space="preserve"> de europeiska struktur- och investeringsfonderna</w:t>
            </w:r>
            <w:r w:rsidRPr="006D7ACF">
              <w:t xml:space="preserve"> och annan unionsfinansiering till fullo, inklusive fonden för en rättvis omställning och </w:t>
            </w:r>
            <w:r w:rsidRPr="006D7ACF">
              <w:lastRenderedPageBreak/>
              <w:t xml:space="preserve">InvestEU, för att främja sysselsättning </w:t>
            </w:r>
            <w:r w:rsidRPr="006D7ACF">
              <w:rPr>
                <w:b/>
                <w:i/>
              </w:rPr>
              <w:t>av hög kvalitet och</w:t>
            </w:r>
            <w:r w:rsidRPr="006D7ACF">
              <w:t xml:space="preserve"> sociala investeringar, </w:t>
            </w:r>
            <w:r w:rsidRPr="006D7ACF">
              <w:rPr>
                <w:b/>
                <w:i/>
              </w:rPr>
              <w:t xml:space="preserve">samt för att bekämpa fattigdom och </w:t>
            </w:r>
            <w:r w:rsidRPr="006D7ACF">
              <w:t xml:space="preserve">social </w:t>
            </w:r>
            <w:r w:rsidRPr="006D7ACF">
              <w:rPr>
                <w:b/>
                <w:i/>
              </w:rPr>
              <w:t>utestängning</w:t>
            </w:r>
            <w:r w:rsidRPr="006D7ACF">
              <w:t xml:space="preserve">, </w:t>
            </w:r>
            <w:r w:rsidRPr="006D7ACF">
              <w:rPr>
                <w:b/>
                <w:i/>
              </w:rPr>
              <w:t>främja</w:t>
            </w:r>
            <w:r w:rsidRPr="006D7ACF">
              <w:t xml:space="preserve"> tillgänglighet, </w:t>
            </w:r>
            <w:r w:rsidRPr="006D7ACF">
              <w:rPr>
                <w:b/>
                <w:i/>
              </w:rPr>
              <w:t>stödja omställningen till en grön digital ekonomi och främja</w:t>
            </w:r>
            <w:r w:rsidRPr="006D7ACF">
              <w:t xml:space="preserve"> kompetenshöjning och omskolning av arbetskraften, livslångt lärande och högkvalitativ utbildning och fortbildning för alla samt digital kompetens och digitala färdigheter. </w:t>
            </w:r>
            <w:r w:rsidRPr="006D7ACF">
              <w:rPr>
                <w:b/>
                <w:i/>
              </w:rPr>
              <w:t>Användningen av dessa fonder bör också spela en viktig roll för utökade investeringar i offentliga tjänster, framför allt inom områdena utbildning, hälsa och bostäder.</w:t>
            </w:r>
            <w:r w:rsidRPr="006D7ACF">
              <w:t xml:space="preserve"> De integrerade riktlinjerna riktar sig till medlemsstaterna och unionen </w:t>
            </w:r>
            <w:r w:rsidRPr="006D7ACF">
              <w:rPr>
                <w:b/>
                <w:i/>
              </w:rPr>
              <w:t>och</w:t>
            </w:r>
            <w:r w:rsidRPr="006D7ACF">
              <w:t xml:space="preserve"> bör genomföras i partnerskap med alla nationella, regionala och lokala myndigheter, i nära </w:t>
            </w:r>
            <w:r w:rsidRPr="006D7ACF">
              <w:rPr>
                <w:b/>
                <w:i/>
              </w:rPr>
              <w:t>och aktivt</w:t>
            </w:r>
            <w:r w:rsidRPr="006D7ACF">
              <w:t xml:space="preserve"> samarbete med parlamenten, samt med arbetsmarknadens parter och företrädare för det civila samhället </w:t>
            </w:r>
            <w:r w:rsidRPr="006D7ACF">
              <w:rPr>
                <w:b/>
                <w:i/>
              </w:rPr>
              <w:t>i samband med att de genomförs, övervakas och utvärderas</w:t>
            </w:r>
            <w:r w:rsidRPr="006D7ACF">
              <w:t>.</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11</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Artikel 2 – stycke 1a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tcPr>
          <w:p w:rsidR="000F50B7" w:rsidRPr="006D7ACF" w:rsidRDefault="000F50B7" w:rsidP="00F61C05">
            <w:pPr>
              <w:pStyle w:val="Normal6"/>
            </w:pPr>
          </w:p>
        </w:tc>
        <w:tc>
          <w:tcPr>
            <w:tcW w:w="4876" w:type="dxa"/>
            <w:hideMark/>
          </w:tcPr>
          <w:p w:rsidR="000F50B7" w:rsidRPr="006D7ACF" w:rsidRDefault="000F50B7" w:rsidP="00F61C05">
            <w:pPr>
              <w:pStyle w:val="Normal6"/>
              <w:rPr>
                <w:szCs w:val="24"/>
              </w:rPr>
            </w:pPr>
            <w:r w:rsidRPr="006D7ACF">
              <w:rPr>
                <w:b/>
                <w:i/>
              </w:rPr>
              <w:t xml:space="preserve">Riktlinjerna i denna bilaga ska ses över senast ett år efter att de antagits för att hänsyn ska kunna tas till covid-19-krisen och dess sociala och ekonomiska konsekvenser, och för att liknande kriser i framtiden ska kunna bemötas bättre. För att stärka det demokratiska beslutsfattandet ska Europaparlamentet på lika villkor som rådet medverka vid fastställandet av de integrerade riktlinjerna för tillväxt och sysselsättning. </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12</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5 – stycke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 xml:space="preserve">Medlemsstaterna bör aktivt främja </w:t>
            </w:r>
            <w:r w:rsidRPr="006D7ACF">
              <w:rPr>
                <w:b/>
                <w:i/>
              </w:rPr>
              <w:t>en hållbar social marknadsekonomi och underlätta och stödja</w:t>
            </w:r>
            <w:r w:rsidRPr="006D7ACF">
              <w:t xml:space="preserve"> investeringar </w:t>
            </w:r>
            <w:r w:rsidRPr="006D7ACF">
              <w:rPr>
                <w:b/>
                <w:i/>
              </w:rPr>
              <w:t>i skapandet av jobb av hög kvalitet</w:t>
            </w:r>
            <w:r w:rsidRPr="006D7ACF">
              <w:t xml:space="preserve">. </w:t>
            </w:r>
            <w:r w:rsidRPr="006D7ACF">
              <w:rPr>
                <w:b/>
                <w:i/>
              </w:rPr>
              <w:t>I detta syfte</w:t>
            </w:r>
            <w:r w:rsidRPr="006D7ACF">
              <w:t xml:space="preserve"> bör </w:t>
            </w:r>
            <w:r w:rsidRPr="006D7ACF">
              <w:rPr>
                <w:b/>
                <w:i/>
              </w:rPr>
              <w:t>de undanröja hinder för nyanställningar i företag,</w:t>
            </w:r>
            <w:r w:rsidRPr="006D7ACF">
              <w:t xml:space="preserve"> främja ansvarsfullt entreprenörskap och verkligt egenföretagande och i synnerhet stödja att mikroföretag och </w:t>
            </w:r>
            <w:r w:rsidRPr="006D7ACF">
              <w:rPr>
                <w:b/>
                <w:i/>
              </w:rPr>
              <w:t>småföretag</w:t>
            </w:r>
            <w:r w:rsidRPr="006D7ACF">
              <w:t xml:space="preserve"> startas och växer, bland annat genom tillgång till finansiering. Medlemsstaterna bör aktivt verka för den sociala ekonomins utveckling, främja social innovation, stödja sociala företag och uppmuntra innovativa arbetsformer som skapar möjligheter till jobb av hög kvalitet och leder till sociala vinster på lokal nivå.</w:t>
            </w:r>
          </w:p>
        </w:tc>
        <w:tc>
          <w:tcPr>
            <w:tcW w:w="4876" w:type="dxa"/>
            <w:hideMark/>
          </w:tcPr>
          <w:p w:rsidR="000F50B7" w:rsidRPr="006D7ACF" w:rsidRDefault="000F50B7" w:rsidP="00F61C05">
            <w:pPr>
              <w:pStyle w:val="Normal6"/>
              <w:rPr>
                <w:szCs w:val="24"/>
              </w:rPr>
            </w:pPr>
            <w:r w:rsidRPr="006D7ACF">
              <w:t xml:space="preserve">Medlemsstaterna bör aktivt främja </w:t>
            </w:r>
            <w:r w:rsidRPr="006D7ACF">
              <w:rPr>
                <w:b/>
                <w:i/>
              </w:rPr>
              <w:t>full sysselsättning av hög kvalitet, grundad på en stark ekonomi. Eftersom statliga</w:t>
            </w:r>
            <w:r w:rsidRPr="006D7ACF">
              <w:t xml:space="preserve"> investeringar </w:t>
            </w:r>
            <w:r w:rsidRPr="006D7ACF">
              <w:rPr>
                <w:b/>
                <w:i/>
              </w:rPr>
              <w:t>spelar en erkänt utslagsgivande roll för sysselsättningsskapandet bör medlemsstaterna gå i ledningen dels för en brett upplagd kampanj för offentliga investeringar, dels för en smart och ambitiös politik i sysselsättningsskapande syfte</w:t>
            </w:r>
            <w:r w:rsidRPr="006D7ACF">
              <w:t xml:space="preserve">. </w:t>
            </w:r>
            <w:r w:rsidRPr="006D7ACF">
              <w:rPr>
                <w:b/>
                <w:i/>
              </w:rPr>
              <w:t xml:space="preserve">Medlemsstaterna bör anpassa sin sysselsättningspolitik och på unionsnivå samordna förverkligandet av bästa praxis i fråga om tillfälliga åtgärder till skydd för alla arbetstagare och arbetsmarknader. Dessa åtgärder bör innefatta lönesubventioner, inkomststöd och utbyggnad av system för arbetslöshetsförmåner, utbyggnad av betald sjukledighet och vård- och omsorgsledighet, samt upplägg för distansarbete. Medlemsstaterna bör stödja europeiska företags omställning i riktning mot självförsörjning, framför allt med skyddsutrustning och medicinsk utrustning. Medlemsstaterna bör öka sitt stöd till företag som har det kämpigt till följd av krisen, förutsatt att dessa företag låter hela sin personal stanna kvar. Medlemsstaterna bör också överväga att inte verkställa uppsägningar under kristiden. Medlemsstaterna bör säkerställa att arbetsmarknadens parter medverkar vid utarbetandet och genomförandet av sådana åtgärder. Åtgärderna bör få fortsätta till dess att en fullständig ekonomisk återhämtning uppnåtts, varefter de bör successivt frångås. Särskild uppmärksamhet bör ägnas åt att garantera rättigheterna och </w:t>
            </w:r>
            <w:r w:rsidRPr="006D7ACF">
              <w:rPr>
                <w:b/>
                <w:i/>
              </w:rPr>
              <w:lastRenderedPageBreak/>
              <w:t>arbetstillfällena för mobila arbetstagare och gränsarbetare som drabbats hårt av gränsstängningar. Medlemsstaterna</w:t>
            </w:r>
            <w:r w:rsidRPr="006D7ACF">
              <w:t xml:space="preserve"> bör främja ansvarsfullt entreprenörskap</w:t>
            </w:r>
            <w:r w:rsidRPr="006D7ACF">
              <w:rPr>
                <w:b/>
                <w:i/>
              </w:rPr>
              <w:t>, också bland kvinnor och ungdomar</w:t>
            </w:r>
            <w:r w:rsidRPr="006D7ACF">
              <w:t xml:space="preserve"> och verkligt egenföretagande och i synnerhet stödja att mikroföretag och </w:t>
            </w:r>
            <w:r w:rsidRPr="006D7ACF">
              <w:rPr>
                <w:b/>
                <w:i/>
              </w:rPr>
              <w:t>små och medelstora företag</w:t>
            </w:r>
            <w:r w:rsidRPr="006D7ACF">
              <w:t xml:space="preserve"> startas och växer, bland annat genom tillgång till finansiering. Medlemsstaterna bör aktivt verka för den </w:t>
            </w:r>
            <w:r w:rsidRPr="006D7ACF">
              <w:rPr>
                <w:b/>
                <w:i/>
              </w:rPr>
              <w:t>cirkulära och den</w:t>
            </w:r>
            <w:r w:rsidRPr="006D7ACF">
              <w:t xml:space="preserve"> sociala ekonomins utveckling, främja social innovation, stödja sociala företag och</w:t>
            </w:r>
            <w:r w:rsidRPr="006D7ACF">
              <w:rPr>
                <w:b/>
                <w:i/>
              </w:rPr>
              <w:t xml:space="preserve"> stärka deras hållbarhet, samt</w:t>
            </w:r>
            <w:r w:rsidRPr="006D7ACF">
              <w:t xml:space="preserve"> uppmuntra innovativa arbetsformer som skapar möjligheter till jobb av hög kvalitet och leder till sociala vinster på lokal nivå</w:t>
            </w:r>
            <w:r w:rsidRPr="006D7ACF">
              <w:rPr>
                <w:b/>
                <w:i/>
              </w:rPr>
              <w:t>, särskilt inom strategiska sektorer med stark tillväxtpotential, såsom sektorerna för den digitala och den gröna ekonomin</w:t>
            </w:r>
            <w:r w:rsidRPr="006D7ACF">
              <w:t xml:space="preserve">. </w:t>
            </w:r>
            <w:r w:rsidRPr="006D7ACF">
              <w:rPr>
                <w:b/>
                <w:i/>
              </w:rPr>
              <w:t>Härvidlag bör man också föra en politik som stöder sysselsättningsskapandet inom offentliga tjänster eller privata tjänster av allmänt intresse, framför allt inom barnomsorgen och hälso- och sjukvården och bostadssektorn.</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13</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5 – stycke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 xml:space="preserve">En skatteväxling bör göras från beskattning av arbete till andra former av beskattning som är </w:t>
            </w:r>
            <w:r w:rsidRPr="006D7ACF">
              <w:rPr>
                <w:b/>
                <w:i/>
              </w:rPr>
              <w:t>gynnsammare</w:t>
            </w:r>
            <w:r w:rsidRPr="006D7ACF">
              <w:t xml:space="preserve"> för </w:t>
            </w:r>
            <w:r w:rsidRPr="006D7ACF">
              <w:rPr>
                <w:b/>
                <w:i/>
              </w:rPr>
              <w:t>sysselsättningen och</w:t>
            </w:r>
            <w:r w:rsidRPr="006D7ACF">
              <w:t xml:space="preserve"> tillväxt för alla, och </w:t>
            </w:r>
            <w:r w:rsidRPr="006D7ACF">
              <w:rPr>
                <w:b/>
                <w:i/>
              </w:rPr>
              <w:t>anpassad</w:t>
            </w:r>
            <w:r w:rsidRPr="006D7ACF">
              <w:t xml:space="preserve"> till klimat- och miljömål, </w:t>
            </w:r>
            <w:r w:rsidRPr="006D7ACF">
              <w:rPr>
                <w:b/>
                <w:i/>
              </w:rPr>
              <w:t>med hänsyn till</w:t>
            </w:r>
            <w:r w:rsidRPr="006D7ACF">
              <w:t xml:space="preserve"> skattesystemets fördelningspolitiska effekt. Samtidigt ska de inkomster som behövs för ett tillräckligt socialt skydd och </w:t>
            </w:r>
            <w:r w:rsidRPr="006D7ACF">
              <w:rPr>
                <w:b/>
                <w:i/>
              </w:rPr>
              <w:t>tillväxtfrämjande utgifter</w:t>
            </w:r>
            <w:r w:rsidRPr="006D7ACF">
              <w:t xml:space="preserve"> tryggas.</w:t>
            </w:r>
          </w:p>
        </w:tc>
        <w:tc>
          <w:tcPr>
            <w:tcW w:w="4876" w:type="dxa"/>
            <w:hideMark/>
          </w:tcPr>
          <w:p w:rsidR="000F50B7" w:rsidRPr="006D7ACF" w:rsidRDefault="000F50B7" w:rsidP="00F61C05">
            <w:pPr>
              <w:pStyle w:val="Normal6"/>
              <w:rPr>
                <w:szCs w:val="24"/>
              </w:rPr>
            </w:pPr>
            <w:r w:rsidRPr="006D7ACF">
              <w:t xml:space="preserve">En skatteväxling bör göras från beskattning av arbete till andra former av beskattning som är </w:t>
            </w:r>
            <w:r w:rsidRPr="006D7ACF">
              <w:rPr>
                <w:b/>
                <w:i/>
              </w:rPr>
              <w:t>mindre skadliga</w:t>
            </w:r>
            <w:r w:rsidRPr="006D7ACF">
              <w:t xml:space="preserve"> för </w:t>
            </w:r>
            <w:r w:rsidRPr="006D7ACF">
              <w:rPr>
                <w:b/>
                <w:i/>
              </w:rPr>
              <w:t>en</w:t>
            </w:r>
            <w:r w:rsidRPr="006D7ACF">
              <w:t xml:space="preserve"> tillväxt för alla, och </w:t>
            </w:r>
            <w:r w:rsidRPr="006D7ACF">
              <w:rPr>
                <w:b/>
                <w:i/>
              </w:rPr>
              <w:t>samtidigt säkerställer en fullständig anpassning till FN:s mål för hållbar utveckling och</w:t>
            </w:r>
            <w:r w:rsidRPr="006D7ACF">
              <w:t xml:space="preserve"> till </w:t>
            </w:r>
            <w:r w:rsidRPr="006D7ACF">
              <w:rPr>
                <w:b/>
                <w:i/>
              </w:rPr>
              <w:t>de</w:t>
            </w:r>
            <w:r w:rsidRPr="006D7ACF">
              <w:t xml:space="preserve"> klimat- och miljömål </w:t>
            </w:r>
            <w:r w:rsidRPr="006D7ACF">
              <w:rPr>
                <w:b/>
                <w:i/>
              </w:rPr>
              <w:t>som fastställs i den europeiska gröna given</w:t>
            </w:r>
            <w:r w:rsidRPr="006D7ACF">
              <w:t xml:space="preserve">, </w:t>
            </w:r>
            <w:r w:rsidRPr="006D7ACF">
              <w:rPr>
                <w:b/>
                <w:i/>
              </w:rPr>
              <w:t>så att</w:t>
            </w:r>
            <w:r w:rsidRPr="006D7ACF">
              <w:t xml:space="preserve"> skattesystemets fördelningspolitiska effekt</w:t>
            </w:r>
            <w:r w:rsidRPr="006D7ACF">
              <w:rPr>
                <w:b/>
                <w:i/>
              </w:rPr>
              <w:t xml:space="preserve"> ökar</w:t>
            </w:r>
            <w:r w:rsidRPr="006D7ACF">
              <w:t xml:space="preserve">. Samtidigt ska de inkomster som behövs för ett tillräckligt socialt skydd och </w:t>
            </w:r>
            <w:r w:rsidRPr="006D7ACF">
              <w:rPr>
                <w:b/>
                <w:i/>
              </w:rPr>
              <w:t xml:space="preserve">offentliga </w:t>
            </w:r>
            <w:r w:rsidRPr="006D7ACF">
              <w:rPr>
                <w:b/>
                <w:i/>
              </w:rPr>
              <w:lastRenderedPageBreak/>
              <w:t xml:space="preserve">investeringar </w:t>
            </w:r>
            <w:r w:rsidRPr="006D7ACF">
              <w:t>tryggas.</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14</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5 – stycke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 xml:space="preserve">Medlemsstater som har nationella mekanismer för </w:t>
            </w:r>
            <w:r w:rsidRPr="006D7ACF">
              <w:rPr>
                <w:b/>
                <w:i/>
              </w:rPr>
              <w:t>att fastställa</w:t>
            </w:r>
            <w:r w:rsidRPr="006D7ACF">
              <w:t xml:space="preserve"> lagstadgade minimilöner bör </w:t>
            </w:r>
            <w:r w:rsidRPr="006D7ACF">
              <w:rPr>
                <w:b/>
                <w:i/>
              </w:rPr>
              <w:t>se till</w:t>
            </w:r>
            <w:r w:rsidRPr="006D7ACF">
              <w:t xml:space="preserve"> att arbetsmarknadens parter verkligen medverkar på ett transparent och förutsägbart sätt. </w:t>
            </w:r>
            <w:r w:rsidRPr="006D7ACF">
              <w:rPr>
                <w:b/>
                <w:i/>
              </w:rPr>
              <w:t>De bör också se till att lönerna följer</w:t>
            </w:r>
            <w:r w:rsidRPr="006D7ACF">
              <w:t xml:space="preserve"> produktivitetsutvecklingen, </w:t>
            </w:r>
            <w:r w:rsidRPr="006D7ACF">
              <w:rPr>
                <w:b/>
                <w:i/>
              </w:rPr>
              <w:t>är rättvisa och ger en rimlig levnadsstandard, med</w:t>
            </w:r>
            <w:r w:rsidRPr="006D7ACF">
              <w:t xml:space="preserve"> särskild hänsyn till låg- och medelinkomsttagare </w:t>
            </w:r>
            <w:r w:rsidRPr="006D7ACF">
              <w:rPr>
                <w:b/>
                <w:i/>
              </w:rPr>
              <w:t>och för</w:t>
            </w:r>
            <w:r w:rsidRPr="006D7ACF">
              <w:t xml:space="preserve"> en konvergens uppåt. I utformningen av mekanismerna bör hänsyn tas till ekonomiska resultat i olika regioner och sektorer. Medlemsstaterna bör </w:t>
            </w:r>
            <w:r w:rsidRPr="006D7ACF">
              <w:rPr>
                <w:b/>
                <w:i/>
              </w:rPr>
              <w:t>främja</w:t>
            </w:r>
            <w:r w:rsidRPr="006D7ACF">
              <w:t xml:space="preserve"> dialogen mellan arbetsmarknadens parter och kollektiva </w:t>
            </w:r>
            <w:r w:rsidRPr="006D7ACF">
              <w:rPr>
                <w:b/>
                <w:i/>
              </w:rPr>
              <w:t>förhandlingar vad gäller lönesättning</w:t>
            </w:r>
            <w:r w:rsidRPr="006D7ACF">
              <w:t xml:space="preserve">. Med respekt för nationell praxis bör medlemsstaterna och arbetsmarknadens parter </w:t>
            </w:r>
            <w:r w:rsidRPr="006D7ACF">
              <w:rPr>
                <w:b/>
                <w:i/>
              </w:rPr>
              <w:t>se till</w:t>
            </w:r>
            <w:r w:rsidRPr="006D7ACF">
              <w:t xml:space="preserve"> att alla arbetstagare har rätt till skäliga och rättvisa löner som baseras på kollektivavtal eller skäliga lagstadgade minimilöner, med beaktande av hur lönerna påverkar konkurrenskraften, sysselsättningen och fattigdomen bland förvärvsarbetande.</w:t>
            </w:r>
          </w:p>
        </w:tc>
        <w:tc>
          <w:tcPr>
            <w:tcW w:w="4876" w:type="dxa"/>
            <w:hideMark/>
          </w:tcPr>
          <w:p w:rsidR="000F50B7" w:rsidRPr="006D7ACF" w:rsidRDefault="000F50B7" w:rsidP="00F61C05">
            <w:pPr>
              <w:pStyle w:val="Normal6"/>
              <w:rPr>
                <w:szCs w:val="24"/>
              </w:rPr>
            </w:pPr>
            <w:r w:rsidRPr="006D7ACF">
              <w:rPr>
                <w:b/>
                <w:i/>
              </w:rPr>
              <w:t>Med tanke på sysselsättningsskapandet och fattigdomsminskningen inom unionen är det fortfarande viktigt med en politik som kan säkerställa rättvisa löner som medger en skälig levnadsnivå , liksom också med en politik som säkerställer att lönearbete kan förenas med rätten till bidrag från staten såsom kompensation för de hinder som möter de mest marginaliserade grupperna.</w:t>
            </w:r>
            <w:r w:rsidRPr="006D7ACF">
              <w:t xml:space="preserve"> Medlemsstater som har nationella mekanismer för lagstadgade minimilöner bör </w:t>
            </w:r>
            <w:r w:rsidRPr="006D7ACF">
              <w:rPr>
                <w:b/>
                <w:i/>
              </w:rPr>
              <w:t>säkerställa</w:t>
            </w:r>
            <w:r w:rsidRPr="006D7ACF">
              <w:t xml:space="preserve"> att arbetsmarknadens parter verkligen medverkar på ett transparent och förutsägbart sätt </w:t>
            </w:r>
            <w:r w:rsidRPr="006D7ACF">
              <w:rPr>
                <w:b/>
                <w:i/>
              </w:rPr>
              <w:t>i den lönesättning som sammanhänger med dessa mekanismer</w:t>
            </w:r>
            <w:r w:rsidRPr="006D7ACF">
              <w:t>.</w:t>
            </w:r>
            <w:r w:rsidRPr="006D7ACF">
              <w:rPr>
                <w:b/>
                <w:i/>
              </w:rPr>
              <w:t xml:space="preserve"> </w:t>
            </w:r>
            <w:r w:rsidRPr="006D7ACF">
              <w:rPr>
                <w:b/>
              </w:rPr>
              <w:t>M</w:t>
            </w:r>
            <w:r w:rsidRPr="006D7ACF">
              <w:rPr>
                <w:b/>
                <w:i/>
              </w:rPr>
              <w:t>inimilönerna bör fastställas med hänsyn tagen till</w:t>
            </w:r>
            <w:r w:rsidRPr="006D7ACF">
              <w:t xml:space="preserve"> produktivitetsutvecklingen</w:t>
            </w:r>
            <w:r w:rsidRPr="006D7ACF">
              <w:rPr>
                <w:b/>
                <w:i/>
              </w:rPr>
              <w:t xml:space="preserve"> så att osäkra anställningar och fattigdom bland förvärvsarbetande kan bekämpas och</w:t>
            </w:r>
            <w:r w:rsidRPr="006D7ACF">
              <w:t xml:space="preserve"> särskild hänsyn </w:t>
            </w:r>
            <w:r w:rsidRPr="006D7ACF">
              <w:rPr>
                <w:b/>
                <w:i/>
              </w:rPr>
              <w:t>tas</w:t>
            </w:r>
            <w:r w:rsidRPr="006D7ACF">
              <w:t xml:space="preserve"> till</w:t>
            </w:r>
            <w:r w:rsidRPr="006D7ACF">
              <w:rPr>
                <w:b/>
                <w:i/>
              </w:rPr>
              <w:t xml:space="preserve"> </w:t>
            </w:r>
            <w:r w:rsidRPr="006D7ACF">
              <w:t>låg- och medelinkomsttagare</w:t>
            </w:r>
            <w:r w:rsidRPr="006D7ACF">
              <w:rPr>
                <w:b/>
                <w:i/>
              </w:rPr>
              <w:t>, av omsorg om</w:t>
            </w:r>
            <w:r w:rsidRPr="006D7ACF">
              <w:t xml:space="preserve"> en konvergens uppåt. I utformningen av mekanismerna bör hänsyn tas till </w:t>
            </w:r>
            <w:r w:rsidRPr="006D7ACF">
              <w:rPr>
                <w:b/>
                <w:i/>
              </w:rPr>
              <w:t>respektive fattigdomsindikatorer för varje medlemsstat och till</w:t>
            </w:r>
            <w:r w:rsidRPr="006D7ACF">
              <w:t xml:space="preserve"> ekonomiska resultat i olika regioner och sektorer. Medlemsstaterna bör </w:t>
            </w:r>
            <w:r w:rsidRPr="006D7ACF">
              <w:rPr>
                <w:b/>
                <w:i/>
              </w:rPr>
              <w:t>förstärka</w:t>
            </w:r>
            <w:r w:rsidRPr="006D7ACF">
              <w:t xml:space="preserve"> dialogen mellan arbetsmarknadens parter och </w:t>
            </w:r>
            <w:r w:rsidRPr="006D7ACF">
              <w:rPr>
                <w:b/>
                <w:i/>
              </w:rPr>
              <w:t>vidta åtgärder för</w:t>
            </w:r>
            <w:r w:rsidRPr="006D7ACF">
              <w:t xml:space="preserve"> </w:t>
            </w:r>
            <w:r w:rsidRPr="006D7ACF">
              <w:rPr>
                <w:b/>
                <w:i/>
              </w:rPr>
              <w:t>att utvidga</w:t>
            </w:r>
            <w:r w:rsidRPr="006D7ACF">
              <w:t xml:space="preserve"> kollektiva </w:t>
            </w:r>
            <w:r w:rsidRPr="006D7ACF">
              <w:rPr>
                <w:b/>
                <w:i/>
              </w:rPr>
              <w:t>förhandlingars täckningsgrad</w:t>
            </w:r>
            <w:r w:rsidRPr="006D7ACF">
              <w:t xml:space="preserve">. Med respekt för nationell praxis </w:t>
            </w:r>
            <w:r w:rsidRPr="006D7ACF">
              <w:rPr>
                <w:b/>
                <w:i/>
              </w:rPr>
              <w:t>och arbetsmarknadens parters självständighet</w:t>
            </w:r>
            <w:r w:rsidRPr="006D7ACF">
              <w:t xml:space="preserve"> bör medlemsstaterna och arbetsmarknadens parter</w:t>
            </w:r>
            <w:r w:rsidRPr="006D7ACF">
              <w:rPr>
                <w:b/>
                <w:i/>
              </w:rPr>
              <w:t xml:space="preserve"> eliminera ålders- eller könsbaserad </w:t>
            </w:r>
            <w:r w:rsidRPr="006D7ACF">
              <w:rPr>
                <w:b/>
                <w:i/>
              </w:rPr>
              <w:lastRenderedPageBreak/>
              <w:t>lönediskriminering och säkerställa</w:t>
            </w:r>
            <w:r w:rsidRPr="006D7ACF">
              <w:t xml:space="preserve"> att alla arbetstagare har rätt till skäliga och rättvisa löner som baseras på kollektivavtal eller skäliga lagstadgade minimilöner, med beaktande av hur lönerna </w:t>
            </w:r>
            <w:r w:rsidRPr="006D7ACF">
              <w:rPr>
                <w:b/>
                <w:i/>
              </w:rPr>
              <w:t>i positiv riktning</w:t>
            </w:r>
            <w:r w:rsidRPr="006D7ACF">
              <w:t xml:space="preserve"> påverkar konkurrenskraften, sysselsättningen och fattigdomen bland förvärvsarbetande.</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15</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5 – stycke 3a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tcPr>
          <w:p w:rsidR="000F50B7" w:rsidRPr="006D7ACF" w:rsidRDefault="000F50B7" w:rsidP="00F61C05">
            <w:pPr>
              <w:pStyle w:val="Normal6"/>
            </w:pPr>
          </w:p>
        </w:tc>
        <w:tc>
          <w:tcPr>
            <w:tcW w:w="4876" w:type="dxa"/>
            <w:hideMark/>
          </w:tcPr>
          <w:p w:rsidR="000F50B7" w:rsidRPr="006D7ACF" w:rsidRDefault="000F50B7" w:rsidP="00F61C05">
            <w:pPr>
              <w:pStyle w:val="Normal6"/>
              <w:rPr>
                <w:szCs w:val="24"/>
              </w:rPr>
            </w:pPr>
            <w:r w:rsidRPr="006D7ACF">
              <w:rPr>
                <w:b/>
                <w:i/>
              </w:rPr>
              <w:t xml:space="preserve">Medlemsstaterna kommer att kunna anlita stöd från det europeiska instrumentet för tillfälligt stöd för att minska risken för arbetslöshet i en krissituation (SURE). Medlemsstaterna bör säkerställa att finansiellt stöd av detta slag betalas ut endast till företag som följer gällande kollektivavtal. Medlemsstaterna bör säkerställa att de mottagande företagen inte gör aktieåterköp eller betalar utdelningar till aktieägarna eller bonusar till ledningen, och att de inte heller är registrerade i skatteparadis. </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16</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6 – stycke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I samband med tekniska</w:t>
            </w:r>
            <w:r w:rsidRPr="006D7ACF">
              <w:rPr>
                <w:b/>
                <w:i/>
              </w:rPr>
              <w:t>,</w:t>
            </w:r>
            <w:r w:rsidRPr="006D7ACF">
              <w:t xml:space="preserve"> miljömässiga </w:t>
            </w:r>
            <w:r w:rsidRPr="006D7ACF">
              <w:rPr>
                <w:b/>
                <w:i/>
              </w:rPr>
              <w:t>och</w:t>
            </w:r>
            <w:r w:rsidRPr="006D7ACF">
              <w:t xml:space="preserve"> demografiska </w:t>
            </w:r>
            <w:r w:rsidRPr="006D7ACF">
              <w:rPr>
                <w:b/>
                <w:i/>
              </w:rPr>
              <w:t>förändringar</w:t>
            </w:r>
            <w:r w:rsidRPr="006D7ACF">
              <w:t xml:space="preserve"> bör medlemsstaterna främja hållbarhet, produktivitet, anställbarhet och </w:t>
            </w:r>
            <w:r w:rsidRPr="006D7ACF">
              <w:rPr>
                <w:b/>
                <w:i/>
              </w:rPr>
              <w:t>humankapital</w:t>
            </w:r>
            <w:r w:rsidRPr="006D7ACF">
              <w:t xml:space="preserve"> och verka för att människor har relevanta kunskaper, färdigheter och </w:t>
            </w:r>
            <w:r w:rsidRPr="006D7ACF">
              <w:lastRenderedPageBreak/>
              <w:t xml:space="preserve">kompetenser under hela livet, så att de kan </w:t>
            </w:r>
            <w:r w:rsidRPr="006D7ACF">
              <w:rPr>
                <w:b/>
                <w:i/>
              </w:rPr>
              <w:t>fylla</w:t>
            </w:r>
            <w:r w:rsidRPr="006D7ACF">
              <w:t xml:space="preserve"> nuvarande och framtida behov på arbetsmarknaden. </w:t>
            </w:r>
            <w:r w:rsidRPr="006D7ACF">
              <w:rPr>
                <w:b/>
                <w:i/>
              </w:rPr>
              <w:t>Medlemsstaterna</w:t>
            </w:r>
            <w:r w:rsidRPr="006D7ACF">
              <w:t xml:space="preserve"> bör </w:t>
            </w:r>
            <w:r w:rsidRPr="006D7ACF">
              <w:rPr>
                <w:b/>
                <w:i/>
              </w:rPr>
              <w:t>också anpassa och investera</w:t>
            </w:r>
            <w:r w:rsidRPr="006D7ACF">
              <w:t xml:space="preserve"> i </w:t>
            </w:r>
            <w:r w:rsidRPr="006D7ACF">
              <w:rPr>
                <w:b/>
                <w:i/>
              </w:rPr>
              <w:t>sina</w:t>
            </w:r>
            <w:r w:rsidRPr="006D7ACF">
              <w:t xml:space="preserve"> utbildningssystem för att kunna erbjuda högkvalitativ och inkluderande utbildning, inklusive yrkesutbildning. De bör arbeta tillsammans med arbetsmarknadens parter, utbildningsanordnare, företag och andra aktörer för att ta itu med strukturella brister i utbildningssystemen och förbättra deras kvalitet och </w:t>
            </w:r>
            <w:r w:rsidRPr="006D7ACF">
              <w:rPr>
                <w:b/>
                <w:i/>
              </w:rPr>
              <w:t>arbetsmarknadensrelevans,</w:t>
            </w:r>
            <w:r w:rsidRPr="006D7ACF">
              <w:t xml:space="preserve"> </w:t>
            </w:r>
            <w:r w:rsidRPr="006D7ACF">
              <w:rPr>
                <w:b/>
                <w:i/>
              </w:rPr>
              <w:t>och</w:t>
            </w:r>
            <w:r w:rsidRPr="006D7ACF">
              <w:t xml:space="preserve"> för att underlätta miljöomställningen. Läraryrket bör ägnas särskild uppmärksamhet. Utbildningssystemen bör förse alla studerande med nyckelkompetenser, bland annat grundläggande, digitala och generella färdigheter, som en grund för anpassningsbarhet senare i livet. Medlemsstaterna bör verka för att utbildningsrättigheter följer med arbetstagare som byter karriär, bland annat</w:t>
            </w:r>
            <w:r w:rsidRPr="006D7ACF">
              <w:rPr>
                <w:b/>
                <w:i/>
              </w:rPr>
              <w:t>, när så är lämpligt,</w:t>
            </w:r>
            <w:r w:rsidRPr="006D7ACF">
              <w:t xml:space="preserve"> genom individuellt kompetenssparande. De bör </w:t>
            </w:r>
            <w:r w:rsidRPr="006D7ACF">
              <w:rPr>
                <w:b/>
                <w:i/>
              </w:rPr>
              <w:t>göra det möjligt för alla att förutse och bättre anpassa sig till</w:t>
            </w:r>
            <w:r w:rsidRPr="006D7ACF">
              <w:t xml:space="preserve"> arbetsmarknadens behov, framför allt genom kontinuerlig omskolning och kompetenshöjning, i syfte att främja rättvisa omställningar för alla, stärka de sociala resultaten, hantera bristen på arbetskraft och öka ekonomins allmänna motståndskraft mot chocker.</w:t>
            </w:r>
          </w:p>
        </w:tc>
        <w:tc>
          <w:tcPr>
            <w:tcW w:w="4876" w:type="dxa"/>
            <w:hideMark/>
          </w:tcPr>
          <w:p w:rsidR="000F50B7" w:rsidRPr="006D7ACF" w:rsidRDefault="000F50B7" w:rsidP="00F61C05">
            <w:pPr>
              <w:pStyle w:val="Normal6"/>
              <w:rPr>
                <w:szCs w:val="24"/>
              </w:rPr>
            </w:pPr>
            <w:r w:rsidRPr="006D7ACF">
              <w:lastRenderedPageBreak/>
              <w:t xml:space="preserve">I samband med </w:t>
            </w:r>
            <w:r w:rsidRPr="006D7ACF">
              <w:rPr>
                <w:b/>
                <w:i/>
              </w:rPr>
              <w:t>de fortgående</w:t>
            </w:r>
            <w:r w:rsidRPr="006D7ACF">
              <w:t xml:space="preserve"> tekniska </w:t>
            </w:r>
            <w:r w:rsidRPr="006D7ACF">
              <w:rPr>
                <w:b/>
                <w:i/>
              </w:rPr>
              <w:t>och</w:t>
            </w:r>
            <w:r w:rsidRPr="006D7ACF">
              <w:t xml:space="preserve"> miljömässiga </w:t>
            </w:r>
            <w:r w:rsidRPr="006D7ACF">
              <w:rPr>
                <w:b/>
                <w:i/>
              </w:rPr>
              <w:t xml:space="preserve">förändringarna, den </w:t>
            </w:r>
            <w:r w:rsidRPr="006D7ACF">
              <w:t>demografiska</w:t>
            </w:r>
            <w:r w:rsidRPr="006D7ACF">
              <w:rPr>
                <w:b/>
                <w:i/>
              </w:rPr>
              <w:t xml:space="preserve"> omvandlingen och de aktuella utmaningarna</w:t>
            </w:r>
            <w:r w:rsidRPr="006D7ACF">
              <w:t xml:space="preserve"> bör medlemsstaterna främja </w:t>
            </w:r>
            <w:r w:rsidRPr="006D7ACF">
              <w:rPr>
                <w:b/>
                <w:i/>
              </w:rPr>
              <w:t>sociala rättigheter,</w:t>
            </w:r>
            <w:r w:rsidRPr="006D7ACF">
              <w:t xml:space="preserve"> hållbarhet, produktivitet, </w:t>
            </w:r>
            <w:r w:rsidRPr="006D7ACF">
              <w:lastRenderedPageBreak/>
              <w:t xml:space="preserve">anställbarhet och </w:t>
            </w:r>
            <w:r w:rsidRPr="006D7ACF">
              <w:rPr>
                <w:b/>
                <w:i/>
              </w:rPr>
              <w:t>mänsklig kompetens,</w:t>
            </w:r>
            <w:r w:rsidRPr="006D7ACF">
              <w:t xml:space="preserve"> och verka för att människor har relevanta kunskaper, färdigheter och kompetenser under hela livet, så att de kan </w:t>
            </w:r>
            <w:r w:rsidRPr="006D7ACF">
              <w:rPr>
                <w:b/>
                <w:i/>
              </w:rPr>
              <w:t>bemöta den aktuella arbetslöshetskrisen genom att</w:t>
            </w:r>
            <w:r w:rsidRPr="006D7ACF">
              <w:t xml:space="preserve"> </w:t>
            </w:r>
            <w:r w:rsidRPr="006D7ACF">
              <w:rPr>
                <w:b/>
                <w:i/>
              </w:rPr>
              <w:t>tillgodose</w:t>
            </w:r>
            <w:r w:rsidRPr="006D7ACF">
              <w:t xml:space="preserve"> nuvarande och framtida behov på arbetsmarknaden. </w:t>
            </w:r>
            <w:r w:rsidRPr="006D7ACF">
              <w:rPr>
                <w:b/>
                <w:i/>
              </w:rPr>
              <w:t>Medlemsstaternas behov av omskolning av och kompetenshöjning för sin arbetskraft såsom gensvar på krisen</w:t>
            </w:r>
            <w:r w:rsidRPr="006D7ACF">
              <w:t xml:space="preserve"> bör </w:t>
            </w:r>
            <w:r w:rsidRPr="006D7ACF">
              <w:rPr>
                <w:b/>
                <w:i/>
              </w:rPr>
              <w:t>åtgärdas genom investeringar</w:t>
            </w:r>
            <w:r w:rsidRPr="006D7ACF">
              <w:t xml:space="preserve"> i </w:t>
            </w:r>
            <w:r w:rsidRPr="006D7ACF">
              <w:rPr>
                <w:b/>
                <w:i/>
              </w:rPr>
              <w:t>deras offentliga</w:t>
            </w:r>
            <w:r w:rsidRPr="006D7ACF">
              <w:t xml:space="preserve"> utbildningssystem för att </w:t>
            </w:r>
            <w:r w:rsidRPr="006D7ACF">
              <w:rPr>
                <w:b/>
                <w:i/>
              </w:rPr>
              <w:t>de ska</w:t>
            </w:r>
            <w:r w:rsidRPr="006D7ACF">
              <w:t xml:space="preserve"> kunna erbjuda högkvalitativ och inkluderande utbildning, inklusive yrkesutbildning</w:t>
            </w:r>
            <w:r w:rsidRPr="006D7ACF">
              <w:rPr>
                <w:b/>
                <w:i/>
              </w:rPr>
              <w:t>, jämte formellt och informellt livslångt lärande</w:t>
            </w:r>
            <w:r w:rsidRPr="006D7ACF">
              <w:t>. De bör arbeta tillsammans med arbetsmarknadens parter, utbildningsanordnare, företag</w:t>
            </w:r>
            <w:r w:rsidRPr="006D7ACF">
              <w:rPr>
                <w:b/>
                <w:i/>
              </w:rPr>
              <w:t>, icke-statliga organisationer på det sociala området</w:t>
            </w:r>
            <w:r w:rsidRPr="006D7ACF">
              <w:t xml:space="preserve"> och andra </w:t>
            </w:r>
            <w:r w:rsidRPr="006D7ACF">
              <w:rPr>
                <w:b/>
                <w:i/>
              </w:rPr>
              <w:t>relevanta</w:t>
            </w:r>
            <w:r w:rsidRPr="006D7ACF">
              <w:t xml:space="preserve"> aktörer för att ta itu med strukturella </w:t>
            </w:r>
            <w:r w:rsidRPr="006D7ACF">
              <w:rPr>
                <w:b/>
                <w:i/>
              </w:rPr>
              <w:t>och nya</w:t>
            </w:r>
            <w:r w:rsidRPr="006D7ACF">
              <w:t xml:space="preserve"> brister i utbildningssystemen och förbättra deras kvalitet och </w:t>
            </w:r>
            <w:r w:rsidRPr="006D7ACF">
              <w:rPr>
                <w:b/>
                <w:i/>
              </w:rPr>
              <w:t xml:space="preserve">arbetsmarknadsrelevans. Medlemsstaterna bör åtgärda behoven inom sektorer med konstant brist på färdigheter, också </w:t>
            </w:r>
            <w:r w:rsidRPr="006D7ACF">
              <w:t>för att underlätta miljöomställningen</w:t>
            </w:r>
            <w:r w:rsidRPr="006D7ACF">
              <w:rPr>
                <w:b/>
                <w:i/>
              </w:rPr>
              <w:t>, samt de tekniska och digitala förändringar som går i riktning mot lösningar baserade på artificiell intelligens</w:t>
            </w:r>
            <w:r w:rsidRPr="006D7ACF">
              <w:t>. Läraryrket bör ägnas särskild uppmärksamhet. Utbildningssystemen bör förse alla studerande med nyckelkompetenser, bland annat grundläggande, digitala och generella färdigheter, som en grund för anpassningsbarhet senare i livet</w:t>
            </w:r>
            <w:r w:rsidRPr="006D7ACF">
              <w:rPr>
                <w:b/>
                <w:i/>
              </w:rPr>
              <w:t>, och bör förbereda lärarna så de kan föra dessa färdigheter vidare till sina studerande</w:t>
            </w:r>
            <w:r w:rsidRPr="006D7ACF">
              <w:t xml:space="preserve">. Medlemsstaterna bör verka för att utbildningsrättigheter följer med arbetstagare som byter karriär, bland annat genom individuellt kompetenssparande. De bör </w:t>
            </w:r>
            <w:r w:rsidRPr="006D7ACF">
              <w:rPr>
                <w:b/>
                <w:i/>
              </w:rPr>
              <w:t xml:space="preserve">samtidigt garantera att detta inte blir till fara, vare sig för utbildningens humanistiska karaktär eller för enskilda personers strävanden. Medlemsstaterna </w:t>
            </w:r>
            <w:r w:rsidRPr="006D7ACF">
              <w:rPr>
                <w:b/>
                <w:i/>
              </w:rPr>
              <w:lastRenderedPageBreak/>
              <w:t>måste ofrånkomligen vidta åtgärder i ett tidigt skede för att inte enskilda och sammanslutningar ska drabbas negativt av att de inte motsvarar</w:t>
            </w:r>
            <w:r w:rsidRPr="006D7ACF">
              <w:t xml:space="preserve"> arbetsmarknadens behov, framför allt genom kontinuerlig omskolning och kompetenshöjning, i syfte att främja rättvisa omställningar för alla, </w:t>
            </w:r>
            <w:r w:rsidRPr="006D7ACF">
              <w:rPr>
                <w:b/>
                <w:i/>
              </w:rPr>
              <w:t>varvid täckningsgraden och omfattningen av arbetslöshetsförmånerna bör vara tillräckliga, samt</w:t>
            </w:r>
            <w:r w:rsidRPr="006D7ACF">
              <w:t xml:space="preserve"> stärka de sociala resultaten, hantera bristen på arbetskraft och öka ekonomins allmänna motståndskraft mot chocker.</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17</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6 – stycke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 xml:space="preserve">Medlemsstaterna bör främja lika möjligheter för alla genom att </w:t>
            </w:r>
            <w:r w:rsidRPr="006D7ACF">
              <w:rPr>
                <w:b/>
                <w:i/>
              </w:rPr>
              <w:t>ta itu med</w:t>
            </w:r>
            <w:r w:rsidRPr="006D7ACF">
              <w:t xml:space="preserve"> ojämlikheter i utbildningssystemen, bland annat genom att erbjuda förskoleverksamhet av god kvalitet. De bör öka den generella utbildningsnivån, minska antalet unga personer som lämnar skolan </w:t>
            </w:r>
            <w:r w:rsidRPr="006D7ACF">
              <w:rPr>
                <w:b/>
                <w:i/>
              </w:rPr>
              <w:t>med högst grundskoleutbildning</w:t>
            </w:r>
            <w:r w:rsidRPr="006D7ACF">
              <w:t xml:space="preserve">, öka tillgången till och antalet personer som avslutar tertiär utbildning samt öka antalet vuxna som deltar i vidareutbildning, särskilt bland personer från mindre gynnade förhållanden, </w:t>
            </w:r>
            <w:r w:rsidRPr="006D7ACF">
              <w:rPr>
                <w:b/>
                <w:i/>
              </w:rPr>
              <w:t>med</w:t>
            </w:r>
            <w:r w:rsidRPr="006D7ACF">
              <w:t xml:space="preserve"> lägst utbildning.  Med hänsyn till nya behov i digitala, gröna och åldrande samhällen bör medlemsstaterna stärka arbetsplatsförlagt lärande i sina yrkesutbildningssystem (bland annat genom ändamålsenliga lärlingsutbildningar av god kvalitet) och öka antalet personer med en examen inom naturvetenskap, teknik, ingenjörsvetenskap eller matematik både från yrkesutbildningar på medelhög nivå och högre utbildning.  Vidare bör </w:t>
            </w:r>
            <w:r w:rsidRPr="006D7ACF">
              <w:lastRenderedPageBreak/>
              <w:t xml:space="preserve">medlemsstaterna se till att högre utbildning och forskning ges större vikt på arbetsmarknaden, förbättra kompetensbevakningen och kompetensprognoserna, göra färdigheter mer synliga och kompetensen mer jämförbar, inbegripet </w:t>
            </w:r>
            <w:r w:rsidRPr="006D7ACF">
              <w:rPr>
                <w:b/>
                <w:i/>
              </w:rPr>
              <w:t>de</w:t>
            </w:r>
            <w:r w:rsidRPr="006D7ACF">
              <w:t xml:space="preserve"> som förvärvats utomlands, samt öka möjligheterna till erkännande och validering av färdigheter och kompetens som förvärvats </w:t>
            </w:r>
            <w:r w:rsidRPr="006D7ACF">
              <w:rPr>
                <w:b/>
                <w:i/>
              </w:rPr>
              <w:t>på annat sätt än</w:t>
            </w:r>
            <w:r w:rsidRPr="006D7ACF">
              <w:t xml:space="preserve"> genom formell utbildning.  De bör förbättra utbudet av flexibel yrkesinriktad fortbildning och se till att fler utnyttjar möjligheterna.  Medlemsstaterna bör </w:t>
            </w:r>
            <w:r w:rsidRPr="006D7ACF">
              <w:rPr>
                <w:b/>
                <w:i/>
              </w:rPr>
              <w:t>också</w:t>
            </w:r>
            <w:r w:rsidRPr="006D7ACF">
              <w:t xml:space="preserve"> </w:t>
            </w:r>
            <w:r w:rsidRPr="006D7ACF">
              <w:rPr>
                <w:b/>
                <w:i/>
              </w:rPr>
              <w:t>förbättra tillgången till och utnyttjandet av utbildning av god kvalitet och på så sätt</w:t>
            </w:r>
            <w:r w:rsidRPr="006D7ACF">
              <w:t xml:space="preserve"> stödja lågutbildade vuxna så att de kan behålla eller utveckla sin långsiktiga anställbarhet. Det kan ske genom kompetenshöjning med bedömning av kompetens, ett utbildningsutbud som motsvarar behoven på arbetsmarknaden </w:t>
            </w:r>
            <w:r w:rsidRPr="006D7ACF">
              <w:rPr>
                <w:b/>
                <w:i/>
              </w:rPr>
              <w:t>samt validering och erkännande av förvärvade färdigheter</w:t>
            </w:r>
            <w:r w:rsidRPr="006D7ACF">
              <w:t>.</w:t>
            </w:r>
          </w:p>
        </w:tc>
        <w:tc>
          <w:tcPr>
            <w:tcW w:w="4876" w:type="dxa"/>
            <w:hideMark/>
          </w:tcPr>
          <w:p w:rsidR="000F50B7" w:rsidRPr="006D7ACF" w:rsidRDefault="000F50B7" w:rsidP="00F61C05">
            <w:pPr>
              <w:pStyle w:val="Normal6"/>
              <w:rPr>
                <w:szCs w:val="24"/>
              </w:rPr>
            </w:pPr>
            <w:r w:rsidRPr="006D7ACF">
              <w:lastRenderedPageBreak/>
              <w:t xml:space="preserve">Medlemsstaterna bör främja lika möjligheter för alla genom att </w:t>
            </w:r>
            <w:r w:rsidRPr="006D7ACF">
              <w:rPr>
                <w:b/>
                <w:i/>
              </w:rPr>
              <w:t>få bort</w:t>
            </w:r>
            <w:r w:rsidRPr="006D7ACF">
              <w:t xml:space="preserve"> ojämlikheter i utbildningssystemen, bland annat genom att erbjuda förskoleverksamhet av god kvalitet </w:t>
            </w:r>
            <w:r w:rsidRPr="006D7ACF">
              <w:rPr>
                <w:b/>
                <w:i/>
              </w:rPr>
              <w:t>och med plats för alla</w:t>
            </w:r>
            <w:r w:rsidRPr="006D7ACF">
              <w:t xml:space="preserve">. De bör öka den generella utbildningsnivån, minska antalet unga personer som lämnar skolan, öka tillgången till och antalet personer som avslutar tertiär utbildning samt öka antalet vuxna som deltar i vidareutbildning, särskilt bland personer från mindre gynnade förhållanden, </w:t>
            </w:r>
            <w:r w:rsidRPr="006D7ACF">
              <w:rPr>
                <w:b/>
                <w:i/>
              </w:rPr>
              <w:t>som ofta har</w:t>
            </w:r>
            <w:r w:rsidRPr="006D7ACF">
              <w:t xml:space="preserve"> lägst utbildning. Med hänsyn </w:t>
            </w:r>
            <w:r w:rsidRPr="006D7ACF">
              <w:rPr>
                <w:b/>
                <w:i/>
              </w:rPr>
              <w:t>dels</w:t>
            </w:r>
            <w:r w:rsidRPr="006D7ACF">
              <w:t xml:space="preserve"> till nya behov i digitala, gröna och åldrande samhällen</w:t>
            </w:r>
            <w:r w:rsidRPr="006D7ACF">
              <w:rPr>
                <w:b/>
                <w:i/>
              </w:rPr>
              <w:t>, dels till de könsstereotyper som förekommer</w:t>
            </w:r>
            <w:r w:rsidRPr="006D7ACF">
              <w:t xml:space="preserve"> bör medlemsstaterna stärka arbetsplatsförlagt lärande i sina yrkesutbildningssystem (bland annat genom ändamålsenliga lärlingsutbildningar av god kvalitet) och</w:t>
            </w:r>
            <w:r w:rsidRPr="006D7ACF">
              <w:rPr>
                <w:b/>
                <w:i/>
              </w:rPr>
              <w:t>, utan att underskatta behovet av fortlöpande investeringar i humaniora,</w:t>
            </w:r>
            <w:r w:rsidRPr="006D7ACF">
              <w:t xml:space="preserve"> öka antalet personer med en examen inom naturvetenskap, teknik, </w:t>
            </w:r>
            <w:r w:rsidRPr="006D7ACF">
              <w:lastRenderedPageBreak/>
              <w:t>ingenjörsvetenskap eller matematik både från yrkesutbildningar på medelhög nivå och högre utbildning</w:t>
            </w:r>
            <w:r w:rsidRPr="006D7ACF">
              <w:rPr>
                <w:b/>
                <w:i/>
              </w:rPr>
              <w:t>, varvid man bör vinnlägga sig om könsbalans</w:t>
            </w:r>
            <w:r w:rsidRPr="006D7ACF">
              <w:t>. Vidare bör medlemsstaterna</w:t>
            </w:r>
            <w:r w:rsidRPr="006D7ACF">
              <w:rPr>
                <w:b/>
                <w:i/>
              </w:rPr>
              <w:t>, när det är lämpligt,</w:t>
            </w:r>
            <w:r w:rsidRPr="006D7ACF">
              <w:t xml:space="preserve"> se till att högre utbildning och forskning ges större vikt på arbetsmarknaden, </w:t>
            </w:r>
            <w:r w:rsidRPr="006D7ACF">
              <w:rPr>
                <w:b/>
                <w:i/>
              </w:rPr>
              <w:t>förstärka</w:t>
            </w:r>
            <w:r w:rsidRPr="006D7ACF">
              <w:t xml:space="preserve"> </w:t>
            </w:r>
            <w:r w:rsidRPr="006D7ACF">
              <w:rPr>
                <w:b/>
                <w:i/>
              </w:rPr>
              <w:t>varvad utbildning och utbildningssamarbete,</w:t>
            </w:r>
            <w:r w:rsidRPr="006D7ACF">
              <w:t xml:space="preserve"> förbättra kompetensbevakningen och kompetensprognoserna, göra färdigheter mer synliga och kompetensen mer jämförbar, inbegripet </w:t>
            </w:r>
            <w:r w:rsidRPr="006D7ACF">
              <w:rPr>
                <w:b/>
                <w:i/>
              </w:rPr>
              <w:t>färdigheter och kompetens</w:t>
            </w:r>
            <w:r w:rsidRPr="006D7ACF">
              <w:t xml:space="preserve"> som förvärvats utomlands, samt öka möjligheterna till erkännande och </w:t>
            </w:r>
            <w:r w:rsidRPr="006D7ACF">
              <w:rPr>
                <w:b/>
                <w:i/>
              </w:rPr>
              <w:t>formell</w:t>
            </w:r>
            <w:r w:rsidRPr="006D7ACF">
              <w:t xml:space="preserve"> validering av färdigheter och kompetens som förvärvats </w:t>
            </w:r>
            <w:r w:rsidRPr="006D7ACF">
              <w:rPr>
                <w:b/>
                <w:i/>
              </w:rPr>
              <w:t>såväl</w:t>
            </w:r>
            <w:r w:rsidRPr="006D7ACF">
              <w:t xml:space="preserve"> genom formell utbildning </w:t>
            </w:r>
            <w:r w:rsidRPr="006D7ACF">
              <w:rPr>
                <w:b/>
                <w:i/>
              </w:rPr>
              <w:t>som utanför den</w:t>
            </w:r>
            <w:r w:rsidRPr="006D7ACF">
              <w:t xml:space="preserve">. De bör förbättra utbudet av </w:t>
            </w:r>
            <w:r w:rsidRPr="006D7ACF">
              <w:rPr>
                <w:b/>
                <w:i/>
              </w:rPr>
              <w:t>mer</w:t>
            </w:r>
            <w:r w:rsidRPr="006D7ACF">
              <w:t xml:space="preserve"> flexibel </w:t>
            </w:r>
            <w:r w:rsidRPr="006D7ACF">
              <w:rPr>
                <w:b/>
                <w:i/>
              </w:rPr>
              <w:t>och inkluderande</w:t>
            </w:r>
            <w:r w:rsidRPr="006D7ACF">
              <w:t xml:space="preserve"> yrkesinriktad fortbildning och se till att fler utnyttjar möjligheterna. Medlemsstaterna bör </w:t>
            </w:r>
            <w:r w:rsidRPr="006D7ACF">
              <w:rPr>
                <w:b/>
                <w:i/>
              </w:rPr>
              <w:t xml:space="preserve">investera i arbetstillfällen och sociala trygghetssystem för dem som inte kan omskola sig och, genom offentliga tjänster, </w:t>
            </w:r>
            <w:r w:rsidRPr="006D7ACF">
              <w:t xml:space="preserve">stödja lågutbildade vuxna </w:t>
            </w:r>
            <w:r w:rsidRPr="006D7ACF">
              <w:rPr>
                <w:b/>
                <w:i/>
              </w:rPr>
              <w:t>genom att hjälpa dem få stadigvarande sysselsättning av</w:t>
            </w:r>
            <w:r w:rsidRPr="006D7ACF">
              <w:t xml:space="preserve"> </w:t>
            </w:r>
            <w:r w:rsidRPr="006D7ACF">
              <w:rPr>
                <w:b/>
                <w:i/>
              </w:rPr>
              <w:t>hög kvalitet,</w:t>
            </w:r>
            <w:r w:rsidRPr="006D7ACF">
              <w:t xml:space="preserve"> så att de kan behålla eller utveckla sin långsiktiga anställbarhet. Det kan ske genom </w:t>
            </w:r>
            <w:r w:rsidRPr="006D7ACF">
              <w:rPr>
                <w:b/>
                <w:i/>
              </w:rPr>
              <w:t>bättre tillgång till och utnyttjande av utbildning av hög kvalitet, genom</w:t>
            </w:r>
            <w:r w:rsidRPr="006D7ACF">
              <w:t xml:space="preserve"> kompetenshöjning med bedömning av kompetens, ett utbildningsutbud som motsvarar behoven på arbetsmarknaden. </w:t>
            </w:r>
            <w:r w:rsidRPr="006D7ACF">
              <w:rPr>
                <w:b/>
                <w:i/>
              </w:rPr>
              <w:t xml:space="preserve">Rätten till betald utbildningsledighet för yrkesändamål bör uppmuntras, såsom det förutsätts i </w:t>
            </w:r>
            <w:r w:rsidR="00ED1EAA" w:rsidRPr="006D7ACF">
              <w:rPr>
                <w:b/>
                <w:i/>
              </w:rPr>
              <w:t>Internationella arbetsorganisationen (</w:t>
            </w:r>
            <w:r w:rsidRPr="006D7ACF">
              <w:rPr>
                <w:b/>
                <w:i/>
              </w:rPr>
              <w:t>ILO</w:t>
            </w:r>
            <w:r w:rsidR="00ED1EAA" w:rsidRPr="006D7ACF">
              <w:rPr>
                <w:b/>
                <w:i/>
              </w:rPr>
              <w:t>)</w:t>
            </w:r>
            <w:r w:rsidRPr="006D7ACF">
              <w:rPr>
                <w:b/>
                <w:i/>
              </w:rPr>
              <w:t xml:space="preserve">-konventionerna om detta, där arbetstagare får rätt att delta i utbildningsprogram på betald arbetstid. Medlemsstaterna bör vidta nödvändiga åtgärder för att främja allmänt tillgänglig distansundervisning och distansutbildning, med full hänsyn tagen till behoven hos personer med </w:t>
            </w:r>
            <w:r w:rsidRPr="006D7ACF">
              <w:rPr>
                <w:b/>
                <w:i/>
              </w:rPr>
              <w:lastRenderedPageBreak/>
              <w:t>funktionsnedsättning.</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18</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6 – stycke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 xml:space="preserve">Medlemsstaterna bör erbjuda arbetslösa </w:t>
            </w:r>
            <w:r w:rsidRPr="006D7ACF">
              <w:rPr>
                <w:b/>
                <w:i/>
              </w:rPr>
              <w:t>och</w:t>
            </w:r>
            <w:r w:rsidRPr="006D7ACF">
              <w:t xml:space="preserve"> </w:t>
            </w:r>
            <w:r w:rsidRPr="006D7ACF">
              <w:rPr>
                <w:b/>
                <w:i/>
              </w:rPr>
              <w:t>personer som står utanför arbetsmarknaden</w:t>
            </w:r>
            <w:r w:rsidRPr="006D7ACF">
              <w:t xml:space="preserve"> ändamålsenligt, samordnat och individanpassat stöd i rimlig tid bestående av hjälp med att söka jobb, utbildning, omskolning och tillgång till andra stödtjänster. De bör sträva efter att ha omfattande strategier med djupgående individuell bedömning som utförs så tidigt som möjligt efter det att </w:t>
            </w:r>
            <w:r w:rsidRPr="006D7ACF">
              <w:rPr>
                <w:b/>
                <w:i/>
              </w:rPr>
              <w:t>personen</w:t>
            </w:r>
            <w:r w:rsidRPr="006D7ACF">
              <w:t xml:space="preserve"> blivit </w:t>
            </w:r>
            <w:r w:rsidRPr="006D7ACF">
              <w:rPr>
                <w:b/>
                <w:i/>
              </w:rPr>
              <w:t>arbetslös</w:t>
            </w:r>
            <w:r w:rsidRPr="006D7ACF">
              <w:t xml:space="preserve">, i syfte att betydligt minska och förebygga långtidsarbetslöshet och strukturell arbetslöshet. Man bör fortsätta att hantera ungdomsarbetslösheten och problemet med unga som varken arbetar eller studerar genom att förebygga att unga lämnar skolan med högst grundskoleutbildning </w:t>
            </w:r>
            <w:r w:rsidRPr="006D7ACF">
              <w:rPr>
                <w:b/>
                <w:i/>
              </w:rPr>
              <w:t>och</w:t>
            </w:r>
            <w:r w:rsidRPr="006D7ACF">
              <w:t xml:space="preserve"> genom strukturella förbättringar av övergången från skola till arbete</w:t>
            </w:r>
            <w:r w:rsidRPr="006D7ACF">
              <w:rPr>
                <w:b/>
                <w:i/>
              </w:rPr>
              <w:t>, bland annat genom att ungdomsgarantin genomförs fullt ut (</w:t>
            </w:r>
            <w:r w:rsidRPr="006D7ACF">
              <w:rPr>
                <w:b/>
                <w:i/>
                <w:vertAlign w:val="superscript"/>
              </w:rPr>
              <w:t>15</w:t>
            </w:r>
            <w:r w:rsidRPr="006D7ACF">
              <w:rPr>
                <w:b/>
                <w:i/>
              </w:rPr>
              <w:t>)</w:t>
            </w:r>
            <w:r w:rsidRPr="006D7ACF">
              <w:t>.</w:t>
            </w:r>
          </w:p>
        </w:tc>
        <w:tc>
          <w:tcPr>
            <w:tcW w:w="4876" w:type="dxa"/>
            <w:hideMark/>
          </w:tcPr>
          <w:p w:rsidR="000F50B7" w:rsidRPr="006D7ACF" w:rsidRDefault="000F50B7" w:rsidP="00F61C05">
            <w:pPr>
              <w:pStyle w:val="Normal6"/>
              <w:rPr>
                <w:szCs w:val="24"/>
              </w:rPr>
            </w:pPr>
            <w:r w:rsidRPr="006D7ACF">
              <w:t xml:space="preserve">Medlemsstaterna bör erbjuda arbetslösa ändamålsenligt, samordnat och individanpassat stöd i rimlig tid bestående av hjälp med att söka jobb, utbildning, omskolning och tillgång till andra stödtjänster. De bör sträva efter att ha omfattande strategier med djupgående individuell bedömning </w:t>
            </w:r>
            <w:r w:rsidRPr="006D7ACF">
              <w:rPr>
                <w:b/>
                <w:i/>
              </w:rPr>
              <w:t>av de arbetslösa</w:t>
            </w:r>
            <w:r w:rsidRPr="006D7ACF">
              <w:t xml:space="preserve"> som utförs så tidigt som möjligt efter det att </w:t>
            </w:r>
            <w:r w:rsidRPr="006D7ACF">
              <w:rPr>
                <w:b/>
                <w:i/>
              </w:rPr>
              <w:t>de</w:t>
            </w:r>
            <w:r w:rsidRPr="006D7ACF">
              <w:t xml:space="preserve"> blivit </w:t>
            </w:r>
            <w:r w:rsidRPr="006D7ACF">
              <w:rPr>
                <w:b/>
                <w:i/>
              </w:rPr>
              <w:t>arbetslösa</w:t>
            </w:r>
            <w:r w:rsidRPr="006D7ACF">
              <w:t xml:space="preserve">, i syfte att betydligt minska och förebygga </w:t>
            </w:r>
            <w:r w:rsidRPr="006D7ACF">
              <w:rPr>
                <w:b/>
                <w:i/>
              </w:rPr>
              <w:t>risken för ökad</w:t>
            </w:r>
            <w:r w:rsidRPr="006D7ACF">
              <w:t xml:space="preserve"> långtidsarbetslöshet och strukturell arbetslöshet</w:t>
            </w:r>
            <w:r w:rsidRPr="006D7ACF">
              <w:rPr>
                <w:b/>
                <w:i/>
              </w:rPr>
              <w:t>, också i form av strategier för att minska arbetslösheten bland personer med funktionsnedsättning och andra missgynnade grupper</w:t>
            </w:r>
            <w:r w:rsidRPr="006D7ACF">
              <w:t>.</w:t>
            </w:r>
            <w:r w:rsidRPr="006D7ACF">
              <w:rPr>
                <w:b/>
                <w:i/>
              </w:rPr>
              <w:t xml:space="preserve"> Medlemsstaterna bör, under medverkan av arbetsmarknadens parter, inrätta eller bygga ut mekanismer och system för stöd till övergångar på arbetsmarknaden och därvid få stöd ur Europeiska socialfonden.</w:t>
            </w:r>
            <w:r w:rsidRPr="006D7ACF">
              <w:t xml:space="preserve"> Man bör fortsätta att </w:t>
            </w:r>
            <w:r w:rsidRPr="006D7ACF">
              <w:rPr>
                <w:b/>
                <w:i/>
              </w:rPr>
              <w:t>i prioriterad ordning</w:t>
            </w:r>
            <w:r w:rsidRPr="006D7ACF">
              <w:t xml:space="preserve"> hantera ungdomsarbetslösheten</w:t>
            </w:r>
            <w:r w:rsidRPr="006D7ACF">
              <w:rPr>
                <w:b/>
                <w:i/>
              </w:rPr>
              <w:t>, frågan om osäkra arbetsvillkor för unga människor,</w:t>
            </w:r>
            <w:r w:rsidRPr="006D7ACF">
              <w:t xml:space="preserve"> och problemet med unga som varken arbetar eller studerar </w:t>
            </w:r>
            <w:r w:rsidRPr="006D7ACF">
              <w:rPr>
                <w:b/>
                <w:i/>
              </w:rPr>
              <w:t>(UVAS)</w:t>
            </w:r>
            <w:r w:rsidRPr="006D7ACF">
              <w:t xml:space="preserve"> genom att förebygga att unga lämnar skolan med högst grundskoleutbildning</w:t>
            </w:r>
            <w:r w:rsidRPr="006D7ACF">
              <w:rPr>
                <w:b/>
                <w:i/>
              </w:rPr>
              <w:t xml:space="preserve">, </w:t>
            </w:r>
            <w:r w:rsidRPr="006D7ACF">
              <w:t>genom</w:t>
            </w:r>
            <w:r w:rsidRPr="006D7ACF">
              <w:rPr>
                <w:b/>
                <w:i/>
              </w:rPr>
              <w:t xml:space="preserve"> att erbjuda möjligheter till yrkesutbildning inom sektorer som har framtiden för sig, såsom den gröna och den digitala ekonomin, såsom ett led i</w:t>
            </w:r>
            <w:r w:rsidRPr="006D7ACF">
              <w:t xml:space="preserve"> strukturella förbättringar av övergången från skola till arbete </w:t>
            </w:r>
            <w:r w:rsidRPr="006D7ACF">
              <w:rPr>
                <w:b/>
                <w:i/>
              </w:rPr>
              <w:t xml:space="preserve">och genom tillgång till anställning av hög kvalitet som en motåtgärd mot att </w:t>
            </w:r>
            <w:r w:rsidRPr="006D7ACF">
              <w:rPr>
                <w:b/>
                <w:i/>
              </w:rPr>
              <w:lastRenderedPageBreak/>
              <w:t>ungdomar får det allt osäkrare i arbetslivet</w:t>
            </w:r>
            <w:r w:rsidRPr="006D7ACF">
              <w:t>.</w:t>
            </w:r>
            <w:r w:rsidRPr="006D7ACF">
              <w:rPr>
                <w:b/>
                <w:i/>
              </w:rPr>
              <w:t xml:space="preserve"> Problemet bör också hanteras med hjälp av en förnyad och effektiv ungdomsgaranti där det ingår arbets- och utbildningserbjudanden av hög kvalitet och där alla relevanta berörda parter medverkar på ett meningsfullt sätt.</w:t>
            </w:r>
          </w:p>
        </w:tc>
      </w:tr>
      <w:tr w:rsidR="000F50B7" w:rsidRPr="006D7ACF" w:rsidTr="00F61C05">
        <w:trPr>
          <w:jc w:val="center"/>
        </w:trPr>
        <w:tc>
          <w:tcPr>
            <w:tcW w:w="4876" w:type="dxa"/>
            <w:hideMark/>
          </w:tcPr>
          <w:p w:rsidR="000F50B7" w:rsidRPr="006D7ACF" w:rsidRDefault="000F50B7" w:rsidP="00F61C05">
            <w:pPr>
              <w:pStyle w:val="Normal6"/>
            </w:pPr>
            <w:r w:rsidRPr="006D7ACF">
              <w:lastRenderedPageBreak/>
              <w:t>__________________</w:t>
            </w:r>
          </w:p>
        </w:tc>
        <w:tc>
          <w:tcPr>
            <w:tcW w:w="4876" w:type="dxa"/>
          </w:tcPr>
          <w:p w:rsidR="000F50B7" w:rsidRPr="006D7ACF" w:rsidRDefault="000F50B7" w:rsidP="00F61C05">
            <w:pPr>
              <w:pStyle w:val="Normal6"/>
              <w:rPr>
                <w:szCs w:val="24"/>
              </w:rPr>
            </w:pPr>
          </w:p>
        </w:tc>
      </w:tr>
      <w:tr w:rsidR="000F50B7" w:rsidRPr="006D7ACF" w:rsidTr="00F61C05">
        <w:trPr>
          <w:jc w:val="center"/>
        </w:trPr>
        <w:tc>
          <w:tcPr>
            <w:tcW w:w="4876" w:type="dxa"/>
            <w:hideMark/>
          </w:tcPr>
          <w:p w:rsidR="000F50B7" w:rsidRPr="006D7ACF" w:rsidRDefault="000F50B7" w:rsidP="00F61C05">
            <w:pPr>
              <w:pStyle w:val="Normal6"/>
              <w:rPr>
                <w:b/>
                <w:i/>
              </w:rPr>
            </w:pPr>
            <w:r w:rsidRPr="006D7ACF">
              <w:rPr>
                <w:b/>
                <w:i/>
                <w:vertAlign w:val="superscript"/>
              </w:rPr>
              <w:t>(1)</w:t>
            </w:r>
            <w:r w:rsidRPr="006D7ACF">
              <w:rPr>
                <w:b/>
                <w:i/>
              </w:rPr>
              <w:t xml:space="preserve"> EUT C 120, 26.4.2013, s. 1.</w:t>
            </w:r>
          </w:p>
        </w:tc>
        <w:tc>
          <w:tcPr>
            <w:tcW w:w="4876" w:type="dxa"/>
          </w:tcPr>
          <w:p w:rsidR="000F50B7" w:rsidRPr="006D7ACF" w:rsidRDefault="000F50B7" w:rsidP="00F61C05">
            <w:pPr>
              <w:pStyle w:val="Normal6"/>
              <w:rPr>
                <w:szCs w:val="24"/>
              </w:rPr>
            </w:pP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19</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6 – stycke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 xml:space="preserve">Medlemsstaterna bör sträva efter att undanröja hinder och negativa incitament och införa positiva incitament för </w:t>
            </w:r>
            <w:r w:rsidRPr="006D7ACF">
              <w:rPr>
                <w:b/>
                <w:i/>
              </w:rPr>
              <w:t>deltagande på</w:t>
            </w:r>
            <w:r w:rsidRPr="006D7ACF">
              <w:t xml:space="preserve"> arbetsmarknaden, särskilt för </w:t>
            </w:r>
            <w:r w:rsidRPr="006D7ACF">
              <w:rPr>
                <w:b/>
                <w:i/>
              </w:rPr>
              <w:t>andrainkomsttagare med låg inkomst</w:t>
            </w:r>
            <w:r w:rsidRPr="006D7ACF">
              <w:t xml:space="preserve"> och dem som befinner sig längst bort från arbetsmarknaden. Medlemsstaterna bör stödja en anpassning av arbetsmiljön för personer med </w:t>
            </w:r>
            <w:r w:rsidRPr="006D7ACF">
              <w:rPr>
                <w:b/>
                <w:i/>
              </w:rPr>
              <w:t>funktionsnedsättninga</w:t>
            </w:r>
            <w:r w:rsidRPr="006D7ACF">
              <w:t>r, däribland genom riktat finansiellt stöd och tjänster som gör det möjligt för dem att delta på arbetsmarknaden och i samhället.</w:t>
            </w:r>
          </w:p>
        </w:tc>
        <w:tc>
          <w:tcPr>
            <w:tcW w:w="4876" w:type="dxa"/>
            <w:hideMark/>
          </w:tcPr>
          <w:p w:rsidR="000F50B7" w:rsidRPr="006D7ACF" w:rsidRDefault="000F50B7" w:rsidP="00F61C05">
            <w:pPr>
              <w:pStyle w:val="Normal6"/>
              <w:rPr>
                <w:szCs w:val="24"/>
              </w:rPr>
            </w:pPr>
            <w:r w:rsidRPr="006D7ACF">
              <w:t xml:space="preserve">Medlemsstaterna bör sträva efter att undanröja hinder och negativa incitament och införa positiva incitament för </w:t>
            </w:r>
            <w:r w:rsidRPr="006D7ACF">
              <w:rPr>
                <w:b/>
                <w:i/>
              </w:rPr>
              <w:t xml:space="preserve">tillträde till </w:t>
            </w:r>
            <w:r w:rsidRPr="006D7ACF">
              <w:t xml:space="preserve">arbetsmarknaden, särskilt för </w:t>
            </w:r>
            <w:r w:rsidRPr="006D7ACF">
              <w:rPr>
                <w:b/>
                <w:i/>
              </w:rPr>
              <w:t xml:space="preserve">missgynnade grupper </w:t>
            </w:r>
            <w:r w:rsidRPr="006D7ACF">
              <w:t xml:space="preserve">och dem som befinner sig längst bort från arbetsmarknaden. Medlemsstaterna bör stödja en anpassning av arbetsmiljön för personer med </w:t>
            </w:r>
            <w:r w:rsidRPr="006D7ACF">
              <w:rPr>
                <w:b/>
                <w:i/>
              </w:rPr>
              <w:t>funktionsnedsättning</w:t>
            </w:r>
            <w:r w:rsidRPr="006D7ACF">
              <w:t>, däribland genom riktat finansiellt stöd och tjänster som gör det möjligt för dem att delta på arbetsmarknaden och i samhället.</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20</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6 – stycke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 xml:space="preserve">Medlemsstaterna bör säkerställa jämställdhet mellan könen och ökat deltagande av kvinnor på arbetsmarknaden, bland annat genom att säkerställa lika möjligheter och karriärutveckling och undanröja hinder för deltagande i ledarskap </w:t>
            </w:r>
            <w:r w:rsidRPr="006D7ACF">
              <w:lastRenderedPageBreak/>
              <w:t xml:space="preserve">på alla nivåer av beslutsfattande. Löneklyftan mellan män och kvinnor bör </w:t>
            </w:r>
            <w:r w:rsidRPr="006D7ACF">
              <w:rPr>
                <w:b/>
                <w:i/>
              </w:rPr>
              <w:t>åtgärdas</w:t>
            </w:r>
            <w:r w:rsidRPr="006D7ACF">
              <w:t>. Lika lön för lika eller likvärdigt arbete och lönetransparens bör säkerställas. Möjligheten att förena arbete, familj och privatliv för både män och kvinnor bör främjas, i synnerhet genom tillgång till ekonomiskt överkomlig långvarig vård och omsorg, förskoleverksamhet och barnomsorg av god kvalitet. Medlemsstaterna bör säkerställa att föräldrar och andra med omsorgsansvar har tillgång till olika typer av ledighet av familjeskäl och till flexibla arbetsformer för att kunna förena arbete, familj och privatliv, och främja balans mellan kvinnors och mäns utnyttjande av dessa möjligheter.</w:t>
            </w:r>
          </w:p>
        </w:tc>
        <w:tc>
          <w:tcPr>
            <w:tcW w:w="4876" w:type="dxa"/>
            <w:hideMark/>
          </w:tcPr>
          <w:p w:rsidR="000F50B7" w:rsidRPr="006D7ACF" w:rsidRDefault="000F50B7" w:rsidP="00F61C05">
            <w:pPr>
              <w:pStyle w:val="Normal6"/>
              <w:rPr>
                <w:szCs w:val="24"/>
              </w:rPr>
            </w:pPr>
            <w:r w:rsidRPr="006D7ACF">
              <w:lastRenderedPageBreak/>
              <w:t xml:space="preserve">Medlemsstaterna bör säkerställa jämställdhet mellan könen och ökat deltagande av kvinnor på arbetsmarknaden, bland annat genom att säkerställa lika möjligheter och karriärutveckling och undanröja hinder för deltagande i ledarskap </w:t>
            </w:r>
            <w:r w:rsidRPr="006D7ACF">
              <w:lastRenderedPageBreak/>
              <w:t xml:space="preserve">på alla nivåer av beslutsfattande. </w:t>
            </w:r>
            <w:r w:rsidRPr="006D7ACF">
              <w:rPr>
                <w:b/>
                <w:i/>
              </w:rPr>
              <w:t>Medlemsstaterna bör göra sitt bästa för att godkänna och förverkliga de minimiandelar, uttryckta i procent, som fastställdes i förslaget till direktiv om en jämnare könsfördelning i bolagsstyrelser</w:t>
            </w:r>
            <w:r w:rsidR="00ED1EAA" w:rsidRPr="00F12F8F">
              <w:rPr>
                <w:b/>
                <w:i/>
                <w:vertAlign w:val="superscript"/>
              </w:rPr>
              <w:t>1a</w:t>
            </w:r>
            <w:r w:rsidRPr="006D7ACF">
              <w:rPr>
                <w:b/>
                <w:i/>
              </w:rPr>
              <w:t>.</w:t>
            </w:r>
            <w:r w:rsidRPr="006D7ACF">
              <w:t xml:space="preserve"> Löneklyftan</w:t>
            </w:r>
            <w:r w:rsidRPr="006D7ACF">
              <w:rPr>
                <w:b/>
                <w:i/>
              </w:rPr>
              <w:t>, pensionsklyftan och sysselsättningsklyftan</w:t>
            </w:r>
            <w:r w:rsidRPr="006D7ACF">
              <w:t xml:space="preserve"> mellan män och kvinnor bör </w:t>
            </w:r>
            <w:r w:rsidRPr="006D7ACF">
              <w:rPr>
                <w:b/>
                <w:i/>
              </w:rPr>
              <w:t>täppas till</w:t>
            </w:r>
            <w:r w:rsidRPr="006D7ACF">
              <w:t>.</w:t>
            </w:r>
            <w:r w:rsidRPr="006D7ACF">
              <w:rPr>
                <w:b/>
                <w:i/>
              </w:rPr>
              <w:t xml:space="preserve"> Mamma- och föräldraledighet bör värdesättas tillräckligt både i fråga om pensionsinbetalningar och i fråga om pensionsrättigheter, så att betydelsen av att fostra framtida generationer reflekteras, särskilt mot bakgrund av ett åldrande samhälle.</w:t>
            </w:r>
            <w:r w:rsidRPr="006D7ACF">
              <w:t xml:space="preserve"> Lika lön för lika eller likvärdigt arbete och lönetransparens bör säkerställas</w:t>
            </w:r>
            <w:r w:rsidRPr="006D7ACF">
              <w:rPr>
                <w:b/>
                <w:i/>
              </w:rPr>
              <w:t xml:space="preserve">, också genom att det införs ett likalöneindex där män och kvinnor jämförs </w:t>
            </w:r>
            <w:r w:rsidRPr="006D7ACF">
              <w:t xml:space="preserve">. Möjligheten att förena arbete, familj och privatliv för både män och kvinnor bör främjas, i synnerhet genom tillgång till ekonomiskt överkomlig långvarig vård och omsorg, förskoleverksamhet och barnomsorg av god kvalitet </w:t>
            </w:r>
            <w:r w:rsidRPr="006D7ACF">
              <w:rPr>
                <w:b/>
                <w:i/>
              </w:rPr>
              <w:t>samt tjänster för livslångt lärande</w:t>
            </w:r>
            <w:r w:rsidRPr="006D7ACF">
              <w:t xml:space="preserve">. Medlemsstaterna bör säkerställa att föräldrar och andra med omsorgsansvar har tillgång till olika typer av ledighet av familjeskäl och till flexibla arbetsformer för att kunna förena arbete, familj och privatliv, och främja balans mellan kvinnors och mäns utnyttjande av dessa möjligheter. </w:t>
            </w:r>
            <w:r w:rsidRPr="006D7ACF">
              <w:rPr>
                <w:b/>
                <w:i/>
              </w:rPr>
              <w:t>De bör arbeta för att införa mamma- och pappaledighet med full lön.</w:t>
            </w:r>
          </w:p>
        </w:tc>
      </w:tr>
      <w:tr w:rsidR="00ED1EAA" w:rsidRPr="006D7ACF" w:rsidTr="00F61C05">
        <w:trPr>
          <w:jc w:val="center"/>
        </w:trPr>
        <w:tc>
          <w:tcPr>
            <w:tcW w:w="4876" w:type="dxa"/>
          </w:tcPr>
          <w:p w:rsidR="00ED1EAA" w:rsidRPr="006D7ACF" w:rsidRDefault="00ED1EAA" w:rsidP="00F61C05">
            <w:pPr>
              <w:pStyle w:val="Normal6"/>
            </w:pPr>
          </w:p>
        </w:tc>
        <w:tc>
          <w:tcPr>
            <w:tcW w:w="4876" w:type="dxa"/>
          </w:tcPr>
          <w:p w:rsidR="00ED1EAA" w:rsidRPr="00F12F8F" w:rsidRDefault="00ED1EAA" w:rsidP="00F61C05">
            <w:pPr>
              <w:pStyle w:val="Normal6"/>
              <w:rPr>
                <w:b/>
                <w:i/>
              </w:rPr>
            </w:pPr>
            <w:r w:rsidRPr="00F12F8F">
              <w:rPr>
                <w:b/>
                <w:i/>
              </w:rPr>
              <w:t>________</w:t>
            </w:r>
          </w:p>
        </w:tc>
      </w:tr>
      <w:tr w:rsidR="00ED1EAA" w:rsidRPr="006D7ACF" w:rsidTr="00F61C05">
        <w:trPr>
          <w:jc w:val="center"/>
        </w:trPr>
        <w:tc>
          <w:tcPr>
            <w:tcW w:w="4876" w:type="dxa"/>
          </w:tcPr>
          <w:p w:rsidR="00ED1EAA" w:rsidRPr="006D7ACF" w:rsidRDefault="00ED1EAA" w:rsidP="00F61C05">
            <w:pPr>
              <w:pStyle w:val="Normal6"/>
            </w:pPr>
          </w:p>
        </w:tc>
        <w:tc>
          <w:tcPr>
            <w:tcW w:w="4876" w:type="dxa"/>
          </w:tcPr>
          <w:p w:rsidR="00ED1EAA" w:rsidRPr="00F12F8F" w:rsidRDefault="00ED1EAA" w:rsidP="00F61C05">
            <w:pPr>
              <w:pStyle w:val="Normal6"/>
              <w:rPr>
                <w:b/>
                <w:i/>
              </w:rPr>
            </w:pPr>
            <w:r w:rsidRPr="00F12F8F">
              <w:rPr>
                <w:b/>
                <w:i/>
                <w:vertAlign w:val="superscript"/>
              </w:rPr>
              <w:t>1a</w:t>
            </w:r>
            <w:r w:rsidRPr="006D7ACF">
              <w:rPr>
                <w:b/>
                <w:i/>
                <w:vertAlign w:val="superscript"/>
              </w:rPr>
              <w:t xml:space="preserve"> </w:t>
            </w:r>
            <w:r w:rsidRPr="006D7ACF">
              <w:rPr>
                <w:b/>
                <w:i/>
              </w:rPr>
              <w:t>COM(2012)0614.</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21</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7 – stycke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 xml:space="preserve">För att kunna dra nytta av en dynamisk och produktiv arbetskraft och nya arbetsmönster och affärsmodeller bör medlemsstaterna samarbeta med arbetsmarknadens parter när det gäller rättvisa, transparenta och förutsägbara arbetsvillkor med balans mellan rättigheter och skyldigheter. De bör minska och förebygga segmenteringen av arbetsmarknaden, bekämpa odeklarerat arbete och främja en övergång till olika former av tillsvidareanställningar. Regler om anställningsskydd, arbetsrätt och institutioner bör ge </w:t>
            </w:r>
            <w:r w:rsidRPr="006D7ACF">
              <w:rPr>
                <w:b/>
                <w:i/>
              </w:rPr>
              <w:t>såväl</w:t>
            </w:r>
            <w:r w:rsidRPr="006D7ACF">
              <w:t xml:space="preserve"> goda förutsättningar för </w:t>
            </w:r>
            <w:r w:rsidRPr="006D7ACF">
              <w:rPr>
                <w:b/>
                <w:i/>
              </w:rPr>
              <w:t>rekrytering som</w:t>
            </w:r>
            <w:r w:rsidRPr="006D7ACF">
              <w:t xml:space="preserve"> </w:t>
            </w:r>
            <w:r w:rsidRPr="006D7ACF">
              <w:rPr>
                <w:b/>
                <w:i/>
              </w:rPr>
              <w:t>den flexibilitet som arbetsgivare behöver för att snabbt kunna anpassa sig till ändrade ekonomiska förhållanden</w:t>
            </w:r>
            <w:r w:rsidRPr="006D7ACF">
              <w:t xml:space="preserve">. Samtidigt bör de garantera arbetstagarna tillräcklig trygghet och hälsosamma, säkra och väl anpassade arbetsmiljöer samt </w:t>
            </w:r>
            <w:r w:rsidRPr="006D7ACF">
              <w:rPr>
                <w:b/>
                <w:i/>
              </w:rPr>
              <w:t>skydda</w:t>
            </w:r>
            <w:r w:rsidRPr="006D7ACF">
              <w:t xml:space="preserve"> arbetstagarnas rättigheter och </w:t>
            </w:r>
            <w:r w:rsidRPr="006D7ACF">
              <w:rPr>
                <w:b/>
                <w:i/>
              </w:rPr>
              <w:t>garantera</w:t>
            </w:r>
            <w:r w:rsidRPr="006D7ACF">
              <w:t xml:space="preserve"> socialt skydd. Anställningsförhållanden som leder till otrygga arbetsvillkor bör förhindras, även för arbetstagare vid digitala plattformar</w:t>
            </w:r>
            <w:r w:rsidRPr="006D7ACF">
              <w:rPr>
                <w:b/>
                <w:i/>
              </w:rPr>
              <w:t>, bland annat genom bekämpning av</w:t>
            </w:r>
            <w:r w:rsidRPr="006D7ACF">
              <w:t xml:space="preserve"> missbruk av atypiska anställningsformer. Man måste också säkerställa att det finns tillgång till ändamålsenlig och opartisk tvistlösning samt rätt till rättslig prövning, inbegripet lämplig kompensation, i händelse av </w:t>
            </w:r>
            <w:r w:rsidRPr="006D7ACF">
              <w:rPr>
                <w:b/>
                <w:i/>
              </w:rPr>
              <w:t>omotiverad</w:t>
            </w:r>
            <w:r w:rsidRPr="006D7ACF">
              <w:t xml:space="preserve"> uppsägning.</w:t>
            </w:r>
          </w:p>
        </w:tc>
        <w:tc>
          <w:tcPr>
            <w:tcW w:w="4876" w:type="dxa"/>
            <w:hideMark/>
          </w:tcPr>
          <w:p w:rsidR="000F50B7" w:rsidRPr="006D7ACF" w:rsidRDefault="000F50B7" w:rsidP="0096619D">
            <w:pPr>
              <w:pStyle w:val="Normal6"/>
              <w:rPr>
                <w:szCs w:val="24"/>
              </w:rPr>
            </w:pPr>
            <w:r w:rsidRPr="006D7ACF">
              <w:t xml:space="preserve">För att kunna dra nytta av en dynamisk och produktiv arbetskraft och nya arbetsmönster och affärsmodeller bör medlemsstaterna samarbeta med arbetsmarknadens parter när det gäller rättvisa, transparenta och förutsägbara arbetsvillkor med balans mellan rättigheter och skyldigheter. </w:t>
            </w:r>
            <w:r w:rsidRPr="006D7ACF">
              <w:rPr>
                <w:b/>
                <w:i/>
              </w:rPr>
              <w:t>Kommissionen och medlemsstaterna bör vidta konkreta åtgärder för att på alla nivåer främja och stärka dialogen mellan arbetsmarknadens parter, liksom också kollektivförhandlingarna, även med hjälp av Europaparlamentets och rådets direktiv 2009/38/EG</w:t>
            </w:r>
            <w:r w:rsidRPr="006D7ACF">
              <w:rPr>
                <w:b/>
                <w:i/>
                <w:vertAlign w:val="superscript"/>
              </w:rPr>
              <w:t>1a</w:t>
            </w:r>
            <w:r w:rsidRPr="006D7ACF">
              <w:rPr>
                <w:b/>
                <w:i/>
              </w:rPr>
              <w:t>.</w:t>
            </w:r>
            <w:r w:rsidRPr="006D7ACF">
              <w:t xml:space="preserve"> De bör minska och förebygga segmenteringen av arbetsmarknaden, bekämpa odeklarerat arbete </w:t>
            </w:r>
            <w:r w:rsidRPr="006D7ACF">
              <w:rPr>
                <w:b/>
                <w:i/>
              </w:rPr>
              <w:t>och falskt egenföretagande</w:t>
            </w:r>
            <w:r w:rsidRPr="006D7ACF">
              <w:t xml:space="preserve"> och främja en övergång till olika former av tillsvidareanställningar. Regler om anställningsskydd, arbetsrätt och institutioner bör ge goda förutsättningar för </w:t>
            </w:r>
            <w:r w:rsidRPr="006D7ACF">
              <w:rPr>
                <w:b/>
                <w:i/>
              </w:rPr>
              <w:t>skapande av stadigvarande sysselsättning av hög kvalitet</w:t>
            </w:r>
            <w:r w:rsidRPr="006D7ACF">
              <w:t xml:space="preserve">. Samtidigt bör de garantera arbetstagarna tillräcklig trygghet och hälsosamma, säkra och väl anpassade arbetsmiljöer samt </w:t>
            </w:r>
            <w:r w:rsidRPr="006D7ACF">
              <w:rPr>
                <w:b/>
                <w:i/>
              </w:rPr>
              <w:t>säkerställa dels</w:t>
            </w:r>
            <w:r w:rsidRPr="006D7ACF">
              <w:t xml:space="preserve"> arbetstagarnas rättigheter</w:t>
            </w:r>
            <w:r w:rsidRPr="006D7ACF">
              <w:rPr>
                <w:b/>
                <w:i/>
              </w:rPr>
              <w:t>, dels ett anständigt</w:t>
            </w:r>
            <w:r w:rsidRPr="006D7ACF">
              <w:t xml:space="preserve"> socialt skydd.</w:t>
            </w:r>
            <w:r w:rsidRPr="006D7ACF">
              <w:rPr>
                <w:b/>
                <w:i/>
              </w:rPr>
              <w:t xml:space="preserve"> De bör också samarbeta med fackliga ombud för att trygga en hälsosam och säker arbetsmiljö, varvid särskild uppmärksamhet bör ägnas förebyggandet av olycksfall i arbetet och yrkessjukdomar.</w:t>
            </w:r>
            <w:r w:rsidRPr="006D7ACF">
              <w:t xml:space="preserve"> Anställningsförhållanden som leder till otrygga arbetsvillkor </w:t>
            </w:r>
            <w:r w:rsidRPr="006D7ACF">
              <w:rPr>
                <w:b/>
                <w:i/>
              </w:rPr>
              <w:t>och lönekonkurrens</w:t>
            </w:r>
            <w:r w:rsidRPr="006D7ACF">
              <w:t xml:space="preserve"> bör förhindras, även för arbetstagare vid digitala plattformar</w:t>
            </w:r>
            <w:r w:rsidRPr="006D7ACF">
              <w:rPr>
                <w:b/>
                <w:i/>
              </w:rPr>
              <w:t>. Inget</w:t>
            </w:r>
            <w:r w:rsidRPr="006D7ACF">
              <w:t xml:space="preserve"> missbruk av atypiska anställningsformer </w:t>
            </w:r>
            <w:r w:rsidRPr="006D7ACF">
              <w:rPr>
                <w:b/>
                <w:i/>
              </w:rPr>
              <w:t>får förekomma</w:t>
            </w:r>
            <w:r w:rsidRPr="006D7ACF">
              <w:t>.</w:t>
            </w:r>
            <w:r w:rsidRPr="006D7ACF">
              <w:rPr>
                <w:b/>
                <w:i/>
              </w:rPr>
              <w:t xml:space="preserve"> Medlemsstaterna bör säkerställa att alla dessa arbetstagare verkligen har rättvisa arbetsvillkor, sociala rättigheter och tillgång till fullgott socialt skydd och bättre representation. </w:t>
            </w:r>
            <w:r w:rsidRPr="006D7ACF">
              <w:rPr>
                <w:b/>
                <w:i/>
              </w:rPr>
              <w:lastRenderedPageBreak/>
              <w:t xml:space="preserve">Med tanke på detta bör medlemsstaterna fullständigt genomföra </w:t>
            </w:r>
            <w:r w:rsidR="002C326C" w:rsidRPr="006D7ACF">
              <w:rPr>
                <w:b/>
                <w:i/>
              </w:rPr>
              <w:t xml:space="preserve">ILO:s </w:t>
            </w:r>
            <w:r w:rsidRPr="006D7ACF">
              <w:rPr>
                <w:b/>
                <w:i/>
              </w:rPr>
              <w:t>konvention från 1947 om arbetsinspektion och satsa på effektiva arbetsinspektioner genom försorg av behöriga myndigheter med tillräckliga befogenheter, varjämte medlemsstaterna, inom ramen för Europeiska arbetsmyndigheten, bör samordna och i samverkan utföra sina insatser mot gränsöverskridande missförhållanden.</w:t>
            </w:r>
            <w:r w:rsidRPr="006D7ACF">
              <w:t xml:space="preserve"> Man måste också säkerställa att det finns tillgång till ändamålsenlig och opartisk tvistlösning samt rätt till rättslig prövning, inbegripet lämplig kompensation, i händelse av </w:t>
            </w:r>
            <w:r w:rsidRPr="006D7ACF">
              <w:rPr>
                <w:b/>
                <w:i/>
              </w:rPr>
              <w:t>ogrundad</w:t>
            </w:r>
            <w:r w:rsidRPr="006D7ACF">
              <w:t xml:space="preserve"> uppsägning. </w:t>
            </w:r>
            <w:r w:rsidRPr="006D7ACF">
              <w:rPr>
                <w:b/>
                <w:i/>
              </w:rPr>
              <w:t>Medlemsstaterna måste anlita det europeiska nätverket för offentliga arbetsförmedlingar och EU:s organ för att identifiera evidensbaserad bästa praxis och främja ömsesidigt lärande och ökad samordning av sysselsättningspolitiken.</w:t>
            </w:r>
          </w:p>
        </w:tc>
      </w:tr>
      <w:tr w:rsidR="000F50B7" w:rsidRPr="006D7ACF" w:rsidTr="00F61C05">
        <w:trPr>
          <w:jc w:val="center"/>
        </w:trPr>
        <w:tc>
          <w:tcPr>
            <w:tcW w:w="4876" w:type="dxa"/>
          </w:tcPr>
          <w:p w:rsidR="000F50B7" w:rsidRPr="006D7ACF" w:rsidRDefault="000F50B7" w:rsidP="00F61C05">
            <w:pPr>
              <w:pStyle w:val="Normal6"/>
            </w:pPr>
          </w:p>
        </w:tc>
        <w:tc>
          <w:tcPr>
            <w:tcW w:w="4876" w:type="dxa"/>
          </w:tcPr>
          <w:p w:rsidR="000F50B7" w:rsidRPr="006D7ACF" w:rsidRDefault="000F50B7" w:rsidP="00F61C05">
            <w:pPr>
              <w:pStyle w:val="Normal6"/>
              <w:rPr>
                <w:b/>
                <w:i/>
              </w:rPr>
            </w:pPr>
            <w:r w:rsidRPr="006D7ACF">
              <w:rPr>
                <w:b/>
                <w:i/>
              </w:rPr>
              <w:t>____________</w:t>
            </w:r>
          </w:p>
        </w:tc>
      </w:tr>
      <w:tr w:rsidR="000F50B7" w:rsidRPr="006D7ACF" w:rsidTr="00F61C05">
        <w:trPr>
          <w:jc w:val="center"/>
        </w:trPr>
        <w:tc>
          <w:tcPr>
            <w:tcW w:w="4876" w:type="dxa"/>
          </w:tcPr>
          <w:p w:rsidR="000F50B7" w:rsidRPr="006D7ACF" w:rsidRDefault="000F50B7" w:rsidP="00F61C05">
            <w:pPr>
              <w:pStyle w:val="Normal6"/>
            </w:pPr>
          </w:p>
        </w:tc>
        <w:tc>
          <w:tcPr>
            <w:tcW w:w="4876" w:type="dxa"/>
          </w:tcPr>
          <w:p w:rsidR="000F50B7" w:rsidRPr="006D7ACF" w:rsidRDefault="000F50B7" w:rsidP="00F61C05">
            <w:pPr>
              <w:pStyle w:val="Normal6"/>
              <w:rPr>
                <w:b/>
                <w:i/>
              </w:rPr>
            </w:pPr>
            <w:r w:rsidRPr="006D7ACF">
              <w:rPr>
                <w:b/>
                <w:i/>
                <w:vertAlign w:val="superscript"/>
              </w:rPr>
              <w:t>(1a)</w:t>
            </w:r>
            <w:r w:rsidRPr="006D7ACF">
              <w:rPr>
                <w:b/>
                <w:i/>
              </w:rPr>
              <w:t xml:space="preserve"> Europaparlamentets och rådets direktiv 2009/38/EG av den 6 maj 2009 om inrättande av ett europeiskt företagsråd eller ett förfarande i gemenskapsföretag och grupper av gemenskapsföretag för information till och samråd med arbetstagare (EUT L 122, 16.5.2009, s. 28).</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22</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7 – stycke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 xml:space="preserve">Politiken bör ha som målsättning att förbättra och stödja deltagande, matchning och övergångar på arbetsmarknaden. Medlemsstaterna bör på ett verkningsfullt sätt </w:t>
            </w:r>
            <w:r w:rsidRPr="006D7ACF">
              <w:rPr>
                <w:b/>
                <w:i/>
              </w:rPr>
              <w:t>aktivera och</w:t>
            </w:r>
            <w:r w:rsidRPr="006D7ACF">
              <w:t xml:space="preserve"> ge </w:t>
            </w:r>
            <w:r w:rsidRPr="006D7ACF">
              <w:rPr>
                <w:b/>
                <w:i/>
              </w:rPr>
              <w:t>möjligheter åt</w:t>
            </w:r>
            <w:r w:rsidRPr="006D7ACF">
              <w:t xml:space="preserve"> dem </w:t>
            </w:r>
            <w:r w:rsidRPr="006D7ACF">
              <w:lastRenderedPageBreak/>
              <w:t xml:space="preserve">som kan delta på arbetsmarknaden. Medlemsstaterna bör göra den aktiva arbetsmarknadspolitiken mer ändamålsenlig genom en bättre inriktning på målgrupper och ökad uppsökande verksamhet så att fler omfattas av åtgärderna samt </w:t>
            </w:r>
            <w:r w:rsidRPr="006D7ACF">
              <w:rPr>
                <w:b/>
                <w:i/>
              </w:rPr>
              <w:t>genom en närmare koppling till</w:t>
            </w:r>
            <w:r w:rsidRPr="006D7ACF">
              <w:t xml:space="preserve"> inkomststöd för arbetslösa medan de söker arbete </w:t>
            </w:r>
            <w:r w:rsidRPr="006D7ACF">
              <w:rPr>
                <w:b/>
                <w:i/>
              </w:rPr>
              <w:t>och baserat på deras rättigheter och skyldigheter</w:t>
            </w:r>
            <w:r w:rsidRPr="006D7ACF">
              <w:t>. Medlemsstaterna bör eftersträva mer ändamålsenliga och effektivare offentliga arbetsförmedlingar genom att erbjuda individanpassat stöd inom rimlig tid för de arbetssökande</w:t>
            </w:r>
            <w:r w:rsidRPr="006D7ACF">
              <w:rPr>
                <w:b/>
                <w:i/>
              </w:rPr>
              <w:t>,</w:t>
            </w:r>
            <w:r w:rsidRPr="006D7ACF">
              <w:t xml:space="preserve"> stödja efterfrågan på arbetsmarknaden </w:t>
            </w:r>
            <w:r w:rsidRPr="006D7ACF">
              <w:rPr>
                <w:b/>
                <w:i/>
              </w:rPr>
              <w:t>och införa system för resultatmätning</w:t>
            </w:r>
            <w:r w:rsidRPr="006D7ACF">
              <w:t>.</w:t>
            </w:r>
          </w:p>
        </w:tc>
        <w:tc>
          <w:tcPr>
            <w:tcW w:w="4876" w:type="dxa"/>
            <w:hideMark/>
          </w:tcPr>
          <w:p w:rsidR="000F50B7" w:rsidRPr="006D7ACF" w:rsidRDefault="000F50B7" w:rsidP="00F61C05">
            <w:pPr>
              <w:pStyle w:val="Normal6"/>
              <w:rPr>
                <w:szCs w:val="24"/>
              </w:rPr>
            </w:pPr>
            <w:r w:rsidRPr="006D7ACF">
              <w:lastRenderedPageBreak/>
              <w:t>Politiken bör ha som målsättning att förbättra och stödja deltagande, matchning och övergångar på arbetsmarknaden</w:t>
            </w:r>
            <w:r w:rsidRPr="006D7ACF">
              <w:rPr>
                <w:b/>
                <w:i/>
              </w:rPr>
              <w:t xml:space="preserve">, framför allt den digitala omvandlingen och den ekologiska omställningen, jämte </w:t>
            </w:r>
            <w:r w:rsidRPr="006D7ACF">
              <w:rPr>
                <w:b/>
                <w:i/>
              </w:rPr>
              <w:lastRenderedPageBreak/>
              <w:t>att förbättra sysselsättningen även inom missgynnade geografiska områden</w:t>
            </w:r>
            <w:r w:rsidRPr="006D7ACF">
              <w:t xml:space="preserve">. Medlemsstaterna bör på ett verkningsfullt sätt ge </w:t>
            </w:r>
            <w:r w:rsidRPr="006D7ACF">
              <w:rPr>
                <w:b/>
                <w:i/>
              </w:rPr>
              <w:t xml:space="preserve">incitament till </w:t>
            </w:r>
            <w:r w:rsidRPr="006D7ACF">
              <w:t>dem som kan delta på arbetsmarknaden</w:t>
            </w:r>
            <w:r w:rsidRPr="006D7ACF">
              <w:rPr>
                <w:b/>
                <w:i/>
              </w:rPr>
              <w:t>, så att de kan hitta sysselsättning av hög kvalitet</w:t>
            </w:r>
            <w:r w:rsidRPr="006D7ACF">
              <w:t xml:space="preserve">. Medlemsstaterna bör göra den aktiva arbetsmarknadspolitiken mer ändamålsenlig genom en bättre inriktning på målgrupper och ökad uppsökande verksamhet så att fler omfattas av åtgärderna samt </w:t>
            </w:r>
            <w:r w:rsidRPr="006D7ACF">
              <w:rPr>
                <w:b/>
                <w:i/>
              </w:rPr>
              <w:t>säkerställa ett anständigt</w:t>
            </w:r>
            <w:r w:rsidRPr="006D7ACF">
              <w:t xml:space="preserve"> inkomststöd för arbetslösa medan de söker arbete. Medlemsstaterna bör eftersträva mer ändamålsenliga och effektivare offentliga arbetsförmedlingar</w:t>
            </w:r>
            <w:r w:rsidRPr="006D7ACF">
              <w:rPr>
                <w:b/>
                <w:i/>
              </w:rPr>
              <w:t>, också för gränsarbetare</w:t>
            </w:r>
            <w:r w:rsidRPr="006D7ACF">
              <w:t xml:space="preserve">, genom att erbjuda individanpassat stöd inom rimlig tid för de arbetssökande </w:t>
            </w:r>
            <w:r w:rsidRPr="006D7ACF">
              <w:rPr>
                <w:b/>
                <w:i/>
              </w:rPr>
              <w:t>och</w:t>
            </w:r>
            <w:r w:rsidRPr="006D7ACF">
              <w:t xml:space="preserve"> stödja efterfrågan på arbetsmarknaden.</w:t>
            </w:r>
            <w:r w:rsidRPr="006D7ACF">
              <w:rPr>
                <w:b/>
                <w:i/>
              </w:rPr>
              <w:t xml:space="preserve"> Dessa arbetsförmedlingar bör ha som mål att erbjuda sysselsättning av hög kvalitet.</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23</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7 – stycke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 xml:space="preserve">Medlemsstaterna bör se till att de arbetslösa får tillräckliga arbetslöshetsförmåner under en </w:t>
            </w:r>
            <w:r w:rsidRPr="006D7ACF">
              <w:rPr>
                <w:b/>
                <w:i/>
              </w:rPr>
              <w:t>rimlig</w:t>
            </w:r>
            <w:r w:rsidRPr="006D7ACF">
              <w:t xml:space="preserve"> tidsperiod, i överensstämmelse med deras inbetalade avgifter och med nationella regler för stödberättigande. </w:t>
            </w:r>
            <w:r w:rsidRPr="006D7ACF">
              <w:rPr>
                <w:b/>
                <w:i/>
              </w:rPr>
              <w:t>Sådana förmåner bör inte motverka en snabb återgång till sysselsättning och</w:t>
            </w:r>
            <w:r w:rsidRPr="006D7ACF">
              <w:t xml:space="preserve"> bör åtföljas av en aktiv arbetsmarknadspolitik.</w:t>
            </w:r>
          </w:p>
        </w:tc>
        <w:tc>
          <w:tcPr>
            <w:tcW w:w="4876" w:type="dxa"/>
            <w:hideMark/>
          </w:tcPr>
          <w:p w:rsidR="000F50B7" w:rsidRPr="006D7ACF" w:rsidRDefault="000F50B7" w:rsidP="00F61C05">
            <w:pPr>
              <w:pStyle w:val="Normal6"/>
              <w:rPr>
                <w:szCs w:val="24"/>
              </w:rPr>
            </w:pPr>
            <w:r w:rsidRPr="006D7ACF">
              <w:t xml:space="preserve">Medlemsstaterna bör se till att de arbetslösa får tillräckliga arbetslöshetsförmåner under en </w:t>
            </w:r>
            <w:r w:rsidRPr="006D7ACF">
              <w:rPr>
                <w:b/>
                <w:i/>
              </w:rPr>
              <w:t>tillräckligt lång</w:t>
            </w:r>
            <w:r w:rsidRPr="006D7ACF">
              <w:t xml:space="preserve"> tidsperiod, i överensstämmelse med deras inbetalade avgifter och med nationella regler för stödberättigande. </w:t>
            </w:r>
            <w:r w:rsidRPr="006D7ACF">
              <w:rPr>
                <w:b/>
                <w:i/>
              </w:rPr>
              <w:t>Detta</w:t>
            </w:r>
            <w:r w:rsidRPr="006D7ACF">
              <w:t xml:space="preserve"> bör åtföljas av en aktiv arbetsmarknadspolitik </w:t>
            </w:r>
            <w:r w:rsidRPr="006D7ACF">
              <w:rPr>
                <w:b/>
                <w:i/>
              </w:rPr>
              <w:t>och stödjas av mekanismer för ömsesidigt lärande mellan medlemsstaterna</w:t>
            </w:r>
            <w:r w:rsidRPr="006D7ACF">
              <w:t>.</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24</w:t>
      </w:r>
    </w:p>
    <w:p w:rsidR="000F50B7" w:rsidRPr="006D7ACF" w:rsidRDefault="000F50B7" w:rsidP="000F50B7"/>
    <w:p w:rsidR="000F50B7" w:rsidRPr="006D7ACF" w:rsidRDefault="000F50B7" w:rsidP="000F50B7">
      <w:pPr>
        <w:pStyle w:val="NormalBold"/>
        <w:keepNext/>
      </w:pPr>
      <w:r w:rsidRPr="006D7ACF">
        <w:rPr>
          <w:rStyle w:val="NormalBoldChar"/>
        </w:rPr>
        <w:lastRenderedPageBreak/>
        <w:t>Förslag till beslut</w:t>
      </w:r>
    </w:p>
    <w:p w:rsidR="000F50B7" w:rsidRPr="006D7ACF" w:rsidRDefault="000F50B7" w:rsidP="000F50B7">
      <w:pPr>
        <w:pStyle w:val="NormalBold"/>
      </w:pPr>
      <w:r w:rsidRPr="006D7ACF">
        <w:t>Bilaga I – Riktlinje 7 – stycke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 xml:space="preserve">Studenters </w:t>
            </w:r>
            <w:r w:rsidRPr="006D7ACF">
              <w:rPr>
                <w:b/>
                <w:i/>
              </w:rPr>
              <w:t>och arbetstagares</w:t>
            </w:r>
            <w:r w:rsidRPr="006D7ACF">
              <w:t xml:space="preserve"> rörlighet bör få rimligt stöd </w:t>
            </w:r>
            <w:r w:rsidRPr="006D7ACF">
              <w:rPr>
                <w:b/>
                <w:i/>
              </w:rPr>
              <w:t>i syfte att öka</w:t>
            </w:r>
            <w:r w:rsidRPr="006D7ACF">
              <w:t xml:space="preserve"> anställbarhet och färdigheter </w:t>
            </w:r>
            <w:r w:rsidRPr="006D7ACF">
              <w:rPr>
                <w:b/>
                <w:i/>
              </w:rPr>
              <w:t>och</w:t>
            </w:r>
            <w:r w:rsidRPr="006D7ACF">
              <w:t xml:space="preserve"> utnyttja den europeiska arbetsmarknadens fulla potential</w:t>
            </w:r>
            <w:r w:rsidRPr="006D7ACF">
              <w:rPr>
                <w:b/>
                <w:i/>
              </w:rPr>
              <w:t>,</w:t>
            </w:r>
            <w:r w:rsidRPr="006D7ACF">
              <w:t xml:space="preserve"> samtidigt som rättvisa </w:t>
            </w:r>
            <w:r w:rsidRPr="006D7ACF">
              <w:rPr>
                <w:b/>
                <w:i/>
              </w:rPr>
              <w:t>villkor</w:t>
            </w:r>
            <w:r w:rsidRPr="006D7ACF">
              <w:t xml:space="preserve"> för alla som är verksamma över gränser bör säkerställas </w:t>
            </w:r>
            <w:r w:rsidRPr="006D7ACF">
              <w:rPr>
                <w:b/>
                <w:i/>
              </w:rPr>
              <w:t>och</w:t>
            </w:r>
            <w:r w:rsidRPr="006D7ACF">
              <w:t xml:space="preserve"> det administrativa samarbetet mellan nationella myndigheter gällande arbetstagarnas rörlighet </w:t>
            </w:r>
            <w:r w:rsidRPr="006D7ACF">
              <w:rPr>
                <w:b/>
                <w:i/>
              </w:rPr>
              <w:t>bör stärkas</w:t>
            </w:r>
            <w:r w:rsidRPr="006D7ACF">
              <w:t xml:space="preserve">. Hinder för rörlighet inom utbildning, i samband med tjänstepensioner och privata pensioner och när det gäller erkännande av kvalifikationer bör avlägsnas, och erkännande av kvalifikationer bör underlättas. Medlemsstaterna bör vidta åtgärder för att säkerställa att administrativa förfaranden inte blir ett onödigt hinder för arbetstagare från andra medlemsstater som vill börja arbeta. Detta gäller även personer som arbetar i ett annat land än det de bor i. Medlemsstaterna bör också förebygga missbruk av befintliga regler samt motverka de underliggande orsakerna till kompetensflykten från vissa regioner, </w:t>
            </w:r>
            <w:r w:rsidRPr="006D7ACF">
              <w:rPr>
                <w:b/>
                <w:i/>
              </w:rPr>
              <w:t>bland annat genom lämpliga regionala utvecklingsåtgärder</w:t>
            </w:r>
            <w:r w:rsidRPr="006D7ACF">
              <w:t>.</w:t>
            </w:r>
          </w:p>
        </w:tc>
        <w:tc>
          <w:tcPr>
            <w:tcW w:w="4876" w:type="dxa"/>
            <w:hideMark/>
          </w:tcPr>
          <w:p w:rsidR="000F50B7" w:rsidRPr="006D7ACF" w:rsidRDefault="000F50B7" w:rsidP="00F61C05">
            <w:pPr>
              <w:pStyle w:val="Normal6"/>
              <w:rPr>
                <w:szCs w:val="24"/>
              </w:rPr>
            </w:pPr>
            <w:r w:rsidRPr="006D7ACF">
              <w:rPr>
                <w:b/>
                <w:i/>
              </w:rPr>
              <w:t>Medlemsstaterna måste stödja arbetskraftens rörlighet överallt i Europa för att skapa nya jobbmöjligheter för arbetstagare.</w:t>
            </w:r>
            <w:r w:rsidRPr="006D7ACF">
              <w:t xml:space="preserve"> Studenters rörlighet bör få rimligt stöd </w:t>
            </w:r>
            <w:r w:rsidRPr="006D7ACF">
              <w:rPr>
                <w:b/>
                <w:i/>
              </w:rPr>
              <w:t>under utbildningen, framför allt genom att man stärker rörlighetsprogrammet Erasmus+, som gör att studenterna kan öka sina kunskaper och färdigheter. Av omsorg om ökad</w:t>
            </w:r>
            <w:r w:rsidRPr="006D7ACF">
              <w:t xml:space="preserve"> anställbarhet och </w:t>
            </w:r>
            <w:r w:rsidRPr="006D7ACF">
              <w:rPr>
                <w:b/>
                <w:i/>
              </w:rPr>
              <w:t>bättre</w:t>
            </w:r>
            <w:r w:rsidRPr="006D7ACF">
              <w:t xml:space="preserve"> färdigheter </w:t>
            </w:r>
            <w:r w:rsidRPr="006D7ACF">
              <w:rPr>
                <w:b/>
                <w:i/>
              </w:rPr>
              <w:t>bör arbetstagare också uppmuntras att</w:t>
            </w:r>
            <w:r w:rsidRPr="006D7ACF">
              <w:rPr>
                <w:b/>
              </w:rPr>
              <w:t xml:space="preserve"> </w:t>
            </w:r>
            <w:r w:rsidRPr="006D7ACF">
              <w:t>utnyttja den europeiska arbetsmarknadens fulla potential</w:t>
            </w:r>
            <w:r w:rsidRPr="006D7ACF">
              <w:rPr>
                <w:b/>
              </w:rPr>
              <w:t>.</w:t>
            </w:r>
            <w:r w:rsidRPr="006D7ACF">
              <w:t xml:space="preserve"> Samtidigt som </w:t>
            </w:r>
            <w:r w:rsidRPr="006D7ACF">
              <w:rPr>
                <w:b/>
                <w:i/>
              </w:rPr>
              <w:t>rättigheterna och</w:t>
            </w:r>
            <w:r w:rsidRPr="006D7ACF">
              <w:t xml:space="preserve"> rättvisa </w:t>
            </w:r>
            <w:r w:rsidRPr="006D7ACF">
              <w:rPr>
                <w:b/>
                <w:i/>
              </w:rPr>
              <w:t>arbetsvillkor</w:t>
            </w:r>
            <w:r w:rsidRPr="006D7ACF">
              <w:t xml:space="preserve"> för alla som är verksamma över gränser bör säkerställas </w:t>
            </w:r>
            <w:r w:rsidRPr="006D7ACF">
              <w:rPr>
                <w:b/>
                <w:i/>
              </w:rPr>
              <w:t>bör möjligheterna att överföra rättigheter och förmåner stärkas genom</w:t>
            </w:r>
            <w:r w:rsidRPr="006D7ACF">
              <w:t xml:space="preserve"> det administrativa samarbetet mellan nationella myndigheter gällande arbetstagarnas rörlighet. Hinder för rörlighet inom utbildning, i samband med tjänstepensioner och privata pensioner och när det gäller erkännande av kvalifikationer bör avlägsnas, och erkännande av kvalifikationer bör underlättas. Medlemsstaterna bör vidta åtgärder för att säkerställa att administrativa förfaranden inte blir ett onödigt hinder för arbetstagare </w:t>
            </w:r>
            <w:r w:rsidRPr="006D7ACF">
              <w:rPr>
                <w:b/>
                <w:i/>
              </w:rPr>
              <w:t>och gränsarbetare</w:t>
            </w:r>
            <w:r w:rsidRPr="006D7ACF">
              <w:t xml:space="preserve"> från andra medlemsstater som vill börja arbeta.</w:t>
            </w:r>
            <w:r w:rsidRPr="006D7ACF">
              <w:rPr>
                <w:b/>
                <w:i/>
              </w:rPr>
              <w:t xml:space="preserve"> Medlemsstaterna bör förbinda sig till digitalisering av offentliga tjänster för att underlätta rättvis rörlighet för arbetstagarna, särskilt när det gäller samordningen av de sociala trygghetssystemen. I sina spridningsbegränsande åtgärder mot covid-19, såsom gränsstängning, kommer medlemsstaterna att nödgas ta hänsyn till mobila arbetstagare, bland dem också gränsarbetare, exempelvis i frågor som </w:t>
            </w:r>
            <w:r w:rsidRPr="006D7ACF">
              <w:rPr>
                <w:b/>
                <w:i/>
              </w:rPr>
              <w:lastRenderedPageBreak/>
              <w:t>gäller hälsa och säkerhet, skatter och social trygghet och samordning. Medlemsstaterna bör tillåta mobila arbetstagare och gränsarbetare att fortsätta överskrida gränser när detta bedömts såsom säkert utgående från Europeiska arbetsmiljöbyråns riktlinjer för hälsa och säkerhet.</w:t>
            </w:r>
            <w:r w:rsidRPr="006D7ACF">
              <w:t xml:space="preserve"> Detta gäller även personer som arbetar i ett annat land än det de bor i. Medlemsstaterna bör också förebygga missbruk av befintliga regler samt</w:t>
            </w:r>
            <w:r w:rsidRPr="006D7ACF">
              <w:rPr>
                <w:b/>
                <w:i/>
              </w:rPr>
              <w:t>,</w:t>
            </w:r>
            <w:r w:rsidRPr="006D7ACF">
              <w:t xml:space="preserve"> </w:t>
            </w:r>
            <w:r w:rsidRPr="006D7ACF">
              <w:rPr>
                <w:b/>
                <w:i/>
              </w:rPr>
              <w:t>bland annat genom lämpliga regionala utvecklingsåtgärder,</w:t>
            </w:r>
            <w:r w:rsidRPr="006D7ACF">
              <w:t xml:space="preserve"> motverka de underliggande orsakerna till kompetensflykten från vissa regioner,</w:t>
            </w:r>
            <w:r w:rsidRPr="006D7ACF">
              <w:rPr>
                <w:b/>
                <w:i/>
              </w:rPr>
              <w:t xml:space="preserve"> vilken skadar både utvecklingen i dessa områden och deras attraktionskraft</w:t>
            </w:r>
            <w:r w:rsidRPr="006D7ACF">
              <w:t xml:space="preserve">. </w:t>
            </w:r>
            <w:r w:rsidRPr="006D7ACF">
              <w:rPr>
                <w:b/>
                <w:i/>
              </w:rPr>
              <w:t>Medlemsstaterna bör främja och använda relevanta EU-verktyg, såsom arbetsförmedlingsnätverket Eures, och utöka de gränsöverskridande partnerskapen för att hjälpa mobila arbetstagare i gränsregioner.</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25</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7 – stycke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 xml:space="preserve">Med utgångspunkt i befintlig nationell praxis och för att få till stånd en mer ändamålsenlig </w:t>
            </w:r>
            <w:r w:rsidRPr="006D7ACF">
              <w:rPr>
                <w:b/>
                <w:i/>
              </w:rPr>
              <w:t>social</w:t>
            </w:r>
            <w:r w:rsidRPr="006D7ACF">
              <w:t xml:space="preserve"> dialog och bättre socioekonomiska resultat bör medlemsstaterna säkerställa att arbetsmarknadens parter i rätt tid och på ett meningsfullt sätt deltar i utformningen och genomförandet av reformer och politik på områdena sysselsättning, sociala frågor och, när så är lämpligt, ekonomi, inklusive genom stöd för ökad kapacitet hos arbetsmarknadens parter. Medlemsstaterna bör främja dialogen mellan arbetsmarknadens parter och kollektiva </w:t>
            </w:r>
            <w:r w:rsidRPr="006D7ACF">
              <w:lastRenderedPageBreak/>
              <w:t>förhandlingar. Arbetsmarknadens parter bör uppmuntras att förhandla och sluta kollektivavtal i frågor som är relevanta för dem, samtidigt som deras oberoende och rätt till kollektiva åtgärder respekteras fullt ut.</w:t>
            </w:r>
          </w:p>
        </w:tc>
        <w:tc>
          <w:tcPr>
            <w:tcW w:w="4876" w:type="dxa"/>
            <w:hideMark/>
          </w:tcPr>
          <w:p w:rsidR="000F50B7" w:rsidRPr="006D7ACF" w:rsidRDefault="000F50B7" w:rsidP="00F61C05">
            <w:pPr>
              <w:pStyle w:val="Normal6"/>
              <w:rPr>
                <w:szCs w:val="24"/>
              </w:rPr>
            </w:pPr>
            <w:r w:rsidRPr="006D7ACF">
              <w:lastRenderedPageBreak/>
              <w:t xml:space="preserve">Med utgångspunkt i befintlig nationell praxis och för att </w:t>
            </w:r>
            <w:r w:rsidRPr="006D7ACF">
              <w:rPr>
                <w:b/>
                <w:i/>
              </w:rPr>
              <w:t>främja och</w:t>
            </w:r>
            <w:r w:rsidRPr="006D7ACF">
              <w:t xml:space="preserve"> få till stånd en mer ändamålsenlig </w:t>
            </w:r>
            <w:r w:rsidRPr="006D7ACF">
              <w:rPr>
                <w:b/>
                <w:i/>
              </w:rPr>
              <w:t>och intensiv</w:t>
            </w:r>
            <w:r w:rsidRPr="006D7ACF">
              <w:t xml:space="preserve"> dialog </w:t>
            </w:r>
            <w:r w:rsidRPr="006D7ACF">
              <w:rPr>
                <w:b/>
                <w:i/>
              </w:rPr>
              <w:t>mellan arbetsmarknadens parter</w:t>
            </w:r>
            <w:r w:rsidRPr="006D7ACF">
              <w:t xml:space="preserve"> och bättre socioekonomiska resultat bör medlemsstaterna säkerställa att arbetsmarknadens parter i rätt tid och på ett meningsfullt sätt deltar i utformningen och genomförandet av reformer och politik på områdena sysselsättning, sociala frågor och, när så är lämpligt, ekonomi, inklusive genom stöd för ökad kapacitet hos arbetsmarknadens parter. Medlemsstaterna bör </w:t>
            </w:r>
            <w:r w:rsidRPr="006D7ACF">
              <w:rPr>
                <w:b/>
                <w:i/>
              </w:rPr>
              <w:t>förstärka och</w:t>
            </w:r>
            <w:r w:rsidRPr="006D7ACF">
              <w:t xml:space="preserve"> främja dialogen mellan </w:t>
            </w:r>
            <w:r w:rsidRPr="006D7ACF">
              <w:lastRenderedPageBreak/>
              <w:t>arbetsmarknadens parter och kollektiva förhandlingar. Arbetsmarknadens parter bör uppmuntras att förhandla och sluta kollektivavtal i frågor som är relevanta för dem, samtidigt som deras oberoende och rätt till kollektiva åtgärder respekteras fullt ut.</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26</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7 – stycke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När så är lämpligt och med utgångspunkt i befintlig nationell praxis, bör medlemsstaterna ta hänsyn till den erfarenhet av sysselsättningsfrågor och sociala frågor som finns i relevanta organisationer i det civila samhället.</w:t>
            </w:r>
          </w:p>
        </w:tc>
        <w:tc>
          <w:tcPr>
            <w:tcW w:w="4876" w:type="dxa"/>
            <w:hideMark/>
          </w:tcPr>
          <w:p w:rsidR="000F50B7" w:rsidRPr="006D7ACF" w:rsidRDefault="000F50B7" w:rsidP="00F61C05">
            <w:pPr>
              <w:pStyle w:val="Normal6"/>
              <w:rPr>
                <w:szCs w:val="24"/>
              </w:rPr>
            </w:pPr>
            <w:r w:rsidRPr="006D7ACF">
              <w:t>När så är lämpligt och med utgångspunkt i befintlig nationell praxis, bör medlemsstaterna ta hänsyn till den erfarenhet av sysselsättningsfrågor och sociala frågor som finns i relevanta organisationer i det civila samhället</w:t>
            </w:r>
            <w:r w:rsidRPr="006D7ACF">
              <w:rPr>
                <w:b/>
                <w:i/>
              </w:rPr>
              <w:t>, också hos dem som företräder grupper som inte obehindrat kan få arbete av hög kvalitet</w:t>
            </w:r>
            <w:r w:rsidRPr="006D7ACF">
              <w:t>.</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27</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7 – stycke 6a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tcPr>
          <w:p w:rsidR="000F50B7" w:rsidRPr="006D7ACF" w:rsidRDefault="000F50B7" w:rsidP="00F61C05">
            <w:pPr>
              <w:pStyle w:val="Normal6"/>
            </w:pPr>
          </w:p>
        </w:tc>
        <w:tc>
          <w:tcPr>
            <w:tcW w:w="4876" w:type="dxa"/>
            <w:hideMark/>
          </w:tcPr>
          <w:p w:rsidR="000F50B7" w:rsidRPr="006D7ACF" w:rsidRDefault="000F50B7" w:rsidP="00F61C05">
            <w:pPr>
              <w:pStyle w:val="Normal6"/>
              <w:rPr>
                <w:szCs w:val="24"/>
              </w:rPr>
            </w:pPr>
            <w:r w:rsidRPr="006D7ACF">
              <w:rPr>
                <w:b/>
                <w:i/>
              </w:rPr>
              <w:t xml:space="preserve">Det är livsviktigt med en hälsosam och säker arbetsmiljö för att både smittorisken och spridningsrisken för virus och andra sjukdomar ska kunna bekämpas. Medlemsstaterna bör säkerställa att arbetsgivarna axlar sitt ansvar för sina arbetstagares hälsa och säkerhet och ger dem och deras ombud tillräckligt med information, samt utför riskbedömningar och vidtar förebyggande åtgärder. Detta innebär bland annat att minska antalet arbetsolyckor med dödlig utgång och fall av arbetsrelaterad cancer till noll genom </w:t>
            </w:r>
            <w:r w:rsidRPr="006D7ACF">
              <w:rPr>
                <w:b/>
                <w:i/>
              </w:rPr>
              <w:lastRenderedPageBreak/>
              <w:t>fastställande av bindande gränsvärden för exponering på arbetsplatsen och att beakta arbetsrelaterade psykosociala hälsorisker och arbetsrelaterade sjukdomar. För att få arbetsmarknaderna att fungera bättre bör medlemsstaterna satsa på en hälsosam och säker arbetsmiljö och säkerställa att det vidtas tillräckliga åtgärder och föranstaltningar för arbetsinspektionerna eller de fackliga skyddsombuden.</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28</w:t>
      </w:r>
    </w:p>
    <w:p w:rsidR="000F50B7" w:rsidRPr="006D7ACF" w:rsidRDefault="000F50B7" w:rsidP="000F50B7">
      <w:pPr>
        <w:pStyle w:val="NormalBold12b"/>
      </w:pPr>
      <w:r w:rsidRPr="006D7ACF">
        <w:t>Förslag till beslut</w:t>
      </w:r>
    </w:p>
    <w:p w:rsidR="000F50B7" w:rsidRPr="006D7ACF" w:rsidRDefault="000F50B7" w:rsidP="000F50B7">
      <w:pPr>
        <w:pStyle w:val="NormalBold"/>
      </w:pPr>
      <w:r w:rsidRPr="006D7ACF">
        <w:t>Bilaga I – Riktlinje 7 – stycke 6b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tcPr>
          <w:p w:rsidR="000F50B7" w:rsidRPr="006D7ACF" w:rsidRDefault="000F50B7" w:rsidP="00F61C05">
            <w:pPr>
              <w:pStyle w:val="Normal6"/>
            </w:pPr>
          </w:p>
        </w:tc>
        <w:tc>
          <w:tcPr>
            <w:tcW w:w="4876" w:type="dxa"/>
            <w:hideMark/>
          </w:tcPr>
          <w:p w:rsidR="000F50B7" w:rsidRPr="006D7ACF" w:rsidRDefault="000F50B7" w:rsidP="00F61C05">
            <w:pPr>
              <w:pStyle w:val="Normal6"/>
              <w:rPr>
                <w:szCs w:val="24"/>
              </w:rPr>
            </w:pPr>
            <w:r w:rsidRPr="006D7ACF">
              <w:rPr>
                <w:b/>
                <w:i/>
              </w:rPr>
              <w:t>Medlemsstaterna bör i samarbete ordna med sociala trygghetssystem för gränsarbetare och för egenföretagare som inte bor och arbetar i samma medlemsstat. När sociala trygghetssystem moderniseras bör man följa principerna för den europeiska arbetsmarknaden där det föreskrivs att socialskyddet ska vara hållbart, allmänomfattande och gränsöverskridande. Detta torde garantera att de sociala trygghetssystemen erbjuder skydd och är effektiva, åtgärdar luckorna i skyddet och garanterar gränsarbetarnas produktivitet.</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29</w:t>
      </w:r>
    </w:p>
    <w:p w:rsidR="000F50B7" w:rsidRPr="006D7ACF" w:rsidRDefault="000F50B7" w:rsidP="000F50B7">
      <w:pPr>
        <w:pStyle w:val="NormalBold12b"/>
      </w:pPr>
      <w:r w:rsidRPr="006D7ACF">
        <w:t>Förslag till beslut</w:t>
      </w:r>
    </w:p>
    <w:p w:rsidR="000F50B7" w:rsidRPr="006D7ACF" w:rsidRDefault="000F50B7" w:rsidP="000F50B7">
      <w:pPr>
        <w:pStyle w:val="NormalBold"/>
      </w:pPr>
      <w:r w:rsidRPr="006D7ACF">
        <w:t>Bilaga I – Riktlinje 7 – stycke 6c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tcPr>
          <w:p w:rsidR="000F50B7" w:rsidRPr="006D7ACF" w:rsidRDefault="000F50B7" w:rsidP="00F61C05">
            <w:pPr>
              <w:pStyle w:val="Normal6"/>
            </w:pPr>
          </w:p>
        </w:tc>
        <w:tc>
          <w:tcPr>
            <w:tcW w:w="4876" w:type="dxa"/>
            <w:hideMark/>
          </w:tcPr>
          <w:p w:rsidR="000F50B7" w:rsidRPr="006D7ACF" w:rsidRDefault="000F50B7" w:rsidP="00F61C05">
            <w:pPr>
              <w:pStyle w:val="Normal6"/>
              <w:rPr>
                <w:szCs w:val="24"/>
              </w:rPr>
            </w:pPr>
            <w:r w:rsidRPr="006D7ACF">
              <w:rPr>
                <w:b/>
                <w:i/>
              </w:rPr>
              <w:t xml:space="preserve">Medlemsstaterna bör åtgärda covid-19-krisens arbetsmarknadskonsekvenser genom stöd dels till arbetstagare som </w:t>
            </w:r>
            <w:r w:rsidRPr="006D7ACF">
              <w:rPr>
                <w:b/>
                <w:i/>
              </w:rPr>
              <w:lastRenderedPageBreak/>
              <w:t>tillfälligtvis är ”tekniskt arbetslösa”, eftersom deras arbetsgivare nödgats inställa sin verksamhet, dels till egenföretagare och små företag så de kan ha kvar sina anställda och fortsätta med sin verksamhet.</w:t>
            </w:r>
          </w:p>
        </w:tc>
      </w:tr>
    </w:tbl>
    <w:p w:rsidR="000F50B7" w:rsidRPr="006D7ACF" w:rsidRDefault="000F50B7" w:rsidP="000F50B7">
      <w:pPr>
        <w:pStyle w:val="JustificationTitle"/>
        <w:rPr>
          <w:noProof w:val="0"/>
        </w:rPr>
      </w:pPr>
      <w:r w:rsidRPr="006D7ACF">
        <w:rPr>
          <w:noProof w:val="0"/>
        </w:rPr>
        <w:lastRenderedPageBreak/>
        <w:t>Motivering</w:t>
      </w:r>
    </w:p>
    <w:p w:rsidR="000F50B7" w:rsidRPr="006D7ACF" w:rsidRDefault="000F50B7" w:rsidP="000F50B7">
      <w:pPr>
        <w:pStyle w:val="Normal12Italic"/>
        <w:rPr>
          <w:noProof w:val="0"/>
          <w:lang w:val="sv-SE"/>
        </w:rPr>
      </w:pPr>
      <w:r w:rsidRPr="006D7ACF">
        <w:rPr>
          <w:noProof w:val="0"/>
          <w:lang w:val="sv-SE"/>
        </w:rPr>
        <w:t>Covid-19-krisens arbetsmarknadskonsekvenser har redan varit svåra och kommer att utvecklas vidare i takt med att pandemin fortsätter och de förebyggande åtgärderna mot den förblir i kraft. Det är oerhört viktigt med riktade åtgärder för att enskilda personer ska tryggas en stabil inkomst, för att små företag ska kunna fortsätta erbjuda arbetstillfällen och för att egenföretagare ska få stöd så de kan fortsätta med sin verksamhet eller rentav ha kvar sitt livsuppehälle. Sådana åtgärder krävs ovillkorligen dels för att vi ska slippa exempellösa arbetslöshetstoppar, utbredda förluster av arbetstillfällen och massiva företagsnedläggelser, dels för att säkerställa att den ekonomiska återhämtningen går lättare när en gång pandemin börjat avta.</w:t>
      </w:r>
    </w:p>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30</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8 – stycke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 xml:space="preserve">Medlemsstaterna bör främja inkluderande arbetsmarknader som är öppna för alla, genom att införa ändamålsenliga åtgärder för att bekämpa alla former av diskriminering och främja lika möjligheter för underrepresenterade grupper på arbetsmarknaden, med tillbörligt beaktande av de regionala och territoriella dimensionerna. De bör </w:t>
            </w:r>
            <w:r w:rsidRPr="006D7ACF">
              <w:rPr>
                <w:b/>
                <w:i/>
              </w:rPr>
              <w:t>se till</w:t>
            </w:r>
            <w:r w:rsidRPr="006D7ACF">
              <w:t xml:space="preserve"> att alla behandlas lika när det gäller anställning, socialt skydd, hälso- och sjukvård och långvarig vård- och omsorg, bostad, utbildning och tillgång till varor och tjänster, oberoende av kön, ras, etniskt ursprung, religion eller övertygelse, funktionsnedsättning, ålder eller sexuell läggning.</w:t>
            </w:r>
          </w:p>
        </w:tc>
        <w:tc>
          <w:tcPr>
            <w:tcW w:w="4876" w:type="dxa"/>
            <w:hideMark/>
          </w:tcPr>
          <w:p w:rsidR="000F50B7" w:rsidRPr="006D7ACF" w:rsidRDefault="000F50B7" w:rsidP="00F61C05">
            <w:pPr>
              <w:pStyle w:val="Normal6"/>
              <w:rPr>
                <w:szCs w:val="24"/>
              </w:rPr>
            </w:pPr>
            <w:r w:rsidRPr="006D7ACF">
              <w:t>Medlemsstaterna bör</w:t>
            </w:r>
            <w:r w:rsidRPr="006D7ACF">
              <w:rPr>
                <w:b/>
                <w:i/>
              </w:rPr>
              <w:t>, såsom ett led i en integrerad strategi för aktiv inkludering,</w:t>
            </w:r>
            <w:r w:rsidRPr="006D7ACF">
              <w:t xml:space="preserve"> främja </w:t>
            </w:r>
            <w:r w:rsidRPr="006D7ACF">
              <w:rPr>
                <w:b/>
                <w:i/>
              </w:rPr>
              <w:t xml:space="preserve">sociala rättigheter och </w:t>
            </w:r>
            <w:r w:rsidRPr="006D7ACF">
              <w:t xml:space="preserve">inkluderande arbetsmarknader som är öppna för alla, genom att införa ändamålsenliga åtgärder för att bekämpa alla former av diskriminering och främja lika möjligheter för underrepresenterade grupper på arbetsmarknaden, med tillbörligt beaktande av de regionala och territoriella dimensionerna. De bör </w:t>
            </w:r>
            <w:r w:rsidRPr="006D7ACF">
              <w:rPr>
                <w:b/>
                <w:i/>
              </w:rPr>
              <w:t>säkerställa</w:t>
            </w:r>
            <w:r w:rsidRPr="006D7ACF">
              <w:t xml:space="preserve"> att alla </w:t>
            </w:r>
            <w:r w:rsidRPr="006D7ACF">
              <w:rPr>
                <w:b/>
                <w:i/>
              </w:rPr>
              <w:t>får lika lön och lika rättigheter för lika arbete på samma ort, och att de</w:t>
            </w:r>
            <w:r w:rsidRPr="006D7ACF">
              <w:t xml:space="preserve"> behandlas lika när det gäller anställning, socialt skydd, hälso- och sjukvård och långvarig vård- och omsorg, bostad, utbildning och tillgång till varor och tjänster, oberoende av kön, ras, etniskt </w:t>
            </w:r>
            <w:r w:rsidRPr="006D7ACF">
              <w:lastRenderedPageBreak/>
              <w:t xml:space="preserve">ursprung, </w:t>
            </w:r>
            <w:r w:rsidRPr="006D7ACF">
              <w:rPr>
                <w:b/>
                <w:i/>
              </w:rPr>
              <w:t xml:space="preserve">nationalitet, </w:t>
            </w:r>
            <w:r w:rsidRPr="006D7ACF">
              <w:t>religion eller övertygelse, funktionsnedsättning, ålder eller sexuell läggning.</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31</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8 – stycke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 xml:space="preserve">Medlemsstaterna bör modernisera de sociala trygghetssystemen för att ge ett tillräckligt, ändamålsenligt, effektivt och hållbart socialt skydd under alla skeden av den enskilda människans liv och därmed verka för social inkludering och social </w:t>
            </w:r>
            <w:r w:rsidRPr="006D7ACF">
              <w:rPr>
                <w:b/>
                <w:i/>
              </w:rPr>
              <w:t>rörlighet</w:t>
            </w:r>
            <w:r w:rsidRPr="006D7ACF">
              <w:t xml:space="preserve"> uppåt,</w:t>
            </w:r>
            <w:r w:rsidRPr="006D7ACF">
              <w:rPr>
                <w:b/>
                <w:i/>
              </w:rPr>
              <w:t xml:space="preserve"> stimulera till deltagande på arbetsmarknaden</w:t>
            </w:r>
            <w:r w:rsidRPr="006D7ACF">
              <w:t xml:space="preserve"> och ta itu med ojämlikheter, bland annat genom </w:t>
            </w:r>
            <w:r w:rsidRPr="006D7ACF">
              <w:rPr>
                <w:b/>
                <w:i/>
              </w:rPr>
              <w:t>utformningen av</w:t>
            </w:r>
            <w:r w:rsidRPr="006D7ACF">
              <w:t xml:space="preserve"> skatte- och förmånssystemen. Om övergripande strategier kompletteras med selektiva strategier förbättras de sociala trygghetssystemens ändamålsenlighet.</w:t>
            </w:r>
            <w:r w:rsidRPr="006D7ACF">
              <w:rPr>
                <w:b/>
                <w:i/>
              </w:rPr>
              <w:t xml:space="preserve"> En modernisering av de sociala trygghetssystemen bör leda</w:t>
            </w:r>
            <w:r w:rsidRPr="006D7ACF">
              <w:t xml:space="preserve"> till bättre tillgänglighet, kvalitet, tillräcklighet och hållbarhet.</w:t>
            </w:r>
          </w:p>
        </w:tc>
        <w:tc>
          <w:tcPr>
            <w:tcW w:w="4876" w:type="dxa"/>
            <w:hideMark/>
          </w:tcPr>
          <w:p w:rsidR="000F50B7" w:rsidRPr="006D7ACF" w:rsidRDefault="000F50B7" w:rsidP="00F61C05">
            <w:pPr>
              <w:pStyle w:val="Normal6"/>
              <w:rPr>
                <w:szCs w:val="24"/>
              </w:rPr>
            </w:pPr>
            <w:r w:rsidRPr="006D7ACF">
              <w:t xml:space="preserve">Medlemsstaterna bör modernisera de sociala trygghetssystemen </w:t>
            </w:r>
            <w:r w:rsidRPr="006D7ACF">
              <w:rPr>
                <w:b/>
                <w:i/>
              </w:rPr>
              <w:t>och investera i dem,</w:t>
            </w:r>
            <w:r w:rsidRPr="006D7ACF">
              <w:t xml:space="preserve"> för att ge </w:t>
            </w:r>
            <w:r w:rsidRPr="006D7ACF">
              <w:rPr>
                <w:b/>
                <w:i/>
              </w:rPr>
              <w:t>alla</w:t>
            </w:r>
            <w:r w:rsidRPr="006D7ACF">
              <w:t xml:space="preserve"> ett tillräckligt, ändamålsenligt, effektivt och hållbart socialt skydd under alla skeden av den enskilda människans liv och därmed </w:t>
            </w:r>
            <w:r w:rsidRPr="006D7ACF">
              <w:rPr>
                <w:b/>
                <w:i/>
              </w:rPr>
              <w:t>bekämpa fattigdom</w:t>
            </w:r>
            <w:r w:rsidRPr="006D7ACF">
              <w:t xml:space="preserve"> </w:t>
            </w:r>
            <w:r w:rsidRPr="006D7ACF">
              <w:rPr>
                <w:b/>
                <w:i/>
              </w:rPr>
              <w:t>och</w:t>
            </w:r>
            <w:r w:rsidRPr="006D7ACF">
              <w:t xml:space="preserve"> verka för social inkludering och social </w:t>
            </w:r>
            <w:r w:rsidRPr="006D7ACF">
              <w:rPr>
                <w:b/>
                <w:i/>
              </w:rPr>
              <w:t>konvergens</w:t>
            </w:r>
            <w:r w:rsidRPr="006D7ACF">
              <w:t xml:space="preserve"> uppåt, </w:t>
            </w:r>
            <w:r w:rsidRPr="006D7ACF">
              <w:rPr>
                <w:b/>
                <w:i/>
              </w:rPr>
              <w:t>stödja arbetsmarknadsdeltagande och tillgång till arbete av hög kvalitet</w:t>
            </w:r>
            <w:r w:rsidRPr="006D7ACF">
              <w:t xml:space="preserve"> och ta itu med ojämlikheter, bland annat genom </w:t>
            </w:r>
            <w:r w:rsidRPr="006D7ACF">
              <w:rPr>
                <w:b/>
                <w:i/>
              </w:rPr>
              <w:t>progressiva</w:t>
            </w:r>
            <w:r w:rsidRPr="006D7ACF">
              <w:t xml:space="preserve"> skatte- och förmånssystemen. Om övergripande strategier </w:t>
            </w:r>
            <w:r w:rsidRPr="006D7ACF">
              <w:rPr>
                <w:b/>
                <w:i/>
              </w:rPr>
              <w:t>ytterligare</w:t>
            </w:r>
            <w:r w:rsidRPr="006D7ACF">
              <w:t xml:space="preserve"> kompletteras med selektiva strategier förbättras de sociala trygghetssystemens ändamålsenlighet</w:t>
            </w:r>
            <w:r w:rsidRPr="006D7ACF">
              <w:rPr>
                <w:b/>
                <w:i/>
              </w:rPr>
              <w:t xml:space="preserve">, vilket leder </w:t>
            </w:r>
            <w:r w:rsidRPr="006D7ACF">
              <w:t>till bättre tillgänglighet, kvalitet, tillräcklighet och hållbarhet.</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32</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8 – stycke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 xml:space="preserve">Medlemsstaterna bör utveckla och integrera de tre delarna av strategin för aktiv inkludering: tillräckligt inkomststöd, inkluderande arbetsmarknader och tillgång till </w:t>
            </w:r>
            <w:r w:rsidRPr="006D7ACF">
              <w:rPr>
                <w:b/>
                <w:i/>
              </w:rPr>
              <w:t>stödtjänster</w:t>
            </w:r>
            <w:r w:rsidRPr="006D7ACF">
              <w:t xml:space="preserve"> av god kvalitet som uppfyller individuella behov. De sociala trygghetssystemen bör garantera </w:t>
            </w:r>
            <w:r w:rsidRPr="006D7ACF">
              <w:lastRenderedPageBreak/>
              <w:t>tillräckliga minimiinkomstförmåner för alla som saknar tillräckliga resurser, och främja social inkludering genom att stödja människor att delta aktivt på arbetsmarknaden och i samhället, bland annat genom riktade sociala tjänster.</w:t>
            </w:r>
          </w:p>
        </w:tc>
        <w:tc>
          <w:tcPr>
            <w:tcW w:w="4876" w:type="dxa"/>
            <w:hideMark/>
          </w:tcPr>
          <w:p w:rsidR="000F50B7" w:rsidRPr="006D7ACF" w:rsidRDefault="000F50B7" w:rsidP="00F61C05">
            <w:pPr>
              <w:pStyle w:val="Normal6"/>
              <w:rPr>
                <w:szCs w:val="24"/>
              </w:rPr>
            </w:pPr>
            <w:r w:rsidRPr="006D7ACF">
              <w:lastRenderedPageBreak/>
              <w:t xml:space="preserve">Medlemsstaterna bör utveckla och integrera de tre delarna av strategin för aktiv inkludering: tillräckligt inkomststöd, inkluderande arbetsmarknader och tillgång till </w:t>
            </w:r>
            <w:r w:rsidRPr="006D7ACF">
              <w:rPr>
                <w:b/>
                <w:i/>
              </w:rPr>
              <w:t>tjänster</w:t>
            </w:r>
            <w:r w:rsidRPr="006D7ACF">
              <w:t xml:space="preserve"> av god kvalitet som uppfyller individuella behov. De sociala trygghetssystemen bör garantera </w:t>
            </w:r>
            <w:r w:rsidRPr="006D7ACF">
              <w:lastRenderedPageBreak/>
              <w:t>tillräckliga minimiinkomstförmåner för alla som saknar tillräckliga resurser, och främja social inkludering genom att stödja människor att delta aktivt på arbetsmarknaden och i samhället, bland annat genom riktade sociala tjänster.</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33</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8 – stycke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rPr>
                <w:b/>
                <w:i/>
              </w:rPr>
              <w:t>Tillgång till ekonomiskt överkomliga och tillgängliga tjänster av god kvalitet såsom förskoleverksamhet och barnomsorg, fritidsverksamhet, utbildning, bostäder, hälso- och sjukvård och långvarig vård och omsorg är nödvändig för att garantera lika möjligheter</w:t>
            </w:r>
            <w:r w:rsidRPr="006D7ACF">
              <w:t xml:space="preserve">. </w:t>
            </w:r>
            <w:r w:rsidRPr="006D7ACF">
              <w:rPr>
                <w:b/>
                <w:i/>
              </w:rPr>
              <w:t>Man</w:t>
            </w:r>
            <w:r w:rsidRPr="006D7ACF">
              <w:t xml:space="preserve"> bör ägna särskild uppmärksamhet åt </w:t>
            </w:r>
            <w:r w:rsidRPr="006D7ACF">
              <w:rPr>
                <w:b/>
                <w:i/>
              </w:rPr>
              <w:t>att bekämpa fattigdom och social utestängning, inklusive</w:t>
            </w:r>
            <w:r w:rsidRPr="006D7ACF">
              <w:t xml:space="preserve"> fattigdom bland </w:t>
            </w:r>
            <w:r w:rsidRPr="006D7ACF">
              <w:rPr>
                <w:b/>
                <w:i/>
              </w:rPr>
              <w:t>förvärvsarbetande och</w:t>
            </w:r>
            <w:r w:rsidRPr="006D7ACF">
              <w:t xml:space="preserve"> barn. Medlemsstaterna bör säkerställa </w:t>
            </w:r>
            <w:r w:rsidRPr="006D7ACF">
              <w:rPr>
                <w:b/>
                <w:i/>
              </w:rPr>
              <w:t>att alla, även barn, har</w:t>
            </w:r>
            <w:r w:rsidRPr="006D7ACF">
              <w:t xml:space="preserve"> tillgång till </w:t>
            </w:r>
            <w:r w:rsidRPr="006D7ACF">
              <w:rPr>
                <w:b/>
                <w:i/>
              </w:rPr>
              <w:t>grundläggande</w:t>
            </w:r>
            <w:r w:rsidRPr="006D7ACF">
              <w:t xml:space="preserve"> tjänster. För behövande och utsatta människor bör medlemsstaterna säkerställa tillgång till tillräckligt subventionerat boende eller annat bostadsstöd. I relation till dessa tjänster bör hänsyn tas till de specifika behoven hos personer med funktionsnedsättning och till tillgänglighet. </w:t>
            </w:r>
            <w:r w:rsidRPr="006D7ACF">
              <w:rPr>
                <w:b/>
                <w:i/>
              </w:rPr>
              <w:t>Specifika</w:t>
            </w:r>
            <w:r w:rsidRPr="006D7ACF">
              <w:t xml:space="preserve"> åtgärder bör vidtas mot hemlöshet.</w:t>
            </w:r>
          </w:p>
        </w:tc>
        <w:tc>
          <w:tcPr>
            <w:tcW w:w="4876" w:type="dxa"/>
            <w:hideMark/>
          </w:tcPr>
          <w:p w:rsidR="000F50B7" w:rsidRPr="006D7ACF" w:rsidRDefault="000F50B7" w:rsidP="00F61C05">
            <w:pPr>
              <w:pStyle w:val="Normal6"/>
              <w:rPr>
                <w:szCs w:val="24"/>
              </w:rPr>
            </w:pPr>
            <w:r w:rsidRPr="006D7ACF">
              <w:rPr>
                <w:b/>
                <w:i/>
              </w:rPr>
              <w:t>Fattigdomsnivåerna fortsätter att inge oro och är åtskilligt högre än det fattigdomsmål som fastställdes 2010 i Europa 2020-strategin. Med beaktande av detta, tillsammans med covid-19-krisens inverkan, måste man göra mer för att bekämpa fattigdom och social utestängning, varvid tyngdpunkten särskilt bör förläggas till fattigdom bland förvärvsarbetande, samt till barn, äldre personer, ensamstående föräldrar och framför allt ensamma mammor, etniska minoriteter, migranter, personer med funktionsnedsättning samt de hemlösa, och övergripande strategier bör utarbetas för alla dessa.</w:t>
            </w:r>
            <w:r w:rsidRPr="006D7ACF">
              <w:t xml:space="preserve"> </w:t>
            </w:r>
            <w:r w:rsidRPr="006D7ACF">
              <w:rPr>
                <w:b/>
                <w:i/>
              </w:rPr>
              <w:t>Samtidigt</w:t>
            </w:r>
            <w:r w:rsidRPr="006D7ACF">
              <w:t xml:space="preserve"> bör </w:t>
            </w:r>
            <w:r w:rsidRPr="006D7ACF">
              <w:rPr>
                <w:b/>
                <w:i/>
              </w:rPr>
              <w:t>man</w:t>
            </w:r>
            <w:r w:rsidRPr="006D7ACF">
              <w:t xml:space="preserve"> ägna särskild uppmärksamhet åt </w:t>
            </w:r>
            <w:r w:rsidRPr="006D7ACF">
              <w:rPr>
                <w:b/>
                <w:i/>
              </w:rPr>
              <w:t>hur covid-19-krisen kan komma att påverka andra grupper, såsom personer med osäkra anställningar eller som just blivit arbetslösa. När det gäller att satsa på barn bör medlemsstaterna anta en barngaranti för åtgärder mot</w:t>
            </w:r>
            <w:r w:rsidRPr="006D7ACF">
              <w:t xml:space="preserve"> fattigdom bland barn </w:t>
            </w:r>
            <w:r w:rsidRPr="006D7ACF">
              <w:rPr>
                <w:b/>
                <w:i/>
              </w:rPr>
              <w:t>och för främjande av barnens välbefinnande, såsom ett bidrag till att barn får tillgång på lika villkor till kostnadsfri hälso- och sjukvård, kostnadsfri utbildning, kostnadsfri barnomsorg, drägliga bostäder och adekvat kost</w:t>
            </w:r>
            <w:r w:rsidRPr="006D7ACF">
              <w:t xml:space="preserve">. Medlemsstaterna bör säkerställa </w:t>
            </w:r>
            <w:r w:rsidRPr="006D7ACF">
              <w:rPr>
                <w:b/>
                <w:i/>
              </w:rPr>
              <w:t>allas</w:t>
            </w:r>
            <w:r w:rsidRPr="006D7ACF">
              <w:t xml:space="preserve"> tillgång till tjänster </w:t>
            </w:r>
            <w:r w:rsidRPr="006D7ACF">
              <w:rPr>
                <w:b/>
                <w:i/>
              </w:rPr>
              <w:t>av god kvalitet</w:t>
            </w:r>
            <w:r w:rsidRPr="006D7ACF">
              <w:t xml:space="preserve">. För </w:t>
            </w:r>
            <w:r w:rsidRPr="006D7ACF">
              <w:lastRenderedPageBreak/>
              <w:t>behövande och utsatta människor bör medlemsstaterna säkerställa tillgång till tillräckligt subventionerat boende eller annat bostadsstöd</w:t>
            </w:r>
            <w:r w:rsidRPr="006D7ACF">
              <w:rPr>
                <w:b/>
                <w:i/>
              </w:rPr>
              <w:t>, samt investeringar i överkomligt prissatta bostäder för personer med nedsatt rörlighet, varjämte de dels bör vidta åtgärder för att säkerställa en rättvis omställning till att befintliga bostäder ska bli energieffektivare, dels, inom ramen för den europeiska gröna given, komma till rätta med problemet energifattigdom samt ordna med lämpliga serviceformer för hemlösa personer. Avhysningar blir allt vanligare och detta är ett problem som medlemsstaterna bör åtgärda.</w:t>
            </w:r>
            <w:r w:rsidRPr="006D7ACF">
              <w:t xml:space="preserve"> I relation till dessa tjänster bör hänsyn tas till de specifika behoven hos personer med funktionsnedsättning och till tillgänglighet. </w:t>
            </w:r>
            <w:r w:rsidRPr="006D7ACF">
              <w:rPr>
                <w:b/>
                <w:i/>
              </w:rPr>
              <w:t>Resoluta</w:t>
            </w:r>
            <w:r w:rsidRPr="006D7ACF">
              <w:t xml:space="preserve"> åtgärder bör vidtas mot hemlöshet</w:t>
            </w:r>
            <w:r w:rsidRPr="006D7ACF">
              <w:rPr>
                <w:b/>
                <w:i/>
              </w:rPr>
              <w:t>, varvid strategin ”housing first” bör tas som utgångspunkt.</w:t>
            </w:r>
            <w:r w:rsidRPr="006D7ACF">
              <w:t>.</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34</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8 – stycke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 xml:space="preserve">Medlemsstaterna </w:t>
            </w:r>
            <w:r w:rsidRPr="006D7ACF">
              <w:rPr>
                <w:b/>
                <w:i/>
              </w:rPr>
              <w:t>bör</w:t>
            </w:r>
            <w:r w:rsidRPr="006D7ACF">
              <w:t xml:space="preserve"> </w:t>
            </w:r>
            <w:r w:rsidRPr="006D7ACF">
              <w:rPr>
                <w:b/>
                <w:i/>
              </w:rPr>
              <w:t>säkerställa tillgången</w:t>
            </w:r>
            <w:r w:rsidRPr="006D7ACF">
              <w:t xml:space="preserve"> till överkomlig förebyggande vård och medicinsk behandling av</w:t>
            </w:r>
            <w:r w:rsidRPr="006D7ACF">
              <w:rPr>
                <w:b/>
                <w:i/>
              </w:rPr>
              <w:t xml:space="preserve"> god</w:t>
            </w:r>
            <w:r w:rsidRPr="006D7ACF">
              <w:t xml:space="preserve"> kvalitet </w:t>
            </w:r>
            <w:r w:rsidRPr="006D7ACF">
              <w:rPr>
                <w:b/>
                <w:i/>
              </w:rPr>
              <w:t>i rätt tid och på ett sätt som är långsiktigt hållbart</w:t>
            </w:r>
            <w:r w:rsidRPr="006D7ACF">
              <w:t>.</w:t>
            </w:r>
          </w:p>
        </w:tc>
        <w:tc>
          <w:tcPr>
            <w:tcW w:w="4876" w:type="dxa"/>
            <w:hideMark/>
          </w:tcPr>
          <w:p w:rsidR="000F50B7" w:rsidRPr="006D7ACF" w:rsidRDefault="000F50B7" w:rsidP="00F61C05">
            <w:pPr>
              <w:pStyle w:val="Normal6"/>
              <w:rPr>
                <w:szCs w:val="24"/>
              </w:rPr>
            </w:pPr>
            <w:r w:rsidRPr="006D7ACF">
              <w:rPr>
                <w:b/>
                <w:i/>
              </w:rPr>
              <w:t>Av covid-19-krisen framgår att det behövs ökade offentliga investeringar för att säkerställa tillräckligt med välutbildad personal och möjligheter till hälso- och sjukvård för alla, också utsatta grupper. Därför bör</w:t>
            </w:r>
            <w:r w:rsidRPr="006D7ACF">
              <w:t xml:space="preserve"> medlemsstaterna </w:t>
            </w:r>
            <w:r w:rsidRPr="006D7ACF">
              <w:rPr>
                <w:b/>
                <w:i/>
              </w:rPr>
              <w:t>garantera allmän tillgång</w:t>
            </w:r>
            <w:r w:rsidRPr="006D7ACF">
              <w:t xml:space="preserve"> till överkomlig </w:t>
            </w:r>
            <w:r w:rsidRPr="006D7ACF">
              <w:rPr>
                <w:b/>
                <w:i/>
              </w:rPr>
              <w:t>offentlig</w:t>
            </w:r>
            <w:r w:rsidRPr="006D7ACF">
              <w:t xml:space="preserve"> förebyggande vård och medicinsk behandling av </w:t>
            </w:r>
            <w:r w:rsidRPr="006D7ACF">
              <w:rPr>
                <w:b/>
                <w:i/>
              </w:rPr>
              <w:t>hög och hållbar</w:t>
            </w:r>
            <w:r w:rsidRPr="006D7ACF">
              <w:t xml:space="preserve"> kvalitet.</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35</w:t>
      </w:r>
    </w:p>
    <w:p w:rsidR="000F50B7" w:rsidRPr="006D7ACF" w:rsidRDefault="000F50B7" w:rsidP="000F50B7">
      <w:pPr>
        <w:pStyle w:val="NormalBold12b"/>
      </w:pPr>
      <w:r w:rsidRPr="006D7ACF">
        <w:t>Förslag till beslut</w:t>
      </w:r>
    </w:p>
    <w:p w:rsidR="000F50B7" w:rsidRPr="006D7ACF" w:rsidRDefault="000F50B7" w:rsidP="000F50B7">
      <w:pPr>
        <w:pStyle w:val="NormalBold"/>
      </w:pPr>
      <w:r w:rsidRPr="006D7ACF">
        <w:t>Bilaga I – Riktlinje 8 – stycke 5a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tcPr>
          <w:p w:rsidR="000F50B7" w:rsidRPr="006D7ACF" w:rsidRDefault="000F50B7" w:rsidP="00F61C05">
            <w:pPr>
              <w:pStyle w:val="Normal6"/>
            </w:pPr>
          </w:p>
        </w:tc>
        <w:tc>
          <w:tcPr>
            <w:tcW w:w="4876" w:type="dxa"/>
            <w:hideMark/>
          </w:tcPr>
          <w:p w:rsidR="000F50B7" w:rsidRPr="006D7ACF" w:rsidRDefault="000F50B7" w:rsidP="00F61C05">
            <w:pPr>
              <w:pStyle w:val="Normal6"/>
              <w:rPr>
                <w:szCs w:val="24"/>
              </w:rPr>
            </w:pPr>
            <w:r w:rsidRPr="006D7ACF">
              <w:rPr>
                <w:b/>
                <w:i/>
              </w:rPr>
              <w:t>Medlemsstaterna måste skydda de äldres hälsa, förse dem med den sjukhusvård samt hälso- och sjukvård som de behöver och undvika all åldersdiskriminering.</w:t>
            </w:r>
          </w:p>
        </w:tc>
      </w:tr>
    </w:tbl>
    <w:p w:rsidR="000F50B7" w:rsidRPr="006D7ACF" w:rsidRDefault="000F50B7" w:rsidP="000F50B7"/>
    <w:p w:rsidR="000F50B7" w:rsidRPr="006D7ACF" w:rsidRDefault="000F50B7" w:rsidP="000F50B7">
      <w:pPr>
        <w:pStyle w:val="AmNumberTabs"/>
      </w:pPr>
      <w:r w:rsidRPr="006D7ACF">
        <w:t>Ändringsförslag</w:t>
      </w:r>
      <w:r w:rsidRPr="006D7ACF">
        <w:tab/>
      </w:r>
      <w:r w:rsidRPr="006D7ACF">
        <w:tab/>
        <w:t>36</w:t>
      </w:r>
    </w:p>
    <w:p w:rsidR="000F50B7" w:rsidRPr="006D7ACF" w:rsidRDefault="000F50B7" w:rsidP="000F50B7"/>
    <w:p w:rsidR="000F50B7" w:rsidRPr="006D7ACF" w:rsidRDefault="000F50B7" w:rsidP="000F50B7">
      <w:pPr>
        <w:pStyle w:val="NormalBold"/>
        <w:keepNext/>
      </w:pPr>
      <w:r w:rsidRPr="006D7ACF">
        <w:rPr>
          <w:rStyle w:val="NormalBoldChar"/>
        </w:rPr>
        <w:t>Förslag till beslut</w:t>
      </w:r>
    </w:p>
    <w:p w:rsidR="000F50B7" w:rsidRPr="006D7ACF" w:rsidRDefault="000F50B7" w:rsidP="000F50B7">
      <w:pPr>
        <w:pStyle w:val="NormalBold"/>
      </w:pPr>
      <w:r w:rsidRPr="006D7ACF">
        <w:t>Bilaga I – Riktlinje 8 – stycke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F50B7" w:rsidRPr="006D7ACF" w:rsidTr="00F61C05">
        <w:trPr>
          <w:jc w:val="center"/>
        </w:trPr>
        <w:tc>
          <w:tcPr>
            <w:tcW w:w="9752" w:type="dxa"/>
            <w:gridSpan w:val="2"/>
          </w:tcPr>
          <w:p w:rsidR="000F50B7" w:rsidRPr="006D7ACF" w:rsidRDefault="000F50B7" w:rsidP="00F61C05">
            <w:pPr>
              <w:keepNext/>
            </w:pPr>
          </w:p>
        </w:tc>
      </w:tr>
      <w:tr w:rsidR="000F50B7" w:rsidRPr="006D7ACF" w:rsidTr="00F61C05">
        <w:trPr>
          <w:jc w:val="center"/>
        </w:trPr>
        <w:tc>
          <w:tcPr>
            <w:tcW w:w="4876" w:type="dxa"/>
            <w:hideMark/>
          </w:tcPr>
          <w:p w:rsidR="000F50B7" w:rsidRPr="006D7ACF" w:rsidRDefault="000F50B7" w:rsidP="00F61C05">
            <w:pPr>
              <w:pStyle w:val="ColumnHeading"/>
              <w:keepNext/>
            </w:pPr>
            <w:r w:rsidRPr="006D7ACF">
              <w:t>Kommissionens förslag</w:t>
            </w:r>
          </w:p>
        </w:tc>
        <w:tc>
          <w:tcPr>
            <w:tcW w:w="4876" w:type="dxa"/>
            <w:hideMark/>
          </w:tcPr>
          <w:p w:rsidR="000F50B7" w:rsidRPr="006D7ACF" w:rsidRDefault="000F50B7" w:rsidP="00F61C05">
            <w:pPr>
              <w:pStyle w:val="ColumnHeading"/>
              <w:keepNext/>
            </w:pPr>
            <w:r w:rsidRPr="006D7ACF">
              <w:t>Ändringsförslag</w:t>
            </w:r>
          </w:p>
        </w:tc>
      </w:tr>
      <w:tr w:rsidR="000F50B7" w:rsidRPr="006D7ACF" w:rsidTr="00F61C05">
        <w:trPr>
          <w:jc w:val="center"/>
        </w:trPr>
        <w:tc>
          <w:tcPr>
            <w:tcW w:w="4876" w:type="dxa"/>
            <w:hideMark/>
          </w:tcPr>
          <w:p w:rsidR="000F50B7" w:rsidRPr="006D7ACF" w:rsidRDefault="000F50B7" w:rsidP="00F61C05">
            <w:pPr>
              <w:pStyle w:val="Normal6"/>
            </w:pPr>
            <w:r w:rsidRPr="006D7ACF">
              <w:t>Med tanke på ökad livslängd och demografiska förändringar bör medlemsstaterna säkra tillräckliga och hållbara pensionssystem för arbetstagare och egenföretagare, med lika möjligheter för kvinnor och män att förvärva pensionsrättigheter</w:t>
            </w:r>
            <w:r w:rsidRPr="006D7ACF">
              <w:rPr>
                <w:b/>
                <w:i/>
              </w:rPr>
              <w:t>, inklusive genom kompletterande</w:t>
            </w:r>
            <w:r w:rsidRPr="006D7ACF">
              <w:t xml:space="preserve"> pensionssystem för att säkerställa en </w:t>
            </w:r>
            <w:r w:rsidRPr="006D7ACF">
              <w:rPr>
                <w:b/>
                <w:i/>
              </w:rPr>
              <w:t>tillräcklig</w:t>
            </w:r>
            <w:r w:rsidRPr="006D7ACF">
              <w:t xml:space="preserve"> inkomst. Pensionsreformer bör stödjas genom åtgärder </w:t>
            </w:r>
            <w:r w:rsidRPr="006D7ACF">
              <w:rPr>
                <w:b/>
                <w:i/>
              </w:rPr>
              <w:t xml:space="preserve">för att förlänga yrkeslivet, som till exempel att höja den faktiska pensionsåldern, och ingå i strategier för </w:t>
            </w:r>
            <w:r w:rsidRPr="006D7ACF">
              <w:t xml:space="preserve">aktivt åldrande. Medlemsstaterna bör inleda en konstruktiv dialog med arbetsmarknadens parter och andra relevanta aktörer och möjliggöra en lämplig infasning av </w:t>
            </w:r>
            <w:r w:rsidRPr="006D7ACF">
              <w:rPr>
                <w:b/>
                <w:i/>
              </w:rPr>
              <w:t>reformerna</w:t>
            </w:r>
            <w:r w:rsidRPr="006D7ACF">
              <w:t>.</w:t>
            </w:r>
          </w:p>
        </w:tc>
        <w:tc>
          <w:tcPr>
            <w:tcW w:w="4876" w:type="dxa"/>
            <w:hideMark/>
          </w:tcPr>
          <w:p w:rsidR="000F50B7" w:rsidRPr="006D7ACF" w:rsidRDefault="000F50B7" w:rsidP="00F61C05">
            <w:pPr>
              <w:pStyle w:val="Normal6"/>
              <w:rPr>
                <w:szCs w:val="24"/>
              </w:rPr>
            </w:pPr>
            <w:r w:rsidRPr="006D7ACF">
              <w:t xml:space="preserve">Med tanke på ökad livslängd och demografiska förändringar bör medlemsstaterna säkra tillräckliga och hållbara pensionssystem för arbetstagare och egenföretagare, med lika möjligheter för kvinnor och män att förvärva pensionsrättigheter </w:t>
            </w:r>
            <w:r w:rsidRPr="006D7ACF">
              <w:rPr>
                <w:b/>
                <w:i/>
              </w:rPr>
              <w:t>inom offentliga eller arbetsrelaterade</w:t>
            </w:r>
            <w:r w:rsidRPr="006D7ACF">
              <w:t xml:space="preserve"> pensionssystem för att säkerställa </w:t>
            </w:r>
            <w:r w:rsidRPr="006D7ACF">
              <w:rPr>
                <w:b/>
                <w:i/>
              </w:rPr>
              <w:t>att pensionen ger</w:t>
            </w:r>
            <w:r w:rsidRPr="006D7ACF">
              <w:t xml:space="preserve"> en </w:t>
            </w:r>
            <w:r w:rsidRPr="006D7ACF">
              <w:rPr>
                <w:b/>
                <w:i/>
              </w:rPr>
              <w:t>anständig</w:t>
            </w:r>
            <w:r w:rsidRPr="006D7ACF">
              <w:t xml:space="preserve"> inkomst </w:t>
            </w:r>
            <w:r w:rsidRPr="006D7ACF">
              <w:rPr>
                <w:b/>
                <w:i/>
              </w:rPr>
              <w:t>ovanför fattigdomsgränsen</w:t>
            </w:r>
            <w:r w:rsidRPr="006D7ACF">
              <w:t xml:space="preserve">. Pensionsreformer bör stödjas genom åtgärder </w:t>
            </w:r>
            <w:r w:rsidRPr="006D7ACF">
              <w:rPr>
                <w:b/>
                <w:i/>
              </w:rPr>
              <w:t xml:space="preserve">som bygger på </w:t>
            </w:r>
            <w:r w:rsidRPr="006D7ACF">
              <w:t>aktivt åldrande</w:t>
            </w:r>
            <w:r w:rsidRPr="006D7ACF">
              <w:rPr>
                <w:b/>
                <w:i/>
              </w:rPr>
              <w:t>, genom att arbetstagare i alla åldrar får optimala möjligheter att fram till lagstadgad pensionsålder arbeta under förhållanden som kännetecknas av god kvalitet, produktivitet och hälsosamhet, med samtidig respekt för äldre medborgares beslut om att antingen förbli ekonomiskt aktiva under en längre tid eller avsluta sitt arbetsmarknadsdeltagande</w:t>
            </w:r>
            <w:r w:rsidRPr="006D7ACF">
              <w:t>.</w:t>
            </w:r>
            <w:r w:rsidRPr="006D7ACF">
              <w:rPr>
                <w:b/>
                <w:i/>
              </w:rPr>
              <w:t xml:space="preserve"> Utrönas bör vilka särskilda åtgärder som kan tas fram inom området arbetskraftens demografiska struktur, samt för arbetsmiljöfrågor, färdighets- och kompetenshantering, arbetsupplägg till förmån för hälsa och produktivitet i arbetslivet samt ett generationsövergripande synsätt. Detta </w:t>
            </w:r>
            <w:r w:rsidRPr="006D7ACF">
              <w:rPr>
                <w:b/>
                <w:i/>
              </w:rPr>
              <w:lastRenderedPageBreak/>
              <w:t>skulle bli till nytta både för ungas sysselsättning och arbetstagares övergång till pensionärslivet, tillsammans med överföringen av kunskaper och erfarenhet mellan generationerna.</w:t>
            </w:r>
            <w:r w:rsidRPr="006D7ACF">
              <w:t xml:space="preserve"> Medlemsstaterna bör inleda en konstruktiv dialog med arbetsmarknadens parter</w:t>
            </w:r>
            <w:r w:rsidRPr="006D7ACF">
              <w:rPr>
                <w:b/>
                <w:i/>
              </w:rPr>
              <w:t>, organisationer i det civila samhället</w:t>
            </w:r>
            <w:r w:rsidRPr="006D7ACF">
              <w:t xml:space="preserve"> och andra relevanta aktörer, </w:t>
            </w:r>
            <w:r w:rsidRPr="006D7ACF">
              <w:rPr>
                <w:b/>
                <w:i/>
              </w:rPr>
              <w:t>något som också bör innefatta direkt dialog med dem som står inför fattigdom och utestängning på gamla dagar,</w:t>
            </w:r>
            <w:r w:rsidRPr="006D7ACF">
              <w:t xml:space="preserve"> och möjliggöra en lämplig infasning av </w:t>
            </w:r>
            <w:r w:rsidRPr="006D7ACF">
              <w:rPr>
                <w:b/>
                <w:i/>
              </w:rPr>
              <w:t>eventuella reformer</w:t>
            </w:r>
            <w:r w:rsidRPr="006D7ACF">
              <w:t>.</w:t>
            </w:r>
          </w:p>
        </w:tc>
      </w:tr>
    </w:tbl>
    <w:p w:rsidR="00E365E1" w:rsidRPr="006D7ACF" w:rsidRDefault="00E365E1" w:rsidP="00ED1EAA"/>
    <w:sectPr w:rsidR="00E365E1" w:rsidRPr="006D7ACF" w:rsidSect="00AF53BD">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EFA" w:rsidRPr="00AF53BD" w:rsidRDefault="003D5EFA">
      <w:r w:rsidRPr="00AF53BD">
        <w:separator/>
      </w:r>
    </w:p>
  </w:endnote>
  <w:endnote w:type="continuationSeparator" w:id="0">
    <w:p w:rsidR="003D5EFA" w:rsidRPr="00AF53BD" w:rsidRDefault="003D5EFA">
      <w:r w:rsidRPr="00AF53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CF" w:rsidRDefault="006D7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Default="00064002" w:rsidP="006D7ACF">
    <w:pPr>
      <w:pStyle w:val="Footer"/>
      <w:tabs>
        <w:tab w:val="clear" w:pos="4536"/>
        <w:tab w:val="clear" w:pos="9072"/>
        <w:tab w:val="right" w:pos="9184"/>
      </w:tabs>
    </w:pPr>
  </w:p>
  <w:p w:rsidR="006D7ACF" w:rsidRDefault="006D7ACF" w:rsidP="006D7ACF">
    <w:pPr>
      <w:pStyle w:val="Footer"/>
      <w:pBdr>
        <w:top w:val="single" w:sz="2" w:space="1" w:color="000000"/>
      </w:pBdr>
      <w:tabs>
        <w:tab w:val="clear" w:pos="4536"/>
        <w:tab w:val="clear" w:pos="9072"/>
        <w:tab w:val="right" w:pos="9184"/>
      </w:tabs>
    </w:pPr>
    <w:r>
      <w:tab/>
    </w:r>
    <w:r w:rsidRPr="006D7ACF">
      <w:rPr>
        <w:rStyle w:val="HideTWBExt"/>
      </w:rPr>
      <w:t>&lt;NuPE&gt;</w:t>
    </w:r>
    <w:r>
      <w:t>PE647.694</w:t>
    </w:r>
    <w:r w:rsidRPr="006D7ACF">
      <w:rPr>
        <w:rStyle w:val="HideTWBExt"/>
      </w:rPr>
      <w:t>&lt;/NuPE&gt;</w:t>
    </w:r>
    <w:r>
      <w:t xml:space="preserve">/ </w:t>
    </w:r>
    <w:r>
      <w:fldChar w:fldCharType="begin"/>
    </w:r>
    <w:r>
      <w:instrText xml:space="preserve"> PAGE  \* MERGEFORMAT </w:instrText>
    </w:r>
    <w:r>
      <w:fldChar w:fldCharType="separate"/>
    </w:r>
    <w:r w:rsidR="00F12F8F">
      <w:rPr>
        <w:noProof/>
      </w:rPr>
      <w:t>1</w:t>
    </w:r>
    <w:r>
      <w:fldChar w:fldCharType="end"/>
    </w:r>
  </w:p>
  <w:p w:rsidR="006D7ACF" w:rsidRPr="006D7ACF" w:rsidRDefault="006D7ACF" w:rsidP="006D7ACF">
    <w:pPr>
      <w:pStyle w:val="Footer"/>
      <w:pBdr>
        <w:top w:val="single" w:sz="2" w:space="1" w:color="000000"/>
      </w:pBdr>
      <w:tabs>
        <w:tab w:val="clear" w:pos="4536"/>
        <w:tab w:val="clear" w:pos="9072"/>
        <w:tab w:val="right" w:pos="9638"/>
      </w:tabs>
      <w:rPr>
        <w:rFonts w:ascii="Arial" w:hAnsi="Arial" w:cs="Arial"/>
        <w:b/>
        <w:sz w:val="48"/>
      </w:rPr>
    </w:pPr>
    <w:r>
      <w:tab/>
    </w:r>
    <w:r>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CF" w:rsidRDefault="006D7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EFA" w:rsidRPr="00AF53BD" w:rsidRDefault="003D5EFA">
      <w:r w:rsidRPr="00AF53BD">
        <w:separator/>
      </w:r>
    </w:p>
  </w:footnote>
  <w:footnote w:type="continuationSeparator" w:id="0">
    <w:p w:rsidR="003D5EFA" w:rsidRPr="00AF53BD" w:rsidRDefault="003D5EFA">
      <w:r w:rsidRPr="00AF53B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CF" w:rsidRDefault="006D7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CF" w:rsidRDefault="006D7A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CF" w:rsidRDefault="006D7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124/2020"/>
    <w:docVar w:name="dvlangue" w:val="SV"/>
    <w:docVar w:name="dvnumam" w:val="0"/>
    <w:docVar w:name="dvpe" w:val="648.625"/>
    <w:docVar w:name="dvrapporteur" w:val="Föredragande: "/>
    <w:docVar w:name="dvtitre" w:val="Europaparlamentets lagstiftningsresolution av den xx xx 2020 om förslaget till rådets beslut om riktlinjer för medlemsstaternas sysselsättningspolitik(COM(2020)0070 – C9-0079/2020 – 2020/0030(NLE))"/>
    <w:docVar w:name="TA_Comm_A5Nr" w:val="A9-0124/2020"/>
    <w:docVar w:name="TA_Comm_Langue" w:val="SV"/>
    <w:docVar w:name="TA_Comm_NrAM" w:val="001-036"/>
    <w:docVar w:name="TA_Type" w:val="TA_COMM"/>
  </w:docVars>
  <w:rsids>
    <w:rsidRoot w:val="003D5EFA"/>
    <w:rsid w:val="00002272"/>
    <w:rsid w:val="00064002"/>
    <w:rsid w:val="000677B9"/>
    <w:rsid w:val="000831BA"/>
    <w:rsid w:val="000A42CC"/>
    <w:rsid w:val="000E7DD9"/>
    <w:rsid w:val="000F50B7"/>
    <w:rsid w:val="0010095E"/>
    <w:rsid w:val="00125B37"/>
    <w:rsid w:val="00187494"/>
    <w:rsid w:val="001F32AE"/>
    <w:rsid w:val="002767FF"/>
    <w:rsid w:val="002B18FE"/>
    <w:rsid w:val="002B5493"/>
    <w:rsid w:val="002C326C"/>
    <w:rsid w:val="00343214"/>
    <w:rsid w:val="00361C00"/>
    <w:rsid w:val="00395FA1"/>
    <w:rsid w:val="003D5EFA"/>
    <w:rsid w:val="003E15D4"/>
    <w:rsid w:val="00411CCE"/>
    <w:rsid w:val="0041666E"/>
    <w:rsid w:val="00421060"/>
    <w:rsid w:val="00471C19"/>
    <w:rsid w:val="00494A28"/>
    <w:rsid w:val="004C0004"/>
    <w:rsid w:val="004C5D52"/>
    <w:rsid w:val="0050519A"/>
    <w:rsid w:val="005072A1"/>
    <w:rsid w:val="00514517"/>
    <w:rsid w:val="00545827"/>
    <w:rsid w:val="00560270"/>
    <w:rsid w:val="005C2568"/>
    <w:rsid w:val="006037C0"/>
    <w:rsid w:val="006631B6"/>
    <w:rsid w:val="00680577"/>
    <w:rsid w:val="006D7ACF"/>
    <w:rsid w:val="006F74FA"/>
    <w:rsid w:val="00714563"/>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C2AC6"/>
    <w:rsid w:val="00930C23"/>
    <w:rsid w:val="0093193B"/>
    <w:rsid w:val="009509D8"/>
    <w:rsid w:val="00950B64"/>
    <w:rsid w:val="0096619D"/>
    <w:rsid w:val="00981893"/>
    <w:rsid w:val="00A1687D"/>
    <w:rsid w:val="00A43E52"/>
    <w:rsid w:val="00A4678D"/>
    <w:rsid w:val="00A778C7"/>
    <w:rsid w:val="00AB441E"/>
    <w:rsid w:val="00AB6293"/>
    <w:rsid w:val="00AE0928"/>
    <w:rsid w:val="00AF3B82"/>
    <w:rsid w:val="00AF53BD"/>
    <w:rsid w:val="00B12E95"/>
    <w:rsid w:val="00B22876"/>
    <w:rsid w:val="00B558F0"/>
    <w:rsid w:val="00BD48FE"/>
    <w:rsid w:val="00BD7BD8"/>
    <w:rsid w:val="00BE6ADC"/>
    <w:rsid w:val="00C05BFE"/>
    <w:rsid w:val="00C23CD4"/>
    <w:rsid w:val="00C61C0C"/>
    <w:rsid w:val="00C71DE1"/>
    <w:rsid w:val="00C941CB"/>
    <w:rsid w:val="00CC2357"/>
    <w:rsid w:val="00CF071A"/>
    <w:rsid w:val="00D058B8"/>
    <w:rsid w:val="00D56C11"/>
    <w:rsid w:val="00D834A0"/>
    <w:rsid w:val="00D872DF"/>
    <w:rsid w:val="00D91E21"/>
    <w:rsid w:val="00DA7FCD"/>
    <w:rsid w:val="00E365E1"/>
    <w:rsid w:val="00E820A4"/>
    <w:rsid w:val="00EB006A"/>
    <w:rsid w:val="00EB4772"/>
    <w:rsid w:val="00ED169E"/>
    <w:rsid w:val="00ED1EAA"/>
    <w:rsid w:val="00ED4235"/>
    <w:rsid w:val="00F04346"/>
    <w:rsid w:val="00F075DC"/>
    <w:rsid w:val="00F12F8F"/>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E53036-A405-4F41-BB2C-FFD5B3DD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sv-SE"/>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semiHidden/>
    <w:qFormat/>
    <w:pPr>
      <w:spacing w:before="240" w:after="60"/>
      <w:outlineLvl w:val="5"/>
    </w:pPr>
    <w:rPr>
      <w:i/>
      <w:sz w:val="22"/>
    </w:rPr>
  </w:style>
  <w:style w:type="paragraph" w:styleId="Heading7">
    <w:name w:val="heading 7"/>
    <w:basedOn w:val="Normal"/>
    <w:next w:val="Normal"/>
    <w:link w:val="Heading7Char"/>
    <w:semiHidden/>
    <w:qFormat/>
    <w:pPr>
      <w:spacing w:before="240" w:after="60"/>
      <w:outlineLvl w:val="6"/>
    </w:pPr>
    <w:rPr>
      <w:rFonts w:ascii="Arial" w:hAnsi="Arial"/>
    </w:rPr>
  </w:style>
  <w:style w:type="paragraph" w:styleId="Heading8">
    <w:name w:val="heading 8"/>
    <w:basedOn w:val="Normal"/>
    <w:next w:val="Normal"/>
    <w:link w:val="Heading8Char"/>
    <w:semiHidden/>
    <w:qFormat/>
    <w:pPr>
      <w:spacing w:before="240" w:after="60"/>
      <w:outlineLvl w:val="7"/>
    </w:pPr>
    <w:rPr>
      <w:rFonts w:ascii="Arial" w:hAnsi="Arial"/>
      <w:i/>
    </w:rPr>
  </w:style>
  <w:style w:type="paragraph" w:styleId="Heading9">
    <w:name w:val="heading 9"/>
    <w:basedOn w:val="Normal"/>
    <w:next w:val="Normal"/>
    <w:link w:val="Heading9Char"/>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semiHidden/>
    <w:rsid w:val="00395FA1"/>
    <w:rPr>
      <w:b w:val="0"/>
      <w:vertAlign w:val="superscript"/>
    </w:rPr>
  </w:style>
  <w:style w:type="paragraph" w:styleId="FootnoteText">
    <w:name w:val="footnote text"/>
    <w:basedOn w:val="Normal"/>
    <w:link w:val="FootnoteTextChar"/>
    <w:semiHidden/>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semiHidden/>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character" w:customStyle="1" w:styleId="Heading1Char">
    <w:name w:val="Heading 1 Char"/>
    <w:basedOn w:val="DefaultParagraphFont"/>
    <w:link w:val="Heading1"/>
    <w:rsid w:val="000F50B7"/>
    <w:rPr>
      <w:b/>
      <w:kern w:val="28"/>
      <w:sz w:val="28"/>
      <w:lang w:val="fr-FR" w:eastAsia="fr-FR"/>
    </w:rPr>
  </w:style>
  <w:style w:type="character" w:customStyle="1" w:styleId="Heading2Char">
    <w:name w:val="Heading 2 Char"/>
    <w:basedOn w:val="DefaultParagraphFont"/>
    <w:link w:val="Heading2"/>
    <w:semiHidden/>
    <w:rsid w:val="000F50B7"/>
    <w:rPr>
      <w:sz w:val="24"/>
      <w:lang w:val="fr-FR" w:eastAsia="fr-FR"/>
    </w:rPr>
  </w:style>
  <w:style w:type="character" w:customStyle="1" w:styleId="Heading3Char">
    <w:name w:val="Heading 3 Char"/>
    <w:basedOn w:val="DefaultParagraphFont"/>
    <w:link w:val="Heading3"/>
    <w:semiHidden/>
    <w:rsid w:val="000F50B7"/>
    <w:rPr>
      <w:rFonts w:ascii="Arial" w:hAnsi="Arial"/>
      <w:sz w:val="24"/>
      <w:lang w:val="fr-FR" w:eastAsia="fr-FR"/>
    </w:rPr>
  </w:style>
  <w:style w:type="character" w:customStyle="1" w:styleId="Heading4Char">
    <w:name w:val="Heading 4 Char"/>
    <w:basedOn w:val="DefaultParagraphFont"/>
    <w:link w:val="Heading4"/>
    <w:semiHidden/>
    <w:rsid w:val="000F50B7"/>
    <w:rPr>
      <w:sz w:val="24"/>
      <w:lang w:val="en-US" w:eastAsia="fr-FR"/>
    </w:rPr>
  </w:style>
  <w:style w:type="character" w:customStyle="1" w:styleId="Heading5Char">
    <w:name w:val="Heading 5 Char"/>
    <w:basedOn w:val="DefaultParagraphFont"/>
    <w:link w:val="Heading5"/>
    <w:semiHidden/>
    <w:rsid w:val="000F50B7"/>
    <w:rPr>
      <w:sz w:val="24"/>
      <w:lang w:val="en-US" w:eastAsia="fr-FR"/>
    </w:rPr>
  </w:style>
  <w:style w:type="character" w:customStyle="1" w:styleId="Heading6Char">
    <w:name w:val="Heading 6 Char"/>
    <w:basedOn w:val="DefaultParagraphFont"/>
    <w:link w:val="Heading6"/>
    <w:semiHidden/>
    <w:rsid w:val="000F50B7"/>
    <w:rPr>
      <w:i/>
      <w:sz w:val="22"/>
      <w:lang w:val="sv-SE"/>
    </w:rPr>
  </w:style>
  <w:style w:type="character" w:customStyle="1" w:styleId="Heading7Char">
    <w:name w:val="Heading 7 Char"/>
    <w:basedOn w:val="DefaultParagraphFont"/>
    <w:link w:val="Heading7"/>
    <w:semiHidden/>
    <w:rsid w:val="000F50B7"/>
    <w:rPr>
      <w:rFonts w:ascii="Arial" w:hAnsi="Arial"/>
      <w:sz w:val="24"/>
      <w:lang w:val="sv-SE"/>
    </w:rPr>
  </w:style>
  <w:style w:type="character" w:customStyle="1" w:styleId="Heading8Char">
    <w:name w:val="Heading 8 Char"/>
    <w:basedOn w:val="DefaultParagraphFont"/>
    <w:link w:val="Heading8"/>
    <w:semiHidden/>
    <w:rsid w:val="000F50B7"/>
    <w:rPr>
      <w:rFonts w:ascii="Arial" w:hAnsi="Arial"/>
      <w:i/>
      <w:sz w:val="24"/>
      <w:lang w:val="sv-SE"/>
    </w:rPr>
  </w:style>
  <w:style w:type="character" w:customStyle="1" w:styleId="Heading9Char">
    <w:name w:val="Heading 9 Char"/>
    <w:basedOn w:val="DefaultParagraphFont"/>
    <w:link w:val="Heading9"/>
    <w:semiHidden/>
    <w:rsid w:val="000F50B7"/>
    <w:rPr>
      <w:rFonts w:ascii="Arial" w:hAnsi="Arial"/>
      <w:b/>
      <w:i/>
      <w:sz w:val="18"/>
      <w:lang w:val="sv-SE"/>
    </w:rPr>
  </w:style>
  <w:style w:type="paragraph" w:styleId="TOCHeading">
    <w:name w:val="TOC Heading"/>
    <w:basedOn w:val="Normal"/>
    <w:next w:val="Normal"/>
    <w:unhideWhenUsed/>
    <w:qFormat/>
    <w:rsid w:val="000F50B7"/>
    <w:pPr>
      <w:widowControl/>
      <w:spacing w:after="240"/>
    </w:pPr>
    <w:rPr>
      <w:lang w:val="en-GB"/>
    </w:rPr>
  </w:style>
  <w:style w:type="paragraph" w:customStyle="1" w:styleId="EPFooter2">
    <w:name w:val="EPFooter2"/>
    <w:basedOn w:val="Normal"/>
    <w:next w:val="Normal"/>
    <w:rsid w:val="000F50B7"/>
    <w:pPr>
      <w:widowControl/>
      <w:tabs>
        <w:tab w:val="center" w:pos="4535"/>
        <w:tab w:val="right" w:pos="9921"/>
      </w:tabs>
      <w:ind w:left="-850" w:right="-850"/>
    </w:pPr>
    <w:rPr>
      <w:rFonts w:ascii="Arial" w:hAnsi="Arial" w:cs="Arial"/>
      <w:b/>
      <w:sz w:val="48"/>
    </w:rPr>
  </w:style>
  <w:style w:type="paragraph" w:customStyle="1" w:styleId="TOCPage">
    <w:name w:val="TOC Page"/>
    <w:basedOn w:val="Normal"/>
    <w:next w:val="TOC1"/>
    <w:rsid w:val="000F50B7"/>
    <w:pPr>
      <w:keepNext/>
      <w:spacing w:after="240"/>
      <w:jc w:val="right"/>
    </w:pPr>
    <w:rPr>
      <w:rFonts w:ascii="Arial" w:hAnsi="Arial"/>
      <w:b/>
    </w:rPr>
  </w:style>
  <w:style w:type="paragraph" w:customStyle="1" w:styleId="Normal6a">
    <w:name w:val="Normal6a"/>
    <w:basedOn w:val="Normal"/>
    <w:rsid w:val="000F50B7"/>
    <w:pPr>
      <w:spacing w:after="120"/>
    </w:pPr>
  </w:style>
  <w:style w:type="paragraph" w:customStyle="1" w:styleId="PageHeading">
    <w:name w:val="PageHeading"/>
    <w:basedOn w:val="Normal"/>
    <w:rsid w:val="000F50B7"/>
    <w:pPr>
      <w:keepNext/>
      <w:spacing w:after="480"/>
      <w:jc w:val="center"/>
    </w:pPr>
    <w:rPr>
      <w:rFonts w:ascii="Arial" w:hAnsi="Arial" w:cs="Arial"/>
      <w:b/>
    </w:rPr>
  </w:style>
  <w:style w:type="paragraph" w:customStyle="1" w:styleId="NormalBold">
    <w:name w:val="NormalBold"/>
    <w:basedOn w:val="Normal"/>
    <w:link w:val="NormalBoldChar"/>
    <w:rsid w:val="000F50B7"/>
    <w:rPr>
      <w:b/>
    </w:rPr>
  </w:style>
  <w:style w:type="paragraph" w:customStyle="1" w:styleId="AmJustText">
    <w:name w:val="AmJustText"/>
    <w:basedOn w:val="Normal"/>
    <w:rsid w:val="000F50B7"/>
    <w:pPr>
      <w:spacing w:after="240"/>
    </w:pPr>
    <w:rPr>
      <w:i/>
    </w:rPr>
  </w:style>
  <w:style w:type="paragraph" w:customStyle="1" w:styleId="NormalHanging12a">
    <w:name w:val="NormalHanging12a"/>
    <w:basedOn w:val="Normal"/>
    <w:rsid w:val="000F50B7"/>
    <w:pPr>
      <w:spacing w:after="240"/>
      <w:ind w:left="567" w:hanging="567"/>
    </w:pPr>
  </w:style>
  <w:style w:type="paragraph" w:customStyle="1" w:styleId="CoverNormal24a">
    <w:name w:val="CoverNormal24a"/>
    <w:basedOn w:val="Normal"/>
    <w:rsid w:val="000F50B7"/>
    <w:pPr>
      <w:spacing w:after="480"/>
      <w:ind w:left="1417"/>
    </w:pPr>
  </w:style>
  <w:style w:type="paragraph" w:customStyle="1" w:styleId="CoverNormal">
    <w:name w:val="CoverNormal"/>
    <w:basedOn w:val="Normal"/>
    <w:rsid w:val="000F50B7"/>
    <w:pPr>
      <w:ind w:left="1418"/>
    </w:pPr>
  </w:style>
  <w:style w:type="paragraph" w:customStyle="1" w:styleId="AmCrossRef">
    <w:name w:val="AmCrossRef"/>
    <w:basedOn w:val="Normal"/>
    <w:rsid w:val="000F50B7"/>
    <w:pPr>
      <w:spacing w:before="240" w:after="240"/>
      <w:jc w:val="center"/>
    </w:pPr>
    <w:rPr>
      <w:i/>
    </w:rPr>
  </w:style>
  <w:style w:type="paragraph" w:customStyle="1" w:styleId="AmJustTitle">
    <w:name w:val="AmJustTitle"/>
    <w:basedOn w:val="Normal"/>
    <w:next w:val="AmJustText"/>
    <w:rsid w:val="000F50B7"/>
    <w:pPr>
      <w:keepNext/>
      <w:spacing w:before="240" w:after="240"/>
      <w:jc w:val="center"/>
    </w:pPr>
    <w:rPr>
      <w:i/>
    </w:rPr>
  </w:style>
  <w:style w:type="paragraph" w:customStyle="1" w:styleId="CoverReference">
    <w:name w:val="CoverReference"/>
    <w:basedOn w:val="Normal"/>
    <w:rsid w:val="000F50B7"/>
    <w:pPr>
      <w:spacing w:before="1080"/>
      <w:jc w:val="right"/>
    </w:pPr>
    <w:rPr>
      <w:rFonts w:ascii="Arial" w:hAnsi="Arial" w:cs="Arial"/>
      <w:b/>
    </w:rPr>
  </w:style>
  <w:style w:type="paragraph" w:customStyle="1" w:styleId="CoverDocType">
    <w:name w:val="CoverDocType"/>
    <w:basedOn w:val="Normal"/>
    <w:rsid w:val="000F50B7"/>
    <w:pPr>
      <w:ind w:left="1418"/>
    </w:pPr>
    <w:rPr>
      <w:rFonts w:ascii="Arial" w:hAnsi="Arial"/>
      <w:b/>
      <w:sz w:val="48"/>
    </w:rPr>
  </w:style>
  <w:style w:type="paragraph" w:customStyle="1" w:styleId="CoverDocType24a">
    <w:name w:val="CoverDocType24a"/>
    <w:basedOn w:val="Normal"/>
    <w:rsid w:val="000F50B7"/>
    <w:pPr>
      <w:spacing w:after="480"/>
      <w:ind w:left="1418"/>
    </w:pPr>
    <w:rPr>
      <w:rFonts w:ascii="Arial" w:hAnsi="Arial"/>
      <w:b/>
      <w:sz w:val="48"/>
    </w:rPr>
  </w:style>
  <w:style w:type="paragraph" w:customStyle="1" w:styleId="CoverDate">
    <w:name w:val="CoverDate"/>
    <w:basedOn w:val="Normal"/>
    <w:rsid w:val="000F50B7"/>
    <w:pPr>
      <w:spacing w:before="240" w:after="1200"/>
    </w:pPr>
  </w:style>
  <w:style w:type="paragraph" w:styleId="Header">
    <w:name w:val="header"/>
    <w:basedOn w:val="Normal"/>
    <w:link w:val="HeaderChar"/>
    <w:rsid w:val="000F50B7"/>
    <w:pPr>
      <w:tabs>
        <w:tab w:val="center" w:pos="4513"/>
        <w:tab w:val="right" w:pos="9026"/>
      </w:tabs>
    </w:pPr>
  </w:style>
  <w:style w:type="character" w:customStyle="1" w:styleId="HeaderChar">
    <w:name w:val="Header Char"/>
    <w:basedOn w:val="DefaultParagraphFont"/>
    <w:link w:val="Header"/>
    <w:rsid w:val="000F50B7"/>
    <w:rPr>
      <w:sz w:val="24"/>
      <w:lang w:val="sv-SE"/>
    </w:rPr>
  </w:style>
  <w:style w:type="paragraph" w:customStyle="1" w:styleId="AmOrLang">
    <w:name w:val="AmOrLang"/>
    <w:basedOn w:val="Normal"/>
    <w:rsid w:val="000F50B7"/>
    <w:pPr>
      <w:spacing w:before="240" w:after="240"/>
      <w:jc w:val="right"/>
    </w:pPr>
  </w:style>
  <w:style w:type="paragraph" w:customStyle="1" w:styleId="AmColumnHeading">
    <w:name w:val="AmColumnHeading"/>
    <w:basedOn w:val="Normal"/>
    <w:rsid w:val="000F50B7"/>
    <w:pPr>
      <w:spacing w:after="240"/>
      <w:jc w:val="center"/>
    </w:pPr>
    <w:rPr>
      <w:i/>
    </w:rPr>
  </w:style>
  <w:style w:type="paragraph" w:customStyle="1" w:styleId="AmNumberTabs">
    <w:name w:val="AmNumberTabs"/>
    <w:basedOn w:val="Normal"/>
    <w:rsid w:val="000F50B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a">
    <w:name w:val="NormalBold12a"/>
    <w:basedOn w:val="Normal"/>
    <w:rsid w:val="000F50B7"/>
    <w:pPr>
      <w:spacing w:after="240"/>
    </w:pPr>
    <w:rPr>
      <w:b/>
    </w:rPr>
  </w:style>
  <w:style w:type="paragraph" w:customStyle="1" w:styleId="EPBody">
    <w:name w:val="EPBody"/>
    <w:basedOn w:val="Normal"/>
    <w:rsid w:val="000F50B7"/>
    <w:pPr>
      <w:jc w:val="center"/>
    </w:pPr>
    <w:rPr>
      <w:rFonts w:ascii="Arial" w:hAnsi="Arial" w:cs="Arial"/>
      <w:i/>
      <w:sz w:val="22"/>
      <w:szCs w:val="22"/>
    </w:rPr>
  </w:style>
  <w:style w:type="paragraph" w:customStyle="1" w:styleId="EPFooter">
    <w:name w:val="EPFooter"/>
    <w:basedOn w:val="Normal"/>
    <w:rsid w:val="000F50B7"/>
    <w:pPr>
      <w:tabs>
        <w:tab w:val="center" w:pos="4535"/>
        <w:tab w:val="right" w:pos="9071"/>
      </w:tabs>
      <w:spacing w:before="240" w:after="240"/>
    </w:pPr>
    <w:rPr>
      <w:color w:val="010000"/>
      <w:sz w:val="22"/>
    </w:rPr>
  </w:style>
  <w:style w:type="paragraph" w:customStyle="1" w:styleId="EPComma">
    <w:name w:val="EPComma"/>
    <w:basedOn w:val="Normal"/>
    <w:rsid w:val="000F50B7"/>
    <w:pPr>
      <w:spacing w:before="480" w:after="240"/>
    </w:pPr>
  </w:style>
  <w:style w:type="paragraph" w:customStyle="1" w:styleId="Lgendesigne">
    <w:name w:val="Légende signe"/>
    <w:basedOn w:val="Normal"/>
    <w:rsid w:val="000F50B7"/>
    <w:pPr>
      <w:tabs>
        <w:tab w:val="right" w:pos="454"/>
        <w:tab w:val="left" w:pos="737"/>
      </w:tabs>
      <w:ind w:left="737" w:hanging="737"/>
    </w:pPr>
    <w:rPr>
      <w:snapToGrid w:val="0"/>
      <w:sz w:val="18"/>
      <w:lang w:eastAsia="en-US"/>
    </w:rPr>
  </w:style>
  <w:style w:type="paragraph" w:customStyle="1" w:styleId="Lgendetitre">
    <w:name w:val="Légende titre"/>
    <w:basedOn w:val="Normal"/>
    <w:rsid w:val="000F50B7"/>
    <w:pPr>
      <w:spacing w:before="240" w:after="240"/>
    </w:pPr>
    <w:rPr>
      <w:b/>
      <w:i/>
      <w:snapToGrid w:val="0"/>
      <w:lang w:eastAsia="en-US"/>
    </w:rPr>
  </w:style>
  <w:style w:type="paragraph" w:customStyle="1" w:styleId="Lgendestandard">
    <w:name w:val="Légende standard"/>
    <w:basedOn w:val="Normal"/>
    <w:rsid w:val="000F50B7"/>
    <w:rPr>
      <w:sz w:val="18"/>
    </w:rPr>
  </w:style>
  <w:style w:type="paragraph" w:customStyle="1" w:styleId="msonormal0">
    <w:name w:val="msonormal"/>
    <w:basedOn w:val="Normal"/>
    <w:rsid w:val="000F50B7"/>
    <w:pPr>
      <w:widowControl/>
      <w:spacing w:before="100" w:beforeAutospacing="1" w:after="100" w:afterAutospacing="1"/>
    </w:pPr>
    <w:rPr>
      <w:szCs w:val="24"/>
    </w:rPr>
  </w:style>
  <w:style w:type="paragraph" w:styleId="Footer">
    <w:name w:val="footer"/>
    <w:link w:val="FooterChar"/>
    <w:unhideWhenUsed/>
    <w:rsid w:val="000F50B7"/>
    <w:pPr>
      <w:tabs>
        <w:tab w:val="center" w:pos="4536"/>
        <w:tab w:val="right" w:pos="9072"/>
      </w:tabs>
      <w:spacing w:before="240" w:after="240" w:line="220" w:lineRule="auto"/>
    </w:pPr>
    <w:rPr>
      <w:sz w:val="22"/>
      <w:lang w:val="sv-SE"/>
    </w:rPr>
  </w:style>
  <w:style w:type="character" w:customStyle="1" w:styleId="FooterChar">
    <w:name w:val="Footer Char"/>
    <w:basedOn w:val="DefaultParagraphFont"/>
    <w:link w:val="Footer"/>
    <w:rsid w:val="000F50B7"/>
    <w:rPr>
      <w:sz w:val="22"/>
      <w:lang w:val="sv-SE"/>
    </w:rPr>
  </w:style>
  <w:style w:type="character" w:customStyle="1" w:styleId="Normal12Char">
    <w:name w:val="Normal12 Char"/>
    <w:basedOn w:val="DefaultParagraphFont"/>
    <w:link w:val="Normal12"/>
    <w:locked/>
    <w:rsid w:val="000F50B7"/>
    <w:rPr>
      <w:noProof/>
      <w:sz w:val="24"/>
    </w:rPr>
  </w:style>
  <w:style w:type="paragraph" w:customStyle="1" w:styleId="Normal12">
    <w:name w:val="Normal12"/>
    <w:basedOn w:val="Normal"/>
    <w:link w:val="Normal12Char"/>
    <w:rsid w:val="000F50B7"/>
    <w:pPr>
      <w:spacing w:after="240"/>
    </w:pPr>
    <w:rPr>
      <w:noProof/>
      <w:lang w:val="en-GB"/>
    </w:rPr>
  </w:style>
  <w:style w:type="paragraph" w:customStyle="1" w:styleId="CommitteeAM">
    <w:name w:val="CommitteeAM"/>
    <w:basedOn w:val="Normal"/>
    <w:rsid w:val="000F50B7"/>
    <w:pPr>
      <w:spacing w:before="240" w:after="600"/>
      <w:jc w:val="center"/>
    </w:pPr>
    <w:rPr>
      <w:i/>
    </w:rPr>
  </w:style>
  <w:style w:type="paragraph" w:customStyle="1" w:styleId="ZDateAM">
    <w:name w:val="ZDateAM"/>
    <w:basedOn w:val="Normal"/>
    <w:rsid w:val="000F50B7"/>
    <w:pPr>
      <w:tabs>
        <w:tab w:val="right" w:pos="9356"/>
      </w:tabs>
      <w:spacing w:after="480"/>
    </w:pPr>
    <w:rPr>
      <w:noProof/>
    </w:rPr>
  </w:style>
  <w:style w:type="paragraph" w:customStyle="1" w:styleId="ProjRap">
    <w:name w:val="ProjRap"/>
    <w:basedOn w:val="Normal"/>
    <w:rsid w:val="000F50B7"/>
    <w:pPr>
      <w:tabs>
        <w:tab w:val="right" w:pos="9356"/>
      </w:tabs>
    </w:pPr>
    <w:rPr>
      <w:b/>
      <w:noProof/>
    </w:rPr>
  </w:style>
  <w:style w:type="paragraph" w:customStyle="1" w:styleId="PELeft">
    <w:name w:val="PELeft"/>
    <w:basedOn w:val="Normal"/>
    <w:rsid w:val="000F50B7"/>
    <w:pPr>
      <w:spacing w:before="40" w:after="40"/>
    </w:pPr>
    <w:rPr>
      <w:rFonts w:ascii="Arial" w:hAnsi="Arial" w:cs="Arial"/>
      <w:sz w:val="22"/>
      <w:szCs w:val="22"/>
    </w:rPr>
  </w:style>
  <w:style w:type="paragraph" w:customStyle="1" w:styleId="PERight">
    <w:name w:val="PERight"/>
    <w:basedOn w:val="Normal"/>
    <w:next w:val="Normal"/>
    <w:rsid w:val="000F50B7"/>
    <w:pPr>
      <w:jc w:val="right"/>
    </w:pPr>
    <w:rPr>
      <w:rFonts w:ascii="Arial" w:hAnsi="Arial" w:cs="Arial"/>
      <w:sz w:val="22"/>
      <w:szCs w:val="22"/>
    </w:rPr>
  </w:style>
  <w:style w:type="character" w:customStyle="1" w:styleId="Normal6Char">
    <w:name w:val="Normal6 Char"/>
    <w:basedOn w:val="DefaultParagraphFont"/>
    <w:link w:val="Normal6"/>
    <w:locked/>
    <w:rsid w:val="000F50B7"/>
    <w:rPr>
      <w:sz w:val="24"/>
      <w:lang w:val="sv-SE"/>
    </w:rPr>
  </w:style>
  <w:style w:type="paragraph" w:customStyle="1" w:styleId="Normal6">
    <w:name w:val="Normal6"/>
    <w:basedOn w:val="Normal"/>
    <w:link w:val="Normal6Char"/>
    <w:rsid w:val="000F50B7"/>
    <w:pPr>
      <w:spacing w:after="120"/>
    </w:pPr>
  </w:style>
  <w:style w:type="character" w:customStyle="1" w:styleId="NormalBoldChar">
    <w:name w:val="NormalBold Char"/>
    <w:basedOn w:val="DefaultParagraphFont"/>
    <w:link w:val="NormalBold"/>
    <w:locked/>
    <w:rsid w:val="000F50B7"/>
    <w:rPr>
      <w:b/>
      <w:sz w:val="24"/>
      <w:lang w:val="sv-SE"/>
    </w:rPr>
  </w:style>
  <w:style w:type="paragraph" w:customStyle="1" w:styleId="Normal12Italic">
    <w:name w:val="Normal12Italic"/>
    <w:basedOn w:val="Normal12"/>
    <w:rsid w:val="000F50B7"/>
    <w:rPr>
      <w:i/>
    </w:rPr>
  </w:style>
  <w:style w:type="paragraph" w:customStyle="1" w:styleId="JustificationTitle">
    <w:name w:val="JustificationTitle"/>
    <w:basedOn w:val="Normal"/>
    <w:next w:val="Normal12"/>
    <w:rsid w:val="000F50B7"/>
    <w:pPr>
      <w:keepNext/>
      <w:spacing w:before="240" w:after="240"/>
      <w:jc w:val="center"/>
    </w:pPr>
    <w:rPr>
      <w:i/>
      <w:noProof/>
    </w:rPr>
  </w:style>
  <w:style w:type="paragraph" w:customStyle="1" w:styleId="Olang">
    <w:name w:val="Olang"/>
    <w:basedOn w:val="Normal"/>
    <w:rsid w:val="000F50B7"/>
    <w:pPr>
      <w:spacing w:before="240" w:after="240"/>
      <w:jc w:val="right"/>
    </w:pPr>
    <w:rPr>
      <w:noProof/>
      <w:szCs w:val="24"/>
    </w:rPr>
  </w:style>
  <w:style w:type="paragraph" w:customStyle="1" w:styleId="ColumnHeading">
    <w:name w:val="ColumnHeading"/>
    <w:basedOn w:val="Normal"/>
    <w:rsid w:val="000F50B7"/>
    <w:pPr>
      <w:spacing w:after="240"/>
      <w:jc w:val="center"/>
    </w:pPr>
    <w:rPr>
      <w:i/>
    </w:rPr>
  </w:style>
  <w:style w:type="paragraph" w:customStyle="1" w:styleId="AMNumberTabs0">
    <w:name w:val="AMNumberTabs"/>
    <w:basedOn w:val="Normal"/>
    <w:rsid w:val="000F50B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0F50B7"/>
    <w:pPr>
      <w:spacing w:before="240"/>
    </w:pPr>
    <w:rPr>
      <w:b/>
    </w:rPr>
  </w:style>
  <w:style w:type="paragraph" w:customStyle="1" w:styleId="CrossRef">
    <w:name w:val="CrossRef"/>
    <w:basedOn w:val="Normal"/>
    <w:rsid w:val="000F50B7"/>
    <w:pPr>
      <w:spacing w:before="240"/>
      <w:jc w:val="center"/>
    </w:pPr>
    <w:rPr>
      <w:i/>
    </w:rPr>
  </w:style>
  <w:style w:type="paragraph" w:customStyle="1" w:styleId="Footer2">
    <w:name w:val="Footer2"/>
    <w:basedOn w:val="Normal12"/>
    <w:rsid w:val="000F50B7"/>
    <w:pPr>
      <w:tabs>
        <w:tab w:val="center" w:pos="4535"/>
        <w:tab w:val="right" w:pos="9923"/>
      </w:tabs>
      <w:spacing w:line="480" w:lineRule="auto"/>
      <w:ind w:left="-851"/>
    </w:pPr>
    <w:rPr>
      <w:rFonts w:ascii="Arial" w:cs="Arial"/>
      <w:b/>
      <w:sz w:val="48"/>
    </w:rPr>
  </w:style>
  <w:style w:type="character" w:customStyle="1" w:styleId="Footer2Middle">
    <w:name w:val="Footer2Middle"/>
    <w:rsid w:val="000F50B7"/>
    <w:rPr>
      <w:rFonts w:ascii="Arial" w:hAnsi="Arial" w:cs="Arial" w:hint="default"/>
      <w:b w:val="0"/>
      <w:bCs w:val="0"/>
      <w:i/>
      <w:iCs w:val="0"/>
      <w:color w:val="C0C0C0"/>
      <w:sz w:val="22"/>
    </w:rPr>
  </w:style>
  <w:style w:type="paragraph" w:customStyle="1" w:styleId="EntPE">
    <w:name w:val="EntPE"/>
    <w:basedOn w:val="Normal12"/>
    <w:rsid w:val="000F50B7"/>
    <w:pPr>
      <w:jc w:val="center"/>
    </w:pPr>
    <w:rPr>
      <w:noProof w:val="0"/>
      <w:sz w:val="56"/>
    </w:rPr>
  </w:style>
  <w:style w:type="paragraph" w:styleId="BalloonText">
    <w:name w:val="Balloon Text"/>
    <w:basedOn w:val="Normal"/>
    <w:link w:val="BalloonTextChar"/>
    <w:rsid w:val="000F50B7"/>
    <w:rPr>
      <w:rFonts w:ascii="Segoe UI" w:hAnsi="Segoe UI" w:cs="Segoe UI"/>
      <w:sz w:val="18"/>
      <w:szCs w:val="18"/>
    </w:rPr>
  </w:style>
  <w:style w:type="character" w:customStyle="1" w:styleId="BalloonTextChar">
    <w:name w:val="Balloon Text Char"/>
    <w:basedOn w:val="DefaultParagraphFont"/>
    <w:link w:val="BalloonText"/>
    <w:rsid w:val="000F50B7"/>
    <w:rPr>
      <w:rFonts w:ascii="Segoe UI" w:hAnsi="Segoe UI" w:cs="Segoe UI"/>
      <w:sz w:val="18"/>
      <w:szCs w:val="18"/>
      <w:lang w:val="sv-SE"/>
    </w:rPr>
  </w:style>
  <w:style w:type="character" w:styleId="CommentReference">
    <w:name w:val="annotation reference"/>
    <w:basedOn w:val="DefaultParagraphFont"/>
    <w:rsid w:val="000F50B7"/>
    <w:rPr>
      <w:sz w:val="16"/>
      <w:szCs w:val="16"/>
    </w:rPr>
  </w:style>
  <w:style w:type="paragraph" w:styleId="CommentText">
    <w:name w:val="annotation text"/>
    <w:basedOn w:val="Normal"/>
    <w:link w:val="CommentTextChar"/>
    <w:rsid w:val="000F50B7"/>
    <w:rPr>
      <w:sz w:val="20"/>
    </w:rPr>
  </w:style>
  <w:style w:type="character" w:customStyle="1" w:styleId="CommentTextChar">
    <w:name w:val="Comment Text Char"/>
    <w:basedOn w:val="DefaultParagraphFont"/>
    <w:link w:val="CommentText"/>
    <w:rsid w:val="000F50B7"/>
    <w:rPr>
      <w:lang w:val="sv-SE"/>
    </w:rPr>
  </w:style>
  <w:style w:type="paragraph" w:styleId="CommentSubject">
    <w:name w:val="annotation subject"/>
    <w:basedOn w:val="CommentText"/>
    <w:next w:val="CommentText"/>
    <w:link w:val="CommentSubjectChar"/>
    <w:rsid w:val="000F50B7"/>
    <w:rPr>
      <w:b/>
      <w:bCs/>
    </w:rPr>
  </w:style>
  <w:style w:type="character" w:customStyle="1" w:styleId="CommentSubjectChar">
    <w:name w:val="Comment Subject Char"/>
    <w:basedOn w:val="CommentTextChar"/>
    <w:link w:val="CommentSubject"/>
    <w:rsid w:val="000F50B7"/>
    <w:rPr>
      <w:b/>
      <w:bCs/>
      <w:lang w:val="sv-SE"/>
    </w:rPr>
  </w:style>
  <w:style w:type="paragraph" w:customStyle="1" w:styleId="Normal12a">
    <w:name w:val="Normal12a"/>
    <w:basedOn w:val="Normal"/>
    <w:rsid w:val="000F50B7"/>
    <w:pPr>
      <w:spacing w:after="240"/>
    </w:pPr>
  </w:style>
  <w:style w:type="paragraph" w:customStyle="1" w:styleId="RollCallVotes">
    <w:name w:val="RollCallVotes"/>
    <w:basedOn w:val="Normal"/>
    <w:rsid w:val="000F50B7"/>
    <w:pPr>
      <w:spacing w:before="120" w:after="120"/>
      <w:jc w:val="center"/>
    </w:pPr>
    <w:rPr>
      <w:b/>
      <w:bCs/>
      <w:snapToGrid w:val="0"/>
      <w:sz w:val="16"/>
      <w:lang w:eastAsia="en-US"/>
    </w:rPr>
  </w:style>
  <w:style w:type="paragraph" w:customStyle="1" w:styleId="RollCallTabs">
    <w:name w:val="RollCallTabs"/>
    <w:basedOn w:val="Normal"/>
    <w:qFormat/>
    <w:rsid w:val="000F50B7"/>
    <w:pPr>
      <w:tabs>
        <w:tab w:val="center" w:pos="284"/>
        <w:tab w:val="left" w:pos="426"/>
      </w:tabs>
    </w:pPr>
    <w:rPr>
      <w:snapToGrid w:val="0"/>
      <w:lang w:eastAsia="en-US"/>
    </w:rPr>
  </w:style>
  <w:style w:type="paragraph" w:customStyle="1" w:styleId="RollCallSymbols14pt">
    <w:name w:val="RollCallSymbols14pt"/>
    <w:basedOn w:val="Normal"/>
    <w:rsid w:val="000F50B7"/>
    <w:pPr>
      <w:spacing w:before="120" w:after="120"/>
      <w:jc w:val="center"/>
    </w:pPr>
    <w:rPr>
      <w:rFonts w:ascii="Arial" w:hAnsi="Arial"/>
      <w:b/>
      <w:bCs/>
      <w:snapToGrid w:val="0"/>
      <w:sz w:val="28"/>
      <w:lang w:eastAsia="en-US"/>
    </w:rPr>
  </w:style>
  <w:style w:type="paragraph" w:customStyle="1" w:styleId="RollCallTable">
    <w:name w:val="RollCallTable"/>
    <w:basedOn w:val="Normal"/>
    <w:rsid w:val="000F50B7"/>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9441</Words>
  <Characters>63785</Characters>
  <Application>Microsoft Office Word</Application>
  <DocSecurity>0</DocSecurity>
  <Lines>2199</Lines>
  <Paragraphs>334</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72892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GUSTAFSSON Lisbeth</cp:lastModifiedBy>
  <cp:revision>2</cp:revision>
  <cp:lastPrinted>2004-11-19T15:42:00Z</cp:lastPrinted>
  <dcterms:created xsi:type="dcterms:W3CDTF">2020-07-07T13:23:00Z</dcterms:created>
  <dcterms:modified xsi:type="dcterms:W3CDTF">2020-07-07T13:23:00Z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A9-0124(2020)_001-036</vt:lpwstr>
  </property>
  <property fmtid="{D5CDD505-2E9C-101B-9397-08002B2CF9AE}" pid="4" name="&lt;Type&gt;">
    <vt:lpwstr>AM</vt:lpwstr>
  </property>
</Properties>
</file>