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4" w:rsidRPr="008B482A" w:rsidRDefault="0012128A">
      <w:pPr>
        <w:pStyle w:val="AmDateTab"/>
      </w:pPr>
      <w:r>
        <w:rPr>
          <w:rStyle w:val="HideTWBExt"/>
          <w:noProof w:val="0"/>
        </w:rPr>
        <w:t>&lt;RepeatBlock-Amend&gt;&lt;Amend&gt;&lt;Date&gt;</w:t>
      </w:r>
      <w:r>
        <w:rPr>
          <w:rStyle w:val="HideTWBInt"/>
          <w:color w:val="auto"/>
        </w:rPr>
        <w:t>{09/09/2020}</w:t>
      </w:r>
      <w:r>
        <w:t>9.9.2020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A9-0148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88</w:t>
      </w:r>
      <w:r>
        <w:rPr>
          <w:rStyle w:val="HideTWBExt"/>
          <w:noProof w:val="0"/>
        </w:rPr>
        <w:t>&lt;/NumAm&gt;</w:t>
      </w:r>
    </w:p>
    <w:p w:rsidR="005516E4" w:rsidRPr="008B482A" w:rsidRDefault="0012128A">
      <w:pPr>
        <w:pStyle w:val="AmNumberTabs"/>
      </w:pPr>
      <w:r>
        <w:t>Pakeitimas</w:t>
      </w:r>
      <w:r>
        <w:tab/>
      </w:r>
      <w:r>
        <w:tab/>
      </w:r>
      <w:r>
        <w:rPr>
          <w:rStyle w:val="HideTWBExt"/>
          <w:noProof w:val="0"/>
        </w:rPr>
        <w:t>&lt;NumAm&gt;</w:t>
      </w:r>
      <w:r>
        <w:t>88</w:t>
      </w:r>
      <w:r>
        <w:rPr>
          <w:rStyle w:val="HideTWBExt"/>
          <w:noProof w:val="0"/>
        </w:rPr>
        <w:t>&lt;/NumAm&gt;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&lt;RepeatBlock-By&gt;&lt;Members&gt;</w:t>
      </w:r>
      <w:proofErr w:type="spellStart"/>
      <w:r>
        <w:t>Nuno</w:t>
      </w:r>
      <w:proofErr w:type="spellEnd"/>
      <w:r>
        <w:t xml:space="preserve"> Melo,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Liese</w:t>
      </w:r>
      <w:proofErr w:type="spellEnd"/>
      <w:r>
        <w:rPr>
          <w:rStyle w:val="HideTWBExt"/>
          <w:noProof w:val="0"/>
        </w:rPr>
        <w:t>&lt;/Members&gt;</w:t>
      </w:r>
    </w:p>
    <w:p w:rsidR="005516E4" w:rsidRPr="008B482A" w:rsidRDefault="0012128A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{EPP}</w:t>
      </w:r>
      <w:r>
        <w:t>PPE frakcijos vardu</w:t>
      </w:r>
      <w:r>
        <w:rPr>
          <w:rStyle w:val="HideTWBExt"/>
          <w:noProof w:val="0"/>
        </w:rPr>
        <w:t>&lt;/AuNomDe&gt;</w:t>
      </w:r>
    </w:p>
    <w:p w:rsidR="005516E4" w:rsidRPr="008B482A" w:rsidRDefault="0012128A">
      <w:r>
        <w:rPr>
          <w:rStyle w:val="HideTWBExt"/>
          <w:noProof w:val="0"/>
        </w:rPr>
        <w:t>&lt;/RepeatBlock-By&gt;</w:t>
      </w:r>
    </w:p>
    <w:p w:rsidR="005516E4" w:rsidRPr="008B482A" w:rsidRDefault="0012128A">
      <w:pPr>
        <w:pStyle w:val="AmDocTypeTab"/>
      </w:pP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TitreType&gt;</w:t>
      </w:r>
      <w:r>
        <w:t>Pranešimas</w:t>
      </w:r>
      <w:r>
        <w:rPr>
          <w:rStyle w:val="HideTWBExt"/>
          <w:noProof w:val="0"/>
        </w:rPr>
        <w:t>&lt;/TitreType&gt;</w:t>
      </w:r>
      <w:r>
        <w:tab/>
        <w:t>A9-0148/2020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&lt;Rapporteur&gt;</w:t>
      </w:r>
      <w:proofErr w:type="spellStart"/>
      <w:r>
        <w:t>Nikos</w:t>
      </w:r>
      <w:proofErr w:type="spellEnd"/>
      <w:r>
        <w:t xml:space="preserve"> </w:t>
      </w:r>
      <w:proofErr w:type="spellStart"/>
      <w:r>
        <w:t>Androulakis</w:t>
      </w:r>
      <w:proofErr w:type="spellEnd"/>
      <w:r>
        <w:rPr>
          <w:rStyle w:val="HideTWBExt"/>
          <w:noProof w:val="0"/>
        </w:rPr>
        <w:t>&lt;/Rapporteur&gt;</w:t>
      </w:r>
    </w:p>
    <w:p w:rsidR="005516E4" w:rsidRPr="008B482A" w:rsidRDefault="0012128A">
      <w:r>
        <w:rPr>
          <w:rStyle w:val="HideTWBExt"/>
          <w:noProof w:val="0"/>
        </w:rPr>
        <w:t>&lt;Titre&gt;</w:t>
      </w:r>
      <w:r>
        <w:t>Dalinis Sprendimo Nr. 1313/2013/ES dėl Sąjungos civilinės saugos mechanizmo keitimas</w:t>
      </w:r>
      <w:r>
        <w:rPr>
          <w:rStyle w:val="HideTWBExt"/>
          <w:noProof w:val="0"/>
        </w:rPr>
        <w:t>&lt;/Titre&gt;</w:t>
      </w:r>
    </w:p>
    <w:p w:rsidR="005516E4" w:rsidRPr="008B482A" w:rsidRDefault="0012128A">
      <w:pPr>
        <w:pStyle w:val="Normal12a"/>
      </w:pPr>
      <w:r>
        <w:rPr>
          <w:rStyle w:val="HideTWBExt"/>
          <w:noProof w:val="0"/>
        </w:rPr>
        <w:t>&lt;DocRef&gt;</w:t>
      </w:r>
      <w:r>
        <w:t>(2020/0097(COD))</w:t>
      </w:r>
      <w:r>
        <w:rPr>
          <w:rStyle w:val="HideTWBExt"/>
          <w:noProof w:val="0"/>
        </w:rPr>
        <w:t>&lt;/DocRef&gt;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&lt;DocAmend&gt;</w:t>
      </w:r>
      <w:r>
        <w:t>Pasiūlymas dėl sprendim</w:t>
      </w:r>
      <w:r>
        <w:t>o</w:t>
      </w:r>
      <w:r>
        <w:rPr>
          <w:rStyle w:val="HideTWBExt"/>
          <w:noProof w:val="0"/>
        </w:rPr>
        <w:t>&lt;/DocAmend&gt;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&lt;Article&gt;</w:t>
      </w:r>
      <w:r>
        <w:t>6 konstatuojamoji dalis</w:t>
      </w:r>
      <w:r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729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516E4" w:rsidRPr="008B482A" w:rsidRDefault="005516E4"/>
        </w:tc>
      </w:tr>
      <w:tr w:rsidR="00DB7298">
        <w:trPr>
          <w:trHeight w:val="240"/>
          <w:jc w:val="center"/>
        </w:trPr>
        <w:tc>
          <w:tcPr>
            <w:tcW w:w="4876" w:type="dxa"/>
          </w:tcPr>
          <w:p w:rsidR="005516E4" w:rsidRPr="008B482A" w:rsidRDefault="0012128A">
            <w:pPr>
              <w:pStyle w:val="AmColumnHeading"/>
            </w:pPr>
            <w:r>
              <w:t>Komisijos siūlomas tekstas</w:t>
            </w:r>
          </w:p>
        </w:tc>
        <w:tc>
          <w:tcPr>
            <w:tcW w:w="4876" w:type="dxa"/>
          </w:tcPr>
          <w:p w:rsidR="005516E4" w:rsidRPr="008B482A" w:rsidRDefault="0012128A">
            <w:pPr>
              <w:pStyle w:val="AmColumnHeading"/>
            </w:pPr>
            <w:r>
              <w:t>Pakeitimas</w:t>
            </w:r>
          </w:p>
        </w:tc>
      </w:tr>
      <w:tr w:rsidR="00DB7298">
        <w:trPr>
          <w:jc w:val="center"/>
        </w:trPr>
        <w:tc>
          <w:tcPr>
            <w:tcW w:w="4876" w:type="dxa"/>
          </w:tcPr>
          <w:p w:rsidR="005516E4" w:rsidRPr="008B482A" w:rsidRDefault="0012128A">
            <w:pPr>
              <w:pStyle w:val="Normal6a"/>
            </w:pPr>
            <w:r>
              <w:t>(6)</w:t>
            </w:r>
            <w:r>
              <w:tab/>
              <w:t xml:space="preserve">kad pagerintų prevencijos ir pasirengimo planavimą, Sąjunga, glaudžiai bendradarbiaudama su atitinkamomis mokslininkų bendruomenėmis </w:t>
            </w:r>
            <w:r>
              <w:rPr>
                <w:b/>
                <w:i/>
              </w:rPr>
              <w:t>ir</w:t>
            </w:r>
            <w:r>
              <w:t xml:space="preserve"> pagrindiniais ekonominės veiklos vykdytojais, turėtų </w:t>
            </w:r>
            <w:r>
              <w:rPr>
                <w:b/>
                <w:i/>
              </w:rPr>
              <w:t>toliau skatinti</w:t>
            </w:r>
            <w:r>
              <w:t xml:space="preserve"> investuoti į nelaimių prevenciją visuose sektoriuose ir taikyti prevencijos ir pasirengimo pagrindą sudarančius visapusiško rizikos valdymo metodus, atsižvelgiant į įvairių pavojų įtrauk</w:t>
            </w:r>
            <w:r>
              <w:t xml:space="preserve">imo principą, </w:t>
            </w:r>
            <w:proofErr w:type="spellStart"/>
            <w:r>
              <w:t>ekosisteminį</w:t>
            </w:r>
            <w:proofErr w:type="spellEnd"/>
            <w:r>
              <w:t xml:space="preserve"> metodą ir tikėtiną klimato kaitos poveikį. Šiuo tikslu visų pirma turėtų būti vadovaujamasi </w:t>
            </w:r>
            <w:proofErr w:type="spellStart"/>
            <w:r>
              <w:t>tarpsektorinio</w:t>
            </w:r>
            <w:proofErr w:type="spellEnd"/>
            <w:r>
              <w:t xml:space="preserve"> ir visų pavojų įtraukimo principais, jie turėtų būti grindžiami visos Sąjungos atsparumo didinimo tikslais ir jais remiant</w:t>
            </w:r>
            <w:r>
              <w:t xml:space="preserve">is turėtų būti suformuluota pradinė </w:t>
            </w:r>
            <w:proofErr w:type="spellStart"/>
            <w:r>
              <w:t>pajėgumų</w:t>
            </w:r>
            <w:proofErr w:type="spellEnd"/>
            <w:r>
              <w:t xml:space="preserve"> ir pasirengimo apibrėžtis. Apibrėždama visos Sąjungos atsparumo didinimo tikslus, Komisija turi bendradarbiauti su valstybėmis narėmis;</w:t>
            </w:r>
          </w:p>
        </w:tc>
        <w:tc>
          <w:tcPr>
            <w:tcW w:w="4876" w:type="dxa"/>
          </w:tcPr>
          <w:p w:rsidR="005516E4" w:rsidRPr="008B482A" w:rsidRDefault="0012128A">
            <w:pPr>
              <w:pStyle w:val="Normal6a"/>
            </w:pPr>
            <w:r>
              <w:t>(6)</w:t>
            </w:r>
            <w:r>
              <w:tab/>
              <w:t>kad pagerintų atsparumą ir prevencijos bei pasirengimo planavimą, Sąjun</w:t>
            </w:r>
            <w:r>
              <w:t>ga, glaudžiai bendradarbiaudama su atitinkamomis mokslininkų bendruomenėmis</w:t>
            </w:r>
            <w:r>
              <w:rPr>
                <w:b/>
                <w:i/>
              </w:rPr>
              <w:t>,</w:t>
            </w:r>
            <w:r>
              <w:t xml:space="preserve"> pagrindiniais ekonominės veiklos vykdytojais </w:t>
            </w:r>
            <w:r>
              <w:rPr>
                <w:b/>
                <w:i/>
              </w:rPr>
              <w:t>ir regionų bei vietos valdžios institucijomis, kurie yra labai svarbūs nelaimių valdymo ciklo subjektai, taip pat su šioje srityje vei</w:t>
            </w:r>
            <w:r>
              <w:rPr>
                <w:b/>
                <w:i/>
              </w:rPr>
              <w:t>kiančiomis trečiojo sektoriaus ir savanorių organizacijomis</w:t>
            </w:r>
            <w:r>
              <w:t xml:space="preserve">, </w:t>
            </w:r>
            <w:r>
              <w:rPr>
                <w:b/>
                <w:i/>
              </w:rPr>
              <w:t>ir neturėdama pakenkti nustatytiems Sąjungos koordinavimo mechanizmams,</w:t>
            </w:r>
            <w:r>
              <w:t xml:space="preserve"> turėtų </w:t>
            </w:r>
            <w:r>
              <w:rPr>
                <w:b/>
                <w:i/>
              </w:rPr>
              <w:t>padidinti</w:t>
            </w:r>
            <w:r>
              <w:t xml:space="preserve"> investicijas į nelaimių prevenciją visose </w:t>
            </w:r>
            <w:r>
              <w:rPr>
                <w:b/>
                <w:i/>
              </w:rPr>
              <w:t>šalyse ir</w:t>
            </w:r>
            <w:r>
              <w:t xml:space="preserve"> visuose sektoriuose, </w:t>
            </w:r>
            <w:r>
              <w:rPr>
                <w:b/>
                <w:i/>
              </w:rPr>
              <w:t xml:space="preserve">įskaitant nelaimes kylančias dėl </w:t>
            </w:r>
            <w:r>
              <w:rPr>
                <w:b/>
                <w:i/>
              </w:rPr>
              <w:t xml:space="preserve">seisminės veiklos, pavyzdžiui dėl žemės drebėjimų, arba dėl potvynių ar </w:t>
            </w:r>
            <w:proofErr w:type="spellStart"/>
            <w:r>
              <w:rPr>
                <w:b/>
                <w:i/>
              </w:rPr>
              <w:t>hydrogeologinio</w:t>
            </w:r>
            <w:proofErr w:type="spellEnd"/>
            <w:r>
              <w:rPr>
                <w:b/>
                <w:i/>
              </w:rPr>
              <w:t xml:space="preserve"> nestabilumo, pavyzdžiui, nuošliaužų,</w:t>
            </w:r>
            <w:r>
              <w:t xml:space="preserve"> ir taikyti prevencijos ir pasirengimo pagrindą sudarančius visapusiško rizikos valdymo metodus, atsižvelgiant į įvairių pavojų įtra</w:t>
            </w:r>
            <w:r>
              <w:t xml:space="preserve">ukimo principą, </w:t>
            </w:r>
            <w:proofErr w:type="spellStart"/>
            <w:r>
              <w:t>ekosisteminį</w:t>
            </w:r>
            <w:proofErr w:type="spellEnd"/>
            <w:r>
              <w:t xml:space="preserve"> metodą ir tikėtiną klimato kaitos poveikį,. Šiuo tikslu visų pirma turėtų būti vadovaujamasi </w:t>
            </w:r>
            <w:proofErr w:type="spellStart"/>
            <w:r>
              <w:t>tarpsektorinio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tarpvalstybinio</w:t>
            </w:r>
            <w:r>
              <w:t xml:space="preserve"> ir visų pavojų įtraukimo principais, jie turėtų būti grindžiami visos Sąjungos atsparumo didinimo tiks</w:t>
            </w:r>
            <w:r>
              <w:t xml:space="preserve">lais ir jais remiantis turėtų būti suformuluota pradinė </w:t>
            </w:r>
            <w:proofErr w:type="spellStart"/>
            <w:r>
              <w:t>pajėgumų</w:t>
            </w:r>
            <w:proofErr w:type="spellEnd"/>
            <w:r>
              <w:t xml:space="preserve"> ir pasirengimo apibrėžtis. Apibrėždama visos </w:t>
            </w:r>
            <w:r>
              <w:lastRenderedPageBreak/>
              <w:t xml:space="preserve">Sąjungos atsparumo didinimo tikslus, Komisija turi bendradarbiauti su valstybėmis narėmis </w:t>
            </w:r>
            <w:r>
              <w:rPr>
                <w:b/>
                <w:i/>
              </w:rPr>
              <w:t>ir Europos Parlamentu</w:t>
            </w:r>
            <w:r>
              <w:t xml:space="preserve"> </w:t>
            </w:r>
            <w:r>
              <w:rPr>
                <w:b/>
                <w:i/>
              </w:rPr>
              <w:t>bei atsižvelgti į visus operaciniu</w:t>
            </w:r>
            <w:r>
              <w:rPr>
                <w:b/>
                <w:i/>
              </w:rPr>
              <w:t>s reagavimo į ekstremaliąsias situacijas planus, jau parengtus nacionaliniu, regioniniu ar vietos lygmenimis;</w:t>
            </w:r>
          </w:p>
        </w:tc>
      </w:tr>
    </w:tbl>
    <w:p w:rsidR="005516E4" w:rsidRPr="008B482A" w:rsidRDefault="0012128A">
      <w:pPr>
        <w:pStyle w:val="AmOrLang"/>
      </w:pPr>
      <w:proofErr w:type="spellStart"/>
      <w:r w:rsidRPr="008B482A">
        <w:lastRenderedPageBreak/>
        <w:t>Or</w:t>
      </w:r>
      <w:proofErr w:type="spellEnd"/>
      <w:r w:rsidRPr="008B482A">
        <w:t xml:space="preserve">. </w:t>
      </w:r>
      <w:r w:rsidRPr="008B482A">
        <w:rPr>
          <w:rStyle w:val="HideTWBExt"/>
          <w:noProof w:val="0"/>
        </w:rPr>
        <w:t>&lt;Original&gt;</w:t>
      </w:r>
      <w:r w:rsidRPr="008B482A">
        <w:rPr>
          <w:rStyle w:val="HideTWBInt"/>
        </w:rPr>
        <w:t>{EN}</w:t>
      </w:r>
      <w:proofErr w:type="spellStart"/>
      <w:r w:rsidRPr="008B482A">
        <w:t>en</w:t>
      </w:r>
      <w:proofErr w:type="spellEnd"/>
      <w:r w:rsidRPr="008B482A">
        <w:rPr>
          <w:rStyle w:val="HideTWBExt"/>
          <w:noProof w:val="0"/>
        </w:rPr>
        <w:t>&lt;/Original&gt;</w:t>
      </w:r>
    </w:p>
    <w:p w:rsidR="005516E4" w:rsidRPr="008B482A" w:rsidRDefault="0012128A">
      <w:pPr>
        <w:pStyle w:val="AmOrLang"/>
        <w:sectPr w:rsidR="005516E4" w:rsidRPr="008B48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B482A">
        <w:rPr>
          <w:rStyle w:val="HideTWBExt"/>
          <w:noProof w:val="0"/>
        </w:rPr>
        <w:t>&lt;/Amend&gt;</w:t>
      </w:r>
    </w:p>
    <w:p w:rsidR="005516E4" w:rsidRPr="008B482A" w:rsidRDefault="0012128A">
      <w:pPr>
        <w:pStyle w:val="AmDateTab"/>
      </w:pPr>
      <w:r>
        <w:rPr>
          <w:rStyle w:val="HideTWBExt"/>
          <w:noProof w:val="0"/>
        </w:rPr>
        <w:lastRenderedPageBreak/>
        <w:t>&lt;Amend&gt;&lt;Date&gt;</w:t>
      </w:r>
      <w:r>
        <w:rPr>
          <w:rStyle w:val="HideTWBInt"/>
          <w:color w:val="auto"/>
        </w:rPr>
        <w:t>{09/09/2020}</w:t>
      </w:r>
      <w:r>
        <w:t>9.9.2020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A9-0148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89</w:t>
      </w:r>
      <w:r>
        <w:rPr>
          <w:rStyle w:val="HideTWBExt"/>
          <w:noProof w:val="0"/>
        </w:rPr>
        <w:t>&lt;/NumAm&gt;</w:t>
      </w:r>
    </w:p>
    <w:p w:rsidR="005516E4" w:rsidRPr="008B482A" w:rsidRDefault="0012128A">
      <w:pPr>
        <w:pStyle w:val="AmNumberTabs"/>
      </w:pPr>
      <w:r>
        <w:t>Pakeitimas</w:t>
      </w:r>
      <w:r>
        <w:tab/>
      </w:r>
      <w:r>
        <w:tab/>
      </w:r>
      <w:r>
        <w:rPr>
          <w:rStyle w:val="HideTWBExt"/>
          <w:noProof w:val="0"/>
        </w:rPr>
        <w:t>&lt;NumAm&gt;</w:t>
      </w:r>
      <w:r>
        <w:t>89</w:t>
      </w:r>
      <w:r>
        <w:rPr>
          <w:rStyle w:val="HideTWBExt"/>
          <w:noProof w:val="0"/>
        </w:rPr>
        <w:t>&lt;/NumAm&gt;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&lt;RepeatBlock-By&gt;&lt;Members&gt;</w:t>
      </w:r>
      <w:proofErr w:type="spellStart"/>
      <w:r>
        <w:t>Nuno</w:t>
      </w:r>
      <w:proofErr w:type="spellEnd"/>
      <w:r>
        <w:t xml:space="preserve"> Melo,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Liese</w:t>
      </w:r>
      <w:proofErr w:type="spellEnd"/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/Members&gt;</w:t>
      </w:r>
    </w:p>
    <w:p w:rsidR="005516E4" w:rsidRPr="008B482A" w:rsidRDefault="0012128A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{EPP}</w:t>
      </w:r>
      <w:r>
        <w:t>PPE frakcijos vardu</w:t>
      </w:r>
      <w:r>
        <w:rPr>
          <w:rStyle w:val="HideTWBExt"/>
          <w:noProof w:val="0"/>
        </w:rPr>
        <w:t>&lt;/AuNomDe&gt;</w:t>
      </w:r>
    </w:p>
    <w:p w:rsidR="005516E4" w:rsidRPr="008B482A" w:rsidRDefault="0012128A">
      <w:r>
        <w:rPr>
          <w:rStyle w:val="HideTWBExt"/>
          <w:noProof w:val="0"/>
        </w:rPr>
        <w:t>&lt;/RepeatBlock-By&gt;</w:t>
      </w:r>
    </w:p>
    <w:p w:rsidR="005516E4" w:rsidRPr="008B482A" w:rsidRDefault="0012128A">
      <w:pPr>
        <w:pStyle w:val="AmDocTypeTab"/>
      </w:pPr>
      <w:r>
        <w:rPr>
          <w:rStyle w:val="HideTWBExt"/>
          <w:noProof w:val="0"/>
        </w:rPr>
        <w:t>&lt;TitreType&gt;</w:t>
      </w:r>
      <w:r>
        <w:t>Pranešimas</w:t>
      </w:r>
      <w:r>
        <w:rPr>
          <w:rStyle w:val="HideTWBExt"/>
          <w:noProof w:val="0"/>
        </w:rPr>
        <w:t>&lt;/TitreType&gt;</w:t>
      </w:r>
      <w:r>
        <w:tab/>
        <w:t>A9-0148/2020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&lt;Rapporteur&gt;</w:t>
      </w:r>
      <w:proofErr w:type="spellStart"/>
      <w:r>
        <w:t>Nikos</w:t>
      </w:r>
      <w:proofErr w:type="spellEnd"/>
      <w:r>
        <w:t xml:space="preserve"> </w:t>
      </w:r>
      <w:proofErr w:type="spellStart"/>
      <w:r>
        <w:t>Androulakis</w:t>
      </w:r>
      <w:proofErr w:type="spellEnd"/>
      <w:r>
        <w:rPr>
          <w:rStyle w:val="HideTWBExt"/>
          <w:noProof w:val="0"/>
        </w:rPr>
        <w:t>&lt;/Rapporteur&gt;</w:t>
      </w:r>
    </w:p>
    <w:p w:rsidR="005516E4" w:rsidRPr="008B482A" w:rsidRDefault="0012128A">
      <w:r>
        <w:rPr>
          <w:rStyle w:val="HideTWBExt"/>
          <w:noProof w:val="0"/>
        </w:rPr>
        <w:t>&lt;Titre&gt;</w:t>
      </w:r>
      <w:r>
        <w:t>Dalinis Sprendimo Nr. 1313/2013/ES dėl Sąjungos civilinės saugos mechanizmo keitimas</w:t>
      </w: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/Titre&gt;</w:t>
      </w:r>
    </w:p>
    <w:p w:rsidR="005516E4" w:rsidRPr="008B482A" w:rsidRDefault="0012128A">
      <w:pPr>
        <w:pStyle w:val="Normal12a"/>
      </w:pPr>
      <w:r>
        <w:rPr>
          <w:rStyle w:val="HideTWBExt"/>
          <w:noProof w:val="0"/>
        </w:rPr>
        <w:t>&lt;DocRef&gt;</w:t>
      </w:r>
      <w:r>
        <w:t>(2020/0097(COD))</w:t>
      </w:r>
      <w:r>
        <w:rPr>
          <w:rStyle w:val="HideTWBExt"/>
          <w:noProof w:val="0"/>
        </w:rPr>
        <w:t>&lt;/DocRef&gt;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&lt;DocAmend&gt;</w:t>
      </w:r>
      <w:r>
        <w:t>Pasiūlymas dėl sprendimo</w:t>
      </w:r>
      <w:r>
        <w:rPr>
          <w:rStyle w:val="HideTWBExt"/>
          <w:noProof w:val="0"/>
        </w:rPr>
        <w:t>&lt;/DocAmend&gt;</w:t>
      </w:r>
    </w:p>
    <w:p w:rsidR="005516E4" w:rsidRPr="008B482A" w:rsidRDefault="0012128A">
      <w:pPr>
        <w:pStyle w:val="NormalBold"/>
      </w:pPr>
      <w:r>
        <w:rPr>
          <w:rStyle w:val="HideTWBExt"/>
          <w:noProof w:val="0"/>
        </w:rPr>
        <w:t>&lt;Article&gt;</w:t>
      </w:r>
      <w:r>
        <w:t>6 a konstatuojamoji dalis (nauja)</w:t>
      </w:r>
      <w:r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DB729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516E4" w:rsidRPr="008B482A" w:rsidRDefault="005516E4"/>
        </w:tc>
      </w:tr>
      <w:tr w:rsidR="00DB7298">
        <w:trPr>
          <w:trHeight w:val="240"/>
          <w:jc w:val="center"/>
        </w:trPr>
        <w:tc>
          <w:tcPr>
            <w:tcW w:w="4876" w:type="dxa"/>
          </w:tcPr>
          <w:p w:rsidR="005516E4" w:rsidRPr="008B482A" w:rsidRDefault="0012128A">
            <w:pPr>
              <w:pStyle w:val="AmColumnHeading"/>
            </w:pPr>
            <w:r>
              <w:t>Komisijos siūlomas tekstas</w:t>
            </w:r>
          </w:p>
        </w:tc>
        <w:tc>
          <w:tcPr>
            <w:tcW w:w="4876" w:type="dxa"/>
          </w:tcPr>
          <w:p w:rsidR="005516E4" w:rsidRPr="008B482A" w:rsidRDefault="0012128A">
            <w:pPr>
              <w:pStyle w:val="AmColumnHeading"/>
            </w:pPr>
            <w:r>
              <w:t>Pakeitimas</w:t>
            </w:r>
          </w:p>
        </w:tc>
      </w:tr>
      <w:tr w:rsidR="00DB7298">
        <w:trPr>
          <w:jc w:val="center"/>
        </w:trPr>
        <w:tc>
          <w:tcPr>
            <w:tcW w:w="4876" w:type="dxa"/>
          </w:tcPr>
          <w:p w:rsidR="005516E4" w:rsidRPr="008B482A" w:rsidRDefault="005516E4">
            <w:pPr>
              <w:pStyle w:val="Normal6a"/>
            </w:pPr>
          </w:p>
        </w:tc>
        <w:tc>
          <w:tcPr>
            <w:tcW w:w="4876" w:type="dxa"/>
          </w:tcPr>
          <w:p w:rsidR="005516E4" w:rsidRPr="008B482A" w:rsidRDefault="0012128A">
            <w:pPr>
              <w:pStyle w:val="Normal6a"/>
            </w:pPr>
            <w:r>
              <w:rPr>
                <w:b/>
                <w:i/>
              </w:rPr>
              <w:t>(6a)</w:t>
            </w:r>
            <w:r>
              <w:tab/>
            </w:r>
            <w:r>
              <w:rPr>
                <w:b/>
                <w:i/>
              </w:rPr>
              <w:t xml:space="preserve">regioninių ir vietos valdžios institucijų vaidmuo nelaimių </w:t>
            </w:r>
            <w:r>
              <w:rPr>
                <w:b/>
                <w:i/>
              </w:rPr>
              <w:t xml:space="preserve">prevencijos ir valdymo srityje yra labai svarbus, o jų reagavimo </w:t>
            </w:r>
            <w:proofErr w:type="spellStart"/>
            <w:r>
              <w:rPr>
                <w:b/>
                <w:i/>
              </w:rPr>
              <w:t>pajėgumai</w:t>
            </w:r>
            <w:proofErr w:type="spellEnd"/>
            <w:r>
              <w:rPr>
                <w:b/>
                <w:i/>
              </w:rPr>
              <w:t xml:space="preserve"> turi būti atitinkamai įtraukti į visą koordinavimo ir dislokavimo veiklą, kuri vykdoma pagal šį sprendimą, atsižvelgiant į valstybių narių institucinę ir teisinę sistemą, kad jų vei</w:t>
            </w:r>
            <w:r>
              <w:rPr>
                <w:b/>
                <w:i/>
              </w:rPr>
              <w:t xml:space="preserve">kla kuo mažiau dubliuotųsi ir kad būtų skatinamas </w:t>
            </w:r>
            <w:proofErr w:type="spellStart"/>
            <w:r>
              <w:rPr>
                <w:b/>
                <w:i/>
              </w:rPr>
              <w:t>sąveikumas</w:t>
            </w:r>
            <w:proofErr w:type="spellEnd"/>
            <w:r>
              <w:rPr>
                <w:b/>
                <w:i/>
              </w:rPr>
              <w:t xml:space="preserve">. Šios institucijos gali atlikti svarbų prevencinį vaidmenį ir jos, kartu su savo savanorių </w:t>
            </w:r>
            <w:proofErr w:type="spellStart"/>
            <w:r>
              <w:rPr>
                <w:b/>
                <w:i/>
              </w:rPr>
              <w:t>pajėgumais</w:t>
            </w:r>
            <w:proofErr w:type="spellEnd"/>
            <w:r>
              <w:rPr>
                <w:b/>
                <w:i/>
              </w:rPr>
              <w:t>, pirmosios reaguoja įvykus nelaimei. Todėl turi būti nuol</w:t>
            </w:r>
            <w:bookmarkStart w:id="0" w:name="_GoBack"/>
            <w:bookmarkEnd w:id="0"/>
            <w:r>
              <w:rPr>
                <w:b/>
                <w:i/>
              </w:rPr>
              <w:t>at bendradarbiaujama vietos, regionų</w:t>
            </w:r>
            <w:r>
              <w:rPr>
                <w:b/>
                <w:i/>
              </w:rPr>
              <w:t xml:space="preserve"> ir tarpvalstybiniu lygiu, siekiant sukurti bendras perspėjimo sistemas, kurios padėtų imtis skubių veiksmų prieš mobilizuojant „</w:t>
            </w:r>
            <w:proofErr w:type="spellStart"/>
            <w:r>
              <w:rPr>
                <w:b/>
                <w:i/>
              </w:rPr>
              <w:t>rescEU</w:t>
            </w:r>
            <w:proofErr w:type="spellEnd"/>
            <w:r>
              <w:rPr>
                <w:b/>
                <w:i/>
              </w:rPr>
              <w:t>“, taip pat turėtų būti reguliariai rengiamos visuomenės informavimo apie pirmines reagavimo priemones kampanijos;</w:t>
            </w:r>
          </w:p>
        </w:tc>
      </w:tr>
    </w:tbl>
    <w:p w:rsidR="005516E4" w:rsidRPr="008B482A" w:rsidRDefault="0012128A">
      <w:pPr>
        <w:pStyle w:val="AmOrLang"/>
      </w:pPr>
      <w:proofErr w:type="spellStart"/>
      <w:r w:rsidRPr="008B482A">
        <w:t>Or</w:t>
      </w:r>
      <w:proofErr w:type="spellEnd"/>
      <w:r w:rsidRPr="008B482A">
        <w:t xml:space="preserve">. </w:t>
      </w:r>
      <w:r w:rsidRPr="008B482A">
        <w:rPr>
          <w:rStyle w:val="HideTWBExt"/>
          <w:noProof w:val="0"/>
        </w:rPr>
        <w:t>&lt;</w:t>
      </w:r>
      <w:r w:rsidRPr="008B482A">
        <w:rPr>
          <w:rStyle w:val="HideTWBExt"/>
          <w:noProof w:val="0"/>
        </w:rPr>
        <w:t>Original&gt;</w:t>
      </w:r>
      <w:r w:rsidRPr="008B482A">
        <w:rPr>
          <w:rStyle w:val="HideTWBInt"/>
        </w:rPr>
        <w:t>{EN}</w:t>
      </w:r>
      <w:proofErr w:type="spellStart"/>
      <w:r w:rsidRPr="008B482A">
        <w:t>en</w:t>
      </w:r>
      <w:proofErr w:type="spellEnd"/>
      <w:r w:rsidRPr="008B482A">
        <w:rPr>
          <w:rStyle w:val="HideTWBExt"/>
          <w:noProof w:val="0"/>
        </w:rPr>
        <w:t>&lt;/Original&gt;</w:t>
      </w:r>
    </w:p>
    <w:p w:rsidR="005516E4" w:rsidRPr="008B482A" w:rsidRDefault="0012128A">
      <w:pPr>
        <w:pStyle w:val="AmOrLang"/>
      </w:pPr>
      <w:r w:rsidRPr="008B482A">
        <w:rPr>
          <w:rStyle w:val="HideTWBExt"/>
          <w:noProof w:val="0"/>
        </w:rPr>
        <w:t>&lt;/Amend&gt;&lt;/RepeatBlock-Amend&gt;</w:t>
      </w:r>
    </w:p>
    <w:sectPr w:rsidR="005516E4" w:rsidRPr="008B482A">
      <w:footerReference w:type="default" r:id="rId12"/>
      <w:pgSz w:w="11906" w:h="16838"/>
      <w:pgMar w:top="1134" w:right="1417" w:bottom="1417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28A">
      <w:r>
        <w:separator/>
      </w:r>
    </w:p>
  </w:endnote>
  <w:endnote w:type="continuationSeparator" w:id="0">
    <w:p w:rsidR="00000000" w:rsidRDefault="001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A" w:rsidRDefault="00121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A1" w:rsidRPr="008B482A" w:rsidRDefault="0012128A" w:rsidP="00311EA1">
    <w:pPr>
      <w:pStyle w:val="EPFooter"/>
    </w:pPr>
    <w:r w:rsidRPr="008B482A">
      <w:rPr>
        <w:rStyle w:val="HideTWBExt"/>
        <w:noProof w:val="0"/>
      </w:rPr>
      <w:t>&lt;PathFdR&gt;</w:t>
    </w:r>
    <w:r w:rsidRPr="008B482A">
      <w:t>AM\1212866LT.docx</w:t>
    </w:r>
    <w:r w:rsidRPr="008B482A">
      <w:rPr>
        <w:rStyle w:val="HideTWBExt"/>
        <w:noProof w:val="0"/>
      </w:rPr>
      <w:t>&lt;/PathFdR&gt;</w:t>
    </w:r>
    <w:r w:rsidRPr="008B482A">
      <w:tab/>
    </w:r>
    <w:r w:rsidRPr="008B482A">
      <w:tab/>
      <w:t>PE</w:t>
    </w:r>
    <w:r w:rsidRPr="008B482A">
      <w:rPr>
        <w:rStyle w:val="HideTWBExt"/>
        <w:noProof w:val="0"/>
      </w:rPr>
      <w:t>&lt;</w:t>
    </w:r>
    <w:r w:rsidRPr="008B482A">
      <w:rPr>
        <w:rStyle w:val="HideTWBExt"/>
        <w:noProof w:val="0"/>
      </w:rPr>
      <w:t>NoPE&gt;</w:t>
    </w:r>
    <w:r w:rsidRPr="008B482A">
      <w:t>655.423</w:t>
    </w:r>
    <w:r w:rsidRPr="008B482A">
      <w:rPr>
        <w:rStyle w:val="HideTWBExt"/>
        <w:noProof w:val="0"/>
      </w:rPr>
      <w:t>&lt;/NoPE&gt;&lt;Version&gt;</w:t>
    </w:r>
    <w:r w:rsidRPr="008B482A">
      <w:t>v01-00</w:t>
    </w:r>
    <w:r w:rsidRPr="008B482A">
      <w:rPr>
        <w:rStyle w:val="HideTWBExt"/>
        <w:noProof w:val="0"/>
      </w:rPr>
      <w:t>&lt;/Version&gt;</w:t>
    </w:r>
  </w:p>
  <w:p w:rsidR="005516E4" w:rsidRPr="008B482A" w:rsidRDefault="0012128A" w:rsidP="00311EA1">
    <w:pPr>
      <w:pStyle w:val="EPFooter2"/>
    </w:pPr>
    <w:r w:rsidRPr="008B482A">
      <w:t>LT</w:t>
    </w:r>
    <w:r w:rsidRPr="008B482A">
      <w:tab/>
    </w:r>
    <w:r w:rsidRPr="008B482A">
      <w:rPr>
        <w:b w:val="0"/>
        <w:i/>
        <w:color w:val="C0C0C0"/>
        <w:sz w:val="22"/>
      </w:rPr>
      <w:t>Suvienijusi įvairovę</w:t>
    </w:r>
    <w:r w:rsidRPr="008B482A">
      <w:tab/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A" w:rsidRDefault="001212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A1" w:rsidRPr="008B482A" w:rsidRDefault="0012128A" w:rsidP="00311EA1">
    <w:pPr>
      <w:pStyle w:val="EPFooter"/>
    </w:pPr>
    <w:r w:rsidRPr="008B482A">
      <w:rPr>
        <w:rStyle w:val="HideTWBExt"/>
        <w:noProof w:val="0"/>
      </w:rPr>
      <w:t>&lt;PathFdR&gt;</w:t>
    </w:r>
    <w:r w:rsidRPr="008B482A">
      <w:t>AM\1212866LT.docx</w:t>
    </w:r>
    <w:r w:rsidRPr="008B482A">
      <w:rPr>
        <w:rStyle w:val="HideTWBExt"/>
        <w:noProof w:val="0"/>
      </w:rPr>
      <w:t>&lt;/PathFdR&gt;</w:t>
    </w:r>
    <w:r w:rsidRPr="008B482A">
      <w:tab/>
    </w:r>
    <w:r w:rsidRPr="008B482A">
      <w:tab/>
      <w:t>PE</w:t>
    </w:r>
    <w:r w:rsidRPr="008B482A">
      <w:rPr>
        <w:rStyle w:val="HideTWBExt"/>
        <w:noProof w:val="0"/>
      </w:rPr>
      <w:t>&lt;NoPE&gt;</w:t>
    </w:r>
    <w:r w:rsidRPr="008B482A">
      <w:t>655.423</w:t>
    </w:r>
    <w:r w:rsidRPr="008B482A">
      <w:rPr>
        <w:rStyle w:val="HideTWBExt"/>
        <w:noProof w:val="0"/>
      </w:rPr>
      <w:t>&lt;/NoPE&gt;&lt;Version&gt;</w:t>
    </w:r>
    <w:r w:rsidRPr="008B482A">
      <w:t>v01-00</w:t>
    </w:r>
    <w:r w:rsidRPr="008B482A">
      <w:rPr>
        <w:rStyle w:val="HideTWBExt"/>
        <w:noProof w:val="0"/>
      </w:rPr>
      <w:t>&lt;/Version&gt;</w:t>
    </w:r>
  </w:p>
  <w:p w:rsidR="005516E4" w:rsidRPr="008B482A" w:rsidRDefault="0012128A" w:rsidP="00311EA1">
    <w:pPr>
      <w:pStyle w:val="EPFooter2"/>
    </w:pPr>
    <w:r w:rsidRPr="008B482A">
      <w:t>LT</w:t>
    </w:r>
    <w:r w:rsidRPr="008B482A">
      <w:tab/>
    </w:r>
    <w:r w:rsidRPr="008B482A">
      <w:rPr>
        <w:b w:val="0"/>
        <w:i/>
        <w:color w:val="C0C0C0"/>
        <w:sz w:val="22"/>
      </w:rPr>
      <w:t>Suvienijusi įvairovę</w:t>
    </w:r>
    <w:r w:rsidRPr="008B482A">
      <w:tab/>
      <w:t>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28A">
      <w:r>
        <w:separator/>
      </w:r>
    </w:p>
  </w:footnote>
  <w:footnote w:type="continuationSeparator" w:id="0">
    <w:p w:rsidR="00000000" w:rsidRDefault="0012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A" w:rsidRDefault="00121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A" w:rsidRDefault="00121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8A" w:rsidRDefault="0012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peatBlock-AmendL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swiss\fcharset0\fprq2 DokChampa;}{\f293\fbidi \froman\fcharset238\fprq2 Times New Roman CE;}_x000d__x000a_{\f294\fbidi \froman\fcharset204\fprq2 Times New Roman Cyr;}{\f296\fbidi \froman\fcharset161\fprq2 Times New Roman Greek;}{\f297\fbidi \froman\fcharset162\fprq2 Times New Roman Tur;}{\f298\fbidi \froman\fcharset177\fprq2 Times New Roman (Hebrew);}_x000d__x000a_{\f299\fbidi \froman\fcharset178\fprq2 Times New Roman (Arabic);}{\f300\fbidi \froman\fcharset186\fprq2 Times New Roman Baltic;}{\f301\fbidi \froman\fcharset163\fprq2 Times New Roman (Vietnamese);}{\f303\fbidi \fswiss\fcharset238\fprq2 Arial CE;}_x000d__x000a_{\f304\fbidi \fswiss\fcharset204\fprq2 Arial Cyr;}{\f306\fbidi \fswiss\fcharset161\fprq2 Arial Greek;}{\f307\fbidi \fswiss\fcharset162\fprq2 Arial Tur;}{\f308\fbidi \fswiss\fcharset177\fprq2 Arial (Hebrew);}_x000d__x000a_{\f309\fbidi \fswiss\fcharset178\fprq2 Arial (Arabic);}{\f310\fbidi \fswiss\fcharset186\fprq2 Arial Baltic;}{\f311\fbidi \fswiss\fcharset163\fprq2 Arial (Vietnamese);}{\f633\fbidi \froman\fcharset238\fprq2 Cambria Math CE;}_x000d__x000a_{\f634\fbidi \froman\fcharset204\fprq2 Cambria Math Cyr;}{\f636\fbidi \froman\fcharset161\fprq2 Cambria Math Greek;}{\f637\fbidi \froman\fcharset162\fprq2 Cambria Math Tur;}{\f640\fbidi \froman\fcharset186\fprq2 Cambria Math Baltic;}_x000d__x000a_{\f641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2570395 HideTWBExt;}}_x000d__x000a_{\*\rsidtbl \rsid24658\rsid223860\rsid735077\rsid1718133\rsid2570395\rsid2892074\rsid3565327\rsid4666813\rsid4853714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MATHERS Margarita}{\operator MATHERS Margarita}_x000d__x000a_{\creatim\yr2020\mo9\dy10\hr10}{\revtim\yr2020\mo9\dy10\hr10}{\version1}{\edmins0}{\nofpages1}{\nofwords1}{\nofchars7}{\nofcharsws7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570395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mather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8537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8537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8537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85371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324206 _x000d__x000a_\rtlch\fcs1 \af0\afs20\alang1025 \ltrch\fcs0 \fs24\lang2057\langfe2057\cgrid\langnp2057\langfenp2057 {\rtlch\fcs1 \af1 \ltrch\fcs0 \cs17\v\fs20\cf9\lang1024\langfe1024\loch\af1\hich\af1\dbch\af31501\noproof\insrsid2570395 \hich\af1\dbch\af31501\loch\f1 _x000d__x000a_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e_x000d__x000a_b16a488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212"/>
    <w:docVar w:name="TXTLANGUE" w:val="LT"/>
    <w:docVar w:name="TXTLANGUEMIN" w:val="lt"/>
    <w:docVar w:name="TXTNRPE" w:val="655.423"/>
    <w:docVar w:name="TXTPEorAP" w:val="PE"/>
    <w:docVar w:name="TXTROUTE" w:val="AM\1212866LT.docx"/>
    <w:docVar w:name="TXTVERSION" w:val="01-00"/>
  </w:docVars>
  <w:rsids>
    <w:rsidRoot w:val="00A77B3E"/>
    <w:rsid w:val="0012128A"/>
    <w:rsid w:val="00293892"/>
    <w:rsid w:val="00311EA1"/>
    <w:rsid w:val="005516E4"/>
    <w:rsid w:val="00645C1F"/>
    <w:rsid w:val="008B482A"/>
    <w:rsid w:val="009253DF"/>
    <w:rsid w:val="009B0227"/>
    <w:rsid w:val="00A77B3E"/>
    <w:rsid w:val="00BF77F2"/>
    <w:rsid w:val="00CA2A55"/>
    <w:rsid w:val="00D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DB794-2422-4D8A-8CA4-C2AC40F2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21E435A7.dotm</Template>
  <TotalTime>1</TotalTime>
  <Pages>3</Pages>
  <Words>453</Words>
  <Characters>3310</Characters>
  <Application>Microsoft Office Word</Application>
  <DocSecurity>0</DocSecurity>
  <Lines>115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SKERYS Irmantas</cp:lastModifiedBy>
  <cp:revision>2</cp:revision>
  <dcterms:created xsi:type="dcterms:W3CDTF">2020-09-11T14:21:00Z</dcterms:created>
  <dcterms:modified xsi:type="dcterms:W3CDTF">2020-09-11T14:21:00Z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1212866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20200909-195435-148831-055986</vt:lpwstr>
  </property>
  <property fmtid="{D5CDD505-2E9C-101B-9397-08002B2CF9AE}" pid="7" name="FooterPath">
    <vt:lpwstr>AM\1212866LT.docx</vt:lpwstr>
  </property>
  <property fmtid="{D5CDD505-2E9C-101B-9397-08002B2CF9AE}" pid="8" name="LastEdited with">
    <vt:lpwstr>9.9.1 Build [20200705]</vt:lpwstr>
  </property>
  <property fmtid="{D5CDD505-2E9C-101B-9397-08002B2CF9AE}" pid="9" name="PE Number">
    <vt:lpwstr>655.423</vt:lpwstr>
  </property>
  <property fmtid="{D5CDD505-2E9C-101B-9397-08002B2CF9AE}" pid="10" name="SDLStudio">
    <vt:lpwstr/>
  </property>
  <property fmtid="{D5CDD505-2E9C-101B-9397-08002B2CF9AE}" pid="11" name="UID">
    <vt:lpwstr>eu.europa.europarl-DIN1-2020-0000064241_01.00-en-01.00_text-xml</vt:lpwstr>
  </property>
  <property fmtid="{D5CDD505-2E9C-101B-9397-08002B2CF9AE}" pid="12" name="Bookout">
    <vt:lpwstr>OK - 2020/09/11 16:21</vt:lpwstr>
  </property>
</Properties>
</file>