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F" w:rsidRPr="00E36F2A" w:rsidRDefault="00F24A9F" w:rsidP="00F24A9F">
      <w:pPr>
        <w:pStyle w:val="AmDateTab"/>
      </w:pPr>
      <w:r w:rsidRPr="00E36F2A">
        <w:rPr>
          <w:rStyle w:val="HideTWBExt"/>
          <w:noProof w:val="0"/>
        </w:rPr>
        <w:t>&lt;Amend&gt;&lt;Date&gt;</w:t>
      </w:r>
      <w:r w:rsidRPr="00E36F2A">
        <w:rPr>
          <w:rStyle w:val="HideTWBInt"/>
        </w:rPr>
        <w:t>{13/01/2021}</w:t>
      </w:r>
      <w:r w:rsidRPr="00E36F2A">
        <w:t>13.1.2021</w:t>
      </w:r>
      <w:r w:rsidRPr="00E36F2A">
        <w:rPr>
          <w:rStyle w:val="HideTWBExt"/>
          <w:noProof w:val="0"/>
        </w:rPr>
        <w:t>&lt;/Date&gt;</w:t>
      </w:r>
      <w:r w:rsidRPr="00E36F2A">
        <w:tab/>
      </w:r>
      <w:r w:rsidRPr="00E36F2A">
        <w:rPr>
          <w:rStyle w:val="HideTWBExt"/>
          <w:noProof w:val="0"/>
        </w:rPr>
        <w:t>&lt;ANo&gt;</w:t>
      </w:r>
      <w:r w:rsidRPr="00E36F2A">
        <w:t>A9-0227</w:t>
      </w:r>
      <w:r w:rsidRPr="00E36F2A">
        <w:rPr>
          <w:rStyle w:val="HideTWBExt"/>
          <w:noProof w:val="0"/>
        </w:rPr>
        <w:t>&lt;/ANo&gt;</w:t>
      </w:r>
      <w:r w:rsidRPr="00E36F2A">
        <w:t>/</w:t>
      </w:r>
      <w:r w:rsidRPr="00E36F2A">
        <w:rPr>
          <w:rStyle w:val="HideTWBExt"/>
          <w:noProof w:val="0"/>
        </w:rPr>
        <w:t>&lt;NumAm&gt;</w:t>
      </w:r>
      <w:r w:rsidRPr="00E36F2A">
        <w:t>2</w:t>
      </w:r>
      <w:r w:rsidRPr="00E36F2A">
        <w:rPr>
          <w:rStyle w:val="HideTWBExt"/>
          <w:noProof w:val="0"/>
        </w:rPr>
        <w:t>&lt;/NumAm&gt;</w:t>
      </w:r>
    </w:p>
    <w:p w:rsidR="00F24A9F" w:rsidRPr="00E36F2A" w:rsidRDefault="00F24A9F" w:rsidP="00F24A9F">
      <w:pPr>
        <w:pStyle w:val="AmNumberTabs"/>
      </w:pPr>
      <w:r w:rsidRPr="00E36F2A">
        <w:t>Pakeitimas</w:t>
      </w:r>
      <w:r w:rsidRPr="00E36F2A">
        <w:tab/>
      </w:r>
      <w:r w:rsidRPr="00E36F2A">
        <w:tab/>
      </w:r>
      <w:r w:rsidRPr="00E36F2A">
        <w:rPr>
          <w:rStyle w:val="HideTWBExt"/>
          <w:b w:val="0"/>
          <w:noProof w:val="0"/>
        </w:rPr>
        <w:t>&lt;NumAm&gt;</w:t>
      </w:r>
      <w:r w:rsidRPr="00E36F2A">
        <w:t>2</w:t>
      </w:r>
      <w:r w:rsidRPr="00E36F2A">
        <w:rPr>
          <w:rStyle w:val="HideTWBExt"/>
          <w:b w:val="0"/>
          <w:noProof w:val="0"/>
        </w:rPr>
        <w:t>&lt;/NumAm&gt;</w:t>
      </w:r>
    </w:p>
    <w:p w:rsidR="00F24A9F" w:rsidRPr="00E36F2A" w:rsidRDefault="00F24A9F" w:rsidP="00F24A9F">
      <w:pPr>
        <w:pStyle w:val="NormalBold"/>
      </w:pPr>
      <w:r w:rsidRPr="00E36F2A">
        <w:rPr>
          <w:rStyle w:val="HideTWBExt"/>
          <w:b w:val="0"/>
          <w:noProof w:val="0"/>
        </w:rPr>
        <w:t>&lt;RepeatBlock-By&gt;</w:t>
      </w:r>
      <w:bookmarkStart w:id="0" w:name="By"/>
      <w:r w:rsidRPr="00E36F2A">
        <w:rPr>
          <w:rStyle w:val="HideTWBExt"/>
          <w:b w:val="0"/>
          <w:noProof w:val="0"/>
        </w:rPr>
        <w:t>&lt;By&gt;&lt;Members&gt;</w:t>
      </w:r>
      <w:r w:rsidRPr="00E36F2A">
        <w:t>Irene Tinagli</w:t>
      </w:r>
      <w:r w:rsidRPr="00E36F2A">
        <w:rPr>
          <w:rStyle w:val="HideTWBExt"/>
          <w:b w:val="0"/>
          <w:noProof w:val="0"/>
        </w:rPr>
        <w:t>&lt;/Members&gt;</w:t>
      </w:r>
    </w:p>
    <w:p w:rsidR="00F24A9F" w:rsidRPr="00E36F2A" w:rsidRDefault="00F24A9F" w:rsidP="00F24A9F">
      <w:r w:rsidRPr="00E36F2A">
        <w:rPr>
          <w:rStyle w:val="HideTWBExt"/>
          <w:noProof w:val="0"/>
        </w:rPr>
        <w:t>&lt;AuNomDe&gt;</w:t>
      </w:r>
      <w:r w:rsidRPr="00E36F2A">
        <w:rPr>
          <w:rStyle w:val="HideTWBInt"/>
        </w:rPr>
        <w:t>{ECON}</w:t>
      </w:r>
      <w:r w:rsidRPr="00E36F2A">
        <w:t>Ekonomikos ir pinigų politikos komiteto vardu</w:t>
      </w:r>
      <w:r w:rsidRPr="00E36F2A">
        <w:rPr>
          <w:rStyle w:val="HideTWBExt"/>
          <w:noProof w:val="0"/>
        </w:rPr>
        <w:t>&lt;/AuNomDe&gt;</w:t>
      </w:r>
    </w:p>
    <w:p w:rsidR="00F24A9F" w:rsidRPr="00E36F2A" w:rsidRDefault="00F24A9F" w:rsidP="00F24A9F">
      <w:r w:rsidRPr="00E36F2A">
        <w:rPr>
          <w:rStyle w:val="HideTWBExt"/>
          <w:noProof w:val="0"/>
        </w:rPr>
        <w:t>&lt;/By&gt;</w:t>
      </w:r>
      <w:bookmarkEnd w:id="0"/>
      <w:r w:rsidRPr="00E36F2A">
        <w:rPr>
          <w:rStyle w:val="HideTWBExt"/>
          <w:noProof w:val="0"/>
        </w:rPr>
        <w:t>&lt;/RepeatBlock-By&gt;</w:t>
      </w:r>
    </w:p>
    <w:p w:rsidR="00F24A9F" w:rsidRPr="00E36F2A" w:rsidRDefault="00F24A9F" w:rsidP="00F24A9F">
      <w:pPr>
        <w:pStyle w:val="AmDocTypeTab"/>
      </w:pPr>
      <w:r w:rsidRPr="00E36F2A">
        <w:rPr>
          <w:rStyle w:val="HideTWBExt"/>
          <w:b w:val="0"/>
          <w:noProof w:val="0"/>
        </w:rPr>
        <w:t>&lt;TitreType&gt;</w:t>
      </w:r>
      <w:r w:rsidRPr="00E36F2A">
        <w:t>Pranešimas</w:t>
      </w:r>
      <w:r w:rsidRPr="00E36F2A">
        <w:rPr>
          <w:rStyle w:val="HideTWBExt"/>
          <w:b w:val="0"/>
          <w:noProof w:val="0"/>
        </w:rPr>
        <w:t>&lt;/TitreType&gt;</w:t>
      </w:r>
      <w:r w:rsidRPr="00E36F2A">
        <w:tab/>
        <w:t>A9-0227/2020</w:t>
      </w:r>
    </w:p>
    <w:p w:rsidR="00F24A9F" w:rsidRPr="00E36F2A" w:rsidRDefault="00F24A9F" w:rsidP="00F24A9F">
      <w:pPr>
        <w:pStyle w:val="NormalBold"/>
      </w:pPr>
      <w:r w:rsidRPr="00E36F2A">
        <w:rPr>
          <w:rStyle w:val="HideTWBExt"/>
          <w:b w:val="0"/>
          <w:noProof w:val="0"/>
        </w:rPr>
        <w:t>&lt;Rapporteur&gt;</w:t>
      </w:r>
      <w:r w:rsidRPr="00E36F2A">
        <w:t>Caroline Nagtegaal</w:t>
      </w:r>
      <w:r w:rsidRPr="00E36F2A">
        <w:rPr>
          <w:rStyle w:val="HideTWBExt"/>
          <w:b w:val="0"/>
          <w:noProof w:val="0"/>
        </w:rPr>
        <w:t>&lt;/Rapporteur&gt;</w:t>
      </w:r>
    </w:p>
    <w:p w:rsidR="00F24A9F" w:rsidRPr="00E36F2A" w:rsidRDefault="00F24A9F" w:rsidP="00F24A9F">
      <w:r w:rsidRPr="00E36F2A">
        <w:rPr>
          <w:rStyle w:val="HideTWBExt"/>
          <w:noProof w:val="0"/>
        </w:rPr>
        <w:t>&lt;Titre&gt;</w:t>
      </w:r>
      <w:r w:rsidRPr="00E36F2A">
        <w:t>Tam tikriems trečiųjų šalių užsienio valiutos kurso lyginamiesiems indeksams taikomos išimtys ir tam tikrų lyginamųjų indeksų, kurių teikimas nutraukiamas, pakeičiančių pakaitinių lyginamųjų indeksų nustatymas</w:t>
      </w:r>
      <w:r w:rsidRPr="00E36F2A">
        <w:rPr>
          <w:rStyle w:val="HideTWBExt"/>
          <w:noProof w:val="0"/>
        </w:rPr>
        <w:t>&lt;/Titre&gt;</w:t>
      </w:r>
    </w:p>
    <w:p w:rsidR="00F24A9F" w:rsidRPr="00E36F2A" w:rsidRDefault="00F24A9F" w:rsidP="00F24A9F">
      <w:pPr>
        <w:pStyle w:val="Normal12a"/>
      </w:pPr>
      <w:r w:rsidRPr="00E36F2A">
        <w:rPr>
          <w:rStyle w:val="HideTWBExt"/>
          <w:noProof w:val="0"/>
        </w:rPr>
        <w:t>&lt;DocRef&gt;</w:t>
      </w:r>
      <w:r w:rsidRPr="00E36F2A">
        <w:t>(COM(2020)0337 – C9-0209/2020 – 2020/0154(COD))</w:t>
      </w:r>
      <w:r w:rsidRPr="00E36F2A">
        <w:rPr>
          <w:rStyle w:val="HideTWBExt"/>
          <w:noProof w:val="0"/>
        </w:rPr>
        <w:t>&lt;/DocRef&gt;</w:t>
      </w:r>
    </w:p>
    <w:p w:rsidR="00F24A9F" w:rsidRPr="00E36F2A" w:rsidRDefault="00F24A9F" w:rsidP="00F24A9F">
      <w:pPr>
        <w:pStyle w:val="NormalBold"/>
      </w:pPr>
      <w:r w:rsidRPr="00E36F2A">
        <w:rPr>
          <w:rStyle w:val="HideTWBExt"/>
          <w:b w:val="0"/>
          <w:noProof w:val="0"/>
        </w:rPr>
        <w:t>&lt;DocAmend&gt;</w:t>
      </w:r>
      <w:r w:rsidRPr="00E36F2A">
        <w:t>Pasiūlymas dėl reglamento</w:t>
      </w:r>
      <w:r w:rsidRPr="00E36F2A">
        <w:rPr>
          <w:rStyle w:val="HideTWBExt"/>
          <w:b w:val="0"/>
          <w:noProof w:val="0"/>
        </w:rPr>
        <w:t>&lt;/DocAmend&gt;</w:t>
      </w:r>
    </w:p>
    <w:p w:rsidR="00F24A9F" w:rsidRPr="00E36F2A" w:rsidRDefault="00F24A9F" w:rsidP="00F24A9F">
      <w:pPr>
        <w:pStyle w:val="NormalBold"/>
      </w:pPr>
      <w:r w:rsidRPr="00E36F2A">
        <w:rPr>
          <w:rStyle w:val="HideTWBExt"/>
          <w:b w:val="0"/>
          <w:noProof w:val="0"/>
        </w:rPr>
        <w:t>&lt;Article&gt;</w:t>
      </w:r>
      <w:r w:rsidRPr="00E36F2A">
        <w:t>–</w:t>
      </w:r>
      <w:r w:rsidRPr="00E36F2A">
        <w:rPr>
          <w:rStyle w:val="HideTWBExt"/>
          <w:b w:val="0"/>
          <w:noProof w:val="0"/>
        </w:rPr>
        <w:t>&lt;/Article&gt;</w:t>
      </w:r>
    </w:p>
    <w:p w:rsidR="00F24A9F" w:rsidRPr="00E36F2A" w:rsidRDefault="00F24A9F" w:rsidP="00F24A9F">
      <w:pPr>
        <w:pStyle w:val="AmHeadingConsam"/>
      </w:pPr>
      <w:r w:rsidRPr="00E36F2A">
        <w:t>EUROPOS PARLAMENTO PAKEITIMAI</w:t>
      </w:r>
      <w:r w:rsidRPr="00E36F2A">
        <w:rPr>
          <w:rStyle w:val="FootnoteReference"/>
        </w:rPr>
        <w:footnoteReference w:customMarkFollows="1" w:id="1"/>
        <w:t>*</w:t>
      </w:r>
    </w:p>
    <w:p w:rsidR="00F24A9F" w:rsidRPr="00E36F2A" w:rsidRDefault="00F24A9F" w:rsidP="00F24A9F">
      <w:pPr>
        <w:pStyle w:val="NormalCenter12a"/>
      </w:pPr>
      <w:r w:rsidRPr="00E36F2A">
        <w:t>Komisijos pasiūlymas</w:t>
      </w:r>
    </w:p>
    <w:p w:rsidR="00847DF9" w:rsidRPr="00E36F2A" w:rsidRDefault="00F24A9F" w:rsidP="00F24A9F">
      <w:pPr>
        <w:pStyle w:val="Rfrenceinterinstitutionnelle"/>
        <w:spacing w:line="360" w:lineRule="auto"/>
        <w:ind w:left="0"/>
        <w:jc w:val="center"/>
        <w:rPr>
          <w:b/>
        </w:rPr>
      </w:pPr>
      <w:r w:rsidRPr="00E36F2A">
        <w:t>---------------------------------------------------------</w:t>
      </w:r>
    </w:p>
    <w:p w:rsidR="00367DBE" w:rsidRPr="00E36F2A" w:rsidRDefault="00CD548F" w:rsidP="00EC58EC">
      <w:pPr>
        <w:pStyle w:val="Typedudocument"/>
        <w:spacing w:before="840" w:line="360" w:lineRule="auto"/>
      </w:pPr>
      <w:r w:rsidRPr="00E36F2A">
        <w:t>EUROPOS PARLAMENTO IR TARYBOS</w:t>
      </w:r>
      <w:r w:rsidRPr="00E36F2A">
        <w:br/>
        <w:t>REGLAMENTAS (ES) 202</w:t>
      </w:r>
      <w:r w:rsidR="001F1D51" w:rsidRPr="00E36F2A">
        <w:t>1</w:t>
      </w:r>
      <w:r w:rsidRPr="00E36F2A">
        <w:t>/...</w:t>
      </w:r>
    </w:p>
    <w:p w:rsidR="00EC58EC" w:rsidRPr="00E36F2A" w:rsidRDefault="00CD548F" w:rsidP="00EC58EC">
      <w:pPr>
        <w:pStyle w:val="Titreobjet"/>
        <w:spacing w:after="0" w:line="360" w:lineRule="auto"/>
      </w:pPr>
      <w:r w:rsidRPr="00E36F2A">
        <w:t>... m. ... ... d.</w:t>
      </w:r>
    </w:p>
    <w:p w:rsidR="00367DBE" w:rsidRPr="00E36F2A" w:rsidRDefault="00847DF9" w:rsidP="00831AF8">
      <w:pPr>
        <w:pStyle w:val="Titreobjet"/>
        <w:spacing w:line="360" w:lineRule="auto"/>
      </w:pPr>
      <w:r w:rsidRPr="00E36F2A">
        <w:t xml:space="preserve">kuriuo </w:t>
      </w:r>
      <w:r w:rsidR="00552E75" w:rsidRPr="00E36F2A">
        <w:t xml:space="preserve">iš dalies keičiamas Reglamentas (ES) 2016/1011, kiek tai susiję su </w:t>
      </w:r>
      <w:r w:rsidRPr="00E36F2A">
        <w:t xml:space="preserve">tam tikriems trečiųjų šalių </w:t>
      </w:r>
      <w:r w:rsidR="00763CCD" w:rsidRPr="00E36F2A">
        <w:t xml:space="preserve">neatidėliotino </w:t>
      </w:r>
      <w:r w:rsidRPr="00E36F2A">
        <w:t>užsienio valiutos kurso lyginamiesiems indeksams taikom</w:t>
      </w:r>
      <w:r w:rsidR="00552E75" w:rsidRPr="00E36F2A">
        <w:t>a</w:t>
      </w:r>
      <w:r w:rsidRPr="00E36F2A">
        <w:t xml:space="preserve"> išimti</w:t>
      </w:r>
      <w:r w:rsidR="00552E75" w:rsidRPr="00E36F2A">
        <w:t>mi</w:t>
      </w:r>
      <w:r w:rsidRPr="00E36F2A">
        <w:t xml:space="preserve"> ir tam tikrus lyginamuosius indeksus, kurių teikimas nutraukiamas, pakeičiančių pakaitinių lyginamųjų indeksų nustatym</w:t>
      </w:r>
      <w:r w:rsidR="00552E75" w:rsidRPr="00E36F2A">
        <w:t>u</w:t>
      </w:r>
      <w:r w:rsidR="00E85E1D" w:rsidRPr="00E36F2A">
        <w:t>,</w:t>
      </w:r>
      <w:r w:rsidR="008F39AE" w:rsidRPr="00E36F2A">
        <w:t xml:space="preserve"> </w:t>
      </w:r>
      <w:r w:rsidRPr="00E36F2A">
        <w:rPr>
          <w:i/>
        </w:rPr>
        <w:t xml:space="preserve">ir </w:t>
      </w:r>
      <w:r w:rsidR="00E85E1D" w:rsidRPr="00E36F2A">
        <w:rPr>
          <w:i/>
        </w:rPr>
        <w:t xml:space="preserve">iš dalies keičiamas </w:t>
      </w:r>
      <w:r w:rsidRPr="00E36F2A">
        <w:rPr>
          <w:i/>
        </w:rPr>
        <w:t>Reglamentas Nr. 648/2012</w:t>
      </w:r>
    </w:p>
    <w:p w:rsidR="00367DBE" w:rsidRPr="00E36F2A" w:rsidRDefault="00847DF9" w:rsidP="00EC58EC">
      <w:pPr>
        <w:pStyle w:val="IntrtEEE"/>
        <w:spacing w:before="0" w:after="0" w:line="360" w:lineRule="auto"/>
      </w:pPr>
      <w:r w:rsidRPr="00E36F2A">
        <w:t>(Tekstas svarbus EEE)</w:t>
      </w:r>
    </w:p>
    <w:p w:rsidR="008F39AE" w:rsidRPr="00E36F2A" w:rsidRDefault="008F39AE">
      <w:pPr>
        <w:spacing w:before="0" w:after="200" w:line="276" w:lineRule="auto"/>
        <w:rPr>
          <w:color w:val="000000" w:themeColor="text1"/>
        </w:rPr>
      </w:pPr>
      <w:r w:rsidRPr="00E36F2A">
        <w:rPr>
          <w:color w:val="000000" w:themeColor="text1"/>
        </w:rPr>
        <w:br w:type="page"/>
      </w:r>
    </w:p>
    <w:p w:rsidR="00367DBE" w:rsidRPr="00E36F2A" w:rsidRDefault="00367DBE" w:rsidP="00EC58EC">
      <w:pPr>
        <w:pStyle w:val="Institutionquiagit"/>
        <w:tabs>
          <w:tab w:val="left" w:pos="851"/>
          <w:tab w:val="left" w:pos="1418"/>
          <w:tab w:val="left" w:pos="1985"/>
          <w:tab w:val="left" w:pos="2552"/>
        </w:tabs>
        <w:spacing w:line="360" w:lineRule="auto"/>
        <w:rPr>
          <w:color w:val="000000" w:themeColor="text1"/>
        </w:rPr>
      </w:pPr>
      <w:r w:rsidRPr="00E36F2A">
        <w:rPr>
          <w:color w:val="000000" w:themeColor="text1"/>
        </w:rPr>
        <w:lastRenderedPageBreak/>
        <w:t>EUROPOS PARLAMENTAS IR EUROPOS SĄJUNGOS TARYBA,</w:t>
      </w:r>
    </w:p>
    <w:p w:rsidR="00367DBE" w:rsidRPr="00E36F2A" w:rsidRDefault="00367DBE" w:rsidP="003326B6">
      <w:pPr>
        <w:tabs>
          <w:tab w:val="left" w:pos="851"/>
          <w:tab w:val="left" w:pos="1418"/>
          <w:tab w:val="left" w:pos="1985"/>
          <w:tab w:val="left" w:pos="2552"/>
        </w:tabs>
        <w:spacing w:line="360" w:lineRule="auto"/>
        <w:rPr>
          <w:color w:val="000000" w:themeColor="text1"/>
        </w:rPr>
      </w:pPr>
      <w:r w:rsidRPr="00E36F2A">
        <w:t>atsižvelgdami į Sutartį dėl Europos Sąjungos veikimo, ypač į jos 114 straipsnį,</w:t>
      </w:r>
    </w:p>
    <w:p w:rsidR="00367DBE" w:rsidRPr="00E36F2A" w:rsidRDefault="00367DBE">
      <w:pPr>
        <w:tabs>
          <w:tab w:val="left" w:pos="851"/>
          <w:tab w:val="left" w:pos="1418"/>
          <w:tab w:val="left" w:pos="1985"/>
          <w:tab w:val="left" w:pos="2552"/>
        </w:tabs>
        <w:spacing w:line="360" w:lineRule="auto"/>
        <w:rPr>
          <w:color w:val="000000" w:themeColor="text1"/>
        </w:rPr>
      </w:pPr>
      <w:r w:rsidRPr="00E36F2A">
        <w:rPr>
          <w:color w:val="000000" w:themeColor="text1"/>
        </w:rPr>
        <w:t>atsižvelgdami į Europos Komisijos pasiūlymą,</w:t>
      </w:r>
    </w:p>
    <w:p w:rsidR="00367DBE" w:rsidRPr="00E36F2A" w:rsidRDefault="00367DBE">
      <w:pPr>
        <w:tabs>
          <w:tab w:val="left" w:pos="851"/>
          <w:tab w:val="left" w:pos="1418"/>
          <w:tab w:val="left" w:pos="1985"/>
          <w:tab w:val="left" w:pos="2552"/>
        </w:tabs>
        <w:spacing w:line="360" w:lineRule="auto"/>
        <w:rPr>
          <w:color w:val="000000" w:themeColor="text1"/>
        </w:rPr>
      </w:pPr>
      <w:r w:rsidRPr="00E36F2A">
        <w:rPr>
          <w:color w:val="000000" w:themeColor="text1"/>
        </w:rPr>
        <w:t>teisėkūros procedūra priimamo akto projektą perdavus nacionaliniams parlamentams,</w:t>
      </w:r>
    </w:p>
    <w:p w:rsidR="007A7580" w:rsidRPr="00E36F2A" w:rsidRDefault="007A7580" w:rsidP="00A87ABB">
      <w:pPr>
        <w:spacing w:line="360" w:lineRule="auto"/>
        <w:ind w:right="-108"/>
        <w:rPr>
          <w:color w:val="000000" w:themeColor="text1"/>
        </w:rPr>
      </w:pPr>
      <w:r w:rsidRPr="00E36F2A">
        <w:rPr>
          <w:b/>
          <w:i/>
          <w:color w:val="000000" w:themeColor="text1"/>
          <w:szCs w:val="24"/>
        </w:rPr>
        <w:t>atsižvelgdami į Europos Centrinio Banko nuomonę</w:t>
      </w:r>
      <w:r w:rsidR="00706EDE" w:rsidRPr="00E36F2A">
        <w:rPr>
          <w:rStyle w:val="FootnoteReference"/>
          <w:b/>
          <w:i/>
          <w:color w:val="000000" w:themeColor="text1"/>
          <w:szCs w:val="24"/>
        </w:rPr>
        <w:footnoteReference w:id="2"/>
      </w:r>
      <w:r w:rsidRPr="00E36F2A">
        <w:rPr>
          <w:b/>
          <w:i/>
          <w:color w:val="000000" w:themeColor="text1"/>
          <w:szCs w:val="24"/>
        </w:rPr>
        <w:t>,</w:t>
      </w:r>
    </w:p>
    <w:p w:rsidR="00367DBE" w:rsidRPr="00E36F2A" w:rsidRDefault="00367DBE" w:rsidP="003326B6">
      <w:pPr>
        <w:tabs>
          <w:tab w:val="left" w:pos="851"/>
          <w:tab w:val="left" w:pos="1418"/>
          <w:tab w:val="left" w:pos="1985"/>
          <w:tab w:val="left" w:pos="2552"/>
        </w:tabs>
        <w:spacing w:line="360" w:lineRule="auto"/>
        <w:rPr>
          <w:color w:val="000000" w:themeColor="text1"/>
        </w:rPr>
      </w:pPr>
      <w:r w:rsidRPr="00E36F2A">
        <w:rPr>
          <w:color w:val="000000" w:themeColor="text1"/>
        </w:rPr>
        <w:t>atsižvelgdami į Europos ekonomikos ir socialinių reikalų komiteto nuomonę</w:t>
      </w:r>
      <w:r w:rsidRPr="00E36F2A">
        <w:rPr>
          <w:rStyle w:val="FootnoteReference"/>
          <w:color w:val="000000" w:themeColor="text1"/>
        </w:rPr>
        <w:footnoteReference w:id="3"/>
      </w:r>
      <w:r w:rsidRPr="00E36F2A">
        <w:rPr>
          <w:color w:val="000000" w:themeColor="text1"/>
        </w:rPr>
        <w:t>,</w:t>
      </w:r>
    </w:p>
    <w:p w:rsidR="00367DBE" w:rsidRPr="00E36F2A" w:rsidRDefault="00367DBE">
      <w:pPr>
        <w:tabs>
          <w:tab w:val="left" w:pos="851"/>
          <w:tab w:val="left" w:pos="1418"/>
          <w:tab w:val="left" w:pos="1985"/>
          <w:tab w:val="left" w:pos="2552"/>
        </w:tabs>
        <w:spacing w:line="360" w:lineRule="auto"/>
        <w:rPr>
          <w:color w:val="000000" w:themeColor="text1"/>
        </w:rPr>
      </w:pPr>
      <w:r w:rsidRPr="00E36F2A">
        <w:t>laikydamiesi įprastos teisėkūros procedūros</w:t>
      </w:r>
      <w:r w:rsidR="00C318FB" w:rsidRPr="00E36F2A">
        <w:rPr>
          <w:rStyle w:val="FootnoteReference"/>
          <w:rFonts w:eastAsia="Calibri"/>
        </w:rPr>
        <w:footnoteReference w:id="4"/>
      </w:r>
      <w:r w:rsidRPr="00E36F2A">
        <w:t>,</w:t>
      </w:r>
    </w:p>
    <w:p w:rsidR="00367DBE" w:rsidRPr="00E36F2A" w:rsidRDefault="00EC58EC" w:rsidP="00EC58EC">
      <w:pPr>
        <w:tabs>
          <w:tab w:val="left" w:pos="851"/>
          <w:tab w:val="left" w:pos="1418"/>
          <w:tab w:val="left" w:pos="1985"/>
          <w:tab w:val="left" w:pos="2552"/>
        </w:tabs>
        <w:spacing w:line="360" w:lineRule="auto"/>
        <w:rPr>
          <w:color w:val="000000" w:themeColor="text1"/>
        </w:rPr>
      </w:pPr>
      <w:r w:rsidRPr="00E36F2A">
        <w:br w:type="page"/>
      </w:r>
      <w:r w:rsidR="00367DBE" w:rsidRPr="00E36F2A">
        <w:rPr>
          <w:color w:val="000000" w:themeColor="text1"/>
        </w:rPr>
        <w:lastRenderedPageBreak/>
        <w:t>kadangi:</w:t>
      </w:r>
    </w:p>
    <w:p w:rsidR="001C43CE" w:rsidRPr="00E36F2A" w:rsidRDefault="00C318FB" w:rsidP="00FF459B">
      <w:pPr>
        <w:pStyle w:val="Considrant"/>
        <w:numPr>
          <w:ilvl w:val="0"/>
          <w:numId w:val="0"/>
        </w:numPr>
        <w:tabs>
          <w:tab w:val="left" w:pos="851"/>
          <w:tab w:val="left" w:pos="1418"/>
          <w:tab w:val="left" w:pos="1985"/>
          <w:tab w:val="left" w:pos="2552"/>
        </w:tabs>
        <w:spacing w:line="360" w:lineRule="auto"/>
        <w:ind w:left="851" w:hanging="851"/>
      </w:pPr>
      <w:r w:rsidRPr="00E36F2A">
        <w:t>(1)</w:t>
      </w:r>
      <w:r w:rsidRPr="00E36F2A">
        <w:tab/>
        <w:t>Sąjungos įmonės, siekdamos apsidrausti nuo užsienio valiutų, kurios nėra laisvai konvertuojamos</w:t>
      </w:r>
      <w:r w:rsidR="0032613D" w:rsidRPr="00E36F2A">
        <w:t xml:space="preserve"> į bazinę valiutą,</w:t>
      </w:r>
      <w:r w:rsidRPr="00E36F2A">
        <w:t xml:space="preserve"> arba</w:t>
      </w:r>
      <w:r w:rsidR="0032613D" w:rsidRPr="00E36F2A">
        <w:t xml:space="preserve"> valiutų,</w:t>
      </w:r>
      <w:r w:rsidRPr="00E36F2A">
        <w:t xml:space="preserve"> kurių kursas kontroliuojamas, </w:t>
      </w:r>
      <w:r w:rsidRPr="00E36F2A">
        <w:rPr>
          <w:b/>
          <w:i/>
        </w:rPr>
        <w:t>nepalankių</w:t>
      </w:r>
      <w:r w:rsidRPr="00E36F2A">
        <w:t xml:space="preserve"> kursų </w:t>
      </w:r>
      <w:r w:rsidRPr="00E36F2A">
        <w:rPr>
          <w:b/>
          <w:i/>
        </w:rPr>
        <w:t>pokyčių</w:t>
      </w:r>
      <w:r w:rsidRPr="00E36F2A">
        <w:t xml:space="preserve">, sudaro </w:t>
      </w:r>
      <w:r w:rsidRPr="00E36F2A">
        <w:rPr>
          <w:b/>
          <w:i/>
        </w:rPr>
        <w:t>valiutos išvestines finansines priemones, pavyzdžiui,</w:t>
      </w:r>
      <w:r w:rsidRPr="00E36F2A">
        <w:t xml:space="preserve"> išankstinius ir apsikeitimo valiutos sandorius be apsikeitimo pagrindine suma. Jeigu Sąjungos įmonės, eksportuojančios į besiformuojančias rinkas arba tose rinkose turinčios </w:t>
      </w:r>
      <w:r w:rsidRPr="00E36F2A">
        <w:rPr>
          <w:b/>
          <w:i/>
        </w:rPr>
        <w:t>įsipareigojimų</w:t>
      </w:r>
      <w:r w:rsidRPr="00E36F2A">
        <w:t xml:space="preserve">, negalės naudotis </w:t>
      </w:r>
      <w:r w:rsidRPr="00E36F2A">
        <w:rPr>
          <w:b/>
          <w:i/>
        </w:rPr>
        <w:t>neatidėliotino</w:t>
      </w:r>
      <w:r w:rsidRPr="00E36F2A">
        <w:t xml:space="preserve"> užsienio valiutos </w:t>
      </w:r>
      <w:r w:rsidRPr="00E36F2A">
        <w:rPr>
          <w:b/>
          <w:i/>
        </w:rPr>
        <w:t>kurso lyginamaisiais indeksais</w:t>
      </w:r>
      <w:r w:rsidRPr="00E36F2A">
        <w:t xml:space="preserve"> apskaičiuo</w:t>
      </w:r>
      <w:r w:rsidR="00FF459B" w:rsidRPr="00E36F2A">
        <w:t>jant</w:t>
      </w:r>
      <w:r w:rsidRPr="00E36F2A">
        <w:t xml:space="preserve"> išmokėtinas sumas pagal valiutos </w:t>
      </w:r>
      <w:r w:rsidRPr="00E36F2A">
        <w:rPr>
          <w:b/>
          <w:i/>
        </w:rPr>
        <w:t>išvestines finansines priemones</w:t>
      </w:r>
      <w:r w:rsidRPr="00E36F2A">
        <w:t>, jos patirs neigiamą poveikį, nes nebebus apsaugotos nuo besiformuojančių rinkų valiutų kursų svyravimo rizikos. Pasibaigus laikotarpiui</w:t>
      </w:r>
      <w:r w:rsidR="00FC6575" w:rsidRPr="00E36F2A">
        <w:t>, kuris baigiasi 2021 m. gruodžio 31 d.</w:t>
      </w:r>
      <w:r w:rsidRPr="00E36F2A">
        <w:t xml:space="preserve">, nustatytam Europos Parlamento ir Tarybos </w:t>
      </w:r>
      <w:r w:rsidRPr="00E36F2A">
        <w:rPr>
          <w:b/>
          <w:i/>
        </w:rPr>
        <w:t>reglamente</w:t>
      </w:r>
      <w:r w:rsidRPr="00E36F2A">
        <w:t xml:space="preserve"> (ES) 2016/1011</w:t>
      </w:r>
      <w:r w:rsidR="009B38D3" w:rsidRPr="00E36F2A">
        <w:rPr>
          <w:rStyle w:val="FootnoteReference"/>
        </w:rPr>
        <w:footnoteReference w:id="5"/>
      </w:r>
      <w:r w:rsidRPr="00E36F2A">
        <w:t xml:space="preserve"> </w:t>
      </w:r>
      <w:r w:rsidR="0032613D" w:rsidRPr="00E36F2A">
        <w:t>(toliau – pereinamasis laikotarpis)</w:t>
      </w:r>
      <w:r w:rsidR="008F39AE" w:rsidRPr="00E36F2A">
        <w:t xml:space="preserve"> </w:t>
      </w:r>
      <w:r w:rsidRPr="00E36F2A">
        <w:t>▌, naudotis administratoriaus</w:t>
      </w:r>
      <w:r w:rsidR="0032613D" w:rsidRPr="00E36F2A">
        <w:t>, esančio trečiojoje šalyje</w:t>
      </w:r>
      <w:r w:rsidRPr="00E36F2A">
        <w:t xml:space="preserve">, teikiamais </w:t>
      </w:r>
      <w:r w:rsidRPr="00E36F2A">
        <w:rPr>
          <w:b/>
          <w:i/>
        </w:rPr>
        <w:t>neatidėliotino</w:t>
      </w:r>
      <w:r w:rsidRPr="00E36F2A">
        <w:t xml:space="preserve"> užsienio valiutos </w:t>
      </w:r>
      <w:r w:rsidRPr="00E36F2A">
        <w:rPr>
          <w:b/>
          <w:i/>
        </w:rPr>
        <w:t>kurso lyginamaisiais indeksais</w:t>
      </w:r>
      <w:r w:rsidR="0032613D" w:rsidRPr="00E36F2A">
        <w:rPr>
          <w:b/>
          <w:i/>
        </w:rPr>
        <w:t>,</w:t>
      </w:r>
      <w:r w:rsidR="0032613D" w:rsidRPr="00E36F2A">
        <w:t xml:space="preserve"> išskyrus centrinį banką,</w:t>
      </w:r>
      <w:r w:rsidR="008F39AE" w:rsidRPr="00E36F2A">
        <w:t xml:space="preserve"> </w:t>
      </w:r>
      <w:r w:rsidRPr="00E36F2A">
        <w:t>bus nebeįmanoma;</w:t>
      </w:r>
    </w:p>
    <w:p w:rsidR="00695E70" w:rsidRPr="00E36F2A" w:rsidRDefault="00C318FB" w:rsidP="00FF459B">
      <w:pPr>
        <w:pStyle w:val="Considrant"/>
        <w:numPr>
          <w:ilvl w:val="0"/>
          <w:numId w:val="0"/>
        </w:numPr>
        <w:tabs>
          <w:tab w:val="left" w:pos="851"/>
          <w:tab w:val="left" w:pos="1418"/>
          <w:tab w:val="left" w:pos="1985"/>
          <w:tab w:val="left" w:pos="2552"/>
        </w:tabs>
        <w:spacing w:line="360" w:lineRule="auto"/>
        <w:ind w:left="851" w:hanging="851"/>
      </w:pPr>
      <w:r w:rsidRPr="00E36F2A">
        <w:t>(2)</w:t>
      </w:r>
      <w:r w:rsidRPr="00E36F2A">
        <w:tab/>
        <w:t>siekiant Sąjungos įmonėms sudaryti sąlygas tęsti savo verslo veiklą, kartu švelninant užsienio valiutos kurso riziką,</w:t>
      </w:r>
      <w:r w:rsidRPr="00E36F2A">
        <w:rPr>
          <w:b/>
          <w:i/>
        </w:rPr>
        <w:t xml:space="preserve"> tam tikriems neatidėliotino užsienio valiutos kurso lyginamiesiems indeksams, kurie finansinėse priemonėse naudojami</w:t>
      </w:r>
      <w:r w:rsidRPr="00E36F2A">
        <w:t xml:space="preserve"> išmokėtinoms sumoms ▌apskaičiuoti</w:t>
      </w:r>
      <w:r w:rsidR="00FC6575" w:rsidRPr="00E36F2A">
        <w:t xml:space="preserve"> </w:t>
      </w:r>
      <w:r w:rsidRPr="00E36F2A">
        <w:t>▌</w:t>
      </w:r>
      <w:r w:rsidR="00FF459B" w:rsidRPr="00E36F2A">
        <w:t xml:space="preserve">ir </w:t>
      </w:r>
      <w:r w:rsidR="00FF459B" w:rsidRPr="00E36F2A">
        <w:rPr>
          <w:b/>
          <w:i/>
        </w:rPr>
        <w:t>kuriuos Komisija nustato remdamasi tam tikrais kriterijais</w:t>
      </w:r>
      <w:r w:rsidRPr="00E36F2A">
        <w:t>, Reglamentas (ES) 2016/1011 neturėtų būti taikomas;</w:t>
      </w:r>
    </w:p>
    <w:p w:rsidR="007A7580" w:rsidRPr="00E36F2A" w:rsidRDefault="007A7580" w:rsidP="00136B36">
      <w:pPr>
        <w:tabs>
          <w:tab w:val="left" w:pos="851"/>
        </w:tabs>
        <w:spacing w:before="0" w:after="200" w:line="276" w:lineRule="auto"/>
        <w:ind w:left="851" w:hanging="851"/>
      </w:pPr>
      <w:r w:rsidRPr="00E36F2A">
        <w:br w:type="page"/>
      </w:r>
    </w:p>
    <w:p w:rsidR="007A7580" w:rsidRPr="00E36F2A" w:rsidRDefault="007A7580" w:rsidP="00FF459B">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rPr>
        <w:lastRenderedPageBreak/>
        <w:t>(</w:t>
      </w:r>
      <w:r w:rsidR="00FC6575" w:rsidRPr="00E36F2A">
        <w:rPr>
          <w:b/>
          <w:i/>
        </w:rPr>
        <w:t>3</w:t>
      </w:r>
      <w:r w:rsidRPr="00E36F2A">
        <w:rPr>
          <w:b/>
          <w:i/>
        </w:rPr>
        <w:t>)</w:t>
      </w:r>
      <w:r w:rsidRPr="00E36F2A">
        <w:rPr>
          <w:b/>
          <w:i/>
        </w:rPr>
        <w:tab/>
        <w:t xml:space="preserve">atsižvelgiant į tai, kad reikia atlikti išsamią </w:t>
      </w:r>
      <w:r w:rsidR="00FC6575" w:rsidRPr="00E36F2A">
        <w:rPr>
          <w:b/>
          <w:i/>
        </w:rPr>
        <w:t xml:space="preserve">Reglamento (ES) 2016/1011 </w:t>
      </w:r>
      <w:r w:rsidRPr="00E36F2A">
        <w:rPr>
          <w:b/>
          <w:i/>
        </w:rPr>
        <w:t xml:space="preserve">taikymo srities ir </w:t>
      </w:r>
      <w:r w:rsidR="0032613D" w:rsidRPr="00E36F2A">
        <w:rPr>
          <w:b/>
          <w:i/>
        </w:rPr>
        <w:t xml:space="preserve">jo </w:t>
      </w:r>
      <w:r w:rsidRPr="00E36F2A">
        <w:rPr>
          <w:b/>
          <w:i/>
        </w:rPr>
        <w:t xml:space="preserve">nuostatų, susijusių su </w:t>
      </w:r>
      <w:r w:rsidR="00FF459B" w:rsidRPr="00E36F2A">
        <w:rPr>
          <w:b/>
          <w:i/>
        </w:rPr>
        <w:t xml:space="preserve">trečiosiose šalyse įsikūrusių administratorių teikiamais lyginamaisiais indeksais (toliau – </w:t>
      </w:r>
      <w:r w:rsidRPr="00E36F2A">
        <w:rPr>
          <w:b/>
          <w:i/>
        </w:rPr>
        <w:t>trečiųjų šalių lyginam</w:t>
      </w:r>
      <w:r w:rsidR="00FF459B" w:rsidRPr="00E36F2A">
        <w:rPr>
          <w:b/>
          <w:i/>
        </w:rPr>
        <w:t xml:space="preserve">ieji </w:t>
      </w:r>
      <w:r w:rsidRPr="00E36F2A">
        <w:rPr>
          <w:b/>
          <w:i/>
        </w:rPr>
        <w:t>indeksai</w:t>
      </w:r>
      <w:r w:rsidR="00FF459B" w:rsidRPr="00E36F2A">
        <w:rPr>
          <w:b/>
          <w:i/>
        </w:rPr>
        <w:t>)</w:t>
      </w:r>
      <w:r w:rsidRPr="00E36F2A">
        <w:rPr>
          <w:b/>
          <w:i/>
        </w:rPr>
        <w:t>, peržiūrą, dabartinis pereinamasis laikotarpis, susijęs su trečiųjų šalių lyginamaisiais indeksais, turėtų būti pratęstas. Komisijai turėtų būti suteikti įgaliojimai deleguotuoju aktu dar kartą pratęsti pereinamąjį laikotarpį ne ilgesniam kaip dvejų metų laikotarpiui, jei atlikus vertinimą</w:t>
      </w:r>
      <w:r w:rsidR="0032613D" w:rsidRPr="00E36F2A">
        <w:rPr>
          <w:b/>
          <w:i/>
        </w:rPr>
        <w:t>, kuriuo grindžiama ta peržiūra,</w:t>
      </w:r>
      <w:r w:rsidRPr="00E36F2A">
        <w:rPr>
          <w:b/>
          <w:i/>
        </w:rPr>
        <w:t xml:space="preserve"> paaiškėja, kad numatyta</w:t>
      </w:r>
      <w:r w:rsidR="00FF459B" w:rsidRPr="00E36F2A">
        <w:rPr>
          <w:b/>
          <w:i/>
        </w:rPr>
        <w:t>s</w:t>
      </w:r>
      <w:r w:rsidRPr="00E36F2A">
        <w:rPr>
          <w:b/>
          <w:i/>
        </w:rPr>
        <w:t xml:space="preserve"> pereinam</w:t>
      </w:r>
      <w:r w:rsidR="00FF459B" w:rsidRPr="00E36F2A">
        <w:rPr>
          <w:b/>
          <w:i/>
        </w:rPr>
        <w:t>ojo</w:t>
      </w:r>
      <w:r w:rsidRPr="00E36F2A">
        <w:rPr>
          <w:b/>
          <w:i/>
        </w:rPr>
        <w:t xml:space="preserve"> laikotarpi</w:t>
      </w:r>
      <w:r w:rsidR="00FF459B" w:rsidRPr="00E36F2A">
        <w:rPr>
          <w:b/>
          <w:i/>
        </w:rPr>
        <w:t>o pasibaigimas</w:t>
      </w:r>
      <w:r w:rsidRPr="00E36F2A">
        <w:rPr>
          <w:b/>
          <w:i/>
        </w:rPr>
        <w:t xml:space="preserve"> pakenkt</w:t>
      </w:r>
      <w:r w:rsidR="00FF459B" w:rsidRPr="00E36F2A">
        <w:rPr>
          <w:b/>
          <w:i/>
        </w:rPr>
        <w:t>ų</w:t>
      </w:r>
      <w:r w:rsidRPr="00E36F2A">
        <w:rPr>
          <w:b/>
          <w:i/>
        </w:rPr>
        <w:t xml:space="preserve"> tolesniam trečiųjų šalių lyginamųjų indeksų naudojimui Sąjungoje </w:t>
      </w:r>
      <w:r w:rsidR="009A6B3A" w:rsidRPr="00E36F2A">
        <w:rPr>
          <w:b/>
          <w:i/>
        </w:rPr>
        <w:t>arba</w:t>
      </w:r>
      <w:r w:rsidRPr="00E36F2A">
        <w:rPr>
          <w:b/>
          <w:i/>
        </w:rPr>
        <w:t xml:space="preserve"> keltų grėsmę finansiniam stabilumui; </w:t>
      </w:r>
    </w:p>
    <w:p w:rsidR="007A7580" w:rsidRPr="00E36F2A" w:rsidRDefault="007A7580">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rPr>
        <w:t>(</w:t>
      </w:r>
      <w:r w:rsidR="00FC6575" w:rsidRPr="00E36F2A">
        <w:rPr>
          <w:b/>
          <w:i/>
        </w:rPr>
        <w:t>4</w:t>
      </w:r>
      <w:r w:rsidRPr="00E36F2A">
        <w:rPr>
          <w:b/>
          <w:i/>
        </w:rPr>
        <w:t>)</w:t>
      </w:r>
      <w:r w:rsidRPr="00E36F2A">
        <w:rPr>
          <w:b/>
          <w:i/>
        </w:rPr>
        <w:tab/>
        <w:t xml:space="preserve">trečiųjų šalių lyginamųjų indeksų naudojimo pereinamojo laikotarpio pratęsimas gali paskatinti Sąjungos lyginamųjų indeksų administratorius perkelti savo veiklą į trečiąją šalį, kad jiems nebūtų taikomi Reglamento (ES) 2016/1011 reikalavimai. Siekiant užkirsti kelią tokiam apėjimui, administratoriai, kurie pereinamuoju laikotarpiu perkelia savo veiklą iš Sąjungos į trečiąją šalį, </w:t>
      </w:r>
      <w:r w:rsidR="0032613D" w:rsidRPr="00E36F2A">
        <w:rPr>
          <w:b/>
          <w:i/>
        </w:rPr>
        <w:t xml:space="preserve">turėtų neturėti </w:t>
      </w:r>
      <w:r w:rsidRPr="00E36F2A">
        <w:rPr>
          <w:b/>
          <w:i/>
        </w:rPr>
        <w:t>galimybės veikti Sąjungos rinkoje</w:t>
      </w:r>
      <w:r w:rsidR="00FC6575" w:rsidRPr="00E36F2A">
        <w:rPr>
          <w:b/>
          <w:i/>
        </w:rPr>
        <w:t>, jei jie neatitinka Reglamento (ES) 2016/1011 reikalavimų</w:t>
      </w:r>
      <w:r w:rsidRPr="00E36F2A">
        <w:rPr>
          <w:b/>
          <w:i/>
        </w:rPr>
        <w:t>;</w:t>
      </w:r>
    </w:p>
    <w:p w:rsidR="00367DBE" w:rsidRPr="00E36F2A" w:rsidRDefault="007A7580">
      <w:pPr>
        <w:pStyle w:val="Considrant"/>
        <w:numPr>
          <w:ilvl w:val="0"/>
          <w:numId w:val="0"/>
        </w:numPr>
        <w:tabs>
          <w:tab w:val="left" w:pos="851"/>
          <w:tab w:val="left" w:pos="1418"/>
          <w:tab w:val="left" w:pos="1985"/>
          <w:tab w:val="left" w:pos="2552"/>
        </w:tabs>
        <w:spacing w:line="360" w:lineRule="auto"/>
        <w:ind w:left="851" w:hanging="851"/>
      </w:pPr>
      <w:r w:rsidRPr="00E36F2A">
        <w:br w:type="page"/>
      </w:r>
      <w:r w:rsidR="00C318FB" w:rsidRPr="00E36F2A">
        <w:lastRenderedPageBreak/>
        <w:t>(</w:t>
      </w:r>
      <w:r w:rsidR="00FC6575" w:rsidRPr="00E36F2A">
        <w:t>5</w:t>
      </w:r>
      <w:r w:rsidR="00C318FB" w:rsidRPr="00E36F2A">
        <w:t>)</w:t>
      </w:r>
      <w:r w:rsidR="00C318FB" w:rsidRPr="00E36F2A">
        <w:tab/>
      </w:r>
      <w:r w:rsidR="004C498A" w:rsidRPr="00E36F2A">
        <w:t xml:space="preserve">nuo </w:t>
      </w:r>
      <w:r w:rsidR="00C318FB" w:rsidRPr="00E36F2A">
        <w:rPr>
          <w:b/>
          <w:i/>
        </w:rPr>
        <w:t>2020 m. gruodžio 31 d.</w:t>
      </w:r>
      <w:r w:rsidR="004C498A" w:rsidRPr="00E36F2A">
        <w:rPr>
          <w:b/>
          <w:i/>
        </w:rPr>
        <w:t>,</w:t>
      </w:r>
      <w:r w:rsidR="00C318FB" w:rsidRPr="00E36F2A">
        <w:rPr>
          <w:b/>
          <w:i/>
        </w:rPr>
        <w:t xml:space="preserve"> pasibaigus Jungtinės Karalystės pasitraukimo iš Europos Sąjungos pereinamajam laikotarpiui pagal Susitarimą dėl Jungtinės Didžiosios Britanijos ir Šiaurės Airijos Karalystės išstojimo iš Europos Sąjungos</w:t>
      </w:r>
      <w:r w:rsidR="00B454B4" w:rsidRPr="00E36F2A">
        <w:rPr>
          <w:rStyle w:val="FootnoteReference"/>
          <w:b/>
          <w:i/>
        </w:rPr>
        <w:footnoteReference w:id="6"/>
      </w:r>
      <w:r w:rsidR="004C498A" w:rsidRPr="00E36F2A">
        <w:rPr>
          <w:b/>
          <w:i/>
        </w:rPr>
        <w:t>,</w:t>
      </w:r>
      <w:r w:rsidR="00C318FB" w:rsidRPr="00E36F2A">
        <w:rPr>
          <w:b/>
          <w:i/>
        </w:rPr>
        <w:t xml:space="preserve"> palūkanų normų lyginamasis indeksas Londono tarpbankinė palūkanų norma (LIBOR) nebebus laikomas ypatingos svarbos lyginamuoju indeksu pagal Reglamentą (ES) 2016/1011.</w:t>
      </w:r>
      <w:r w:rsidR="00C318FB" w:rsidRPr="00E36F2A">
        <w:t xml:space="preserve"> </w:t>
      </w:r>
      <w:r w:rsidR="00FC6575" w:rsidRPr="00E36F2A">
        <w:t xml:space="preserve">Be to, </w:t>
      </w:r>
      <w:r w:rsidR="00C318FB" w:rsidRPr="00E36F2A">
        <w:t>Jungtinės Karalystės finansų priežiūros institucija</w:t>
      </w:r>
      <w:r w:rsidR="004C498A" w:rsidRPr="00E36F2A">
        <w:t xml:space="preserve"> (angl. FCA)</w:t>
      </w:r>
      <w:r w:rsidR="00C318FB" w:rsidRPr="00E36F2A">
        <w:t xml:space="preserve"> </w:t>
      </w:r>
      <w:r w:rsidR="004C498A" w:rsidRPr="00E36F2A">
        <w:t xml:space="preserve">2017 m. </w:t>
      </w:r>
      <w:r w:rsidR="00C318FB" w:rsidRPr="00E36F2A">
        <w:t xml:space="preserve">paskelbė, kad </w:t>
      </w:r>
      <w:r w:rsidR="00C318FB" w:rsidRPr="00E36F2A">
        <w:rPr>
          <w:b/>
          <w:i/>
        </w:rPr>
        <w:t>po</w:t>
      </w:r>
      <w:r w:rsidR="00C318FB" w:rsidRPr="00E36F2A">
        <w:t xml:space="preserve"> 2021 m. </w:t>
      </w:r>
      <w:r w:rsidR="00E52B44" w:rsidRPr="00E36F2A">
        <w:t xml:space="preserve">pabaigos </w:t>
      </w:r>
      <w:r w:rsidR="00C318FB" w:rsidRPr="00E36F2A">
        <w:rPr>
          <w:b/>
          <w:i/>
        </w:rPr>
        <w:t xml:space="preserve">ji neragins ir nevers kolegijos bankų </w:t>
      </w:r>
      <w:r w:rsidR="00E52B44" w:rsidRPr="00E36F2A">
        <w:rPr>
          <w:b/>
          <w:i/>
        </w:rPr>
        <w:t>teikti pradinius duomenis</w:t>
      </w:r>
      <w:r w:rsidR="00A553E8" w:rsidRPr="00E36F2A">
        <w:t xml:space="preserve"> </w:t>
      </w:r>
      <w:r w:rsidR="00C318FB" w:rsidRPr="00E36F2A">
        <w:t>LIBOR</w:t>
      </w:r>
      <w:r w:rsidR="004C498A" w:rsidRPr="00E36F2A">
        <w:t xml:space="preserve">. Dėl tolesnių FCA ir LIBOR administratoriaus pareiškimų tapo aišku, kad </w:t>
      </w:r>
      <w:r w:rsidR="007D5ADD" w:rsidRPr="00E36F2A">
        <w:t xml:space="preserve">LIBOR dėl </w:t>
      </w:r>
      <w:r w:rsidR="004C498A" w:rsidRPr="00E36F2A">
        <w:t>daugum</w:t>
      </w:r>
      <w:r w:rsidR="007D5ADD" w:rsidRPr="00E36F2A">
        <w:t>os</w:t>
      </w:r>
      <w:r w:rsidR="004C498A" w:rsidRPr="00E36F2A">
        <w:t xml:space="preserve"> įsipareigojimų vykdymo terminų</w:t>
      </w:r>
      <w:r w:rsidR="00FB33FF" w:rsidRPr="00E36F2A">
        <w:t xml:space="preserve"> ir valiutų</w:t>
      </w:r>
      <w:r w:rsidR="004D352C" w:rsidRPr="00E36F2A">
        <w:t>, kurie apskaičiuojami pagal</w:t>
      </w:r>
      <w:r w:rsidR="004C498A" w:rsidRPr="00E36F2A">
        <w:t xml:space="preserve"> LIBOR, </w:t>
      </w:r>
      <w:r w:rsidR="007D5ADD" w:rsidRPr="00E36F2A">
        <w:t xml:space="preserve">iki </w:t>
      </w:r>
      <w:r w:rsidR="00C318FB" w:rsidRPr="00E36F2A">
        <w:rPr>
          <w:b/>
          <w:i/>
        </w:rPr>
        <w:t>2021 m. pabaigo</w:t>
      </w:r>
      <w:r w:rsidR="007D5ADD" w:rsidRPr="00E36F2A">
        <w:rPr>
          <w:b/>
          <w:i/>
        </w:rPr>
        <w:t>s tikriausiai</w:t>
      </w:r>
      <w:r w:rsidR="00C318FB" w:rsidRPr="00E36F2A">
        <w:rPr>
          <w:b/>
          <w:i/>
        </w:rPr>
        <w:t xml:space="preserve"> bus likviduot</w:t>
      </w:r>
      <w:r w:rsidR="006B1C2E" w:rsidRPr="00E36F2A">
        <w:rPr>
          <w:b/>
          <w:i/>
        </w:rPr>
        <w:t>as</w:t>
      </w:r>
      <w:r w:rsidR="004C498A" w:rsidRPr="00E36F2A">
        <w:rPr>
          <w:b/>
          <w:i/>
        </w:rPr>
        <w:t xml:space="preserve">, </w:t>
      </w:r>
      <w:r w:rsidR="004C498A" w:rsidRPr="00E36F2A">
        <w:t xml:space="preserve">o </w:t>
      </w:r>
      <w:r w:rsidR="006B1C2E" w:rsidRPr="00E36F2A">
        <w:t xml:space="preserve">dėl </w:t>
      </w:r>
      <w:r w:rsidR="004C498A" w:rsidRPr="00E36F2A">
        <w:t>kit</w:t>
      </w:r>
      <w:r w:rsidR="006B1C2E" w:rsidRPr="00E36F2A">
        <w:t>ų</w:t>
      </w:r>
      <w:r w:rsidR="004C498A" w:rsidRPr="00E36F2A">
        <w:t xml:space="preserve"> </w:t>
      </w:r>
      <w:r w:rsidR="007D5ADD" w:rsidRPr="00E36F2A">
        <w:t>įsipareigojim</w:t>
      </w:r>
      <w:r w:rsidR="006B1C2E" w:rsidRPr="00E36F2A">
        <w:t>ų</w:t>
      </w:r>
      <w:r w:rsidR="007D5ADD" w:rsidRPr="00E36F2A">
        <w:t xml:space="preserve"> ir valiut</w:t>
      </w:r>
      <w:r w:rsidR="006B1C2E" w:rsidRPr="00E36F2A">
        <w:t xml:space="preserve">ų LIBOR </w:t>
      </w:r>
      <w:r w:rsidR="004C498A" w:rsidRPr="00E36F2A">
        <w:t>bus likviduot</w:t>
      </w:r>
      <w:r w:rsidR="006B1C2E" w:rsidRPr="00E36F2A">
        <w:t>as</w:t>
      </w:r>
      <w:r w:rsidR="004C498A" w:rsidRPr="00E36F2A">
        <w:t xml:space="preserve"> 2023 m.</w:t>
      </w:r>
      <w:r w:rsidR="00C318FB" w:rsidRPr="00E36F2A">
        <w:t xml:space="preserve"> ▌LIBOR </w:t>
      </w:r>
      <w:r w:rsidR="00690ABB" w:rsidRPr="00E36F2A">
        <w:t>teikimo nutraukimas</w:t>
      </w:r>
      <w:r w:rsidR="00A3552B" w:rsidRPr="00E36F2A">
        <w:t xml:space="preserve"> arba </w:t>
      </w:r>
      <w:r w:rsidR="00C318FB" w:rsidRPr="00E36F2A">
        <w:rPr>
          <w:b/>
          <w:i/>
        </w:rPr>
        <w:t>likvidavimas</w:t>
      </w:r>
      <w:r w:rsidR="00C318FB" w:rsidRPr="00E36F2A">
        <w:t xml:space="preserve"> gali lemti neigiamas pasekmes, kurios smarkiai sutrikdytų Sąjungos finansų rinkų veikimą. Sąjungoje yra </w:t>
      </w:r>
      <w:r w:rsidR="00690ABB" w:rsidRPr="00E36F2A">
        <w:t xml:space="preserve">labai daug su LIBOR susietų sutarčių, kurios daro poveikį ekonominės veiklos vykdytojams Sąjungoje ir kurie susiję su </w:t>
      </w:r>
      <w:r w:rsidR="00C318FB" w:rsidRPr="00E36F2A">
        <w:t>sko</w:t>
      </w:r>
      <w:r w:rsidR="00690ABB" w:rsidRPr="00E36F2A">
        <w:t>la</w:t>
      </w:r>
      <w:r w:rsidR="00C318FB" w:rsidRPr="00E36F2A">
        <w:t>, paskol</w:t>
      </w:r>
      <w:r w:rsidR="00690ABB" w:rsidRPr="00E36F2A">
        <w:t>omis</w:t>
      </w:r>
      <w:r w:rsidR="00C318FB" w:rsidRPr="00E36F2A">
        <w:t>, terminuot</w:t>
      </w:r>
      <w:r w:rsidR="00690ABB" w:rsidRPr="00E36F2A">
        <w:t>aisiais</w:t>
      </w:r>
      <w:r w:rsidR="00C318FB" w:rsidRPr="00E36F2A">
        <w:t xml:space="preserve"> indėli</w:t>
      </w:r>
      <w:r w:rsidR="00690ABB" w:rsidRPr="00E36F2A">
        <w:t>ais</w:t>
      </w:r>
      <w:r w:rsidR="00C318FB" w:rsidRPr="00E36F2A">
        <w:rPr>
          <w:b/>
          <w:i/>
        </w:rPr>
        <w:t>, vertybini</w:t>
      </w:r>
      <w:r w:rsidR="00690ABB" w:rsidRPr="00E36F2A">
        <w:rPr>
          <w:b/>
          <w:i/>
        </w:rPr>
        <w:t>ais</w:t>
      </w:r>
      <w:r w:rsidR="00C318FB" w:rsidRPr="00E36F2A">
        <w:rPr>
          <w:b/>
          <w:i/>
        </w:rPr>
        <w:t xml:space="preserve"> popieri</w:t>
      </w:r>
      <w:r w:rsidR="00690ABB" w:rsidRPr="00E36F2A">
        <w:rPr>
          <w:b/>
          <w:i/>
        </w:rPr>
        <w:t>ais</w:t>
      </w:r>
      <w:r w:rsidR="00C318FB" w:rsidRPr="00E36F2A">
        <w:t xml:space="preserve"> ir išvestin</w:t>
      </w:r>
      <w:r w:rsidR="00690ABB" w:rsidRPr="00E36F2A">
        <w:t>ėmis</w:t>
      </w:r>
      <w:r w:rsidR="00C318FB" w:rsidRPr="00E36F2A">
        <w:t xml:space="preserve"> finansin</w:t>
      </w:r>
      <w:r w:rsidR="00690ABB" w:rsidRPr="00E36F2A">
        <w:t>ėmis</w:t>
      </w:r>
      <w:r w:rsidR="00C318FB" w:rsidRPr="00E36F2A">
        <w:t xml:space="preserve"> priemon</w:t>
      </w:r>
      <w:r w:rsidR="00690ABB" w:rsidRPr="00E36F2A">
        <w:t>ėmis</w:t>
      </w:r>
      <w:r w:rsidR="00C318FB" w:rsidRPr="00E36F2A">
        <w:t xml:space="preserve">, kurių terminas sueina </w:t>
      </w:r>
      <w:r w:rsidR="00690ABB" w:rsidRPr="00E36F2A">
        <w:t xml:space="preserve">vėliau nei </w:t>
      </w:r>
      <w:r w:rsidR="00C318FB" w:rsidRPr="00E36F2A">
        <w:t xml:space="preserve">2021 m. gruodžio 31 d. ir kuriose nėra </w:t>
      </w:r>
      <w:r w:rsidR="00690ABB" w:rsidRPr="00E36F2A">
        <w:t xml:space="preserve">pakankamai </w:t>
      </w:r>
      <w:r w:rsidR="00C318FB" w:rsidRPr="00E36F2A">
        <w:t xml:space="preserve">patikimų sutartinių nuostatų dėl atsarginės normos LIBOR teikimo nutraukimo </w:t>
      </w:r>
      <w:r w:rsidR="00C318FB" w:rsidRPr="00E36F2A">
        <w:rPr>
          <w:b/>
          <w:i/>
        </w:rPr>
        <w:t xml:space="preserve">ar likvidavimo </w:t>
      </w:r>
      <w:r w:rsidR="00C318FB" w:rsidRPr="00E36F2A">
        <w:t>atveju</w:t>
      </w:r>
      <w:r w:rsidR="00690ABB" w:rsidRPr="00E36F2A">
        <w:t>, kaip apskaičiuota</w:t>
      </w:r>
      <w:r w:rsidR="00C318FB" w:rsidRPr="00E36F2A">
        <w:t xml:space="preserve"> </w:t>
      </w:r>
      <w:r w:rsidR="00C318FB" w:rsidRPr="00E36F2A">
        <w:rPr>
          <w:b/>
          <w:i/>
        </w:rPr>
        <w:t xml:space="preserve">atitinkama valiuta arba </w:t>
      </w:r>
      <w:r w:rsidR="00690ABB" w:rsidRPr="00E36F2A">
        <w:rPr>
          <w:b/>
          <w:i/>
        </w:rPr>
        <w:t xml:space="preserve">pagal </w:t>
      </w:r>
      <w:r w:rsidR="00C318FB" w:rsidRPr="00E36F2A">
        <w:rPr>
          <w:b/>
          <w:i/>
        </w:rPr>
        <w:t>tam tikr</w:t>
      </w:r>
      <w:r w:rsidR="00690ABB" w:rsidRPr="00E36F2A">
        <w:rPr>
          <w:b/>
          <w:i/>
        </w:rPr>
        <w:t>u</w:t>
      </w:r>
      <w:r w:rsidR="00C318FB" w:rsidRPr="00E36F2A">
        <w:rPr>
          <w:b/>
          <w:i/>
        </w:rPr>
        <w:t xml:space="preserve">s įsipareigojimų </w:t>
      </w:r>
      <w:r w:rsidR="001F1D51" w:rsidRPr="00E36F2A">
        <w:rPr>
          <w:b/>
          <w:i/>
        </w:rPr>
        <w:t>pagal ją</w:t>
      </w:r>
      <w:r w:rsidR="00FB33FF" w:rsidRPr="00E36F2A">
        <w:rPr>
          <w:b/>
          <w:i/>
        </w:rPr>
        <w:t xml:space="preserve"> </w:t>
      </w:r>
      <w:r w:rsidR="00C318FB" w:rsidRPr="00E36F2A">
        <w:rPr>
          <w:b/>
          <w:i/>
        </w:rPr>
        <w:t>vykdymo termin</w:t>
      </w:r>
      <w:r w:rsidR="00690ABB" w:rsidRPr="00E36F2A">
        <w:rPr>
          <w:b/>
          <w:i/>
        </w:rPr>
        <w:t>u</w:t>
      </w:r>
      <w:r w:rsidR="00C318FB" w:rsidRPr="00E36F2A">
        <w:rPr>
          <w:b/>
          <w:i/>
        </w:rPr>
        <w:t>s</w:t>
      </w:r>
      <w:r w:rsidR="00C318FB" w:rsidRPr="00E36F2A">
        <w:t xml:space="preserve">. </w:t>
      </w:r>
      <w:r w:rsidR="00C318FB" w:rsidRPr="00E36F2A">
        <w:rPr>
          <w:b/>
          <w:i/>
        </w:rPr>
        <w:t>Kai kurios iš</w:t>
      </w:r>
      <w:r w:rsidR="00C318FB" w:rsidRPr="00E36F2A">
        <w:t xml:space="preserve"> </w:t>
      </w:r>
      <w:r w:rsidR="00690ABB" w:rsidRPr="00E36F2A">
        <w:t>t</w:t>
      </w:r>
      <w:r w:rsidR="00C318FB" w:rsidRPr="00E36F2A">
        <w:t xml:space="preserve">ų sutarčių </w:t>
      </w:r>
      <w:r w:rsidR="00C318FB" w:rsidRPr="00E36F2A">
        <w:rPr>
          <w:b/>
          <w:i/>
        </w:rPr>
        <w:t>ir kai kurios finansinės priemonės, kaip apibrėžta Europos Parlamento ir Tarybos direktyvoje 2014/65/ES</w:t>
      </w:r>
      <w:r w:rsidR="002C77D7" w:rsidRPr="00E36F2A">
        <w:rPr>
          <w:rStyle w:val="FootnoteReference"/>
          <w:b/>
          <w:i/>
        </w:rPr>
        <w:footnoteReference w:id="7"/>
      </w:r>
      <w:r w:rsidR="00C318FB" w:rsidRPr="00E36F2A">
        <w:rPr>
          <w:b/>
          <w:i/>
        </w:rPr>
        <w:t xml:space="preserve">, </w:t>
      </w:r>
      <w:r w:rsidR="00C318FB" w:rsidRPr="00E36F2A">
        <w:t xml:space="preserve">negali būti persvarstytos, kad į jas būtų įtraukta sutartinė </w:t>
      </w:r>
      <w:r w:rsidR="00C318FB" w:rsidRPr="00E36F2A">
        <w:rPr>
          <w:b/>
          <w:i/>
        </w:rPr>
        <w:t>nuostata dėl atsarginės normos</w:t>
      </w:r>
      <w:r w:rsidR="00690ABB" w:rsidRPr="00E36F2A">
        <w:rPr>
          <w:b/>
          <w:i/>
        </w:rPr>
        <w:t xml:space="preserve"> iki</w:t>
      </w:r>
      <w:r w:rsidR="00690ABB" w:rsidRPr="00E36F2A">
        <w:t xml:space="preserve"> 2021 m. gruodžio 31 d.</w:t>
      </w:r>
      <w:r w:rsidR="00C318FB" w:rsidRPr="00E36F2A">
        <w:t>;</w:t>
      </w:r>
    </w:p>
    <w:p w:rsidR="00367DBE" w:rsidRPr="00E36F2A" w:rsidRDefault="005F45D9">
      <w:pPr>
        <w:pStyle w:val="Considrant"/>
        <w:numPr>
          <w:ilvl w:val="0"/>
          <w:numId w:val="0"/>
        </w:numPr>
        <w:tabs>
          <w:tab w:val="left" w:pos="851"/>
          <w:tab w:val="left" w:pos="1418"/>
          <w:tab w:val="left" w:pos="1985"/>
          <w:tab w:val="left" w:pos="2552"/>
        </w:tabs>
        <w:spacing w:line="360" w:lineRule="auto"/>
        <w:ind w:left="851" w:hanging="851"/>
      </w:pPr>
      <w:r w:rsidRPr="00E36F2A">
        <w:br w:type="page"/>
      </w:r>
      <w:r w:rsidR="00C318FB" w:rsidRPr="00E36F2A">
        <w:lastRenderedPageBreak/>
        <w:t>(</w:t>
      </w:r>
      <w:r w:rsidR="00FC6575" w:rsidRPr="00E36F2A">
        <w:t>6</w:t>
      </w:r>
      <w:r w:rsidR="00C318FB" w:rsidRPr="00E36F2A">
        <w:t>)</w:t>
      </w:r>
      <w:r w:rsidR="00C318FB" w:rsidRPr="00E36F2A">
        <w:tab/>
        <w:t xml:space="preserve">siekiant sudaryti sąlygas </w:t>
      </w:r>
      <w:r w:rsidR="0043149D" w:rsidRPr="00E36F2A">
        <w:t>esamų</w:t>
      </w:r>
      <w:r w:rsidR="00C318FB" w:rsidRPr="00E36F2A">
        <w:t xml:space="preserve"> sutarčių, susietų su plačiai naudojamu lyginamuoju indeksu, kurio teikimo nutraukimas gali lemti neigiamas pasekmes, kurios smarkiai sutrikdytų finansų rinkų veikimą</w:t>
      </w:r>
      <w:r w:rsidR="006B1C2E" w:rsidRPr="00E36F2A">
        <w:t xml:space="preserve"> Sąjungoje</w:t>
      </w:r>
      <w:r w:rsidR="00C318FB" w:rsidRPr="00E36F2A">
        <w:t xml:space="preserve">, </w:t>
      </w:r>
      <w:r w:rsidR="0043149D" w:rsidRPr="00E36F2A">
        <w:t>tolesniam tvarkingam veikimui</w:t>
      </w:r>
      <w:r w:rsidR="008F39AE" w:rsidRPr="00E36F2A">
        <w:t xml:space="preserve"> </w:t>
      </w:r>
      <w:r w:rsidR="0043149D" w:rsidRPr="00E36F2A">
        <w:t>ir</w:t>
      </w:r>
      <w:r w:rsidR="00C318FB" w:rsidRPr="00E36F2A">
        <w:t xml:space="preserve"> kai tokių sutarčių </w:t>
      </w:r>
      <w:r w:rsidR="00C318FB" w:rsidRPr="00E36F2A">
        <w:rPr>
          <w:b/>
          <w:i/>
        </w:rPr>
        <w:t xml:space="preserve">arba finansinių priemonių, kaip apibrėžta Direktyvoje 2014/65/ES, </w:t>
      </w:r>
      <w:r w:rsidR="00C318FB" w:rsidRPr="00E36F2A">
        <w:t xml:space="preserve">persvarstyti ir į jas įtraukti </w:t>
      </w:r>
      <w:r w:rsidR="00C318FB" w:rsidRPr="00E36F2A">
        <w:rPr>
          <w:b/>
          <w:i/>
        </w:rPr>
        <w:t>sutartinės nuostatos dėl atsarginės normos</w:t>
      </w:r>
      <w:r w:rsidR="00C318FB" w:rsidRPr="00E36F2A">
        <w:t xml:space="preserve"> iki to lyginamojo indekso teikimo nutraukimo neįmanoma, </w:t>
      </w:r>
      <w:r w:rsidR="0043149D" w:rsidRPr="00E36F2A">
        <w:t xml:space="preserve">turėtų būti nustatyta </w:t>
      </w:r>
      <w:r w:rsidR="00C318FB" w:rsidRPr="00E36F2A">
        <w:t xml:space="preserve">tokių lyginamųjų indeksų teikimo nutraukimo </w:t>
      </w:r>
      <w:r w:rsidR="00C318FB" w:rsidRPr="00E36F2A">
        <w:rPr>
          <w:b/>
          <w:i/>
        </w:rPr>
        <w:t xml:space="preserve">arba tvarkingo likvidavimo </w:t>
      </w:r>
      <w:r w:rsidR="00C318FB" w:rsidRPr="00E36F2A">
        <w:t>sistem</w:t>
      </w:r>
      <w:r w:rsidR="0043149D" w:rsidRPr="00E36F2A">
        <w:t>a</w:t>
      </w:r>
      <w:r w:rsidR="00C318FB" w:rsidRPr="00E36F2A">
        <w:t xml:space="preserve">. Ta sistema turėtų apimti mechanizmą, skirtą tokių sutarčių </w:t>
      </w:r>
      <w:r w:rsidR="00C318FB" w:rsidRPr="00E36F2A">
        <w:rPr>
          <w:b/>
          <w:i/>
        </w:rPr>
        <w:t>arba Direktyvoje 2014/65/ES apibrėžtų finansinių priemonių</w:t>
      </w:r>
      <w:r w:rsidR="00C318FB" w:rsidRPr="00E36F2A">
        <w:t xml:space="preserve"> pereinamajam susiejimui su </w:t>
      </w:r>
      <w:r w:rsidR="00C318FB" w:rsidRPr="00E36F2A">
        <w:rPr>
          <w:b/>
          <w:i/>
        </w:rPr>
        <w:t>paskirt</w:t>
      </w:r>
      <w:r w:rsidR="0043149D" w:rsidRPr="00E36F2A">
        <w:rPr>
          <w:b/>
          <w:i/>
        </w:rPr>
        <w:t>u</w:t>
      </w:r>
      <w:r w:rsidR="00C318FB" w:rsidRPr="00E36F2A">
        <w:t xml:space="preserve"> pakaitini</w:t>
      </w:r>
      <w:r w:rsidR="0043149D" w:rsidRPr="00E36F2A">
        <w:t>u</w:t>
      </w:r>
      <w:r w:rsidR="00C318FB" w:rsidRPr="00E36F2A">
        <w:t xml:space="preserve"> lyginam</w:t>
      </w:r>
      <w:r w:rsidR="0043149D" w:rsidRPr="00E36F2A">
        <w:t>uoju</w:t>
      </w:r>
      <w:r w:rsidR="00C318FB" w:rsidRPr="00E36F2A">
        <w:t xml:space="preserve"> indeks</w:t>
      </w:r>
      <w:r w:rsidR="0043149D" w:rsidRPr="00E36F2A">
        <w:t>u</w:t>
      </w:r>
      <w:r w:rsidR="00C318FB" w:rsidRPr="00E36F2A">
        <w:t>. Pakaitini</w:t>
      </w:r>
      <w:r w:rsidR="0043149D" w:rsidRPr="00E36F2A">
        <w:t>u</w:t>
      </w:r>
      <w:r w:rsidR="00C318FB" w:rsidRPr="00E36F2A">
        <w:t xml:space="preserve"> lyginam</w:t>
      </w:r>
      <w:r w:rsidR="0043149D" w:rsidRPr="00E36F2A">
        <w:t>uoju</w:t>
      </w:r>
      <w:r w:rsidR="00C318FB" w:rsidRPr="00E36F2A">
        <w:t xml:space="preserve"> indeks</w:t>
      </w:r>
      <w:r w:rsidR="0043149D" w:rsidRPr="00E36F2A">
        <w:t>u</w:t>
      </w:r>
      <w:r w:rsidR="00C318FB" w:rsidRPr="00E36F2A">
        <w:t xml:space="preserve"> turėtų būti išvengta sutarčių neįvykdomumo atvejų, </w:t>
      </w:r>
      <w:r w:rsidR="0043149D" w:rsidRPr="00E36F2A">
        <w:t>kurie gali</w:t>
      </w:r>
      <w:r w:rsidR="00C318FB" w:rsidRPr="00E36F2A">
        <w:t xml:space="preserve"> smarkiai sutrikdyt</w:t>
      </w:r>
      <w:r w:rsidR="0043149D" w:rsidRPr="00E36F2A">
        <w:t>i</w:t>
      </w:r>
      <w:r w:rsidR="00C318FB" w:rsidRPr="00E36F2A">
        <w:t xml:space="preserve"> Sąjungos finansų rinkų veikimą;</w:t>
      </w:r>
    </w:p>
    <w:p w:rsidR="008F39AE" w:rsidRPr="00E36F2A" w:rsidRDefault="008F39AE">
      <w:pPr>
        <w:spacing w:before="0" w:after="200" w:line="276" w:lineRule="auto"/>
        <w:rPr>
          <w:b/>
          <w:i/>
        </w:rPr>
      </w:pPr>
      <w:r w:rsidRPr="00E36F2A">
        <w:rPr>
          <w:b/>
          <w:i/>
        </w:rPr>
        <w:br w:type="page"/>
      </w:r>
    </w:p>
    <w:p w:rsidR="00FC6575" w:rsidRPr="00E36F2A" w:rsidRDefault="00FC6575" w:rsidP="00653D4A">
      <w:pPr>
        <w:pStyle w:val="Considrant"/>
        <w:numPr>
          <w:ilvl w:val="0"/>
          <w:numId w:val="0"/>
        </w:numPr>
        <w:tabs>
          <w:tab w:val="left" w:pos="851"/>
          <w:tab w:val="left" w:pos="1418"/>
          <w:tab w:val="left" w:pos="1985"/>
          <w:tab w:val="left" w:pos="2552"/>
        </w:tabs>
        <w:spacing w:line="360" w:lineRule="auto"/>
        <w:ind w:left="851" w:hanging="851"/>
        <w:rPr>
          <w:b/>
          <w:i/>
        </w:rPr>
      </w:pPr>
      <w:r w:rsidRPr="00E36F2A" w:rsidDel="00FC6575">
        <w:rPr>
          <w:b/>
          <w:i/>
        </w:rPr>
        <w:lastRenderedPageBreak/>
        <w:t>(</w:t>
      </w:r>
      <w:r w:rsidRPr="00E36F2A">
        <w:rPr>
          <w:b/>
          <w:i/>
        </w:rPr>
        <w:t>7</w:t>
      </w:r>
      <w:r w:rsidRPr="00E36F2A" w:rsidDel="00FC6575">
        <w:rPr>
          <w:b/>
          <w:i/>
        </w:rPr>
        <w:t>)</w:t>
      </w:r>
      <w:r w:rsidRPr="00E36F2A" w:rsidDel="00FC6575">
        <w:rPr>
          <w:b/>
          <w:i/>
        </w:rPr>
        <w:tab/>
        <w:t xml:space="preserve">nenumačius Sąjungos lygmens </w:t>
      </w:r>
      <w:r w:rsidR="002C20D8" w:rsidRPr="00E36F2A">
        <w:t xml:space="preserve">lyginamojo indekso teikimo nutraukimo </w:t>
      </w:r>
      <w:r w:rsidR="002C20D8" w:rsidRPr="00E36F2A">
        <w:rPr>
          <w:b/>
          <w:i/>
        </w:rPr>
        <w:t xml:space="preserve">arba tvarkingo likvidavimo </w:t>
      </w:r>
      <w:r w:rsidR="002C20D8" w:rsidRPr="00E36F2A">
        <w:t xml:space="preserve">sistemos, </w:t>
      </w:r>
      <w:r w:rsidRPr="00E36F2A" w:rsidDel="00FC6575">
        <w:rPr>
          <w:b/>
          <w:i/>
        </w:rPr>
        <w:t xml:space="preserve">valstybės narės greičiausiai ims taikyti skirtingus </w:t>
      </w:r>
      <w:r w:rsidR="002C20D8" w:rsidRPr="00E36F2A">
        <w:rPr>
          <w:b/>
          <w:i/>
        </w:rPr>
        <w:t>teisės reguliavimo</w:t>
      </w:r>
      <w:r w:rsidR="002C20D8" w:rsidRPr="00E36F2A" w:rsidDel="00FC6575">
        <w:rPr>
          <w:b/>
          <w:i/>
        </w:rPr>
        <w:t xml:space="preserve"> </w:t>
      </w:r>
      <w:r w:rsidRPr="00E36F2A" w:rsidDel="00FC6575">
        <w:rPr>
          <w:b/>
          <w:i/>
        </w:rPr>
        <w:t>sprendimus</w:t>
      </w:r>
      <w:r w:rsidR="002C20D8" w:rsidRPr="00E36F2A">
        <w:rPr>
          <w:b/>
          <w:i/>
        </w:rPr>
        <w:t xml:space="preserve">, dėl kurių </w:t>
      </w:r>
      <w:r w:rsidRPr="00E36F2A" w:rsidDel="00FC6575">
        <w:rPr>
          <w:b/>
          <w:i/>
        </w:rPr>
        <w:t xml:space="preserve">Sąjungos suinteresuotiesiems subjektams kiltų </w:t>
      </w:r>
      <w:r w:rsidR="00653D4A" w:rsidRPr="00E36F2A">
        <w:rPr>
          <w:b/>
          <w:i/>
        </w:rPr>
        <w:t xml:space="preserve">teisinio netikrumo ir sutarčių neįvykdomumo </w:t>
      </w:r>
      <w:r w:rsidRPr="00E36F2A" w:rsidDel="00FC6575">
        <w:rPr>
          <w:b/>
          <w:i/>
        </w:rPr>
        <w:t xml:space="preserve">rizika. </w:t>
      </w:r>
      <w:r w:rsidR="00653D4A" w:rsidRPr="00E36F2A">
        <w:rPr>
          <w:b/>
          <w:i/>
        </w:rPr>
        <w:t>Atsižvelgiant į</w:t>
      </w:r>
      <w:r w:rsidRPr="00E36F2A" w:rsidDel="00FC6575">
        <w:rPr>
          <w:b/>
          <w:i/>
        </w:rPr>
        <w:t xml:space="preserve"> </w:t>
      </w:r>
      <w:r w:rsidR="00653D4A" w:rsidRPr="00E36F2A">
        <w:rPr>
          <w:b/>
          <w:i/>
        </w:rPr>
        <w:t xml:space="preserve">tokių lyginamųjų indeksų reikšmės </w:t>
      </w:r>
      <w:r w:rsidR="002C20D8" w:rsidRPr="00E36F2A">
        <w:rPr>
          <w:b/>
          <w:i/>
        </w:rPr>
        <w:t>esam</w:t>
      </w:r>
      <w:r w:rsidR="00653D4A" w:rsidRPr="00E36F2A">
        <w:rPr>
          <w:b/>
          <w:i/>
        </w:rPr>
        <w:t>oms</w:t>
      </w:r>
      <w:r w:rsidR="002C20D8" w:rsidRPr="00E36F2A">
        <w:rPr>
          <w:b/>
          <w:i/>
        </w:rPr>
        <w:t xml:space="preserve"> sutar</w:t>
      </w:r>
      <w:r w:rsidR="00653D4A" w:rsidRPr="00E36F2A">
        <w:rPr>
          <w:b/>
          <w:i/>
        </w:rPr>
        <w:t xml:space="preserve">tims </w:t>
      </w:r>
      <w:r w:rsidR="002C20D8" w:rsidRPr="00E36F2A">
        <w:rPr>
          <w:b/>
          <w:i/>
        </w:rPr>
        <w:t xml:space="preserve">ir </w:t>
      </w:r>
      <w:r w:rsidRPr="00E36F2A" w:rsidDel="00FC6575">
        <w:rPr>
          <w:b/>
          <w:i/>
        </w:rPr>
        <w:t>Direktyvoje 2014/65/ES apibrėžt</w:t>
      </w:r>
      <w:r w:rsidR="00653D4A" w:rsidRPr="00E36F2A">
        <w:rPr>
          <w:b/>
          <w:i/>
        </w:rPr>
        <w:t>oms</w:t>
      </w:r>
      <w:r w:rsidRPr="00E36F2A" w:rsidDel="00FC6575">
        <w:rPr>
          <w:b/>
          <w:i/>
        </w:rPr>
        <w:t xml:space="preserve"> finansin</w:t>
      </w:r>
      <w:r w:rsidR="00653D4A" w:rsidRPr="00E36F2A">
        <w:rPr>
          <w:b/>
          <w:i/>
        </w:rPr>
        <w:t>ėms</w:t>
      </w:r>
      <w:r w:rsidRPr="00E36F2A" w:rsidDel="00FC6575">
        <w:rPr>
          <w:b/>
          <w:i/>
        </w:rPr>
        <w:t xml:space="preserve"> priemon</w:t>
      </w:r>
      <w:r w:rsidR="00653D4A" w:rsidRPr="00E36F2A">
        <w:rPr>
          <w:b/>
          <w:i/>
        </w:rPr>
        <w:t xml:space="preserve">ėms </w:t>
      </w:r>
      <w:r w:rsidR="001F1D51" w:rsidRPr="00E36F2A">
        <w:rPr>
          <w:b/>
          <w:i/>
        </w:rPr>
        <w:t>svarbą</w:t>
      </w:r>
      <w:r w:rsidR="00653D4A" w:rsidRPr="00E36F2A">
        <w:rPr>
          <w:b/>
          <w:i/>
        </w:rPr>
        <w:t>,</w:t>
      </w:r>
      <w:r w:rsidRPr="00E36F2A" w:rsidDel="00FC6575">
        <w:rPr>
          <w:b/>
          <w:i/>
        </w:rPr>
        <w:t xml:space="preserve"> </w:t>
      </w:r>
      <w:r w:rsidR="001F1D51" w:rsidRPr="00E36F2A">
        <w:rPr>
          <w:b/>
          <w:i/>
        </w:rPr>
        <w:t>išaugusi</w:t>
      </w:r>
      <w:r w:rsidRPr="00E36F2A" w:rsidDel="00FC6575">
        <w:rPr>
          <w:b/>
          <w:i/>
        </w:rPr>
        <w:t xml:space="preserve"> sutarčių neįvykdomumo</w:t>
      </w:r>
      <w:r w:rsidR="002C20D8" w:rsidRPr="00E36F2A">
        <w:rPr>
          <w:b/>
          <w:i/>
        </w:rPr>
        <w:t xml:space="preserve"> ir bylinėjimosi</w:t>
      </w:r>
      <w:r w:rsidRPr="00E36F2A" w:rsidDel="00FC6575">
        <w:rPr>
          <w:b/>
          <w:i/>
        </w:rPr>
        <w:t xml:space="preserve"> </w:t>
      </w:r>
      <w:r w:rsidR="002C20D8" w:rsidRPr="00E36F2A">
        <w:rPr>
          <w:b/>
          <w:i/>
        </w:rPr>
        <w:t>rizika</w:t>
      </w:r>
      <w:r w:rsidR="002C20D8" w:rsidRPr="00E36F2A" w:rsidDel="00FC6575">
        <w:rPr>
          <w:b/>
          <w:i/>
        </w:rPr>
        <w:t xml:space="preserve"> </w:t>
      </w:r>
      <w:r w:rsidRPr="00E36F2A" w:rsidDel="00FC6575">
        <w:rPr>
          <w:b/>
          <w:i/>
        </w:rPr>
        <w:t xml:space="preserve">galėtų smarkiai sutrikdyti Sąjungos finansų rinkų veikimą. Atsižvelgiant į </w:t>
      </w:r>
      <w:r w:rsidR="009A6B3A" w:rsidRPr="00E36F2A">
        <w:rPr>
          <w:b/>
          <w:i/>
        </w:rPr>
        <w:t xml:space="preserve">tas </w:t>
      </w:r>
      <w:r w:rsidRPr="00E36F2A" w:rsidDel="00FC6575">
        <w:rPr>
          <w:b/>
          <w:i/>
        </w:rPr>
        <w:t xml:space="preserve">ypatingas aplinkybes ir </w:t>
      </w:r>
      <w:r w:rsidR="002C20D8" w:rsidRPr="00E36F2A">
        <w:rPr>
          <w:b/>
          <w:i/>
        </w:rPr>
        <w:t xml:space="preserve">siekiant švelninti susijusią </w:t>
      </w:r>
      <w:r w:rsidRPr="00E36F2A" w:rsidDel="00FC6575">
        <w:rPr>
          <w:b/>
          <w:i/>
        </w:rPr>
        <w:t>sisteminę riziką, būtina nustatyti suderintą tam tikrų sisteminiu požiūriu Sąjungai svarbių lyginamųjų indeksų nutraukimo arba likvidavimo sistemą</w:t>
      </w:r>
      <w:r w:rsidR="00653D4A" w:rsidRPr="00E36F2A">
        <w:rPr>
          <w:b/>
          <w:i/>
        </w:rPr>
        <w:t>. Šis reglamentas daro poveikį valstybių narių kompetencijai lyginamųjų indeksų atžvilgiu tik tiek, kiek tai susiję su Komisijai suteiktų įgaliojimų apimtimi</w:t>
      </w:r>
      <w:r w:rsidRPr="00E36F2A" w:rsidDel="00FC6575">
        <w:rPr>
          <w:b/>
          <w:i/>
        </w:rPr>
        <w:t>;</w:t>
      </w:r>
    </w:p>
    <w:p w:rsidR="008F39AE" w:rsidRPr="00E36F2A" w:rsidRDefault="008F39AE">
      <w:pPr>
        <w:spacing w:before="0" w:after="200" w:line="276" w:lineRule="auto"/>
        <w:rPr>
          <w:b/>
          <w:i/>
        </w:rPr>
      </w:pPr>
      <w:r w:rsidRPr="00E36F2A">
        <w:rPr>
          <w:b/>
          <w:i/>
        </w:rPr>
        <w:br w:type="page"/>
      </w:r>
    </w:p>
    <w:p w:rsidR="007A7580" w:rsidRPr="00E36F2A" w:rsidRDefault="007A7580" w:rsidP="006B1C2E">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rPr>
        <w:lastRenderedPageBreak/>
        <w:t>(</w:t>
      </w:r>
      <w:r w:rsidR="00FC6575" w:rsidRPr="00E36F2A">
        <w:rPr>
          <w:b/>
          <w:i/>
        </w:rPr>
        <w:t>8</w:t>
      </w:r>
      <w:r w:rsidRPr="00E36F2A">
        <w:rPr>
          <w:b/>
          <w:i/>
        </w:rPr>
        <w:t>)</w:t>
      </w:r>
      <w:r w:rsidRPr="00E36F2A">
        <w:rPr>
          <w:b/>
          <w:i/>
        </w:rPr>
        <w:tab/>
        <w:t>Reglament</w:t>
      </w:r>
      <w:r w:rsidR="006B1C2E" w:rsidRPr="00E36F2A">
        <w:rPr>
          <w:b/>
          <w:i/>
        </w:rPr>
        <w:t>e</w:t>
      </w:r>
      <w:r w:rsidRPr="00E36F2A">
        <w:rPr>
          <w:b/>
          <w:i/>
        </w:rPr>
        <w:t xml:space="preserve"> (ES) 2016/1011 reikalaujama, kad prižiūrimi subjektai, išskyrus lyginamojo indekso administratorius, turėtų parengtus nenumatytų atvejų planus, jei lyginamasis indeksas iš esmės pasikeistų arba nustotų būti teikiamas. Jei įmanoma, tuose nenumatytų atvejų planuose turėtų būti nurodytas vienas ar keli galimi pakaitiniai lyginamieji indeksai. Su LIBOR susijusi patirtis parodė, kad svarbu turėti nenumatytų atvejų planus, pritaikytus atvejams, kai lyginamasis indeksas iš esmės pasikeičia arba nustoja būti teikiamas. Kompetentingos institucijos turėtų stebėti, ar laikomasi </w:t>
      </w:r>
      <w:r w:rsidR="007E7C8B" w:rsidRPr="00E36F2A">
        <w:rPr>
          <w:b/>
          <w:i/>
        </w:rPr>
        <w:t>t</w:t>
      </w:r>
      <w:r w:rsidRPr="00E36F2A">
        <w:rPr>
          <w:b/>
          <w:i/>
        </w:rPr>
        <w:t xml:space="preserve">o įpareigojimo, ir </w:t>
      </w:r>
      <w:r w:rsidR="007E7C8B" w:rsidRPr="00E36F2A">
        <w:rPr>
          <w:b/>
          <w:i/>
        </w:rPr>
        <w:t>jos turėtų turėti galimybę atlikti atsitiktinės atrankos metodu grindžiamas patikras dėl įsipareigojimo laikymosi</w:t>
      </w:r>
      <w:r w:rsidRPr="00E36F2A">
        <w:rPr>
          <w:b/>
          <w:i/>
        </w:rPr>
        <w:t>. Todėl prižiūrimi subjektai savo nenumatytų atvejų planus ir visus jų pakeitimus turėtų laikyti tvarkingai, kad paprašius jie galėtų nedelsdami juos persiųsti kompetentingoms institucijoms;</w:t>
      </w:r>
    </w:p>
    <w:p w:rsidR="005F45D9" w:rsidRPr="00E36F2A" w:rsidRDefault="005F45D9" w:rsidP="00136B36">
      <w:pPr>
        <w:tabs>
          <w:tab w:val="left" w:pos="851"/>
        </w:tabs>
        <w:spacing w:before="0" w:after="200" w:line="276" w:lineRule="auto"/>
        <w:ind w:left="851" w:hanging="851"/>
        <w:rPr>
          <w:b/>
          <w:i/>
        </w:rPr>
      </w:pPr>
    </w:p>
    <w:p w:rsidR="00FE252C" w:rsidRPr="00E36F2A" w:rsidRDefault="00FC6575" w:rsidP="00CB45A7">
      <w:pPr>
        <w:tabs>
          <w:tab w:val="left" w:pos="851"/>
        </w:tabs>
        <w:spacing w:line="360" w:lineRule="auto"/>
        <w:ind w:left="851" w:hanging="851"/>
        <w:rPr>
          <w:b/>
          <w:i/>
        </w:rPr>
      </w:pPr>
      <w:r w:rsidRPr="00E36F2A">
        <w:rPr>
          <w:b/>
          <w:i/>
        </w:rPr>
        <w:br w:type="page"/>
      </w:r>
      <w:r w:rsidR="00FE252C" w:rsidRPr="00E36F2A">
        <w:rPr>
          <w:b/>
          <w:i/>
        </w:rPr>
        <w:lastRenderedPageBreak/>
        <w:t>(</w:t>
      </w:r>
      <w:r w:rsidR="009A6B3A" w:rsidRPr="00E36F2A">
        <w:rPr>
          <w:b/>
          <w:i/>
        </w:rPr>
        <w:t>9</w:t>
      </w:r>
      <w:r w:rsidR="00FE252C" w:rsidRPr="00E36F2A">
        <w:rPr>
          <w:b/>
          <w:i/>
        </w:rPr>
        <w:t xml:space="preserve">) </w:t>
      </w:r>
      <w:r w:rsidR="00FE252C" w:rsidRPr="00E36F2A">
        <w:rPr>
          <w:b/>
          <w:i/>
        </w:rPr>
        <w:tab/>
      </w:r>
      <w:r w:rsidR="009E2DB7" w:rsidRPr="00E36F2A">
        <w:rPr>
          <w:b/>
          <w:i/>
        </w:rPr>
        <w:t>sutartys</w:t>
      </w:r>
      <w:r w:rsidR="00CB45A7" w:rsidRPr="00E36F2A">
        <w:rPr>
          <w:b/>
          <w:i/>
        </w:rPr>
        <w:t>, išskyrus Reglamente (ES) 2016/1011 apibrėžtas finansines sutartis,</w:t>
      </w:r>
      <w:r w:rsidR="00FE252C" w:rsidRPr="00E36F2A">
        <w:rPr>
          <w:b/>
          <w:i/>
        </w:rPr>
        <w:t xml:space="preserve"> arba finansin</w:t>
      </w:r>
      <w:r w:rsidR="009E2DB7" w:rsidRPr="00E36F2A">
        <w:rPr>
          <w:b/>
          <w:i/>
        </w:rPr>
        <w:t>ės</w:t>
      </w:r>
      <w:r w:rsidR="00FE252C" w:rsidRPr="00E36F2A">
        <w:rPr>
          <w:b/>
          <w:i/>
        </w:rPr>
        <w:t xml:space="preserve"> priemon</w:t>
      </w:r>
      <w:r w:rsidR="009E2DB7" w:rsidRPr="00E36F2A">
        <w:rPr>
          <w:b/>
          <w:i/>
        </w:rPr>
        <w:t>ės</w:t>
      </w:r>
      <w:r w:rsidR="00FE252C" w:rsidRPr="00E36F2A">
        <w:rPr>
          <w:b/>
          <w:i/>
        </w:rPr>
        <w:t xml:space="preserve">, kurios </w:t>
      </w:r>
      <w:r w:rsidR="00CB45A7" w:rsidRPr="00E36F2A">
        <w:rPr>
          <w:b/>
          <w:i/>
        </w:rPr>
        <w:t>nepatenka į tame reglamente pateiktą</w:t>
      </w:r>
      <w:r w:rsidR="00FE252C" w:rsidRPr="00E36F2A">
        <w:rPr>
          <w:b/>
          <w:i/>
        </w:rPr>
        <w:t xml:space="preserve"> </w:t>
      </w:r>
      <w:r w:rsidR="009E2DB7" w:rsidRPr="00E36F2A">
        <w:rPr>
          <w:b/>
          <w:i/>
        </w:rPr>
        <w:t xml:space="preserve">finansinės priemonės </w:t>
      </w:r>
      <w:r w:rsidR="00FE252C" w:rsidRPr="00E36F2A">
        <w:rPr>
          <w:b/>
          <w:i/>
        </w:rPr>
        <w:t xml:space="preserve">apibrėžtį, bet kurios </w:t>
      </w:r>
      <w:r w:rsidR="009E2DB7" w:rsidRPr="00E36F2A">
        <w:rPr>
          <w:b/>
          <w:i/>
        </w:rPr>
        <w:t xml:space="preserve">taip pat </w:t>
      </w:r>
      <w:r w:rsidR="00FE252C" w:rsidRPr="00E36F2A">
        <w:rPr>
          <w:b/>
          <w:i/>
        </w:rPr>
        <w:t>yra susietos su lyginamaisiais indeksais, kurių teikimas nutraukiamas arba kurie yra likviduojami</w:t>
      </w:r>
      <w:r w:rsidR="009E2DB7" w:rsidRPr="00E36F2A">
        <w:rPr>
          <w:b/>
          <w:i/>
        </w:rPr>
        <w:t xml:space="preserve">, gali irgi </w:t>
      </w:r>
      <w:r w:rsidR="009E2DB7" w:rsidRPr="00E36F2A" w:rsidDel="00FC6575">
        <w:rPr>
          <w:b/>
          <w:i/>
        </w:rPr>
        <w:t>smarkiai sutrikdyti Sąjungos finansų rinkų veikimą</w:t>
      </w:r>
      <w:r w:rsidR="00FE252C" w:rsidRPr="00E36F2A">
        <w:rPr>
          <w:b/>
          <w:i/>
        </w:rPr>
        <w:t xml:space="preserve">. </w:t>
      </w:r>
      <w:r w:rsidR="009E2DB7" w:rsidRPr="00E36F2A">
        <w:rPr>
          <w:b/>
          <w:i/>
        </w:rPr>
        <w:t>D</w:t>
      </w:r>
      <w:r w:rsidR="00FE252C" w:rsidRPr="00E36F2A">
        <w:rPr>
          <w:b/>
          <w:i/>
        </w:rPr>
        <w:t xml:space="preserve">aug subjektų naudoja tokius lyginamuosius indeksus, tačiau </w:t>
      </w:r>
      <w:r w:rsidR="009E2DB7" w:rsidRPr="00E36F2A">
        <w:rPr>
          <w:b/>
          <w:i/>
        </w:rPr>
        <w:t xml:space="preserve">tie subjektai </w:t>
      </w:r>
      <w:r w:rsidR="00FE252C" w:rsidRPr="00E36F2A">
        <w:rPr>
          <w:b/>
          <w:i/>
        </w:rPr>
        <w:t>neatitinka prižiūrimiems subjektams taikomų reikalavimų. Todėl to</w:t>
      </w:r>
      <w:r w:rsidR="00CB45A7" w:rsidRPr="00E36F2A">
        <w:rPr>
          <w:b/>
          <w:i/>
        </w:rPr>
        <w:t>kių</w:t>
      </w:r>
      <w:r w:rsidR="00FE252C" w:rsidRPr="00E36F2A">
        <w:rPr>
          <w:b/>
          <w:i/>
        </w:rPr>
        <w:t xml:space="preserve"> sutarčių šalims</w:t>
      </w:r>
      <w:r w:rsidR="009E2DB7" w:rsidRPr="00E36F2A">
        <w:rPr>
          <w:b/>
          <w:i/>
        </w:rPr>
        <w:t xml:space="preserve"> bei t</w:t>
      </w:r>
      <w:r w:rsidR="00CB45A7" w:rsidRPr="00E36F2A">
        <w:rPr>
          <w:b/>
          <w:i/>
        </w:rPr>
        <w:t>oki</w:t>
      </w:r>
      <w:r w:rsidR="009E2DB7" w:rsidRPr="00E36F2A">
        <w:rPr>
          <w:b/>
          <w:i/>
        </w:rPr>
        <w:t>ų finansinių priemonių turėtojams</w:t>
      </w:r>
      <w:r w:rsidR="00FE252C" w:rsidRPr="00E36F2A">
        <w:rPr>
          <w:b/>
          <w:i/>
        </w:rPr>
        <w:t xml:space="preserve"> negalėtų būti taikomas pakaitinis lyginamasis indeksas. Siekiant sušvelninti galimą poveikį rinkos vientisumui ir finansiniam stabilumui ir apsaugoti nuo teisinio netikrumo, Komisijos įgaliojimas nustatyti pakaitinį lyginamąjį indeksą turėtų būti taikomas visoms sutartims ir visoms finansinėms priemonėms, kaip apibrėžta Direktyvoje 2014/65/ES, kurioms taikoma valstybės narės teisė. Be to, paskirtasis pakaitinis lyginamasis indeksas turėtų būti taikomas sutartims, kurioms taikoma trečiosios valstybės teisė</w:t>
      </w:r>
      <w:r w:rsidR="009E2DB7" w:rsidRPr="00E36F2A">
        <w:rPr>
          <w:b/>
          <w:i/>
        </w:rPr>
        <w:t xml:space="preserve">, bet kurių </w:t>
      </w:r>
      <w:r w:rsidR="00CB45A7" w:rsidRPr="00E36F2A">
        <w:rPr>
          <w:b/>
          <w:i/>
        </w:rPr>
        <w:t xml:space="preserve">visos </w:t>
      </w:r>
      <w:r w:rsidR="009E2DB7" w:rsidRPr="00E36F2A">
        <w:rPr>
          <w:b/>
          <w:i/>
        </w:rPr>
        <w:t>šalys</w:t>
      </w:r>
      <w:r w:rsidR="00FE252C" w:rsidRPr="00E36F2A">
        <w:rPr>
          <w:b/>
          <w:i/>
        </w:rPr>
        <w:t xml:space="preserve"> yra įsisteigusios Sąjungoje, tais atvejais, kai sutartys atitinka šio reglamento reikalavimus ir kai pagal tos trečiosios valstybės teisę nėra nustatyta tvarkingo lyginamojo indekso likvidavimo mechanizmo. Šis taikymo srities išplėtimas neturėtų daryti poveikio Reglamento (ES) 2016/1011 nuostatoms</w:t>
      </w:r>
      <w:r w:rsidR="009A6B3A" w:rsidRPr="00E36F2A">
        <w:rPr>
          <w:b/>
          <w:i/>
        </w:rPr>
        <w:t xml:space="preserve">, kurios </w:t>
      </w:r>
      <w:r w:rsidR="009E2DB7" w:rsidRPr="00E36F2A">
        <w:rPr>
          <w:b/>
          <w:i/>
        </w:rPr>
        <w:t xml:space="preserve">iš dalies </w:t>
      </w:r>
      <w:r w:rsidR="009A6B3A" w:rsidRPr="00E36F2A">
        <w:rPr>
          <w:b/>
          <w:i/>
        </w:rPr>
        <w:t>nekeičiamos šiuo reglamentu</w:t>
      </w:r>
      <w:r w:rsidR="00FE252C" w:rsidRPr="00E36F2A">
        <w:rPr>
          <w:b/>
          <w:i/>
        </w:rPr>
        <w:t>;</w:t>
      </w:r>
    </w:p>
    <w:p w:rsidR="00FB33FF" w:rsidRPr="00E36F2A" w:rsidRDefault="005F45D9" w:rsidP="00420C1A">
      <w:pPr>
        <w:pStyle w:val="Considrant"/>
        <w:numPr>
          <w:ilvl w:val="0"/>
          <w:numId w:val="0"/>
        </w:numPr>
        <w:tabs>
          <w:tab w:val="left" w:pos="851"/>
          <w:tab w:val="left" w:pos="1418"/>
          <w:tab w:val="left" w:pos="1985"/>
          <w:tab w:val="left" w:pos="2552"/>
        </w:tabs>
        <w:spacing w:line="360" w:lineRule="auto"/>
        <w:ind w:left="851" w:hanging="851"/>
        <w:rPr>
          <w:b/>
          <w:i/>
        </w:rPr>
      </w:pPr>
      <w:r w:rsidRPr="00E36F2A">
        <w:br w:type="page"/>
      </w:r>
      <w:r w:rsidR="00FE252C" w:rsidRPr="00E36F2A">
        <w:lastRenderedPageBreak/>
        <w:t>(1</w:t>
      </w:r>
      <w:r w:rsidR="009A6B3A" w:rsidRPr="00E36F2A">
        <w:t>0</w:t>
      </w:r>
      <w:r w:rsidR="00FE252C" w:rsidRPr="00E36F2A">
        <w:t>)</w:t>
      </w:r>
      <w:r w:rsidR="00FE252C" w:rsidRPr="00E36F2A">
        <w:tab/>
      </w:r>
      <w:r w:rsidR="00D328F9" w:rsidRPr="00E36F2A">
        <w:rPr>
          <w:b/>
          <w:i/>
        </w:rPr>
        <w:t>teisės aktais nustatytą</w:t>
      </w:r>
      <w:r w:rsidR="00D328F9" w:rsidRPr="00E36F2A">
        <w:t xml:space="preserve"> </w:t>
      </w:r>
      <w:r w:rsidR="00FE252C" w:rsidRPr="00E36F2A">
        <w:rPr>
          <w:b/>
          <w:i/>
        </w:rPr>
        <w:t xml:space="preserve">pakaitinį lyginamąjį indeksą turėtų būti leidžiama taikyti tik toms sutartims </w:t>
      </w:r>
      <w:r w:rsidR="00BD3808" w:rsidRPr="00E36F2A">
        <w:rPr>
          <w:b/>
          <w:i/>
        </w:rPr>
        <w:t>ir Direktyvoje 2014/65/ES</w:t>
      </w:r>
      <w:r w:rsidR="00CB45A7" w:rsidRPr="00E36F2A">
        <w:rPr>
          <w:b/>
          <w:i/>
        </w:rPr>
        <w:t xml:space="preserve"> apibrėžtoms finansinėms </w:t>
      </w:r>
      <w:r w:rsidR="00420C1A" w:rsidRPr="00E36F2A">
        <w:rPr>
          <w:b/>
          <w:i/>
        </w:rPr>
        <w:t>priemonėms</w:t>
      </w:r>
      <w:r w:rsidR="00BD3808" w:rsidRPr="00E36F2A">
        <w:rPr>
          <w:b/>
          <w:i/>
        </w:rPr>
        <w:t>,</w:t>
      </w:r>
      <w:r w:rsidR="00FE252C" w:rsidRPr="00E36F2A">
        <w:rPr>
          <w:b/>
          <w:i/>
        </w:rPr>
        <w:t xml:space="preserve"> kurios iki atitinkamo lyginamojo indekso teikimo nutraukimo dienos nebuvo persvarstytos. Kai naudojamos pagrindinės sutartys, </w:t>
      </w:r>
      <w:r w:rsidR="00BD3808" w:rsidRPr="00E36F2A">
        <w:rPr>
          <w:b/>
          <w:i/>
        </w:rPr>
        <w:t xml:space="preserve">nustatytasis </w:t>
      </w:r>
      <w:r w:rsidR="00FE252C" w:rsidRPr="00E36F2A">
        <w:rPr>
          <w:b/>
          <w:i/>
        </w:rPr>
        <w:t>pakaitinis lyginamasis indeksas bus taikomas tik sandoriams, sudarytiems iki atitinkamos pakeitimo dienos, net jei vėlesni sandoriai techniniu požiūriu galėtų būti tos pačios sutarties dalis.</w:t>
      </w:r>
      <w:r w:rsidR="00FE252C" w:rsidRPr="00E36F2A">
        <w:t xml:space="preserve"> </w:t>
      </w:r>
      <w:r w:rsidR="00FB33FF" w:rsidRPr="00E36F2A">
        <w:t>N</w:t>
      </w:r>
      <w:r w:rsidR="00FE252C" w:rsidRPr="00E36F2A">
        <w:t xml:space="preserve">ustatytas pakaitinis lyginamasis indeksas neturėtų daryti poveikio sutartims </w:t>
      </w:r>
      <w:r w:rsidR="00FE252C" w:rsidRPr="00E36F2A">
        <w:rPr>
          <w:b/>
          <w:i/>
        </w:rPr>
        <w:t xml:space="preserve">arba </w:t>
      </w:r>
      <w:r w:rsidR="00BD3808" w:rsidRPr="00E36F2A">
        <w:rPr>
          <w:b/>
          <w:i/>
        </w:rPr>
        <w:t>Direktyvoje 2014/65/ES</w:t>
      </w:r>
      <w:r w:rsidR="00FB33FF" w:rsidRPr="00E36F2A">
        <w:rPr>
          <w:b/>
          <w:i/>
        </w:rPr>
        <w:t xml:space="preserve"> apibrėžtoms finansinėms priemonėms</w:t>
      </w:r>
      <w:r w:rsidR="00FE252C" w:rsidRPr="00E36F2A">
        <w:t>, kuriose jau numatyta tinkama sutartinė nuostata dėl atsarginės normos</w:t>
      </w:r>
      <w:r w:rsidR="00BD3808" w:rsidRPr="00E36F2A">
        <w:t xml:space="preserve">, </w:t>
      </w:r>
      <w:r w:rsidR="00FE252C" w:rsidRPr="00E36F2A">
        <w:rPr>
          <w:b/>
          <w:i/>
        </w:rPr>
        <w:t>kuri taikoma lyginamojo indekso teikimo nutraukimo visam laikui atveju</w:t>
      </w:r>
      <w:r w:rsidR="00FB33FF" w:rsidRPr="00E36F2A">
        <w:rPr>
          <w:b/>
          <w:i/>
        </w:rPr>
        <w:t>;</w:t>
      </w:r>
      <w:r w:rsidR="00BD3808" w:rsidRPr="00E36F2A">
        <w:rPr>
          <w:b/>
          <w:i/>
        </w:rPr>
        <w:t xml:space="preserve"> </w:t>
      </w:r>
    </w:p>
    <w:p w:rsidR="00FE252C" w:rsidRPr="00E36F2A" w:rsidRDefault="00FB33FF" w:rsidP="00420C1A">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rPr>
        <w:t>(11)</w:t>
      </w:r>
      <w:r w:rsidRPr="00E36F2A">
        <w:rPr>
          <w:b/>
          <w:i/>
        </w:rPr>
        <w:tab/>
      </w:r>
      <w:r w:rsidR="00FE252C" w:rsidRPr="00E36F2A">
        <w:rPr>
          <w:b/>
          <w:i/>
        </w:rPr>
        <w:t xml:space="preserve">tai, kad Komisija </w:t>
      </w:r>
      <w:r w:rsidR="00420C1A" w:rsidRPr="00E36F2A">
        <w:rPr>
          <w:b/>
          <w:i/>
        </w:rPr>
        <w:t xml:space="preserve">priima įgyvendinimo aktą, kuriuo </w:t>
      </w:r>
      <w:r w:rsidR="00FE252C" w:rsidRPr="00E36F2A">
        <w:rPr>
          <w:b/>
          <w:i/>
        </w:rPr>
        <w:t>nustato pakaitinį lyginamąjį indeksą, neturėtų trukdyti sutarties šalims susitarti naudoti kitą pakaitinį lyginamąjį indeksą;</w:t>
      </w:r>
    </w:p>
    <w:p w:rsidR="008F39AE" w:rsidRPr="00E36F2A" w:rsidRDefault="008F39AE">
      <w:pPr>
        <w:spacing w:before="0" w:after="200" w:line="276" w:lineRule="auto"/>
        <w:rPr>
          <w:b/>
          <w:i/>
        </w:rPr>
      </w:pPr>
      <w:r w:rsidRPr="00E36F2A">
        <w:rPr>
          <w:b/>
          <w:i/>
        </w:rPr>
        <w:br w:type="page"/>
      </w:r>
    </w:p>
    <w:p w:rsidR="00A50548" w:rsidRPr="00E36F2A" w:rsidRDefault="00FE252C" w:rsidP="00A50548">
      <w:pPr>
        <w:tabs>
          <w:tab w:val="left" w:pos="851"/>
        </w:tabs>
        <w:spacing w:before="0" w:after="200" w:line="360" w:lineRule="auto"/>
        <w:ind w:left="851" w:hanging="851"/>
        <w:rPr>
          <w:b/>
          <w:i/>
        </w:rPr>
      </w:pPr>
      <w:r w:rsidRPr="00E36F2A">
        <w:rPr>
          <w:b/>
          <w:i/>
        </w:rPr>
        <w:lastRenderedPageBreak/>
        <w:t>(1</w:t>
      </w:r>
      <w:r w:rsidR="00A50548" w:rsidRPr="00E36F2A">
        <w:rPr>
          <w:b/>
          <w:i/>
        </w:rPr>
        <w:t>2</w:t>
      </w:r>
      <w:r w:rsidRPr="00E36F2A">
        <w:rPr>
          <w:b/>
          <w:i/>
        </w:rPr>
        <w:t>)</w:t>
      </w:r>
      <w:r w:rsidRPr="00E36F2A">
        <w:rPr>
          <w:b/>
          <w:i/>
        </w:rPr>
        <w:tab/>
      </w:r>
      <w:r w:rsidR="00A50548" w:rsidRPr="00E36F2A">
        <w:rPr>
          <w:b/>
          <w:i/>
        </w:rPr>
        <w:t>lyginamieji indeksai ir sutartyse įtvirtintos jų atsarginės normos ilgainiui galėtų smarkiai ir netikėtai nukrypti vienas kito atžvilgiu ir dėl to nebeatspindėti atitinkamos pagrindinės ekonominės padėties arba rodyti ekonomiškai nepriimtinus rezultatus. Tokie atvejai galėtų apimti reikšmingą lyginamojo indekso ir sutartyse įtvirtintos atsarginės normos skirtumo padidėjimą per tam tikrą laikotarpį arba atvejus, kai pagal sutartyje numatytą nuostatą dėl atsarginės normos lyginamojo indekso pagrindas pakeičiamas iš kintamosios normos į fiksuotąją normą. Kadangi tokių problemų gali kilti daugelyje valstybių narių ir kadangi tokiais atvejais poveikį dažnai patirtų ir skirtingose valstybėse narėse veikiančios sutarties šalys, tas problemas reikėtų spręsti suderintai, kad būtų išvengta teisinio netikrumo, pernelyg dažno bylinėjimosi ir atitinkamai galimo didelio neigiamo poveikio vidaus rinkai arba poveikio atskirų valstybių narių arba Sąjungos finansiniam stabilumui. Atitinkamai įgyvendinimo aktu nustatytas pakaitinis lyginamasis indeksas laikantis tam tikrų išankstinių sąlygų turėtų būti naudojamas kaip pakaitalas, kai atitinkamos nacionalinės institucijos, pavyzdžiui, makrolygio rizikos ribojimo institucijos, sisteminės rizikos tarybos arba centriniai bankai, nustato, kad iš pradžių numatyta nuostata dėl atsarginės normos nebeatspindi ekonominės tikrovės, kurią lyginamasis indeksas, kurio teikimas nutraukiamas, turėjo matuoti, arba tokia nuostata galėtų kelti grėsmę finansiniam stabilumui. Kai viena ar kelios galimai suinteresuotos šalys informuoja, kad įprastai taikoma nuostata dėl atsarginės normos gali būti netinkama, atitinkamos nacionalinės institucijos turėtų atlikti vertinimą. Tačiau toks vertinimas neturėtų būti atliekamas kiekvienai sutarčiai atskirai. Susijusios atitinkamos nacionalinės institucijos turėtų būti įpareigotos apie tą vertinimą informuoti Komisiją ir Europos vertybinių popierių ir rinkų instituciją (ESMA);</w:t>
      </w:r>
    </w:p>
    <w:p w:rsidR="008F39AE" w:rsidRPr="00E36F2A" w:rsidRDefault="008F39AE">
      <w:pPr>
        <w:spacing w:before="0" w:after="200" w:line="276" w:lineRule="auto"/>
        <w:rPr>
          <w:b/>
          <w:i/>
        </w:rPr>
      </w:pPr>
      <w:r w:rsidRPr="00E36F2A">
        <w:rPr>
          <w:b/>
          <w:i/>
        </w:rPr>
        <w:br w:type="page"/>
      </w:r>
    </w:p>
    <w:p w:rsidR="008F39AE" w:rsidRPr="00E36F2A" w:rsidRDefault="00A50548" w:rsidP="00A50548">
      <w:pPr>
        <w:tabs>
          <w:tab w:val="left" w:pos="851"/>
        </w:tabs>
        <w:spacing w:before="0" w:after="200" w:line="360" w:lineRule="auto"/>
        <w:ind w:left="851" w:hanging="851"/>
        <w:rPr>
          <w:b/>
          <w:i/>
        </w:rPr>
      </w:pPr>
      <w:r w:rsidRPr="00E36F2A">
        <w:rPr>
          <w:b/>
          <w:i/>
        </w:rPr>
        <w:lastRenderedPageBreak/>
        <w:t>(13)</w:t>
      </w:r>
      <w:r w:rsidRPr="00E36F2A">
        <w:rPr>
          <w:b/>
          <w:i/>
        </w:rPr>
        <w:tab/>
      </w:r>
      <w:r w:rsidR="00FE252C" w:rsidRPr="00E36F2A">
        <w:rPr>
          <w:b/>
          <w:i/>
        </w:rPr>
        <w:t xml:space="preserve">sutarties šalys privalo išnagrinėti sutartimi įforminamą susitarimą ir išsiaiškinti, kokiais atvejais taikoma sutartinė nuostata dėl atsarginės normos. Jei aiškinant sutartį arba </w:t>
      </w:r>
      <w:r w:rsidR="00BD3808" w:rsidRPr="00E36F2A">
        <w:rPr>
          <w:b/>
          <w:i/>
        </w:rPr>
        <w:t>finansinę priemonę, kaip apibrėžta Direktyvoje 2014/65/ES</w:t>
      </w:r>
      <w:r w:rsidR="00BD3808" w:rsidRPr="00E36F2A">
        <w:t xml:space="preserve">, </w:t>
      </w:r>
      <w:r w:rsidR="00FE252C" w:rsidRPr="00E36F2A">
        <w:rPr>
          <w:b/>
          <w:i/>
        </w:rPr>
        <w:t>nustatoma, kad šalys neketino taikyti nuostatos dėl pasirinkto lyginamojo indekso teikimo nutraukimo visam laikui, pagal š</w:t>
      </w:r>
      <w:r w:rsidR="00BD3808" w:rsidRPr="00E36F2A">
        <w:rPr>
          <w:b/>
          <w:i/>
        </w:rPr>
        <w:t>į</w:t>
      </w:r>
      <w:r w:rsidR="00FE252C" w:rsidRPr="00E36F2A">
        <w:rPr>
          <w:b/>
          <w:i/>
        </w:rPr>
        <w:t xml:space="preserve"> reglament</w:t>
      </w:r>
      <w:r w:rsidR="00BD3808" w:rsidRPr="00E36F2A">
        <w:rPr>
          <w:b/>
          <w:i/>
        </w:rPr>
        <w:t>ą</w:t>
      </w:r>
      <w:r w:rsidR="00FE252C" w:rsidRPr="00E36F2A">
        <w:rPr>
          <w:b/>
          <w:i/>
        </w:rPr>
        <w:t xml:space="preserve"> nustatytas pakaitinis lyginamasis indeksas galėtų būti tinkama apsauginė priemonė </w:t>
      </w:r>
      <w:r w:rsidR="00E44E55" w:rsidRPr="00E36F2A">
        <w:rPr>
          <w:b/>
          <w:i/>
        </w:rPr>
        <w:t xml:space="preserve">to </w:t>
      </w:r>
      <w:r w:rsidR="00FE252C" w:rsidRPr="00E36F2A">
        <w:rPr>
          <w:b/>
          <w:i/>
        </w:rPr>
        <w:t>lyginamojo indekso teikimo nutraukimo visam laikui atveju;</w:t>
      </w:r>
    </w:p>
    <w:p w:rsidR="009A6B3A" w:rsidRPr="00E36F2A" w:rsidRDefault="005F45D9" w:rsidP="00A50548">
      <w:pPr>
        <w:tabs>
          <w:tab w:val="left" w:pos="851"/>
        </w:tabs>
        <w:spacing w:before="0" w:after="200" w:line="360" w:lineRule="auto"/>
        <w:ind w:left="851" w:hanging="851"/>
        <w:rPr>
          <w:b/>
          <w:i/>
        </w:rPr>
      </w:pPr>
      <w:r w:rsidRPr="00E36F2A">
        <w:br w:type="page"/>
      </w:r>
      <w:r w:rsidR="009A6B3A" w:rsidRPr="00E36F2A">
        <w:rPr>
          <w:b/>
          <w:i/>
        </w:rPr>
        <w:lastRenderedPageBreak/>
        <w:t>(1</w:t>
      </w:r>
      <w:r w:rsidR="00A50548" w:rsidRPr="00E36F2A">
        <w:rPr>
          <w:b/>
          <w:i/>
        </w:rPr>
        <w:t>4</w:t>
      </w:r>
      <w:r w:rsidR="009A6B3A" w:rsidRPr="00E36F2A">
        <w:rPr>
          <w:b/>
          <w:i/>
        </w:rPr>
        <w:t xml:space="preserve">) </w:t>
      </w:r>
      <w:r w:rsidR="009A6B3A" w:rsidRPr="00E36F2A">
        <w:rPr>
          <w:b/>
          <w:i/>
        </w:rPr>
        <w:tab/>
        <w:t>atsižvelgiant į tai, kad norint pakeisti lyginamąjį indeksą gali prireikti pakeisti sutartis</w:t>
      </w:r>
      <w:r w:rsidR="00A50548" w:rsidRPr="00E36F2A">
        <w:rPr>
          <w:b/>
          <w:i/>
        </w:rPr>
        <w:t xml:space="preserve"> arba Direktyvoje 2014/65/ES apibrėžtas finansines priemones</w:t>
      </w:r>
      <w:r w:rsidR="00BA327A" w:rsidRPr="00E36F2A">
        <w:rPr>
          <w:b/>
          <w:i/>
        </w:rPr>
        <w:t xml:space="preserve">, kuriose </w:t>
      </w:r>
      <w:r w:rsidR="00420C1A" w:rsidRPr="00E36F2A">
        <w:rPr>
          <w:b/>
          <w:i/>
        </w:rPr>
        <w:t>pa</w:t>
      </w:r>
      <w:r w:rsidR="00BA327A" w:rsidRPr="00E36F2A">
        <w:rPr>
          <w:b/>
          <w:i/>
        </w:rPr>
        <w:t>teikiama nuoroda į tokius lyginamuosius indeksus</w:t>
      </w:r>
      <w:r w:rsidR="009A6B3A" w:rsidRPr="00E36F2A">
        <w:rPr>
          <w:b/>
          <w:i/>
        </w:rPr>
        <w:t>, ka</w:t>
      </w:r>
      <w:r w:rsidR="00A50548" w:rsidRPr="00E36F2A">
        <w:rPr>
          <w:b/>
          <w:i/>
        </w:rPr>
        <w:t xml:space="preserve">i tokie pakeitimai </w:t>
      </w:r>
      <w:r w:rsidR="00204034" w:rsidRPr="00E36F2A">
        <w:rPr>
          <w:b/>
          <w:i/>
        </w:rPr>
        <w:t>yra būtini siekiant</w:t>
      </w:r>
      <w:r w:rsidR="009A6B3A" w:rsidRPr="00E36F2A">
        <w:rPr>
          <w:b/>
          <w:i/>
        </w:rPr>
        <w:t xml:space="preserve"> praktiškai naudoti arba taikyti tokį pakaitinį lyginamąjį indeksą, Komisijai turėtų būti suteikti įgaliojimai įgyvendinimo aktu nustatyti tokius atitinkamus esminius atitikties pakeitimus;</w:t>
      </w:r>
    </w:p>
    <w:p w:rsidR="00996EF0" w:rsidRPr="00E36F2A" w:rsidRDefault="009A6B3A" w:rsidP="00420C1A">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rPr>
        <w:br w:type="page"/>
      </w:r>
      <w:r w:rsidR="00996EF0" w:rsidRPr="00E36F2A">
        <w:rPr>
          <w:b/>
          <w:i/>
        </w:rPr>
        <w:lastRenderedPageBreak/>
        <w:t>(1</w:t>
      </w:r>
      <w:r w:rsidR="00204034" w:rsidRPr="00E36F2A">
        <w:rPr>
          <w:b/>
          <w:i/>
        </w:rPr>
        <w:t>5</w:t>
      </w:r>
      <w:r w:rsidR="00996EF0" w:rsidRPr="00E36F2A">
        <w:rPr>
          <w:b/>
          <w:i/>
        </w:rPr>
        <w:t xml:space="preserve">) </w:t>
      </w:r>
      <w:r w:rsidR="00996EF0" w:rsidRPr="00E36F2A">
        <w:rPr>
          <w:b/>
          <w:i/>
        </w:rPr>
        <w:tab/>
        <w:t>lyginamųjų indeksų, kuriuos Komisija pagal Reglamentą (ES) 2016/1011 įvardijo kaip ypatingos svarbos indeksus vienoje valstybėje narėje</w:t>
      </w:r>
      <w:r w:rsidR="00420C1A" w:rsidRPr="00E36F2A">
        <w:rPr>
          <w:b/>
          <w:i/>
        </w:rPr>
        <w:t>, atveju</w:t>
      </w:r>
      <w:r w:rsidR="00996EF0" w:rsidRPr="00E36F2A">
        <w:rPr>
          <w:b/>
          <w:i/>
        </w:rPr>
        <w:t xml:space="preserve"> ir </w:t>
      </w:r>
      <w:r w:rsidR="00420C1A" w:rsidRPr="00E36F2A">
        <w:rPr>
          <w:b/>
          <w:i/>
        </w:rPr>
        <w:t xml:space="preserve">kai </w:t>
      </w:r>
      <w:r w:rsidR="00996EF0" w:rsidRPr="00E36F2A">
        <w:rPr>
          <w:b/>
          <w:i/>
        </w:rPr>
        <w:t xml:space="preserve">dėl </w:t>
      </w:r>
      <w:r w:rsidR="00D710DA" w:rsidRPr="00E36F2A">
        <w:rPr>
          <w:b/>
          <w:i/>
        </w:rPr>
        <w:t xml:space="preserve">tokio lyginamojo indekso teikimo </w:t>
      </w:r>
      <w:r w:rsidR="00996EF0" w:rsidRPr="00E36F2A">
        <w:rPr>
          <w:b/>
          <w:i/>
        </w:rPr>
        <w:t>nutraukimo arba likvidavimo gal</w:t>
      </w:r>
      <w:r w:rsidR="00420C1A" w:rsidRPr="00E36F2A">
        <w:rPr>
          <w:b/>
          <w:i/>
        </w:rPr>
        <w:t>ėtų</w:t>
      </w:r>
      <w:r w:rsidR="00996EF0" w:rsidRPr="00E36F2A">
        <w:rPr>
          <w:b/>
          <w:i/>
        </w:rPr>
        <w:t xml:space="preserve"> būti smarkiai sutrikdytas finansų rinkų veikimas </w:t>
      </w:r>
      <w:r w:rsidR="00D710DA" w:rsidRPr="00E36F2A">
        <w:rPr>
          <w:b/>
          <w:i/>
        </w:rPr>
        <w:t xml:space="preserve">toje </w:t>
      </w:r>
      <w:r w:rsidR="00996EF0" w:rsidRPr="00E36F2A">
        <w:rPr>
          <w:b/>
          <w:i/>
        </w:rPr>
        <w:t>valstybėje narėje, atitinkama kompetentinga institucija turėtų imtis būtinų veiksmų pagal</w:t>
      </w:r>
      <w:r w:rsidR="00D710DA" w:rsidRPr="00E36F2A">
        <w:rPr>
          <w:b/>
          <w:i/>
        </w:rPr>
        <w:t xml:space="preserve"> savo</w:t>
      </w:r>
      <w:r w:rsidR="00996EF0" w:rsidRPr="00E36F2A">
        <w:rPr>
          <w:b/>
          <w:i/>
        </w:rPr>
        <w:t xml:space="preserve"> nacionalinę teisę, kad būtų išvengta tokių trikdžių;</w:t>
      </w:r>
    </w:p>
    <w:p w:rsidR="00996EF0" w:rsidRPr="00E36F2A" w:rsidRDefault="00996EF0">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rPr>
        <w:t>(</w:t>
      </w:r>
      <w:r w:rsidR="009A6B3A" w:rsidRPr="00E36F2A">
        <w:rPr>
          <w:b/>
          <w:i/>
        </w:rPr>
        <w:t>1</w:t>
      </w:r>
      <w:r w:rsidR="00204034" w:rsidRPr="00E36F2A">
        <w:rPr>
          <w:b/>
          <w:i/>
        </w:rPr>
        <w:t>6</w:t>
      </w:r>
      <w:r w:rsidRPr="00E36F2A">
        <w:rPr>
          <w:b/>
          <w:i/>
        </w:rPr>
        <w:t xml:space="preserve">) </w:t>
      </w:r>
      <w:r w:rsidRPr="00E36F2A">
        <w:rPr>
          <w:b/>
          <w:i/>
        </w:rPr>
        <w:tab/>
        <w:t>jei valstybė narė prisijungia prie euro zonos ir jeigu dėl to, kad trūksta pradinių duomenų nacionaliniam lyginamajam indeksui apskaičiuoti,</w:t>
      </w:r>
      <w:r w:rsidR="00D710DA" w:rsidRPr="00E36F2A">
        <w:rPr>
          <w:b/>
          <w:i/>
        </w:rPr>
        <w:t xml:space="preserve"> tas</w:t>
      </w:r>
      <w:r w:rsidRPr="00E36F2A">
        <w:rPr>
          <w:b/>
          <w:i/>
        </w:rPr>
        <w:t xml:space="preserve"> lyginamasis indeksas turi būti pakeistas, ta valstybė narė </w:t>
      </w:r>
      <w:r w:rsidR="00D710DA" w:rsidRPr="00E36F2A">
        <w:rPr>
          <w:b/>
          <w:i/>
        </w:rPr>
        <w:t xml:space="preserve">turėtų galėti </w:t>
      </w:r>
      <w:r w:rsidRPr="00E36F2A">
        <w:rPr>
          <w:b/>
          <w:i/>
        </w:rPr>
        <w:t xml:space="preserve">priimti teisės akto nuostatą dėl </w:t>
      </w:r>
      <w:r w:rsidR="00D710DA" w:rsidRPr="00E36F2A">
        <w:rPr>
          <w:b/>
          <w:i/>
        </w:rPr>
        <w:t xml:space="preserve">to </w:t>
      </w:r>
      <w:r w:rsidRPr="00E36F2A">
        <w:rPr>
          <w:b/>
          <w:i/>
        </w:rPr>
        <w:t xml:space="preserve">nacionalinio lyginamojo indekso pakeitimo pakaitiniu lyginamuoju indeksu. Tokiu atveju ta valstybė narė turėtų atsižvelgti į vartotojų, kaip sutarties šalių, statusą ir užtikrinti, kad </w:t>
      </w:r>
      <w:r w:rsidR="00D710DA" w:rsidRPr="00E36F2A">
        <w:rPr>
          <w:b/>
          <w:i/>
        </w:rPr>
        <w:t>toks</w:t>
      </w:r>
      <w:r w:rsidRPr="00E36F2A">
        <w:rPr>
          <w:b/>
          <w:i/>
        </w:rPr>
        <w:t xml:space="preserve"> pakeitimas nedarytų didesnio neigiamo poveikio jų padėčiai nei būtina;</w:t>
      </w:r>
    </w:p>
    <w:p w:rsidR="00FC6575" w:rsidRPr="00E36F2A" w:rsidRDefault="009A6B3A" w:rsidP="00C94F37">
      <w:pPr>
        <w:pStyle w:val="Considrant"/>
        <w:numPr>
          <w:ilvl w:val="0"/>
          <w:numId w:val="0"/>
        </w:numPr>
        <w:tabs>
          <w:tab w:val="left" w:pos="851"/>
          <w:tab w:val="left" w:pos="1418"/>
          <w:tab w:val="left" w:pos="1985"/>
          <w:tab w:val="left" w:pos="2552"/>
        </w:tabs>
        <w:spacing w:line="360" w:lineRule="auto"/>
        <w:ind w:left="851" w:hanging="851"/>
      </w:pPr>
      <w:r w:rsidRPr="00E36F2A">
        <w:br w:type="page"/>
      </w:r>
      <w:r w:rsidR="00FC6575" w:rsidRPr="00E36F2A">
        <w:lastRenderedPageBreak/>
        <w:t>(1</w:t>
      </w:r>
      <w:r w:rsidR="00204034" w:rsidRPr="00E36F2A">
        <w:t>7</w:t>
      </w:r>
      <w:r w:rsidR="00FC6575" w:rsidRPr="00E36F2A">
        <w:t>)</w:t>
      </w:r>
      <w:r w:rsidR="00FC6575" w:rsidRPr="00E36F2A">
        <w:tab/>
        <w:t>kad būtų galima nustatyti tam tikrus trečiųjų šalių užsienio valiutos</w:t>
      </w:r>
      <w:r w:rsidR="00FC6575" w:rsidRPr="00E36F2A">
        <w:rPr>
          <w:b/>
          <w:i/>
        </w:rPr>
        <w:t xml:space="preserve"> </w:t>
      </w:r>
      <w:r w:rsidR="00C94F37" w:rsidRPr="00E36F2A">
        <w:rPr>
          <w:b/>
          <w:i/>
        </w:rPr>
        <w:t>neatidėliotino</w:t>
      </w:r>
      <w:r w:rsidR="00C94F37" w:rsidRPr="00E36F2A">
        <w:t xml:space="preserve"> </w:t>
      </w:r>
      <w:r w:rsidR="00FC6575" w:rsidRPr="00E36F2A">
        <w:rPr>
          <w:b/>
          <w:i/>
        </w:rPr>
        <w:t>kurso lyginamuosius indeksus</w:t>
      </w:r>
      <w:r w:rsidR="00FC6575" w:rsidRPr="00E36F2A">
        <w:t xml:space="preserve">, kuriems Reglamentas (ES) 2016/1011 netaikomas, pagal Sutarties dėl Europos Sąjungos veikimo 290 straipsnį Komisijai turėtų būti deleguoti įgaliojimai priimti aktus dėl išimties, taikomos </w:t>
      </w:r>
      <w:r w:rsidR="00FC6575" w:rsidRPr="00E36F2A">
        <w:rPr>
          <w:b/>
          <w:i/>
        </w:rPr>
        <w:t>neatidėliotino nekonvertuojamos užsienio valiutos kurso lyginamiesiems indeksams,</w:t>
      </w:r>
      <w:r w:rsidR="00FC6575" w:rsidRPr="00E36F2A">
        <w:t xml:space="preserve"> kai </w:t>
      </w:r>
      <w:r w:rsidR="00D710DA" w:rsidRPr="00E36F2A">
        <w:rPr>
          <w:b/>
          <w:i/>
        </w:rPr>
        <w:t xml:space="preserve">tokie </w:t>
      </w:r>
      <w:r w:rsidR="00FC6575" w:rsidRPr="00E36F2A">
        <w:rPr>
          <w:b/>
          <w:i/>
        </w:rPr>
        <w:t>neatidėliotino</w:t>
      </w:r>
      <w:r w:rsidR="00FC6575" w:rsidRPr="00E36F2A">
        <w:t xml:space="preserve"> užsienio valiutos </w:t>
      </w:r>
      <w:r w:rsidR="00FC6575" w:rsidRPr="00E36F2A">
        <w:rPr>
          <w:b/>
          <w:i/>
        </w:rPr>
        <w:t>kurso lyginamieji indeksai</w:t>
      </w:r>
      <w:r w:rsidR="00FC6575" w:rsidRPr="00E36F2A">
        <w:t xml:space="preserve"> yra </w:t>
      </w:r>
      <w:r w:rsidR="00FC6575" w:rsidRPr="00E36F2A">
        <w:rPr>
          <w:b/>
          <w:i/>
        </w:rPr>
        <w:t>naudojami</w:t>
      </w:r>
      <w:r w:rsidR="00FC6575" w:rsidRPr="00E36F2A">
        <w:t xml:space="preserve"> apskaičiuojant išmokėtinas sumas pagal užsienio valiutos </w:t>
      </w:r>
      <w:r w:rsidR="00FC6575" w:rsidRPr="00E36F2A">
        <w:rPr>
          <w:b/>
          <w:i/>
        </w:rPr>
        <w:t>išvestinių finansinių priemonių</w:t>
      </w:r>
      <w:r w:rsidR="00FC6575" w:rsidRPr="00E36F2A">
        <w:t xml:space="preserve"> sandorius be apsikeitimo pagrindine suma. Ypač svarbu, kad atlikdama parengiamąjį darbą Komisija tinkamai konsultuotųsi, taip pat ir su ekspertais, ir kad tos konsultacijos būtų vykdomos vadovaujantis 2016 m. balandžio 13 d. Tarpinstituciniame susitarime dėl geresnės teisėkūros</w:t>
      </w:r>
      <w:r w:rsidR="00FC6575" w:rsidRPr="00E36F2A">
        <w:rPr>
          <w:rStyle w:val="FootnoteReference"/>
        </w:rPr>
        <w:footnoteReference w:id="8"/>
      </w:r>
      <w:r w:rsidR="00FC6575" w:rsidRPr="00E36F2A">
        <w:t xml:space="preserve">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rsidR="008F39AE" w:rsidRPr="00E36F2A" w:rsidRDefault="008F39AE">
      <w:pPr>
        <w:spacing w:before="0" w:after="200" w:line="276" w:lineRule="auto"/>
      </w:pPr>
      <w:r w:rsidRPr="00E36F2A">
        <w:br w:type="page"/>
      </w:r>
    </w:p>
    <w:p w:rsidR="00FC6575" w:rsidRPr="00E36F2A" w:rsidRDefault="00FC6575" w:rsidP="00FE5BDE">
      <w:pPr>
        <w:pStyle w:val="Considrant"/>
        <w:numPr>
          <w:ilvl w:val="0"/>
          <w:numId w:val="0"/>
        </w:numPr>
        <w:tabs>
          <w:tab w:val="left" w:pos="851"/>
          <w:tab w:val="left" w:pos="1418"/>
          <w:tab w:val="left" w:pos="1985"/>
          <w:tab w:val="left" w:pos="2552"/>
        </w:tabs>
        <w:spacing w:line="360" w:lineRule="auto"/>
        <w:ind w:left="851" w:hanging="851"/>
      </w:pPr>
      <w:r w:rsidRPr="00E36F2A">
        <w:lastRenderedPageBreak/>
        <w:t>(1</w:t>
      </w:r>
      <w:r w:rsidR="00204034" w:rsidRPr="00E36F2A">
        <w:t>8</w:t>
      </w:r>
      <w:r w:rsidRPr="00E36F2A">
        <w:t>)</w:t>
      </w:r>
      <w:r w:rsidRPr="00E36F2A">
        <w:tab/>
        <w:t xml:space="preserve">siekiant užtikrinti vienodas šio reglamento įgyvendinimo sąlygas, Komisijai </w:t>
      </w:r>
      <w:r w:rsidR="0093069B" w:rsidRPr="00E36F2A">
        <w:t xml:space="preserve">turėtų būti </w:t>
      </w:r>
      <w:r w:rsidRPr="00E36F2A">
        <w:t>suteikti įgyvendinimo įgaliojim</w:t>
      </w:r>
      <w:r w:rsidR="0093069B" w:rsidRPr="00E36F2A">
        <w:t>ai</w:t>
      </w:r>
      <w:r w:rsidRPr="00E36F2A">
        <w:t xml:space="preserve"> nustatyti pakaitinį lyginamąjį indeksą, </w:t>
      </w:r>
      <w:r w:rsidRPr="00E36F2A">
        <w:rPr>
          <w:b/>
          <w:i/>
        </w:rPr>
        <w:t xml:space="preserve">kuris pakeistų visas nuorodas į tą lyginamąjį indeksą sutartyse arba </w:t>
      </w:r>
      <w:r w:rsidR="0093069B" w:rsidRPr="00E36F2A">
        <w:rPr>
          <w:b/>
          <w:i/>
        </w:rPr>
        <w:t>Direktyvoje 2014/65/ES</w:t>
      </w:r>
      <w:r w:rsidR="00FE5BDE" w:rsidRPr="00E36F2A">
        <w:rPr>
          <w:b/>
          <w:i/>
        </w:rPr>
        <w:t xml:space="preserve"> apibrėžtose finansinėse priemonėse</w:t>
      </w:r>
      <w:r w:rsidRPr="00E36F2A">
        <w:rPr>
          <w:b/>
          <w:i/>
        </w:rPr>
        <w:t>,</w:t>
      </w:r>
      <w:r w:rsidRPr="00E36F2A">
        <w:t xml:space="preserve"> kurios nebuvo persvarstytos iki </w:t>
      </w:r>
      <w:r w:rsidRPr="00E36F2A">
        <w:rPr>
          <w:b/>
          <w:i/>
        </w:rPr>
        <w:t xml:space="preserve">įgyvendinimo akto </w:t>
      </w:r>
      <w:r w:rsidR="00204034" w:rsidRPr="00E36F2A">
        <w:rPr>
          <w:b/>
          <w:i/>
        </w:rPr>
        <w:t>taikymo pradžios</w:t>
      </w:r>
      <w:r w:rsidRPr="00E36F2A">
        <w:rPr>
          <w:b/>
          <w:i/>
        </w:rPr>
        <w:t xml:space="preserve"> d</w:t>
      </w:r>
      <w:r w:rsidR="00204034" w:rsidRPr="00E36F2A">
        <w:rPr>
          <w:b/>
          <w:i/>
        </w:rPr>
        <w:t>atos</w:t>
      </w:r>
      <w:r w:rsidRPr="00E36F2A">
        <w:t>. Tais įgaliojimais turėtų būti naudojamasi laikantis Europos Parlamento ir Tarybos reglamento (ES) Nr. 182/2011</w:t>
      </w:r>
      <w:r w:rsidRPr="00E36F2A">
        <w:rPr>
          <w:rStyle w:val="FootnoteReference"/>
        </w:rPr>
        <w:footnoteReference w:id="9"/>
      </w:r>
      <w:r w:rsidRPr="00E36F2A">
        <w:t>. Dėl teisinio tikrumo Komisija gali naudotis tais įgyvendinimo įgaliojimais tik įvykus tiksliai apibrėžtiems priežastiniams įvykiams, kurie aiškiai rodo, kad pakeistino lyginamojo indekso administravimas ir skelbimas bus nutrauktas visam laikui;</w:t>
      </w:r>
    </w:p>
    <w:p w:rsidR="00FC6575" w:rsidRPr="00E36F2A" w:rsidRDefault="00FC6575" w:rsidP="00C94F37">
      <w:pPr>
        <w:pStyle w:val="Considrant"/>
        <w:numPr>
          <w:ilvl w:val="0"/>
          <w:numId w:val="0"/>
        </w:numPr>
        <w:tabs>
          <w:tab w:val="left" w:pos="851"/>
          <w:tab w:val="left" w:pos="1418"/>
          <w:tab w:val="left" w:pos="1985"/>
          <w:tab w:val="left" w:pos="2552"/>
        </w:tabs>
        <w:spacing w:line="360" w:lineRule="auto"/>
        <w:ind w:left="851" w:hanging="851"/>
      </w:pPr>
      <w:r w:rsidRPr="00E36F2A">
        <w:t>(1</w:t>
      </w:r>
      <w:r w:rsidR="00204034" w:rsidRPr="00E36F2A">
        <w:t>9</w:t>
      </w:r>
      <w:r w:rsidRPr="00E36F2A">
        <w:t>)</w:t>
      </w:r>
      <w:r w:rsidRPr="00E36F2A">
        <w:tab/>
      </w:r>
      <w:r w:rsidR="00204034" w:rsidRPr="00E36F2A">
        <w:t xml:space="preserve">Komisija </w:t>
      </w:r>
      <w:r w:rsidRPr="00E36F2A">
        <w:t xml:space="preserve">savo įgyvendinimo įgaliojimais turėtų naudotis tik tais atvejais, kai, jos vertinimu, lyginamojo indekso teikimo nutraukimas </w:t>
      </w:r>
      <w:r w:rsidRPr="00E36F2A">
        <w:rPr>
          <w:b/>
          <w:i/>
        </w:rPr>
        <w:t>arba likvidavimas</w:t>
      </w:r>
      <w:r w:rsidRPr="00E36F2A">
        <w:t xml:space="preserve"> gali turėti neigiamų pasekmių, kurios smarkiai trikd</w:t>
      </w:r>
      <w:r w:rsidR="00C94F37" w:rsidRPr="00E36F2A">
        <w:t>o</w:t>
      </w:r>
      <w:r w:rsidRPr="00E36F2A">
        <w:t xml:space="preserve"> finansų rinkų </w:t>
      </w:r>
      <w:r w:rsidR="0093069B" w:rsidRPr="00E36F2A">
        <w:rPr>
          <w:b/>
          <w:i/>
        </w:rPr>
        <w:t>arba</w:t>
      </w:r>
      <w:r w:rsidRPr="00E36F2A">
        <w:t xml:space="preserve"> </w:t>
      </w:r>
      <w:r w:rsidRPr="00E36F2A">
        <w:rPr>
          <w:b/>
          <w:i/>
        </w:rPr>
        <w:t>realiosios ekonomikos</w:t>
      </w:r>
      <w:r w:rsidRPr="00E36F2A">
        <w:t xml:space="preserve"> veikimą Sąjungoje. Be to, Komisija įgyvendinimo įgaliojimais turėtų naudotis tik tada, kai paaiškėja, kad atitinkamo lyginamojo indekso reprezentatyvumo neįmanoma atkurti arba kad lyginamojo indekso </w:t>
      </w:r>
      <w:r w:rsidR="00C94F37" w:rsidRPr="00E36F2A">
        <w:t>teikimas</w:t>
      </w:r>
      <w:r w:rsidRPr="00E36F2A">
        <w:t xml:space="preserve"> bus nutrauktas visam laikui; </w:t>
      </w:r>
    </w:p>
    <w:p w:rsidR="008F39AE" w:rsidRPr="00E36F2A" w:rsidRDefault="008F39AE">
      <w:pPr>
        <w:spacing w:before="0" w:after="200" w:line="276" w:lineRule="auto"/>
      </w:pPr>
      <w:r w:rsidRPr="00E36F2A">
        <w:br w:type="page"/>
      </w:r>
    </w:p>
    <w:p w:rsidR="00FC6575" w:rsidRPr="00E36F2A" w:rsidRDefault="00FC6575" w:rsidP="00FC6575">
      <w:pPr>
        <w:pStyle w:val="Considrant"/>
        <w:numPr>
          <w:ilvl w:val="0"/>
          <w:numId w:val="0"/>
        </w:numPr>
        <w:tabs>
          <w:tab w:val="left" w:pos="851"/>
          <w:tab w:val="left" w:pos="1418"/>
          <w:tab w:val="left" w:pos="1985"/>
          <w:tab w:val="left" w:pos="2552"/>
        </w:tabs>
        <w:spacing w:line="360" w:lineRule="auto"/>
        <w:ind w:left="851" w:hanging="851"/>
        <w:rPr>
          <w:b/>
          <w:i/>
        </w:rPr>
      </w:pPr>
      <w:r w:rsidRPr="00E36F2A">
        <w:lastRenderedPageBreak/>
        <w:t>(</w:t>
      </w:r>
      <w:r w:rsidR="00204034" w:rsidRPr="00E36F2A">
        <w:t>20</w:t>
      </w:r>
      <w:r w:rsidRPr="00E36F2A">
        <w:t>)</w:t>
      </w:r>
      <w:r w:rsidRPr="00E36F2A">
        <w:tab/>
      </w:r>
      <w:r w:rsidRPr="00E36F2A">
        <w:rPr>
          <w:b/>
          <w:i/>
        </w:rPr>
        <w:t>prieš</w:t>
      </w:r>
      <w:r w:rsidRPr="00E36F2A">
        <w:t xml:space="preserve"> naudodamasi įgyvendinimo įgaliojimais pakaitiniam lyginamajam indeksui nustatyti Komisija turėtų </w:t>
      </w:r>
      <w:r w:rsidRPr="00E36F2A">
        <w:rPr>
          <w:b/>
          <w:i/>
        </w:rPr>
        <w:t>surengti viešas konsultacijas ir</w:t>
      </w:r>
      <w:r w:rsidRPr="00E36F2A">
        <w:t xml:space="preserve"> atsižvelgti į </w:t>
      </w:r>
      <w:r w:rsidRPr="00E36F2A">
        <w:rPr>
          <w:b/>
          <w:i/>
        </w:rPr>
        <w:t>atitinkamų suinteresuotųjų subjektų, visų pirma privačiojo sektoriaus darbo grupių, remiamų valdžios institucijų arba centrinio banko</w:t>
      </w:r>
      <w:r w:rsidRPr="00E36F2A">
        <w:t xml:space="preserve">, rekomendacijas ▌. Tos rekomendacijos turėtų būti grindžiamos išsamiomis viešomis konsultacijomis ir ekspertų žiniomis ▌ dėl tinkamiausios palūkanų normos lyginamojo indekso, kurio teikimas nutraukiamas, pakaitinės normos. </w:t>
      </w:r>
      <w:r w:rsidRPr="00E36F2A">
        <w:rPr>
          <w:b/>
          <w:i/>
        </w:rPr>
        <w:t>Komisija taip pat turėtų atsižvelgti į kitų susijusių suinteresuotųjų subjektų, įskaitant lyginamojo indekso administratoriaus kompetentingas institucijas ir ESMA, rekomendacijas;</w:t>
      </w:r>
    </w:p>
    <w:p w:rsidR="008F39AE" w:rsidRPr="00E36F2A" w:rsidRDefault="008F39AE">
      <w:pPr>
        <w:spacing w:before="0" w:after="200" w:line="276" w:lineRule="auto"/>
        <w:rPr>
          <w:b/>
          <w:i/>
          <w:iCs/>
        </w:rPr>
      </w:pPr>
      <w:r w:rsidRPr="00E36F2A">
        <w:rPr>
          <w:b/>
          <w:i/>
          <w:iCs/>
        </w:rPr>
        <w:br w:type="page"/>
      </w:r>
    </w:p>
    <w:p w:rsidR="00FC6575" w:rsidRPr="00E36F2A" w:rsidRDefault="00FC6575" w:rsidP="00811D97">
      <w:pPr>
        <w:pStyle w:val="Considrant"/>
        <w:numPr>
          <w:ilvl w:val="0"/>
          <w:numId w:val="0"/>
        </w:numPr>
        <w:tabs>
          <w:tab w:val="left" w:pos="851"/>
          <w:tab w:val="left" w:pos="1418"/>
          <w:tab w:val="left" w:pos="1985"/>
          <w:tab w:val="left" w:pos="2552"/>
        </w:tabs>
        <w:spacing w:line="360" w:lineRule="auto"/>
        <w:ind w:left="851" w:hanging="851"/>
        <w:rPr>
          <w:b/>
          <w:i/>
        </w:rPr>
      </w:pPr>
      <w:r w:rsidRPr="00E36F2A">
        <w:rPr>
          <w:b/>
          <w:i/>
          <w:iCs/>
        </w:rPr>
        <w:lastRenderedPageBreak/>
        <w:t>(2</w:t>
      </w:r>
      <w:r w:rsidR="00204034" w:rsidRPr="00E36F2A">
        <w:rPr>
          <w:b/>
          <w:i/>
          <w:iCs/>
        </w:rPr>
        <w:t>1</w:t>
      </w:r>
      <w:r w:rsidRPr="00E36F2A">
        <w:rPr>
          <w:b/>
          <w:i/>
        </w:rPr>
        <w:t>)</w:t>
      </w:r>
      <w:r w:rsidRPr="00E36F2A">
        <w:rPr>
          <w:b/>
          <w:i/>
        </w:rPr>
        <w:tab/>
        <w:t xml:space="preserve">priimant Reglamentą (ES) 2016/1011 buvo tikimasi, kad iki 2021 m. pabaigos trečiosios </w:t>
      </w:r>
      <w:r w:rsidR="001A73E7" w:rsidRPr="00E36F2A">
        <w:rPr>
          <w:b/>
          <w:i/>
        </w:rPr>
        <w:t>šalys</w:t>
      </w:r>
      <w:r w:rsidRPr="00E36F2A">
        <w:rPr>
          <w:b/>
          <w:i/>
        </w:rPr>
        <w:t xml:space="preserve"> </w:t>
      </w:r>
      <w:r w:rsidR="0093069B" w:rsidRPr="00E36F2A">
        <w:rPr>
          <w:b/>
          <w:i/>
        </w:rPr>
        <w:t xml:space="preserve">nustatys </w:t>
      </w:r>
      <w:r w:rsidRPr="00E36F2A">
        <w:rPr>
          <w:b/>
          <w:i/>
        </w:rPr>
        <w:t xml:space="preserve">panašią finansinių lyginamųjų indeksų </w:t>
      </w:r>
      <w:r w:rsidR="0093069B" w:rsidRPr="00E36F2A">
        <w:rPr>
          <w:b/>
          <w:i/>
        </w:rPr>
        <w:t xml:space="preserve">reguliavimo </w:t>
      </w:r>
      <w:r w:rsidRPr="00E36F2A">
        <w:rPr>
          <w:b/>
          <w:i/>
        </w:rPr>
        <w:t xml:space="preserve">tvarką ir kad prižiūrimų subjektų </w:t>
      </w:r>
      <w:r w:rsidR="00C94F37" w:rsidRPr="00E36F2A">
        <w:rPr>
          <w:b/>
          <w:i/>
        </w:rPr>
        <w:t xml:space="preserve">naudojimasis trečiųjų šalių </w:t>
      </w:r>
      <w:r w:rsidRPr="00E36F2A">
        <w:rPr>
          <w:b/>
          <w:i/>
        </w:rPr>
        <w:t>lyginam</w:t>
      </w:r>
      <w:r w:rsidR="00C94F37" w:rsidRPr="00E36F2A">
        <w:rPr>
          <w:b/>
          <w:i/>
        </w:rPr>
        <w:t>aisiais</w:t>
      </w:r>
      <w:r w:rsidRPr="00E36F2A">
        <w:rPr>
          <w:b/>
          <w:i/>
        </w:rPr>
        <w:t xml:space="preserve"> indeks</w:t>
      </w:r>
      <w:r w:rsidR="00C94F37" w:rsidRPr="00E36F2A">
        <w:rPr>
          <w:b/>
          <w:i/>
        </w:rPr>
        <w:t>ais</w:t>
      </w:r>
      <w:r w:rsidRPr="00E36F2A">
        <w:rPr>
          <w:b/>
          <w:i/>
        </w:rPr>
        <w:t xml:space="preserve"> Sąjungoje bus užtikrintas Komisijos priimtais sprendimais dėl lygiavertiškumo arba jį pripažinus </w:t>
      </w:r>
      <w:r w:rsidR="0093069B" w:rsidRPr="00E36F2A">
        <w:rPr>
          <w:b/>
          <w:i/>
        </w:rPr>
        <w:t xml:space="preserve">ar </w:t>
      </w:r>
      <w:r w:rsidRPr="00E36F2A">
        <w:rPr>
          <w:b/>
          <w:i/>
        </w:rPr>
        <w:t xml:space="preserve">patvirtinus kompetentingoms institucijoms. Tačiau </w:t>
      </w:r>
      <w:r w:rsidR="0093069B" w:rsidRPr="00E36F2A">
        <w:rPr>
          <w:b/>
          <w:i/>
        </w:rPr>
        <w:t>t</w:t>
      </w:r>
      <w:r w:rsidRPr="00E36F2A">
        <w:rPr>
          <w:b/>
          <w:i/>
        </w:rPr>
        <w:t xml:space="preserve">oje srityje </w:t>
      </w:r>
      <w:r w:rsidR="0093069B" w:rsidRPr="00E36F2A">
        <w:rPr>
          <w:b/>
          <w:i/>
        </w:rPr>
        <w:t xml:space="preserve">buvo </w:t>
      </w:r>
      <w:r w:rsidRPr="00E36F2A">
        <w:rPr>
          <w:b/>
          <w:i/>
        </w:rPr>
        <w:t xml:space="preserve">padaryta nedidelė pažanga. Sąjungoje ir trečiosiose </w:t>
      </w:r>
      <w:r w:rsidR="001A73E7" w:rsidRPr="00E36F2A">
        <w:rPr>
          <w:b/>
          <w:i/>
        </w:rPr>
        <w:t xml:space="preserve">šalyse </w:t>
      </w:r>
      <w:r w:rsidRPr="00E36F2A">
        <w:rPr>
          <w:b/>
          <w:i/>
        </w:rPr>
        <w:t xml:space="preserve">naudojamų finansinių lyginamųjų indeksų reglamentavimo tvarkos aprėptis </w:t>
      </w:r>
      <w:r w:rsidR="00AB7D12" w:rsidRPr="00E36F2A">
        <w:rPr>
          <w:b/>
          <w:i/>
        </w:rPr>
        <w:t xml:space="preserve">labai skiriasi. Todėl, </w:t>
      </w:r>
      <w:r w:rsidRPr="00E36F2A">
        <w:rPr>
          <w:b/>
          <w:i/>
        </w:rPr>
        <w:t xml:space="preserve">siekdama užtikrinti sklandų </w:t>
      </w:r>
      <w:r w:rsidR="00AB7D12" w:rsidRPr="00E36F2A">
        <w:rPr>
          <w:b/>
          <w:i/>
        </w:rPr>
        <w:t xml:space="preserve">vidaus </w:t>
      </w:r>
      <w:r w:rsidRPr="00E36F2A">
        <w:rPr>
          <w:b/>
          <w:i/>
        </w:rPr>
        <w:t xml:space="preserve">rinkos veikimą ir galimybę Sąjungoje naudoti trečiųjų šalių lyginamuosius indeksus pasibaigus pereinamajam laikotarpiui, Komisija turėtų ne vėliau kaip 2023 m. birželio 15 d. pateikti </w:t>
      </w:r>
      <w:r w:rsidR="00C94F37" w:rsidRPr="00E36F2A">
        <w:rPr>
          <w:b/>
          <w:i/>
        </w:rPr>
        <w:t>Reglamento (ES) 2016/1011 su pakeitimais, padarytais šiuo reglamentu,</w:t>
      </w:r>
      <w:r w:rsidRPr="00E36F2A">
        <w:rPr>
          <w:b/>
          <w:i/>
        </w:rPr>
        <w:t xml:space="preserve"> taikymo srities peržiūros ataskaitą, ypatingą dėmesį skirdama tų nuostatų taikymo poveikiui naudojant trečiųjų šalių lyginamuosius indeksus</w:t>
      </w:r>
      <w:r w:rsidR="00AB7D12" w:rsidRPr="00E36F2A">
        <w:rPr>
          <w:b/>
          <w:i/>
        </w:rPr>
        <w:t xml:space="preserve"> Sąjungoje</w:t>
      </w:r>
      <w:r w:rsidRPr="00E36F2A">
        <w:rPr>
          <w:b/>
          <w:i/>
        </w:rPr>
        <w:t xml:space="preserve">. </w:t>
      </w:r>
      <w:r w:rsidR="00AB7D12" w:rsidRPr="00E36F2A">
        <w:rPr>
          <w:b/>
          <w:i/>
        </w:rPr>
        <w:t xml:space="preserve">Toje ataskaitoje </w:t>
      </w:r>
      <w:r w:rsidRPr="00E36F2A">
        <w:rPr>
          <w:b/>
          <w:i/>
        </w:rPr>
        <w:t xml:space="preserve">Komisija turėtų </w:t>
      </w:r>
      <w:r w:rsidR="00AB7D12" w:rsidRPr="00E36F2A">
        <w:rPr>
          <w:b/>
          <w:i/>
        </w:rPr>
        <w:t>išanalizuoti</w:t>
      </w:r>
      <w:r w:rsidRPr="00E36F2A">
        <w:rPr>
          <w:b/>
          <w:i/>
        </w:rPr>
        <w:t xml:space="preserve">, kokios būtų tokio reglamentavimo plačios taikymo srities pasekmės Sąjungos lyginamųjų indeksų administratoriams ir naudotojams, be kita ko, tolesnio </w:t>
      </w:r>
      <w:r w:rsidR="00811D97" w:rsidRPr="00E36F2A">
        <w:rPr>
          <w:b/>
          <w:i/>
        </w:rPr>
        <w:t xml:space="preserve">trečiųjų šalių </w:t>
      </w:r>
      <w:r w:rsidRPr="00E36F2A">
        <w:rPr>
          <w:b/>
          <w:i/>
        </w:rPr>
        <w:t xml:space="preserve">lyginamųjų indeksų naudojimo aspektu. </w:t>
      </w:r>
      <w:r w:rsidR="00AB7D12" w:rsidRPr="00E36F2A">
        <w:rPr>
          <w:b/>
          <w:i/>
        </w:rPr>
        <w:t xml:space="preserve">Visų pirma </w:t>
      </w:r>
      <w:r w:rsidRPr="00E36F2A">
        <w:rPr>
          <w:b/>
          <w:i/>
        </w:rPr>
        <w:t xml:space="preserve">Komisija turėtų įvertinti, ar </w:t>
      </w:r>
      <w:r w:rsidR="00AB7D12" w:rsidRPr="00E36F2A">
        <w:rPr>
          <w:b/>
          <w:i/>
        </w:rPr>
        <w:t xml:space="preserve">dar </w:t>
      </w:r>
      <w:r w:rsidRPr="00E36F2A">
        <w:rPr>
          <w:b/>
          <w:i/>
        </w:rPr>
        <w:t xml:space="preserve">reikia iš dalies keisti Reglamentą (ES) 2016/1011, kad jo taikymo sritis būtų susiaurinta ir į ją patektų tik tam tikrų </w:t>
      </w:r>
      <w:r w:rsidR="00AB7D12" w:rsidRPr="00E36F2A">
        <w:rPr>
          <w:b/>
          <w:i/>
        </w:rPr>
        <w:t xml:space="preserve">rūšių </w:t>
      </w:r>
      <w:r w:rsidRPr="00E36F2A">
        <w:rPr>
          <w:b/>
          <w:i/>
        </w:rPr>
        <w:t>lyginamųjų indeksų administratoriai arba administratoriai, kurių lyginamieji indeksai plačiai naudojami Sąjungoje;</w:t>
      </w:r>
    </w:p>
    <w:p w:rsidR="00996EF0" w:rsidRPr="00E36F2A" w:rsidRDefault="005F45D9" w:rsidP="00AD1CEF">
      <w:pPr>
        <w:tabs>
          <w:tab w:val="left" w:pos="851"/>
        </w:tabs>
        <w:spacing w:line="360" w:lineRule="auto"/>
        <w:ind w:left="851" w:hanging="851"/>
        <w:rPr>
          <w:b/>
          <w:i/>
        </w:rPr>
      </w:pPr>
      <w:r w:rsidRPr="00E36F2A">
        <w:br w:type="page"/>
      </w:r>
      <w:r w:rsidR="00996EF0" w:rsidRPr="00E36F2A">
        <w:rPr>
          <w:b/>
          <w:i/>
        </w:rPr>
        <w:lastRenderedPageBreak/>
        <w:t>(2</w:t>
      </w:r>
      <w:r w:rsidR="00204034" w:rsidRPr="00E36F2A">
        <w:rPr>
          <w:b/>
          <w:i/>
        </w:rPr>
        <w:t>2</w:t>
      </w:r>
      <w:r w:rsidR="00996EF0" w:rsidRPr="00E36F2A">
        <w:rPr>
          <w:b/>
          <w:i/>
        </w:rPr>
        <w:t>)</w:t>
      </w:r>
      <w:r w:rsidR="00996EF0" w:rsidRPr="00E36F2A">
        <w:rPr>
          <w:b/>
          <w:i/>
        </w:rPr>
        <w:tab/>
        <w:t xml:space="preserve">Europos Parlamento ir Tarybos </w:t>
      </w:r>
      <w:r w:rsidR="00AB7D12" w:rsidRPr="00E36F2A">
        <w:rPr>
          <w:b/>
          <w:i/>
        </w:rPr>
        <w:t>r</w:t>
      </w:r>
      <w:r w:rsidR="00996EF0" w:rsidRPr="00E36F2A">
        <w:rPr>
          <w:b/>
          <w:i/>
        </w:rPr>
        <w:t>eglamentas (ES) Nr. 648/2012</w:t>
      </w:r>
      <w:r w:rsidR="002C77D7" w:rsidRPr="00E36F2A">
        <w:rPr>
          <w:rStyle w:val="FootnoteReference"/>
          <w:b/>
          <w:i/>
        </w:rPr>
        <w:footnoteReference w:id="10"/>
      </w:r>
      <w:r w:rsidR="00996EF0" w:rsidRPr="00E36F2A">
        <w:rPr>
          <w:b/>
          <w:i/>
        </w:rPr>
        <w:t xml:space="preserve"> </w:t>
      </w:r>
      <w:r w:rsidR="00204034" w:rsidRPr="00E36F2A">
        <w:rPr>
          <w:b/>
          <w:i/>
        </w:rPr>
        <w:t xml:space="preserve">neseniai buvo </w:t>
      </w:r>
      <w:r w:rsidR="00996EF0" w:rsidRPr="00E36F2A">
        <w:rPr>
          <w:b/>
          <w:i/>
        </w:rPr>
        <w:t xml:space="preserve">iš dalies </w:t>
      </w:r>
      <w:r w:rsidR="00204034" w:rsidRPr="00E36F2A">
        <w:rPr>
          <w:b/>
          <w:i/>
        </w:rPr>
        <w:t>pakeistas</w:t>
      </w:r>
      <w:r w:rsidR="00996EF0" w:rsidRPr="00E36F2A">
        <w:rPr>
          <w:b/>
          <w:i/>
        </w:rPr>
        <w:t xml:space="preserve"> siekiant suteikti rinkos dalyviams aiškumo, kad sutartims, sudarytoms arba pakeistoms iki tarpuskaitos arba garantinių įmokų reikalavimų taikymo pradžios su lyginamuoju indeksu susietų ne biržos išvestinių finansinių priemonių sutartims (anksčiau sudarytoms sutartims), </w:t>
      </w:r>
      <w:r w:rsidR="00D83DC5" w:rsidRPr="00E36F2A">
        <w:rPr>
          <w:b/>
          <w:i/>
        </w:rPr>
        <w:t>t</w:t>
      </w:r>
      <w:r w:rsidR="00996EF0" w:rsidRPr="00E36F2A">
        <w:rPr>
          <w:b/>
          <w:i/>
        </w:rPr>
        <w:t xml:space="preserve">ie reikalavimai nebus taikomi, jei tos sutartys pakeičiamos atsižvelgiant į lyginamąjį indeksą, su kuriuo jos yra susietos, ir jei </w:t>
      </w:r>
      <w:r w:rsidR="00D83DC5" w:rsidRPr="00E36F2A">
        <w:rPr>
          <w:b/>
          <w:i/>
        </w:rPr>
        <w:t xml:space="preserve">tie </w:t>
      </w:r>
      <w:r w:rsidR="00996EF0" w:rsidRPr="00E36F2A">
        <w:rPr>
          <w:b/>
          <w:i/>
        </w:rPr>
        <w:t xml:space="preserve">pakeitimai daromi turint vienintelį tikslą taikyti arba pasirengti taikyti pakaitinį lyginamąjį indeksą arba </w:t>
      </w:r>
      <w:r w:rsidR="00D83DC5" w:rsidRPr="00E36F2A">
        <w:rPr>
          <w:b/>
          <w:i/>
        </w:rPr>
        <w:t xml:space="preserve">įtraukti </w:t>
      </w:r>
      <w:r w:rsidR="00996EF0" w:rsidRPr="00E36F2A">
        <w:rPr>
          <w:b/>
          <w:i/>
        </w:rPr>
        <w:t xml:space="preserve">nuostatą dėl atsarginės normos pereinamuoju laikotarpiu prieš pradedant taikyti naują lyginamąjį indeksą įgyvendinant lyginamųjų indeksų reformą. </w:t>
      </w:r>
      <w:r w:rsidR="00811D97" w:rsidRPr="00E36F2A">
        <w:rPr>
          <w:b/>
          <w:i/>
        </w:rPr>
        <w:t>L</w:t>
      </w:r>
      <w:r w:rsidR="00996EF0" w:rsidRPr="00E36F2A">
        <w:rPr>
          <w:b/>
          <w:i/>
        </w:rPr>
        <w:t xml:space="preserve">yginamųjų indeksų reformos vykdomos tarptautiniu mastu koordinuojant darbą ir iniciatyvas, skirtas lyginamiesiems indeksams reformuoti, kad jie atitiktų Tarptautinės vertybinių popierių komisijų organizacijos skelbiamus Tarptautinius finansinių lyginamųjų indeksų principus. Reglamentu (ES) 2016/1011 reikalaujama, kad prižiūrimi subjektai parengtų ir turėtų pagrįstus raštiškus planus, kuriuose išdėstytų veiksmus, kurių jie imtųsi lyginamajam indeksui iš esmės pakitus arba nutraukus jo teikimą, ir kad palaikydami sutartinius santykius su klientais į tuos planus atsižvelgtų. Kad rinkos dalyviams būtų lengviau laikytis </w:t>
      </w:r>
      <w:r w:rsidR="00204034" w:rsidRPr="00E36F2A">
        <w:rPr>
          <w:b/>
          <w:i/>
        </w:rPr>
        <w:t>t</w:t>
      </w:r>
      <w:r w:rsidR="00996EF0" w:rsidRPr="00E36F2A">
        <w:rPr>
          <w:b/>
          <w:i/>
        </w:rPr>
        <w:t xml:space="preserve">ų reikalavimų ir siekiant paremti jų veiksmus, kad būtų padidintas ne biržos išvestinių finansinių priemonių sutarčių lyginamųjų indeksų, kurie gali būti reformuoti, patikimumas, reikėtų </w:t>
      </w:r>
      <w:r w:rsidR="00204034" w:rsidRPr="00E36F2A">
        <w:rPr>
          <w:b/>
          <w:i/>
        </w:rPr>
        <w:t xml:space="preserve">dar kartą </w:t>
      </w:r>
      <w:r w:rsidR="00996EF0" w:rsidRPr="00E36F2A">
        <w:rPr>
          <w:b/>
          <w:i/>
        </w:rPr>
        <w:t xml:space="preserve">iš dalies pakeisti Reglamentą (ES) Nr. 648/2012 siekiant patikslinti, kad anksčiau sudarytoms sutartims nebūtų taikomi tarpuskaitos arba garantinės įmokos reikalavimai, jei tos sutartys keičiamos išimtinai lyginamojo indekso, su kuriuo yra susietos, pakeitimo tikslu įgyvendinant lyginamųjų indeksų reformą. Todėl </w:t>
      </w:r>
      <w:r w:rsidR="00D83DC5" w:rsidRPr="00E36F2A">
        <w:rPr>
          <w:b/>
          <w:i/>
        </w:rPr>
        <w:t xml:space="preserve">ta </w:t>
      </w:r>
      <w:r w:rsidR="00996EF0" w:rsidRPr="00E36F2A">
        <w:rPr>
          <w:b/>
          <w:i/>
        </w:rPr>
        <w:t xml:space="preserve">išimtis taikoma tik sutartiniams pakeitimams, kurie yra būtini, kad būtų galima taikyti arba pasirengti taikyti pakaitinį lyginamąjį indeksą įgyvendinant lyginamųjų indeksų reformą, arba kurie yra būtini siekiant įtraukti nuostatą dėl atsarginės normos, susijusios su tuo lyginamuoju indeksu, kad būtų sustiprintas atitinkamų sutarčių patikimumas. Tie pakeitimai </w:t>
      </w:r>
      <w:r w:rsidR="00D83DC5" w:rsidRPr="00E36F2A">
        <w:rPr>
          <w:b/>
          <w:i/>
        </w:rPr>
        <w:t xml:space="preserve">turėtų padėti </w:t>
      </w:r>
      <w:r w:rsidR="00996EF0" w:rsidRPr="00E36F2A">
        <w:rPr>
          <w:b/>
          <w:i/>
        </w:rPr>
        <w:t xml:space="preserve">užtikrinti aiškumą rinkos dalyviams ir </w:t>
      </w:r>
      <w:r w:rsidR="00D83DC5" w:rsidRPr="00E36F2A">
        <w:rPr>
          <w:b/>
          <w:i/>
        </w:rPr>
        <w:t xml:space="preserve">neturėtų daryti </w:t>
      </w:r>
      <w:r w:rsidR="00996EF0" w:rsidRPr="00E36F2A">
        <w:rPr>
          <w:b/>
          <w:i/>
        </w:rPr>
        <w:t xml:space="preserve">poveikio tarpuskaitos arba garantinės įmokos reikalavimų taikymo sričiai keičiant ne biržos </w:t>
      </w:r>
      <w:r w:rsidR="00996EF0" w:rsidRPr="00E36F2A">
        <w:rPr>
          <w:b/>
          <w:i/>
        </w:rPr>
        <w:lastRenderedPageBreak/>
        <w:t xml:space="preserve">išvestinių finansinių priemonių sutartis kitais tikslais arba atliekant atnaujinimus ar pakeitimus, pavyzdžiui, sandorio šalių pakeitimus; </w:t>
      </w:r>
    </w:p>
    <w:p w:rsidR="00FC6575" w:rsidRPr="00E36F2A" w:rsidRDefault="00FC6575" w:rsidP="00FC6575">
      <w:pPr>
        <w:pStyle w:val="Considrant"/>
        <w:numPr>
          <w:ilvl w:val="0"/>
          <w:numId w:val="0"/>
        </w:numPr>
        <w:tabs>
          <w:tab w:val="left" w:pos="851"/>
          <w:tab w:val="left" w:pos="1418"/>
          <w:tab w:val="left" w:pos="1985"/>
          <w:tab w:val="left" w:pos="2552"/>
        </w:tabs>
        <w:spacing w:line="360" w:lineRule="auto"/>
        <w:ind w:left="851" w:hanging="851"/>
      </w:pPr>
      <w:r w:rsidRPr="00E36F2A">
        <w:t>(2</w:t>
      </w:r>
      <w:r w:rsidR="00204034" w:rsidRPr="00E36F2A">
        <w:t>3</w:t>
      </w:r>
      <w:r w:rsidRPr="00E36F2A">
        <w:t>)</w:t>
      </w:r>
      <w:r w:rsidRPr="00E36F2A">
        <w:tab/>
        <w:t xml:space="preserve">todėl Reglamentai (ES) 2016/1011 ir (ES) </w:t>
      </w:r>
      <w:r w:rsidR="00380C6C" w:rsidRPr="00E36F2A">
        <w:t xml:space="preserve">Nr. </w:t>
      </w:r>
      <w:r w:rsidRPr="00E36F2A">
        <w:t>648/2012 turėtų būti atitinkamai iš dalies pakeisti;</w:t>
      </w:r>
    </w:p>
    <w:p w:rsidR="001473A4" w:rsidRPr="00E36F2A" w:rsidRDefault="00C318FB" w:rsidP="008F39AE">
      <w:pPr>
        <w:pStyle w:val="Considrant"/>
        <w:numPr>
          <w:ilvl w:val="0"/>
          <w:numId w:val="0"/>
        </w:numPr>
        <w:tabs>
          <w:tab w:val="left" w:pos="851"/>
          <w:tab w:val="left" w:pos="1418"/>
          <w:tab w:val="left" w:pos="1985"/>
          <w:tab w:val="left" w:pos="2552"/>
        </w:tabs>
        <w:spacing w:line="360" w:lineRule="auto"/>
        <w:ind w:left="851" w:hanging="851"/>
      </w:pPr>
      <w:r w:rsidRPr="00E36F2A">
        <w:t>(2</w:t>
      </w:r>
      <w:r w:rsidR="00204034" w:rsidRPr="00E36F2A">
        <w:t>4</w:t>
      </w:r>
      <w:r w:rsidRPr="00E36F2A">
        <w:t>)</w:t>
      </w:r>
      <w:r w:rsidRPr="00E36F2A">
        <w:tab/>
        <w:t xml:space="preserve">atsižvelgiant į tai, kad nuo 2021 m. sausio 1 d. LIBOR nebebus laikomas ypatingos svarbos lyginamuoju indeksu pagal Reglamentą (ES) 2016/1011, šis reglamentas turėtų įsigalioti </w:t>
      </w:r>
      <w:r w:rsidRPr="00E36F2A">
        <w:rPr>
          <w:b/>
          <w:i/>
        </w:rPr>
        <w:t>skubos tvarka kitą dieną po jo paskelbimo</w:t>
      </w:r>
      <w:r w:rsidRPr="00E36F2A">
        <w:rPr>
          <w:b/>
        </w:rPr>
        <w:t xml:space="preserve"> Europos Sąjungos oficialiajame leidinyje</w:t>
      </w:r>
      <w:r w:rsidRPr="00E36F2A">
        <w:t>,</w:t>
      </w:r>
    </w:p>
    <w:p w:rsidR="00367DBE" w:rsidRPr="00E36F2A" w:rsidRDefault="00367DBE" w:rsidP="00136B36">
      <w:pPr>
        <w:pStyle w:val="Formuledadoption"/>
        <w:tabs>
          <w:tab w:val="left" w:pos="851"/>
          <w:tab w:val="left" w:pos="1418"/>
          <w:tab w:val="left" w:pos="1985"/>
          <w:tab w:val="left" w:pos="2552"/>
        </w:tabs>
        <w:spacing w:line="360" w:lineRule="auto"/>
      </w:pPr>
      <w:r w:rsidRPr="00E36F2A">
        <w:t>PRIĖMĖ ŠĮ REGLAMENTĄ:</w:t>
      </w:r>
    </w:p>
    <w:p w:rsidR="00390D6B" w:rsidRPr="00E36F2A" w:rsidRDefault="00EC58EC" w:rsidP="00136B36">
      <w:pPr>
        <w:pStyle w:val="Titrearticle"/>
        <w:tabs>
          <w:tab w:val="left" w:pos="851"/>
          <w:tab w:val="left" w:pos="1418"/>
          <w:tab w:val="left" w:pos="1985"/>
          <w:tab w:val="left" w:pos="2552"/>
        </w:tabs>
        <w:spacing w:line="360" w:lineRule="auto"/>
        <w:ind w:left="709"/>
        <w:rPr>
          <w:i w:val="0"/>
        </w:rPr>
      </w:pPr>
      <w:r w:rsidRPr="00E36F2A">
        <w:br w:type="page"/>
      </w:r>
      <w:r w:rsidR="00636FF7" w:rsidRPr="00E36F2A">
        <w:rPr>
          <w:i w:val="0"/>
        </w:rPr>
        <w:lastRenderedPageBreak/>
        <w:t>1 straipsnis</w:t>
      </w:r>
      <w:r w:rsidR="00636FF7" w:rsidRPr="00E36F2A">
        <w:rPr>
          <w:i w:val="0"/>
        </w:rPr>
        <w:br/>
        <w:t xml:space="preserve">Reglamento (ES) 2016/1011 </w:t>
      </w:r>
      <w:r w:rsidR="00BD0D06" w:rsidRPr="00E36F2A">
        <w:rPr>
          <w:i w:val="0"/>
        </w:rPr>
        <w:t xml:space="preserve">daliniai </w:t>
      </w:r>
      <w:r w:rsidR="00636FF7" w:rsidRPr="00E36F2A">
        <w:rPr>
          <w:i w:val="0"/>
        </w:rPr>
        <w:t>pakeitimai</w:t>
      </w:r>
    </w:p>
    <w:p w:rsidR="00811D97" w:rsidRPr="00E36F2A" w:rsidRDefault="00811D97" w:rsidP="00AD1CEF">
      <w:pPr>
        <w:pStyle w:val="Point0number"/>
        <w:numPr>
          <w:ilvl w:val="0"/>
          <w:numId w:val="0"/>
        </w:numPr>
        <w:tabs>
          <w:tab w:val="left" w:pos="851"/>
          <w:tab w:val="left" w:pos="1418"/>
          <w:tab w:val="left" w:pos="1985"/>
          <w:tab w:val="left" w:pos="2552"/>
        </w:tabs>
        <w:spacing w:line="360" w:lineRule="auto"/>
        <w:ind w:left="851" w:hanging="851"/>
      </w:pPr>
      <w:r w:rsidRPr="00E36F2A">
        <w:t>Reglamentas (ES) 2016/1011 iš dalies keičiamas taip:</w:t>
      </w:r>
    </w:p>
    <w:p w:rsidR="007E3BF7" w:rsidRPr="00E36F2A" w:rsidRDefault="00C318FB" w:rsidP="00AD1CEF">
      <w:pPr>
        <w:pStyle w:val="Point0number"/>
        <w:numPr>
          <w:ilvl w:val="0"/>
          <w:numId w:val="0"/>
        </w:numPr>
        <w:tabs>
          <w:tab w:val="left" w:pos="851"/>
          <w:tab w:val="left" w:pos="1418"/>
          <w:tab w:val="left" w:pos="1985"/>
          <w:tab w:val="left" w:pos="2552"/>
        </w:tabs>
        <w:spacing w:line="360" w:lineRule="auto"/>
        <w:ind w:left="851" w:hanging="851"/>
      </w:pPr>
      <w:r w:rsidRPr="00E36F2A">
        <w:t>1)</w:t>
      </w:r>
      <w:r w:rsidRPr="00E36F2A">
        <w:tab/>
        <w:t xml:space="preserve">2 </w:t>
      </w:r>
      <w:r w:rsidR="009A6B3A" w:rsidRPr="00E36F2A">
        <w:t xml:space="preserve">straipsnio </w:t>
      </w:r>
      <w:r w:rsidRPr="00E36F2A">
        <w:t>2 dalis papildoma šiuo punktu:</w:t>
      </w:r>
    </w:p>
    <w:p w:rsidR="007E3BF7" w:rsidRPr="00E36F2A" w:rsidRDefault="007E3BF7" w:rsidP="00AD1CEF">
      <w:pPr>
        <w:pStyle w:val="Text2"/>
        <w:tabs>
          <w:tab w:val="left" w:pos="851"/>
          <w:tab w:val="left" w:pos="1418"/>
          <w:tab w:val="left" w:pos="1985"/>
          <w:tab w:val="left" w:pos="2552"/>
        </w:tabs>
        <w:spacing w:line="360" w:lineRule="auto"/>
        <w:ind w:left="1419" w:hanging="568"/>
      </w:pPr>
      <w:r w:rsidRPr="00E36F2A">
        <w:t>„i)</w:t>
      </w:r>
      <w:r w:rsidRPr="00E36F2A">
        <w:tab/>
      </w:r>
      <w:r w:rsidRPr="00E36F2A">
        <w:rPr>
          <w:b/>
          <w:i/>
        </w:rPr>
        <w:t xml:space="preserve">neatidėliotino </w:t>
      </w:r>
      <w:r w:rsidRPr="00E36F2A">
        <w:t xml:space="preserve">užsienio valiutos kurso lyginamajam indeksui, kurį Komisija nustatė pagal </w:t>
      </w:r>
      <w:r w:rsidR="00204034" w:rsidRPr="00E36F2A">
        <w:t>18a straipsnio 1</w:t>
      </w:r>
      <w:r w:rsidRPr="00E36F2A">
        <w:t xml:space="preserve"> dalį.“;</w:t>
      </w:r>
    </w:p>
    <w:p w:rsidR="005F45D9" w:rsidRPr="00E36F2A" w:rsidRDefault="005F45D9" w:rsidP="00136B36">
      <w:pPr>
        <w:tabs>
          <w:tab w:val="left" w:pos="851"/>
        </w:tabs>
        <w:spacing w:before="0" w:after="200" w:line="276" w:lineRule="auto"/>
        <w:ind w:left="709"/>
      </w:pPr>
      <w:r w:rsidRPr="00E36F2A">
        <w:br w:type="page"/>
      </w:r>
    </w:p>
    <w:p w:rsidR="00E80EB1" w:rsidRPr="00E36F2A" w:rsidRDefault="00E80EB1" w:rsidP="00C533DB">
      <w:pPr>
        <w:pStyle w:val="Point0number"/>
        <w:numPr>
          <w:ilvl w:val="0"/>
          <w:numId w:val="0"/>
        </w:numPr>
        <w:tabs>
          <w:tab w:val="left" w:pos="851"/>
          <w:tab w:val="left" w:pos="1418"/>
          <w:tab w:val="left" w:pos="1985"/>
          <w:tab w:val="left" w:pos="2552"/>
        </w:tabs>
        <w:spacing w:line="360" w:lineRule="auto"/>
        <w:ind w:left="850" w:hanging="850"/>
        <w:rPr>
          <w:b/>
          <w:i/>
        </w:rPr>
      </w:pPr>
      <w:r w:rsidRPr="00E36F2A">
        <w:rPr>
          <w:b/>
          <w:i/>
        </w:rPr>
        <w:lastRenderedPageBreak/>
        <w:t>2)</w:t>
      </w:r>
      <w:r w:rsidRPr="00E36F2A">
        <w:rPr>
          <w:b/>
          <w:i/>
        </w:rPr>
        <w:tab/>
        <w:t>3 straipsni</w:t>
      </w:r>
      <w:r w:rsidR="00204034" w:rsidRPr="00E36F2A">
        <w:rPr>
          <w:b/>
          <w:i/>
        </w:rPr>
        <w:t>o 1 dali</w:t>
      </w:r>
      <w:r w:rsidRPr="00E36F2A">
        <w:rPr>
          <w:b/>
          <w:i/>
        </w:rPr>
        <w:t>s iš dalies keičiama taip:</w:t>
      </w:r>
    </w:p>
    <w:p w:rsidR="00E80EB1" w:rsidRPr="00E36F2A" w:rsidRDefault="008B10EF" w:rsidP="00AD1CEF">
      <w:pPr>
        <w:pStyle w:val="Text2"/>
        <w:tabs>
          <w:tab w:val="left" w:pos="851"/>
          <w:tab w:val="left" w:pos="1418"/>
          <w:tab w:val="left" w:pos="1985"/>
          <w:tab w:val="left" w:pos="2552"/>
        </w:tabs>
        <w:spacing w:line="360" w:lineRule="auto"/>
        <w:ind w:left="850"/>
        <w:rPr>
          <w:b/>
          <w:i/>
          <w:szCs w:val="24"/>
        </w:rPr>
      </w:pPr>
      <w:r w:rsidRPr="00E36F2A">
        <w:rPr>
          <w:b/>
          <w:i/>
          <w:szCs w:val="24"/>
        </w:rPr>
        <w:t>a)</w:t>
      </w:r>
      <w:r w:rsidRPr="00E36F2A">
        <w:rPr>
          <w:b/>
          <w:i/>
          <w:szCs w:val="24"/>
        </w:rPr>
        <w:tab/>
        <w:t>įterpiam</w:t>
      </w:r>
      <w:r w:rsidR="009A6B3A" w:rsidRPr="00E36F2A">
        <w:rPr>
          <w:b/>
          <w:i/>
          <w:szCs w:val="24"/>
        </w:rPr>
        <w:t>as</w:t>
      </w:r>
      <w:r w:rsidRPr="00E36F2A">
        <w:rPr>
          <w:b/>
          <w:i/>
          <w:szCs w:val="24"/>
        </w:rPr>
        <w:t xml:space="preserve"> ši</w:t>
      </w:r>
      <w:r w:rsidR="009A6B3A" w:rsidRPr="00E36F2A">
        <w:rPr>
          <w:b/>
          <w:i/>
          <w:szCs w:val="24"/>
        </w:rPr>
        <w:t xml:space="preserve">s </w:t>
      </w:r>
      <w:r w:rsidRPr="00E36F2A">
        <w:rPr>
          <w:b/>
          <w:i/>
          <w:szCs w:val="24"/>
        </w:rPr>
        <w:t>punkta</w:t>
      </w:r>
      <w:r w:rsidR="009A6B3A" w:rsidRPr="00E36F2A">
        <w:rPr>
          <w:b/>
          <w:i/>
          <w:szCs w:val="24"/>
        </w:rPr>
        <w:t>s</w:t>
      </w:r>
      <w:r w:rsidRPr="00E36F2A">
        <w:rPr>
          <w:b/>
          <w:i/>
          <w:szCs w:val="24"/>
        </w:rPr>
        <w:t>:</w:t>
      </w:r>
    </w:p>
    <w:p w:rsidR="00B62353" w:rsidRPr="00E36F2A" w:rsidRDefault="008B10EF" w:rsidP="009A6B3A">
      <w:pPr>
        <w:pStyle w:val="Text2"/>
        <w:tabs>
          <w:tab w:val="left" w:pos="1985"/>
          <w:tab w:val="left" w:pos="2552"/>
        </w:tabs>
        <w:spacing w:line="360" w:lineRule="auto"/>
        <w:ind w:left="1985" w:hanging="567"/>
        <w:rPr>
          <w:b/>
          <w:i/>
        </w:rPr>
      </w:pPr>
      <w:r w:rsidRPr="00E36F2A">
        <w:rPr>
          <w:b/>
          <w:i/>
        </w:rPr>
        <w:t>„22a)</w:t>
      </w:r>
      <w:r w:rsidR="008F39AE" w:rsidRPr="00E36F2A">
        <w:rPr>
          <w:b/>
          <w:i/>
        </w:rPr>
        <w:tab/>
      </w:r>
      <w:r w:rsidR="00E81004" w:rsidRPr="00E36F2A">
        <w:rPr>
          <w:b/>
          <w:i/>
        </w:rPr>
        <w:t xml:space="preserve">neatidėliotino </w:t>
      </w:r>
      <w:r w:rsidRPr="00E36F2A">
        <w:rPr>
          <w:b/>
          <w:i/>
        </w:rPr>
        <w:t xml:space="preserve">užsienio valiutos kurso lyginamasis indeksas – lyginamasis indeksas, </w:t>
      </w:r>
      <w:r w:rsidR="00E81004" w:rsidRPr="00E36F2A">
        <w:rPr>
          <w:b/>
          <w:i/>
        </w:rPr>
        <w:t>kuris atspindi</w:t>
      </w:r>
      <w:r w:rsidRPr="00E36F2A">
        <w:rPr>
          <w:b/>
          <w:i/>
        </w:rPr>
        <w:t xml:space="preserve"> vien</w:t>
      </w:r>
      <w:r w:rsidR="00A56938" w:rsidRPr="00E36F2A">
        <w:rPr>
          <w:b/>
          <w:i/>
        </w:rPr>
        <w:t>a valiuta išreikštą kit</w:t>
      </w:r>
      <w:r w:rsidRPr="00E36F2A">
        <w:rPr>
          <w:b/>
          <w:i/>
        </w:rPr>
        <w:t>os valiutos arba valiutų krepšelio kain</w:t>
      </w:r>
      <w:r w:rsidR="00E81004" w:rsidRPr="00E36F2A">
        <w:rPr>
          <w:b/>
          <w:i/>
        </w:rPr>
        <w:t>ą</w:t>
      </w:r>
      <w:r w:rsidRPr="00E36F2A">
        <w:rPr>
          <w:b/>
          <w:i/>
        </w:rPr>
        <w:t>,</w:t>
      </w:r>
      <w:r w:rsidR="009B24E8" w:rsidRPr="00E36F2A">
        <w:rPr>
          <w:b/>
          <w:i/>
        </w:rPr>
        <w:t xml:space="preserve"> teikiamą kuo ankstesnę vertės nustatymo dieną</w:t>
      </w:r>
      <w:r w:rsidRPr="00E36F2A">
        <w:rPr>
          <w:b/>
          <w:i/>
        </w:rPr>
        <w:t>;</w:t>
      </w:r>
      <w:r w:rsidR="009A6B3A" w:rsidRPr="00E36F2A">
        <w:rPr>
          <w:b/>
          <w:i/>
        </w:rPr>
        <w:t>“;</w:t>
      </w:r>
    </w:p>
    <w:p w:rsidR="009A6B3A" w:rsidRPr="00E36F2A" w:rsidRDefault="009A6B3A" w:rsidP="00AD1CEF">
      <w:pPr>
        <w:pStyle w:val="Text2"/>
        <w:tabs>
          <w:tab w:val="left" w:pos="851"/>
          <w:tab w:val="left" w:pos="1418"/>
          <w:tab w:val="left" w:pos="1985"/>
          <w:tab w:val="left" w:pos="2552"/>
        </w:tabs>
        <w:spacing w:line="360" w:lineRule="auto"/>
        <w:ind w:left="850"/>
        <w:rPr>
          <w:b/>
          <w:i/>
        </w:rPr>
      </w:pPr>
      <w:r w:rsidRPr="00E36F2A">
        <w:rPr>
          <w:b/>
          <w:i/>
        </w:rPr>
        <w:t>b)</w:t>
      </w:r>
      <w:r w:rsidRPr="00E36F2A">
        <w:rPr>
          <w:b/>
          <w:i/>
        </w:rPr>
        <w:tab/>
        <w:t>24 punkto a papunkčio i punktas pakeičiamas taip:</w:t>
      </w:r>
    </w:p>
    <w:p w:rsidR="009A6B3A" w:rsidRPr="00E36F2A" w:rsidRDefault="009A6B3A" w:rsidP="00AD1CEF">
      <w:pPr>
        <w:pStyle w:val="Text2"/>
        <w:tabs>
          <w:tab w:val="left" w:pos="1985"/>
          <w:tab w:val="left" w:pos="2552"/>
        </w:tabs>
        <w:spacing w:line="360" w:lineRule="auto"/>
        <w:ind w:left="1985" w:hanging="567"/>
        <w:rPr>
          <w:b/>
          <w:i/>
        </w:rPr>
      </w:pPr>
      <w:r w:rsidRPr="00E36F2A">
        <w:rPr>
          <w:b/>
          <w:i/>
        </w:rPr>
        <w:t xml:space="preserve">„i) </w:t>
      </w:r>
      <w:r w:rsidRPr="00E36F2A">
        <w:rPr>
          <w:b/>
          <w:i/>
        </w:rPr>
        <w:tab/>
        <w:t>prekybos vieta, kaip apibrėžta Direktyvos 2014/65/ES 4 straipsnio 1 dalies 24 punkte, arba prekybos vieta trečiojoje šalyje, kurios atžvilgiu Komisija priėmė įgyvendinimo sprendimą, kad tos šalies teisinė ir priežiūros sistema laikoma turinčia lygiavertį poveikį, kaip apibrėžta Europos Parlamento ir Tarybos reglamento (ES) Nr. 600/2014* 28 straipsnio 4 dalyje, arba Europos Parlamento ir Tarybos direktyvos 2014/65/ES 25 straipsnio 4 dalyje, arba reguliuojama rinka, kuri laikoma lygiaverte pagal Reglamento (ES) Nr. 648/2012 2a straipsnį, tačiau kiekvienu atveju tik kalbant apie su finansinėmis priemonėmis susijusius sandorio duomenis;</w:t>
      </w:r>
    </w:p>
    <w:p w:rsidR="009A6B3A" w:rsidRPr="00E36F2A" w:rsidRDefault="009A6B3A" w:rsidP="009A6B3A">
      <w:pPr>
        <w:pStyle w:val="Text2"/>
        <w:tabs>
          <w:tab w:val="left" w:pos="851"/>
          <w:tab w:val="left" w:pos="1418"/>
          <w:tab w:val="left" w:pos="1985"/>
          <w:tab w:val="left" w:pos="2552"/>
        </w:tabs>
        <w:spacing w:line="360" w:lineRule="auto"/>
        <w:ind w:left="1986" w:hanging="568"/>
        <w:rPr>
          <w:rStyle w:val="DeltaViewInsertion"/>
          <w:rFonts w:asciiTheme="majorBidi" w:eastAsia="Times New Roman" w:hAnsiTheme="majorBidi" w:cstheme="majorBidi"/>
        </w:rPr>
      </w:pPr>
      <w:r w:rsidRPr="00E36F2A">
        <w:rPr>
          <w:rStyle w:val="DeltaViewInsertion"/>
          <w:rFonts w:asciiTheme="majorBidi" w:hAnsiTheme="majorBidi"/>
        </w:rPr>
        <w:t>__________________</w:t>
      </w:r>
    </w:p>
    <w:p w:rsidR="009A6B3A" w:rsidRPr="00E36F2A" w:rsidRDefault="009A6B3A" w:rsidP="009A6B3A">
      <w:pPr>
        <w:pStyle w:val="Text2"/>
        <w:tabs>
          <w:tab w:val="left" w:pos="851"/>
          <w:tab w:val="left" w:pos="1418"/>
          <w:tab w:val="left" w:pos="1985"/>
        </w:tabs>
        <w:spacing w:line="360" w:lineRule="auto"/>
        <w:ind w:left="1985" w:hanging="567"/>
        <w:rPr>
          <w:b/>
          <w:i/>
        </w:rPr>
      </w:pPr>
      <w:r w:rsidRPr="00E36F2A">
        <w:rPr>
          <w:rStyle w:val="DeltaViewInsertion"/>
          <w:rFonts w:asciiTheme="majorBidi" w:hAnsiTheme="majorBidi"/>
        </w:rPr>
        <w:t>*</w:t>
      </w:r>
      <w:r w:rsidRPr="00E36F2A">
        <w:rPr>
          <w:rStyle w:val="DeltaViewInsertion"/>
          <w:rFonts w:asciiTheme="majorBidi" w:hAnsiTheme="majorBidi"/>
        </w:rPr>
        <w:tab/>
      </w:r>
      <w:r w:rsidRPr="00E36F2A">
        <w:rPr>
          <w:b/>
          <w:i/>
        </w:rPr>
        <w:t>2014 m. gegužės 15 d. Europos Parlamento ir Tarybos reglamentas (ES) Nr. 600/2014 dėl finansinių priemonių rinkų, kuriuo iš dalies keičiamas Reglamentas (ES) Nr. 648/2012 (OL L 173, 2014 6 12, p. 84).“;</w:t>
      </w:r>
    </w:p>
    <w:p w:rsidR="009A6B3A" w:rsidRPr="00E36F2A" w:rsidRDefault="009A6B3A" w:rsidP="009A6B3A">
      <w:pPr>
        <w:pStyle w:val="Point1letter"/>
        <w:numPr>
          <w:ilvl w:val="0"/>
          <w:numId w:val="0"/>
        </w:numPr>
        <w:tabs>
          <w:tab w:val="left" w:pos="851"/>
          <w:tab w:val="left" w:pos="1985"/>
          <w:tab w:val="left" w:pos="2552"/>
        </w:tabs>
        <w:spacing w:line="360" w:lineRule="auto"/>
        <w:ind w:left="851" w:hanging="851"/>
      </w:pPr>
      <w:r w:rsidRPr="00E36F2A">
        <w:rPr>
          <w:b/>
          <w:i/>
        </w:rPr>
        <w:br w:type="page"/>
      </w:r>
      <w:r w:rsidR="00C318FB" w:rsidRPr="00E36F2A">
        <w:rPr>
          <w:b/>
          <w:i/>
          <w:szCs w:val="24"/>
        </w:rPr>
        <w:lastRenderedPageBreak/>
        <w:t>3)</w:t>
      </w:r>
      <w:r w:rsidR="00C318FB" w:rsidRPr="00E36F2A">
        <w:rPr>
          <w:b/>
          <w:i/>
          <w:szCs w:val="24"/>
        </w:rPr>
        <w:tab/>
      </w:r>
      <w:r w:rsidRPr="00E36F2A">
        <w:rPr>
          <w:b/>
          <w:i/>
        </w:rPr>
        <w:t>III antraštinės dalies 2 skyri</w:t>
      </w:r>
      <w:r w:rsidR="00380C6C" w:rsidRPr="00E36F2A">
        <w:rPr>
          <w:b/>
          <w:i/>
        </w:rPr>
        <w:t>a</w:t>
      </w:r>
      <w:r w:rsidRPr="00E36F2A">
        <w:rPr>
          <w:b/>
          <w:i/>
        </w:rPr>
        <w:t xml:space="preserve">us </w:t>
      </w:r>
      <w:r w:rsidR="00380C6C" w:rsidRPr="00E36F2A">
        <w:rPr>
          <w:b/>
          <w:i/>
        </w:rPr>
        <w:t xml:space="preserve">pavadinimas </w:t>
      </w:r>
      <w:r w:rsidRPr="00E36F2A">
        <w:rPr>
          <w:b/>
          <w:i/>
        </w:rPr>
        <w:t>pakeičiamas taip</w:t>
      </w:r>
      <w:r w:rsidRPr="00E36F2A">
        <w:t>:</w:t>
      </w:r>
    </w:p>
    <w:p w:rsidR="009A6B3A" w:rsidRPr="00E36F2A" w:rsidRDefault="009A6B3A" w:rsidP="008F39AE">
      <w:pPr>
        <w:pStyle w:val="Point1letter"/>
        <w:numPr>
          <w:ilvl w:val="0"/>
          <w:numId w:val="0"/>
        </w:numPr>
        <w:tabs>
          <w:tab w:val="left" w:pos="851"/>
          <w:tab w:val="left" w:pos="1985"/>
          <w:tab w:val="left" w:pos="2552"/>
        </w:tabs>
        <w:spacing w:line="360" w:lineRule="auto"/>
        <w:ind w:left="993" w:hanging="142"/>
        <w:rPr>
          <w:b/>
          <w:i/>
        </w:rPr>
      </w:pPr>
      <w:r w:rsidRPr="00E36F2A">
        <w:rPr>
          <w:b/>
          <w:i/>
        </w:rPr>
        <w:t xml:space="preserve">„Palūkanų normų lyginamieji indeksai ir </w:t>
      </w:r>
      <w:r w:rsidR="00A56938" w:rsidRPr="00E36F2A">
        <w:rPr>
          <w:b/>
          <w:i/>
        </w:rPr>
        <w:t xml:space="preserve">neatidėliotino </w:t>
      </w:r>
      <w:r w:rsidR="00361047" w:rsidRPr="00E36F2A">
        <w:rPr>
          <w:b/>
          <w:i/>
        </w:rPr>
        <w:t xml:space="preserve">užsienio </w:t>
      </w:r>
      <w:r w:rsidRPr="00E36F2A">
        <w:rPr>
          <w:b/>
          <w:i/>
        </w:rPr>
        <w:t>valiutos kurs</w:t>
      </w:r>
      <w:r w:rsidR="00A56938" w:rsidRPr="00E36F2A">
        <w:rPr>
          <w:b/>
          <w:i/>
        </w:rPr>
        <w:t>o</w:t>
      </w:r>
      <w:r w:rsidRPr="00E36F2A">
        <w:rPr>
          <w:b/>
          <w:i/>
        </w:rPr>
        <w:t xml:space="preserve"> lyginamieji indeksai“;</w:t>
      </w:r>
    </w:p>
    <w:p w:rsidR="009A6B3A" w:rsidRPr="00E36F2A" w:rsidRDefault="009A6B3A" w:rsidP="009A6B3A">
      <w:pPr>
        <w:pStyle w:val="Point1letter"/>
        <w:numPr>
          <w:ilvl w:val="0"/>
          <w:numId w:val="0"/>
        </w:numPr>
        <w:tabs>
          <w:tab w:val="left" w:pos="851"/>
          <w:tab w:val="left" w:pos="1985"/>
          <w:tab w:val="left" w:pos="2552"/>
        </w:tabs>
        <w:spacing w:line="360" w:lineRule="auto"/>
        <w:ind w:left="851" w:hanging="851"/>
        <w:rPr>
          <w:b/>
          <w:i/>
          <w:szCs w:val="24"/>
        </w:rPr>
      </w:pPr>
      <w:r w:rsidRPr="00E36F2A">
        <w:rPr>
          <w:b/>
          <w:i/>
          <w:szCs w:val="24"/>
        </w:rPr>
        <w:t>4)</w:t>
      </w:r>
      <w:r w:rsidRPr="00E36F2A">
        <w:rPr>
          <w:b/>
          <w:i/>
          <w:szCs w:val="24"/>
        </w:rPr>
        <w:tab/>
        <w:t>įterpiamas šis straipsnis:</w:t>
      </w:r>
    </w:p>
    <w:p w:rsidR="009A6B3A" w:rsidRPr="00E36F2A" w:rsidRDefault="009A6B3A" w:rsidP="009A6B3A">
      <w:pPr>
        <w:pStyle w:val="Point1letter"/>
        <w:numPr>
          <w:ilvl w:val="0"/>
          <w:numId w:val="0"/>
        </w:numPr>
        <w:tabs>
          <w:tab w:val="left" w:pos="851"/>
          <w:tab w:val="left" w:pos="1985"/>
          <w:tab w:val="left" w:pos="2552"/>
        </w:tabs>
        <w:spacing w:line="360" w:lineRule="auto"/>
        <w:ind w:left="851"/>
        <w:rPr>
          <w:b/>
          <w:i/>
        </w:rPr>
      </w:pPr>
      <w:r w:rsidRPr="00E36F2A">
        <w:rPr>
          <w:b/>
          <w:i/>
          <w:szCs w:val="24"/>
        </w:rPr>
        <w:t>„18a straipsnis</w:t>
      </w:r>
      <w:r w:rsidRPr="00E36F2A">
        <w:rPr>
          <w:b/>
          <w:i/>
          <w:szCs w:val="24"/>
        </w:rPr>
        <w:br/>
      </w:r>
      <w:r w:rsidR="00A56938" w:rsidRPr="00E36F2A">
        <w:rPr>
          <w:b/>
          <w:i/>
        </w:rPr>
        <w:t>Neatidėliotino u</w:t>
      </w:r>
      <w:r w:rsidR="00361047" w:rsidRPr="00E36F2A">
        <w:rPr>
          <w:b/>
          <w:i/>
        </w:rPr>
        <w:t>žsienio v</w:t>
      </w:r>
      <w:r w:rsidRPr="00E36F2A">
        <w:rPr>
          <w:b/>
          <w:i/>
        </w:rPr>
        <w:t>aliutos kurs</w:t>
      </w:r>
      <w:r w:rsidR="00A56938" w:rsidRPr="00E36F2A">
        <w:rPr>
          <w:b/>
          <w:i/>
        </w:rPr>
        <w:t>o</w:t>
      </w:r>
      <w:r w:rsidRPr="00E36F2A">
        <w:rPr>
          <w:b/>
          <w:i/>
        </w:rPr>
        <w:t xml:space="preserve"> lyginamieji indeksai</w:t>
      </w:r>
    </w:p>
    <w:p w:rsidR="009A6B3A" w:rsidRPr="00E36F2A" w:rsidRDefault="009A6B3A" w:rsidP="009A6B3A">
      <w:pPr>
        <w:pStyle w:val="Text2"/>
        <w:tabs>
          <w:tab w:val="left" w:pos="851"/>
          <w:tab w:val="left" w:pos="1418"/>
          <w:tab w:val="left" w:pos="1985"/>
          <w:tab w:val="left" w:pos="2552"/>
        </w:tabs>
        <w:spacing w:line="360" w:lineRule="auto"/>
        <w:ind w:left="1986" w:hanging="568"/>
      </w:pPr>
      <w:r w:rsidRPr="00E36F2A">
        <w:t>„1.</w:t>
      </w:r>
      <w:r w:rsidRPr="00E36F2A">
        <w:tab/>
        <w:t xml:space="preserve">Komisija gali nustatyti </w:t>
      </w:r>
      <w:r w:rsidRPr="00E36F2A">
        <w:rPr>
          <w:b/>
          <w:i/>
        </w:rPr>
        <w:t xml:space="preserve">neatidėliotino </w:t>
      </w:r>
      <w:r w:rsidRPr="00E36F2A">
        <w:t>užsienio valiutos kurso lyginam</w:t>
      </w:r>
      <w:r w:rsidR="00361047" w:rsidRPr="00E36F2A">
        <w:t>ąjį</w:t>
      </w:r>
      <w:r w:rsidRPr="00E36F2A">
        <w:t xml:space="preserve"> indeks</w:t>
      </w:r>
      <w:r w:rsidR="00361047" w:rsidRPr="00E36F2A">
        <w:t>ą</w:t>
      </w:r>
      <w:r w:rsidRPr="00E36F2A">
        <w:t xml:space="preserve">, </w:t>
      </w:r>
      <w:r w:rsidR="00361047" w:rsidRPr="00E36F2A">
        <w:t xml:space="preserve">kurį </w:t>
      </w:r>
      <w:r w:rsidRPr="00E36F2A">
        <w:t>administruoja už Sąjungos ribų įsikūrę administratoriai, kai tenkinami abu šie kriterijai:</w:t>
      </w:r>
    </w:p>
    <w:p w:rsidR="009A6B3A" w:rsidRPr="00E36F2A" w:rsidRDefault="009A6B3A" w:rsidP="00811D97">
      <w:pPr>
        <w:pStyle w:val="Point2letter"/>
        <w:numPr>
          <w:ilvl w:val="0"/>
          <w:numId w:val="0"/>
        </w:numPr>
        <w:tabs>
          <w:tab w:val="left" w:pos="851"/>
          <w:tab w:val="left" w:pos="1418"/>
          <w:tab w:val="left" w:pos="1985"/>
          <w:tab w:val="left" w:pos="2552"/>
        </w:tabs>
        <w:spacing w:line="360" w:lineRule="auto"/>
        <w:ind w:left="2552" w:hanging="567"/>
      </w:pPr>
      <w:r w:rsidRPr="00E36F2A">
        <w:t>a)</w:t>
      </w:r>
      <w:r w:rsidRPr="00E36F2A">
        <w:tab/>
      </w:r>
      <w:r w:rsidR="00A56938" w:rsidRPr="00E36F2A">
        <w:t xml:space="preserve">neatidėliotino </w:t>
      </w:r>
      <w:r w:rsidRPr="00E36F2A">
        <w:t>užsienio valiutos kurso lyginamasis indeksas yra trečiosios šalies valiutos, kuri nėra laisvai konvertuojama, neatidėliotinas keitimo kursas</w:t>
      </w:r>
      <w:r w:rsidR="00811D97" w:rsidRPr="00E36F2A">
        <w:t>,</w:t>
      </w:r>
      <w:r w:rsidRPr="00E36F2A">
        <w:t xml:space="preserve"> ir</w:t>
      </w:r>
    </w:p>
    <w:p w:rsidR="009A6B3A" w:rsidRPr="00E36F2A" w:rsidRDefault="009A6B3A" w:rsidP="009A6B3A">
      <w:pPr>
        <w:pStyle w:val="Point2letter"/>
        <w:numPr>
          <w:ilvl w:val="0"/>
          <w:numId w:val="0"/>
        </w:numPr>
        <w:tabs>
          <w:tab w:val="left" w:pos="851"/>
          <w:tab w:val="left" w:pos="1418"/>
          <w:tab w:val="left" w:pos="1985"/>
          <w:tab w:val="left" w:pos="2552"/>
        </w:tabs>
        <w:spacing w:line="360" w:lineRule="auto"/>
        <w:ind w:left="2552" w:hanging="567"/>
      </w:pPr>
      <w:r w:rsidRPr="00E36F2A">
        <w:t>b)</w:t>
      </w:r>
      <w:r w:rsidRPr="00E36F2A">
        <w:tab/>
      </w:r>
      <w:r w:rsidRPr="00E36F2A">
        <w:rPr>
          <w:b/>
          <w:i/>
        </w:rPr>
        <w:t>neatidėliotino</w:t>
      </w:r>
      <w:r w:rsidRPr="00E36F2A">
        <w:t xml:space="preserve"> užsienio valiutos kurso </w:t>
      </w:r>
      <w:r w:rsidRPr="00E36F2A">
        <w:rPr>
          <w:b/>
          <w:i/>
        </w:rPr>
        <w:t>lyginamasis indeksas yra</w:t>
      </w:r>
      <w:r w:rsidRPr="00E36F2A">
        <w:t xml:space="preserve"> dažnai, sistemingai ir reguliariai </w:t>
      </w:r>
      <w:r w:rsidRPr="00E36F2A">
        <w:rPr>
          <w:b/>
          <w:i/>
        </w:rPr>
        <w:t>naudojamas siekiant</w:t>
      </w:r>
      <w:r w:rsidRPr="00E36F2A">
        <w:t xml:space="preserve"> apsidrausti nuo </w:t>
      </w:r>
      <w:r w:rsidRPr="00E36F2A">
        <w:rPr>
          <w:b/>
          <w:i/>
        </w:rPr>
        <w:t>užsienio valiutų kursų pokyčių</w:t>
      </w:r>
      <w:r w:rsidRPr="00E36F2A">
        <w:t>.</w:t>
      </w:r>
    </w:p>
    <w:p w:rsidR="009A6B3A" w:rsidRPr="00E36F2A" w:rsidRDefault="009A6B3A" w:rsidP="009A6B3A">
      <w:pPr>
        <w:pStyle w:val="Point2letter"/>
        <w:numPr>
          <w:ilvl w:val="0"/>
          <w:numId w:val="0"/>
        </w:numPr>
        <w:tabs>
          <w:tab w:val="left" w:pos="851"/>
          <w:tab w:val="left" w:pos="1418"/>
          <w:tab w:val="left" w:pos="1985"/>
          <w:tab w:val="left" w:pos="2552"/>
        </w:tabs>
        <w:spacing w:line="360" w:lineRule="auto"/>
        <w:ind w:left="1985" w:hanging="567"/>
      </w:pPr>
      <w:r w:rsidRPr="00E36F2A">
        <w:t>▌</w:t>
      </w:r>
    </w:p>
    <w:p w:rsidR="009A6B3A" w:rsidRPr="00E36F2A" w:rsidRDefault="00361047" w:rsidP="009A6B3A">
      <w:pPr>
        <w:pStyle w:val="Point2"/>
        <w:tabs>
          <w:tab w:val="left" w:pos="851"/>
          <w:tab w:val="left" w:pos="1418"/>
          <w:tab w:val="left" w:pos="1985"/>
          <w:tab w:val="left" w:pos="2552"/>
        </w:tabs>
        <w:spacing w:line="360" w:lineRule="auto"/>
        <w:ind w:left="1985"/>
        <w:rPr>
          <w:b/>
          <w:i/>
        </w:rPr>
      </w:pPr>
      <w:r w:rsidRPr="00E36F2A">
        <w:rPr>
          <w:b/>
          <w:i/>
        </w:rPr>
        <w:t>2</w:t>
      </w:r>
      <w:r w:rsidR="009A6B3A" w:rsidRPr="00E36F2A">
        <w:rPr>
          <w:b/>
          <w:i/>
        </w:rPr>
        <w:t>.</w:t>
      </w:r>
      <w:r w:rsidR="009A6B3A" w:rsidRPr="00E36F2A">
        <w:tab/>
      </w:r>
      <w:r w:rsidRPr="00E36F2A">
        <w:rPr>
          <w:b/>
          <w:i/>
        </w:rPr>
        <w:t xml:space="preserve">Ne vėliau kaip </w:t>
      </w:r>
      <w:r w:rsidR="009A6B3A" w:rsidRPr="00E36F2A">
        <w:rPr>
          <w:b/>
          <w:i/>
        </w:rPr>
        <w:t xml:space="preserve">2022 m. gruodžio 31 d. Komisija surengia viešas konsultacijas, kad nustatytų užsienio valiutos </w:t>
      </w:r>
      <w:r w:rsidR="00D328F9" w:rsidRPr="00E36F2A">
        <w:rPr>
          <w:b/>
          <w:i/>
        </w:rPr>
        <w:t>neatidėliotino</w:t>
      </w:r>
      <w:r w:rsidR="00D328F9" w:rsidRPr="00E36F2A">
        <w:t xml:space="preserve"> </w:t>
      </w:r>
      <w:r w:rsidR="009A6B3A" w:rsidRPr="00E36F2A">
        <w:rPr>
          <w:b/>
          <w:i/>
        </w:rPr>
        <w:t>kurso lyginamuosius indeksus, atitinkančius 1 dalyje nustatytus kriterijus.</w:t>
      </w:r>
    </w:p>
    <w:p w:rsidR="009A6B3A" w:rsidRPr="00E36F2A" w:rsidRDefault="00361047" w:rsidP="00D328F9">
      <w:pPr>
        <w:pStyle w:val="Point2"/>
        <w:tabs>
          <w:tab w:val="left" w:pos="851"/>
          <w:tab w:val="left" w:pos="1418"/>
          <w:tab w:val="left" w:pos="1985"/>
          <w:tab w:val="left" w:pos="2552"/>
        </w:tabs>
        <w:spacing w:line="360" w:lineRule="auto"/>
        <w:ind w:left="1985"/>
        <w:rPr>
          <w:b/>
          <w:i/>
          <w:szCs w:val="24"/>
        </w:rPr>
      </w:pPr>
      <w:r w:rsidRPr="00E36F2A">
        <w:rPr>
          <w:b/>
          <w:i/>
        </w:rPr>
        <w:t>3</w:t>
      </w:r>
      <w:r w:rsidR="009A6B3A" w:rsidRPr="00E36F2A">
        <w:rPr>
          <w:b/>
          <w:i/>
        </w:rPr>
        <w:t>.</w:t>
      </w:r>
      <w:r w:rsidR="009A6B3A" w:rsidRPr="00E36F2A">
        <w:tab/>
      </w:r>
      <w:r w:rsidRPr="00E36F2A">
        <w:rPr>
          <w:b/>
          <w:i/>
        </w:rPr>
        <w:t xml:space="preserve">Ne vėliau kaip </w:t>
      </w:r>
      <w:r w:rsidR="009A6B3A" w:rsidRPr="00E36F2A">
        <w:rPr>
          <w:b/>
          <w:i/>
        </w:rPr>
        <w:t>2023 m. birželio 15 d.</w:t>
      </w:r>
      <w:r w:rsidR="009A6B3A" w:rsidRPr="00E36F2A">
        <w:t xml:space="preserve"> Komisija pagal 49 straipsnį priima deleguotuosius aktus siekdama sudaryti užsienio valiutos </w:t>
      </w:r>
      <w:r w:rsidR="00D328F9" w:rsidRPr="00E36F2A">
        <w:rPr>
          <w:b/>
          <w:i/>
        </w:rPr>
        <w:t>neatidėliotino</w:t>
      </w:r>
      <w:r w:rsidR="00D328F9" w:rsidRPr="00E36F2A">
        <w:t xml:space="preserve"> </w:t>
      </w:r>
      <w:r w:rsidR="009A6B3A" w:rsidRPr="00E36F2A">
        <w:t xml:space="preserve">kurso lyginamųjų indeksų, atitinkančių </w:t>
      </w:r>
      <w:r w:rsidR="009A6B3A" w:rsidRPr="00E36F2A">
        <w:rPr>
          <w:b/>
          <w:i/>
        </w:rPr>
        <w:t>šio straipsnio</w:t>
      </w:r>
      <w:r w:rsidR="009A6B3A" w:rsidRPr="00E36F2A">
        <w:t xml:space="preserve"> 1 dalyje nustatytus kriterijus, sąrašą. </w:t>
      </w:r>
      <w:r w:rsidR="009A6B3A" w:rsidRPr="00E36F2A">
        <w:rPr>
          <w:b/>
          <w:i/>
        </w:rPr>
        <w:t>Komisija tą sąrašą atitinkamai atnaujina.</w:t>
      </w:r>
      <w:r w:rsidR="009A6B3A" w:rsidRPr="00E36F2A">
        <w:t>“;</w:t>
      </w:r>
    </w:p>
    <w:p w:rsidR="008F39AE" w:rsidRPr="00E36F2A" w:rsidRDefault="008F39AE">
      <w:pPr>
        <w:spacing w:before="0" w:after="200" w:line="276" w:lineRule="auto"/>
        <w:rPr>
          <w:b/>
          <w:i/>
          <w:szCs w:val="24"/>
        </w:rPr>
      </w:pPr>
      <w:r w:rsidRPr="00E36F2A">
        <w:rPr>
          <w:b/>
          <w:i/>
          <w:szCs w:val="24"/>
        </w:rPr>
        <w:br w:type="page"/>
      </w:r>
    </w:p>
    <w:p w:rsidR="00636FF7" w:rsidRPr="00E36F2A" w:rsidRDefault="009A6B3A" w:rsidP="009A6B3A">
      <w:pPr>
        <w:pStyle w:val="Point0number"/>
        <w:numPr>
          <w:ilvl w:val="0"/>
          <w:numId w:val="0"/>
        </w:numPr>
        <w:tabs>
          <w:tab w:val="left" w:pos="851"/>
          <w:tab w:val="left" w:pos="1418"/>
          <w:tab w:val="left" w:pos="1985"/>
          <w:tab w:val="left" w:pos="2552"/>
        </w:tabs>
        <w:spacing w:line="360" w:lineRule="auto"/>
        <w:ind w:left="850" w:hanging="850"/>
        <w:rPr>
          <w:b/>
          <w:i/>
          <w:szCs w:val="24"/>
        </w:rPr>
      </w:pPr>
      <w:r w:rsidRPr="00E36F2A">
        <w:rPr>
          <w:b/>
          <w:i/>
          <w:szCs w:val="24"/>
        </w:rPr>
        <w:lastRenderedPageBreak/>
        <w:t xml:space="preserve">5) </w:t>
      </w:r>
      <w:r w:rsidRPr="00E36F2A">
        <w:rPr>
          <w:b/>
          <w:i/>
          <w:szCs w:val="24"/>
        </w:rPr>
        <w:tab/>
        <w:t xml:space="preserve">III antraštinėje dalyje </w:t>
      </w:r>
      <w:r w:rsidR="00C318FB" w:rsidRPr="00E36F2A">
        <w:rPr>
          <w:b/>
          <w:i/>
          <w:szCs w:val="24"/>
        </w:rPr>
        <w:t>įterpiamas šis skyrius:</w:t>
      </w:r>
    </w:p>
    <w:p w:rsidR="00E516C7" w:rsidRPr="00E36F2A" w:rsidRDefault="00636FF7" w:rsidP="00D328F9">
      <w:pPr>
        <w:pStyle w:val="NormalCentered"/>
        <w:tabs>
          <w:tab w:val="left" w:pos="851"/>
          <w:tab w:val="left" w:pos="1418"/>
          <w:tab w:val="left" w:pos="1985"/>
          <w:tab w:val="left" w:pos="2552"/>
        </w:tabs>
        <w:spacing w:line="360" w:lineRule="auto"/>
        <w:ind w:left="851"/>
        <w:jc w:val="left"/>
        <w:rPr>
          <w:b/>
          <w:i/>
          <w:szCs w:val="24"/>
        </w:rPr>
      </w:pPr>
      <w:r w:rsidRPr="00E36F2A">
        <w:rPr>
          <w:b/>
          <w:i/>
          <w:szCs w:val="24"/>
        </w:rPr>
        <w:t>„4a skyrius</w:t>
      </w:r>
      <w:r w:rsidRPr="00E36F2A">
        <w:rPr>
          <w:b/>
          <w:i/>
          <w:szCs w:val="24"/>
        </w:rPr>
        <w:br/>
      </w:r>
      <w:r w:rsidR="00D328F9" w:rsidRPr="00E36F2A">
        <w:rPr>
          <w:b/>
          <w:i/>
          <w:szCs w:val="24"/>
        </w:rPr>
        <w:t>Teisės aktais nustatytas pakaitinis l</w:t>
      </w:r>
      <w:r w:rsidRPr="00E36F2A">
        <w:rPr>
          <w:b/>
          <w:i/>
          <w:szCs w:val="24"/>
        </w:rPr>
        <w:t>yginam</w:t>
      </w:r>
      <w:r w:rsidR="00D328F9" w:rsidRPr="00E36F2A">
        <w:rPr>
          <w:b/>
          <w:i/>
          <w:szCs w:val="24"/>
        </w:rPr>
        <w:t>asis</w:t>
      </w:r>
      <w:r w:rsidRPr="00E36F2A">
        <w:rPr>
          <w:b/>
          <w:i/>
          <w:szCs w:val="24"/>
        </w:rPr>
        <w:t xml:space="preserve"> indeksas </w:t>
      </w:r>
    </w:p>
    <w:p w:rsidR="009A6B3A" w:rsidRPr="00E36F2A" w:rsidRDefault="009A6B3A" w:rsidP="00D328F9">
      <w:pPr>
        <w:pStyle w:val="Point1letter"/>
        <w:numPr>
          <w:ilvl w:val="0"/>
          <w:numId w:val="0"/>
        </w:numPr>
        <w:tabs>
          <w:tab w:val="left" w:pos="851"/>
          <w:tab w:val="left" w:pos="2552"/>
        </w:tabs>
        <w:spacing w:line="360" w:lineRule="auto"/>
        <w:ind w:left="851"/>
        <w:rPr>
          <w:b/>
          <w:i/>
        </w:rPr>
      </w:pPr>
      <w:r w:rsidRPr="00E36F2A">
        <w:rPr>
          <w:b/>
          <w:i/>
          <w:szCs w:val="24"/>
        </w:rPr>
        <w:t>23</w:t>
      </w:r>
      <w:r w:rsidR="00361047" w:rsidRPr="00E36F2A">
        <w:rPr>
          <w:b/>
          <w:i/>
          <w:szCs w:val="24"/>
        </w:rPr>
        <w:t>a</w:t>
      </w:r>
      <w:r w:rsidRPr="00E36F2A">
        <w:rPr>
          <w:b/>
          <w:i/>
          <w:szCs w:val="24"/>
        </w:rPr>
        <w:t xml:space="preserve"> straipsnis</w:t>
      </w:r>
      <w:r w:rsidRPr="00E36F2A">
        <w:rPr>
          <w:b/>
          <w:i/>
          <w:szCs w:val="24"/>
        </w:rPr>
        <w:br/>
      </w:r>
      <w:r w:rsidR="00CF29F1" w:rsidRPr="00E36F2A">
        <w:rPr>
          <w:b/>
          <w:i/>
          <w:szCs w:val="24"/>
        </w:rPr>
        <w:t xml:space="preserve">Teisės aktais nustatyto </w:t>
      </w:r>
      <w:r w:rsidR="00D328F9" w:rsidRPr="00E36F2A">
        <w:rPr>
          <w:b/>
          <w:i/>
          <w:szCs w:val="24"/>
        </w:rPr>
        <w:t xml:space="preserve">pakaitinio </w:t>
      </w:r>
      <w:r w:rsidR="00CF29F1" w:rsidRPr="00E36F2A">
        <w:rPr>
          <w:b/>
          <w:i/>
          <w:szCs w:val="24"/>
        </w:rPr>
        <w:t>l</w:t>
      </w:r>
      <w:r w:rsidR="00361047" w:rsidRPr="00E36F2A">
        <w:rPr>
          <w:b/>
          <w:i/>
          <w:szCs w:val="24"/>
        </w:rPr>
        <w:t>yginamojo indekso</w:t>
      </w:r>
      <w:r w:rsidR="00CF29F1" w:rsidRPr="00E36F2A">
        <w:rPr>
          <w:b/>
          <w:i/>
          <w:szCs w:val="24"/>
        </w:rPr>
        <w:t xml:space="preserve"> taikymo sritis</w:t>
      </w:r>
      <w:r w:rsidR="00361047" w:rsidRPr="00E36F2A">
        <w:rPr>
          <w:b/>
          <w:i/>
          <w:szCs w:val="24"/>
        </w:rPr>
        <w:t xml:space="preserve"> </w:t>
      </w:r>
    </w:p>
    <w:p w:rsidR="009A6B3A" w:rsidRPr="00E36F2A" w:rsidRDefault="009A6B3A" w:rsidP="009A6B3A">
      <w:pPr>
        <w:pStyle w:val="Point1letter"/>
        <w:numPr>
          <w:ilvl w:val="0"/>
          <w:numId w:val="0"/>
        </w:numPr>
        <w:tabs>
          <w:tab w:val="left" w:pos="851"/>
          <w:tab w:val="left" w:pos="1418"/>
          <w:tab w:val="left" w:pos="1985"/>
          <w:tab w:val="left" w:pos="2552"/>
        </w:tabs>
        <w:spacing w:line="360" w:lineRule="auto"/>
        <w:ind w:left="1985" w:hanging="567"/>
        <w:rPr>
          <w:b/>
          <w:i/>
        </w:rPr>
      </w:pPr>
      <w:r w:rsidRPr="00E36F2A">
        <w:rPr>
          <w:b/>
          <w:i/>
        </w:rPr>
        <w:t>Šis skyrius taikomas:</w:t>
      </w:r>
    </w:p>
    <w:p w:rsidR="009A6B3A" w:rsidRPr="00E36F2A" w:rsidRDefault="009A6B3A" w:rsidP="00D328F9">
      <w:pPr>
        <w:pStyle w:val="Point1letter"/>
        <w:numPr>
          <w:ilvl w:val="0"/>
          <w:numId w:val="0"/>
        </w:numPr>
        <w:tabs>
          <w:tab w:val="left" w:pos="851"/>
          <w:tab w:val="left" w:pos="1418"/>
          <w:tab w:val="left" w:pos="1985"/>
          <w:tab w:val="left" w:pos="2552"/>
        </w:tabs>
        <w:spacing w:line="360" w:lineRule="auto"/>
        <w:ind w:left="2553" w:hanging="568"/>
        <w:rPr>
          <w:b/>
          <w:i/>
        </w:rPr>
      </w:pPr>
      <w:r w:rsidRPr="00E36F2A">
        <w:rPr>
          <w:b/>
          <w:i/>
        </w:rPr>
        <w:t>a)</w:t>
      </w:r>
      <w:r w:rsidRPr="00E36F2A">
        <w:rPr>
          <w:b/>
          <w:i/>
        </w:rPr>
        <w:tab/>
      </w:r>
      <w:r w:rsidRPr="00E36F2A">
        <w:rPr>
          <w:b/>
          <w:i/>
        </w:rPr>
        <w:tab/>
        <w:t xml:space="preserve">bet kuriai sutarčiai ar bet kuriai </w:t>
      </w:r>
      <w:r w:rsidR="00881A4C" w:rsidRPr="00E36F2A">
        <w:rPr>
          <w:b/>
          <w:i/>
        </w:rPr>
        <w:t>Direktyvoje 2014/65/ES</w:t>
      </w:r>
      <w:r w:rsidR="00D328F9" w:rsidRPr="00E36F2A">
        <w:rPr>
          <w:b/>
          <w:i/>
        </w:rPr>
        <w:t xml:space="preserve"> apibrėžtai finansinei priemonei</w:t>
      </w:r>
      <w:r w:rsidR="00881A4C" w:rsidRPr="00E36F2A">
        <w:rPr>
          <w:b/>
          <w:i/>
        </w:rPr>
        <w:t xml:space="preserve">, </w:t>
      </w:r>
      <w:r w:rsidRPr="00E36F2A">
        <w:rPr>
          <w:b/>
          <w:i/>
        </w:rPr>
        <w:t>kurioje nurodomas lyginamasis indeksas</w:t>
      </w:r>
      <w:r w:rsidR="00881A4C" w:rsidRPr="00E36F2A">
        <w:rPr>
          <w:b/>
          <w:i/>
        </w:rPr>
        <w:t xml:space="preserve"> ir kuriai taikoma vienos iš valstybių narių teisė</w:t>
      </w:r>
      <w:r w:rsidRPr="00E36F2A">
        <w:rPr>
          <w:b/>
          <w:i/>
        </w:rPr>
        <w:t xml:space="preserve">, </w:t>
      </w:r>
      <w:r w:rsidR="00881A4C" w:rsidRPr="00E36F2A">
        <w:rPr>
          <w:b/>
          <w:i/>
        </w:rPr>
        <w:t>ir</w:t>
      </w:r>
    </w:p>
    <w:p w:rsidR="009A6B3A" w:rsidRPr="00E36F2A" w:rsidRDefault="009A6B3A" w:rsidP="009A6B3A">
      <w:pPr>
        <w:pStyle w:val="Point1letter"/>
        <w:numPr>
          <w:ilvl w:val="0"/>
          <w:numId w:val="0"/>
        </w:numPr>
        <w:tabs>
          <w:tab w:val="left" w:pos="851"/>
          <w:tab w:val="left" w:pos="1418"/>
          <w:tab w:val="left" w:pos="1985"/>
          <w:tab w:val="left" w:pos="2552"/>
        </w:tabs>
        <w:spacing w:line="360" w:lineRule="auto"/>
        <w:ind w:left="2553" w:hanging="568"/>
        <w:rPr>
          <w:b/>
          <w:i/>
        </w:rPr>
      </w:pPr>
      <w:r w:rsidRPr="00E36F2A">
        <w:rPr>
          <w:b/>
          <w:i/>
        </w:rPr>
        <w:t xml:space="preserve">b) </w:t>
      </w:r>
      <w:r w:rsidRPr="00E36F2A">
        <w:rPr>
          <w:b/>
          <w:i/>
        </w:rPr>
        <w:tab/>
        <w:t xml:space="preserve">bet kuriai sutarčiai, </w:t>
      </w:r>
      <w:r w:rsidR="00881A4C" w:rsidRPr="00E36F2A">
        <w:rPr>
          <w:b/>
          <w:i/>
        </w:rPr>
        <w:t xml:space="preserve">kurios visos sutarties šalys yra įsisteigusios Sąjungoje ir kurioje nurodomas lyginamasis indeksas bei </w:t>
      </w:r>
      <w:r w:rsidRPr="00E36F2A">
        <w:rPr>
          <w:b/>
          <w:i/>
        </w:rPr>
        <w:t xml:space="preserve">kuriai taikoma trečiosios šalies teisė, tačiau </w:t>
      </w:r>
      <w:r w:rsidR="00881A4C" w:rsidRPr="00E36F2A">
        <w:rPr>
          <w:b/>
          <w:i/>
        </w:rPr>
        <w:t>ta</w:t>
      </w:r>
      <w:r w:rsidRPr="00E36F2A">
        <w:rPr>
          <w:b/>
          <w:i/>
        </w:rPr>
        <w:t xml:space="preserve"> teisė nenumato tvarkingo lyginamojo indekso likvidavimo mechanizmo.</w:t>
      </w:r>
    </w:p>
    <w:p w:rsidR="008F39AE" w:rsidRPr="00E36F2A" w:rsidRDefault="008F39AE">
      <w:pPr>
        <w:spacing w:before="0" w:after="200" w:line="276" w:lineRule="auto"/>
        <w:rPr>
          <w:b/>
          <w:i/>
          <w:szCs w:val="24"/>
        </w:rPr>
      </w:pPr>
      <w:r w:rsidRPr="00E36F2A">
        <w:rPr>
          <w:b/>
          <w:i/>
          <w:szCs w:val="24"/>
        </w:rPr>
        <w:br w:type="page"/>
      </w:r>
    </w:p>
    <w:p w:rsidR="00636FF7" w:rsidRPr="00E36F2A" w:rsidRDefault="00636FF7" w:rsidP="0068393A">
      <w:pPr>
        <w:pStyle w:val="NormalCentered"/>
        <w:tabs>
          <w:tab w:val="left" w:pos="851"/>
          <w:tab w:val="left" w:pos="1418"/>
          <w:tab w:val="left" w:pos="1985"/>
          <w:tab w:val="left" w:pos="2552"/>
        </w:tabs>
        <w:spacing w:line="360" w:lineRule="auto"/>
        <w:ind w:left="851"/>
        <w:jc w:val="left"/>
        <w:rPr>
          <w:b/>
          <w:i/>
          <w:szCs w:val="24"/>
        </w:rPr>
      </w:pPr>
      <w:r w:rsidRPr="00E36F2A">
        <w:rPr>
          <w:b/>
          <w:i/>
          <w:szCs w:val="24"/>
        </w:rPr>
        <w:lastRenderedPageBreak/>
        <w:t>23</w:t>
      </w:r>
      <w:r w:rsidR="009A6B3A" w:rsidRPr="00E36F2A">
        <w:rPr>
          <w:b/>
          <w:i/>
          <w:szCs w:val="24"/>
        </w:rPr>
        <w:t>b</w:t>
      </w:r>
      <w:r w:rsidRPr="00E36F2A">
        <w:rPr>
          <w:b/>
          <w:i/>
          <w:szCs w:val="24"/>
        </w:rPr>
        <w:t xml:space="preserve"> straipsnis</w:t>
      </w:r>
      <w:r w:rsidRPr="00E36F2A">
        <w:rPr>
          <w:b/>
          <w:i/>
          <w:szCs w:val="24"/>
        </w:rPr>
        <w:br/>
      </w:r>
      <w:r w:rsidR="00380C6C" w:rsidRPr="00E36F2A">
        <w:rPr>
          <w:b/>
          <w:i/>
          <w:szCs w:val="24"/>
        </w:rPr>
        <w:t>L</w:t>
      </w:r>
      <w:r w:rsidRPr="00E36F2A">
        <w:rPr>
          <w:b/>
          <w:i/>
          <w:szCs w:val="24"/>
        </w:rPr>
        <w:t>yginamojo indekso pakeitimas</w:t>
      </w:r>
      <w:r w:rsidR="00380C6C" w:rsidRPr="00E36F2A">
        <w:rPr>
          <w:b/>
          <w:i/>
          <w:szCs w:val="24"/>
        </w:rPr>
        <w:t xml:space="preserve"> Sąjungos teisės aktais</w:t>
      </w:r>
    </w:p>
    <w:p w:rsidR="00E516C7" w:rsidRPr="00E36F2A" w:rsidRDefault="00E516C7" w:rsidP="009110D6">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1.</w:t>
      </w:r>
      <w:r w:rsidRPr="00E36F2A">
        <w:rPr>
          <w:b/>
          <w:i/>
          <w:szCs w:val="24"/>
        </w:rPr>
        <w:tab/>
        <w:t>Šis straipsnis taikomas:</w:t>
      </w:r>
    </w:p>
    <w:p w:rsidR="00E516C7" w:rsidRPr="00E36F2A" w:rsidRDefault="00E516C7" w:rsidP="00AE7BEE">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a) </w:t>
      </w:r>
      <w:r w:rsidRPr="00E36F2A">
        <w:rPr>
          <w:b/>
          <w:i/>
          <w:szCs w:val="24"/>
        </w:rPr>
        <w:tab/>
        <w:t xml:space="preserve">lyginamiesiems indeksams, kurie </w:t>
      </w:r>
      <w:r w:rsidR="00881A4C" w:rsidRPr="00E36F2A">
        <w:rPr>
          <w:b/>
          <w:i/>
          <w:szCs w:val="24"/>
        </w:rPr>
        <w:t xml:space="preserve">nustatyti kaip </w:t>
      </w:r>
      <w:r w:rsidRPr="00E36F2A">
        <w:rPr>
          <w:b/>
          <w:i/>
          <w:szCs w:val="24"/>
        </w:rPr>
        <w:t>ypatingos svarbos indeksai</w:t>
      </w:r>
      <w:r w:rsidR="00881A4C" w:rsidRPr="00E36F2A">
        <w:rPr>
          <w:b/>
          <w:i/>
          <w:szCs w:val="24"/>
        </w:rPr>
        <w:t xml:space="preserve"> įgyvendinimo aktu, priimtu</w:t>
      </w:r>
      <w:r w:rsidR="008F39AE" w:rsidRPr="00E36F2A">
        <w:rPr>
          <w:b/>
          <w:i/>
          <w:szCs w:val="24"/>
        </w:rPr>
        <w:t xml:space="preserve"> </w:t>
      </w:r>
      <w:r w:rsidRPr="00E36F2A">
        <w:rPr>
          <w:b/>
          <w:i/>
          <w:szCs w:val="24"/>
        </w:rPr>
        <w:t xml:space="preserve">pagal 20 straipsnio 1 dalies a arba </w:t>
      </w:r>
      <w:r w:rsidR="00380C6C" w:rsidRPr="00E36F2A">
        <w:rPr>
          <w:b/>
          <w:i/>
          <w:szCs w:val="24"/>
        </w:rPr>
        <w:t>c</w:t>
      </w:r>
      <w:r w:rsidRPr="00E36F2A">
        <w:rPr>
          <w:b/>
          <w:i/>
          <w:szCs w:val="24"/>
        </w:rPr>
        <w:t xml:space="preserve"> punktą;</w:t>
      </w:r>
    </w:p>
    <w:p w:rsidR="00E516C7" w:rsidRPr="00E36F2A" w:rsidRDefault="00E516C7" w:rsidP="00D328F9">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b) </w:t>
      </w:r>
      <w:r w:rsidRPr="00E36F2A">
        <w:rPr>
          <w:b/>
          <w:i/>
          <w:szCs w:val="24"/>
        </w:rPr>
        <w:tab/>
        <w:t xml:space="preserve">lyginamiesiems indeksams, kurie paremti teikiamais pradiniais duomenimis, jei nutraukus jų teikimą </w:t>
      </w:r>
      <w:r w:rsidR="007F7A0C" w:rsidRPr="00E36F2A">
        <w:rPr>
          <w:b/>
          <w:i/>
          <w:szCs w:val="24"/>
        </w:rPr>
        <w:t xml:space="preserve">arba juos likvidavus </w:t>
      </w:r>
      <w:r w:rsidRPr="00E36F2A">
        <w:rPr>
          <w:b/>
          <w:i/>
          <w:szCs w:val="24"/>
        </w:rPr>
        <w:t>būtų smarkiai sutrikdytas finansų rinkų veikimas</w:t>
      </w:r>
      <w:r w:rsidR="00D328F9" w:rsidRPr="00E36F2A">
        <w:rPr>
          <w:b/>
          <w:i/>
          <w:szCs w:val="24"/>
        </w:rPr>
        <w:t xml:space="preserve"> Sąjungoje,</w:t>
      </w:r>
      <w:r w:rsidRPr="00E36F2A">
        <w:rPr>
          <w:b/>
          <w:i/>
          <w:szCs w:val="24"/>
        </w:rPr>
        <w:t xml:space="preserve"> </w:t>
      </w:r>
      <w:r w:rsidR="007F7A0C" w:rsidRPr="00E36F2A">
        <w:rPr>
          <w:b/>
          <w:i/>
          <w:szCs w:val="24"/>
        </w:rPr>
        <w:t>ir</w:t>
      </w:r>
    </w:p>
    <w:p w:rsidR="00E516C7" w:rsidRPr="00E36F2A" w:rsidRDefault="00E516C7" w:rsidP="00544644">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c) </w:t>
      </w:r>
      <w:r w:rsidRPr="00E36F2A">
        <w:rPr>
          <w:b/>
          <w:i/>
          <w:szCs w:val="24"/>
        </w:rPr>
        <w:tab/>
      </w:r>
      <w:r w:rsidR="00D328F9" w:rsidRPr="00E36F2A">
        <w:rPr>
          <w:b/>
          <w:i/>
          <w:szCs w:val="24"/>
        </w:rPr>
        <w:t xml:space="preserve">trečiųjų šalių </w:t>
      </w:r>
      <w:r w:rsidRPr="00E36F2A">
        <w:rPr>
          <w:b/>
          <w:i/>
          <w:szCs w:val="24"/>
        </w:rPr>
        <w:t>lyginamiesiems indeksams</w:t>
      </w:r>
      <w:r w:rsidR="007F7A0C" w:rsidRPr="00E36F2A">
        <w:rPr>
          <w:b/>
          <w:i/>
          <w:szCs w:val="24"/>
        </w:rPr>
        <w:t>,</w:t>
      </w:r>
      <w:r w:rsidRPr="00E36F2A">
        <w:rPr>
          <w:b/>
          <w:i/>
          <w:szCs w:val="24"/>
        </w:rPr>
        <w:t xml:space="preserve"> jei nutraukus jų teikimą </w:t>
      </w:r>
      <w:r w:rsidR="007F7A0C" w:rsidRPr="00E36F2A">
        <w:rPr>
          <w:b/>
          <w:i/>
          <w:szCs w:val="24"/>
        </w:rPr>
        <w:t xml:space="preserve">arba juos likvidavus </w:t>
      </w:r>
      <w:r w:rsidRPr="00E36F2A">
        <w:rPr>
          <w:b/>
          <w:i/>
          <w:szCs w:val="24"/>
        </w:rPr>
        <w:t xml:space="preserve">būtų smarkiai sutrikdytas finansų rinkų veikimas </w:t>
      </w:r>
      <w:r w:rsidR="00544644" w:rsidRPr="00E36F2A">
        <w:rPr>
          <w:b/>
          <w:i/>
          <w:szCs w:val="24"/>
        </w:rPr>
        <w:t xml:space="preserve">Sąjungoje </w:t>
      </w:r>
      <w:r w:rsidRPr="00E36F2A">
        <w:rPr>
          <w:b/>
          <w:i/>
          <w:szCs w:val="24"/>
        </w:rPr>
        <w:t>arba tai sukeltų sisteminę riziką Sąjungos finansų sistemai.</w:t>
      </w:r>
    </w:p>
    <w:p w:rsidR="00636FF7" w:rsidRPr="00E36F2A" w:rsidRDefault="005F45D9" w:rsidP="0068393A">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br w:type="page"/>
      </w:r>
      <w:r w:rsidR="0011573E" w:rsidRPr="00E36F2A">
        <w:rPr>
          <w:b/>
          <w:i/>
          <w:szCs w:val="24"/>
        </w:rPr>
        <w:lastRenderedPageBreak/>
        <w:t>2.</w:t>
      </w:r>
      <w:r w:rsidR="0011573E" w:rsidRPr="00E36F2A">
        <w:rPr>
          <w:b/>
          <w:i/>
          <w:szCs w:val="24"/>
        </w:rPr>
        <w:tab/>
        <w:t>Komisija gali nustatyti vieną ar daugiau pakaitinių lyginamųjų indeksų, jei įvyksta kuris nors iš šių įvykių:</w:t>
      </w:r>
    </w:p>
    <w:p w:rsidR="00636FF7" w:rsidRPr="00E36F2A" w:rsidRDefault="00C318FB" w:rsidP="00AE7BEE">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a)</w:t>
      </w:r>
      <w:r w:rsidRPr="00E36F2A">
        <w:rPr>
          <w:b/>
          <w:i/>
          <w:szCs w:val="24"/>
        </w:rPr>
        <w:tab/>
        <w:t xml:space="preserve">to lyginamojo indekso administratoriaus kompetentinga institucija </w:t>
      </w:r>
      <w:r w:rsidR="00A56938" w:rsidRPr="00E36F2A">
        <w:rPr>
          <w:b/>
          <w:i/>
          <w:szCs w:val="24"/>
        </w:rPr>
        <w:t xml:space="preserve">pateikė viešą pareiškimą </w:t>
      </w:r>
      <w:r w:rsidR="005D3ECC" w:rsidRPr="00E36F2A">
        <w:rPr>
          <w:b/>
          <w:i/>
          <w:szCs w:val="24"/>
        </w:rPr>
        <w:t xml:space="preserve">ar paskelbė informaciją, tokiu būdu </w:t>
      </w:r>
      <w:r w:rsidR="00BD3617" w:rsidRPr="00E36F2A">
        <w:rPr>
          <w:b/>
          <w:i/>
          <w:szCs w:val="24"/>
        </w:rPr>
        <w:t>parei</w:t>
      </w:r>
      <w:r w:rsidR="001A73E7" w:rsidRPr="00E36F2A">
        <w:rPr>
          <w:b/>
          <w:i/>
          <w:szCs w:val="24"/>
        </w:rPr>
        <w:t>kšdama</w:t>
      </w:r>
      <w:r w:rsidR="00BD3617" w:rsidRPr="00E36F2A">
        <w:rPr>
          <w:b/>
          <w:i/>
          <w:szCs w:val="24"/>
        </w:rPr>
        <w:t>,</w:t>
      </w:r>
      <w:r w:rsidRPr="00E36F2A">
        <w:rPr>
          <w:b/>
          <w:i/>
          <w:szCs w:val="24"/>
        </w:rPr>
        <w:t xml:space="preserve"> kad </w:t>
      </w:r>
      <w:r w:rsidR="00BD3617" w:rsidRPr="00E36F2A">
        <w:rPr>
          <w:b/>
          <w:i/>
          <w:szCs w:val="24"/>
        </w:rPr>
        <w:t xml:space="preserve">tas </w:t>
      </w:r>
      <w:r w:rsidRPr="00E36F2A">
        <w:rPr>
          <w:b/>
          <w:i/>
          <w:szCs w:val="24"/>
        </w:rPr>
        <w:t>lyginam</w:t>
      </w:r>
      <w:r w:rsidR="00BD3617" w:rsidRPr="00E36F2A">
        <w:rPr>
          <w:b/>
          <w:i/>
          <w:szCs w:val="24"/>
        </w:rPr>
        <w:t>asis</w:t>
      </w:r>
      <w:r w:rsidRPr="00E36F2A">
        <w:rPr>
          <w:b/>
          <w:i/>
          <w:szCs w:val="24"/>
        </w:rPr>
        <w:t xml:space="preserve"> indeks</w:t>
      </w:r>
      <w:r w:rsidR="00BD3617" w:rsidRPr="00E36F2A">
        <w:rPr>
          <w:b/>
          <w:i/>
          <w:szCs w:val="24"/>
        </w:rPr>
        <w:t>as</w:t>
      </w:r>
      <w:r w:rsidRPr="00E36F2A">
        <w:rPr>
          <w:b/>
          <w:i/>
          <w:szCs w:val="24"/>
        </w:rPr>
        <w:t xml:space="preserve"> </w:t>
      </w:r>
      <w:r w:rsidR="00BD3617" w:rsidRPr="00E36F2A">
        <w:rPr>
          <w:b/>
          <w:i/>
          <w:szCs w:val="24"/>
        </w:rPr>
        <w:t>nebeatspindi</w:t>
      </w:r>
      <w:r w:rsidRPr="00E36F2A">
        <w:rPr>
          <w:b/>
          <w:i/>
          <w:szCs w:val="24"/>
        </w:rPr>
        <w:t xml:space="preserve"> pagrindin</w:t>
      </w:r>
      <w:r w:rsidR="00BD3617" w:rsidRPr="00E36F2A">
        <w:rPr>
          <w:b/>
          <w:i/>
          <w:szCs w:val="24"/>
        </w:rPr>
        <w:t>ės</w:t>
      </w:r>
      <w:r w:rsidRPr="00E36F2A">
        <w:rPr>
          <w:b/>
          <w:i/>
          <w:szCs w:val="24"/>
        </w:rPr>
        <w:t xml:space="preserve"> rink</w:t>
      </w:r>
      <w:r w:rsidR="00BD3617" w:rsidRPr="00E36F2A">
        <w:rPr>
          <w:b/>
          <w:i/>
          <w:szCs w:val="24"/>
        </w:rPr>
        <w:t>os</w:t>
      </w:r>
      <w:r w:rsidRPr="00E36F2A">
        <w:rPr>
          <w:b/>
          <w:i/>
          <w:szCs w:val="24"/>
        </w:rPr>
        <w:t xml:space="preserve"> ar ekonomin</w:t>
      </w:r>
      <w:r w:rsidR="00BD3617" w:rsidRPr="00E36F2A">
        <w:rPr>
          <w:b/>
          <w:i/>
          <w:szCs w:val="24"/>
        </w:rPr>
        <w:t>ių</w:t>
      </w:r>
      <w:r w:rsidRPr="00E36F2A">
        <w:rPr>
          <w:b/>
          <w:i/>
          <w:szCs w:val="24"/>
        </w:rPr>
        <w:t xml:space="preserve"> realij</w:t>
      </w:r>
      <w:r w:rsidR="00BD3617" w:rsidRPr="00E36F2A">
        <w:rPr>
          <w:b/>
          <w:i/>
          <w:szCs w:val="24"/>
        </w:rPr>
        <w:t>ų; lyginamojo indekso, kuris nustatytas kaip ypatingos svarbos indeksas įgyvendinimo aktu, priimtu</w:t>
      </w:r>
      <w:r w:rsidR="008F39AE" w:rsidRPr="00E36F2A">
        <w:rPr>
          <w:b/>
          <w:i/>
          <w:szCs w:val="24"/>
        </w:rPr>
        <w:t xml:space="preserve"> </w:t>
      </w:r>
      <w:r w:rsidR="00BD3617" w:rsidRPr="00E36F2A">
        <w:rPr>
          <w:b/>
          <w:i/>
          <w:szCs w:val="24"/>
        </w:rPr>
        <w:t xml:space="preserve">pagal 20 straipsnio 1 dalies a arba c punktą, atveju </w:t>
      </w:r>
      <w:r w:rsidRPr="00E36F2A">
        <w:rPr>
          <w:b/>
          <w:i/>
          <w:szCs w:val="24"/>
        </w:rPr>
        <w:t xml:space="preserve">kompetentinga institucija </w:t>
      </w:r>
      <w:r w:rsidR="002D1D3D" w:rsidRPr="00E36F2A">
        <w:rPr>
          <w:b/>
          <w:i/>
          <w:szCs w:val="24"/>
        </w:rPr>
        <w:t>paskelbia</w:t>
      </w:r>
      <w:r w:rsidR="00BD3617" w:rsidRPr="00E36F2A">
        <w:rPr>
          <w:b/>
          <w:i/>
          <w:szCs w:val="24"/>
        </w:rPr>
        <w:t xml:space="preserve"> tokį pareiškimą </w:t>
      </w:r>
      <w:r w:rsidRPr="00E36F2A">
        <w:rPr>
          <w:b/>
          <w:i/>
          <w:szCs w:val="24"/>
        </w:rPr>
        <w:t>tik tada, kai buvo pasinaudota 23 straipsnyje nustatytais įgaliojimais, tačiau lyginam</w:t>
      </w:r>
      <w:r w:rsidR="00BD3617" w:rsidRPr="00E36F2A">
        <w:rPr>
          <w:b/>
          <w:i/>
          <w:szCs w:val="24"/>
        </w:rPr>
        <w:t>asis</w:t>
      </w:r>
      <w:r w:rsidRPr="00E36F2A">
        <w:rPr>
          <w:b/>
          <w:i/>
          <w:szCs w:val="24"/>
        </w:rPr>
        <w:t xml:space="preserve"> indeks</w:t>
      </w:r>
      <w:r w:rsidR="00BD3617" w:rsidRPr="00E36F2A">
        <w:rPr>
          <w:b/>
          <w:i/>
          <w:szCs w:val="24"/>
        </w:rPr>
        <w:t>as</w:t>
      </w:r>
      <w:r w:rsidRPr="00E36F2A">
        <w:rPr>
          <w:b/>
          <w:i/>
          <w:szCs w:val="24"/>
        </w:rPr>
        <w:t xml:space="preserve"> </w:t>
      </w:r>
      <w:r w:rsidR="00BD3617" w:rsidRPr="00E36F2A">
        <w:rPr>
          <w:b/>
          <w:i/>
          <w:szCs w:val="24"/>
        </w:rPr>
        <w:t xml:space="preserve">ir toliau neatspindi </w:t>
      </w:r>
      <w:r w:rsidRPr="00E36F2A">
        <w:rPr>
          <w:b/>
          <w:i/>
          <w:szCs w:val="24"/>
        </w:rPr>
        <w:t>pagrindin</w:t>
      </w:r>
      <w:r w:rsidR="00BD3617" w:rsidRPr="00E36F2A">
        <w:rPr>
          <w:b/>
          <w:i/>
          <w:szCs w:val="24"/>
        </w:rPr>
        <w:t>ės</w:t>
      </w:r>
      <w:r w:rsidRPr="00E36F2A">
        <w:rPr>
          <w:b/>
          <w:i/>
          <w:szCs w:val="24"/>
        </w:rPr>
        <w:t xml:space="preserve"> rink</w:t>
      </w:r>
      <w:r w:rsidR="00BD3617" w:rsidRPr="00E36F2A">
        <w:rPr>
          <w:b/>
          <w:i/>
          <w:szCs w:val="24"/>
        </w:rPr>
        <w:t>os</w:t>
      </w:r>
      <w:r w:rsidRPr="00E36F2A">
        <w:rPr>
          <w:b/>
          <w:i/>
          <w:szCs w:val="24"/>
        </w:rPr>
        <w:t xml:space="preserve"> ar ekonomin</w:t>
      </w:r>
      <w:r w:rsidR="00BD3617" w:rsidRPr="00E36F2A">
        <w:rPr>
          <w:b/>
          <w:i/>
          <w:szCs w:val="24"/>
        </w:rPr>
        <w:t>ių</w:t>
      </w:r>
      <w:r w:rsidRPr="00E36F2A">
        <w:rPr>
          <w:b/>
          <w:i/>
          <w:szCs w:val="24"/>
        </w:rPr>
        <w:t xml:space="preserve"> realij</w:t>
      </w:r>
      <w:r w:rsidR="00BD3617" w:rsidRPr="00E36F2A">
        <w:rPr>
          <w:b/>
          <w:i/>
          <w:szCs w:val="24"/>
        </w:rPr>
        <w:t>ų</w:t>
      </w:r>
      <w:r w:rsidRPr="00E36F2A">
        <w:rPr>
          <w:b/>
          <w:i/>
          <w:szCs w:val="24"/>
        </w:rPr>
        <w:t>;</w:t>
      </w:r>
    </w:p>
    <w:p w:rsidR="00636FF7" w:rsidRPr="00E36F2A" w:rsidRDefault="00C318FB" w:rsidP="00544644">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b)</w:t>
      </w:r>
      <w:r w:rsidRPr="00E36F2A">
        <w:rPr>
          <w:b/>
          <w:i/>
          <w:szCs w:val="24"/>
        </w:rPr>
        <w:tab/>
      </w:r>
      <w:r w:rsidR="005D3ECC" w:rsidRPr="00E36F2A">
        <w:rPr>
          <w:b/>
          <w:i/>
          <w:szCs w:val="24"/>
        </w:rPr>
        <w:t xml:space="preserve">to </w:t>
      </w:r>
      <w:r w:rsidRPr="00E36F2A">
        <w:rPr>
          <w:b/>
          <w:i/>
          <w:szCs w:val="24"/>
        </w:rPr>
        <w:t xml:space="preserve">lyginamojo indekso administratorius arba to administratoriaus vardu veikiantis asmuo </w:t>
      </w:r>
      <w:r w:rsidR="002D1D3D" w:rsidRPr="00E36F2A">
        <w:rPr>
          <w:b/>
          <w:i/>
          <w:szCs w:val="24"/>
        </w:rPr>
        <w:t>pa</w:t>
      </w:r>
      <w:r w:rsidR="005D3ECC" w:rsidRPr="00E36F2A">
        <w:rPr>
          <w:b/>
          <w:i/>
          <w:szCs w:val="24"/>
        </w:rPr>
        <w:t>teikė viešą pareiškimą ar paskelbė informaciją, arba toks viešas pareiškimas buvo padarytas ar tokia informacija buvo paskelbta, tokiu būdu pa</w:t>
      </w:r>
      <w:r w:rsidR="002D1D3D" w:rsidRPr="00E36F2A">
        <w:rPr>
          <w:b/>
          <w:i/>
          <w:szCs w:val="24"/>
        </w:rPr>
        <w:t>reišk</w:t>
      </w:r>
      <w:r w:rsidR="005D3ECC" w:rsidRPr="00E36F2A">
        <w:rPr>
          <w:b/>
          <w:i/>
          <w:szCs w:val="24"/>
        </w:rPr>
        <w:t>iant</w:t>
      </w:r>
      <w:r w:rsidRPr="00E36F2A">
        <w:rPr>
          <w:b/>
          <w:i/>
          <w:szCs w:val="24"/>
        </w:rPr>
        <w:t xml:space="preserve">, kad tas administratorius pradės tvarkingo to lyginamojo indekso likvidavimo procesą arba nutrauks </w:t>
      </w:r>
      <w:r w:rsidR="00A548B8" w:rsidRPr="00E36F2A">
        <w:rPr>
          <w:b/>
          <w:i/>
          <w:szCs w:val="24"/>
        </w:rPr>
        <w:t xml:space="preserve">to </w:t>
      </w:r>
      <w:r w:rsidRPr="00E36F2A">
        <w:rPr>
          <w:b/>
          <w:i/>
          <w:szCs w:val="24"/>
        </w:rPr>
        <w:t xml:space="preserve">lyginamojo indekso arba tam tikrų įsipareigojimų vykdymo terminų ar tam tikrų valiutų, kuriomis skaičiuojamas </w:t>
      </w:r>
      <w:r w:rsidR="00544644" w:rsidRPr="00E36F2A">
        <w:rPr>
          <w:b/>
          <w:i/>
          <w:szCs w:val="24"/>
        </w:rPr>
        <w:t xml:space="preserve">tas </w:t>
      </w:r>
      <w:r w:rsidRPr="00E36F2A">
        <w:rPr>
          <w:b/>
          <w:i/>
          <w:szCs w:val="24"/>
        </w:rPr>
        <w:t xml:space="preserve">lyginamasis indeksas, teikimą visam arba neribotam laikui, jei pareiškimo </w:t>
      </w:r>
      <w:r w:rsidR="005D3ECC" w:rsidRPr="00E36F2A">
        <w:rPr>
          <w:b/>
          <w:i/>
          <w:szCs w:val="24"/>
        </w:rPr>
        <w:t xml:space="preserve">pateikimo ar informacijos </w:t>
      </w:r>
      <w:r w:rsidRPr="00E36F2A">
        <w:rPr>
          <w:b/>
          <w:i/>
          <w:szCs w:val="24"/>
        </w:rPr>
        <w:t>paskelbimo metu nėra administratoriaus veiklos perėmėjo, kuris toliau teiktų tą lyginamąjį indeksą;</w:t>
      </w:r>
    </w:p>
    <w:p w:rsidR="005F45D9" w:rsidRPr="00E36F2A" w:rsidRDefault="00AE27A2" w:rsidP="00544644">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br w:type="page"/>
      </w:r>
      <w:r w:rsidR="00C318FB" w:rsidRPr="00E36F2A">
        <w:rPr>
          <w:b/>
          <w:i/>
          <w:szCs w:val="24"/>
        </w:rPr>
        <w:lastRenderedPageBreak/>
        <w:t>c)</w:t>
      </w:r>
      <w:r w:rsidR="00C318FB" w:rsidRPr="00E36F2A">
        <w:rPr>
          <w:b/>
          <w:i/>
          <w:szCs w:val="24"/>
        </w:rPr>
        <w:tab/>
      </w:r>
      <w:r w:rsidR="005D3ECC" w:rsidRPr="00E36F2A">
        <w:rPr>
          <w:b/>
          <w:i/>
          <w:szCs w:val="24"/>
        </w:rPr>
        <w:t xml:space="preserve">to </w:t>
      </w:r>
      <w:r w:rsidR="00C318FB" w:rsidRPr="00E36F2A">
        <w:rPr>
          <w:b/>
          <w:i/>
          <w:szCs w:val="24"/>
        </w:rPr>
        <w:t>lyginamojo indekso administratoriaus kompetentinga institucija arba bet kuris bankroto skelbimo arba pertvarkymo įgaliojimus to</w:t>
      </w:r>
      <w:r w:rsidR="005D3ECC" w:rsidRPr="00E36F2A">
        <w:rPr>
          <w:b/>
          <w:i/>
          <w:szCs w:val="24"/>
        </w:rPr>
        <w:t>kio</w:t>
      </w:r>
      <w:r w:rsidR="002D1D3D" w:rsidRPr="00E36F2A">
        <w:rPr>
          <w:b/>
          <w:i/>
          <w:szCs w:val="24"/>
        </w:rPr>
        <w:t xml:space="preserve"> </w:t>
      </w:r>
      <w:r w:rsidR="00C318FB" w:rsidRPr="00E36F2A">
        <w:rPr>
          <w:b/>
          <w:i/>
          <w:szCs w:val="24"/>
        </w:rPr>
        <w:t xml:space="preserve">administratoriaus atžvilgiu turintis subjektas </w:t>
      </w:r>
      <w:r w:rsidR="005D3ECC" w:rsidRPr="00E36F2A">
        <w:rPr>
          <w:b/>
          <w:i/>
          <w:szCs w:val="24"/>
        </w:rPr>
        <w:t>pateikė viešą pareiškimą ar paskelbė informaciją, tokiu būdu parei</w:t>
      </w:r>
      <w:r w:rsidR="001A73E7" w:rsidRPr="00E36F2A">
        <w:rPr>
          <w:b/>
          <w:i/>
          <w:szCs w:val="24"/>
        </w:rPr>
        <w:t>kšdamas</w:t>
      </w:r>
      <w:r w:rsidR="00C318FB" w:rsidRPr="00E36F2A">
        <w:rPr>
          <w:b/>
          <w:i/>
          <w:szCs w:val="24"/>
        </w:rPr>
        <w:t xml:space="preserve">, kad administratorius pradės tvarkingo to lyginamojo indekso likvidavimo procesą arba nutrauks to lyginamojo indekso arba tam tikrų įsipareigojimų vykdymo terminų ar tam tikrų valiutų, kuriomis skaičiuojamas </w:t>
      </w:r>
      <w:r w:rsidR="00544644" w:rsidRPr="00E36F2A">
        <w:rPr>
          <w:b/>
          <w:i/>
          <w:szCs w:val="24"/>
        </w:rPr>
        <w:t xml:space="preserve">tas </w:t>
      </w:r>
      <w:r w:rsidR="00C318FB" w:rsidRPr="00E36F2A">
        <w:rPr>
          <w:b/>
          <w:i/>
          <w:szCs w:val="24"/>
        </w:rPr>
        <w:t>lyginamasis indeksas, teikimą visam arba neribotam laikui, jei pareiškimo</w:t>
      </w:r>
      <w:r w:rsidR="00B01EF1" w:rsidRPr="00E36F2A">
        <w:rPr>
          <w:b/>
          <w:i/>
          <w:szCs w:val="24"/>
        </w:rPr>
        <w:t xml:space="preserve"> pateikimo ar informacijos</w:t>
      </w:r>
      <w:r w:rsidR="00C318FB" w:rsidRPr="00E36F2A">
        <w:rPr>
          <w:b/>
          <w:i/>
          <w:szCs w:val="24"/>
        </w:rPr>
        <w:t xml:space="preserve"> paskelbimo metu nėra administratoriaus veiklos perėmėjo, kuris toliau teiktų tą lyginamąjį indeksą;</w:t>
      </w:r>
      <w:r w:rsidR="009A6B3A" w:rsidRPr="00E36F2A">
        <w:rPr>
          <w:b/>
          <w:i/>
          <w:szCs w:val="24"/>
        </w:rPr>
        <w:t xml:space="preserve"> arba</w:t>
      </w:r>
    </w:p>
    <w:p w:rsidR="00636FF7" w:rsidRPr="00E36F2A" w:rsidRDefault="005F45D9" w:rsidP="00A553E8">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d) </w:t>
      </w:r>
      <w:r w:rsidRPr="00E36F2A">
        <w:rPr>
          <w:b/>
          <w:i/>
          <w:szCs w:val="24"/>
        </w:rPr>
        <w:tab/>
      </w:r>
      <w:r w:rsidR="00B01EF1" w:rsidRPr="00E36F2A">
        <w:rPr>
          <w:b/>
          <w:i/>
          <w:szCs w:val="24"/>
        </w:rPr>
        <w:t xml:space="preserve">to lyginamojo indekso administratoriaus </w:t>
      </w:r>
      <w:r w:rsidRPr="00E36F2A">
        <w:rPr>
          <w:b/>
          <w:i/>
          <w:szCs w:val="24"/>
        </w:rPr>
        <w:t xml:space="preserve">kompetentinga institucija atšaukia leidimą </w:t>
      </w:r>
      <w:r w:rsidR="00B01EF1" w:rsidRPr="00E36F2A">
        <w:rPr>
          <w:b/>
          <w:i/>
          <w:szCs w:val="24"/>
        </w:rPr>
        <w:t xml:space="preserve">ar sustabdo jo galiojimą </w:t>
      </w:r>
      <w:r w:rsidRPr="00E36F2A">
        <w:rPr>
          <w:b/>
          <w:i/>
          <w:szCs w:val="24"/>
        </w:rPr>
        <w:t>pagal 35 straipsnį</w:t>
      </w:r>
      <w:r w:rsidR="002D1D3D" w:rsidRPr="00E36F2A">
        <w:rPr>
          <w:b/>
          <w:i/>
          <w:szCs w:val="24"/>
        </w:rPr>
        <w:t xml:space="preserve"> arba</w:t>
      </w:r>
      <w:r w:rsidRPr="00E36F2A">
        <w:rPr>
          <w:b/>
          <w:i/>
          <w:szCs w:val="24"/>
        </w:rPr>
        <w:t xml:space="preserve"> atšaukia pripažinimą pagal 32 straipsnio 8 dalį arba </w:t>
      </w:r>
      <w:r w:rsidR="002D1D3D" w:rsidRPr="00E36F2A">
        <w:rPr>
          <w:b/>
          <w:i/>
          <w:szCs w:val="24"/>
        </w:rPr>
        <w:t xml:space="preserve">reikalauja, kad būtų nutrauktas </w:t>
      </w:r>
      <w:r w:rsidRPr="00E36F2A">
        <w:rPr>
          <w:b/>
          <w:i/>
          <w:szCs w:val="24"/>
        </w:rPr>
        <w:t>patvirtinim</w:t>
      </w:r>
      <w:r w:rsidR="002D1D3D" w:rsidRPr="00E36F2A">
        <w:rPr>
          <w:b/>
          <w:i/>
          <w:szCs w:val="24"/>
        </w:rPr>
        <w:t>as</w:t>
      </w:r>
      <w:r w:rsidRPr="00E36F2A">
        <w:rPr>
          <w:b/>
          <w:i/>
          <w:szCs w:val="24"/>
        </w:rPr>
        <w:t xml:space="preserve"> pagal 33 straipsnio 6 dalį, jei atšaukimo</w:t>
      </w:r>
      <w:r w:rsidR="00B01EF1" w:rsidRPr="00E36F2A">
        <w:rPr>
          <w:b/>
          <w:i/>
          <w:szCs w:val="24"/>
        </w:rPr>
        <w:t>,</w:t>
      </w:r>
      <w:r w:rsidRPr="00E36F2A">
        <w:rPr>
          <w:b/>
          <w:i/>
          <w:szCs w:val="24"/>
        </w:rPr>
        <w:t xml:space="preserve"> </w:t>
      </w:r>
      <w:r w:rsidR="00B01EF1" w:rsidRPr="00E36F2A">
        <w:rPr>
          <w:b/>
          <w:i/>
          <w:szCs w:val="24"/>
        </w:rPr>
        <w:t xml:space="preserve">galiojimo sustabdymo ar </w:t>
      </w:r>
      <w:r w:rsidR="00544644" w:rsidRPr="00E36F2A">
        <w:rPr>
          <w:b/>
          <w:i/>
          <w:szCs w:val="24"/>
        </w:rPr>
        <w:t xml:space="preserve">patvirtinimo </w:t>
      </w:r>
      <w:r w:rsidRPr="00E36F2A">
        <w:rPr>
          <w:b/>
          <w:i/>
          <w:szCs w:val="24"/>
        </w:rPr>
        <w:t>nutraukimo metu nėra administratoriaus veiklos perėmėjo, kuris toliau teiktų tą lyginamąjį indeksą</w:t>
      </w:r>
      <w:r w:rsidR="002D1D3D" w:rsidRPr="00E36F2A">
        <w:rPr>
          <w:b/>
          <w:i/>
          <w:szCs w:val="24"/>
        </w:rPr>
        <w:t>,</w:t>
      </w:r>
      <w:r w:rsidR="008F39AE" w:rsidRPr="00E36F2A">
        <w:rPr>
          <w:b/>
          <w:i/>
          <w:szCs w:val="24"/>
        </w:rPr>
        <w:t xml:space="preserve"> </w:t>
      </w:r>
      <w:r w:rsidR="002D1D3D" w:rsidRPr="00E36F2A">
        <w:rPr>
          <w:b/>
          <w:i/>
          <w:szCs w:val="24"/>
        </w:rPr>
        <w:t xml:space="preserve">ir </w:t>
      </w:r>
      <w:r w:rsidR="00A553E8" w:rsidRPr="00E36F2A">
        <w:rPr>
          <w:b/>
          <w:i/>
          <w:szCs w:val="24"/>
        </w:rPr>
        <w:t>jo</w:t>
      </w:r>
      <w:r w:rsidR="002D1D3D" w:rsidRPr="00E36F2A">
        <w:rPr>
          <w:b/>
          <w:i/>
          <w:szCs w:val="24"/>
        </w:rPr>
        <w:t xml:space="preserve"> administratorius pradės tvarkingo to lyginamojo indekso likvidavimo procesą arba nutrauks to lyginamojo indekso arba tam tikrų įsipareigojimų vykdymo terminų ar tam tikrų valiutų, kuriomis skaičiuojamas </w:t>
      </w:r>
      <w:r w:rsidR="00544644" w:rsidRPr="00E36F2A">
        <w:rPr>
          <w:b/>
          <w:i/>
          <w:szCs w:val="24"/>
        </w:rPr>
        <w:t xml:space="preserve">tas </w:t>
      </w:r>
      <w:r w:rsidR="002D1D3D" w:rsidRPr="00E36F2A">
        <w:rPr>
          <w:b/>
          <w:i/>
          <w:szCs w:val="24"/>
        </w:rPr>
        <w:t>lyginamasis indeksas, teikimą visam arba neribotam laikui</w:t>
      </w:r>
      <w:r w:rsidRPr="00E36F2A">
        <w:rPr>
          <w:b/>
          <w:i/>
          <w:szCs w:val="24"/>
        </w:rPr>
        <w:t>.</w:t>
      </w:r>
    </w:p>
    <w:p w:rsidR="007F77EC" w:rsidRPr="00E36F2A" w:rsidRDefault="00AE27A2" w:rsidP="0068393A">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br w:type="page"/>
      </w:r>
      <w:r w:rsidR="009A6B3A" w:rsidRPr="00E36F2A">
        <w:rPr>
          <w:b/>
          <w:i/>
          <w:szCs w:val="24"/>
        </w:rPr>
        <w:lastRenderedPageBreak/>
        <w:t>3</w:t>
      </w:r>
      <w:r w:rsidR="00C318FB" w:rsidRPr="00E36F2A">
        <w:rPr>
          <w:b/>
          <w:i/>
          <w:szCs w:val="24"/>
        </w:rPr>
        <w:t>.</w:t>
      </w:r>
      <w:r w:rsidR="00C318FB" w:rsidRPr="00E36F2A">
        <w:rPr>
          <w:b/>
          <w:i/>
          <w:szCs w:val="24"/>
        </w:rPr>
        <w:tab/>
        <w:t xml:space="preserve">Taikant </w:t>
      </w:r>
      <w:r w:rsidR="00B01EF1" w:rsidRPr="00E36F2A">
        <w:rPr>
          <w:b/>
          <w:i/>
          <w:szCs w:val="24"/>
        </w:rPr>
        <w:t xml:space="preserve">šio straipsnio </w:t>
      </w:r>
      <w:r w:rsidR="009A6B3A" w:rsidRPr="00E36F2A">
        <w:rPr>
          <w:b/>
          <w:i/>
          <w:szCs w:val="24"/>
        </w:rPr>
        <w:t>2</w:t>
      </w:r>
      <w:r w:rsidR="00C318FB" w:rsidRPr="00E36F2A">
        <w:rPr>
          <w:b/>
          <w:i/>
          <w:szCs w:val="24"/>
        </w:rPr>
        <w:t xml:space="preserve"> dalį pakaitinis lyginamasis indeksas pakeičia visas nuorodas į tą lyginamąjį indeksą sutartyse ir finansinėse priemonėse, kaip nurodyta 2</w:t>
      </w:r>
      <w:r w:rsidR="009A6B3A" w:rsidRPr="00E36F2A">
        <w:rPr>
          <w:b/>
          <w:i/>
          <w:szCs w:val="24"/>
        </w:rPr>
        <w:t>3a</w:t>
      </w:r>
      <w:r w:rsidR="00C318FB" w:rsidRPr="00E36F2A">
        <w:rPr>
          <w:b/>
          <w:i/>
          <w:szCs w:val="24"/>
        </w:rPr>
        <w:t xml:space="preserve"> straipsnyje, jei tose </w:t>
      </w:r>
      <w:r w:rsidR="009A6B3A" w:rsidRPr="00E36F2A">
        <w:rPr>
          <w:b/>
          <w:i/>
          <w:szCs w:val="24"/>
        </w:rPr>
        <w:t xml:space="preserve">sutartyse ir finansinėse </w:t>
      </w:r>
      <w:r w:rsidR="00C318FB" w:rsidRPr="00E36F2A">
        <w:rPr>
          <w:b/>
          <w:i/>
          <w:szCs w:val="24"/>
        </w:rPr>
        <w:t>priemonėse:</w:t>
      </w:r>
    </w:p>
    <w:p w:rsidR="007F77EC" w:rsidRPr="00E36F2A" w:rsidRDefault="00C318FB" w:rsidP="0068393A">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a)</w:t>
      </w:r>
      <w:r w:rsidRPr="00E36F2A">
        <w:rPr>
          <w:b/>
          <w:i/>
          <w:szCs w:val="24"/>
        </w:rPr>
        <w:tab/>
        <w:t>nėra nuostatos dėl atsarginės normos arba</w:t>
      </w:r>
    </w:p>
    <w:p w:rsidR="00636FF7" w:rsidRPr="00E36F2A" w:rsidRDefault="00C318FB" w:rsidP="00AE7BEE">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b)</w:t>
      </w:r>
      <w:r w:rsidRPr="00E36F2A">
        <w:rPr>
          <w:b/>
          <w:i/>
          <w:szCs w:val="24"/>
        </w:rPr>
        <w:tab/>
        <w:t>nėra tinkamų nuostatų dėl atsarginės normos.</w:t>
      </w:r>
    </w:p>
    <w:p w:rsidR="00AE27A2" w:rsidRPr="00E36F2A" w:rsidRDefault="009A6B3A" w:rsidP="00AE7BEE">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4</w:t>
      </w:r>
      <w:r w:rsidR="00AE27A2" w:rsidRPr="00E36F2A">
        <w:rPr>
          <w:b/>
          <w:i/>
          <w:szCs w:val="24"/>
        </w:rPr>
        <w:t xml:space="preserve">. </w:t>
      </w:r>
      <w:r w:rsidR="00AE27A2" w:rsidRPr="00E36F2A">
        <w:rPr>
          <w:b/>
          <w:i/>
          <w:szCs w:val="24"/>
        </w:rPr>
        <w:tab/>
        <w:t xml:space="preserve">Taikant </w:t>
      </w:r>
      <w:r w:rsidRPr="00E36F2A">
        <w:rPr>
          <w:b/>
          <w:i/>
          <w:szCs w:val="24"/>
        </w:rPr>
        <w:t>3</w:t>
      </w:r>
      <w:r w:rsidR="00AE27A2" w:rsidRPr="00E36F2A">
        <w:rPr>
          <w:b/>
          <w:i/>
          <w:szCs w:val="24"/>
        </w:rPr>
        <w:t> dalies b punktą nuostata dėl atsarginės normos laikoma netinkama, kai:</w:t>
      </w:r>
    </w:p>
    <w:p w:rsidR="00AE27A2" w:rsidRPr="00E36F2A" w:rsidRDefault="00AE27A2" w:rsidP="00F03867">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a) </w:t>
      </w:r>
      <w:r w:rsidRPr="00E36F2A">
        <w:rPr>
          <w:b/>
          <w:i/>
          <w:szCs w:val="24"/>
        </w:rPr>
        <w:tab/>
        <w:t>joje nenumatoma nu</w:t>
      </w:r>
      <w:r w:rsidR="00544644" w:rsidRPr="00E36F2A">
        <w:rPr>
          <w:b/>
          <w:i/>
          <w:szCs w:val="24"/>
        </w:rPr>
        <w:t xml:space="preserve">olatinio pakaitinio </w:t>
      </w:r>
      <w:r w:rsidRPr="00E36F2A">
        <w:rPr>
          <w:b/>
          <w:i/>
          <w:szCs w:val="24"/>
        </w:rPr>
        <w:t xml:space="preserve">lyginamojo indekso </w:t>
      </w:r>
      <w:r w:rsidR="001A73E7" w:rsidRPr="00E36F2A">
        <w:rPr>
          <w:b/>
          <w:i/>
          <w:szCs w:val="24"/>
        </w:rPr>
        <w:t>naikinamam lyginamajam indeksui,</w:t>
      </w:r>
      <w:r w:rsidRPr="00E36F2A">
        <w:rPr>
          <w:b/>
          <w:i/>
          <w:szCs w:val="24"/>
        </w:rPr>
        <w:t xml:space="preserve"> arba</w:t>
      </w:r>
    </w:p>
    <w:p w:rsidR="00AE27A2" w:rsidRPr="00E36F2A" w:rsidRDefault="00AE27A2" w:rsidP="00544644">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b) </w:t>
      </w:r>
      <w:r w:rsidRPr="00E36F2A">
        <w:rPr>
          <w:b/>
          <w:i/>
          <w:szCs w:val="24"/>
        </w:rPr>
        <w:tab/>
        <w:t>norint taikyti nuostatą dėl atsarginės normos reikia trečiųjų šalių sutikimo, kurio nebuvo gauta</w:t>
      </w:r>
      <w:r w:rsidR="00544644" w:rsidRPr="00E36F2A">
        <w:rPr>
          <w:b/>
          <w:i/>
          <w:szCs w:val="24"/>
        </w:rPr>
        <w:t>,</w:t>
      </w:r>
      <w:r w:rsidRPr="00E36F2A">
        <w:rPr>
          <w:b/>
          <w:i/>
          <w:szCs w:val="24"/>
        </w:rPr>
        <w:t xml:space="preserve"> arba</w:t>
      </w:r>
    </w:p>
    <w:p w:rsidR="00AE27A2" w:rsidRPr="00E36F2A" w:rsidRDefault="00AE27A2" w:rsidP="00544644">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c) </w:t>
      </w:r>
      <w:r w:rsidRPr="00E36F2A">
        <w:rPr>
          <w:b/>
          <w:i/>
          <w:szCs w:val="24"/>
        </w:rPr>
        <w:tab/>
      </w:r>
      <w:r w:rsidR="009C6DF7" w:rsidRPr="00E36F2A">
        <w:rPr>
          <w:b/>
          <w:i/>
          <w:szCs w:val="24"/>
        </w:rPr>
        <w:t xml:space="preserve">ja nustatomas pakaitinis lyginamasis indeksas, kuris nebeatspindi </w:t>
      </w:r>
      <w:r w:rsidRPr="00E36F2A">
        <w:rPr>
          <w:b/>
          <w:i/>
          <w:szCs w:val="24"/>
        </w:rPr>
        <w:t>pagrindinė</w:t>
      </w:r>
      <w:r w:rsidR="009C6DF7" w:rsidRPr="00E36F2A">
        <w:rPr>
          <w:b/>
          <w:i/>
          <w:szCs w:val="24"/>
        </w:rPr>
        <w:t>s</w:t>
      </w:r>
      <w:r w:rsidRPr="00E36F2A">
        <w:rPr>
          <w:b/>
          <w:i/>
          <w:szCs w:val="24"/>
        </w:rPr>
        <w:t xml:space="preserve"> rink</w:t>
      </w:r>
      <w:r w:rsidR="009C6DF7" w:rsidRPr="00E36F2A">
        <w:rPr>
          <w:b/>
          <w:i/>
          <w:szCs w:val="24"/>
        </w:rPr>
        <w:t>os</w:t>
      </w:r>
      <w:r w:rsidRPr="00E36F2A">
        <w:rPr>
          <w:b/>
          <w:i/>
          <w:szCs w:val="24"/>
        </w:rPr>
        <w:t xml:space="preserve"> arba ekonomin</w:t>
      </w:r>
      <w:r w:rsidR="009C6DF7" w:rsidRPr="00E36F2A">
        <w:rPr>
          <w:b/>
          <w:i/>
          <w:szCs w:val="24"/>
        </w:rPr>
        <w:t>ių</w:t>
      </w:r>
      <w:r w:rsidRPr="00E36F2A">
        <w:rPr>
          <w:b/>
          <w:i/>
          <w:szCs w:val="24"/>
        </w:rPr>
        <w:t xml:space="preserve"> realij</w:t>
      </w:r>
      <w:r w:rsidR="009C6DF7" w:rsidRPr="00E36F2A">
        <w:rPr>
          <w:b/>
          <w:i/>
          <w:szCs w:val="24"/>
        </w:rPr>
        <w:t>ų, kuri</w:t>
      </w:r>
      <w:r w:rsidR="00B01EF1" w:rsidRPr="00E36F2A">
        <w:rPr>
          <w:b/>
          <w:i/>
          <w:szCs w:val="24"/>
        </w:rPr>
        <w:t>om</w:t>
      </w:r>
      <w:r w:rsidR="009C6DF7" w:rsidRPr="00E36F2A">
        <w:rPr>
          <w:b/>
          <w:i/>
          <w:szCs w:val="24"/>
        </w:rPr>
        <w:t xml:space="preserve">s </w:t>
      </w:r>
      <w:r w:rsidR="002038B6" w:rsidRPr="00E36F2A">
        <w:rPr>
          <w:b/>
          <w:i/>
          <w:szCs w:val="24"/>
        </w:rPr>
        <w:t>vertinti</w:t>
      </w:r>
      <w:r w:rsidR="00B01EF1" w:rsidRPr="00E36F2A">
        <w:rPr>
          <w:b/>
          <w:i/>
          <w:szCs w:val="24"/>
        </w:rPr>
        <w:t xml:space="preserve"> skirtas </w:t>
      </w:r>
      <w:r w:rsidR="009C6DF7" w:rsidRPr="00E36F2A">
        <w:rPr>
          <w:b/>
          <w:i/>
          <w:szCs w:val="24"/>
        </w:rPr>
        <w:t>naikinamas lyginamasis indeksas,</w:t>
      </w:r>
      <w:r w:rsidRPr="00E36F2A">
        <w:rPr>
          <w:b/>
          <w:i/>
          <w:szCs w:val="24"/>
        </w:rPr>
        <w:t xml:space="preserve"> arba</w:t>
      </w:r>
      <w:r w:rsidR="009C6DF7" w:rsidRPr="00E36F2A">
        <w:rPr>
          <w:b/>
          <w:i/>
          <w:szCs w:val="24"/>
        </w:rPr>
        <w:t xml:space="preserve"> </w:t>
      </w:r>
      <w:r w:rsidR="00B01EF1" w:rsidRPr="00E36F2A">
        <w:rPr>
          <w:b/>
          <w:i/>
          <w:szCs w:val="24"/>
        </w:rPr>
        <w:t xml:space="preserve">kuris </w:t>
      </w:r>
      <w:r w:rsidR="009C6DF7" w:rsidRPr="00E36F2A">
        <w:rPr>
          <w:b/>
          <w:i/>
          <w:szCs w:val="24"/>
        </w:rPr>
        <w:t>reikšmingai nuo jų nukrypsta</w:t>
      </w:r>
      <w:r w:rsidRPr="00E36F2A">
        <w:rPr>
          <w:b/>
          <w:i/>
          <w:szCs w:val="24"/>
        </w:rPr>
        <w:t xml:space="preserve">, </w:t>
      </w:r>
      <w:r w:rsidR="009C6DF7" w:rsidRPr="00E36F2A">
        <w:rPr>
          <w:b/>
          <w:i/>
          <w:szCs w:val="24"/>
        </w:rPr>
        <w:t xml:space="preserve">o jo taikymas </w:t>
      </w:r>
      <w:r w:rsidRPr="00E36F2A">
        <w:rPr>
          <w:b/>
          <w:i/>
          <w:szCs w:val="24"/>
        </w:rPr>
        <w:t>gal</w:t>
      </w:r>
      <w:r w:rsidR="002038B6" w:rsidRPr="00E36F2A">
        <w:rPr>
          <w:b/>
          <w:i/>
          <w:szCs w:val="24"/>
        </w:rPr>
        <w:t>ėtų kelti grėsmę</w:t>
      </w:r>
      <w:r w:rsidRPr="00E36F2A">
        <w:rPr>
          <w:b/>
          <w:i/>
          <w:szCs w:val="24"/>
        </w:rPr>
        <w:t xml:space="preserve"> finansiniam stabilumui.</w:t>
      </w:r>
    </w:p>
    <w:p w:rsidR="00AE27A2" w:rsidRPr="00E36F2A" w:rsidRDefault="0068393A" w:rsidP="00F03867">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br w:type="page"/>
      </w:r>
      <w:r w:rsidR="009A6B3A" w:rsidRPr="00E36F2A">
        <w:rPr>
          <w:b/>
          <w:i/>
          <w:szCs w:val="24"/>
        </w:rPr>
        <w:lastRenderedPageBreak/>
        <w:t>5</w:t>
      </w:r>
      <w:r w:rsidR="00AE27A2" w:rsidRPr="00E36F2A">
        <w:rPr>
          <w:b/>
          <w:i/>
          <w:szCs w:val="24"/>
        </w:rPr>
        <w:t xml:space="preserve">. </w:t>
      </w:r>
      <w:r w:rsidR="00AE27A2" w:rsidRPr="00E36F2A">
        <w:rPr>
          <w:b/>
          <w:i/>
          <w:szCs w:val="24"/>
        </w:rPr>
        <w:tab/>
      </w:r>
      <w:r w:rsidR="00F03867" w:rsidRPr="00E36F2A">
        <w:rPr>
          <w:b/>
          <w:i/>
          <w:szCs w:val="24"/>
        </w:rPr>
        <w:t xml:space="preserve">Pakaitinis lyginamasis indeksas, nustatytas kaip sutartinė </w:t>
      </w:r>
      <w:r w:rsidR="002611B4" w:rsidRPr="00E36F2A">
        <w:rPr>
          <w:b/>
          <w:i/>
          <w:szCs w:val="24"/>
        </w:rPr>
        <w:t>atsarginė norm</w:t>
      </w:r>
      <w:r w:rsidR="00F03867" w:rsidRPr="00E36F2A">
        <w:rPr>
          <w:b/>
          <w:i/>
          <w:szCs w:val="24"/>
        </w:rPr>
        <w:t>a,</w:t>
      </w:r>
      <w:r w:rsidR="002611B4" w:rsidRPr="00E36F2A">
        <w:rPr>
          <w:b/>
          <w:i/>
          <w:szCs w:val="24"/>
        </w:rPr>
        <w:t xml:space="preserve"> nebeatspindi pagrindinės rinkos arba ekonominių realijų, kuri</w:t>
      </w:r>
      <w:r w:rsidR="002038B6" w:rsidRPr="00E36F2A">
        <w:rPr>
          <w:b/>
          <w:i/>
          <w:szCs w:val="24"/>
        </w:rPr>
        <w:t>oms vertinti skirtas</w:t>
      </w:r>
      <w:r w:rsidR="002611B4" w:rsidRPr="00E36F2A">
        <w:rPr>
          <w:b/>
          <w:i/>
          <w:szCs w:val="24"/>
        </w:rPr>
        <w:t xml:space="preserve"> naikinamas lyginamasis indeksas, arba reikšmingai nuo jų nukrypsta, o tai gal</w:t>
      </w:r>
      <w:r w:rsidR="002038B6" w:rsidRPr="00E36F2A">
        <w:rPr>
          <w:b/>
          <w:i/>
          <w:szCs w:val="24"/>
        </w:rPr>
        <w:t>ėtų</w:t>
      </w:r>
      <w:r w:rsidR="002611B4" w:rsidRPr="00E36F2A">
        <w:rPr>
          <w:b/>
          <w:i/>
          <w:szCs w:val="24"/>
        </w:rPr>
        <w:t xml:space="preserve"> turėti neigiamo poveikio finansiniam stabilumui, kai:</w:t>
      </w:r>
    </w:p>
    <w:p w:rsidR="00AE27A2" w:rsidRPr="00E36F2A" w:rsidRDefault="00AE27A2" w:rsidP="00F03867">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 xml:space="preserve">a) </w:t>
      </w:r>
      <w:r w:rsidRPr="00E36F2A">
        <w:rPr>
          <w:b/>
          <w:i/>
          <w:szCs w:val="24"/>
        </w:rPr>
        <w:tab/>
      </w:r>
      <w:r w:rsidR="0016722A" w:rsidRPr="00E36F2A">
        <w:rPr>
          <w:b/>
          <w:i/>
          <w:szCs w:val="24"/>
        </w:rPr>
        <w:t>tai nustat</w:t>
      </w:r>
      <w:r w:rsidR="00F03867" w:rsidRPr="00E36F2A">
        <w:rPr>
          <w:b/>
          <w:i/>
          <w:szCs w:val="24"/>
        </w:rPr>
        <w:t>ė atitinkama nacionalinė institucija</w:t>
      </w:r>
      <w:r w:rsidR="0090164E" w:rsidRPr="00E36F2A">
        <w:rPr>
          <w:b/>
          <w:i/>
          <w:szCs w:val="24"/>
        </w:rPr>
        <w:t>,</w:t>
      </w:r>
      <w:r w:rsidR="00F03867" w:rsidRPr="00E36F2A">
        <w:rPr>
          <w:b/>
          <w:i/>
          <w:szCs w:val="24"/>
        </w:rPr>
        <w:t xml:space="preserve"> </w:t>
      </w:r>
      <w:r w:rsidR="0016722A" w:rsidRPr="00E36F2A">
        <w:rPr>
          <w:b/>
          <w:i/>
          <w:szCs w:val="24"/>
        </w:rPr>
        <w:t>rem</w:t>
      </w:r>
      <w:r w:rsidR="00F03867" w:rsidRPr="00E36F2A">
        <w:rPr>
          <w:b/>
          <w:i/>
          <w:szCs w:val="24"/>
        </w:rPr>
        <w:t>damasi</w:t>
      </w:r>
      <w:r w:rsidRPr="00E36F2A">
        <w:rPr>
          <w:b/>
          <w:i/>
          <w:szCs w:val="24"/>
        </w:rPr>
        <w:t xml:space="preserve"> horizontaliu konkrečios rūšies sutartinio sandorio vertinimu, kuris buvo atliktas </w:t>
      </w:r>
      <w:r w:rsidR="002038B6" w:rsidRPr="00E36F2A">
        <w:rPr>
          <w:b/>
          <w:i/>
          <w:szCs w:val="24"/>
        </w:rPr>
        <w:t xml:space="preserve">bent </w:t>
      </w:r>
      <w:r w:rsidRPr="00E36F2A">
        <w:rPr>
          <w:b/>
          <w:i/>
          <w:szCs w:val="24"/>
        </w:rPr>
        <w:t>vienos suinteresuot</w:t>
      </w:r>
      <w:r w:rsidR="002038B6" w:rsidRPr="00E36F2A">
        <w:rPr>
          <w:b/>
          <w:i/>
          <w:szCs w:val="24"/>
        </w:rPr>
        <w:t>osios</w:t>
      </w:r>
      <w:r w:rsidRPr="00E36F2A">
        <w:rPr>
          <w:b/>
          <w:i/>
          <w:szCs w:val="24"/>
        </w:rPr>
        <w:t xml:space="preserve"> šali</w:t>
      </w:r>
      <w:r w:rsidR="002038B6" w:rsidRPr="00E36F2A">
        <w:rPr>
          <w:b/>
          <w:i/>
          <w:szCs w:val="24"/>
        </w:rPr>
        <w:t>es</w:t>
      </w:r>
      <w:r w:rsidRPr="00E36F2A">
        <w:rPr>
          <w:b/>
          <w:i/>
          <w:szCs w:val="24"/>
        </w:rPr>
        <w:t xml:space="preserve"> pagrįstu prašymu, pasikonsultavus su atitinkamais suinteresuotaisiais subjektais</w:t>
      </w:r>
      <w:r w:rsidR="0016722A" w:rsidRPr="00E36F2A">
        <w:rPr>
          <w:b/>
          <w:i/>
          <w:szCs w:val="24"/>
        </w:rPr>
        <w:t>;</w:t>
      </w:r>
    </w:p>
    <w:p w:rsidR="008F39AE" w:rsidRPr="00E36F2A" w:rsidRDefault="008F39AE">
      <w:pPr>
        <w:spacing w:before="0" w:after="200" w:line="276" w:lineRule="auto"/>
        <w:rPr>
          <w:b/>
          <w:i/>
          <w:szCs w:val="24"/>
        </w:rPr>
      </w:pPr>
      <w:r w:rsidRPr="00E36F2A">
        <w:rPr>
          <w:b/>
          <w:i/>
          <w:szCs w:val="24"/>
        </w:rPr>
        <w:br w:type="page"/>
      </w:r>
    </w:p>
    <w:p w:rsidR="00AE27A2" w:rsidRPr="00E36F2A" w:rsidRDefault="00AE27A2" w:rsidP="00F03867">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lastRenderedPageBreak/>
        <w:t>b)</w:t>
      </w:r>
      <w:r w:rsidRPr="00E36F2A">
        <w:rPr>
          <w:b/>
          <w:i/>
          <w:szCs w:val="24"/>
        </w:rPr>
        <w:tab/>
      </w:r>
      <w:r w:rsidR="00F03867" w:rsidRPr="00E36F2A">
        <w:rPr>
          <w:b/>
          <w:i/>
          <w:szCs w:val="24"/>
        </w:rPr>
        <w:t xml:space="preserve">tai nustatyta </w:t>
      </w:r>
      <w:r w:rsidRPr="00E36F2A">
        <w:rPr>
          <w:b/>
          <w:i/>
          <w:szCs w:val="24"/>
        </w:rPr>
        <w:t xml:space="preserve">atlikus vertinimą pagal a punktą, viena iš sutarties </w:t>
      </w:r>
      <w:r w:rsidR="002038B6" w:rsidRPr="00E36F2A">
        <w:rPr>
          <w:b/>
          <w:i/>
          <w:szCs w:val="24"/>
        </w:rPr>
        <w:t xml:space="preserve">ar finansinės priemonės </w:t>
      </w:r>
      <w:r w:rsidRPr="00E36F2A">
        <w:rPr>
          <w:b/>
          <w:i/>
          <w:szCs w:val="24"/>
        </w:rPr>
        <w:t xml:space="preserve">šalių </w:t>
      </w:r>
      <w:r w:rsidR="0016722A" w:rsidRPr="00E36F2A">
        <w:rPr>
          <w:b/>
          <w:i/>
          <w:szCs w:val="24"/>
        </w:rPr>
        <w:t>pareiškė prieštaravimą</w:t>
      </w:r>
      <w:r w:rsidRPr="00E36F2A">
        <w:rPr>
          <w:b/>
          <w:i/>
          <w:szCs w:val="24"/>
        </w:rPr>
        <w:t xml:space="preserve"> sutartyje numatytai nuostatai dėl atsarginės normos ne vėliau kaip likus trims mėnesiams iki lyginamojo indekso </w:t>
      </w:r>
      <w:r w:rsidR="0016722A" w:rsidRPr="00E36F2A">
        <w:rPr>
          <w:b/>
          <w:i/>
          <w:szCs w:val="24"/>
        </w:rPr>
        <w:t xml:space="preserve">teikimo </w:t>
      </w:r>
      <w:r w:rsidRPr="00E36F2A">
        <w:rPr>
          <w:b/>
          <w:i/>
          <w:szCs w:val="24"/>
        </w:rPr>
        <w:t>nutraukimo</w:t>
      </w:r>
      <w:r w:rsidR="00F03867" w:rsidRPr="00E36F2A">
        <w:rPr>
          <w:b/>
          <w:i/>
          <w:szCs w:val="24"/>
        </w:rPr>
        <w:t>,</w:t>
      </w:r>
      <w:r w:rsidR="0016722A" w:rsidRPr="00E36F2A">
        <w:rPr>
          <w:b/>
          <w:i/>
          <w:szCs w:val="24"/>
        </w:rPr>
        <w:t xml:space="preserve"> ir</w:t>
      </w:r>
    </w:p>
    <w:p w:rsidR="00AE27A2" w:rsidRPr="00E36F2A" w:rsidRDefault="00AE27A2" w:rsidP="005F60F1">
      <w:pPr>
        <w:pStyle w:val="Point2lett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c)</w:t>
      </w:r>
      <w:r w:rsidRPr="00E36F2A">
        <w:rPr>
          <w:b/>
          <w:i/>
          <w:szCs w:val="24"/>
        </w:rPr>
        <w:tab/>
      </w:r>
      <w:r w:rsidR="0016722A" w:rsidRPr="00E36F2A">
        <w:rPr>
          <w:b/>
          <w:i/>
          <w:szCs w:val="24"/>
        </w:rPr>
        <w:t xml:space="preserve">po </w:t>
      </w:r>
      <w:r w:rsidR="00380C6C" w:rsidRPr="00E36F2A">
        <w:rPr>
          <w:b/>
          <w:i/>
          <w:szCs w:val="24"/>
        </w:rPr>
        <w:t xml:space="preserve">b punkte nurodyto prieštaravimo </w:t>
      </w:r>
      <w:r w:rsidR="0016722A" w:rsidRPr="00E36F2A">
        <w:rPr>
          <w:b/>
          <w:i/>
          <w:szCs w:val="24"/>
        </w:rPr>
        <w:t>pareiškimo</w:t>
      </w:r>
      <w:r w:rsidR="00380C6C" w:rsidRPr="00E36F2A">
        <w:rPr>
          <w:b/>
          <w:i/>
          <w:szCs w:val="24"/>
        </w:rPr>
        <w:t xml:space="preserve"> </w:t>
      </w:r>
      <w:r w:rsidRPr="00E36F2A">
        <w:rPr>
          <w:b/>
          <w:i/>
          <w:szCs w:val="24"/>
        </w:rPr>
        <w:t xml:space="preserve">sutarties </w:t>
      </w:r>
      <w:r w:rsidR="002038B6" w:rsidRPr="00E36F2A">
        <w:rPr>
          <w:b/>
          <w:i/>
          <w:szCs w:val="24"/>
        </w:rPr>
        <w:t xml:space="preserve">ar finansinės priemonės </w:t>
      </w:r>
      <w:r w:rsidRPr="00E36F2A">
        <w:rPr>
          <w:b/>
          <w:i/>
          <w:szCs w:val="24"/>
        </w:rPr>
        <w:t>šalys nesutarė dėl alternatyv</w:t>
      </w:r>
      <w:r w:rsidR="00F03867" w:rsidRPr="00E36F2A">
        <w:rPr>
          <w:b/>
          <w:i/>
          <w:szCs w:val="24"/>
        </w:rPr>
        <w:t xml:space="preserve">aus </w:t>
      </w:r>
      <w:r w:rsidR="005F60F1" w:rsidRPr="00E36F2A">
        <w:rPr>
          <w:b/>
          <w:i/>
          <w:szCs w:val="24"/>
        </w:rPr>
        <w:t>pakaitinio lyginamojo indekso</w:t>
      </w:r>
      <w:r w:rsidRPr="00E36F2A">
        <w:rPr>
          <w:b/>
          <w:i/>
          <w:szCs w:val="24"/>
        </w:rPr>
        <w:t xml:space="preserve"> ne vėliau kaip likus vienai darbo dienai iki </w:t>
      </w:r>
      <w:r w:rsidR="00F03867" w:rsidRPr="00E36F2A">
        <w:rPr>
          <w:b/>
          <w:i/>
          <w:szCs w:val="24"/>
        </w:rPr>
        <w:t xml:space="preserve">to </w:t>
      </w:r>
      <w:r w:rsidRPr="00E36F2A">
        <w:rPr>
          <w:b/>
          <w:i/>
          <w:szCs w:val="24"/>
        </w:rPr>
        <w:t xml:space="preserve">lyginamojo indekso </w:t>
      </w:r>
      <w:r w:rsidR="0016722A" w:rsidRPr="00E36F2A">
        <w:rPr>
          <w:b/>
          <w:i/>
          <w:szCs w:val="24"/>
        </w:rPr>
        <w:t xml:space="preserve">teikimo </w:t>
      </w:r>
      <w:r w:rsidRPr="00E36F2A">
        <w:rPr>
          <w:b/>
          <w:i/>
          <w:szCs w:val="24"/>
        </w:rPr>
        <w:t>nutraukimo.</w:t>
      </w:r>
    </w:p>
    <w:p w:rsidR="00AE27A2" w:rsidRPr="00E36F2A" w:rsidRDefault="0068393A" w:rsidP="0068393A">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br w:type="page"/>
      </w:r>
      <w:r w:rsidR="009A6B3A" w:rsidRPr="00E36F2A">
        <w:rPr>
          <w:b/>
          <w:i/>
          <w:szCs w:val="24"/>
        </w:rPr>
        <w:lastRenderedPageBreak/>
        <w:t>6</w:t>
      </w:r>
      <w:r w:rsidR="00AE27A2" w:rsidRPr="00E36F2A">
        <w:rPr>
          <w:b/>
          <w:i/>
          <w:szCs w:val="24"/>
        </w:rPr>
        <w:t xml:space="preserve">. </w:t>
      </w:r>
      <w:r w:rsidR="00AE27A2" w:rsidRPr="00E36F2A">
        <w:rPr>
          <w:b/>
          <w:i/>
          <w:szCs w:val="24"/>
        </w:rPr>
        <w:tab/>
      </w:r>
      <w:r w:rsidR="002038B6" w:rsidRPr="00E36F2A">
        <w:rPr>
          <w:b/>
          <w:i/>
          <w:szCs w:val="24"/>
        </w:rPr>
        <w:t xml:space="preserve">Taikant </w:t>
      </w:r>
      <w:r w:rsidR="009A6B3A" w:rsidRPr="00E36F2A">
        <w:rPr>
          <w:b/>
          <w:i/>
          <w:szCs w:val="24"/>
        </w:rPr>
        <w:t>4</w:t>
      </w:r>
      <w:r w:rsidR="00AE27A2" w:rsidRPr="00E36F2A">
        <w:rPr>
          <w:b/>
          <w:i/>
          <w:szCs w:val="24"/>
        </w:rPr>
        <w:t xml:space="preserve"> dalies c punktą atitinkama </w:t>
      </w:r>
      <w:r w:rsidR="009A6B3A" w:rsidRPr="00E36F2A">
        <w:rPr>
          <w:b/>
          <w:i/>
          <w:szCs w:val="24"/>
        </w:rPr>
        <w:t xml:space="preserve">nacionalinė </w:t>
      </w:r>
      <w:r w:rsidR="00AE27A2" w:rsidRPr="00E36F2A">
        <w:rPr>
          <w:b/>
          <w:i/>
          <w:szCs w:val="24"/>
        </w:rPr>
        <w:t>institucija nepagrįstai nedelsdama informuoja Komisiją ir ESMA apie savo vertinimą</w:t>
      </w:r>
      <w:r w:rsidR="009A6B3A" w:rsidRPr="00E36F2A">
        <w:rPr>
          <w:b/>
          <w:i/>
          <w:szCs w:val="24"/>
        </w:rPr>
        <w:t>, nurodytą 5 dalies a punkte</w:t>
      </w:r>
      <w:r w:rsidR="00AE27A2" w:rsidRPr="00E36F2A">
        <w:rPr>
          <w:b/>
          <w:i/>
          <w:szCs w:val="24"/>
        </w:rPr>
        <w:t>. Jei vertinimas gali daryti poveikį daugiau kaip vienos valstybės narės subjektams, visų tų valstybių narių atitinkamos institucijos kartu vykdo vertinimą ir paskelbia jo rezultatus.</w:t>
      </w:r>
    </w:p>
    <w:p w:rsidR="00AE27A2" w:rsidRPr="00E36F2A" w:rsidRDefault="009A6B3A" w:rsidP="00AE7BEE">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7</w:t>
      </w:r>
      <w:r w:rsidR="00AE27A2" w:rsidRPr="00E36F2A">
        <w:rPr>
          <w:b/>
          <w:i/>
          <w:szCs w:val="24"/>
        </w:rPr>
        <w:t xml:space="preserve">. </w:t>
      </w:r>
      <w:r w:rsidR="00AE27A2" w:rsidRPr="00E36F2A">
        <w:rPr>
          <w:b/>
          <w:i/>
          <w:szCs w:val="24"/>
        </w:rPr>
        <w:tab/>
        <w:t xml:space="preserve">Valstybės narės paskiria atitinkamą instituciją, galinčią atlikti vertinimą pagal </w:t>
      </w:r>
      <w:r w:rsidRPr="00E36F2A">
        <w:rPr>
          <w:b/>
          <w:i/>
          <w:szCs w:val="24"/>
        </w:rPr>
        <w:t>5</w:t>
      </w:r>
      <w:r w:rsidR="00AE27A2" w:rsidRPr="00E36F2A">
        <w:rPr>
          <w:b/>
          <w:i/>
          <w:szCs w:val="24"/>
        </w:rPr>
        <w:t xml:space="preserve"> dalies </w:t>
      </w:r>
      <w:r w:rsidRPr="00E36F2A">
        <w:rPr>
          <w:b/>
          <w:i/>
          <w:szCs w:val="24"/>
        </w:rPr>
        <w:t>a</w:t>
      </w:r>
      <w:r w:rsidR="00AE27A2" w:rsidRPr="00E36F2A">
        <w:rPr>
          <w:b/>
          <w:i/>
          <w:szCs w:val="24"/>
        </w:rPr>
        <w:t xml:space="preserve"> punktą. Valstybės narės informuoja Komisiją ir ESMA apie paskirtas </w:t>
      </w:r>
      <w:r w:rsidR="003A29B3" w:rsidRPr="00E36F2A">
        <w:rPr>
          <w:b/>
          <w:i/>
          <w:szCs w:val="24"/>
        </w:rPr>
        <w:t xml:space="preserve">atitinkamas </w:t>
      </w:r>
      <w:r w:rsidR="00AE27A2" w:rsidRPr="00E36F2A">
        <w:rPr>
          <w:b/>
          <w:i/>
          <w:szCs w:val="24"/>
        </w:rPr>
        <w:t>institucijas ne vėliau kaip ... [šeši mėnesiai po šio iš dalies keičiančio reglamento įsigaliojimo dienos].</w:t>
      </w:r>
    </w:p>
    <w:p w:rsidR="00F47178" w:rsidRPr="00E36F2A" w:rsidRDefault="009A6B3A" w:rsidP="0068393A">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8</w:t>
      </w:r>
      <w:r w:rsidR="003A7D60" w:rsidRPr="00E36F2A">
        <w:rPr>
          <w:b/>
          <w:i/>
          <w:szCs w:val="24"/>
        </w:rPr>
        <w:t>.</w:t>
      </w:r>
      <w:r w:rsidR="003A7D60" w:rsidRPr="00E36F2A">
        <w:rPr>
          <w:b/>
          <w:i/>
          <w:szCs w:val="24"/>
        </w:rPr>
        <w:tab/>
        <w:t xml:space="preserve">Komisija, laikydamasi 50 straipsnio 2 dalyje nurodytos nagrinėjimo procedūros, priima įgyvendinimo aktus, kuriais nustato vieną ar daugiau pakaitinių lyginamųjų indeksų, kai </w:t>
      </w:r>
      <w:r w:rsidRPr="00E36F2A">
        <w:rPr>
          <w:b/>
          <w:i/>
          <w:szCs w:val="24"/>
        </w:rPr>
        <w:t xml:space="preserve">įvyksta bet </w:t>
      </w:r>
      <w:r w:rsidR="003A29B3" w:rsidRPr="00E36F2A">
        <w:rPr>
          <w:b/>
          <w:i/>
          <w:szCs w:val="24"/>
        </w:rPr>
        <w:t>kuris</w:t>
      </w:r>
      <w:r w:rsidRPr="00E36F2A">
        <w:rPr>
          <w:b/>
          <w:i/>
          <w:szCs w:val="24"/>
        </w:rPr>
        <w:t xml:space="preserve"> </w:t>
      </w:r>
      <w:r w:rsidR="003A7D60" w:rsidRPr="00E36F2A">
        <w:rPr>
          <w:b/>
          <w:i/>
          <w:szCs w:val="24"/>
        </w:rPr>
        <w:t xml:space="preserve">iš </w:t>
      </w:r>
      <w:r w:rsidR="002038B6" w:rsidRPr="00E36F2A">
        <w:rPr>
          <w:b/>
          <w:i/>
          <w:szCs w:val="24"/>
        </w:rPr>
        <w:t xml:space="preserve">šio straipsnio </w:t>
      </w:r>
      <w:r w:rsidRPr="00E36F2A">
        <w:rPr>
          <w:b/>
          <w:i/>
          <w:szCs w:val="24"/>
        </w:rPr>
        <w:t>2</w:t>
      </w:r>
      <w:r w:rsidR="003A7D60" w:rsidRPr="00E36F2A">
        <w:rPr>
          <w:b/>
          <w:i/>
          <w:szCs w:val="24"/>
        </w:rPr>
        <w:t xml:space="preserve"> dalyje</w:t>
      </w:r>
      <w:r w:rsidRPr="00E36F2A">
        <w:rPr>
          <w:b/>
          <w:i/>
          <w:szCs w:val="24"/>
        </w:rPr>
        <w:t xml:space="preserve"> </w:t>
      </w:r>
      <w:r w:rsidR="003A29B3" w:rsidRPr="00E36F2A">
        <w:rPr>
          <w:b/>
          <w:i/>
          <w:szCs w:val="24"/>
        </w:rPr>
        <w:t>nurodytų</w:t>
      </w:r>
      <w:r w:rsidRPr="00E36F2A">
        <w:rPr>
          <w:b/>
          <w:i/>
          <w:szCs w:val="24"/>
        </w:rPr>
        <w:t xml:space="preserve"> </w:t>
      </w:r>
      <w:r w:rsidR="002038B6" w:rsidRPr="00E36F2A">
        <w:rPr>
          <w:b/>
          <w:i/>
          <w:szCs w:val="24"/>
        </w:rPr>
        <w:t>įvykių</w:t>
      </w:r>
      <w:r w:rsidR="003A7D60" w:rsidRPr="00E36F2A">
        <w:rPr>
          <w:b/>
          <w:i/>
          <w:szCs w:val="24"/>
        </w:rPr>
        <w:t xml:space="preserve">. </w:t>
      </w:r>
    </w:p>
    <w:p w:rsidR="00F47178" w:rsidRPr="00E36F2A" w:rsidRDefault="0068393A" w:rsidP="0043395A">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br w:type="page"/>
      </w:r>
      <w:r w:rsidR="009A6B3A" w:rsidRPr="00E36F2A">
        <w:rPr>
          <w:b/>
          <w:i/>
          <w:szCs w:val="24"/>
        </w:rPr>
        <w:lastRenderedPageBreak/>
        <w:t>9</w:t>
      </w:r>
      <w:r w:rsidR="003A7D60" w:rsidRPr="00E36F2A">
        <w:rPr>
          <w:b/>
          <w:i/>
          <w:szCs w:val="24"/>
        </w:rPr>
        <w:t>.</w:t>
      </w:r>
      <w:r w:rsidR="003A7D60" w:rsidRPr="00E36F2A">
        <w:rPr>
          <w:b/>
          <w:i/>
          <w:szCs w:val="24"/>
        </w:rPr>
        <w:tab/>
        <w:t>Į įgyvendinimo aktą</w:t>
      </w:r>
      <w:r w:rsidR="003A29B3" w:rsidRPr="00E36F2A">
        <w:rPr>
          <w:b/>
          <w:i/>
          <w:szCs w:val="24"/>
        </w:rPr>
        <w:t>, kaip nurodyta 8 dalyje,</w:t>
      </w:r>
      <w:r w:rsidR="003A7D60" w:rsidRPr="00E36F2A">
        <w:rPr>
          <w:b/>
          <w:i/>
          <w:szCs w:val="24"/>
        </w:rPr>
        <w:t xml:space="preserve"> </w:t>
      </w:r>
      <w:r w:rsidR="003A29B3" w:rsidRPr="00E36F2A">
        <w:rPr>
          <w:b/>
          <w:i/>
          <w:szCs w:val="24"/>
        </w:rPr>
        <w:t xml:space="preserve">įtraukiami </w:t>
      </w:r>
      <w:r w:rsidR="003A7D60" w:rsidRPr="00E36F2A">
        <w:rPr>
          <w:b/>
          <w:i/>
          <w:szCs w:val="24"/>
        </w:rPr>
        <w:t>šie elementai:</w:t>
      </w:r>
    </w:p>
    <w:p w:rsidR="00F47178" w:rsidRPr="00E36F2A" w:rsidRDefault="00F47178" w:rsidP="00675398">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a)</w:t>
      </w:r>
      <w:r w:rsidRPr="00E36F2A">
        <w:rPr>
          <w:b/>
          <w:i/>
          <w:szCs w:val="24"/>
        </w:rPr>
        <w:tab/>
        <w:t>lyginamojo indekso pakeitimas</w:t>
      </w:r>
      <w:r w:rsidR="009A6B3A" w:rsidRPr="00E36F2A">
        <w:rPr>
          <w:b/>
          <w:i/>
          <w:szCs w:val="24"/>
        </w:rPr>
        <w:t xml:space="preserve"> arba </w:t>
      </w:r>
      <w:r w:rsidR="003A29B3" w:rsidRPr="00E36F2A">
        <w:rPr>
          <w:b/>
          <w:i/>
          <w:szCs w:val="24"/>
        </w:rPr>
        <w:t>pakaitiniai lyginamieji indeksai</w:t>
      </w:r>
      <w:r w:rsidRPr="00E36F2A">
        <w:rPr>
          <w:b/>
          <w:i/>
          <w:szCs w:val="24"/>
        </w:rPr>
        <w:t>;</w:t>
      </w:r>
    </w:p>
    <w:p w:rsidR="00F47178" w:rsidRPr="00E36F2A" w:rsidRDefault="00F47178" w:rsidP="00675398">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b)</w:t>
      </w:r>
      <w:r w:rsidRPr="00E36F2A">
        <w:rPr>
          <w:b/>
          <w:i/>
          <w:szCs w:val="24"/>
        </w:rPr>
        <w:tab/>
        <w:t>maržos koregavimas, įskaitant tokio maržos koregavimo nustatymo metodą, kuris turi būti taikomas panaikinamą lyginamąjį indeksą pakeisiančiam indeksui kiekvienos konkrečios sąlygos pakeitimo dieną, siekiant atsižvelgti į perėjimo arba lyginamojo indekso, kuris turi būti likviduojamas, pakeitimo pakaitiniu lyginamuoju indeksu poveikį;</w:t>
      </w:r>
    </w:p>
    <w:p w:rsidR="00F47178" w:rsidRPr="00E36F2A" w:rsidRDefault="00F47178" w:rsidP="005F60F1">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c)</w:t>
      </w:r>
      <w:r w:rsidRPr="00E36F2A">
        <w:rPr>
          <w:b/>
          <w:i/>
          <w:szCs w:val="24"/>
        </w:rPr>
        <w:tab/>
        <w:t>atitinkami esminiai atitikties pakeitimai, susiję su pakaitinio lyginamojo indekso naudojimu ar taikymu ir pagrįstai tam būtini</w:t>
      </w:r>
      <w:r w:rsidR="005F60F1" w:rsidRPr="00E36F2A">
        <w:rPr>
          <w:b/>
          <w:i/>
          <w:szCs w:val="24"/>
        </w:rPr>
        <w:t>,</w:t>
      </w:r>
      <w:r w:rsidRPr="00E36F2A">
        <w:rPr>
          <w:b/>
          <w:i/>
          <w:szCs w:val="24"/>
        </w:rPr>
        <w:t xml:space="preserve"> </w:t>
      </w:r>
      <w:r w:rsidR="009A6B3A" w:rsidRPr="00E36F2A">
        <w:rPr>
          <w:b/>
          <w:i/>
          <w:szCs w:val="24"/>
        </w:rPr>
        <w:t>ir</w:t>
      </w:r>
    </w:p>
    <w:p w:rsidR="00F47178" w:rsidRPr="00E36F2A" w:rsidRDefault="00F47178" w:rsidP="00675398">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d)</w:t>
      </w:r>
      <w:r w:rsidRPr="00E36F2A">
        <w:rPr>
          <w:b/>
          <w:i/>
          <w:szCs w:val="24"/>
        </w:rPr>
        <w:tab/>
        <w:t xml:space="preserve">data, nuo kurios taikomas </w:t>
      </w:r>
      <w:r w:rsidR="003A29B3" w:rsidRPr="00E36F2A">
        <w:rPr>
          <w:b/>
          <w:i/>
          <w:szCs w:val="24"/>
        </w:rPr>
        <w:t>lyginamojo indekso pakeitimas arba pakaitiniai lyginamieji indeksai</w:t>
      </w:r>
      <w:r w:rsidRPr="00E36F2A">
        <w:rPr>
          <w:b/>
          <w:i/>
          <w:szCs w:val="24"/>
        </w:rPr>
        <w:t>.</w:t>
      </w:r>
    </w:p>
    <w:p w:rsidR="008F39AE" w:rsidRPr="00E36F2A" w:rsidRDefault="008F39AE">
      <w:pPr>
        <w:spacing w:before="0" w:after="200" w:line="276" w:lineRule="auto"/>
        <w:rPr>
          <w:b/>
          <w:i/>
          <w:szCs w:val="24"/>
        </w:rPr>
      </w:pPr>
      <w:r w:rsidRPr="00E36F2A">
        <w:rPr>
          <w:b/>
          <w:i/>
          <w:szCs w:val="24"/>
        </w:rPr>
        <w:br w:type="page"/>
      </w:r>
    </w:p>
    <w:p w:rsidR="00DC77CB" w:rsidRPr="00E36F2A" w:rsidRDefault="009A6B3A" w:rsidP="00AD1CEF">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lastRenderedPageBreak/>
        <w:t>10.</w:t>
      </w:r>
      <w:r w:rsidRPr="00E36F2A">
        <w:rPr>
          <w:b/>
          <w:i/>
          <w:szCs w:val="24"/>
        </w:rPr>
        <w:tab/>
      </w:r>
      <w:r w:rsidR="00675398" w:rsidRPr="00E36F2A">
        <w:rPr>
          <w:b/>
          <w:i/>
          <w:szCs w:val="24"/>
        </w:rPr>
        <w:t>Priimdama įgyvendinimo aktą</w:t>
      </w:r>
      <w:r w:rsidR="003A29B3" w:rsidRPr="00E36F2A">
        <w:rPr>
          <w:b/>
          <w:i/>
          <w:szCs w:val="24"/>
        </w:rPr>
        <w:t>,</w:t>
      </w:r>
      <w:r w:rsidRPr="00E36F2A">
        <w:rPr>
          <w:b/>
          <w:i/>
          <w:szCs w:val="24"/>
        </w:rPr>
        <w:t xml:space="preserve"> kaip nurodyta 8 dalyje</w:t>
      </w:r>
      <w:r w:rsidR="00675398" w:rsidRPr="00E36F2A">
        <w:rPr>
          <w:b/>
          <w:i/>
          <w:szCs w:val="24"/>
        </w:rPr>
        <w:t xml:space="preserve">, Komisija atsižvelgia į </w:t>
      </w:r>
      <w:r w:rsidR="00A548B8" w:rsidRPr="00E36F2A">
        <w:rPr>
          <w:b/>
          <w:i/>
          <w:szCs w:val="24"/>
        </w:rPr>
        <w:t xml:space="preserve">esamas </w:t>
      </w:r>
      <w:r w:rsidR="00675398" w:rsidRPr="00E36F2A">
        <w:rPr>
          <w:b/>
          <w:i/>
          <w:szCs w:val="24"/>
        </w:rPr>
        <w:t>rekomendacijas dėl pakaitinio lyginamojo indekso</w:t>
      </w:r>
      <w:r w:rsidR="0090164E" w:rsidRPr="00E36F2A">
        <w:rPr>
          <w:b/>
          <w:i/>
          <w:szCs w:val="24"/>
        </w:rPr>
        <w:t xml:space="preserve"> ir rekomendacijas dėl</w:t>
      </w:r>
      <w:r w:rsidR="00675398" w:rsidRPr="00E36F2A">
        <w:rPr>
          <w:b/>
          <w:i/>
          <w:szCs w:val="24"/>
        </w:rPr>
        <w:t xml:space="preserve"> </w:t>
      </w:r>
      <w:r w:rsidR="003A29B3" w:rsidRPr="00E36F2A">
        <w:rPr>
          <w:b/>
          <w:i/>
          <w:szCs w:val="24"/>
        </w:rPr>
        <w:t xml:space="preserve">atitinkamų </w:t>
      </w:r>
      <w:r w:rsidR="00675398" w:rsidRPr="00E36F2A">
        <w:rPr>
          <w:b/>
          <w:i/>
          <w:szCs w:val="24"/>
        </w:rPr>
        <w:t>atitikties pakeitimų</w:t>
      </w:r>
      <w:r w:rsidR="00A548B8" w:rsidRPr="00E36F2A">
        <w:rPr>
          <w:b/>
          <w:i/>
          <w:szCs w:val="24"/>
        </w:rPr>
        <w:t xml:space="preserve"> </w:t>
      </w:r>
      <w:r w:rsidR="0090164E" w:rsidRPr="00E36F2A">
        <w:rPr>
          <w:b/>
          <w:i/>
          <w:szCs w:val="24"/>
        </w:rPr>
        <w:t>bei</w:t>
      </w:r>
      <w:r w:rsidR="00A548B8" w:rsidRPr="00E36F2A">
        <w:rPr>
          <w:b/>
          <w:i/>
          <w:szCs w:val="24"/>
        </w:rPr>
        <w:t xml:space="preserve"> maržos koregavimo</w:t>
      </w:r>
      <w:r w:rsidR="00675398" w:rsidRPr="00E36F2A">
        <w:rPr>
          <w:b/>
          <w:i/>
          <w:szCs w:val="24"/>
        </w:rPr>
        <w:t xml:space="preserve">, </w:t>
      </w:r>
      <w:r w:rsidR="00A548B8" w:rsidRPr="00E36F2A">
        <w:rPr>
          <w:b/>
          <w:i/>
          <w:szCs w:val="24"/>
        </w:rPr>
        <w:t xml:space="preserve">kuriuos atlieka </w:t>
      </w:r>
      <w:r w:rsidR="00675398" w:rsidRPr="00E36F2A">
        <w:rPr>
          <w:b/>
          <w:i/>
          <w:szCs w:val="24"/>
        </w:rPr>
        <w:t>centrini</w:t>
      </w:r>
      <w:r w:rsidR="00A548B8" w:rsidRPr="00E36F2A">
        <w:rPr>
          <w:b/>
          <w:i/>
          <w:szCs w:val="24"/>
        </w:rPr>
        <w:t>s</w:t>
      </w:r>
      <w:r w:rsidR="00675398" w:rsidRPr="00E36F2A">
        <w:rPr>
          <w:b/>
          <w:i/>
          <w:szCs w:val="24"/>
        </w:rPr>
        <w:t xml:space="preserve"> bank</w:t>
      </w:r>
      <w:r w:rsidR="00A548B8" w:rsidRPr="00E36F2A">
        <w:rPr>
          <w:b/>
          <w:i/>
          <w:szCs w:val="24"/>
        </w:rPr>
        <w:t>as</w:t>
      </w:r>
      <w:r w:rsidR="00675398" w:rsidRPr="00E36F2A">
        <w:rPr>
          <w:b/>
          <w:i/>
          <w:szCs w:val="24"/>
        </w:rPr>
        <w:t>, atsaking</w:t>
      </w:r>
      <w:r w:rsidR="00A548B8" w:rsidRPr="00E36F2A">
        <w:rPr>
          <w:b/>
          <w:i/>
          <w:szCs w:val="24"/>
        </w:rPr>
        <w:t>as</w:t>
      </w:r>
      <w:r w:rsidR="00675398" w:rsidRPr="00E36F2A">
        <w:rPr>
          <w:b/>
          <w:i/>
          <w:szCs w:val="24"/>
        </w:rPr>
        <w:t xml:space="preserve"> už valiutos zoną, kurioje likviduojamas atitinkamas lyginamasis indeksas, arba alternatyvi</w:t>
      </w:r>
      <w:r w:rsidR="003A29B3" w:rsidRPr="00E36F2A">
        <w:rPr>
          <w:b/>
          <w:i/>
          <w:szCs w:val="24"/>
        </w:rPr>
        <w:t>os</w:t>
      </w:r>
      <w:r w:rsidR="00675398" w:rsidRPr="00E36F2A">
        <w:rPr>
          <w:b/>
          <w:i/>
          <w:szCs w:val="24"/>
        </w:rPr>
        <w:t xml:space="preserve"> palūkanų normos darbo grupė, veikian</w:t>
      </w:r>
      <w:r w:rsidR="00A548B8" w:rsidRPr="00E36F2A">
        <w:rPr>
          <w:b/>
          <w:i/>
          <w:szCs w:val="24"/>
        </w:rPr>
        <w:t>ti</w:t>
      </w:r>
      <w:r w:rsidR="00675398" w:rsidRPr="00E36F2A">
        <w:rPr>
          <w:b/>
          <w:i/>
          <w:szCs w:val="24"/>
        </w:rPr>
        <w:t xml:space="preserve"> </w:t>
      </w:r>
      <w:r w:rsidR="00A548B8" w:rsidRPr="00E36F2A">
        <w:rPr>
          <w:b/>
          <w:i/>
          <w:szCs w:val="24"/>
        </w:rPr>
        <w:t xml:space="preserve">prižiūrint </w:t>
      </w:r>
      <w:r w:rsidR="00675398" w:rsidRPr="00E36F2A">
        <w:rPr>
          <w:b/>
          <w:i/>
          <w:szCs w:val="24"/>
        </w:rPr>
        <w:t>valdžios institucijoms arba centriniam bankui. Prieš priimdama įgyvendinimo aktą, Komisija surengia viešas konsultacijas ir atsižvelgia į kitų susijusių suinteresuotųjų subjektų, įskaitant lyginamojo indekso administratoriaus kompetentingas institucijas ir ESMA, rekomendacijas.</w:t>
      </w:r>
    </w:p>
    <w:p w:rsidR="00F47178" w:rsidRPr="00E36F2A" w:rsidRDefault="009A6B3A" w:rsidP="00AE7BEE">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11</w:t>
      </w:r>
      <w:r w:rsidR="004F2FE6" w:rsidRPr="00E36F2A">
        <w:rPr>
          <w:b/>
          <w:i/>
          <w:szCs w:val="24"/>
        </w:rPr>
        <w:t>.</w:t>
      </w:r>
      <w:r w:rsidR="004F2FE6" w:rsidRPr="00E36F2A">
        <w:rPr>
          <w:b/>
          <w:i/>
          <w:szCs w:val="24"/>
        </w:rPr>
        <w:tab/>
        <w:t xml:space="preserve">Nepaisant šio straipsnio </w:t>
      </w:r>
      <w:r w:rsidRPr="00E36F2A">
        <w:rPr>
          <w:b/>
          <w:i/>
          <w:szCs w:val="24"/>
        </w:rPr>
        <w:t>5</w:t>
      </w:r>
      <w:r w:rsidR="004F2FE6" w:rsidRPr="00E36F2A">
        <w:rPr>
          <w:b/>
          <w:i/>
          <w:szCs w:val="24"/>
        </w:rPr>
        <w:t xml:space="preserve"> dalies c punkto, pagal šio straipsnio </w:t>
      </w:r>
      <w:r w:rsidRPr="00E36F2A">
        <w:rPr>
          <w:b/>
          <w:i/>
          <w:szCs w:val="24"/>
        </w:rPr>
        <w:t>2</w:t>
      </w:r>
      <w:r w:rsidR="004F2FE6" w:rsidRPr="00E36F2A">
        <w:rPr>
          <w:b/>
          <w:i/>
          <w:szCs w:val="24"/>
        </w:rPr>
        <w:t xml:space="preserve"> dalį Komisijos nustatytas pakaitinis lyginamasis indeksas netaikomas, kai visos šalys arba reikalaujama sutarties ar finansinės priemonės, </w:t>
      </w:r>
      <w:r w:rsidRPr="00E36F2A">
        <w:rPr>
          <w:b/>
          <w:i/>
          <w:szCs w:val="24"/>
        </w:rPr>
        <w:t>nurodytos 23a straipsnyje</w:t>
      </w:r>
      <w:r w:rsidR="004F2FE6" w:rsidRPr="00E36F2A">
        <w:rPr>
          <w:b/>
          <w:i/>
          <w:szCs w:val="24"/>
        </w:rPr>
        <w:t xml:space="preserve">, </w:t>
      </w:r>
      <w:r w:rsidR="00D913B7" w:rsidRPr="00E36F2A">
        <w:rPr>
          <w:b/>
          <w:i/>
          <w:szCs w:val="24"/>
        </w:rPr>
        <w:t xml:space="preserve">šalių </w:t>
      </w:r>
      <w:r w:rsidR="004F2FE6" w:rsidRPr="00E36F2A">
        <w:rPr>
          <w:b/>
          <w:i/>
          <w:szCs w:val="24"/>
        </w:rPr>
        <w:t>dauguma sutinka taikyti kitą pakaitinį lyginamąjį indeksą prieš įgyvendinimo akt</w:t>
      </w:r>
      <w:r w:rsidR="00D913B7" w:rsidRPr="00E36F2A">
        <w:rPr>
          <w:b/>
          <w:i/>
          <w:szCs w:val="24"/>
        </w:rPr>
        <w:t>o</w:t>
      </w:r>
      <w:r w:rsidRPr="00E36F2A">
        <w:rPr>
          <w:b/>
          <w:i/>
          <w:szCs w:val="24"/>
        </w:rPr>
        <w:t>, nurodyt</w:t>
      </w:r>
      <w:r w:rsidR="00D913B7" w:rsidRPr="00E36F2A">
        <w:rPr>
          <w:b/>
          <w:i/>
          <w:szCs w:val="24"/>
        </w:rPr>
        <w:t>o</w:t>
      </w:r>
      <w:r w:rsidRPr="00E36F2A">
        <w:rPr>
          <w:b/>
          <w:i/>
          <w:szCs w:val="24"/>
        </w:rPr>
        <w:t xml:space="preserve"> šio straipsnio 8 dalyje,</w:t>
      </w:r>
      <w:r w:rsidR="004F2FE6" w:rsidRPr="00E36F2A">
        <w:rPr>
          <w:b/>
          <w:i/>
          <w:szCs w:val="24"/>
        </w:rPr>
        <w:t xml:space="preserve"> </w:t>
      </w:r>
      <w:r w:rsidR="00D913B7" w:rsidRPr="00E36F2A">
        <w:rPr>
          <w:b/>
          <w:i/>
          <w:szCs w:val="24"/>
        </w:rPr>
        <w:t xml:space="preserve">taikymo pradžios datą </w:t>
      </w:r>
      <w:r w:rsidR="004F2FE6" w:rsidRPr="00E36F2A">
        <w:rPr>
          <w:b/>
          <w:i/>
          <w:szCs w:val="24"/>
        </w:rPr>
        <w:t xml:space="preserve">arba </w:t>
      </w:r>
      <w:r w:rsidR="00D913B7" w:rsidRPr="00E36F2A">
        <w:rPr>
          <w:b/>
          <w:i/>
          <w:szCs w:val="24"/>
        </w:rPr>
        <w:t>po jos</w:t>
      </w:r>
      <w:r w:rsidR="004F2FE6" w:rsidRPr="00E36F2A">
        <w:rPr>
          <w:b/>
          <w:i/>
          <w:szCs w:val="24"/>
        </w:rPr>
        <w:t xml:space="preserve">. </w:t>
      </w:r>
    </w:p>
    <w:p w:rsidR="008F39AE" w:rsidRPr="00E36F2A" w:rsidRDefault="008F39AE">
      <w:pPr>
        <w:spacing w:before="0" w:after="200" w:line="276" w:lineRule="auto"/>
        <w:rPr>
          <w:b/>
          <w:i/>
          <w:szCs w:val="24"/>
        </w:rPr>
      </w:pPr>
      <w:r w:rsidRPr="00E36F2A">
        <w:rPr>
          <w:b/>
          <w:i/>
          <w:szCs w:val="24"/>
        </w:rPr>
        <w:br w:type="page"/>
      </w:r>
    </w:p>
    <w:p w:rsidR="00F47178" w:rsidRPr="00E36F2A" w:rsidRDefault="00F47178" w:rsidP="00675398">
      <w:pPr>
        <w:pStyle w:val="Point1number"/>
        <w:numPr>
          <w:ilvl w:val="0"/>
          <w:numId w:val="0"/>
        </w:numPr>
        <w:tabs>
          <w:tab w:val="left" w:pos="851"/>
          <w:tab w:val="left" w:pos="1418"/>
          <w:tab w:val="left" w:pos="1985"/>
          <w:tab w:val="left" w:pos="2552"/>
        </w:tabs>
        <w:spacing w:line="360" w:lineRule="auto"/>
        <w:ind w:left="851"/>
        <w:rPr>
          <w:b/>
          <w:i/>
          <w:szCs w:val="24"/>
        </w:rPr>
      </w:pPr>
      <w:r w:rsidRPr="00E36F2A">
        <w:rPr>
          <w:b/>
          <w:i/>
          <w:szCs w:val="24"/>
        </w:rPr>
        <w:lastRenderedPageBreak/>
        <w:t>23</w:t>
      </w:r>
      <w:r w:rsidR="009A6B3A" w:rsidRPr="00E36F2A">
        <w:rPr>
          <w:b/>
          <w:i/>
          <w:szCs w:val="24"/>
        </w:rPr>
        <w:t>c</w:t>
      </w:r>
      <w:r w:rsidRPr="00E36F2A">
        <w:rPr>
          <w:b/>
          <w:i/>
          <w:szCs w:val="24"/>
        </w:rPr>
        <w:t xml:space="preserve"> straipsnis</w:t>
      </w:r>
      <w:r w:rsidRPr="00E36F2A">
        <w:rPr>
          <w:b/>
          <w:i/>
          <w:szCs w:val="24"/>
        </w:rPr>
        <w:br/>
        <w:t xml:space="preserve">Lyginamojo indekso pakeitimas nacionalinės teisės aktais </w:t>
      </w:r>
    </w:p>
    <w:p w:rsidR="00F47178" w:rsidRPr="00E36F2A" w:rsidRDefault="00F47178" w:rsidP="00AE7BEE">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1.</w:t>
      </w:r>
      <w:r w:rsidRPr="00E36F2A">
        <w:rPr>
          <w:b/>
          <w:i/>
          <w:szCs w:val="24"/>
        </w:rPr>
        <w:tab/>
        <w:t>Valstybės narės nacionalinė kompetentinga institucija, kurioje yra dauguma mokėtojų, gali nustatyti vieną ar daugiau pakaitinių lyginamųjų indeksų</w:t>
      </w:r>
      <w:r w:rsidR="001F7A21" w:rsidRPr="00E36F2A">
        <w:rPr>
          <w:b/>
          <w:i/>
          <w:szCs w:val="24"/>
        </w:rPr>
        <w:t xml:space="preserve">, kaip nurodyta </w:t>
      </w:r>
      <w:r w:rsidRPr="00E36F2A">
        <w:rPr>
          <w:b/>
          <w:i/>
          <w:szCs w:val="24"/>
        </w:rPr>
        <w:t>20 straipsnio 1 dalies b punkt</w:t>
      </w:r>
      <w:r w:rsidR="001F7A21" w:rsidRPr="00E36F2A">
        <w:rPr>
          <w:b/>
          <w:i/>
          <w:szCs w:val="24"/>
        </w:rPr>
        <w:t>e</w:t>
      </w:r>
      <w:r w:rsidRPr="00E36F2A">
        <w:rPr>
          <w:b/>
          <w:i/>
          <w:szCs w:val="24"/>
        </w:rPr>
        <w:t>, jei įvyksta kuris nors iš šių įvykių:</w:t>
      </w:r>
    </w:p>
    <w:p w:rsidR="00F47178" w:rsidRPr="00E36F2A" w:rsidRDefault="00F47178" w:rsidP="00AE7BEE">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a)</w:t>
      </w:r>
      <w:r w:rsidRPr="00E36F2A">
        <w:rPr>
          <w:b/>
          <w:i/>
          <w:szCs w:val="24"/>
        </w:rPr>
        <w:tab/>
        <w:t xml:space="preserve">to lyginamojo indekso administratoriaus kompetentinga institucija </w:t>
      </w:r>
      <w:r w:rsidR="001F7A21" w:rsidRPr="00E36F2A">
        <w:rPr>
          <w:b/>
          <w:i/>
          <w:szCs w:val="24"/>
        </w:rPr>
        <w:t>pa</w:t>
      </w:r>
      <w:r w:rsidR="00A548B8" w:rsidRPr="00E36F2A">
        <w:rPr>
          <w:b/>
          <w:i/>
          <w:szCs w:val="24"/>
        </w:rPr>
        <w:t>teikė viešą pa</w:t>
      </w:r>
      <w:r w:rsidR="001F7A21" w:rsidRPr="00E36F2A">
        <w:rPr>
          <w:b/>
          <w:i/>
          <w:szCs w:val="24"/>
        </w:rPr>
        <w:t>reišk</w:t>
      </w:r>
      <w:r w:rsidR="00A548B8" w:rsidRPr="00E36F2A">
        <w:rPr>
          <w:b/>
          <w:i/>
          <w:szCs w:val="24"/>
        </w:rPr>
        <w:t>imą ar paskelb</w:t>
      </w:r>
      <w:r w:rsidR="001F7A21" w:rsidRPr="00E36F2A">
        <w:rPr>
          <w:b/>
          <w:i/>
          <w:szCs w:val="24"/>
        </w:rPr>
        <w:t>ė</w:t>
      </w:r>
      <w:r w:rsidR="00A548B8" w:rsidRPr="00E36F2A">
        <w:rPr>
          <w:b/>
          <w:i/>
          <w:szCs w:val="24"/>
        </w:rPr>
        <w:t xml:space="preserve"> informaciją</w:t>
      </w:r>
      <w:r w:rsidR="001F7A21" w:rsidRPr="00E36F2A">
        <w:rPr>
          <w:b/>
          <w:i/>
          <w:szCs w:val="24"/>
        </w:rPr>
        <w:t xml:space="preserve">, </w:t>
      </w:r>
      <w:r w:rsidR="00A548B8" w:rsidRPr="00E36F2A">
        <w:rPr>
          <w:b/>
          <w:i/>
          <w:szCs w:val="24"/>
        </w:rPr>
        <w:t>tokiu būdu parei</w:t>
      </w:r>
      <w:r w:rsidR="0090164E" w:rsidRPr="00E36F2A">
        <w:rPr>
          <w:b/>
          <w:i/>
          <w:szCs w:val="24"/>
        </w:rPr>
        <w:t>kšdama</w:t>
      </w:r>
      <w:r w:rsidR="00A548B8" w:rsidRPr="00E36F2A">
        <w:rPr>
          <w:b/>
          <w:i/>
          <w:szCs w:val="24"/>
        </w:rPr>
        <w:t xml:space="preserve">, </w:t>
      </w:r>
      <w:r w:rsidRPr="00E36F2A">
        <w:rPr>
          <w:b/>
          <w:i/>
          <w:szCs w:val="24"/>
        </w:rPr>
        <w:t xml:space="preserve">kad </w:t>
      </w:r>
      <w:r w:rsidR="001F7A21" w:rsidRPr="00E36F2A">
        <w:rPr>
          <w:b/>
          <w:i/>
          <w:szCs w:val="24"/>
        </w:rPr>
        <w:t xml:space="preserve">tas </w:t>
      </w:r>
      <w:r w:rsidRPr="00E36F2A">
        <w:rPr>
          <w:b/>
          <w:i/>
          <w:szCs w:val="24"/>
        </w:rPr>
        <w:t>lyginam</w:t>
      </w:r>
      <w:r w:rsidR="001F7A21" w:rsidRPr="00E36F2A">
        <w:rPr>
          <w:b/>
          <w:i/>
          <w:szCs w:val="24"/>
        </w:rPr>
        <w:t>asis</w:t>
      </w:r>
      <w:r w:rsidRPr="00E36F2A">
        <w:rPr>
          <w:b/>
          <w:i/>
          <w:szCs w:val="24"/>
        </w:rPr>
        <w:t xml:space="preserve"> indeks</w:t>
      </w:r>
      <w:r w:rsidR="001F7A21" w:rsidRPr="00E36F2A">
        <w:rPr>
          <w:b/>
          <w:i/>
          <w:szCs w:val="24"/>
        </w:rPr>
        <w:t>as</w:t>
      </w:r>
      <w:r w:rsidRPr="00E36F2A">
        <w:rPr>
          <w:b/>
          <w:i/>
          <w:szCs w:val="24"/>
        </w:rPr>
        <w:t xml:space="preserve"> </w:t>
      </w:r>
      <w:r w:rsidR="001F7A21" w:rsidRPr="00E36F2A">
        <w:rPr>
          <w:b/>
          <w:i/>
          <w:szCs w:val="24"/>
        </w:rPr>
        <w:t>nebeatspindi</w:t>
      </w:r>
      <w:r w:rsidRPr="00E36F2A">
        <w:rPr>
          <w:b/>
          <w:i/>
          <w:szCs w:val="24"/>
        </w:rPr>
        <w:t xml:space="preserve"> pagrindin</w:t>
      </w:r>
      <w:r w:rsidR="001F7A21" w:rsidRPr="00E36F2A">
        <w:rPr>
          <w:b/>
          <w:i/>
          <w:szCs w:val="24"/>
        </w:rPr>
        <w:t>ės</w:t>
      </w:r>
      <w:r w:rsidRPr="00E36F2A">
        <w:rPr>
          <w:b/>
          <w:i/>
          <w:szCs w:val="24"/>
        </w:rPr>
        <w:t xml:space="preserve"> rink</w:t>
      </w:r>
      <w:r w:rsidR="001F7A21" w:rsidRPr="00E36F2A">
        <w:rPr>
          <w:b/>
          <w:i/>
          <w:szCs w:val="24"/>
        </w:rPr>
        <w:t>os</w:t>
      </w:r>
      <w:r w:rsidRPr="00E36F2A">
        <w:rPr>
          <w:b/>
          <w:i/>
          <w:szCs w:val="24"/>
        </w:rPr>
        <w:t xml:space="preserve"> ar ekonomin</w:t>
      </w:r>
      <w:r w:rsidR="001F7A21" w:rsidRPr="00E36F2A">
        <w:rPr>
          <w:b/>
          <w:i/>
          <w:szCs w:val="24"/>
        </w:rPr>
        <w:t>ių</w:t>
      </w:r>
      <w:r w:rsidRPr="00E36F2A">
        <w:rPr>
          <w:b/>
          <w:i/>
          <w:szCs w:val="24"/>
        </w:rPr>
        <w:t xml:space="preserve"> realij</w:t>
      </w:r>
      <w:r w:rsidR="001F7A21" w:rsidRPr="00E36F2A">
        <w:rPr>
          <w:b/>
          <w:i/>
          <w:szCs w:val="24"/>
        </w:rPr>
        <w:t>ų;</w:t>
      </w:r>
      <w:r w:rsidRPr="00E36F2A">
        <w:rPr>
          <w:b/>
          <w:i/>
          <w:szCs w:val="24"/>
        </w:rPr>
        <w:t xml:space="preserve"> kompetentinga institucija </w:t>
      </w:r>
      <w:r w:rsidR="001F7A21" w:rsidRPr="00E36F2A">
        <w:rPr>
          <w:b/>
          <w:i/>
          <w:szCs w:val="24"/>
        </w:rPr>
        <w:t xml:space="preserve">paskelbia tokį pareiškimą </w:t>
      </w:r>
      <w:r w:rsidRPr="00E36F2A">
        <w:rPr>
          <w:b/>
          <w:i/>
          <w:szCs w:val="24"/>
        </w:rPr>
        <w:t xml:space="preserve">tik tada, kai </w:t>
      </w:r>
      <w:r w:rsidR="001F7A21" w:rsidRPr="00E36F2A">
        <w:rPr>
          <w:b/>
          <w:i/>
          <w:szCs w:val="24"/>
        </w:rPr>
        <w:t xml:space="preserve">pasinaudojus </w:t>
      </w:r>
      <w:r w:rsidRPr="00E36F2A">
        <w:rPr>
          <w:b/>
          <w:i/>
          <w:szCs w:val="24"/>
        </w:rPr>
        <w:t xml:space="preserve">23 straipsnyje nustatytais įgaliojimais, </w:t>
      </w:r>
      <w:r w:rsidR="001F7A21" w:rsidRPr="00E36F2A">
        <w:rPr>
          <w:b/>
          <w:i/>
          <w:szCs w:val="24"/>
        </w:rPr>
        <w:t>tas</w:t>
      </w:r>
      <w:r w:rsidRPr="00E36F2A">
        <w:rPr>
          <w:b/>
          <w:i/>
          <w:szCs w:val="24"/>
        </w:rPr>
        <w:t xml:space="preserve"> lyginam</w:t>
      </w:r>
      <w:r w:rsidR="001F7A21" w:rsidRPr="00E36F2A">
        <w:rPr>
          <w:b/>
          <w:i/>
          <w:szCs w:val="24"/>
        </w:rPr>
        <w:t>asis</w:t>
      </w:r>
      <w:r w:rsidRPr="00E36F2A">
        <w:rPr>
          <w:b/>
          <w:i/>
          <w:szCs w:val="24"/>
        </w:rPr>
        <w:t xml:space="preserve"> indeks</w:t>
      </w:r>
      <w:r w:rsidR="001F7A21" w:rsidRPr="00E36F2A">
        <w:rPr>
          <w:b/>
          <w:i/>
          <w:szCs w:val="24"/>
        </w:rPr>
        <w:t>as</w:t>
      </w:r>
      <w:r w:rsidRPr="00E36F2A">
        <w:rPr>
          <w:b/>
          <w:i/>
          <w:szCs w:val="24"/>
        </w:rPr>
        <w:t xml:space="preserve"> </w:t>
      </w:r>
      <w:r w:rsidR="001F7A21" w:rsidRPr="00E36F2A">
        <w:rPr>
          <w:b/>
          <w:i/>
          <w:szCs w:val="24"/>
        </w:rPr>
        <w:t>ir toliau neatspindi</w:t>
      </w:r>
      <w:r w:rsidRPr="00E36F2A">
        <w:rPr>
          <w:b/>
          <w:i/>
          <w:szCs w:val="24"/>
        </w:rPr>
        <w:t xml:space="preserve"> pagrindin</w:t>
      </w:r>
      <w:r w:rsidR="001F7A21" w:rsidRPr="00E36F2A">
        <w:rPr>
          <w:b/>
          <w:i/>
          <w:szCs w:val="24"/>
        </w:rPr>
        <w:t>ės</w:t>
      </w:r>
      <w:r w:rsidRPr="00E36F2A">
        <w:rPr>
          <w:b/>
          <w:i/>
          <w:szCs w:val="24"/>
        </w:rPr>
        <w:t xml:space="preserve"> rink</w:t>
      </w:r>
      <w:r w:rsidR="001F7A21" w:rsidRPr="00E36F2A">
        <w:rPr>
          <w:b/>
          <w:i/>
          <w:szCs w:val="24"/>
        </w:rPr>
        <w:t>os</w:t>
      </w:r>
      <w:r w:rsidRPr="00E36F2A">
        <w:rPr>
          <w:b/>
          <w:i/>
          <w:szCs w:val="24"/>
        </w:rPr>
        <w:t xml:space="preserve"> arba ekonomin</w:t>
      </w:r>
      <w:r w:rsidR="001F7A21" w:rsidRPr="00E36F2A">
        <w:rPr>
          <w:b/>
          <w:i/>
          <w:szCs w:val="24"/>
        </w:rPr>
        <w:t>ių</w:t>
      </w:r>
      <w:r w:rsidRPr="00E36F2A">
        <w:rPr>
          <w:b/>
          <w:i/>
          <w:szCs w:val="24"/>
        </w:rPr>
        <w:t xml:space="preserve"> realij</w:t>
      </w:r>
      <w:r w:rsidR="001F7A21" w:rsidRPr="00E36F2A">
        <w:rPr>
          <w:b/>
          <w:i/>
          <w:szCs w:val="24"/>
        </w:rPr>
        <w:t>ų</w:t>
      </w:r>
      <w:r w:rsidRPr="00E36F2A">
        <w:rPr>
          <w:b/>
          <w:i/>
          <w:szCs w:val="24"/>
        </w:rPr>
        <w:t>;</w:t>
      </w:r>
    </w:p>
    <w:p w:rsidR="00F47178" w:rsidRPr="00E36F2A" w:rsidRDefault="0068393A" w:rsidP="005F60F1">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br w:type="page"/>
      </w:r>
      <w:r w:rsidR="00F47178" w:rsidRPr="00E36F2A">
        <w:rPr>
          <w:b/>
          <w:i/>
          <w:szCs w:val="24"/>
        </w:rPr>
        <w:lastRenderedPageBreak/>
        <w:t>b)</w:t>
      </w:r>
      <w:r w:rsidR="00F47178" w:rsidRPr="00E36F2A">
        <w:rPr>
          <w:b/>
          <w:i/>
          <w:szCs w:val="24"/>
        </w:rPr>
        <w:tab/>
      </w:r>
      <w:r w:rsidR="00A548B8" w:rsidRPr="00E36F2A">
        <w:rPr>
          <w:b/>
          <w:i/>
          <w:szCs w:val="24"/>
        </w:rPr>
        <w:t>to lyginamojo indekso administratorius arba to administratoriaus vardu veikiantis asmuo pateikė viešą pareiškimą ar paskelbė informaciją, arba toks viešas pareiškimas buvo padarytas ar tokia informacija buvo paskelbta, tokiu būdu pareiškiant</w:t>
      </w:r>
      <w:r w:rsidR="00F47178" w:rsidRPr="00E36F2A">
        <w:rPr>
          <w:b/>
          <w:i/>
          <w:szCs w:val="24"/>
        </w:rPr>
        <w:t xml:space="preserve">, kad tas administratorius pradės tvarkingo to lyginamojo indekso likvidavimo procesą arba </w:t>
      </w:r>
      <w:r w:rsidR="00D11054" w:rsidRPr="00E36F2A">
        <w:rPr>
          <w:b/>
          <w:i/>
          <w:szCs w:val="24"/>
        </w:rPr>
        <w:t xml:space="preserve">nutrauks to lyginamojo indekso arba tam tikrų įsipareigojimų vykdymo terminų ar tam tikrų valiutų, kuriomis skaičiuojamas tas lyginamasis indeksas, teikimą visam arba neribotam laikui, jei pareiškimo pateikimo ar informacijos paskelbimo </w:t>
      </w:r>
      <w:r w:rsidR="00F47178" w:rsidRPr="00E36F2A">
        <w:rPr>
          <w:b/>
          <w:i/>
          <w:szCs w:val="24"/>
        </w:rPr>
        <w:t>metu nėra administratoriaus veiklos perėmėjo, kuris toliau teiktų tą lyginamąjį indeksą;</w:t>
      </w:r>
    </w:p>
    <w:p w:rsidR="00F47178" w:rsidRPr="00E36F2A" w:rsidRDefault="00F47178" w:rsidP="005F60F1">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c)</w:t>
      </w:r>
      <w:r w:rsidRPr="00E36F2A">
        <w:rPr>
          <w:b/>
          <w:i/>
          <w:szCs w:val="24"/>
        </w:rPr>
        <w:tab/>
      </w:r>
      <w:r w:rsidR="00D11054" w:rsidRPr="00E36F2A">
        <w:rPr>
          <w:b/>
          <w:i/>
          <w:szCs w:val="24"/>
        </w:rPr>
        <w:t xml:space="preserve">to </w:t>
      </w:r>
      <w:r w:rsidRPr="00E36F2A">
        <w:rPr>
          <w:b/>
          <w:i/>
          <w:szCs w:val="24"/>
        </w:rPr>
        <w:t xml:space="preserve">lyginamojo indekso administratoriaus kompetentinga institucija arba bet kuris bankroto skelbimo ar pertvarkymo įgaliojimus </w:t>
      </w:r>
      <w:r w:rsidR="00D11054" w:rsidRPr="00E36F2A">
        <w:rPr>
          <w:b/>
          <w:i/>
          <w:szCs w:val="24"/>
        </w:rPr>
        <w:t>tokio administratoriaus atžvilgiu turintis subjektas pateikė viešą pareiškimą ar paskelbė informaciją, tokiu būdu parei</w:t>
      </w:r>
      <w:r w:rsidR="0090164E" w:rsidRPr="00E36F2A">
        <w:rPr>
          <w:b/>
          <w:i/>
          <w:szCs w:val="24"/>
        </w:rPr>
        <w:t>kšdamas</w:t>
      </w:r>
      <w:r w:rsidRPr="00E36F2A">
        <w:rPr>
          <w:b/>
          <w:i/>
          <w:szCs w:val="24"/>
        </w:rPr>
        <w:t>, kad t</w:t>
      </w:r>
      <w:r w:rsidR="00D11054" w:rsidRPr="00E36F2A">
        <w:rPr>
          <w:b/>
          <w:i/>
          <w:szCs w:val="24"/>
        </w:rPr>
        <w:t>as</w:t>
      </w:r>
      <w:r w:rsidRPr="00E36F2A">
        <w:rPr>
          <w:b/>
          <w:i/>
          <w:szCs w:val="24"/>
        </w:rPr>
        <w:t xml:space="preserve"> administratorius pradės tvarkingo to lyginamojo indekso likvidavimo procesą arba nutrauks to lyginamojo indekso arba tam tikrų įsipareigojimų vykdymo terminų ar tam tikrų valiutų, kuriomis skaičiuojamas </w:t>
      </w:r>
      <w:r w:rsidR="004E3619" w:rsidRPr="00E36F2A">
        <w:rPr>
          <w:b/>
          <w:i/>
          <w:szCs w:val="24"/>
        </w:rPr>
        <w:t xml:space="preserve">tas </w:t>
      </w:r>
      <w:r w:rsidRPr="00E36F2A">
        <w:rPr>
          <w:b/>
          <w:i/>
          <w:szCs w:val="24"/>
        </w:rPr>
        <w:t>lyginamasis indeksas, teikimą visam arba neribotam laikui, jei pareiškimo</w:t>
      </w:r>
      <w:r w:rsidR="00D11054" w:rsidRPr="00E36F2A">
        <w:rPr>
          <w:b/>
          <w:i/>
          <w:szCs w:val="24"/>
        </w:rPr>
        <w:t xml:space="preserve"> pateikimo</w:t>
      </w:r>
      <w:r w:rsidR="008F39AE" w:rsidRPr="00E36F2A">
        <w:rPr>
          <w:b/>
          <w:i/>
          <w:szCs w:val="24"/>
        </w:rPr>
        <w:t xml:space="preserve"> </w:t>
      </w:r>
      <w:r w:rsidRPr="00E36F2A">
        <w:rPr>
          <w:b/>
          <w:i/>
          <w:szCs w:val="24"/>
        </w:rPr>
        <w:t>ar informacijos paskelbimo metu nėra administratoriaus veiklos perėmėjo, kuris toliau teiktų tą lyginamąjį indeksą; arba</w:t>
      </w:r>
    </w:p>
    <w:p w:rsidR="00F47178" w:rsidRPr="00E36F2A" w:rsidRDefault="0068393A" w:rsidP="005F60F1">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br w:type="page"/>
      </w:r>
      <w:r w:rsidR="00F47178" w:rsidRPr="00E36F2A">
        <w:rPr>
          <w:b/>
          <w:i/>
          <w:szCs w:val="24"/>
        </w:rPr>
        <w:lastRenderedPageBreak/>
        <w:t>d)</w:t>
      </w:r>
      <w:r w:rsidR="00F47178" w:rsidRPr="00E36F2A">
        <w:rPr>
          <w:b/>
          <w:i/>
          <w:szCs w:val="24"/>
        </w:rPr>
        <w:tab/>
      </w:r>
      <w:r w:rsidR="00D11054" w:rsidRPr="00E36F2A">
        <w:rPr>
          <w:b/>
          <w:i/>
          <w:szCs w:val="24"/>
        </w:rPr>
        <w:t xml:space="preserve">to lyginamojo indekso administratoriaus kompetentinga institucija atšaukia leidimą ar sustabdo jo galiojimą </w:t>
      </w:r>
      <w:r w:rsidR="00F47178" w:rsidRPr="00E36F2A">
        <w:rPr>
          <w:b/>
          <w:i/>
          <w:szCs w:val="24"/>
        </w:rPr>
        <w:t>pagal 35 straipsnį, jei atšaukimo</w:t>
      </w:r>
      <w:r w:rsidR="00D11054" w:rsidRPr="00E36F2A">
        <w:rPr>
          <w:b/>
          <w:i/>
          <w:szCs w:val="24"/>
        </w:rPr>
        <w:t xml:space="preserve"> ar galiojimo sustabdymo</w:t>
      </w:r>
      <w:r w:rsidR="00F47178" w:rsidRPr="00E36F2A">
        <w:rPr>
          <w:b/>
          <w:i/>
          <w:szCs w:val="24"/>
        </w:rPr>
        <w:t xml:space="preserve"> metu nėra administratoriaus veiklos perėmėjo, kuris toliau teiktų tą lyginamąjį indeksą</w:t>
      </w:r>
      <w:r w:rsidR="004E3619" w:rsidRPr="00E36F2A">
        <w:rPr>
          <w:b/>
          <w:i/>
          <w:szCs w:val="24"/>
        </w:rPr>
        <w:t xml:space="preserve">, ir </w:t>
      </w:r>
      <w:r w:rsidR="005F60F1" w:rsidRPr="00E36F2A">
        <w:rPr>
          <w:b/>
          <w:i/>
          <w:szCs w:val="24"/>
        </w:rPr>
        <w:t xml:space="preserve">jo </w:t>
      </w:r>
      <w:r w:rsidR="004E3619" w:rsidRPr="00E36F2A">
        <w:rPr>
          <w:b/>
          <w:i/>
          <w:szCs w:val="24"/>
        </w:rPr>
        <w:t>administratorius pradės tvarkingo to lyginamojo indekso likvidavimo procesą arba nutrauks to lyginamojo indekso arba tam tikrų įsipareigojimų vykdymo terminų ar tam tikrų valiutų, kuriomis skaičiuojamas tas lyginamasis indeksas, teikimą visam arba neribotam laikui</w:t>
      </w:r>
      <w:r w:rsidR="00F47178" w:rsidRPr="00E36F2A">
        <w:rPr>
          <w:b/>
          <w:i/>
          <w:szCs w:val="24"/>
        </w:rPr>
        <w:t>.</w:t>
      </w:r>
    </w:p>
    <w:p w:rsidR="00F47178" w:rsidRPr="00E36F2A" w:rsidRDefault="00F47178" w:rsidP="00127FC0">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2.</w:t>
      </w:r>
      <w:r w:rsidRPr="00E36F2A">
        <w:rPr>
          <w:b/>
          <w:i/>
          <w:szCs w:val="24"/>
        </w:rPr>
        <w:tab/>
        <w:t xml:space="preserve">Jei valstybė narė nustato vieną ar daugiau pakaitinių lyginamųjų indeksų pagal 1 dalį, tos valstybės narės kompetentinga institucija nedelsdama </w:t>
      </w:r>
      <w:r w:rsidR="004E3619" w:rsidRPr="00E36F2A">
        <w:rPr>
          <w:b/>
          <w:i/>
          <w:szCs w:val="24"/>
        </w:rPr>
        <w:t xml:space="preserve">apie tai </w:t>
      </w:r>
      <w:r w:rsidRPr="00E36F2A">
        <w:rPr>
          <w:b/>
          <w:i/>
          <w:szCs w:val="24"/>
        </w:rPr>
        <w:t>praneša Komisijai ir ESMA.</w:t>
      </w:r>
    </w:p>
    <w:p w:rsidR="008F39AE" w:rsidRPr="00E36F2A" w:rsidRDefault="008F39AE">
      <w:pPr>
        <w:spacing w:before="0" w:after="200" w:line="276" w:lineRule="auto"/>
        <w:rPr>
          <w:b/>
          <w:i/>
          <w:szCs w:val="24"/>
        </w:rPr>
      </w:pPr>
      <w:r w:rsidRPr="00E36F2A">
        <w:rPr>
          <w:b/>
          <w:i/>
          <w:szCs w:val="24"/>
        </w:rPr>
        <w:br w:type="page"/>
      </w:r>
    </w:p>
    <w:p w:rsidR="00F47178" w:rsidRPr="00E36F2A" w:rsidRDefault="00F47178" w:rsidP="005F60F1">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lastRenderedPageBreak/>
        <w:t>3.</w:t>
      </w:r>
      <w:r w:rsidRPr="00E36F2A">
        <w:rPr>
          <w:b/>
          <w:i/>
          <w:szCs w:val="24"/>
        </w:rPr>
        <w:tab/>
        <w:t xml:space="preserve">Pakaitinis lyginamasis indeksas pakeičia visas nuorodas į </w:t>
      </w:r>
      <w:r w:rsidR="004E3619" w:rsidRPr="00E36F2A">
        <w:rPr>
          <w:b/>
          <w:i/>
          <w:szCs w:val="24"/>
        </w:rPr>
        <w:t xml:space="preserve">tą </w:t>
      </w:r>
      <w:r w:rsidRPr="00E36F2A">
        <w:rPr>
          <w:b/>
          <w:i/>
          <w:szCs w:val="24"/>
        </w:rPr>
        <w:t xml:space="preserve">lyginamąjį indeksą sutartyse ir finansinėse priemonėse, </w:t>
      </w:r>
      <w:r w:rsidR="005F60F1" w:rsidRPr="00E36F2A">
        <w:rPr>
          <w:b/>
          <w:i/>
          <w:szCs w:val="24"/>
        </w:rPr>
        <w:t xml:space="preserve">kaip </w:t>
      </w:r>
      <w:r w:rsidRPr="00E36F2A">
        <w:rPr>
          <w:b/>
          <w:i/>
          <w:szCs w:val="24"/>
        </w:rPr>
        <w:t>nurodyt</w:t>
      </w:r>
      <w:r w:rsidR="005F60F1" w:rsidRPr="00E36F2A">
        <w:rPr>
          <w:b/>
          <w:i/>
          <w:szCs w:val="24"/>
        </w:rPr>
        <w:t>a</w:t>
      </w:r>
      <w:r w:rsidRPr="00E36F2A">
        <w:rPr>
          <w:b/>
          <w:i/>
          <w:szCs w:val="24"/>
        </w:rPr>
        <w:t xml:space="preserve"> 2</w:t>
      </w:r>
      <w:r w:rsidR="009A6B3A" w:rsidRPr="00E36F2A">
        <w:rPr>
          <w:b/>
          <w:i/>
          <w:szCs w:val="24"/>
        </w:rPr>
        <w:t>3a</w:t>
      </w:r>
      <w:r w:rsidRPr="00E36F2A">
        <w:rPr>
          <w:b/>
          <w:i/>
          <w:szCs w:val="24"/>
        </w:rPr>
        <w:t xml:space="preserve"> straipsnyje, kai tenkinamos abi šios sąlygos:</w:t>
      </w:r>
    </w:p>
    <w:p w:rsidR="00F47178" w:rsidRPr="00E36F2A" w:rsidRDefault="00F47178" w:rsidP="009960C5">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a)</w:t>
      </w:r>
      <w:r w:rsidRPr="00E36F2A">
        <w:rPr>
          <w:b/>
          <w:i/>
          <w:szCs w:val="24"/>
        </w:rPr>
        <w:tab/>
      </w:r>
      <w:r w:rsidR="009960C5" w:rsidRPr="00E36F2A">
        <w:rPr>
          <w:b/>
          <w:i/>
          <w:szCs w:val="24"/>
        </w:rPr>
        <w:t xml:space="preserve">tose </w:t>
      </w:r>
      <w:r w:rsidRPr="00E36F2A">
        <w:rPr>
          <w:b/>
          <w:i/>
          <w:szCs w:val="24"/>
        </w:rPr>
        <w:t xml:space="preserve">sutartyse arba finansinėse priemonėse nurodomas </w:t>
      </w:r>
      <w:r w:rsidR="004E3619" w:rsidRPr="00E36F2A">
        <w:rPr>
          <w:b/>
          <w:i/>
          <w:szCs w:val="24"/>
        </w:rPr>
        <w:t xml:space="preserve">naikinamas </w:t>
      </w:r>
      <w:r w:rsidRPr="00E36F2A">
        <w:rPr>
          <w:b/>
          <w:i/>
          <w:szCs w:val="24"/>
        </w:rPr>
        <w:t>lyginamasis</w:t>
      </w:r>
      <w:r w:rsidR="004E3619" w:rsidRPr="00E36F2A">
        <w:rPr>
          <w:b/>
          <w:i/>
          <w:szCs w:val="24"/>
        </w:rPr>
        <w:t xml:space="preserve"> indeksas</w:t>
      </w:r>
      <w:r w:rsidRPr="00E36F2A">
        <w:rPr>
          <w:b/>
          <w:i/>
          <w:szCs w:val="24"/>
        </w:rPr>
        <w:t xml:space="preserve"> tą dieną, k</w:t>
      </w:r>
      <w:r w:rsidR="009960C5" w:rsidRPr="00E36F2A">
        <w:rPr>
          <w:b/>
          <w:i/>
          <w:szCs w:val="24"/>
        </w:rPr>
        <w:t>urią</w:t>
      </w:r>
      <w:r w:rsidRPr="00E36F2A">
        <w:rPr>
          <w:b/>
          <w:i/>
          <w:szCs w:val="24"/>
        </w:rPr>
        <w:t xml:space="preserve"> </w:t>
      </w:r>
      <w:r w:rsidR="004E3619" w:rsidRPr="00E36F2A">
        <w:rPr>
          <w:b/>
          <w:i/>
          <w:szCs w:val="24"/>
        </w:rPr>
        <w:t xml:space="preserve">pradedamas taikyti </w:t>
      </w:r>
      <w:r w:rsidRPr="00E36F2A">
        <w:rPr>
          <w:b/>
          <w:i/>
          <w:szCs w:val="24"/>
        </w:rPr>
        <w:t>nacionalinės teisės akta</w:t>
      </w:r>
      <w:r w:rsidR="004E3619" w:rsidRPr="00E36F2A">
        <w:rPr>
          <w:b/>
          <w:i/>
          <w:szCs w:val="24"/>
        </w:rPr>
        <w:t>s</w:t>
      </w:r>
      <w:r w:rsidRPr="00E36F2A">
        <w:rPr>
          <w:b/>
          <w:i/>
          <w:szCs w:val="24"/>
        </w:rPr>
        <w:t xml:space="preserve">, </w:t>
      </w:r>
      <w:r w:rsidR="004E3619" w:rsidRPr="00E36F2A">
        <w:rPr>
          <w:b/>
          <w:i/>
          <w:szCs w:val="24"/>
        </w:rPr>
        <w:t xml:space="preserve">kuriuo </w:t>
      </w:r>
      <w:r w:rsidRPr="00E36F2A">
        <w:rPr>
          <w:b/>
          <w:i/>
          <w:szCs w:val="24"/>
        </w:rPr>
        <w:t>nustatomas pakaitinis lyginamasis indeksas,</w:t>
      </w:r>
      <w:r w:rsidR="004E3619" w:rsidRPr="00E36F2A">
        <w:rPr>
          <w:b/>
          <w:i/>
          <w:szCs w:val="24"/>
        </w:rPr>
        <w:t xml:space="preserve"> ir</w:t>
      </w:r>
    </w:p>
    <w:p w:rsidR="00F47178" w:rsidRPr="00E36F2A" w:rsidRDefault="00F47178" w:rsidP="00675398">
      <w:pPr>
        <w:pStyle w:val="Point1number"/>
        <w:numPr>
          <w:ilvl w:val="0"/>
          <w:numId w:val="0"/>
        </w:numPr>
        <w:tabs>
          <w:tab w:val="left" w:pos="851"/>
          <w:tab w:val="left" w:pos="1418"/>
          <w:tab w:val="left" w:pos="1985"/>
          <w:tab w:val="left" w:pos="2552"/>
        </w:tabs>
        <w:spacing w:line="360" w:lineRule="auto"/>
        <w:ind w:left="1985" w:hanging="567"/>
        <w:rPr>
          <w:b/>
          <w:i/>
          <w:szCs w:val="24"/>
        </w:rPr>
      </w:pPr>
      <w:r w:rsidRPr="00E36F2A">
        <w:rPr>
          <w:b/>
          <w:i/>
          <w:szCs w:val="24"/>
        </w:rPr>
        <w:t>b)</w:t>
      </w:r>
      <w:r w:rsidRPr="00E36F2A">
        <w:rPr>
          <w:b/>
          <w:i/>
          <w:szCs w:val="24"/>
        </w:rPr>
        <w:tab/>
      </w:r>
      <w:r w:rsidR="009960C5" w:rsidRPr="00E36F2A">
        <w:rPr>
          <w:b/>
          <w:i/>
          <w:szCs w:val="24"/>
        </w:rPr>
        <w:t xml:space="preserve">tose </w:t>
      </w:r>
      <w:r w:rsidRPr="00E36F2A">
        <w:rPr>
          <w:b/>
          <w:i/>
          <w:szCs w:val="24"/>
        </w:rPr>
        <w:t xml:space="preserve">sutartyse arba finansinėse priemonėse nėra nuostatos dėl atsarginės normos arba </w:t>
      </w:r>
      <w:r w:rsidR="007A45CA" w:rsidRPr="00E36F2A">
        <w:rPr>
          <w:b/>
          <w:i/>
          <w:szCs w:val="24"/>
        </w:rPr>
        <w:t xml:space="preserve">yra nuostata </w:t>
      </w:r>
      <w:r w:rsidRPr="00E36F2A">
        <w:rPr>
          <w:b/>
          <w:i/>
          <w:szCs w:val="24"/>
        </w:rPr>
        <w:t>dėl atsarginės normos</w:t>
      </w:r>
      <w:r w:rsidR="007A45CA" w:rsidRPr="00E36F2A">
        <w:rPr>
          <w:b/>
          <w:i/>
          <w:szCs w:val="24"/>
        </w:rPr>
        <w:t>, kuria</w:t>
      </w:r>
      <w:r w:rsidRPr="00E36F2A">
        <w:rPr>
          <w:b/>
          <w:i/>
          <w:szCs w:val="24"/>
        </w:rPr>
        <w:t xml:space="preserve"> nenumatoma</w:t>
      </w:r>
      <w:r w:rsidR="0016165B" w:rsidRPr="00E36F2A">
        <w:rPr>
          <w:b/>
          <w:i/>
          <w:szCs w:val="24"/>
        </w:rPr>
        <w:t>s</w:t>
      </w:r>
      <w:r w:rsidRPr="00E36F2A">
        <w:rPr>
          <w:b/>
          <w:i/>
          <w:szCs w:val="24"/>
        </w:rPr>
        <w:t xml:space="preserve"> </w:t>
      </w:r>
      <w:r w:rsidR="0016165B" w:rsidRPr="00E36F2A">
        <w:rPr>
          <w:b/>
          <w:i/>
          <w:szCs w:val="24"/>
        </w:rPr>
        <w:t xml:space="preserve">pakaitinis lyginamasis indeksas visam laikui vietoj </w:t>
      </w:r>
      <w:r w:rsidRPr="00E36F2A">
        <w:rPr>
          <w:b/>
          <w:i/>
          <w:szCs w:val="24"/>
        </w:rPr>
        <w:t>nutrauk</w:t>
      </w:r>
      <w:r w:rsidR="0016165B" w:rsidRPr="00E36F2A">
        <w:rPr>
          <w:b/>
          <w:i/>
          <w:szCs w:val="24"/>
        </w:rPr>
        <w:t xml:space="preserve">iamo </w:t>
      </w:r>
      <w:r w:rsidRPr="00E36F2A">
        <w:rPr>
          <w:b/>
          <w:i/>
          <w:szCs w:val="24"/>
        </w:rPr>
        <w:t>lyginamojo indekso.</w:t>
      </w:r>
    </w:p>
    <w:p w:rsidR="00F47178" w:rsidRPr="00E36F2A" w:rsidRDefault="00F47178" w:rsidP="009960C5">
      <w:pPr>
        <w:pStyle w:val="Point1number"/>
        <w:numPr>
          <w:ilvl w:val="0"/>
          <w:numId w:val="0"/>
        </w:numPr>
        <w:tabs>
          <w:tab w:val="left" w:pos="851"/>
          <w:tab w:val="left" w:pos="1418"/>
          <w:tab w:val="left" w:pos="1985"/>
          <w:tab w:val="left" w:pos="2552"/>
        </w:tabs>
        <w:spacing w:line="360" w:lineRule="auto"/>
        <w:ind w:left="1418" w:hanging="567"/>
        <w:rPr>
          <w:b/>
          <w:i/>
          <w:szCs w:val="24"/>
        </w:rPr>
      </w:pPr>
      <w:r w:rsidRPr="00E36F2A">
        <w:rPr>
          <w:b/>
          <w:i/>
          <w:szCs w:val="24"/>
        </w:rPr>
        <w:t>4.</w:t>
      </w:r>
      <w:r w:rsidRPr="00E36F2A">
        <w:rPr>
          <w:b/>
          <w:i/>
          <w:szCs w:val="24"/>
        </w:rPr>
        <w:tab/>
        <w:t xml:space="preserve">Pagal </w:t>
      </w:r>
      <w:r w:rsidR="0016165B" w:rsidRPr="00E36F2A">
        <w:rPr>
          <w:b/>
          <w:i/>
          <w:szCs w:val="24"/>
        </w:rPr>
        <w:t xml:space="preserve">šio straipsnio </w:t>
      </w:r>
      <w:r w:rsidRPr="00E36F2A">
        <w:rPr>
          <w:b/>
          <w:i/>
          <w:szCs w:val="24"/>
        </w:rPr>
        <w:t xml:space="preserve">1 dalį kompetentingos institucijos nustatytas pakaitinis lyginamasis indeksas netaikomas, kai visos sutarties šalys arba reikalaujama sutarties ar finansinės priemonės, </w:t>
      </w:r>
      <w:r w:rsidR="009960C5" w:rsidRPr="00E36F2A">
        <w:rPr>
          <w:b/>
          <w:i/>
          <w:szCs w:val="24"/>
        </w:rPr>
        <w:t xml:space="preserve">kaip </w:t>
      </w:r>
      <w:r w:rsidR="009A6B3A" w:rsidRPr="00E36F2A">
        <w:rPr>
          <w:b/>
          <w:i/>
          <w:szCs w:val="24"/>
        </w:rPr>
        <w:t>nurodyt</w:t>
      </w:r>
      <w:r w:rsidR="009960C5" w:rsidRPr="00E36F2A">
        <w:rPr>
          <w:b/>
          <w:i/>
          <w:szCs w:val="24"/>
        </w:rPr>
        <w:t>a</w:t>
      </w:r>
      <w:r w:rsidR="009A6B3A" w:rsidRPr="00E36F2A">
        <w:rPr>
          <w:b/>
          <w:i/>
          <w:szCs w:val="24"/>
        </w:rPr>
        <w:t xml:space="preserve"> 23a straipsnyje</w:t>
      </w:r>
      <w:r w:rsidRPr="00E36F2A">
        <w:rPr>
          <w:b/>
          <w:i/>
          <w:szCs w:val="24"/>
        </w:rPr>
        <w:t xml:space="preserve">, </w:t>
      </w:r>
      <w:r w:rsidR="008B17CD" w:rsidRPr="00E36F2A">
        <w:rPr>
          <w:b/>
          <w:i/>
          <w:szCs w:val="24"/>
        </w:rPr>
        <w:t xml:space="preserve">šalių </w:t>
      </w:r>
      <w:r w:rsidRPr="00E36F2A">
        <w:rPr>
          <w:b/>
          <w:i/>
          <w:szCs w:val="24"/>
        </w:rPr>
        <w:t xml:space="preserve">dauguma sutinka taikyti kitą pakaitinį lyginamąjį indeksą prieš </w:t>
      </w:r>
      <w:r w:rsidR="008B17CD" w:rsidRPr="00E36F2A">
        <w:rPr>
          <w:b/>
          <w:i/>
          <w:szCs w:val="24"/>
        </w:rPr>
        <w:t xml:space="preserve">atitinkamos </w:t>
      </w:r>
      <w:r w:rsidRPr="00E36F2A">
        <w:rPr>
          <w:b/>
          <w:i/>
          <w:szCs w:val="24"/>
        </w:rPr>
        <w:t>nacionalin</w:t>
      </w:r>
      <w:r w:rsidR="008B17CD" w:rsidRPr="00E36F2A">
        <w:rPr>
          <w:b/>
          <w:i/>
          <w:szCs w:val="24"/>
        </w:rPr>
        <w:t>ės teisės</w:t>
      </w:r>
      <w:r w:rsidRPr="00E36F2A">
        <w:rPr>
          <w:b/>
          <w:i/>
          <w:szCs w:val="24"/>
        </w:rPr>
        <w:t xml:space="preserve"> nuostat</w:t>
      </w:r>
      <w:r w:rsidR="008B17CD" w:rsidRPr="00E36F2A">
        <w:rPr>
          <w:b/>
          <w:i/>
          <w:szCs w:val="24"/>
        </w:rPr>
        <w:t>os taikymo pradžios datą</w:t>
      </w:r>
      <w:r w:rsidRPr="00E36F2A">
        <w:rPr>
          <w:b/>
          <w:i/>
          <w:szCs w:val="24"/>
        </w:rPr>
        <w:t xml:space="preserve"> arba </w:t>
      </w:r>
      <w:r w:rsidR="008B17CD" w:rsidRPr="00E36F2A">
        <w:rPr>
          <w:b/>
          <w:i/>
          <w:szCs w:val="24"/>
        </w:rPr>
        <w:t>po jos</w:t>
      </w:r>
      <w:r w:rsidRPr="00E36F2A">
        <w:rPr>
          <w:b/>
          <w:i/>
          <w:szCs w:val="24"/>
        </w:rPr>
        <w:t>.“;</w:t>
      </w:r>
    </w:p>
    <w:p w:rsidR="008F39AE" w:rsidRPr="00E36F2A" w:rsidRDefault="008F39AE">
      <w:pPr>
        <w:spacing w:before="0" w:after="200" w:line="276" w:lineRule="auto"/>
        <w:rPr>
          <w:b/>
          <w:i/>
          <w:szCs w:val="24"/>
        </w:rPr>
      </w:pPr>
      <w:r w:rsidRPr="00E36F2A">
        <w:rPr>
          <w:b/>
          <w:i/>
          <w:szCs w:val="24"/>
        </w:rPr>
        <w:br w:type="page"/>
      </w:r>
    </w:p>
    <w:p w:rsidR="00FB3E95" w:rsidRPr="00E36F2A" w:rsidRDefault="00A64B8A" w:rsidP="00FB3E95">
      <w:pPr>
        <w:pStyle w:val="Point0number"/>
        <w:numPr>
          <w:ilvl w:val="0"/>
          <w:numId w:val="0"/>
        </w:numPr>
        <w:tabs>
          <w:tab w:val="left" w:pos="851"/>
          <w:tab w:val="left" w:pos="1418"/>
          <w:tab w:val="left" w:pos="1985"/>
          <w:tab w:val="left" w:pos="2552"/>
        </w:tabs>
        <w:spacing w:line="360" w:lineRule="auto"/>
        <w:ind w:left="850" w:hanging="850"/>
        <w:rPr>
          <w:b/>
          <w:i/>
          <w:szCs w:val="24"/>
        </w:rPr>
      </w:pPr>
      <w:r w:rsidRPr="00E36F2A">
        <w:rPr>
          <w:b/>
          <w:i/>
          <w:szCs w:val="24"/>
        </w:rPr>
        <w:lastRenderedPageBreak/>
        <w:t>6</w:t>
      </w:r>
      <w:r w:rsidR="00FB3E95" w:rsidRPr="00E36F2A">
        <w:rPr>
          <w:b/>
          <w:i/>
          <w:szCs w:val="24"/>
        </w:rPr>
        <w:t>)</w:t>
      </w:r>
      <w:r w:rsidR="00FB3E95" w:rsidRPr="00E36F2A">
        <w:rPr>
          <w:b/>
          <w:i/>
          <w:szCs w:val="24"/>
        </w:rPr>
        <w:tab/>
        <w:t>28 straipsnio 2 dalis pakeičiama taip:</w:t>
      </w:r>
    </w:p>
    <w:p w:rsidR="00FB3E95" w:rsidRPr="00E36F2A" w:rsidRDefault="00FB3E95" w:rsidP="009960C5">
      <w:pPr>
        <w:pStyle w:val="Text2"/>
        <w:tabs>
          <w:tab w:val="left" w:pos="851"/>
          <w:tab w:val="left" w:pos="1418"/>
          <w:tab w:val="left" w:pos="1985"/>
          <w:tab w:val="left" w:pos="2552"/>
        </w:tabs>
        <w:spacing w:line="360" w:lineRule="auto"/>
        <w:ind w:left="1418" w:hanging="568"/>
        <w:rPr>
          <w:b/>
          <w:i/>
        </w:rPr>
      </w:pPr>
      <w:r w:rsidRPr="00E36F2A">
        <w:rPr>
          <w:b/>
          <w:i/>
        </w:rPr>
        <w:t>„2.</w:t>
      </w:r>
      <w:r w:rsidRPr="00E36F2A">
        <w:rPr>
          <w:b/>
          <w:i/>
        </w:rPr>
        <w:tab/>
        <w:t xml:space="preserve">Kiti </w:t>
      </w:r>
      <w:r w:rsidR="0016165B" w:rsidRPr="00E36F2A">
        <w:rPr>
          <w:b/>
          <w:i/>
        </w:rPr>
        <w:t xml:space="preserve">prižiūrimi subjektai </w:t>
      </w:r>
      <w:r w:rsidRPr="00E36F2A">
        <w:rPr>
          <w:b/>
          <w:i/>
        </w:rPr>
        <w:t xml:space="preserve">nei administratorius, kaip nurodyta 1 dalyje, kurie naudoja lyginamąjį indeksą, parengia ir turi pagrįstus raštiškus planus, kuriuose išdėsto veiksmus, kurių imtųsi lyginamojo indekso esminių pakeitimų arba teikimo nutraukimo atveju. Kai įmanoma ir tinkama, tokiuose planuose </w:t>
      </w:r>
      <w:r w:rsidR="008B17CD" w:rsidRPr="00E36F2A">
        <w:rPr>
          <w:b/>
          <w:i/>
        </w:rPr>
        <w:t xml:space="preserve">nustatomas </w:t>
      </w:r>
      <w:r w:rsidRPr="00E36F2A">
        <w:rPr>
          <w:b/>
          <w:i/>
        </w:rPr>
        <w:t xml:space="preserve">vienas ar keli pakaitiniai lyginamieji indeksai, su kuriais galima susieti priemones pakeičiant lyginamuosius indeksus, </w:t>
      </w:r>
      <w:r w:rsidR="008B17CD" w:rsidRPr="00E36F2A">
        <w:rPr>
          <w:b/>
          <w:i/>
        </w:rPr>
        <w:t xml:space="preserve">kurie nebebus teikiami, </w:t>
      </w:r>
      <w:r w:rsidRPr="00E36F2A">
        <w:rPr>
          <w:b/>
          <w:i/>
        </w:rPr>
        <w:t>nurodant</w:t>
      </w:r>
      <w:r w:rsidR="009960C5" w:rsidRPr="00E36F2A">
        <w:rPr>
          <w:b/>
          <w:i/>
        </w:rPr>
        <w:t xml:space="preserve"> tokių pakaitinių</w:t>
      </w:r>
      <w:r w:rsidRPr="00E36F2A">
        <w:rPr>
          <w:b/>
          <w:i/>
        </w:rPr>
        <w:t xml:space="preserve"> lyginam</w:t>
      </w:r>
      <w:r w:rsidR="009960C5" w:rsidRPr="00E36F2A">
        <w:rPr>
          <w:b/>
          <w:i/>
        </w:rPr>
        <w:t>ųjų</w:t>
      </w:r>
      <w:r w:rsidRPr="00E36F2A">
        <w:rPr>
          <w:b/>
          <w:i/>
        </w:rPr>
        <w:t xml:space="preserve"> indeks</w:t>
      </w:r>
      <w:r w:rsidR="009960C5" w:rsidRPr="00E36F2A">
        <w:rPr>
          <w:b/>
          <w:i/>
        </w:rPr>
        <w:t>ų</w:t>
      </w:r>
      <w:r w:rsidRPr="00E36F2A">
        <w:rPr>
          <w:b/>
          <w:i/>
        </w:rPr>
        <w:t xml:space="preserve"> tinkam</w:t>
      </w:r>
      <w:r w:rsidR="009960C5" w:rsidRPr="00E36F2A">
        <w:rPr>
          <w:b/>
          <w:i/>
        </w:rPr>
        <w:t>umo priežastis</w:t>
      </w:r>
      <w:r w:rsidRPr="00E36F2A">
        <w:rPr>
          <w:b/>
          <w:i/>
        </w:rPr>
        <w:t xml:space="preserve">. Gavę prašymą ir nepagrįstai nedelsdami prižiūrimi subjektai tuos planus ir visus jų atnaujinimus pateikia atitinkamai kompetentingai institucijai ir atsižvelgia į juos palaikydami </w:t>
      </w:r>
      <w:r w:rsidR="009960C5" w:rsidRPr="00E36F2A">
        <w:rPr>
          <w:b/>
          <w:i/>
        </w:rPr>
        <w:t xml:space="preserve">savo </w:t>
      </w:r>
      <w:r w:rsidRPr="00E36F2A">
        <w:rPr>
          <w:b/>
          <w:i/>
        </w:rPr>
        <w:t>sutartinius santykius su klientais.“;</w:t>
      </w:r>
    </w:p>
    <w:p w:rsidR="00F47178" w:rsidRPr="00E36F2A" w:rsidRDefault="00FB3E95" w:rsidP="00127FC0">
      <w:pPr>
        <w:pStyle w:val="Point1number"/>
        <w:numPr>
          <w:ilvl w:val="0"/>
          <w:numId w:val="0"/>
        </w:numPr>
        <w:tabs>
          <w:tab w:val="left" w:pos="851"/>
          <w:tab w:val="left" w:pos="1418"/>
          <w:tab w:val="left" w:pos="1985"/>
          <w:tab w:val="left" w:pos="2552"/>
        </w:tabs>
        <w:spacing w:line="360" w:lineRule="auto"/>
        <w:ind w:left="851" w:hanging="851"/>
        <w:rPr>
          <w:b/>
          <w:i/>
        </w:rPr>
      </w:pPr>
      <w:r w:rsidRPr="00E36F2A">
        <w:br w:type="page"/>
      </w:r>
      <w:r w:rsidR="00A64B8A" w:rsidRPr="00E36F2A">
        <w:rPr>
          <w:b/>
          <w:i/>
        </w:rPr>
        <w:lastRenderedPageBreak/>
        <w:t>7</w:t>
      </w:r>
      <w:r w:rsidR="00F47178" w:rsidRPr="00E36F2A">
        <w:rPr>
          <w:b/>
          <w:i/>
        </w:rPr>
        <w:t>)</w:t>
      </w:r>
      <w:r w:rsidR="00F47178" w:rsidRPr="00E36F2A">
        <w:rPr>
          <w:b/>
          <w:i/>
        </w:rPr>
        <w:tab/>
        <w:t>29 straipsnyje įterpiama ši dalis:</w:t>
      </w:r>
    </w:p>
    <w:p w:rsidR="00F47178" w:rsidRPr="00E36F2A" w:rsidRDefault="00F47178" w:rsidP="00B61704">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„1a.</w:t>
      </w:r>
      <w:r w:rsidRPr="00E36F2A">
        <w:rPr>
          <w:b/>
          <w:i/>
        </w:rPr>
        <w:tab/>
        <w:t>Prižiūrimas subjektas taip pat gali naudoti pakaitinį lyginamąjį indeksą</w:t>
      </w:r>
      <w:r w:rsidR="009960C5" w:rsidRPr="00E36F2A">
        <w:rPr>
          <w:b/>
          <w:i/>
        </w:rPr>
        <w:t>, nustatytą pagal 23b arba 23c straipsnį</w:t>
      </w:r>
      <w:r w:rsidRPr="00E36F2A">
        <w:rPr>
          <w:b/>
          <w:i/>
        </w:rPr>
        <w:t>.“;</w:t>
      </w:r>
    </w:p>
    <w:p w:rsidR="00F47178" w:rsidRPr="00E36F2A" w:rsidRDefault="00A64B8A" w:rsidP="00127FC0">
      <w:pPr>
        <w:pStyle w:val="Point1number"/>
        <w:numPr>
          <w:ilvl w:val="0"/>
          <w:numId w:val="0"/>
        </w:numPr>
        <w:tabs>
          <w:tab w:val="left" w:pos="851"/>
          <w:tab w:val="left" w:pos="1418"/>
          <w:tab w:val="left" w:pos="1985"/>
          <w:tab w:val="left" w:pos="2552"/>
        </w:tabs>
        <w:spacing w:line="360" w:lineRule="auto"/>
        <w:ind w:left="851" w:hanging="851"/>
        <w:rPr>
          <w:b/>
          <w:i/>
        </w:rPr>
      </w:pPr>
      <w:r w:rsidRPr="00E36F2A">
        <w:rPr>
          <w:b/>
          <w:i/>
        </w:rPr>
        <w:t>8</w:t>
      </w:r>
      <w:r w:rsidR="00F47178" w:rsidRPr="00E36F2A">
        <w:rPr>
          <w:b/>
          <w:i/>
        </w:rPr>
        <w:t xml:space="preserve">) </w:t>
      </w:r>
      <w:r w:rsidR="00F47178" w:rsidRPr="00E36F2A">
        <w:rPr>
          <w:b/>
          <w:i/>
        </w:rPr>
        <w:tab/>
        <w:t>49 straipsnis iš dalies keičiamas taip:</w:t>
      </w:r>
    </w:p>
    <w:p w:rsidR="00F47178" w:rsidRPr="00E36F2A" w:rsidRDefault="00F47178" w:rsidP="00675398">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a)</w:t>
      </w:r>
      <w:r w:rsidRPr="00E36F2A">
        <w:rPr>
          <w:b/>
          <w:i/>
        </w:rPr>
        <w:tab/>
        <w:t>įterpiama ši dalis:</w:t>
      </w:r>
    </w:p>
    <w:p w:rsidR="00F47178" w:rsidRPr="00E36F2A" w:rsidRDefault="00D80F29" w:rsidP="00127FC0">
      <w:pPr>
        <w:pStyle w:val="Point1number"/>
        <w:numPr>
          <w:ilvl w:val="0"/>
          <w:numId w:val="0"/>
        </w:numPr>
        <w:tabs>
          <w:tab w:val="left" w:pos="851"/>
          <w:tab w:val="left" w:pos="1418"/>
          <w:tab w:val="left" w:pos="1985"/>
          <w:tab w:val="left" w:pos="2552"/>
        </w:tabs>
        <w:spacing w:line="360" w:lineRule="auto"/>
        <w:ind w:left="1985" w:hanging="567"/>
        <w:rPr>
          <w:b/>
          <w:i/>
        </w:rPr>
      </w:pPr>
      <w:r w:rsidRPr="00E36F2A">
        <w:rPr>
          <w:b/>
          <w:i/>
        </w:rPr>
        <w:t>„2b.</w:t>
      </w:r>
      <w:r w:rsidRPr="00E36F2A">
        <w:rPr>
          <w:b/>
          <w:i/>
        </w:rPr>
        <w:tab/>
      </w:r>
      <w:r w:rsidR="00A64B8A" w:rsidRPr="00E36F2A">
        <w:rPr>
          <w:b/>
          <w:i/>
        </w:rPr>
        <w:t xml:space="preserve">18a </w:t>
      </w:r>
      <w:r w:rsidRPr="00E36F2A">
        <w:rPr>
          <w:b/>
          <w:i/>
        </w:rPr>
        <w:t xml:space="preserve">straipsnio </w:t>
      </w:r>
      <w:r w:rsidR="00A64B8A" w:rsidRPr="00E36F2A">
        <w:rPr>
          <w:b/>
          <w:i/>
        </w:rPr>
        <w:t xml:space="preserve">3 </w:t>
      </w:r>
      <w:r w:rsidRPr="00E36F2A">
        <w:rPr>
          <w:b/>
          <w:i/>
        </w:rPr>
        <w:t>dalyje ir 54 straipsnio 7 dalyje nurodyti įgaliojimai priimti deleguotuosius aktus Komisijai suteikiami neribotam laikotarpiui nuo ... [šio iš dalies keičiančio reglamento įsigaliojimo diena].“;</w:t>
      </w:r>
    </w:p>
    <w:p w:rsidR="00F47178" w:rsidRPr="00E36F2A" w:rsidRDefault="002C77D7" w:rsidP="009C632B">
      <w:pPr>
        <w:pStyle w:val="Point1number"/>
        <w:numPr>
          <w:ilvl w:val="0"/>
          <w:numId w:val="0"/>
        </w:numPr>
        <w:tabs>
          <w:tab w:val="left" w:pos="851"/>
          <w:tab w:val="left" w:pos="1418"/>
          <w:tab w:val="left" w:pos="1985"/>
          <w:tab w:val="left" w:pos="2552"/>
        </w:tabs>
        <w:spacing w:line="360" w:lineRule="auto"/>
        <w:ind w:left="1418" w:hanging="567"/>
        <w:rPr>
          <w:b/>
          <w:i/>
        </w:rPr>
      </w:pPr>
      <w:r w:rsidRPr="00E36F2A">
        <w:br w:type="page"/>
      </w:r>
      <w:r w:rsidR="00F47178" w:rsidRPr="00E36F2A">
        <w:rPr>
          <w:b/>
          <w:i/>
        </w:rPr>
        <w:lastRenderedPageBreak/>
        <w:t xml:space="preserve">b) </w:t>
      </w:r>
      <w:r w:rsidR="00F47178" w:rsidRPr="00E36F2A">
        <w:rPr>
          <w:b/>
          <w:i/>
        </w:rPr>
        <w:tab/>
        <w:t>įterpiama ši dalis:</w:t>
      </w:r>
    </w:p>
    <w:p w:rsidR="00F47178" w:rsidRPr="00E36F2A" w:rsidRDefault="00D80F29" w:rsidP="009C632B">
      <w:pPr>
        <w:pStyle w:val="Point1number"/>
        <w:numPr>
          <w:ilvl w:val="0"/>
          <w:numId w:val="0"/>
        </w:numPr>
        <w:tabs>
          <w:tab w:val="left" w:pos="851"/>
          <w:tab w:val="left" w:pos="1418"/>
          <w:tab w:val="left" w:pos="1985"/>
          <w:tab w:val="left" w:pos="2552"/>
        </w:tabs>
        <w:spacing w:line="360" w:lineRule="auto"/>
        <w:ind w:left="1985" w:hanging="567"/>
        <w:rPr>
          <w:b/>
          <w:i/>
        </w:rPr>
      </w:pPr>
      <w:r w:rsidRPr="00E36F2A">
        <w:rPr>
          <w:b/>
          <w:i/>
        </w:rPr>
        <w:t>„3a.</w:t>
      </w:r>
      <w:r w:rsidRPr="00E36F2A">
        <w:rPr>
          <w:b/>
          <w:i/>
        </w:rPr>
        <w:tab/>
        <w:t xml:space="preserve">Europos Parlamentas arba Taryba gali bet kada atšaukti </w:t>
      </w:r>
      <w:r w:rsidR="00A64B8A" w:rsidRPr="00E36F2A">
        <w:rPr>
          <w:b/>
          <w:i/>
        </w:rPr>
        <w:t xml:space="preserve">18a </w:t>
      </w:r>
      <w:r w:rsidRPr="00E36F2A">
        <w:rPr>
          <w:b/>
          <w:i/>
        </w:rPr>
        <w:t xml:space="preserve">straipsnio </w:t>
      </w:r>
      <w:r w:rsidR="00A64B8A" w:rsidRPr="00E36F2A">
        <w:rPr>
          <w:b/>
          <w:i/>
        </w:rPr>
        <w:t>3</w:t>
      </w:r>
      <w:r w:rsidRPr="00E36F2A">
        <w:rPr>
          <w:b/>
          <w:i/>
        </w:rPr>
        <w:t xml:space="preserve"> dalyje ir 54 straipsnio 7 dalyje nurodytus deleguotuosius įgaliojimus. Sprendimu dėl įgaliojimų atšaukimo nutraukiami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p w:rsidR="00F47178" w:rsidRPr="00E36F2A" w:rsidRDefault="00F47178" w:rsidP="009C632B">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c)</w:t>
      </w:r>
      <w:r w:rsidRPr="00E36F2A">
        <w:rPr>
          <w:b/>
          <w:i/>
        </w:rPr>
        <w:tab/>
        <w:t>papildoma šia dalimi:</w:t>
      </w:r>
    </w:p>
    <w:p w:rsidR="00F47178" w:rsidRPr="00E36F2A" w:rsidRDefault="00F47178" w:rsidP="00127FC0">
      <w:pPr>
        <w:pStyle w:val="Point1number"/>
        <w:numPr>
          <w:ilvl w:val="0"/>
          <w:numId w:val="0"/>
        </w:numPr>
        <w:tabs>
          <w:tab w:val="left" w:pos="851"/>
          <w:tab w:val="left" w:pos="1418"/>
          <w:tab w:val="left" w:pos="1985"/>
          <w:tab w:val="left" w:pos="2552"/>
        </w:tabs>
        <w:spacing w:line="360" w:lineRule="auto"/>
        <w:ind w:left="1985" w:hanging="567"/>
        <w:rPr>
          <w:b/>
          <w:i/>
        </w:rPr>
      </w:pPr>
      <w:r w:rsidRPr="00E36F2A">
        <w:rPr>
          <w:b/>
          <w:i/>
        </w:rPr>
        <w:t>„6a.</w:t>
      </w:r>
      <w:r w:rsidRPr="00E36F2A">
        <w:rPr>
          <w:b/>
          <w:i/>
        </w:rPr>
        <w:tab/>
        <w:t xml:space="preserve">Pagal </w:t>
      </w:r>
      <w:r w:rsidR="00A64B8A" w:rsidRPr="00E36F2A">
        <w:rPr>
          <w:b/>
          <w:i/>
        </w:rPr>
        <w:t xml:space="preserve">18a </w:t>
      </w:r>
      <w:r w:rsidRPr="00E36F2A">
        <w:rPr>
          <w:b/>
          <w:i/>
        </w:rPr>
        <w:t xml:space="preserve">straipsnio </w:t>
      </w:r>
      <w:r w:rsidR="00A64B8A" w:rsidRPr="00E36F2A">
        <w:rPr>
          <w:b/>
          <w:i/>
        </w:rPr>
        <w:t>3</w:t>
      </w:r>
      <w:r w:rsidRPr="00E36F2A">
        <w:rPr>
          <w:b/>
          <w:i/>
        </w:rPr>
        <w:t xml:space="preserve"> dalį ir 54 straipsnio 7 dalį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trimis mėnesiais.“;</w:t>
      </w:r>
    </w:p>
    <w:p w:rsidR="00F47178" w:rsidRPr="00E36F2A" w:rsidRDefault="002C77D7" w:rsidP="00127FC0">
      <w:pPr>
        <w:pStyle w:val="Point1number"/>
        <w:numPr>
          <w:ilvl w:val="0"/>
          <w:numId w:val="0"/>
        </w:numPr>
        <w:tabs>
          <w:tab w:val="left" w:pos="851"/>
          <w:tab w:val="left" w:pos="1418"/>
          <w:tab w:val="left" w:pos="1985"/>
          <w:tab w:val="left" w:pos="2552"/>
        </w:tabs>
        <w:spacing w:line="360" w:lineRule="auto"/>
        <w:ind w:left="851" w:hanging="851"/>
        <w:rPr>
          <w:b/>
          <w:i/>
        </w:rPr>
      </w:pPr>
      <w:r w:rsidRPr="00E36F2A">
        <w:br w:type="page"/>
      </w:r>
      <w:r w:rsidR="00A64B8A" w:rsidRPr="00E36F2A">
        <w:rPr>
          <w:b/>
          <w:i/>
        </w:rPr>
        <w:lastRenderedPageBreak/>
        <w:t>9</w:t>
      </w:r>
      <w:r w:rsidR="00F47178" w:rsidRPr="00E36F2A">
        <w:rPr>
          <w:b/>
          <w:i/>
        </w:rPr>
        <w:t>)</w:t>
      </w:r>
      <w:r w:rsidR="00F47178" w:rsidRPr="00E36F2A">
        <w:rPr>
          <w:b/>
          <w:i/>
        </w:rPr>
        <w:tab/>
        <w:t>51 straipsnio 5 dalis pakeičiama taip:</w:t>
      </w:r>
    </w:p>
    <w:p w:rsidR="00F47178" w:rsidRPr="00E36F2A" w:rsidRDefault="00F47178" w:rsidP="00B61704">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 xml:space="preserve">„5. </w:t>
      </w:r>
      <w:r w:rsidRPr="00E36F2A">
        <w:rPr>
          <w:b/>
          <w:i/>
        </w:rPr>
        <w:tab/>
        <w:t>Jeigu Komisija nėra priėmusi lygiavertiškumo sprendimo, kaip nurodyta 30 straipsnio 2 arba 3 dalyje, jei administratorius nėra pripažintas pagal 32 straipsnį arba jei lyginamasis indeksas nėra patvirtintas pagal 33 straipsnį, prižiūrimiems subjektams Sąjungoje leidžiama naudoti treči</w:t>
      </w:r>
      <w:r w:rsidR="00B61704" w:rsidRPr="00E36F2A">
        <w:rPr>
          <w:b/>
          <w:i/>
        </w:rPr>
        <w:t>osios šalies</w:t>
      </w:r>
      <w:r w:rsidRPr="00E36F2A">
        <w:rPr>
          <w:b/>
          <w:i/>
        </w:rPr>
        <w:t xml:space="preserve"> lyginamąjį indeksą</w:t>
      </w:r>
      <w:r w:rsidR="00965EF6" w:rsidRPr="00E36F2A">
        <w:rPr>
          <w:b/>
          <w:i/>
        </w:rPr>
        <w:t xml:space="preserve"> </w:t>
      </w:r>
      <w:r w:rsidRPr="00E36F2A">
        <w:rPr>
          <w:b/>
          <w:i/>
        </w:rPr>
        <w:t xml:space="preserve">tik tokioms finansinėms priemonėms, finansinėms sutartims </w:t>
      </w:r>
      <w:r w:rsidR="00965EF6" w:rsidRPr="00E36F2A">
        <w:rPr>
          <w:b/>
          <w:i/>
        </w:rPr>
        <w:t xml:space="preserve">ir </w:t>
      </w:r>
      <w:r w:rsidRPr="00E36F2A">
        <w:rPr>
          <w:b/>
          <w:i/>
        </w:rPr>
        <w:t xml:space="preserve">investicinio fondo veiklos rezultatų vertinimams, kurie jau buvo susieti su </w:t>
      </w:r>
      <w:r w:rsidR="00965EF6" w:rsidRPr="00E36F2A">
        <w:rPr>
          <w:b/>
          <w:i/>
        </w:rPr>
        <w:t xml:space="preserve">tuo </w:t>
      </w:r>
      <w:r w:rsidRPr="00E36F2A">
        <w:rPr>
          <w:b/>
          <w:i/>
        </w:rPr>
        <w:t xml:space="preserve">lyginamuoju indeksu arba kurie susiejami su tokiu lyginamuoju indeksu </w:t>
      </w:r>
      <w:r w:rsidR="00965EF6" w:rsidRPr="00E36F2A">
        <w:rPr>
          <w:b/>
          <w:i/>
        </w:rPr>
        <w:t>iki</w:t>
      </w:r>
      <w:r w:rsidRPr="00E36F2A">
        <w:rPr>
          <w:b/>
          <w:i/>
        </w:rPr>
        <w:t xml:space="preserve"> 2023 m. gruodžio 31 d. </w:t>
      </w:r>
    </w:p>
    <w:p w:rsidR="00F47178" w:rsidRPr="00E36F2A" w:rsidRDefault="00F47178" w:rsidP="00B61704">
      <w:pPr>
        <w:pStyle w:val="Point1number"/>
        <w:numPr>
          <w:ilvl w:val="0"/>
          <w:numId w:val="0"/>
        </w:numPr>
        <w:tabs>
          <w:tab w:val="left" w:pos="851"/>
          <w:tab w:val="left" w:pos="1418"/>
          <w:tab w:val="left" w:pos="1985"/>
          <w:tab w:val="left" w:pos="2552"/>
        </w:tabs>
        <w:spacing w:line="360" w:lineRule="auto"/>
        <w:ind w:left="1418"/>
        <w:rPr>
          <w:b/>
          <w:i/>
        </w:rPr>
      </w:pPr>
      <w:r w:rsidRPr="00E36F2A">
        <w:rPr>
          <w:b/>
          <w:i/>
        </w:rPr>
        <w:t>Pirm</w:t>
      </w:r>
      <w:r w:rsidR="00965EF6" w:rsidRPr="00E36F2A">
        <w:rPr>
          <w:b/>
          <w:i/>
        </w:rPr>
        <w:t>a</w:t>
      </w:r>
      <w:r w:rsidRPr="00E36F2A">
        <w:rPr>
          <w:b/>
          <w:i/>
        </w:rPr>
        <w:t xml:space="preserve"> pastraip</w:t>
      </w:r>
      <w:r w:rsidR="00965EF6" w:rsidRPr="00E36F2A">
        <w:rPr>
          <w:b/>
          <w:i/>
        </w:rPr>
        <w:t>a</w:t>
      </w:r>
      <w:r w:rsidRPr="00E36F2A">
        <w:rPr>
          <w:b/>
          <w:i/>
        </w:rPr>
        <w:t xml:space="preserve"> netaikoma lyginamiesiems indeksams, teikiamiems administratorių, kurie pereinamuoju laikotarpiu perkelia savo veiklą iš Sąjungos į trečiąją šalį. Laikydamasi 35 straipsnio kompetentinga institucija praneša</w:t>
      </w:r>
      <w:r w:rsidR="00053216" w:rsidRPr="00E36F2A">
        <w:rPr>
          <w:b/>
          <w:i/>
        </w:rPr>
        <w:t xml:space="preserve"> apie tai</w:t>
      </w:r>
      <w:r w:rsidRPr="00E36F2A">
        <w:rPr>
          <w:b/>
          <w:i/>
        </w:rPr>
        <w:t xml:space="preserve"> ESMA. ESMA parengia </w:t>
      </w:r>
      <w:r w:rsidR="00B61704" w:rsidRPr="00E36F2A">
        <w:rPr>
          <w:b/>
          <w:i/>
        </w:rPr>
        <w:t xml:space="preserve">trečiųjų šalių </w:t>
      </w:r>
      <w:r w:rsidRPr="00E36F2A">
        <w:rPr>
          <w:b/>
          <w:i/>
        </w:rPr>
        <w:t xml:space="preserve">lyginamųjų indeksų, </w:t>
      </w:r>
      <w:r w:rsidR="00053216" w:rsidRPr="00E36F2A">
        <w:rPr>
          <w:b/>
          <w:i/>
        </w:rPr>
        <w:t>kuriems netaikoma pirma pastraipa</w:t>
      </w:r>
      <w:r w:rsidRPr="00E36F2A">
        <w:rPr>
          <w:b/>
          <w:i/>
        </w:rPr>
        <w:t>, sąrašą.“;</w:t>
      </w:r>
    </w:p>
    <w:p w:rsidR="00F47178" w:rsidRPr="00E36F2A" w:rsidRDefault="002C77D7" w:rsidP="00A64B8A">
      <w:pPr>
        <w:pStyle w:val="Point1number"/>
        <w:numPr>
          <w:ilvl w:val="0"/>
          <w:numId w:val="0"/>
        </w:numPr>
        <w:tabs>
          <w:tab w:val="left" w:pos="851"/>
          <w:tab w:val="left" w:pos="1418"/>
          <w:tab w:val="left" w:pos="1985"/>
          <w:tab w:val="left" w:pos="2552"/>
        </w:tabs>
        <w:spacing w:line="360" w:lineRule="auto"/>
        <w:ind w:left="851" w:hanging="851"/>
        <w:rPr>
          <w:b/>
          <w:i/>
        </w:rPr>
      </w:pPr>
      <w:r w:rsidRPr="00E36F2A">
        <w:br w:type="page"/>
      </w:r>
      <w:r w:rsidR="00A64B8A" w:rsidRPr="00E36F2A">
        <w:rPr>
          <w:b/>
          <w:i/>
        </w:rPr>
        <w:lastRenderedPageBreak/>
        <w:t>10</w:t>
      </w:r>
      <w:r w:rsidR="00F47178" w:rsidRPr="00E36F2A">
        <w:rPr>
          <w:b/>
          <w:i/>
        </w:rPr>
        <w:t xml:space="preserve">) </w:t>
      </w:r>
      <w:r w:rsidR="00F47178" w:rsidRPr="00E36F2A">
        <w:rPr>
          <w:b/>
          <w:i/>
        </w:rPr>
        <w:tab/>
        <w:t>54 straipsnio 6 dalis pakeičiama taip:</w:t>
      </w:r>
    </w:p>
    <w:p w:rsidR="00673C4B" w:rsidRPr="00E36F2A" w:rsidRDefault="00F47178" w:rsidP="008338C1">
      <w:pPr>
        <w:pStyle w:val="Point1number"/>
        <w:numPr>
          <w:ilvl w:val="0"/>
          <w:numId w:val="0"/>
        </w:numPr>
        <w:tabs>
          <w:tab w:val="left" w:pos="1418"/>
          <w:tab w:val="left" w:pos="2552"/>
        </w:tabs>
        <w:spacing w:line="360" w:lineRule="auto"/>
        <w:ind w:left="1418" w:hanging="567"/>
        <w:rPr>
          <w:b/>
          <w:i/>
        </w:rPr>
      </w:pPr>
      <w:r w:rsidRPr="00E36F2A">
        <w:rPr>
          <w:b/>
          <w:i/>
        </w:rPr>
        <w:t>„6.</w:t>
      </w:r>
      <w:r w:rsidRPr="00E36F2A">
        <w:rPr>
          <w:b/>
          <w:i/>
        </w:rPr>
        <w:tab/>
        <w:t xml:space="preserve">Ne vėliau kaip 2023 m. birželio 15 d. Komisija pateikia Europos Parlamentui ir Tarybai šio reglamento taikymo srities ataskaitą, visų pirma atsižvelgdama į prižiūrimų subjektų tolesnį </w:t>
      </w:r>
      <w:r w:rsidR="008338C1" w:rsidRPr="00E36F2A">
        <w:rPr>
          <w:b/>
          <w:i/>
        </w:rPr>
        <w:t xml:space="preserve">naudojimąsi trečiųjų šalių </w:t>
      </w:r>
      <w:r w:rsidRPr="00E36F2A">
        <w:rPr>
          <w:b/>
          <w:i/>
        </w:rPr>
        <w:t>lyginam</w:t>
      </w:r>
      <w:r w:rsidR="008338C1" w:rsidRPr="00E36F2A">
        <w:rPr>
          <w:b/>
          <w:i/>
        </w:rPr>
        <w:t>aisiais</w:t>
      </w:r>
      <w:r w:rsidRPr="00E36F2A">
        <w:rPr>
          <w:b/>
          <w:i/>
        </w:rPr>
        <w:t xml:space="preserve"> indeks</w:t>
      </w:r>
      <w:r w:rsidR="008338C1" w:rsidRPr="00E36F2A">
        <w:rPr>
          <w:b/>
          <w:i/>
        </w:rPr>
        <w:t xml:space="preserve">ais ir </w:t>
      </w:r>
      <w:r w:rsidRPr="00E36F2A">
        <w:rPr>
          <w:b/>
          <w:i/>
        </w:rPr>
        <w:t xml:space="preserve">galimus dabartinės reglamentavimo sistemos trūkumus. Toje ataskaitoje visų pirma įvertinama, ar reikia iš dalies pakeisti šį reglamentą, kad jo taikymo sritis būtų susiaurinta ir į ją patektų tik tam tikrų </w:t>
      </w:r>
      <w:r w:rsidR="00963AF2" w:rsidRPr="00E36F2A">
        <w:rPr>
          <w:b/>
          <w:i/>
        </w:rPr>
        <w:t xml:space="preserve">rūšių </w:t>
      </w:r>
      <w:r w:rsidRPr="00E36F2A">
        <w:rPr>
          <w:b/>
          <w:i/>
        </w:rPr>
        <w:t>lyginamieji indeksai arba lyginamieji indeksai, kurie plačiai naudojami Sąjungoje</w:t>
      </w:r>
      <w:r w:rsidR="00963AF2" w:rsidRPr="00E36F2A">
        <w:rPr>
          <w:b/>
          <w:i/>
        </w:rPr>
        <w:t xml:space="preserve">, ir </w:t>
      </w:r>
      <w:r w:rsidRPr="00E36F2A">
        <w:rPr>
          <w:b/>
          <w:i/>
        </w:rPr>
        <w:t>su ataskaita</w:t>
      </w:r>
      <w:r w:rsidR="00963AF2" w:rsidRPr="00E36F2A">
        <w:rPr>
          <w:b/>
          <w:i/>
        </w:rPr>
        <w:t>, kai tinkama,</w:t>
      </w:r>
      <w:r w:rsidRPr="00E36F2A">
        <w:rPr>
          <w:b/>
          <w:i/>
        </w:rPr>
        <w:t xml:space="preserve"> pateikiamas pasiūlymas dėl teisėkūros procedūra priimamo akto.</w:t>
      </w:r>
    </w:p>
    <w:p w:rsidR="00F47178" w:rsidRPr="00E36F2A" w:rsidRDefault="00F47178" w:rsidP="008338C1">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7.</w:t>
      </w:r>
      <w:r w:rsidRPr="00E36F2A">
        <w:rPr>
          <w:b/>
          <w:i/>
        </w:rPr>
        <w:tab/>
        <w:t>Komisijai pagal 49 straipsnį suteikiami įgaliojimai priimti deleguotąjį aktą ne vėliau kaip 2023 m. birželio 15 d.</w:t>
      </w:r>
      <w:r w:rsidR="00963AF2" w:rsidRPr="00E36F2A">
        <w:rPr>
          <w:b/>
          <w:i/>
        </w:rPr>
        <w:t>, siekiant</w:t>
      </w:r>
      <w:r w:rsidRPr="00E36F2A">
        <w:rPr>
          <w:b/>
          <w:i/>
        </w:rPr>
        <w:t xml:space="preserve"> pratęsti 51 straipsnio 5 dalyje nurodytą pereinamąjį laikotarpį ne ilgiau kaip iki 2025 m. gruodžio 31 d., jei iš </w:t>
      </w:r>
      <w:r w:rsidR="0016165B" w:rsidRPr="00E36F2A">
        <w:rPr>
          <w:b/>
          <w:i/>
        </w:rPr>
        <w:t xml:space="preserve">šio straipsnio </w:t>
      </w:r>
      <w:r w:rsidRPr="00E36F2A">
        <w:rPr>
          <w:b/>
          <w:i/>
        </w:rPr>
        <w:t xml:space="preserve">6 </w:t>
      </w:r>
      <w:r w:rsidR="00963AF2" w:rsidRPr="00E36F2A">
        <w:rPr>
          <w:b/>
          <w:i/>
        </w:rPr>
        <w:t xml:space="preserve">dalyje </w:t>
      </w:r>
      <w:r w:rsidRPr="00E36F2A">
        <w:rPr>
          <w:b/>
          <w:i/>
        </w:rPr>
        <w:t xml:space="preserve">nurodytos ataskaitos matyti, kad priešingu atveju </w:t>
      </w:r>
      <w:r w:rsidR="008338C1" w:rsidRPr="00E36F2A">
        <w:rPr>
          <w:b/>
          <w:i/>
        </w:rPr>
        <w:t xml:space="preserve">būtų smarkiai sutrikdytas </w:t>
      </w:r>
      <w:r w:rsidRPr="00E36F2A">
        <w:rPr>
          <w:b/>
          <w:i/>
        </w:rPr>
        <w:t xml:space="preserve">prižiūrimų subjektų </w:t>
      </w:r>
      <w:r w:rsidR="0016165B" w:rsidRPr="00E36F2A">
        <w:rPr>
          <w:b/>
          <w:i/>
        </w:rPr>
        <w:t xml:space="preserve">tolesnis </w:t>
      </w:r>
      <w:r w:rsidR="008338C1" w:rsidRPr="00E36F2A">
        <w:rPr>
          <w:b/>
          <w:i/>
        </w:rPr>
        <w:t xml:space="preserve">naudojimasis Sąjungoje </w:t>
      </w:r>
      <w:r w:rsidRPr="00E36F2A">
        <w:rPr>
          <w:b/>
          <w:i/>
        </w:rPr>
        <w:t>tam tikr</w:t>
      </w:r>
      <w:r w:rsidR="008338C1" w:rsidRPr="00E36F2A">
        <w:rPr>
          <w:b/>
          <w:i/>
        </w:rPr>
        <w:t>ais</w:t>
      </w:r>
      <w:r w:rsidRPr="00E36F2A">
        <w:rPr>
          <w:b/>
          <w:i/>
        </w:rPr>
        <w:t xml:space="preserve"> treči</w:t>
      </w:r>
      <w:r w:rsidR="008338C1" w:rsidRPr="00E36F2A">
        <w:rPr>
          <w:b/>
          <w:i/>
        </w:rPr>
        <w:t>ųjų</w:t>
      </w:r>
      <w:r w:rsidRPr="00E36F2A">
        <w:rPr>
          <w:b/>
          <w:i/>
        </w:rPr>
        <w:t xml:space="preserve"> </w:t>
      </w:r>
      <w:r w:rsidR="008338C1" w:rsidRPr="00E36F2A">
        <w:rPr>
          <w:b/>
          <w:i/>
        </w:rPr>
        <w:t>šalių</w:t>
      </w:r>
      <w:r w:rsidRPr="00E36F2A">
        <w:rPr>
          <w:b/>
          <w:i/>
        </w:rPr>
        <w:t xml:space="preserve"> lyginam</w:t>
      </w:r>
      <w:r w:rsidR="008338C1" w:rsidRPr="00E36F2A">
        <w:rPr>
          <w:b/>
          <w:i/>
        </w:rPr>
        <w:t>aisiais indeksais</w:t>
      </w:r>
      <w:r w:rsidRPr="00E36F2A">
        <w:rPr>
          <w:b/>
          <w:i/>
        </w:rPr>
        <w:t xml:space="preserve"> </w:t>
      </w:r>
      <w:r w:rsidR="00A64B8A" w:rsidRPr="00E36F2A">
        <w:rPr>
          <w:b/>
          <w:i/>
        </w:rPr>
        <w:t>arba</w:t>
      </w:r>
      <w:r w:rsidRPr="00E36F2A">
        <w:rPr>
          <w:b/>
          <w:i/>
        </w:rPr>
        <w:t xml:space="preserve"> tai keltų grėsmę finansiniam stabilumui.“.</w:t>
      </w:r>
    </w:p>
    <w:p w:rsidR="00F47178" w:rsidRPr="00E36F2A" w:rsidRDefault="002C77D7" w:rsidP="00F5129F">
      <w:pPr>
        <w:pStyle w:val="Titrearticle"/>
        <w:tabs>
          <w:tab w:val="left" w:pos="851"/>
          <w:tab w:val="left" w:pos="1418"/>
          <w:tab w:val="left" w:pos="1985"/>
          <w:tab w:val="left" w:pos="2552"/>
        </w:tabs>
        <w:spacing w:line="360" w:lineRule="auto"/>
        <w:rPr>
          <w:b/>
          <w:i w:val="0"/>
          <w:color w:val="000000" w:themeColor="text1"/>
        </w:rPr>
      </w:pPr>
      <w:r w:rsidRPr="00E36F2A">
        <w:br w:type="page"/>
      </w:r>
      <w:r w:rsidR="00F47178" w:rsidRPr="00E36F2A">
        <w:rPr>
          <w:b/>
          <w:color w:val="000000" w:themeColor="text1"/>
        </w:rPr>
        <w:lastRenderedPageBreak/>
        <w:t>2 straipsnis</w:t>
      </w:r>
      <w:r w:rsidR="00F47178" w:rsidRPr="00E36F2A">
        <w:rPr>
          <w:b/>
          <w:color w:val="000000" w:themeColor="text1"/>
        </w:rPr>
        <w:br/>
        <w:t xml:space="preserve">Reglamento (ES) Nr. 648/2012 </w:t>
      </w:r>
      <w:r w:rsidR="00963AF2" w:rsidRPr="00E36F2A">
        <w:rPr>
          <w:b/>
          <w:color w:val="000000" w:themeColor="text1"/>
        </w:rPr>
        <w:t>dalini</w:t>
      </w:r>
      <w:r w:rsidR="0006377D" w:rsidRPr="00E36F2A">
        <w:rPr>
          <w:b/>
          <w:color w:val="000000" w:themeColor="text1"/>
        </w:rPr>
        <w:t>s</w:t>
      </w:r>
      <w:r w:rsidR="00963AF2" w:rsidRPr="00E36F2A">
        <w:rPr>
          <w:b/>
          <w:color w:val="000000" w:themeColor="text1"/>
        </w:rPr>
        <w:t xml:space="preserve"> </w:t>
      </w:r>
      <w:r w:rsidR="00F47178" w:rsidRPr="00E36F2A">
        <w:rPr>
          <w:b/>
          <w:color w:val="000000" w:themeColor="text1"/>
        </w:rPr>
        <w:t>pakeitima</w:t>
      </w:r>
      <w:r w:rsidR="0006377D" w:rsidRPr="00E36F2A">
        <w:rPr>
          <w:b/>
          <w:color w:val="000000" w:themeColor="text1"/>
        </w:rPr>
        <w:t>s</w:t>
      </w:r>
    </w:p>
    <w:p w:rsidR="00F47178" w:rsidRPr="00E36F2A" w:rsidRDefault="00F47178" w:rsidP="009C632B">
      <w:pPr>
        <w:pStyle w:val="Point1number"/>
        <w:numPr>
          <w:ilvl w:val="0"/>
          <w:numId w:val="0"/>
        </w:numPr>
        <w:tabs>
          <w:tab w:val="left" w:pos="851"/>
          <w:tab w:val="left" w:pos="1418"/>
          <w:tab w:val="left" w:pos="1985"/>
          <w:tab w:val="left" w:pos="2552"/>
        </w:tabs>
        <w:spacing w:line="360" w:lineRule="auto"/>
        <w:rPr>
          <w:b/>
          <w:i/>
        </w:rPr>
      </w:pPr>
      <w:r w:rsidRPr="00E36F2A">
        <w:rPr>
          <w:b/>
          <w:i/>
        </w:rPr>
        <w:t>Reglamento (EB) Nr. 648/2012 13a straipsnis pakeičiamas taip:</w:t>
      </w:r>
    </w:p>
    <w:p w:rsidR="00F47178" w:rsidRPr="00E36F2A" w:rsidRDefault="00F47178" w:rsidP="009C632B">
      <w:pPr>
        <w:pStyle w:val="Point1number"/>
        <w:numPr>
          <w:ilvl w:val="0"/>
          <w:numId w:val="0"/>
        </w:numPr>
        <w:tabs>
          <w:tab w:val="left" w:pos="851"/>
          <w:tab w:val="left" w:pos="1418"/>
          <w:tab w:val="left" w:pos="1985"/>
          <w:tab w:val="left" w:pos="2552"/>
        </w:tabs>
        <w:spacing w:line="360" w:lineRule="auto"/>
        <w:rPr>
          <w:b/>
          <w:i/>
        </w:rPr>
      </w:pPr>
      <w:r w:rsidRPr="00E36F2A">
        <w:rPr>
          <w:b/>
          <w:i/>
        </w:rPr>
        <w:t>„13a straipsnis</w:t>
      </w:r>
      <w:r w:rsidRPr="00E36F2A">
        <w:rPr>
          <w:b/>
          <w:i/>
        </w:rPr>
        <w:br/>
        <w:t>Anksčiau sudarytų sutarčių pakeitimai siekiant įgyvendinti lyginamųjų indeksų reformas</w:t>
      </w:r>
    </w:p>
    <w:p w:rsidR="00F47178" w:rsidRPr="00E36F2A" w:rsidRDefault="00F47178">
      <w:pPr>
        <w:pStyle w:val="Point1number"/>
        <w:numPr>
          <w:ilvl w:val="0"/>
          <w:numId w:val="0"/>
        </w:numPr>
        <w:tabs>
          <w:tab w:val="left" w:pos="851"/>
          <w:tab w:val="left" w:pos="1418"/>
          <w:tab w:val="left" w:pos="1985"/>
          <w:tab w:val="left" w:pos="2552"/>
        </w:tabs>
        <w:spacing w:line="360" w:lineRule="auto"/>
        <w:ind w:left="851" w:hanging="851"/>
        <w:rPr>
          <w:b/>
          <w:i/>
        </w:rPr>
      </w:pPr>
      <w:r w:rsidRPr="00E36F2A">
        <w:rPr>
          <w:b/>
          <w:i/>
        </w:rPr>
        <w:t>1.</w:t>
      </w:r>
      <w:r w:rsidRPr="00E36F2A">
        <w:rPr>
          <w:b/>
          <w:i/>
        </w:rPr>
        <w:tab/>
        <w:t>Sandorio šalys gali toliau taikyti rizikos valdymo procedūras</w:t>
      </w:r>
      <w:r w:rsidR="00963AF2" w:rsidRPr="00E36F2A">
        <w:rPr>
          <w:b/>
          <w:i/>
        </w:rPr>
        <w:t>, nurodytas 11 straipsnio 3 dalyje</w:t>
      </w:r>
      <w:r w:rsidRPr="00E36F2A">
        <w:rPr>
          <w:b/>
          <w:i/>
        </w:rPr>
        <w:t xml:space="preserve">, kurias </w:t>
      </w:r>
      <w:r w:rsidR="00A64B8A" w:rsidRPr="00E36F2A">
        <w:rPr>
          <w:b/>
          <w:i/>
        </w:rPr>
        <w:t>... [</w:t>
      </w:r>
      <w:r w:rsidRPr="00E36F2A">
        <w:rPr>
          <w:b/>
          <w:i/>
        </w:rPr>
        <w:t>šio</w:t>
      </w:r>
      <w:r w:rsidR="00A64B8A" w:rsidRPr="00E36F2A">
        <w:rPr>
          <w:b/>
          <w:i/>
        </w:rPr>
        <w:t xml:space="preserve"> iš dalies keičiančio</w:t>
      </w:r>
      <w:r w:rsidRPr="00E36F2A">
        <w:rPr>
          <w:b/>
          <w:i/>
        </w:rPr>
        <w:t xml:space="preserve"> reglamento</w:t>
      </w:r>
      <w:r w:rsidR="00A64B8A" w:rsidRPr="00E36F2A">
        <w:rPr>
          <w:b/>
          <w:i/>
        </w:rPr>
        <w:t xml:space="preserve"> </w:t>
      </w:r>
      <w:r w:rsidR="0006377D" w:rsidRPr="00E36F2A">
        <w:rPr>
          <w:b/>
          <w:i/>
        </w:rPr>
        <w:t>taikymo pradžios data</w:t>
      </w:r>
      <w:r w:rsidR="00A64B8A" w:rsidRPr="00E36F2A">
        <w:rPr>
          <w:b/>
          <w:i/>
        </w:rPr>
        <w:t>]</w:t>
      </w:r>
      <w:r w:rsidRPr="00E36F2A">
        <w:rPr>
          <w:b/>
          <w:i/>
        </w:rPr>
        <w:t xml:space="preserve"> jos jau taiko ne biržos išvestinių finansinių priemonių sutartims, kurių tarpuskaitos pagrindinės sandorio šalys neatlieka ir kurios buvo sudarytos ar pakeistos iki pareigos nustatyti rizikos valdymo procedūras pagal 11 straipsnio 3 dalį įsigaliojimo dienos, jeigu po ... [šio iš dalies keičiančio reglamento </w:t>
      </w:r>
      <w:r w:rsidR="0006377D" w:rsidRPr="00E36F2A">
        <w:rPr>
          <w:b/>
          <w:i/>
        </w:rPr>
        <w:t>taikymo pradžios data</w:t>
      </w:r>
      <w:r w:rsidRPr="00E36F2A">
        <w:rPr>
          <w:b/>
          <w:i/>
        </w:rPr>
        <w:t>] tos sutartys atitinkamai keičiamos, atnaujinamos arba pakeičiamos išimtinai jose nurodyto lyginamojo indekso pakeitimo tikslu arba siekiant įtraukti nuostatą dėl atsarginės normos, susijusios su bet kuriuo toje sutartyje nurodytu lyginamuoju indeksu.</w:t>
      </w:r>
    </w:p>
    <w:p w:rsidR="00F47178" w:rsidRPr="00E36F2A" w:rsidRDefault="00F47178">
      <w:pPr>
        <w:pStyle w:val="Point1number"/>
        <w:numPr>
          <w:ilvl w:val="0"/>
          <w:numId w:val="0"/>
        </w:numPr>
        <w:tabs>
          <w:tab w:val="left" w:pos="851"/>
          <w:tab w:val="left" w:pos="1418"/>
          <w:tab w:val="left" w:pos="1985"/>
          <w:tab w:val="left" w:pos="2552"/>
        </w:tabs>
        <w:spacing w:line="360" w:lineRule="auto"/>
        <w:ind w:left="851" w:hanging="851"/>
        <w:rPr>
          <w:b/>
          <w:i/>
        </w:rPr>
      </w:pPr>
      <w:r w:rsidRPr="00E36F2A">
        <w:rPr>
          <w:b/>
          <w:i/>
        </w:rPr>
        <w:t>2.</w:t>
      </w:r>
      <w:r w:rsidRPr="00E36F2A">
        <w:rPr>
          <w:b/>
          <w:i/>
        </w:rPr>
        <w:tab/>
        <w:t xml:space="preserve">Sutartims, kurios buvo sudarytos arba pakeistos iki tarpuskaitos prievolės įsigaliojimo pagal 4 straipsnį dienos ir kurios po ... [šio iš dalies keičiančio reglamento </w:t>
      </w:r>
      <w:r w:rsidR="0006377D" w:rsidRPr="00E36F2A">
        <w:rPr>
          <w:b/>
          <w:i/>
        </w:rPr>
        <w:t>taikymo pradžios data</w:t>
      </w:r>
      <w:r w:rsidRPr="00E36F2A">
        <w:rPr>
          <w:b/>
          <w:i/>
        </w:rPr>
        <w:t>] yra vėliau keičiamos arba atnaujinamos išimtinai jose nurodyto lyginamojo indekso pakeitimo tikslu arba siekiant įtraukti nuostatą dėl atsarginės normos, susijusios su bet kuriuo toje sutartyje nurodytu lyginamuoju indeksu, 4 straipsnyje nurodyta tarpuskaitos prievolė dėl tos priežasties nepradedama taikyti.</w:t>
      </w:r>
    </w:p>
    <w:p w:rsidR="00F47178" w:rsidRPr="00E36F2A" w:rsidRDefault="002C77D7">
      <w:pPr>
        <w:pStyle w:val="Point1number"/>
        <w:numPr>
          <w:ilvl w:val="0"/>
          <w:numId w:val="0"/>
        </w:numPr>
        <w:tabs>
          <w:tab w:val="left" w:pos="851"/>
          <w:tab w:val="left" w:pos="1418"/>
          <w:tab w:val="left" w:pos="1985"/>
          <w:tab w:val="left" w:pos="2552"/>
        </w:tabs>
        <w:spacing w:line="360" w:lineRule="auto"/>
        <w:ind w:left="851" w:hanging="851"/>
        <w:rPr>
          <w:b/>
          <w:i/>
        </w:rPr>
      </w:pPr>
      <w:r w:rsidRPr="00E36F2A">
        <w:br w:type="page"/>
      </w:r>
      <w:r w:rsidR="00F47178" w:rsidRPr="00E36F2A">
        <w:rPr>
          <w:b/>
          <w:i/>
        </w:rPr>
        <w:lastRenderedPageBreak/>
        <w:t xml:space="preserve">3. </w:t>
      </w:r>
      <w:r w:rsidR="00F47178" w:rsidRPr="00E36F2A">
        <w:rPr>
          <w:b/>
          <w:i/>
        </w:rPr>
        <w:tab/>
        <w:t xml:space="preserve">1 ir 2 dalys taikomos tik ne biržos išvestinių finansinių priemonių </w:t>
      </w:r>
      <w:r w:rsidR="00963AF2" w:rsidRPr="00E36F2A">
        <w:rPr>
          <w:b/>
          <w:i/>
        </w:rPr>
        <w:t>sutartims, kurių keitimas arba atnaujinimas</w:t>
      </w:r>
      <w:r w:rsidR="00F47178" w:rsidRPr="00E36F2A">
        <w:rPr>
          <w:b/>
          <w:i/>
        </w:rPr>
        <w:t>:</w:t>
      </w:r>
    </w:p>
    <w:p w:rsidR="00F47178" w:rsidRPr="00E36F2A" w:rsidRDefault="00F47178" w:rsidP="000C1E1D">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 xml:space="preserve">a) </w:t>
      </w:r>
      <w:r w:rsidRPr="00E36F2A">
        <w:rPr>
          <w:b/>
          <w:i/>
        </w:rPr>
        <w:tab/>
        <w:t>būtin</w:t>
      </w:r>
      <w:r w:rsidR="00963AF2" w:rsidRPr="00E36F2A">
        <w:rPr>
          <w:b/>
          <w:i/>
        </w:rPr>
        <w:t>a</w:t>
      </w:r>
      <w:r w:rsidRPr="00E36F2A">
        <w:rPr>
          <w:b/>
          <w:i/>
        </w:rPr>
        <w:t xml:space="preserve">s siekiant </w:t>
      </w:r>
      <w:r w:rsidR="00963AF2" w:rsidRPr="00E36F2A">
        <w:rPr>
          <w:b/>
          <w:i/>
        </w:rPr>
        <w:t xml:space="preserve">pakeisti </w:t>
      </w:r>
      <w:r w:rsidRPr="00E36F2A">
        <w:rPr>
          <w:b/>
          <w:i/>
        </w:rPr>
        <w:t>lyginamąjį indeksą įgyvendinant lyginamųjų indeksų reform</w:t>
      </w:r>
      <w:r w:rsidR="00963AF2" w:rsidRPr="00E36F2A">
        <w:rPr>
          <w:b/>
          <w:i/>
        </w:rPr>
        <w:t>as</w:t>
      </w:r>
      <w:r w:rsidRPr="00E36F2A">
        <w:rPr>
          <w:b/>
          <w:i/>
        </w:rPr>
        <w:t>;</w:t>
      </w:r>
    </w:p>
    <w:p w:rsidR="00F47178" w:rsidRPr="00E36F2A" w:rsidRDefault="00F47178" w:rsidP="008338C1">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 xml:space="preserve">b) </w:t>
      </w:r>
      <w:r w:rsidRPr="00E36F2A">
        <w:rPr>
          <w:b/>
          <w:i/>
        </w:rPr>
        <w:tab/>
        <w:t>nekeičia ekonominio turinio ar rizikos veiksnio</w:t>
      </w:r>
      <w:r w:rsidR="00607DF5" w:rsidRPr="00E36F2A">
        <w:rPr>
          <w:b/>
          <w:i/>
        </w:rPr>
        <w:t>, kurį atspindi nuoroda į lyginamąjį indeksą tokioje sutartyje</w:t>
      </w:r>
      <w:r w:rsidR="008338C1" w:rsidRPr="00E36F2A">
        <w:rPr>
          <w:b/>
          <w:i/>
        </w:rPr>
        <w:t>,</w:t>
      </w:r>
      <w:r w:rsidRPr="00E36F2A">
        <w:rPr>
          <w:b/>
          <w:i/>
        </w:rPr>
        <w:t xml:space="preserve"> </w:t>
      </w:r>
      <w:r w:rsidR="00607DF5" w:rsidRPr="00E36F2A">
        <w:rPr>
          <w:b/>
          <w:i/>
        </w:rPr>
        <w:t>ir</w:t>
      </w:r>
    </w:p>
    <w:p w:rsidR="00F47178" w:rsidRPr="00E36F2A" w:rsidRDefault="00F47178" w:rsidP="008338C1">
      <w:pPr>
        <w:pStyle w:val="Point1number"/>
        <w:numPr>
          <w:ilvl w:val="0"/>
          <w:numId w:val="0"/>
        </w:numPr>
        <w:tabs>
          <w:tab w:val="left" w:pos="851"/>
          <w:tab w:val="left" w:pos="1418"/>
          <w:tab w:val="left" w:pos="1985"/>
          <w:tab w:val="left" w:pos="2552"/>
        </w:tabs>
        <w:spacing w:line="360" w:lineRule="auto"/>
        <w:ind w:left="1418" w:hanging="567"/>
        <w:rPr>
          <w:b/>
          <w:i/>
        </w:rPr>
      </w:pPr>
      <w:r w:rsidRPr="00E36F2A">
        <w:rPr>
          <w:b/>
          <w:i/>
        </w:rPr>
        <w:t xml:space="preserve">c) </w:t>
      </w:r>
      <w:r w:rsidRPr="00E36F2A">
        <w:rPr>
          <w:b/>
          <w:i/>
        </w:rPr>
        <w:tab/>
        <w:t>neapima kitų tos sutarties teisin</w:t>
      </w:r>
      <w:r w:rsidR="0006377D" w:rsidRPr="00E36F2A">
        <w:rPr>
          <w:b/>
          <w:i/>
        </w:rPr>
        <w:t>ių</w:t>
      </w:r>
      <w:r w:rsidRPr="00E36F2A">
        <w:rPr>
          <w:b/>
          <w:i/>
        </w:rPr>
        <w:t xml:space="preserve"> sąlyg</w:t>
      </w:r>
      <w:r w:rsidR="0006377D" w:rsidRPr="00E36F2A">
        <w:rPr>
          <w:b/>
          <w:i/>
        </w:rPr>
        <w:t>ų</w:t>
      </w:r>
      <w:r w:rsidRPr="00E36F2A">
        <w:rPr>
          <w:b/>
          <w:i/>
        </w:rPr>
        <w:t>, kurios nėra susi</w:t>
      </w:r>
      <w:r w:rsidR="008338C1" w:rsidRPr="00E36F2A">
        <w:rPr>
          <w:b/>
          <w:i/>
        </w:rPr>
        <w:t>jusios</w:t>
      </w:r>
      <w:r w:rsidRPr="00E36F2A">
        <w:rPr>
          <w:b/>
          <w:i/>
        </w:rPr>
        <w:t xml:space="preserve"> su lyginamuoju indeksu</w:t>
      </w:r>
      <w:r w:rsidR="008338C1" w:rsidRPr="00E36F2A">
        <w:rPr>
          <w:b/>
          <w:i/>
        </w:rPr>
        <w:t>, į kurį daroma nuoroda,</w:t>
      </w:r>
      <w:r w:rsidRPr="00E36F2A">
        <w:rPr>
          <w:b/>
          <w:i/>
        </w:rPr>
        <w:t xml:space="preserve"> </w:t>
      </w:r>
      <w:r w:rsidR="0006377D" w:rsidRPr="00E36F2A">
        <w:rPr>
          <w:b/>
          <w:i/>
        </w:rPr>
        <w:t xml:space="preserve">pakeitimų </w:t>
      </w:r>
      <w:r w:rsidRPr="00E36F2A">
        <w:rPr>
          <w:b/>
          <w:i/>
        </w:rPr>
        <w:t xml:space="preserve">ir todėl potencialiai gali pakeisti sutartį taip, kad ją </w:t>
      </w:r>
      <w:r w:rsidR="0006377D" w:rsidRPr="00E36F2A">
        <w:rPr>
          <w:b/>
          <w:i/>
        </w:rPr>
        <w:t xml:space="preserve">iš esmės </w:t>
      </w:r>
      <w:r w:rsidRPr="00E36F2A">
        <w:rPr>
          <w:b/>
          <w:i/>
        </w:rPr>
        <w:t xml:space="preserve">reikėtų </w:t>
      </w:r>
      <w:r w:rsidR="0006377D" w:rsidRPr="00E36F2A">
        <w:rPr>
          <w:b/>
          <w:i/>
        </w:rPr>
        <w:t>laikyti nauja</w:t>
      </w:r>
      <w:r w:rsidRPr="00E36F2A">
        <w:rPr>
          <w:b/>
          <w:i/>
        </w:rPr>
        <w:t xml:space="preserve"> sutart</w:t>
      </w:r>
      <w:r w:rsidR="0006377D" w:rsidRPr="00E36F2A">
        <w:rPr>
          <w:b/>
          <w:i/>
        </w:rPr>
        <w:t>imi</w:t>
      </w:r>
      <w:r w:rsidRPr="00E36F2A">
        <w:rPr>
          <w:b/>
          <w:i/>
        </w:rPr>
        <w:t>.“.</w:t>
      </w:r>
    </w:p>
    <w:p w:rsidR="00636FF7" w:rsidRPr="00E36F2A" w:rsidRDefault="00D73F5F" w:rsidP="008F39AE">
      <w:pPr>
        <w:pStyle w:val="Titrearticle"/>
        <w:tabs>
          <w:tab w:val="left" w:pos="851"/>
          <w:tab w:val="left" w:pos="1418"/>
          <w:tab w:val="left" w:pos="1985"/>
          <w:tab w:val="left" w:pos="2552"/>
        </w:tabs>
        <w:spacing w:line="360" w:lineRule="auto"/>
        <w:rPr>
          <w:i w:val="0"/>
          <w:color w:val="000000" w:themeColor="text1"/>
        </w:rPr>
      </w:pPr>
      <w:r w:rsidRPr="00E36F2A">
        <w:br w:type="page"/>
      </w:r>
      <w:r w:rsidR="00636FF7" w:rsidRPr="00E36F2A">
        <w:rPr>
          <w:i w:val="0"/>
          <w:color w:val="000000" w:themeColor="text1"/>
        </w:rPr>
        <w:lastRenderedPageBreak/>
        <w:t>3 straipsnis</w:t>
      </w:r>
    </w:p>
    <w:p w:rsidR="00636FF7" w:rsidRPr="00E36F2A" w:rsidRDefault="00636FF7" w:rsidP="00EC58EC">
      <w:pPr>
        <w:tabs>
          <w:tab w:val="left" w:pos="851"/>
          <w:tab w:val="left" w:pos="1418"/>
          <w:tab w:val="left" w:pos="1985"/>
          <w:tab w:val="left" w:pos="2552"/>
        </w:tabs>
        <w:spacing w:line="360" w:lineRule="auto"/>
        <w:rPr>
          <w:color w:val="000000" w:themeColor="text1"/>
        </w:rPr>
      </w:pPr>
      <w:r w:rsidRPr="00E36F2A">
        <w:rPr>
          <w:color w:val="000000" w:themeColor="text1"/>
        </w:rPr>
        <w:t xml:space="preserve">Šis reglamentas įsigalioja kitą dieną po jo paskelbimo </w:t>
      </w:r>
      <w:r w:rsidRPr="00E36F2A">
        <w:rPr>
          <w:i/>
          <w:color w:val="000000" w:themeColor="text1"/>
        </w:rPr>
        <w:t>Europos Sąjungos oficialiajame leidinyje</w:t>
      </w:r>
      <w:r w:rsidRPr="00E36F2A">
        <w:rPr>
          <w:color w:val="000000" w:themeColor="text1"/>
        </w:rPr>
        <w:t>.</w:t>
      </w:r>
    </w:p>
    <w:p w:rsidR="007F05AA" w:rsidRPr="00E36F2A" w:rsidRDefault="00A64B8A" w:rsidP="007F05AA">
      <w:pPr>
        <w:tabs>
          <w:tab w:val="left" w:pos="851"/>
          <w:tab w:val="left" w:pos="1418"/>
          <w:tab w:val="left" w:pos="1985"/>
          <w:tab w:val="left" w:pos="2552"/>
        </w:tabs>
        <w:spacing w:line="360" w:lineRule="auto"/>
        <w:rPr>
          <w:b/>
          <w:bCs/>
          <w:i/>
          <w:iCs/>
          <w:color w:val="000000" w:themeColor="text1"/>
        </w:rPr>
      </w:pPr>
      <w:r w:rsidRPr="00E36F2A">
        <w:rPr>
          <w:color w:val="000000" w:themeColor="text1"/>
        </w:rPr>
        <w:t>Jis</w:t>
      </w:r>
      <w:r w:rsidRPr="00E36F2A">
        <w:rPr>
          <w:b/>
          <w:i/>
          <w:color w:val="000000" w:themeColor="text1"/>
        </w:rPr>
        <w:t xml:space="preserve"> taikomas</w:t>
      </w:r>
      <w:r w:rsidRPr="00E36F2A">
        <w:rPr>
          <w:color w:val="000000" w:themeColor="text1"/>
        </w:rPr>
        <w:t xml:space="preserve"> kitą dieną po jo paskelbimo </w:t>
      </w:r>
      <w:r w:rsidRPr="00E36F2A">
        <w:rPr>
          <w:i/>
          <w:color w:val="000000" w:themeColor="text1"/>
        </w:rPr>
        <w:t>Europos Sąjungos oficialiajame leidinyje</w:t>
      </w:r>
      <w:r w:rsidRPr="00E36F2A">
        <w:rPr>
          <w:color w:val="000000" w:themeColor="text1"/>
        </w:rPr>
        <w:t>.</w:t>
      </w:r>
    </w:p>
    <w:p w:rsidR="00636FF7" w:rsidRPr="00E36F2A" w:rsidRDefault="00636FF7" w:rsidP="00EC58EC">
      <w:pPr>
        <w:tabs>
          <w:tab w:val="left" w:pos="851"/>
          <w:tab w:val="left" w:pos="1418"/>
          <w:tab w:val="left" w:pos="1985"/>
          <w:tab w:val="left" w:pos="2552"/>
        </w:tabs>
        <w:spacing w:before="480" w:line="360" w:lineRule="auto"/>
        <w:rPr>
          <w:color w:val="000000" w:themeColor="text1"/>
        </w:rPr>
      </w:pPr>
      <w:r w:rsidRPr="00E36F2A">
        <w:rPr>
          <w:color w:val="000000" w:themeColor="text1"/>
        </w:rPr>
        <w:t>Šis reglamentas privalomas visas ir tiesiogiai taikomas visose valstybėse narėse.</w:t>
      </w:r>
    </w:p>
    <w:p w:rsidR="00636FF7" w:rsidRPr="00E36F2A" w:rsidRDefault="00847DF9" w:rsidP="00EC58EC">
      <w:pPr>
        <w:pStyle w:val="Fait"/>
        <w:spacing w:line="360" w:lineRule="auto"/>
      </w:pPr>
      <w:r w:rsidRPr="00E36F2A">
        <w:t>Priimta ...</w:t>
      </w:r>
    </w:p>
    <w:p w:rsidR="00636FF7" w:rsidRPr="00E36F2A" w:rsidRDefault="00636FF7" w:rsidP="000D6700">
      <w:pPr>
        <w:pStyle w:val="Institutionquisigne"/>
        <w:tabs>
          <w:tab w:val="clear" w:pos="4252"/>
          <w:tab w:val="left" w:pos="5670"/>
        </w:tabs>
        <w:spacing w:line="360" w:lineRule="auto"/>
      </w:pPr>
      <w:r w:rsidRPr="00E36F2A">
        <w:t>Europos Parlamento vard</w:t>
      </w:r>
      <w:bookmarkStart w:id="1" w:name="_GoBack"/>
      <w:bookmarkEnd w:id="1"/>
      <w:r w:rsidRPr="00E36F2A">
        <w:t>u</w:t>
      </w:r>
      <w:r w:rsidRPr="00E36F2A">
        <w:tab/>
        <w:t>Tarybos vardu</w:t>
      </w:r>
    </w:p>
    <w:p w:rsidR="00367DBE" w:rsidRPr="00E36F2A" w:rsidRDefault="00636FF7" w:rsidP="000D6700">
      <w:pPr>
        <w:pStyle w:val="Personnequisigne"/>
        <w:tabs>
          <w:tab w:val="clear" w:pos="4252"/>
          <w:tab w:val="left" w:pos="5670"/>
        </w:tabs>
        <w:spacing w:line="360" w:lineRule="auto"/>
      </w:pPr>
      <w:r w:rsidRPr="00E36F2A">
        <w:t>Pirmininkas</w:t>
      </w:r>
      <w:r w:rsidRPr="00E36F2A">
        <w:tab/>
        <w:t>Pirmininkas</w:t>
      </w:r>
    </w:p>
    <w:p w:rsidR="00F24A9F" w:rsidRPr="00E36F2A" w:rsidRDefault="00F24A9F" w:rsidP="00F24A9F">
      <w:pPr>
        <w:pStyle w:val="AmOrLang"/>
      </w:pPr>
      <w:r w:rsidRPr="00E36F2A">
        <w:t xml:space="preserve">Or. </w:t>
      </w:r>
      <w:r w:rsidRPr="00E36F2A">
        <w:rPr>
          <w:rStyle w:val="HideTWBExt"/>
          <w:noProof w:val="0"/>
        </w:rPr>
        <w:t>&lt;Original&gt;</w:t>
      </w:r>
      <w:r w:rsidRPr="00E36F2A">
        <w:rPr>
          <w:rStyle w:val="HideTWBInt"/>
        </w:rPr>
        <w:t>{EN}</w:t>
      </w:r>
      <w:r w:rsidRPr="00E36F2A">
        <w:t>en</w:t>
      </w:r>
      <w:r w:rsidRPr="00E36F2A">
        <w:rPr>
          <w:rStyle w:val="HideTWBExt"/>
          <w:noProof w:val="0"/>
        </w:rPr>
        <w:t>&lt;/Original&gt;</w:t>
      </w:r>
    </w:p>
    <w:p w:rsidR="00F24A9F" w:rsidRPr="00E36F2A" w:rsidRDefault="00F24A9F" w:rsidP="00F24A9F">
      <w:pPr>
        <w:pStyle w:val="Institutionquisigne"/>
        <w:rPr>
          <w:i w:val="0"/>
        </w:rPr>
      </w:pPr>
      <w:r w:rsidRPr="00E36F2A">
        <w:rPr>
          <w:rStyle w:val="HideTWBExt"/>
          <w:i w:val="0"/>
          <w:noProof w:val="0"/>
        </w:rPr>
        <w:t>&lt;/Amend&gt;</w:t>
      </w:r>
    </w:p>
    <w:sectPr w:rsidR="00F24A9F" w:rsidRPr="00E36F2A" w:rsidSect="00F421B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B2" w:rsidRPr="00CE4E09" w:rsidRDefault="00EB10B2" w:rsidP="00367DBE">
      <w:pPr>
        <w:spacing w:before="0" w:after="0"/>
      </w:pPr>
      <w:r w:rsidRPr="00CE4E09">
        <w:separator/>
      </w:r>
    </w:p>
  </w:endnote>
  <w:endnote w:type="continuationSeparator" w:id="0">
    <w:p w:rsidR="00EB10B2" w:rsidRPr="00CE4E09" w:rsidRDefault="00EB10B2" w:rsidP="00367DBE">
      <w:pPr>
        <w:spacing w:before="0" w:after="0"/>
      </w:pPr>
      <w:r w:rsidRPr="00CE4E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9F" w:rsidRPr="00CE4E09" w:rsidRDefault="00F24A9F" w:rsidP="00F24A9F">
    <w:pPr>
      <w:pStyle w:val="EPFooter"/>
    </w:pPr>
    <w:r w:rsidRPr="00CE4E09">
      <w:t>PE</w:t>
    </w:r>
    <w:r w:rsidRPr="00CE4E09">
      <w:rPr>
        <w:rStyle w:val="HideTWBExt"/>
        <w:noProof w:val="0"/>
      </w:rPr>
      <w:t>&lt;NoPE&gt;</w:t>
    </w:r>
    <w:r w:rsidRPr="00CE4E09">
      <w:t>662.816</w:t>
    </w:r>
    <w:r w:rsidRPr="00CE4E09">
      <w:rPr>
        <w:rStyle w:val="HideTWBExt"/>
        <w:noProof w:val="0"/>
      </w:rPr>
      <w:t>&lt;/NoPE&gt;&lt;Version&gt;</w:t>
    </w:r>
    <w:r w:rsidRPr="00CE4E09">
      <w:t>v01-00</w:t>
    </w:r>
    <w:r w:rsidRPr="00CE4E09">
      <w:rPr>
        <w:rStyle w:val="HideTWBExt"/>
        <w:noProof w:val="0"/>
      </w:rPr>
      <w:t>&lt;/Version&gt;</w:t>
    </w:r>
    <w:r w:rsidRPr="00CE4E09">
      <w:tab/>
    </w:r>
    <w:r w:rsidRPr="00CE4E09">
      <w:fldChar w:fldCharType="begin"/>
    </w:r>
    <w:r w:rsidRPr="00CE4E09">
      <w:instrText xml:space="preserve"> PAGE  \* MERGEFORMAT </w:instrText>
    </w:r>
    <w:r w:rsidRPr="00CE4E09">
      <w:fldChar w:fldCharType="separate"/>
    </w:r>
    <w:r w:rsidR="00E36F2A">
      <w:rPr>
        <w:noProof/>
      </w:rPr>
      <w:t>12</w:t>
    </w:r>
    <w:r w:rsidRPr="00CE4E09">
      <w:fldChar w:fldCharType="end"/>
    </w:r>
    <w:r w:rsidRPr="00CE4E09">
      <w:t>/</w:t>
    </w:r>
    <w:fldSimple w:instr=" NUMPAGES  \* MERGEFORMAT ">
      <w:r w:rsidR="00E36F2A">
        <w:rPr>
          <w:noProof/>
        </w:rPr>
        <w:t>12</w:t>
      </w:r>
    </w:fldSimple>
    <w:r w:rsidRPr="00CE4E09">
      <w:tab/>
    </w:r>
    <w:r w:rsidRPr="00CE4E09">
      <w:rPr>
        <w:rStyle w:val="HideTWBExt"/>
        <w:noProof w:val="0"/>
      </w:rPr>
      <w:t>&lt;PathFdR&gt;</w:t>
    </w:r>
    <w:r w:rsidR="00CE4E09" w:rsidRPr="00CE4E09">
      <w:t>AM\1222354LT.docx</w:t>
    </w:r>
    <w:r w:rsidRPr="00CE4E09">
      <w:rPr>
        <w:rStyle w:val="HideTWBExt"/>
        <w:noProof w:val="0"/>
      </w:rPr>
      <w:t>&lt;/PathFdR&gt;</w:t>
    </w:r>
  </w:p>
  <w:p w:rsidR="00686EF6" w:rsidRPr="00CE4E09" w:rsidRDefault="00F24A9F" w:rsidP="00F24A9F">
    <w:pPr>
      <w:pStyle w:val="EPFooter2"/>
    </w:pPr>
    <w:r w:rsidRPr="00CE4E09">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B9" w:rsidRPr="00CE4E09" w:rsidRDefault="00F421B9" w:rsidP="00F421B9">
    <w:pPr>
      <w:pStyle w:val="EPFooter"/>
    </w:pPr>
    <w:r w:rsidRPr="00CE4E09">
      <w:rPr>
        <w:rStyle w:val="HideTWBExt"/>
        <w:noProof w:val="0"/>
      </w:rPr>
      <w:t>&lt;PathFdR&gt;</w:t>
    </w:r>
    <w:r w:rsidR="00CE4E09" w:rsidRPr="00CE4E09">
      <w:t>AM\1222354LT.docx</w:t>
    </w:r>
    <w:r w:rsidRPr="00CE4E09">
      <w:rPr>
        <w:rStyle w:val="HideTWBExt"/>
        <w:noProof w:val="0"/>
      </w:rPr>
      <w:t>&lt;/PathFdR&gt;</w:t>
    </w:r>
    <w:r w:rsidRPr="00CE4E09">
      <w:tab/>
    </w:r>
    <w:r w:rsidRPr="00CE4E09">
      <w:fldChar w:fldCharType="begin"/>
    </w:r>
    <w:r w:rsidRPr="00CE4E09">
      <w:instrText xml:space="preserve"> PAGE  \* MERGEFORMAT </w:instrText>
    </w:r>
    <w:r w:rsidRPr="00CE4E09">
      <w:fldChar w:fldCharType="separate"/>
    </w:r>
    <w:r w:rsidR="00E36F2A">
      <w:rPr>
        <w:noProof/>
      </w:rPr>
      <w:t>45</w:t>
    </w:r>
    <w:r w:rsidRPr="00CE4E09">
      <w:fldChar w:fldCharType="end"/>
    </w:r>
    <w:r w:rsidRPr="00CE4E09">
      <w:t>/</w:t>
    </w:r>
    <w:fldSimple w:instr=" NUMPAGES  \* MERGEFORMAT ">
      <w:r w:rsidR="00E36F2A">
        <w:rPr>
          <w:noProof/>
        </w:rPr>
        <w:t>45</w:t>
      </w:r>
    </w:fldSimple>
    <w:r w:rsidRPr="00CE4E09">
      <w:tab/>
      <w:t>PE</w:t>
    </w:r>
    <w:r w:rsidRPr="00CE4E09">
      <w:rPr>
        <w:rStyle w:val="HideTWBExt"/>
        <w:noProof w:val="0"/>
      </w:rPr>
      <w:t>&lt;NoPE&gt;</w:t>
    </w:r>
    <w:r w:rsidRPr="00CE4E09">
      <w:t>662.816</w:t>
    </w:r>
    <w:r w:rsidRPr="00CE4E09">
      <w:rPr>
        <w:rStyle w:val="HideTWBExt"/>
        <w:noProof w:val="0"/>
      </w:rPr>
      <w:t>&lt;/NoPE&gt;&lt;Version&gt;</w:t>
    </w:r>
    <w:r w:rsidRPr="00CE4E09">
      <w:t>v01-00</w:t>
    </w:r>
    <w:r w:rsidRPr="00CE4E09">
      <w:rPr>
        <w:rStyle w:val="HideTWBExt"/>
        <w:noProof w:val="0"/>
      </w:rPr>
      <w:t>&lt;/Version&gt;</w:t>
    </w:r>
  </w:p>
  <w:p w:rsidR="00686EF6" w:rsidRPr="00CE4E09" w:rsidRDefault="00F421B9" w:rsidP="00F421B9">
    <w:pPr>
      <w:pStyle w:val="EPFooter2"/>
    </w:pPr>
    <w:r w:rsidRPr="00CE4E09">
      <w:t>LT</w:t>
    </w:r>
    <w:r w:rsidRPr="00CE4E09">
      <w:tab/>
    </w:r>
    <w:r w:rsidRPr="00CE4E09">
      <w:rPr>
        <w:b w:val="0"/>
        <w:i/>
        <w:color w:val="C0C0C0"/>
        <w:sz w:val="22"/>
      </w:rPr>
      <w:t>Suvienijusi įvairovę</w:t>
    </w:r>
    <w:r w:rsidRPr="00CE4E09">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9F" w:rsidRPr="00CE4E09" w:rsidRDefault="00F24A9F" w:rsidP="00F24A9F">
    <w:pPr>
      <w:pStyle w:val="EPFooter"/>
    </w:pPr>
    <w:r w:rsidRPr="00CE4E09">
      <w:rPr>
        <w:rStyle w:val="HideTWBExt"/>
        <w:noProof w:val="0"/>
      </w:rPr>
      <w:t>&lt;PathFdR&gt;</w:t>
    </w:r>
    <w:r w:rsidR="00CE4E09" w:rsidRPr="00CE4E09">
      <w:t>AM\1222354LT.docx</w:t>
    </w:r>
    <w:r w:rsidRPr="00CE4E09">
      <w:rPr>
        <w:rStyle w:val="HideTWBExt"/>
        <w:noProof w:val="0"/>
      </w:rPr>
      <w:t>&lt;/PathFdR&gt;</w:t>
    </w:r>
    <w:r w:rsidRPr="00CE4E09">
      <w:tab/>
    </w:r>
    <w:r w:rsidRPr="00CE4E09">
      <w:tab/>
      <w:t>PE</w:t>
    </w:r>
    <w:r w:rsidRPr="00CE4E09">
      <w:rPr>
        <w:rStyle w:val="HideTWBExt"/>
        <w:noProof w:val="0"/>
      </w:rPr>
      <w:t>&lt;NoPE&gt;</w:t>
    </w:r>
    <w:r w:rsidRPr="00CE4E09">
      <w:t>662.816</w:t>
    </w:r>
    <w:r w:rsidRPr="00CE4E09">
      <w:rPr>
        <w:rStyle w:val="HideTWBExt"/>
        <w:noProof w:val="0"/>
      </w:rPr>
      <w:t>&lt;/NoPE&gt;&lt;Version&gt;</w:t>
    </w:r>
    <w:r w:rsidRPr="00CE4E09">
      <w:t>v01-00</w:t>
    </w:r>
    <w:r w:rsidRPr="00CE4E09">
      <w:rPr>
        <w:rStyle w:val="HideTWBExt"/>
        <w:noProof w:val="0"/>
      </w:rPr>
      <w:t>&lt;/Version&gt;</w:t>
    </w:r>
  </w:p>
  <w:p w:rsidR="00686EF6" w:rsidRPr="00CE4E09" w:rsidRDefault="00F24A9F" w:rsidP="00F24A9F">
    <w:pPr>
      <w:pStyle w:val="EPFooter2"/>
    </w:pPr>
    <w:r w:rsidRPr="00CE4E09">
      <w:t>LT</w:t>
    </w:r>
    <w:r w:rsidRPr="00CE4E09">
      <w:tab/>
    </w:r>
    <w:r w:rsidRPr="00CE4E09">
      <w:rPr>
        <w:b w:val="0"/>
        <w:i/>
        <w:color w:val="C0C0C0"/>
        <w:sz w:val="22"/>
      </w:rPr>
      <w:t>Suvienijusi įvairovę</w:t>
    </w:r>
    <w:r w:rsidRPr="00CE4E09">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B2" w:rsidRPr="00CE4E09" w:rsidRDefault="00EB10B2" w:rsidP="00367DBE">
      <w:pPr>
        <w:spacing w:before="0" w:after="0"/>
      </w:pPr>
      <w:r w:rsidRPr="00CE4E09">
        <w:separator/>
      </w:r>
    </w:p>
  </w:footnote>
  <w:footnote w:type="continuationSeparator" w:id="0">
    <w:p w:rsidR="00EB10B2" w:rsidRPr="00CE4E09" w:rsidRDefault="00EB10B2" w:rsidP="00367DBE">
      <w:pPr>
        <w:spacing w:before="0" w:after="0"/>
      </w:pPr>
      <w:r w:rsidRPr="00CE4E09">
        <w:continuationSeparator/>
      </w:r>
    </w:p>
  </w:footnote>
  <w:footnote w:id="1">
    <w:p w:rsidR="00F24A9F" w:rsidRPr="00CE4E09" w:rsidRDefault="00F24A9F" w:rsidP="00F24A9F">
      <w:pPr>
        <w:pStyle w:val="FootnoteText"/>
      </w:pPr>
      <w:r w:rsidRPr="00CE4E09">
        <w:rPr>
          <w:rStyle w:val="FootnoteReference"/>
        </w:rPr>
        <w:t>*</w:t>
      </w:r>
      <w:r w:rsidRPr="00CE4E09">
        <w:t xml:space="preserve"> </w:t>
      </w:r>
      <w:r w:rsidRPr="00CE4E09">
        <w:rPr>
          <w:szCs w:val="22"/>
        </w:rPr>
        <w:t>Pakeitimai: naujas ar pakeistas tekstas žymimas pusjuodžiu kursyvu, o išbrauktas tekstas nurodomas simboliu ▌.</w:t>
      </w:r>
    </w:p>
  </w:footnote>
  <w:footnote w:id="2">
    <w:p w:rsidR="00FF459B" w:rsidRPr="00CE4E09" w:rsidRDefault="00FF459B" w:rsidP="00FC6575">
      <w:pPr>
        <w:pStyle w:val="FootnoteText"/>
        <w:rPr>
          <w:sz w:val="24"/>
          <w:szCs w:val="24"/>
        </w:rPr>
      </w:pPr>
      <w:r w:rsidRPr="00CE4E09">
        <w:rPr>
          <w:rStyle w:val="FootnoteReference"/>
          <w:sz w:val="24"/>
          <w:szCs w:val="24"/>
        </w:rPr>
        <w:footnoteRef/>
      </w:r>
      <w:r w:rsidRPr="00CE4E09">
        <w:rPr>
          <w:sz w:val="24"/>
          <w:szCs w:val="24"/>
        </w:rPr>
        <w:t xml:space="preserve"> </w:t>
      </w:r>
      <w:r w:rsidRPr="00CE4E09">
        <w:rPr>
          <w:sz w:val="24"/>
          <w:szCs w:val="24"/>
        </w:rPr>
        <w:tab/>
        <w:t>OL C 366, 2020 10 30, p. 4.</w:t>
      </w:r>
    </w:p>
  </w:footnote>
  <w:footnote w:id="3">
    <w:p w:rsidR="00FF459B" w:rsidRPr="00CE4E09" w:rsidRDefault="00FF459B" w:rsidP="00FC6575">
      <w:pPr>
        <w:pStyle w:val="FootnoteText"/>
        <w:rPr>
          <w:sz w:val="24"/>
        </w:rPr>
      </w:pPr>
      <w:r w:rsidRPr="00CE4E09">
        <w:rPr>
          <w:rStyle w:val="FootnoteReference"/>
          <w:sz w:val="24"/>
        </w:rPr>
        <w:footnoteRef/>
      </w:r>
      <w:r w:rsidRPr="00CE4E09">
        <w:rPr>
          <w:sz w:val="24"/>
        </w:rPr>
        <w:tab/>
      </w:r>
      <w:r w:rsidR="001F1D51" w:rsidRPr="00CE4E09">
        <w:rPr>
          <w:sz w:val="24"/>
        </w:rPr>
        <w:t>OL C 10, 2021 1 11, p. 35.</w:t>
      </w:r>
    </w:p>
  </w:footnote>
  <w:footnote w:id="4">
    <w:p w:rsidR="00FF459B" w:rsidRPr="00CE4E09" w:rsidRDefault="00FF459B" w:rsidP="00FC6575">
      <w:pPr>
        <w:pStyle w:val="FootnoteText"/>
      </w:pPr>
      <w:r w:rsidRPr="00CE4E09">
        <w:rPr>
          <w:rStyle w:val="FootnoteReference"/>
        </w:rPr>
        <w:footnoteRef/>
      </w:r>
      <w:r w:rsidRPr="00CE4E09">
        <w:t xml:space="preserve"> </w:t>
      </w:r>
      <w:r w:rsidRPr="00CE4E09">
        <w:tab/>
      </w:r>
      <w:r w:rsidRPr="00CE4E09">
        <w:rPr>
          <w:sz w:val="24"/>
          <w:szCs w:val="24"/>
        </w:rPr>
        <w:t>… m. … … d. Europos Parlamento pozicija (dar nepaskelbta Oficialiajame leidinyje) ir … m. … … d. Tarybos sprendimas.</w:t>
      </w:r>
    </w:p>
  </w:footnote>
  <w:footnote w:id="5">
    <w:p w:rsidR="00FF459B" w:rsidRPr="00CE4E09" w:rsidRDefault="00FF459B" w:rsidP="00FC6575">
      <w:pPr>
        <w:pStyle w:val="FootnoteText"/>
        <w:rPr>
          <w:sz w:val="24"/>
        </w:rPr>
      </w:pPr>
      <w:r w:rsidRPr="00CE4E09">
        <w:rPr>
          <w:rStyle w:val="FootnoteReference"/>
          <w:sz w:val="24"/>
        </w:rPr>
        <w:footnoteRef/>
      </w:r>
      <w:r w:rsidRPr="00CE4E09">
        <w:rPr>
          <w:sz w:val="24"/>
        </w:rPr>
        <w:tab/>
        <w:t>2016 m. birželio 8 d. Europos Parlamento ir Tarybos reglamentas (ES) 2016/1011 dėl indeksų, kurie kaip lyginamieji indeksai naudojami finansinėse priemonėse ir finansinėse sutartyse arba siekiant įvertinti investicinių fondų veiklos rezultatus, kuriuo iš dalies keičiami direktyvos 2008/48/EB ir 2014/17/ES bei Reglamentas (ES) Nr. 596/2014 (OL L 171, 2016 6 29, p. 1).</w:t>
      </w:r>
    </w:p>
  </w:footnote>
  <w:footnote w:id="6">
    <w:p w:rsidR="00FF459B" w:rsidRPr="00CE4E09" w:rsidRDefault="00FF459B" w:rsidP="00FC6575">
      <w:pPr>
        <w:pStyle w:val="FootnoteText"/>
      </w:pPr>
      <w:r w:rsidRPr="00CE4E09">
        <w:rPr>
          <w:rStyle w:val="FootnoteReference"/>
        </w:rPr>
        <w:footnoteRef/>
      </w:r>
      <w:r w:rsidRPr="00CE4E09">
        <w:rPr>
          <w:b/>
          <w:i/>
          <w:sz w:val="24"/>
        </w:rPr>
        <w:t xml:space="preserve"> </w:t>
      </w:r>
      <w:r w:rsidRPr="00CE4E09">
        <w:rPr>
          <w:b/>
          <w:i/>
          <w:sz w:val="24"/>
        </w:rPr>
        <w:tab/>
        <w:t>OL L 29, 2020 1 31, p. 7.</w:t>
      </w:r>
    </w:p>
  </w:footnote>
  <w:footnote w:id="7">
    <w:p w:rsidR="00FF459B" w:rsidRPr="00CE4E09" w:rsidRDefault="00FF459B" w:rsidP="00FC6575">
      <w:pPr>
        <w:pStyle w:val="FootnoteText"/>
        <w:rPr>
          <w:b/>
          <w:i/>
          <w:sz w:val="24"/>
        </w:rPr>
      </w:pPr>
      <w:r w:rsidRPr="00CE4E09">
        <w:rPr>
          <w:rStyle w:val="FootnoteReference"/>
          <w:b/>
          <w:i/>
          <w:sz w:val="24"/>
        </w:rPr>
        <w:footnoteRef/>
      </w:r>
      <w:r w:rsidRPr="00CE4E09">
        <w:rPr>
          <w:b/>
          <w:i/>
          <w:sz w:val="24"/>
        </w:rPr>
        <w:t xml:space="preserve"> </w:t>
      </w:r>
      <w:r w:rsidRPr="00CE4E09">
        <w:rPr>
          <w:b/>
          <w:i/>
          <w:sz w:val="24"/>
        </w:rPr>
        <w:tab/>
        <w:t>2014 m. gegužės 15 d. Europos Parlamento ir Tarybos direktyva 2014/65/ES dėl finansinių priemonių rinkų, kuria iš dalies keičiamos Direktyva 2002/92/EB ir Direktyva 2011/61/ES (OL L 173, 2014 6 12, p. 349).</w:t>
      </w:r>
    </w:p>
  </w:footnote>
  <w:footnote w:id="8">
    <w:p w:rsidR="00FF459B" w:rsidRPr="00CE4E09" w:rsidRDefault="00FF459B" w:rsidP="00FC6575">
      <w:pPr>
        <w:pStyle w:val="FootnoteText"/>
        <w:rPr>
          <w:sz w:val="24"/>
        </w:rPr>
      </w:pPr>
      <w:r w:rsidRPr="00CE4E09">
        <w:rPr>
          <w:rStyle w:val="FootnoteReference"/>
          <w:sz w:val="24"/>
        </w:rPr>
        <w:footnoteRef/>
      </w:r>
      <w:r w:rsidRPr="00CE4E09">
        <w:rPr>
          <w:sz w:val="24"/>
        </w:rPr>
        <w:t xml:space="preserve"> </w:t>
      </w:r>
      <w:r w:rsidRPr="00CE4E09">
        <w:rPr>
          <w:sz w:val="24"/>
        </w:rPr>
        <w:tab/>
        <w:t>OL L 123, 2016 5 12, p. 1.</w:t>
      </w:r>
    </w:p>
  </w:footnote>
  <w:footnote w:id="9">
    <w:p w:rsidR="00FF459B" w:rsidRPr="00CE4E09" w:rsidRDefault="00FF459B" w:rsidP="00FC6575">
      <w:pPr>
        <w:pStyle w:val="FootnoteText"/>
        <w:rPr>
          <w:sz w:val="24"/>
        </w:rPr>
      </w:pPr>
      <w:r w:rsidRPr="00CE4E09">
        <w:rPr>
          <w:rStyle w:val="FootnoteReference"/>
          <w:sz w:val="24"/>
        </w:rPr>
        <w:footnoteRef/>
      </w:r>
      <w:r w:rsidRPr="00CE4E09">
        <w:rPr>
          <w:sz w:val="24"/>
        </w:rP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0">
    <w:p w:rsidR="00FF459B" w:rsidRPr="00CE4E09" w:rsidRDefault="00FF459B" w:rsidP="00FC6575">
      <w:pPr>
        <w:pStyle w:val="FootnoteText"/>
        <w:rPr>
          <w:b/>
          <w:i/>
          <w:sz w:val="24"/>
        </w:rPr>
      </w:pPr>
      <w:r w:rsidRPr="00CE4E09">
        <w:rPr>
          <w:rStyle w:val="FootnoteReference"/>
          <w:b/>
          <w:i/>
          <w:sz w:val="24"/>
        </w:rPr>
        <w:footnoteRef/>
      </w:r>
      <w:r w:rsidRPr="00CE4E09">
        <w:rPr>
          <w:b/>
          <w:i/>
          <w:sz w:val="24"/>
        </w:rPr>
        <w:t xml:space="preserve"> </w:t>
      </w:r>
      <w:r w:rsidRPr="00CE4E09">
        <w:rPr>
          <w:b/>
          <w:i/>
          <w:sz w:val="24"/>
        </w:rPr>
        <w:tab/>
        <w:t>2012 m. liepos 4 d. Europos Parlamento ir Tarybos reglamentas (ES) Nr. 648/2012 dėl ne biržos išvestinių finansinių priemonių, pagrindinių sandorio šalių ir sandorių duomenų saugyklų (OL L 201, 2012 7 27,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C0" w:rsidRDefault="00F16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C0" w:rsidRDefault="00F16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C0" w:rsidRDefault="00F1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96789E"/>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C116008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ADA040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D36395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1"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22"/>
  </w:num>
  <w:num w:numId="3">
    <w:abstractNumId w:val="11"/>
  </w:num>
  <w:num w:numId="4">
    <w:abstractNumId w:val="19"/>
  </w:num>
  <w:num w:numId="5">
    <w:abstractNumId w:val="18"/>
  </w:num>
  <w:num w:numId="6">
    <w:abstractNumId w:val="29"/>
  </w:num>
  <w:num w:numId="7">
    <w:abstractNumId w:val="26"/>
  </w:num>
  <w:num w:numId="8">
    <w:abstractNumId w:val="30"/>
  </w:num>
  <w:num w:numId="9">
    <w:abstractNumId w:val="31"/>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25"/>
  </w:num>
  <w:num w:numId="17">
    <w:abstractNumId w:val="15"/>
  </w:num>
  <w:num w:numId="18">
    <w:abstractNumId w:val="28"/>
  </w:num>
  <w:num w:numId="19">
    <w:abstractNumId w:val="10"/>
  </w:num>
  <w:num w:numId="20">
    <w:abstractNumId w:val="16"/>
  </w:num>
  <w:num w:numId="21">
    <w:abstractNumId w:val="8"/>
  </w:num>
  <w:num w:numId="22">
    <w:abstractNumId w:val="27"/>
  </w:num>
  <w:num w:numId="23">
    <w:abstractNumId w:val="7"/>
  </w:num>
  <w:num w:numId="24">
    <w:abstractNumId w:val="17"/>
  </w:num>
  <w:num w:numId="25">
    <w:abstractNumId w:val="23"/>
  </w:num>
  <w:num w:numId="26">
    <w:abstractNumId w:val="24"/>
  </w:num>
  <w:num w:numId="27">
    <w:abstractNumId w:val="9"/>
  </w:num>
  <w:num w:numId="28">
    <w:abstractNumId w:val="21"/>
  </w:num>
  <w:num w:numId="29">
    <w:abstractNumId w:val="32"/>
  </w:num>
  <w:num w:numId="30">
    <w:abstractNumId w:val="7"/>
  </w:num>
  <w:num w:numId="31">
    <w:abstractNumId w:val="7"/>
  </w:num>
  <w:num w:numId="32">
    <w:abstractNumId w:val="7"/>
  </w:num>
  <w:num w:numId="33">
    <w:abstractNumId w:val="7"/>
  </w:num>
  <w:num w:numId="34">
    <w:abstractNumId w:val="32"/>
  </w:num>
  <w:num w:numId="35">
    <w:abstractNumId w:val="32"/>
  </w:num>
  <w:num w:numId="36">
    <w:abstractNumId w:val="32"/>
  </w:num>
  <w:num w:numId="37">
    <w:abstractNumId w:val="32"/>
  </w:num>
  <w:num w:numId="38">
    <w:abstractNumId w:val="7"/>
  </w:num>
  <w:num w:numId="39">
    <w:abstractNumId w:val="32"/>
  </w:num>
  <w:num w:numId="40">
    <w:abstractNumId w:val="32"/>
  </w:num>
  <w:num w:numId="41">
    <w:abstractNumId w:val="32"/>
  </w:num>
  <w:num w:numId="42">
    <w:abstractNumId w:val="3"/>
  </w:num>
  <w:num w:numId="43">
    <w:abstractNumId w:val="2"/>
  </w:num>
  <w:num w:numId="44">
    <w:abstractNumId w:val="1"/>
  </w:num>
  <w:num w:numId="4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mirrorMargin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0-07-23 15:12: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DW_AutoOpen" w:val="True"/>
    <w:docVar w:name="LW_CORRIGENDUM" w:val="&lt;UNUSED&gt;"/>
    <w:docVar w:name="LW_COVERPAGE_EXISTS" w:val="True"/>
    <w:docVar w:name="LW_COVERPAGE_GUID" w:val="EB68E67D-AB4B-4A48-AE90-78C97B90179A"/>
    <w:docVar w:name="LW_COVERPAGE_TYPE" w:val="1"/>
    <w:docVar w:name="LW_CROSSREFERENCE" w:val="{SEC(2020) 284 final}_x000a_{SWD(2020) 142 final}_x000a_{SWD(2020) 143 final}"/>
    <w:docVar w:name="LW_DocType" w:val="COM"/>
    <w:docVar w:name="LW_EMISSION" w:val="24.7.2020"/>
    <w:docVar w:name="LW_EMISSION_ISODATE" w:val="2020-07-2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xt with EEA relevance)"/>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54"/>
    <w:docVar w:name="LW_REF.II.NEW.CP_YEAR" w:val="2020"/>
    <w:docVar w:name="LW_REF.INST.NEW" w:val="COM"/>
    <w:docVar w:name="LW_REF.INST.NEW_ADOPTED" w:val="&lt;EMPTY&gt;"/>
    <w:docVar w:name="LW_REF.INST.NEW_TEXT" w:val="(2020) 337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al for a"/>
    <w:docVar w:name="LW_STATUT.CP" w:val="Proposal for a"/>
    <w:docVar w:name="LW_SUPERTITRE" w:val="&lt;UNUSED&gt;"/>
    <w:docVar w:name="LW_TITRE.OBJ" w:val="amending Regulation (EU) 2016/1011 as regards the exemption of certain third country foreign exchange benchmarks and the designation of replacement benchmarks for certain benchmarks in cessation"/>
    <w:docVar w:name="LW_TITRE.OBJ.CP" w:val="amending Regulation (EU) 2016/1011 as regards the exemption of certain third country foreign exchange benchmarks and the designation of replacement benchmarks for certain benchmarks in cessation"/>
    <w:docVar w:name="LW_TYPE.DOC" w:val="REGULATION OF THE EUROPEAN PARLIAMENT AND OF THE COUNCIL"/>
    <w:docVar w:name="LW_TYPE.DOC.CP" w:val="REGULATION OF THE EUROPEAN PARLIAMENT AND OF THE COUNCIL"/>
    <w:docVar w:name="strSubDir" w:val="1222"/>
    <w:docVar w:name="TXTLANGUE" w:val="LT"/>
    <w:docVar w:name="TXTLANGUEMIN" w:val="lt"/>
    <w:docVar w:name="TXTNRPE" w:val="662.816"/>
    <w:docVar w:name="TXTPEorAP" w:val="PE"/>
    <w:docVar w:name="TXTROUTE" w:val="AM\1222354LT.docx"/>
    <w:docVar w:name="TXTVERSION" w:val="01-00"/>
  </w:docVars>
  <w:rsids>
    <w:rsidRoot w:val="00367DBE"/>
    <w:rsid w:val="00004789"/>
    <w:rsid w:val="000058FB"/>
    <w:rsid w:val="00010253"/>
    <w:rsid w:val="00013402"/>
    <w:rsid w:val="000226EB"/>
    <w:rsid w:val="000239C7"/>
    <w:rsid w:val="0002429B"/>
    <w:rsid w:val="00024FA2"/>
    <w:rsid w:val="00033C11"/>
    <w:rsid w:val="00033EE8"/>
    <w:rsid w:val="0003465D"/>
    <w:rsid w:val="00042FF1"/>
    <w:rsid w:val="0004604C"/>
    <w:rsid w:val="00053216"/>
    <w:rsid w:val="000532EE"/>
    <w:rsid w:val="00060D6D"/>
    <w:rsid w:val="00061910"/>
    <w:rsid w:val="0006377D"/>
    <w:rsid w:val="00067297"/>
    <w:rsid w:val="000703F8"/>
    <w:rsid w:val="000813B9"/>
    <w:rsid w:val="000943AA"/>
    <w:rsid w:val="00096FFC"/>
    <w:rsid w:val="000A0163"/>
    <w:rsid w:val="000A1BEE"/>
    <w:rsid w:val="000A6BD7"/>
    <w:rsid w:val="000A70D9"/>
    <w:rsid w:val="000A7517"/>
    <w:rsid w:val="000B200A"/>
    <w:rsid w:val="000B42CD"/>
    <w:rsid w:val="000B750D"/>
    <w:rsid w:val="000B797B"/>
    <w:rsid w:val="000C1E1D"/>
    <w:rsid w:val="000C223A"/>
    <w:rsid w:val="000C5037"/>
    <w:rsid w:val="000D23D4"/>
    <w:rsid w:val="000D6700"/>
    <w:rsid w:val="000E198E"/>
    <w:rsid w:val="000E4516"/>
    <w:rsid w:val="000F34FD"/>
    <w:rsid w:val="000F3A5A"/>
    <w:rsid w:val="000F686E"/>
    <w:rsid w:val="00103FF9"/>
    <w:rsid w:val="00110EF1"/>
    <w:rsid w:val="0011573E"/>
    <w:rsid w:val="001175CE"/>
    <w:rsid w:val="00121ABF"/>
    <w:rsid w:val="001221B1"/>
    <w:rsid w:val="0012495E"/>
    <w:rsid w:val="00127FC0"/>
    <w:rsid w:val="00136B36"/>
    <w:rsid w:val="0014268A"/>
    <w:rsid w:val="00145462"/>
    <w:rsid w:val="001473A4"/>
    <w:rsid w:val="001510DB"/>
    <w:rsid w:val="001513F4"/>
    <w:rsid w:val="00151CD4"/>
    <w:rsid w:val="001533FA"/>
    <w:rsid w:val="00160704"/>
    <w:rsid w:val="00160C84"/>
    <w:rsid w:val="0016165B"/>
    <w:rsid w:val="0016722A"/>
    <w:rsid w:val="00167725"/>
    <w:rsid w:val="00167B56"/>
    <w:rsid w:val="00183AF3"/>
    <w:rsid w:val="001858FA"/>
    <w:rsid w:val="001A1D40"/>
    <w:rsid w:val="001A6522"/>
    <w:rsid w:val="001A73E7"/>
    <w:rsid w:val="001A74DD"/>
    <w:rsid w:val="001B06F4"/>
    <w:rsid w:val="001C2816"/>
    <w:rsid w:val="001C43CE"/>
    <w:rsid w:val="001D18B9"/>
    <w:rsid w:val="001E1246"/>
    <w:rsid w:val="001E3A96"/>
    <w:rsid w:val="001E6440"/>
    <w:rsid w:val="001F1D51"/>
    <w:rsid w:val="001F339F"/>
    <w:rsid w:val="001F74B5"/>
    <w:rsid w:val="001F7A21"/>
    <w:rsid w:val="002038B6"/>
    <w:rsid w:val="00204034"/>
    <w:rsid w:val="00204DBC"/>
    <w:rsid w:val="00205BEC"/>
    <w:rsid w:val="0021616D"/>
    <w:rsid w:val="0022131B"/>
    <w:rsid w:val="0023206B"/>
    <w:rsid w:val="00232212"/>
    <w:rsid w:val="00236657"/>
    <w:rsid w:val="002419CB"/>
    <w:rsid w:val="00244B7F"/>
    <w:rsid w:val="0025282C"/>
    <w:rsid w:val="002611B4"/>
    <w:rsid w:val="00261A32"/>
    <w:rsid w:val="00262C54"/>
    <w:rsid w:val="00267142"/>
    <w:rsid w:val="002764BD"/>
    <w:rsid w:val="00282CEF"/>
    <w:rsid w:val="00287F88"/>
    <w:rsid w:val="002A5D6A"/>
    <w:rsid w:val="002B10C3"/>
    <w:rsid w:val="002B7601"/>
    <w:rsid w:val="002B7A3A"/>
    <w:rsid w:val="002C05C5"/>
    <w:rsid w:val="002C20D8"/>
    <w:rsid w:val="002C53FD"/>
    <w:rsid w:val="002C77D7"/>
    <w:rsid w:val="002D1D3D"/>
    <w:rsid w:val="002D57FD"/>
    <w:rsid w:val="002D61E0"/>
    <w:rsid w:val="002E63D9"/>
    <w:rsid w:val="002F18CD"/>
    <w:rsid w:val="002F1F25"/>
    <w:rsid w:val="002F5093"/>
    <w:rsid w:val="002F553D"/>
    <w:rsid w:val="00304DE7"/>
    <w:rsid w:val="00312EC0"/>
    <w:rsid w:val="003135C6"/>
    <w:rsid w:val="00314926"/>
    <w:rsid w:val="0031623D"/>
    <w:rsid w:val="003206F7"/>
    <w:rsid w:val="00324B29"/>
    <w:rsid w:val="0032613D"/>
    <w:rsid w:val="00331F72"/>
    <w:rsid w:val="003326B6"/>
    <w:rsid w:val="00345B69"/>
    <w:rsid w:val="00351AA4"/>
    <w:rsid w:val="00353AD3"/>
    <w:rsid w:val="00357A77"/>
    <w:rsid w:val="00360328"/>
    <w:rsid w:val="00361047"/>
    <w:rsid w:val="00367469"/>
    <w:rsid w:val="00367DBE"/>
    <w:rsid w:val="00374FB6"/>
    <w:rsid w:val="00377D4E"/>
    <w:rsid w:val="00380C6C"/>
    <w:rsid w:val="003869AC"/>
    <w:rsid w:val="00387EA7"/>
    <w:rsid w:val="00390115"/>
    <w:rsid w:val="00390D6B"/>
    <w:rsid w:val="00392625"/>
    <w:rsid w:val="0039291B"/>
    <w:rsid w:val="00396CA4"/>
    <w:rsid w:val="003A29B3"/>
    <w:rsid w:val="003A391D"/>
    <w:rsid w:val="003A5545"/>
    <w:rsid w:val="003A6411"/>
    <w:rsid w:val="003A7D60"/>
    <w:rsid w:val="003B1DAE"/>
    <w:rsid w:val="003B4509"/>
    <w:rsid w:val="003C089D"/>
    <w:rsid w:val="003C4F20"/>
    <w:rsid w:val="003C501D"/>
    <w:rsid w:val="003D161F"/>
    <w:rsid w:val="003F2804"/>
    <w:rsid w:val="003F7B3E"/>
    <w:rsid w:val="003F7DDB"/>
    <w:rsid w:val="0040003C"/>
    <w:rsid w:val="004028B7"/>
    <w:rsid w:val="00402DD4"/>
    <w:rsid w:val="004034E3"/>
    <w:rsid w:val="004077EF"/>
    <w:rsid w:val="004121EB"/>
    <w:rsid w:val="00412816"/>
    <w:rsid w:val="00412AD7"/>
    <w:rsid w:val="00412C02"/>
    <w:rsid w:val="00412EFA"/>
    <w:rsid w:val="004147CC"/>
    <w:rsid w:val="00420C1A"/>
    <w:rsid w:val="00421326"/>
    <w:rsid w:val="00424E18"/>
    <w:rsid w:val="0043149D"/>
    <w:rsid w:val="00431EFB"/>
    <w:rsid w:val="0043395A"/>
    <w:rsid w:val="00434527"/>
    <w:rsid w:val="0046114D"/>
    <w:rsid w:val="004620CC"/>
    <w:rsid w:val="0047330A"/>
    <w:rsid w:val="00477739"/>
    <w:rsid w:val="0048401C"/>
    <w:rsid w:val="00491F17"/>
    <w:rsid w:val="004A6437"/>
    <w:rsid w:val="004B6C81"/>
    <w:rsid w:val="004C498A"/>
    <w:rsid w:val="004D352C"/>
    <w:rsid w:val="004E3619"/>
    <w:rsid w:val="004E60B6"/>
    <w:rsid w:val="004F2FE6"/>
    <w:rsid w:val="004F60A8"/>
    <w:rsid w:val="00505D0E"/>
    <w:rsid w:val="00516BB1"/>
    <w:rsid w:val="005173DA"/>
    <w:rsid w:val="00523BFB"/>
    <w:rsid w:val="00527A6F"/>
    <w:rsid w:val="005400FF"/>
    <w:rsid w:val="00544644"/>
    <w:rsid w:val="00544DF9"/>
    <w:rsid w:val="005462C6"/>
    <w:rsid w:val="0054675B"/>
    <w:rsid w:val="00551138"/>
    <w:rsid w:val="00551BDE"/>
    <w:rsid w:val="0055208F"/>
    <w:rsid w:val="00552E75"/>
    <w:rsid w:val="005604DE"/>
    <w:rsid w:val="00567598"/>
    <w:rsid w:val="005738D9"/>
    <w:rsid w:val="00573D12"/>
    <w:rsid w:val="0057563C"/>
    <w:rsid w:val="005857C0"/>
    <w:rsid w:val="00585F24"/>
    <w:rsid w:val="005865F0"/>
    <w:rsid w:val="00590C87"/>
    <w:rsid w:val="00590EE3"/>
    <w:rsid w:val="00592117"/>
    <w:rsid w:val="0059255C"/>
    <w:rsid w:val="00593639"/>
    <w:rsid w:val="005A31CC"/>
    <w:rsid w:val="005B1628"/>
    <w:rsid w:val="005B7C1C"/>
    <w:rsid w:val="005C6B94"/>
    <w:rsid w:val="005D3ECC"/>
    <w:rsid w:val="005E1A85"/>
    <w:rsid w:val="005F00B6"/>
    <w:rsid w:val="005F45D9"/>
    <w:rsid w:val="005F60F1"/>
    <w:rsid w:val="005F6380"/>
    <w:rsid w:val="005F6B1A"/>
    <w:rsid w:val="00601BC3"/>
    <w:rsid w:val="00605395"/>
    <w:rsid w:val="00607B61"/>
    <w:rsid w:val="00607DF5"/>
    <w:rsid w:val="006116D4"/>
    <w:rsid w:val="00623330"/>
    <w:rsid w:val="00623AF3"/>
    <w:rsid w:val="00626865"/>
    <w:rsid w:val="00636CB2"/>
    <w:rsid w:val="00636FF7"/>
    <w:rsid w:val="006429CD"/>
    <w:rsid w:val="00642F3F"/>
    <w:rsid w:val="00653D4A"/>
    <w:rsid w:val="00663B7E"/>
    <w:rsid w:val="00667154"/>
    <w:rsid w:val="006736F4"/>
    <w:rsid w:val="00673C4B"/>
    <w:rsid w:val="00674382"/>
    <w:rsid w:val="00675398"/>
    <w:rsid w:val="0068393A"/>
    <w:rsid w:val="00686EF6"/>
    <w:rsid w:val="00690ABB"/>
    <w:rsid w:val="00692222"/>
    <w:rsid w:val="00695E70"/>
    <w:rsid w:val="006A19A6"/>
    <w:rsid w:val="006A7905"/>
    <w:rsid w:val="006B1C2E"/>
    <w:rsid w:val="006B7BC6"/>
    <w:rsid w:val="006C6C34"/>
    <w:rsid w:val="006D0193"/>
    <w:rsid w:val="006D2D9C"/>
    <w:rsid w:val="006E0531"/>
    <w:rsid w:val="006E5F2E"/>
    <w:rsid w:val="006F09E8"/>
    <w:rsid w:val="006F0F0F"/>
    <w:rsid w:val="006F1268"/>
    <w:rsid w:val="006F55FC"/>
    <w:rsid w:val="006F59BB"/>
    <w:rsid w:val="006F5C58"/>
    <w:rsid w:val="0070128F"/>
    <w:rsid w:val="007036EB"/>
    <w:rsid w:val="00703E94"/>
    <w:rsid w:val="00706EDE"/>
    <w:rsid w:val="007360E5"/>
    <w:rsid w:val="007413F9"/>
    <w:rsid w:val="007424A2"/>
    <w:rsid w:val="00751C5F"/>
    <w:rsid w:val="00752E6B"/>
    <w:rsid w:val="0076282A"/>
    <w:rsid w:val="00763CCD"/>
    <w:rsid w:val="007641CE"/>
    <w:rsid w:val="00771AB7"/>
    <w:rsid w:val="007731F5"/>
    <w:rsid w:val="00776D17"/>
    <w:rsid w:val="00777AD6"/>
    <w:rsid w:val="00781829"/>
    <w:rsid w:val="00787F50"/>
    <w:rsid w:val="007919D7"/>
    <w:rsid w:val="007A2CF4"/>
    <w:rsid w:val="007A45CA"/>
    <w:rsid w:val="007A7580"/>
    <w:rsid w:val="007B6074"/>
    <w:rsid w:val="007C06F6"/>
    <w:rsid w:val="007C5522"/>
    <w:rsid w:val="007D2499"/>
    <w:rsid w:val="007D4D1E"/>
    <w:rsid w:val="007D5ADD"/>
    <w:rsid w:val="007D5D6E"/>
    <w:rsid w:val="007E01E7"/>
    <w:rsid w:val="007E307E"/>
    <w:rsid w:val="007E3BF7"/>
    <w:rsid w:val="007E433D"/>
    <w:rsid w:val="007E5374"/>
    <w:rsid w:val="007E56C6"/>
    <w:rsid w:val="007E7C8B"/>
    <w:rsid w:val="007F05AA"/>
    <w:rsid w:val="007F0C09"/>
    <w:rsid w:val="007F205B"/>
    <w:rsid w:val="007F77EC"/>
    <w:rsid w:val="007F7A0C"/>
    <w:rsid w:val="00803837"/>
    <w:rsid w:val="00805594"/>
    <w:rsid w:val="00807A41"/>
    <w:rsid w:val="00811D97"/>
    <w:rsid w:val="00815A67"/>
    <w:rsid w:val="008228B2"/>
    <w:rsid w:val="00826342"/>
    <w:rsid w:val="00831AF8"/>
    <w:rsid w:val="008338C1"/>
    <w:rsid w:val="00833E10"/>
    <w:rsid w:val="00833EB1"/>
    <w:rsid w:val="00835107"/>
    <w:rsid w:val="00842369"/>
    <w:rsid w:val="00847DF9"/>
    <w:rsid w:val="00852971"/>
    <w:rsid w:val="00870483"/>
    <w:rsid w:val="008751FD"/>
    <w:rsid w:val="00881A4C"/>
    <w:rsid w:val="008838E3"/>
    <w:rsid w:val="00892AF6"/>
    <w:rsid w:val="00894A4F"/>
    <w:rsid w:val="008A7CB7"/>
    <w:rsid w:val="008B10EF"/>
    <w:rsid w:val="008B17CD"/>
    <w:rsid w:val="008B6CBD"/>
    <w:rsid w:val="008C1E72"/>
    <w:rsid w:val="008C4FCE"/>
    <w:rsid w:val="008C67FF"/>
    <w:rsid w:val="008D38AB"/>
    <w:rsid w:val="008D42F3"/>
    <w:rsid w:val="008E01C1"/>
    <w:rsid w:val="008F23DD"/>
    <w:rsid w:val="008F39AE"/>
    <w:rsid w:val="008F4764"/>
    <w:rsid w:val="008F61A3"/>
    <w:rsid w:val="008F61A8"/>
    <w:rsid w:val="008F6A57"/>
    <w:rsid w:val="0090164E"/>
    <w:rsid w:val="0090361E"/>
    <w:rsid w:val="0090593C"/>
    <w:rsid w:val="00910656"/>
    <w:rsid w:val="009110D6"/>
    <w:rsid w:val="0091316E"/>
    <w:rsid w:val="00916243"/>
    <w:rsid w:val="0093000D"/>
    <w:rsid w:val="0093069B"/>
    <w:rsid w:val="00935574"/>
    <w:rsid w:val="00936240"/>
    <w:rsid w:val="00944815"/>
    <w:rsid w:val="00960ED6"/>
    <w:rsid w:val="009613F7"/>
    <w:rsid w:val="00963AF2"/>
    <w:rsid w:val="009645E2"/>
    <w:rsid w:val="00965EF6"/>
    <w:rsid w:val="0096663F"/>
    <w:rsid w:val="00974203"/>
    <w:rsid w:val="00977082"/>
    <w:rsid w:val="009806EC"/>
    <w:rsid w:val="0098232F"/>
    <w:rsid w:val="00986B33"/>
    <w:rsid w:val="00987AD5"/>
    <w:rsid w:val="00992C31"/>
    <w:rsid w:val="00994173"/>
    <w:rsid w:val="009960C5"/>
    <w:rsid w:val="00996EF0"/>
    <w:rsid w:val="009A0DA3"/>
    <w:rsid w:val="009A6B3A"/>
    <w:rsid w:val="009B24E8"/>
    <w:rsid w:val="009B38D3"/>
    <w:rsid w:val="009B3D3E"/>
    <w:rsid w:val="009B7138"/>
    <w:rsid w:val="009C632B"/>
    <w:rsid w:val="009C6473"/>
    <w:rsid w:val="009C6DF7"/>
    <w:rsid w:val="009D2ABC"/>
    <w:rsid w:val="009E2DB7"/>
    <w:rsid w:val="009F1A0E"/>
    <w:rsid w:val="00A025DD"/>
    <w:rsid w:val="00A13143"/>
    <w:rsid w:val="00A221DD"/>
    <w:rsid w:val="00A222F3"/>
    <w:rsid w:val="00A317FC"/>
    <w:rsid w:val="00A3552B"/>
    <w:rsid w:val="00A50548"/>
    <w:rsid w:val="00A520EA"/>
    <w:rsid w:val="00A532B5"/>
    <w:rsid w:val="00A548B8"/>
    <w:rsid w:val="00A553E8"/>
    <w:rsid w:val="00A56422"/>
    <w:rsid w:val="00A56938"/>
    <w:rsid w:val="00A620D1"/>
    <w:rsid w:val="00A6396D"/>
    <w:rsid w:val="00A64B8A"/>
    <w:rsid w:val="00A6582E"/>
    <w:rsid w:val="00A66063"/>
    <w:rsid w:val="00A66524"/>
    <w:rsid w:val="00A67AA8"/>
    <w:rsid w:val="00A748EB"/>
    <w:rsid w:val="00A75B4D"/>
    <w:rsid w:val="00A87ABB"/>
    <w:rsid w:val="00A908A7"/>
    <w:rsid w:val="00A91D57"/>
    <w:rsid w:val="00A94F00"/>
    <w:rsid w:val="00AB1950"/>
    <w:rsid w:val="00AB7D12"/>
    <w:rsid w:val="00AC41CE"/>
    <w:rsid w:val="00AC78E5"/>
    <w:rsid w:val="00AD1CEF"/>
    <w:rsid w:val="00AD549D"/>
    <w:rsid w:val="00AD6F5D"/>
    <w:rsid w:val="00AE27A2"/>
    <w:rsid w:val="00AE28B3"/>
    <w:rsid w:val="00AE50C5"/>
    <w:rsid w:val="00AE5900"/>
    <w:rsid w:val="00AE7BEE"/>
    <w:rsid w:val="00B01EF1"/>
    <w:rsid w:val="00B028F1"/>
    <w:rsid w:val="00B04BDB"/>
    <w:rsid w:val="00B27130"/>
    <w:rsid w:val="00B33A38"/>
    <w:rsid w:val="00B33F2E"/>
    <w:rsid w:val="00B369AD"/>
    <w:rsid w:val="00B40604"/>
    <w:rsid w:val="00B454B4"/>
    <w:rsid w:val="00B61704"/>
    <w:rsid w:val="00B62353"/>
    <w:rsid w:val="00B63DB5"/>
    <w:rsid w:val="00B6562E"/>
    <w:rsid w:val="00B6588C"/>
    <w:rsid w:val="00B708B9"/>
    <w:rsid w:val="00B738C7"/>
    <w:rsid w:val="00B811FE"/>
    <w:rsid w:val="00B83520"/>
    <w:rsid w:val="00B838BD"/>
    <w:rsid w:val="00B83FF9"/>
    <w:rsid w:val="00B916D2"/>
    <w:rsid w:val="00B94313"/>
    <w:rsid w:val="00B96A2B"/>
    <w:rsid w:val="00BA327A"/>
    <w:rsid w:val="00BB6D23"/>
    <w:rsid w:val="00BC21AA"/>
    <w:rsid w:val="00BC2E12"/>
    <w:rsid w:val="00BC339C"/>
    <w:rsid w:val="00BD0D06"/>
    <w:rsid w:val="00BD3617"/>
    <w:rsid w:val="00BD3808"/>
    <w:rsid w:val="00BD6003"/>
    <w:rsid w:val="00BD78CB"/>
    <w:rsid w:val="00BE1068"/>
    <w:rsid w:val="00BE246D"/>
    <w:rsid w:val="00BE6044"/>
    <w:rsid w:val="00BE766C"/>
    <w:rsid w:val="00BF17AA"/>
    <w:rsid w:val="00BF1DD1"/>
    <w:rsid w:val="00BF3A73"/>
    <w:rsid w:val="00BF74EC"/>
    <w:rsid w:val="00C24556"/>
    <w:rsid w:val="00C257F4"/>
    <w:rsid w:val="00C27F30"/>
    <w:rsid w:val="00C318FB"/>
    <w:rsid w:val="00C371BD"/>
    <w:rsid w:val="00C41B35"/>
    <w:rsid w:val="00C442A8"/>
    <w:rsid w:val="00C4454A"/>
    <w:rsid w:val="00C47099"/>
    <w:rsid w:val="00C53289"/>
    <w:rsid w:val="00C533DB"/>
    <w:rsid w:val="00C737CB"/>
    <w:rsid w:val="00C75273"/>
    <w:rsid w:val="00C76104"/>
    <w:rsid w:val="00C80131"/>
    <w:rsid w:val="00C87662"/>
    <w:rsid w:val="00C905B2"/>
    <w:rsid w:val="00C94F37"/>
    <w:rsid w:val="00C96B7D"/>
    <w:rsid w:val="00CA3144"/>
    <w:rsid w:val="00CA4923"/>
    <w:rsid w:val="00CB45A7"/>
    <w:rsid w:val="00CC3E34"/>
    <w:rsid w:val="00CD1960"/>
    <w:rsid w:val="00CD34A8"/>
    <w:rsid w:val="00CD35B5"/>
    <w:rsid w:val="00CD4DB3"/>
    <w:rsid w:val="00CD548F"/>
    <w:rsid w:val="00CD5718"/>
    <w:rsid w:val="00CD58DB"/>
    <w:rsid w:val="00CD5C54"/>
    <w:rsid w:val="00CE0E8B"/>
    <w:rsid w:val="00CE116F"/>
    <w:rsid w:val="00CE35E7"/>
    <w:rsid w:val="00CE405B"/>
    <w:rsid w:val="00CE4E09"/>
    <w:rsid w:val="00CE6797"/>
    <w:rsid w:val="00CF12E4"/>
    <w:rsid w:val="00CF24F6"/>
    <w:rsid w:val="00CF29F1"/>
    <w:rsid w:val="00CF2A50"/>
    <w:rsid w:val="00D00B4F"/>
    <w:rsid w:val="00D0758C"/>
    <w:rsid w:val="00D11054"/>
    <w:rsid w:val="00D1525D"/>
    <w:rsid w:val="00D31936"/>
    <w:rsid w:val="00D32695"/>
    <w:rsid w:val="00D328F9"/>
    <w:rsid w:val="00D32E7C"/>
    <w:rsid w:val="00D41281"/>
    <w:rsid w:val="00D4242A"/>
    <w:rsid w:val="00D66AE8"/>
    <w:rsid w:val="00D710DA"/>
    <w:rsid w:val="00D73F5F"/>
    <w:rsid w:val="00D7574A"/>
    <w:rsid w:val="00D76DC3"/>
    <w:rsid w:val="00D80F29"/>
    <w:rsid w:val="00D83DC5"/>
    <w:rsid w:val="00D85CFD"/>
    <w:rsid w:val="00D86E77"/>
    <w:rsid w:val="00D913B7"/>
    <w:rsid w:val="00D93668"/>
    <w:rsid w:val="00DA7355"/>
    <w:rsid w:val="00DB2144"/>
    <w:rsid w:val="00DB5609"/>
    <w:rsid w:val="00DB659E"/>
    <w:rsid w:val="00DC13D6"/>
    <w:rsid w:val="00DC38B1"/>
    <w:rsid w:val="00DC77CB"/>
    <w:rsid w:val="00DD1D6A"/>
    <w:rsid w:val="00DE2B33"/>
    <w:rsid w:val="00DF252F"/>
    <w:rsid w:val="00E10768"/>
    <w:rsid w:val="00E25F75"/>
    <w:rsid w:val="00E261FF"/>
    <w:rsid w:val="00E36175"/>
    <w:rsid w:val="00E36F2A"/>
    <w:rsid w:val="00E377CC"/>
    <w:rsid w:val="00E40DC6"/>
    <w:rsid w:val="00E43466"/>
    <w:rsid w:val="00E44E55"/>
    <w:rsid w:val="00E516C7"/>
    <w:rsid w:val="00E52B44"/>
    <w:rsid w:val="00E53BA7"/>
    <w:rsid w:val="00E548BF"/>
    <w:rsid w:val="00E55518"/>
    <w:rsid w:val="00E63227"/>
    <w:rsid w:val="00E63E38"/>
    <w:rsid w:val="00E704A0"/>
    <w:rsid w:val="00E80EB1"/>
    <w:rsid w:val="00E80F95"/>
    <w:rsid w:val="00E81004"/>
    <w:rsid w:val="00E81DE1"/>
    <w:rsid w:val="00E8325F"/>
    <w:rsid w:val="00E84879"/>
    <w:rsid w:val="00E853FC"/>
    <w:rsid w:val="00E85E1D"/>
    <w:rsid w:val="00E94504"/>
    <w:rsid w:val="00EA2B3B"/>
    <w:rsid w:val="00EA3627"/>
    <w:rsid w:val="00EB10B2"/>
    <w:rsid w:val="00EB6199"/>
    <w:rsid w:val="00EB6E8C"/>
    <w:rsid w:val="00EC58EC"/>
    <w:rsid w:val="00ED0344"/>
    <w:rsid w:val="00ED3A29"/>
    <w:rsid w:val="00EF1BCF"/>
    <w:rsid w:val="00F01013"/>
    <w:rsid w:val="00F03867"/>
    <w:rsid w:val="00F05A6A"/>
    <w:rsid w:val="00F14817"/>
    <w:rsid w:val="00F16AC0"/>
    <w:rsid w:val="00F20062"/>
    <w:rsid w:val="00F2056C"/>
    <w:rsid w:val="00F225DE"/>
    <w:rsid w:val="00F24A9F"/>
    <w:rsid w:val="00F26BA4"/>
    <w:rsid w:val="00F3264D"/>
    <w:rsid w:val="00F421B9"/>
    <w:rsid w:val="00F454A8"/>
    <w:rsid w:val="00F47178"/>
    <w:rsid w:val="00F5129F"/>
    <w:rsid w:val="00F525ED"/>
    <w:rsid w:val="00F542F3"/>
    <w:rsid w:val="00F727CF"/>
    <w:rsid w:val="00F728F9"/>
    <w:rsid w:val="00F82C2D"/>
    <w:rsid w:val="00F92C8A"/>
    <w:rsid w:val="00FA3166"/>
    <w:rsid w:val="00FA7CDD"/>
    <w:rsid w:val="00FB0342"/>
    <w:rsid w:val="00FB10E3"/>
    <w:rsid w:val="00FB3237"/>
    <w:rsid w:val="00FB33FF"/>
    <w:rsid w:val="00FB3E95"/>
    <w:rsid w:val="00FC0186"/>
    <w:rsid w:val="00FC01BE"/>
    <w:rsid w:val="00FC4578"/>
    <w:rsid w:val="00FC6575"/>
    <w:rsid w:val="00FE1323"/>
    <w:rsid w:val="00FE15C2"/>
    <w:rsid w:val="00FE252C"/>
    <w:rsid w:val="00FE5BDE"/>
    <w:rsid w:val="00FF0E71"/>
    <w:rsid w:val="00FF1632"/>
    <w:rsid w:val="00FF4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17FE0B-EA91-453E-BD5A-EBAFDFAA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Times New Roman" w:hAnsi="Times New Roman" w:cs="Times New Roman"/>
      <w:sz w:val="24"/>
    </w:rPr>
  </w:style>
  <w:style w:type="paragraph" w:styleId="Heading1">
    <w:name w:val="heading 1"/>
    <w:basedOn w:val="Normal"/>
    <w:next w:val="Text1"/>
    <w:link w:val="Heading1Char"/>
    <w:uiPriority w:val="9"/>
    <w:qFormat/>
    <w:rsid w:val="009B7138"/>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Bullet4">
    <w:name w:val="List Bullet 4"/>
    <w:basedOn w:val="Normal"/>
    <w:rsid w:val="00367DBE"/>
    <w:pPr>
      <w:numPr>
        <w:numId w:val="2"/>
      </w:numPr>
    </w:pPr>
    <w:rPr>
      <w:rFonts w:eastAsia="Times New Roman"/>
      <w:lang w:eastAsia="de-DE"/>
    </w:rPr>
  </w:style>
  <w:style w:type="paragraph" w:styleId="ListNumber">
    <w:name w:val="List Number"/>
    <w:basedOn w:val="Normal"/>
    <w:rsid w:val="00367DBE"/>
    <w:pPr>
      <w:numPr>
        <w:numId w:val="6"/>
      </w:numPr>
    </w:pPr>
    <w:rPr>
      <w:rFonts w:eastAsia="Times New Roman"/>
      <w:lang w:eastAsia="de-DE"/>
    </w:rPr>
  </w:style>
  <w:style w:type="paragraph" w:customStyle="1" w:styleId="ListBullet1">
    <w:name w:val="List Bullet 1"/>
    <w:basedOn w:val="Normal"/>
    <w:rsid w:val="00367DBE"/>
    <w:pPr>
      <w:numPr>
        <w:numId w:val="1"/>
      </w:numPr>
    </w:pPr>
    <w:rPr>
      <w:rFonts w:eastAsia="Times New Roman"/>
      <w:lang w:eastAsia="de-DE"/>
    </w:rPr>
  </w:style>
  <w:style w:type="paragraph" w:customStyle="1" w:styleId="ListDash">
    <w:name w:val="List Dash"/>
    <w:basedOn w:val="Normal"/>
    <w:rsid w:val="00367DBE"/>
    <w:pPr>
      <w:numPr>
        <w:numId w:val="3"/>
      </w:numPr>
    </w:pPr>
    <w:rPr>
      <w:rFonts w:eastAsia="Times New Roman"/>
      <w:lang w:eastAsia="de-DE"/>
    </w:rPr>
  </w:style>
  <w:style w:type="paragraph" w:customStyle="1" w:styleId="ListDash1">
    <w:name w:val="List Dash 1"/>
    <w:basedOn w:val="Normal"/>
    <w:rsid w:val="00367DBE"/>
    <w:pPr>
      <w:numPr>
        <w:numId w:val="4"/>
      </w:numPr>
    </w:pPr>
    <w:rPr>
      <w:rFonts w:eastAsia="Times New Roman"/>
      <w:lang w:eastAsia="de-DE"/>
    </w:rPr>
  </w:style>
  <w:style w:type="paragraph" w:customStyle="1" w:styleId="ListDash2">
    <w:name w:val="List Dash 2"/>
    <w:basedOn w:val="Normal"/>
    <w:rsid w:val="00367DBE"/>
    <w:pPr>
      <w:numPr>
        <w:numId w:val="5"/>
      </w:numPr>
    </w:pPr>
    <w:rPr>
      <w:rFonts w:eastAsia="Times New Roman"/>
      <w:lang w:eastAsia="de-DE"/>
    </w:rPr>
  </w:style>
  <w:style w:type="paragraph" w:customStyle="1" w:styleId="ListNumberLevel2">
    <w:name w:val="List Number (Level 2)"/>
    <w:basedOn w:val="Normal"/>
    <w:rsid w:val="00367DBE"/>
    <w:pPr>
      <w:numPr>
        <w:ilvl w:val="1"/>
        <w:numId w:val="6"/>
      </w:numPr>
    </w:pPr>
    <w:rPr>
      <w:rFonts w:eastAsia="Times New Roman"/>
      <w:lang w:eastAsia="de-DE"/>
    </w:rPr>
  </w:style>
  <w:style w:type="paragraph" w:customStyle="1" w:styleId="ListNumberLevel3">
    <w:name w:val="List Number (Level 3)"/>
    <w:basedOn w:val="Normal"/>
    <w:rsid w:val="00367DBE"/>
    <w:pPr>
      <w:numPr>
        <w:ilvl w:val="2"/>
        <w:numId w:val="6"/>
      </w:numPr>
    </w:pPr>
    <w:rPr>
      <w:rFonts w:eastAsia="Times New Roman"/>
      <w:lang w:eastAsia="de-DE"/>
    </w:rPr>
  </w:style>
  <w:style w:type="paragraph" w:customStyle="1" w:styleId="ListNumberLevel4">
    <w:name w:val="List Number (Level 4)"/>
    <w:basedOn w:val="Normal"/>
    <w:rsid w:val="00367DBE"/>
    <w:pPr>
      <w:numPr>
        <w:ilvl w:val="3"/>
        <w:numId w:val="6"/>
      </w:numPr>
    </w:pPr>
    <w:rPr>
      <w:rFonts w:eastAsia="Times New Roman"/>
      <w:lang w:eastAsia="de-DE"/>
    </w:rPr>
  </w:style>
  <w:style w:type="table" w:styleId="TableGrid">
    <w:name w:val="Table Grid"/>
    <w:aliases w:val="Document Table,CV1"/>
    <w:basedOn w:val="TableNormal"/>
    <w:rsid w:val="00367DBE"/>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367DBE"/>
    <w:rPr>
      <w:color w:val="0000FF"/>
      <w:u w:val="single"/>
    </w:rPr>
  </w:style>
  <w:style w:type="paragraph" w:styleId="ListBullet">
    <w:name w:val="List Bullet"/>
    <w:basedOn w:val="Normal"/>
    <w:rsid w:val="00367DBE"/>
    <w:pPr>
      <w:numPr>
        <w:numId w:val="7"/>
      </w:numPr>
    </w:pPr>
    <w:rPr>
      <w:rFonts w:eastAsia="Times New Roman"/>
      <w:lang w:eastAsia="en-GB"/>
    </w:rPr>
  </w:style>
  <w:style w:type="paragraph" w:styleId="ListBullet2">
    <w:name w:val="List Bullet 2"/>
    <w:basedOn w:val="Normal"/>
    <w:rsid w:val="00367DBE"/>
    <w:pPr>
      <w:numPr>
        <w:numId w:val="8"/>
      </w:numPr>
    </w:pPr>
    <w:rPr>
      <w:rFonts w:eastAsia="Times New Roman"/>
      <w:lang w:eastAsia="en-GB"/>
    </w:rPr>
  </w:style>
  <w:style w:type="paragraph" w:styleId="ListBullet3">
    <w:name w:val="List Bullet 3"/>
    <w:basedOn w:val="Normal"/>
    <w:rsid w:val="00367DBE"/>
    <w:pPr>
      <w:numPr>
        <w:numId w:val="9"/>
      </w:numPr>
    </w:pPr>
    <w:rPr>
      <w:rFonts w:eastAsia="Times New Roman"/>
      <w:lang w:eastAsia="en-GB"/>
    </w:rPr>
  </w:style>
  <w:style w:type="paragraph" w:styleId="ListNumber2">
    <w:name w:val="List Number 2"/>
    <w:basedOn w:val="Normal"/>
    <w:rsid w:val="00367DBE"/>
    <w:pPr>
      <w:numPr>
        <w:numId w:val="13"/>
      </w:numPr>
    </w:pPr>
    <w:rPr>
      <w:rFonts w:eastAsia="Times New Roman"/>
      <w:lang w:eastAsia="en-GB"/>
    </w:rPr>
  </w:style>
  <w:style w:type="paragraph" w:styleId="ListNumber3">
    <w:name w:val="List Number 3"/>
    <w:basedOn w:val="Normal"/>
    <w:rsid w:val="00367DBE"/>
    <w:pPr>
      <w:numPr>
        <w:numId w:val="14"/>
      </w:numPr>
    </w:pPr>
    <w:rPr>
      <w:rFonts w:eastAsia="Times New Roman"/>
      <w:lang w:eastAsia="en-GB"/>
    </w:rPr>
  </w:style>
  <w:style w:type="paragraph" w:styleId="ListNumber4">
    <w:name w:val="List Number 4"/>
    <w:basedOn w:val="Normal"/>
    <w:rsid w:val="00367DBE"/>
    <w:pPr>
      <w:numPr>
        <w:numId w:val="15"/>
      </w:numPr>
    </w:pPr>
    <w:rPr>
      <w:rFonts w:eastAsia="Times New Roman"/>
      <w:lang w:eastAsia="en-GB"/>
    </w:rPr>
  </w:style>
  <w:style w:type="paragraph" w:customStyle="1" w:styleId="ListDash3">
    <w:name w:val="List Dash 3"/>
    <w:basedOn w:val="Normal"/>
    <w:rsid w:val="00367DBE"/>
    <w:pPr>
      <w:numPr>
        <w:numId w:val="10"/>
      </w:numPr>
    </w:pPr>
    <w:rPr>
      <w:rFonts w:eastAsia="Times New Roman"/>
      <w:lang w:eastAsia="en-GB"/>
    </w:rPr>
  </w:style>
  <w:style w:type="paragraph" w:customStyle="1" w:styleId="ListDash4">
    <w:name w:val="List Dash 4"/>
    <w:basedOn w:val="Normal"/>
    <w:rsid w:val="00367DBE"/>
    <w:pPr>
      <w:numPr>
        <w:numId w:val="11"/>
      </w:numPr>
    </w:pPr>
    <w:rPr>
      <w:rFonts w:eastAsia="Times New Roman"/>
      <w:lang w:eastAsia="en-GB"/>
    </w:rPr>
  </w:style>
  <w:style w:type="paragraph" w:customStyle="1" w:styleId="ListNumber1">
    <w:name w:val="List Number 1"/>
    <w:basedOn w:val="Text1"/>
    <w:rsid w:val="00367DBE"/>
    <w:pPr>
      <w:numPr>
        <w:numId w:val="12"/>
      </w:numPr>
    </w:pPr>
    <w:rPr>
      <w:rFonts w:eastAsia="Times New Roman"/>
      <w:lang w:eastAsia="en-GB"/>
    </w:rPr>
  </w:style>
  <w:style w:type="paragraph" w:customStyle="1" w:styleId="ListNumber1Level2">
    <w:name w:val="List Number 1 (Level 2)"/>
    <w:basedOn w:val="Text1"/>
    <w:rsid w:val="00367DBE"/>
    <w:pPr>
      <w:numPr>
        <w:ilvl w:val="1"/>
        <w:numId w:val="12"/>
      </w:numPr>
    </w:pPr>
    <w:rPr>
      <w:rFonts w:eastAsia="Times New Roman"/>
      <w:lang w:eastAsia="en-GB"/>
    </w:rPr>
  </w:style>
  <w:style w:type="paragraph" w:customStyle="1" w:styleId="ListNumber2Level2">
    <w:name w:val="List Number 2 (Level 2)"/>
    <w:basedOn w:val="Text2"/>
    <w:rsid w:val="00367DBE"/>
    <w:pPr>
      <w:numPr>
        <w:ilvl w:val="1"/>
        <w:numId w:val="13"/>
      </w:numPr>
    </w:pPr>
    <w:rPr>
      <w:rFonts w:eastAsia="Times New Roman"/>
      <w:lang w:eastAsia="en-GB"/>
    </w:rPr>
  </w:style>
  <w:style w:type="paragraph" w:customStyle="1" w:styleId="ListNumber3Level2">
    <w:name w:val="List Number 3 (Level 2)"/>
    <w:basedOn w:val="Text3"/>
    <w:rsid w:val="00367DBE"/>
    <w:pPr>
      <w:numPr>
        <w:ilvl w:val="1"/>
        <w:numId w:val="14"/>
      </w:numPr>
    </w:pPr>
    <w:rPr>
      <w:rFonts w:eastAsia="Times New Roman"/>
      <w:lang w:eastAsia="en-GB"/>
    </w:rPr>
  </w:style>
  <w:style w:type="paragraph" w:customStyle="1" w:styleId="ListNumber4Level2">
    <w:name w:val="List Number 4 (Level 2)"/>
    <w:basedOn w:val="Text4"/>
    <w:rsid w:val="00367DBE"/>
    <w:pPr>
      <w:numPr>
        <w:ilvl w:val="1"/>
        <w:numId w:val="15"/>
      </w:numPr>
    </w:pPr>
    <w:rPr>
      <w:rFonts w:eastAsia="Times New Roman"/>
      <w:lang w:eastAsia="en-GB"/>
    </w:rPr>
  </w:style>
  <w:style w:type="paragraph" w:customStyle="1" w:styleId="ListNumber1Level3">
    <w:name w:val="List Number 1 (Level 3)"/>
    <w:basedOn w:val="Text1"/>
    <w:rsid w:val="00367DBE"/>
    <w:pPr>
      <w:numPr>
        <w:ilvl w:val="2"/>
        <w:numId w:val="12"/>
      </w:numPr>
    </w:pPr>
    <w:rPr>
      <w:rFonts w:eastAsia="Times New Roman"/>
      <w:lang w:eastAsia="en-GB"/>
    </w:rPr>
  </w:style>
  <w:style w:type="paragraph" w:customStyle="1" w:styleId="ListNumber2Level3">
    <w:name w:val="List Number 2 (Level 3)"/>
    <w:basedOn w:val="Text2"/>
    <w:rsid w:val="00367DBE"/>
    <w:pPr>
      <w:numPr>
        <w:ilvl w:val="2"/>
        <w:numId w:val="13"/>
      </w:numPr>
    </w:pPr>
    <w:rPr>
      <w:rFonts w:eastAsia="Times New Roman"/>
      <w:lang w:eastAsia="en-GB"/>
    </w:rPr>
  </w:style>
  <w:style w:type="paragraph" w:customStyle="1" w:styleId="ListNumber3Level3">
    <w:name w:val="List Number 3 (Level 3)"/>
    <w:basedOn w:val="Text3"/>
    <w:rsid w:val="00367DBE"/>
    <w:pPr>
      <w:numPr>
        <w:ilvl w:val="2"/>
        <w:numId w:val="14"/>
      </w:numPr>
    </w:pPr>
    <w:rPr>
      <w:rFonts w:eastAsia="Times New Roman"/>
      <w:lang w:eastAsia="en-GB"/>
    </w:rPr>
  </w:style>
  <w:style w:type="paragraph" w:customStyle="1" w:styleId="ListNumber4Level3">
    <w:name w:val="List Number 4 (Level 3)"/>
    <w:basedOn w:val="Text4"/>
    <w:rsid w:val="00367DBE"/>
    <w:pPr>
      <w:numPr>
        <w:ilvl w:val="2"/>
        <w:numId w:val="15"/>
      </w:numPr>
    </w:pPr>
    <w:rPr>
      <w:rFonts w:eastAsia="Times New Roman"/>
      <w:lang w:eastAsia="en-GB"/>
    </w:rPr>
  </w:style>
  <w:style w:type="paragraph" w:customStyle="1" w:styleId="ListNumber1Level4">
    <w:name w:val="List Number 1 (Level 4)"/>
    <w:basedOn w:val="Text1"/>
    <w:rsid w:val="00367DBE"/>
    <w:pPr>
      <w:numPr>
        <w:ilvl w:val="3"/>
        <w:numId w:val="12"/>
      </w:numPr>
    </w:pPr>
    <w:rPr>
      <w:rFonts w:eastAsia="Times New Roman"/>
      <w:lang w:eastAsia="en-GB"/>
    </w:rPr>
  </w:style>
  <w:style w:type="paragraph" w:customStyle="1" w:styleId="ListNumber2Level4">
    <w:name w:val="List Number 2 (Level 4)"/>
    <w:basedOn w:val="Text2"/>
    <w:rsid w:val="00367DBE"/>
    <w:pPr>
      <w:numPr>
        <w:ilvl w:val="3"/>
        <w:numId w:val="13"/>
      </w:numPr>
    </w:pPr>
    <w:rPr>
      <w:rFonts w:eastAsia="Times New Roman"/>
      <w:lang w:eastAsia="en-GB"/>
    </w:rPr>
  </w:style>
  <w:style w:type="paragraph" w:customStyle="1" w:styleId="ListNumber3Level4">
    <w:name w:val="List Number 3 (Level 4)"/>
    <w:basedOn w:val="Text3"/>
    <w:rsid w:val="00367DBE"/>
    <w:pPr>
      <w:numPr>
        <w:ilvl w:val="3"/>
        <w:numId w:val="14"/>
      </w:numPr>
    </w:pPr>
    <w:rPr>
      <w:rFonts w:eastAsia="Times New Roman"/>
      <w:lang w:eastAsia="en-GB"/>
    </w:rPr>
  </w:style>
  <w:style w:type="paragraph" w:customStyle="1" w:styleId="ListNumber4Level4">
    <w:name w:val="List Number 4 (Level 4)"/>
    <w:basedOn w:val="Text4"/>
    <w:rsid w:val="00367DBE"/>
    <w:pPr>
      <w:numPr>
        <w:ilvl w:val="3"/>
        <w:numId w:val="15"/>
      </w:numPr>
    </w:pPr>
    <w:rPr>
      <w:rFonts w:eastAsia="Times New Roman"/>
      <w:lang w:eastAsia="en-GB"/>
    </w:rPr>
  </w:style>
  <w:style w:type="paragraph" w:customStyle="1" w:styleId="Annexetitreacte">
    <w:name w:val="Annexe titre (acte)"/>
    <w:basedOn w:val="Normal"/>
    <w:next w:val="Normal"/>
    <w:rsid w:val="00367DBE"/>
    <w:pPr>
      <w:jc w:val="center"/>
    </w:pPr>
    <w:rPr>
      <w:rFonts w:eastAsia="Times New Roman"/>
      <w:b/>
      <w:u w:val="single"/>
      <w:lang w:eastAsia="en-GB"/>
    </w:rPr>
  </w:style>
  <w:style w:type="paragraph" w:customStyle="1" w:styleId="Annexetitreexposglobal">
    <w:name w:val="Annexe titre (exposé global)"/>
    <w:basedOn w:val="Normal"/>
    <w:next w:val="Normal"/>
    <w:rsid w:val="00367DBE"/>
    <w:pPr>
      <w:jc w:val="center"/>
    </w:pPr>
    <w:rPr>
      <w:rFonts w:eastAsia="Times New Roman"/>
      <w:b/>
      <w:u w:val="single"/>
      <w:lang w:eastAsia="en-GB"/>
    </w:rPr>
  </w:style>
  <w:style w:type="paragraph" w:customStyle="1" w:styleId="Annexetitrefichefinacte">
    <w:name w:val="Annexe titre (fiche fin. acte)"/>
    <w:basedOn w:val="Normal"/>
    <w:next w:val="Normal"/>
    <w:rsid w:val="00367DBE"/>
    <w:pPr>
      <w:jc w:val="center"/>
    </w:pPr>
    <w:rPr>
      <w:rFonts w:eastAsia="Times New Roman"/>
      <w:b/>
      <w:u w:val="single"/>
      <w:lang w:eastAsia="en-GB"/>
    </w:rPr>
  </w:style>
  <w:style w:type="paragraph" w:customStyle="1" w:styleId="Annexetitrefichefinglobale">
    <w:name w:val="Annexe titre (fiche fin. globale)"/>
    <w:basedOn w:val="Normal"/>
    <w:next w:val="Normal"/>
    <w:rsid w:val="00367DBE"/>
    <w:pPr>
      <w:jc w:val="center"/>
    </w:pPr>
    <w:rPr>
      <w:rFonts w:eastAsia="Times New Roman"/>
      <w:b/>
      <w:u w:val="single"/>
      <w:lang w:eastAsia="en-GB"/>
    </w:rPr>
  </w:style>
  <w:style w:type="paragraph" w:customStyle="1" w:styleId="Annexetitreglobale">
    <w:name w:val="Annexe titre (globale)"/>
    <w:basedOn w:val="Normal"/>
    <w:next w:val="Normal"/>
    <w:rsid w:val="00367DBE"/>
    <w:pPr>
      <w:jc w:val="center"/>
    </w:pPr>
    <w:rPr>
      <w:rFonts w:eastAsia="Times New Roman"/>
      <w:b/>
      <w:u w:val="single"/>
      <w:lang w:eastAsia="en-GB"/>
    </w:rPr>
  </w:style>
  <w:style w:type="paragraph" w:customStyle="1" w:styleId="Exposdesmotifstitreglobal">
    <w:name w:val="Exposé des motifs titre (global)"/>
    <w:basedOn w:val="Normal"/>
    <w:next w:val="Normal"/>
    <w:rsid w:val="00367DBE"/>
    <w:pPr>
      <w:jc w:val="center"/>
    </w:pPr>
    <w:rPr>
      <w:rFonts w:eastAsia="Times New Roman"/>
      <w:b/>
      <w:u w:val="single"/>
      <w:lang w:eastAsia="en-GB"/>
    </w:rPr>
  </w:style>
  <w:style w:type="paragraph" w:customStyle="1" w:styleId="Langueoriginale">
    <w:name w:val="Langue originale"/>
    <w:basedOn w:val="Normal"/>
    <w:rsid w:val="00367DBE"/>
    <w:pPr>
      <w:spacing w:before="360"/>
      <w:jc w:val="center"/>
    </w:pPr>
    <w:rPr>
      <w:rFonts w:eastAsia="Times New Roman"/>
      <w:caps/>
      <w:lang w:eastAsia="en-GB"/>
    </w:rPr>
  </w:style>
  <w:style w:type="paragraph" w:customStyle="1" w:styleId="Phrasefinale">
    <w:name w:val="Phrase finale"/>
    <w:basedOn w:val="Normal"/>
    <w:next w:val="Normal"/>
    <w:rsid w:val="00367DBE"/>
    <w:pPr>
      <w:spacing w:before="360" w:after="0"/>
      <w:jc w:val="center"/>
    </w:pPr>
    <w:rPr>
      <w:rFonts w:eastAsia="Times New Roman"/>
      <w:lang w:eastAsia="en-GB"/>
    </w:rPr>
  </w:style>
  <w:style w:type="paragraph" w:customStyle="1" w:styleId="Prliminairetitre">
    <w:name w:val="Préliminaire titre"/>
    <w:basedOn w:val="Normal"/>
    <w:next w:val="Normal"/>
    <w:rsid w:val="00367DBE"/>
    <w:pPr>
      <w:spacing w:before="360" w:after="360"/>
      <w:jc w:val="center"/>
    </w:pPr>
    <w:rPr>
      <w:rFonts w:eastAsia="Times New Roman"/>
      <w:b/>
      <w:lang w:eastAsia="en-GB"/>
    </w:rPr>
  </w:style>
  <w:style w:type="paragraph" w:customStyle="1" w:styleId="Prliminairetype">
    <w:name w:val="Préliminaire type"/>
    <w:basedOn w:val="Normal"/>
    <w:next w:val="Normal"/>
    <w:rsid w:val="00367DBE"/>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367DBE"/>
    <w:pPr>
      <w:spacing w:before="0" w:after="240"/>
      <w:ind w:left="5103"/>
    </w:pPr>
    <w:rPr>
      <w:rFonts w:eastAsia="Times New Roman"/>
      <w:lang w:eastAsia="en-GB"/>
    </w:rPr>
  </w:style>
  <w:style w:type="paragraph" w:customStyle="1" w:styleId="Rfrenceinterinstitutionelle">
    <w:name w:val="Référence interinstitutionelle"/>
    <w:basedOn w:val="Normal"/>
    <w:next w:val="Statut"/>
    <w:rsid w:val="00367DBE"/>
    <w:pPr>
      <w:spacing w:before="0" w:after="0"/>
      <w:ind w:left="5103"/>
    </w:pPr>
    <w:rPr>
      <w:rFonts w:eastAsia="Times New Roman"/>
      <w:lang w:eastAsia="en-GB"/>
    </w:rPr>
  </w:style>
  <w:style w:type="paragraph" w:customStyle="1" w:styleId="Rfrenceinterinstitutionelleprliminaire">
    <w:name w:val="Référence interinstitutionelle (préliminaire)"/>
    <w:basedOn w:val="Normal"/>
    <w:next w:val="Normal"/>
    <w:rsid w:val="00367DBE"/>
    <w:pPr>
      <w:spacing w:before="0" w:after="0"/>
      <w:ind w:left="5103"/>
    </w:pPr>
    <w:rPr>
      <w:rFonts w:eastAsia="Times New Roman"/>
      <w:lang w:eastAsia="en-GB"/>
    </w:rPr>
  </w:style>
  <w:style w:type="paragraph" w:customStyle="1" w:styleId="Sous-titreobjetprliminaire">
    <w:name w:val="Sous-titre objet (préliminaire)"/>
    <w:basedOn w:val="Normal"/>
    <w:rsid w:val="00367DBE"/>
    <w:pPr>
      <w:spacing w:before="0" w:after="0"/>
      <w:jc w:val="center"/>
    </w:pPr>
    <w:rPr>
      <w:rFonts w:eastAsia="Times New Roman"/>
      <w:b/>
      <w:lang w:eastAsia="en-GB"/>
    </w:rPr>
  </w:style>
  <w:style w:type="paragraph" w:customStyle="1" w:styleId="Statutprliminaire">
    <w:name w:val="Statut (préliminaire)"/>
    <w:basedOn w:val="Normal"/>
    <w:next w:val="Normal"/>
    <w:rsid w:val="00367DBE"/>
    <w:pPr>
      <w:spacing w:before="360" w:after="0"/>
      <w:jc w:val="center"/>
    </w:pPr>
    <w:rPr>
      <w:rFonts w:eastAsia="Times New Roman"/>
      <w:lang w:eastAsia="en-GB"/>
    </w:rPr>
  </w:style>
  <w:style w:type="paragraph" w:customStyle="1" w:styleId="Titreobjetprliminaire">
    <w:name w:val="Titre objet (préliminaire)"/>
    <w:basedOn w:val="Normal"/>
    <w:next w:val="Normal"/>
    <w:rsid w:val="00367DBE"/>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367DBE"/>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367DBE"/>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367DBE"/>
    <w:pPr>
      <w:jc w:val="center"/>
    </w:pPr>
    <w:rPr>
      <w:rFonts w:eastAsia="Times New Roman"/>
      <w:b/>
      <w:u w:val="single"/>
      <w:lang w:eastAsia="en-GB"/>
    </w:rPr>
  </w:style>
  <w:style w:type="paragraph" w:customStyle="1" w:styleId="Fichefinanciretravailtitre">
    <w:name w:val="Fiche financière (travail) titre"/>
    <w:basedOn w:val="Normal"/>
    <w:next w:val="Normal"/>
    <w:rsid w:val="00367DBE"/>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367DBE"/>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367DBE"/>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367DBE"/>
    <w:pPr>
      <w:jc w:val="center"/>
    </w:pPr>
    <w:rPr>
      <w:rFonts w:eastAsia="Times New Roman"/>
      <w:b/>
      <w:u w:val="single"/>
      <w:lang w:eastAsia="en-GB"/>
    </w:rPr>
  </w:style>
  <w:style w:type="character" w:styleId="CommentReference">
    <w:name w:val="annotation reference"/>
    <w:rsid w:val="00367DBE"/>
    <w:rPr>
      <w:rFonts w:cs="Times New Roman"/>
      <w:sz w:val="16"/>
      <w:szCs w:val="16"/>
    </w:rPr>
  </w:style>
  <w:style w:type="paragraph" w:styleId="CommentText">
    <w:name w:val="annotation text"/>
    <w:basedOn w:val="Normal"/>
    <w:link w:val="CommentTextChar"/>
    <w:rsid w:val="00367DBE"/>
    <w:rPr>
      <w:rFonts w:eastAsia="Times New Roman"/>
      <w:sz w:val="20"/>
      <w:szCs w:val="20"/>
      <w:lang w:eastAsia="en-GB"/>
    </w:rPr>
  </w:style>
  <w:style w:type="character" w:customStyle="1" w:styleId="CommentTextChar">
    <w:name w:val="Comment Text Char"/>
    <w:basedOn w:val="DefaultParagraphFont"/>
    <w:link w:val="CommentText"/>
    <w:rsid w:val="00367DBE"/>
    <w:rPr>
      <w:rFonts w:ascii="Times New Roman" w:eastAsia="Times New Roman" w:hAnsi="Times New Roman" w:cs="Times New Roman"/>
      <w:sz w:val="20"/>
      <w:szCs w:val="20"/>
      <w:lang w:val="lt-LT" w:eastAsia="en-GB"/>
    </w:rPr>
  </w:style>
  <w:style w:type="paragraph" w:styleId="CommentSubject">
    <w:name w:val="annotation subject"/>
    <w:basedOn w:val="CommentText"/>
    <w:next w:val="CommentText"/>
    <w:link w:val="CommentSubjectChar"/>
    <w:rsid w:val="00367DBE"/>
    <w:rPr>
      <w:b/>
      <w:bCs/>
    </w:rPr>
  </w:style>
  <w:style w:type="character" w:customStyle="1" w:styleId="CommentSubjectChar">
    <w:name w:val="Comment Subject Char"/>
    <w:basedOn w:val="CommentTextChar"/>
    <w:link w:val="CommentSubject"/>
    <w:rsid w:val="00367DBE"/>
    <w:rPr>
      <w:rFonts w:ascii="Times New Roman" w:eastAsia="Times New Roman" w:hAnsi="Times New Roman" w:cs="Times New Roman"/>
      <w:b/>
      <w:bCs/>
      <w:sz w:val="20"/>
      <w:szCs w:val="20"/>
      <w:lang w:val="lt-LT" w:eastAsia="en-GB"/>
    </w:rPr>
  </w:style>
  <w:style w:type="paragraph" w:styleId="BalloonText">
    <w:name w:val="Balloon Text"/>
    <w:basedOn w:val="Normal"/>
    <w:link w:val="BalloonTextChar"/>
    <w:rsid w:val="00367DBE"/>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367DBE"/>
    <w:rPr>
      <w:rFonts w:ascii="Tahoma" w:eastAsia="Times New Roman" w:hAnsi="Tahoma" w:cs="Tahoma"/>
      <w:sz w:val="16"/>
      <w:szCs w:val="16"/>
      <w:lang w:val="lt-LT" w:eastAsia="en-GB"/>
    </w:rPr>
  </w:style>
  <w:style w:type="paragraph" w:styleId="Caption">
    <w:name w:val="caption"/>
    <w:basedOn w:val="Normal"/>
    <w:next w:val="Normal"/>
    <w:qFormat/>
    <w:rsid w:val="00367DBE"/>
    <w:rPr>
      <w:rFonts w:eastAsia="Times New Roman"/>
      <w:b/>
      <w:bCs/>
      <w:sz w:val="20"/>
      <w:szCs w:val="20"/>
      <w:lang w:eastAsia="en-GB"/>
    </w:rPr>
  </w:style>
  <w:style w:type="paragraph" w:styleId="TableofFigures">
    <w:name w:val="table of figures"/>
    <w:basedOn w:val="Normal"/>
    <w:next w:val="Normal"/>
    <w:rsid w:val="00367DBE"/>
    <w:rPr>
      <w:rFonts w:eastAsia="Times New Roman"/>
      <w:lang w:eastAsia="en-GB"/>
    </w:rPr>
  </w:style>
  <w:style w:type="character" w:styleId="PageNumber">
    <w:name w:val="page number"/>
    <w:rsid w:val="00367DBE"/>
  </w:style>
  <w:style w:type="character" w:customStyle="1" w:styleId="tw4winMark">
    <w:name w:val="tw4winMark"/>
    <w:rsid w:val="00367DBE"/>
    <w:rPr>
      <w:vanish/>
      <w:color w:val="800080"/>
      <w:vertAlign w:val="subscript"/>
    </w:rPr>
  </w:style>
  <w:style w:type="character" w:styleId="FollowedHyperlink">
    <w:name w:val="FollowedHyperlink"/>
    <w:rsid w:val="00367DBE"/>
    <w:rPr>
      <w:color w:val="800080"/>
      <w:u w:val="single"/>
    </w:rPr>
  </w:style>
  <w:style w:type="paragraph" w:customStyle="1" w:styleId="Sous-titreobjet">
    <w:name w:val="Sous-titre objet"/>
    <w:basedOn w:val="Normal"/>
    <w:rsid w:val="00367DBE"/>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367DBE"/>
  </w:style>
  <w:style w:type="paragraph" w:styleId="ListParagraph">
    <w:name w:val="List Paragraph"/>
    <w:aliases w:val="Dot pt,F5 List Paragraph,List Paragraph1,Bullet Points,Colorful List - Accent 11,No Spacing1,List Paragraph Char Char Char,Indicator Text,Numbered Para 1,List Paragraph2,MAIN CONTENT,List Paragraph12,Normal numbered,OBC Bullet,L,3,EC"/>
    <w:basedOn w:val="Normal"/>
    <w:link w:val="ListParagraphChar"/>
    <w:uiPriority w:val="34"/>
    <w:qFormat/>
    <w:rsid w:val="00367DBE"/>
    <w:pPr>
      <w:ind w:left="720"/>
      <w:contextualSpacing/>
    </w:pPr>
  </w:style>
  <w:style w:type="character" w:customStyle="1" w:styleId="ListParagraphChar">
    <w:name w:val="List Paragraph Char"/>
    <w:aliases w:val="Dot pt Char,F5 List Paragraph Char,List Paragraph1 Char,Bullet Points Char,Colorful List - Accent 11 Char,No Spacing1 Char,List Paragraph Char Char Char Char,Indicator Text Char,Numbered Para 1 Char,List Paragraph2 Char,L Char,3 Char"/>
    <w:link w:val="ListParagraph"/>
    <w:uiPriority w:val="34"/>
    <w:qFormat/>
    <w:locked/>
    <w:rsid w:val="00367DBE"/>
    <w:rPr>
      <w:rFonts w:ascii="Times New Roman" w:hAnsi="Times New Roman" w:cs="Times New Roman"/>
      <w:sz w:val="24"/>
      <w:lang w:val="lt-LT"/>
    </w:rPr>
  </w:style>
  <w:style w:type="paragraph" w:styleId="Revision">
    <w:name w:val="Revision"/>
    <w:hidden/>
    <w:uiPriority w:val="99"/>
    <w:semiHidden/>
    <w:rsid w:val="00374FB6"/>
    <w:pPr>
      <w:spacing w:after="0" w:line="240" w:lineRule="auto"/>
    </w:pPr>
    <w:rPr>
      <w:rFonts w:ascii="Times New Roman" w:hAnsi="Times New Roman" w:cs="Times New Roman"/>
      <w:sz w:val="24"/>
    </w:rPr>
  </w:style>
  <w:style w:type="table" w:styleId="PlainTable1">
    <w:name w:val="Plain Table 1"/>
    <w:basedOn w:val="TableNormal"/>
    <w:uiPriority w:val="41"/>
    <w:rsid w:val="00244B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styleId="Header">
    <w:name w:val="header"/>
    <w:basedOn w:val="Normal"/>
    <w:link w:val="HeaderChar"/>
    <w:uiPriority w:val="99"/>
    <w:unhideWhenUsed/>
    <w:rsid w:val="00777AD6"/>
    <w:pPr>
      <w:tabs>
        <w:tab w:val="center" w:pos="4535"/>
        <w:tab w:val="right" w:pos="9071"/>
      </w:tabs>
      <w:spacing w:before="0"/>
    </w:pPr>
  </w:style>
  <w:style w:type="character" w:customStyle="1" w:styleId="HeaderChar">
    <w:name w:val="Header Char"/>
    <w:basedOn w:val="DefaultParagraphFont"/>
    <w:link w:val="Header"/>
    <w:uiPriority w:val="99"/>
    <w:rsid w:val="00777AD6"/>
    <w:rPr>
      <w:rFonts w:ascii="Times New Roman" w:hAnsi="Times New Roman" w:cs="Times New Roman"/>
      <w:sz w:val="24"/>
      <w:lang w:val="lt-LT"/>
    </w:rPr>
  </w:style>
  <w:style w:type="paragraph" w:styleId="Footer">
    <w:name w:val="footer"/>
    <w:basedOn w:val="Normal"/>
    <w:link w:val="FooterChar"/>
    <w:unhideWhenUsed/>
    <w:rsid w:val="00777AD6"/>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rsid w:val="00777AD6"/>
    <w:rPr>
      <w:rFonts w:ascii="Times New Roman" w:hAnsi="Times New Roman" w:cs="Times New Roman"/>
      <w:sz w:val="24"/>
      <w:lang w:val="lt-LT"/>
    </w:rPr>
  </w:style>
  <w:style w:type="paragraph" w:styleId="FootnoteText">
    <w:name w:val="footnote text"/>
    <w:basedOn w:val="Normal"/>
    <w:link w:val="FootnoteTextChar"/>
    <w:uiPriority w:val="99"/>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9B7138"/>
    <w:rPr>
      <w:rFonts w:ascii="Times New Roman" w:hAnsi="Times New Roman" w:cs="Times New Roman"/>
      <w:sz w:val="20"/>
      <w:szCs w:val="20"/>
      <w:shd w:val="clear" w:color="auto" w:fill="auto"/>
      <w:lang w:val="lt-LT"/>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pPr>
  </w:style>
  <w:style w:type="paragraph" w:styleId="TOC2">
    <w:name w:val="toc 2"/>
    <w:basedOn w:val="Normal"/>
    <w:next w:val="Normal"/>
    <w:uiPriority w:val="39"/>
    <w:semiHidden/>
    <w:unhideWhenUsed/>
    <w:rsid w:val="009B7138"/>
    <w:pPr>
      <w:tabs>
        <w:tab w:val="right" w:leader="dot" w:pos="9071"/>
      </w:tabs>
      <w:spacing w:before="60"/>
      <w:ind w:left="850" w:hanging="850"/>
    </w:pPr>
  </w:style>
  <w:style w:type="paragraph" w:styleId="TOC3">
    <w:name w:val="toc 3"/>
    <w:basedOn w:val="Normal"/>
    <w:next w:val="Normal"/>
    <w:uiPriority w:val="39"/>
    <w:semiHidden/>
    <w:unhideWhenUsed/>
    <w:rsid w:val="009B7138"/>
    <w:pPr>
      <w:tabs>
        <w:tab w:val="right" w:leader="dot" w:pos="9071"/>
      </w:tabs>
      <w:spacing w:before="60"/>
      <w:ind w:left="850" w:hanging="850"/>
    </w:pPr>
  </w:style>
  <w:style w:type="paragraph" w:styleId="TOC4">
    <w:name w:val="toc 4"/>
    <w:basedOn w:val="Normal"/>
    <w:next w:val="Normal"/>
    <w:uiPriority w:val="39"/>
    <w:semiHidden/>
    <w:unhideWhenUsed/>
    <w:rsid w:val="009B7138"/>
    <w:pPr>
      <w:tabs>
        <w:tab w:val="right" w:leader="dot" w:pos="9071"/>
      </w:tabs>
      <w:spacing w:before="60"/>
      <w:ind w:left="850" w:hanging="850"/>
    </w:pPr>
  </w:style>
  <w:style w:type="paragraph" w:styleId="TOC5">
    <w:name w:val="toc 5"/>
    <w:basedOn w:val="Normal"/>
    <w:next w:val="Normal"/>
    <w:uiPriority w:val="39"/>
    <w:semiHidden/>
    <w:unhideWhenUsed/>
    <w:rsid w:val="009B7138"/>
    <w:pPr>
      <w:tabs>
        <w:tab w:val="right" w:leader="dot" w:pos="9071"/>
      </w:tabs>
      <w:spacing w:before="300"/>
    </w:pPr>
  </w:style>
  <w:style w:type="paragraph" w:styleId="TOC6">
    <w:name w:val="toc 6"/>
    <w:basedOn w:val="Normal"/>
    <w:next w:val="Normal"/>
    <w:uiPriority w:val="39"/>
    <w:semiHidden/>
    <w:unhideWhenUsed/>
    <w:rsid w:val="009B7138"/>
    <w:pPr>
      <w:tabs>
        <w:tab w:val="right" w:leader="dot" w:pos="9071"/>
      </w:tabs>
      <w:spacing w:before="240"/>
    </w:pPr>
  </w:style>
  <w:style w:type="paragraph" w:styleId="TOC7">
    <w:name w:val="toc 7"/>
    <w:basedOn w:val="Normal"/>
    <w:next w:val="Normal"/>
    <w:uiPriority w:val="39"/>
    <w:semiHidden/>
    <w:unhideWhenUsed/>
    <w:rsid w:val="009B7138"/>
    <w:pPr>
      <w:tabs>
        <w:tab w:val="right" w:leader="dot" w:pos="9071"/>
      </w:tabs>
      <w:spacing w:before="180"/>
    </w:pPr>
  </w:style>
  <w:style w:type="paragraph" w:styleId="TOC8">
    <w:name w:val="toc 8"/>
    <w:basedOn w:val="Normal"/>
    <w:next w:val="Normal"/>
    <w:uiPriority w:val="39"/>
    <w:semiHidden/>
    <w:unhideWhenUsed/>
    <w:rsid w:val="009B7138"/>
    <w:pPr>
      <w:tabs>
        <w:tab w:val="right" w:leader="dot" w:pos="9071"/>
      </w:tabs>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777AD6"/>
    <w:pPr>
      <w:tabs>
        <w:tab w:val="center" w:pos="7285"/>
        <w:tab w:val="right" w:pos="14003"/>
      </w:tabs>
      <w:spacing w:before="0"/>
    </w:pPr>
  </w:style>
  <w:style w:type="paragraph" w:customStyle="1" w:styleId="FooterLandscape">
    <w:name w:val="FooterLandscape"/>
    <w:basedOn w:val="Normal"/>
    <w:rsid w:val="00777AD6"/>
    <w:pPr>
      <w:tabs>
        <w:tab w:val="center" w:pos="7285"/>
        <w:tab w:val="center" w:pos="10913"/>
        <w:tab w:val="right" w:pos="15137"/>
      </w:tabs>
      <w:spacing w:before="360" w:after="0"/>
      <w:ind w:left="-567" w:right="-567"/>
    </w:pPr>
  </w:style>
  <w:style w:type="character" w:styleId="FootnoteReference">
    <w:name w:val="footnote reference"/>
    <w:basedOn w:val="DefaultParagraphFont"/>
    <w:uiPriority w:val="99"/>
    <w:unhideWhenUsed/>
    <w:rsid w:val="009B7138"/>
    <w:rPr>
      <w:shd w:val="clear" w:color="auto" w:fill="auto"/>
      <w:vertAlign w:val="superscript"/>
    </w:rPr>
  </w:style>
  <w:style w:type="paragraph" w:customStyle="1" w:styleId="HeaderSensitivity">
    <w:name w:val="Header Sensitivity"/>
    <w:basedOn w:val="Normal"/>
    <w:rsid w:val="00777AD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77AD6"/>
    <w:pPr>
      <w:spacing w:before="0"/>
      <w:jc w:val="right"/>
    </w:pPr>
    <w:rPr>
      <w:sz w:val="28"/>
    </w:rPr>
  </w:style>
  <w:style w:type="paragraph" w:customStyle="1" w:styleId="FooterSensitivity">
    <w:name w:val="Footer Sensitivity"/>
    <w:basedOn w:val="Normal"/>
    <w:rsid w:val="00777AD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6"/>
      </w:numPr>
    </w:pPr>
  </w:style>
  <w:style w:type="paragraph" w:customStyle="1" w:styleId="Tiret1">
    <w:name w:val="Tiret 1"/>
    <w:basedOn w:val="Point1"/>
    <w:rsid w:val="009B7138"/>
    <w:pPr>
      <w:numPr>
        <w:numId w:val="17"/>
      </w:numPr>
    </w:pPr>
  </w:style>
  <w:style w:type="paragraph" w:customStyle="1" w:styleId="Tiret2">
    <w:name w:val="Tiret 2"/>
    <w:basedOn w:val="Point2"/>
    <w:rsid w:val="009B7138"/>
    <w:pPr>
      <w:numPr>
        <w:numId w:val="18"/>
      </w:numPr>
    </w:pPr>
  </w:style>
  <w:style w:type="paragraph" w:customStyle="1" w:styleId="Tiret3">
    <w:name w:val="Tiret 3"/>
    <w:basedOn w:val="Point3"/>
    <w:rsid w:val="009B7138"/>
    <w:pPr>
      <w:numPr>
        <w:numId w:val="19"/>
      </w:numPr>
    </w:pPr>
  </w:style>
  <w:style w:type="paragraph" w:customStyle="1" w:styleId="Tiret4">
    <w:name w:val="Tiret 4"/>
    <w:basedOn w:val="Point4"/>
    <w:rsid w:val="009B7138"/>
    <w:pPr>
      <w:numPr>
        <w:numId w:val="20"/>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1"/>
      </w:numPr>
    </w:pPr>
  </w:style>
  <w:style w:type="paragraph" w:customStyle="1" w:styleId="NumPar2">
    <w:name w:val="NumPar 2"/>
    <w:basedOn w:val="Normal"/>
    <w:next w:val="Text1"/>
    <w:rsid w:val="009B7138"/>
    <w:pPr>
      <w:numPr>
        <w:ilvl w:val="1"/>
        <w:numId w:val="21"/>
      </w:numPr>
    </w:pPr>
  </w:style>
  <w:style w:type="paragraph" w:customStyle="1" w:styleId="NumPar3">
    <w:name w:val="NumPar 3"/>
    <w:basedOn w:val="Normal"/>
    <w:next w:val="Text1"/>
    <w:rsid w:val="009B7138"/>
    <w:pPr>
      <w:numPr>
        <w:ilvl w:val="2"/>
        <w:numId w:val="21"/>
      </w:numPr>
    </w:pPr>
  </w:style>
  <w:style w:type="paragraph" w:customStyle="1" w:styleId="NumPar4">
    <w:name w:val="NumPar 4"/>
    <w:basedOn w:val="Normal"/>
    <w:next w:val="Text1"/>
    <w:rsid w:val="009B7138"/>
    <w:pPr>
      <w:numPr>
        <w:ilvl w:val="3"/>
        <w:numId w:val="21"/>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23"/>
      </w:numPr>
    </w:pPr>
  </w:style>
  <w:style w:type="paragraph" w:customStyle="1" w:styleId="Point1number">
    <w:name w:val="Point 1 (number)"/>
    <w:basedOn w:val="Normal"/>
    <w:rsid w:val="009B7138"/>
    <w:pPr>
      <w:numPr>
        <w:ilvl w:val="2"/>
        <w:numId w:val="23"/>
      </w:numPr>
    </w:pPr>
  </w:style>
  <w:style w:type="paragraph" w:customStyle="1" w:styleId="Point2number">
    <w:name w:val="Point 2 (number)"/>
    <w:basedOn w:val="Normal"/>
    <w:rsid w:val="009B7138"/>
    <w:pPr>
      <w:numPr>
        <w:ilvl w:val="4"/>
        <w:numId w:val="23"/>
      </w:numPr>
    </w:pPr>
  </w:style>
  <w:style w:type="paragraph" w:customStyle="1" w:styleId="Point3number">
    <w:name w:val="Point 3 (number)"/>
    <w:basedOn w:val="Normal"/>
    <w:rsid w:val="009B7138"/>
    <w:pPr>
      <w:numPr>
        <w:ilvl w:val="6"/>
        <w:numId w:val="23"/>
      </w:numPr>
    </w:pPr>
  </w:style>
  <w:style w:type="paragraph" w:customStyle="1" w:styleId="Point0letter">
    <w:name w:val="Point 0 (letter)"/>
    <w:basedOn w:val="Normal"/>
    <w:rsid w:val="009B7138"/>
    <w:pPr>
      <w:numPr>
        <w:ilvl w:val="1"/>
        <w:numId w:val="23"/>
      </w:numPr>
    </w:pPr>
  </w:style>
  <w:style w:type="paragraph" w:customStyle="1" w:styleId="Point1letter">
    <w:name w:val="Point 1 (letter)"/>
    <w:basedOn w:val="Normal"/>
    <w:rsid w:val="009B7138"/>
    <w:pPr>
      <w:numPr>
        <w:ilvl w:val="3"/>
        <w:numId w:val="23"/>
      </w:numPr>
    </w:pPr>
  </w:style>
  <w:style w:type="paragraph" w:customStyle="1" w:styleId="Point2letter">
    <w:name w:val="Point 2 (letter)"/>
    <w:basedOn w:val="Normal"/>
    <w:rsid w:val="009B7138"/>
    <w:pPr>
      <w:numPr>
        <w:ilvl w:val="5"/>
        <w:numId w:val="23"/>
      </w:numPr>
    </w:pPr>
  </w:style>
  <w:style w:type="paragraph" w:customStyle="1" w:styleId="Point3letter">
    <w:name w:val="Point 3 (letter)"/>
    <w:basedOn w:val="Normal"/>
    <w:rsid w:val="009B7138"/>
    <w:pPr>
      <w:numPr>
        <w:ilvl w:val="7"/>
        <w:numId w:val="23"/>
      </w:numPr>
    </w:pPr>
  </w:style>
  <w:style w:type="paragraph" w:customStyle="1" w:styleId="Point4letter">
    <w:name w:val="Point 4 (letter)"/>
    <w:basedOn w:val="Normal"/>
    <w:rsid w:val="009B7138"/>
    <w:pPr>
      <w:numPr>
        <w:ilvl w:val="8"/>
        <w:numId w:val="23"/>
      </w:numPr>
    </w:pPr>
  </w:style>
  <w:style w:type="paragraph" w:customStyle="1" w:styleId="Bullet0">
    <w:name w:val="Bullet 0"/>
    <w:basedOn w:val="Normal"/>
    <w:rsid w:val="009B7138"/>
    <w:pPr>
      <w:numPr>
        <w:numId w:val="24"/>
      </w:numPr>
    </w:pPr>
  </w:style>
  <w:style w:type="paragraph" w:customStyle="1" w:styleId="Bullet1">
    <w:name w:val="Bullet 1"/>
    <w:basedOn w:val="Normal"/>
    <w:rsid w:val="009B7138"/>
    <w:pPr>
      <w:numPr>
        <w:numId w:val="25"/>
      </w:numPr>
    </w:pPr>
  </w:style>
  <w:style w:type="paragraph" w:customStyle="1" w:styleId="Bullet2">
    <w:name w:val="Bullet 2"/>
    <w:basedOn w:val="Normal"/>
    <w:rsid w:val="009B7138"/>
    <w:pPr>
      <w:numPr>
        <w:numId w:val="26"/>
      </w:numPr>
    </w:pPr>
  </w:style>
  <w:style w:type="paragraph" w:customStyle="1" w:styleId="Bullet3">
    <w:name w:val="Bullet 3"/>
    <w:basedOn w:val="Normal"/>
    <w:rsid w:val="009B7138"/>
    <w:pPr>
      <w:numPr>
        <w:numId w:val="27"/>
      </w:numPr>
    </w:pPr>
  </w:style>
  <w:style w:type="paragraph" w:customStyle="1" w:styleId="Bullet4">
    <w:name w:val="Bullet 4"/>
    <w:basedOn w:val="Normal"/>
    <w:rsid w:val="009B7138"/>
    <w:pPr>
      <w:numPr>
        <w:numId w:val="28"/>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pPr>
    <w:rPr>
      <w:rFonts w:ascii="Arial" w:hAnsi="Arial" w:cs="Arial"/>
    </w:rPr>
  </w:style>
  <w:style w:type="paragraph" w:customStyle="1" w:styleId="Emission">
    <w:name w:val="Emission"/>
    <w:basedOn w:val="Normal"/>
    <w:next w:val="Rfrenceinstitutionnelle"/>
    <w:rsid w:val="009B7138"/>
    <w:pPr>
      <w:spacing w:before="0" w:after="0"/>
      <w:ind w:left="5103"/>
    </w:pPr>
  </w:style>
  <w:style w:type="paragraph" w:customStyle="1" w:styleId="Rfrenceinstitutionnelle">
    <w:name w:val="Référence institutionnelle"/>
    <w:basedOn w:val="Normal"/>
    <w:next w:val="Confidentialit"/>
    <w:rsid w:val="009B7138"/>
    <w:pPr>
      <w:spacing w:before="0" w:after="240"/>
      <w:ind w:left="5103"/>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369AD"/>
    <w:pPr>
      <w:spacing w:before="0" w:after="0" w:line="276" w:lineRule="auto"/>
      <w:ind w:left="5103"/>
    </w:pPr>
    <w:rPr>
      <w:sz w:val="28"/>
    </w:rPr>
  </w:style>
  <w:style w:type="paragraph" w:customStyle="1" w:styleId="DateMarking">
    <w:name w:val="DateMarking"/>
    <w:basedOn w:val="Normal"/>
    <w:rsid w:val="00B369AD"/>
    <w:pPr>
      <w:spacing w:before="0" w:after="0" w:line="276" w:lineRule="auto"/>
      <w:ind w:left="5103"/>
    </w:pPr>
    <w:rPr>
      <w:i/>
      <w:sz w:val="28"/>
    </w:rPr>
  </w:style>
  <w:style w:type="paragraph" w:customStyle="1" w:styleId="ReleasableTo">
    <w:name w:val="ReleasableTo"/>
    <w:basedOn w:val="Normal"/>
    <w:rsid w:val="00B369AD"/>
    <w:pPr>
      <w:spacing w:before="0" w:after="0" w:line="276" w:lineRule="auto"/>
      <w:ind w:left="5103"/>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pPr>
    <w:rPr>
      <w:i/>
      <w:sz w:val="32"/>
    </w:rPr>
  </w:style>
  <w:style w:type="paragraph" w:customStyle="1" w:styleId="Considrant">
    <w:name w:val="Considérant"/>
    <w:basedOn w:val="Normal"/>
    <w:rsid w:val="009B7138"/>
    <w:pPr>
      <w:numPr>
        <w:numId w:val="29"/>
      </w:numPr>
    </w:pPr>
  </w:style>
  <w:style w:type="paragraph" w:customStyle="1" w:styleId="Corrigendum">
    <w:name w:val="Corrigendum"/>
    <w:basedOn w:val="Normal"/>
    <w:next w:val="Normal"/>
    <w:rsid w:val="009B7138"/>
    <w:pPr>
      <w:spacing w:before="0" w:after="240"/>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pPr>
    <w:rPr>
      <w:i/>
    </w:rPr>
  </w:style>
  <w:style w:type="paragraph" w:customStyle="1" w:styleId="Rfrenceinterinstitutionnelle">
    <w:name w:val="Référence interinstitutionnelle"/>
    <w:basedOn w:val="Normal"/>
    <w:next w:val="Statut"/>
    <w:rsid w:val="009B7138"/>
    <w:pPr>
      <w:spacing w:before="0" w:after="0"/>
      <w:ind w:left="5103"/>
    </w:pPr>
  </w:style>
  <w:style w:type="paragraph" w:customStyle="1" w:styleId="Rfrenceinterne">
    <w:name w:val="Référence interne"/>
    <w:basedOn w:val="Normal"/>
    <w:next w:val="Rfrenceinterinstitutionnelle"/>
    <w:rsid w:val="009B7138"/>
    <w:pPr>
      <w:spacing w:before="0" w:after="0"/>
      <w:ind w:left="5103"/>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link w:val="TypedudocumentChar"/>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customStyle="1" w:styleId="DeltaViewInsertion">
    <w:name w:val="DeltaView Insertion"/>
    <w:uiPriority w:val="99"/>
    <w:rsid w:val="00C87662"/>
    <w:rPr>
      <w:b/>
      <w:bCs w:val="0"/>
      <w:i/>
      <w:iCs w:val="0"/>
      <w:color w:val="000000"/>
    </w:rPr>
  </w:style>
  <w:style w:type="paragraph" w:customStyle="1" w:styleId="EPFooter2">
    <w:name w:val="EPFooter2"/>
    <w:basedOn w:val="Normal"/>
    <w:link w:val="EPFooter2Char"/>
    <w:rsid w:val="00686EF6"/>
    <w:pPr>
      <w:tabs>
        <w:tab w:val="center" w:pos="4535"/>
        <w:tab w:val="right" w:pos="9921"/>
      </w:tabs>
      <w:spacing w:before="0" w:after="0"/>
      <w:ind w:left="-850" w:right="-850"/>
    </w:pPr>
    <w:rPr>
      <w:rFonts w:ascii="Arial" w:hAnsi="Arial" w:cs="Arial"/>
      <w:b/>
      <w:sz w:val="48"/>
    </w:rPr>
  </w:style>
  <w:style w:type="character" w:customStyle="1" w:styleId="TypedudocumentChar">
    <w:name w:val="Type du document Char"/>
    <w:basedOn w:val="DefaultParagraphFont"/>
    <w:link w:val="Typedudocument"/>
    <w:rsid w:val="00686EF6"/>
    <w:rPr>
      <w:rFonts w:ascii="Times New Roman" w:hAnsi="Times New Roman" w:cs="Times New Roman"/>
      <w:b/>
      <w:sz w:val="24"/>
    </w:rPr>
  </w:style>
  <w:style w:type="character" w:customStyle="1" w:styleId="EPFooter2Char">
    <w:name w:val="EPFooter2 Char"/>
    <w:basedOn w:val="TypedudocumentChar"/>
    <w:link w:val="EPFooter2"/>
    <w:rsid w:val="00686EF6"/>
    <w:rPr>
      <w:rFonts w:ascii="Arial" w:hAnsi="Arial" w:cs="Arial"/>
      <w:b/>
      <w:sz w:val="48"/>
    </w:rPr>
  </w:style>
  <w:style w:type="paragraph" w:customStyle="1" w:styleId="EPFooter">
    <w:name w:val="EPFooter"/>
    <w:basedOn w:val="Normal"/>
    <w:link w:val="EPFooterChar"/>
    <w:rsid w:val="00686EF6"/>
    <w:pPr>
      <w:tabs>
        <w:tab w:val="center" w:pos="4535"/>
        <w:tab w:val="right" w:pos="9071"/>
      </w:tabs>
      <w:spacing w:before="240" w:after="240"/>
    </w:pPr>
    <w:rPr>
      <w:color w:val="010000"/>
      <w:sz w:val="22"/>
    </w:rPr>
  </w:style>
  <w:style w:type="character" w:customStyle="1" w:styleId="EPFooterChar">
    <w:name w:val="EPFooter Char"/>
    <w:basedOn w:val="TypedudocumentChar"/>
    <w:link w:val="EPFooter"/>
    <w:rsid w:val="00686EF6"/>
    <w:rPr>
      <w:rFonts w:ascii="Times New Roman" w:hAnsi="Times New Roman" w:cs="Times New Roman"/>
      <w:b w:val="0"/>
      <w:color w:val="010000"/>
      <w:sz w:val="24"/>
    </w:rPr>
  </w:style>
  <w:style w:type="character" w:customStyle="1" w:styleId="HideTWBExt">
    <w:name w:val="HideTWBExt"/>
    <w:basedOn w:val="DefaultParagraphFont"/>
    <w:rsid w:val="00686EF6"/>
    <w:rPr>
      <w:rFonts w:ascii="Arial" w:hAnsi="Arial" w:cs="Arial"/>
      <w:b w:val="0"/>
      <w:i w:val="0"/>
      <w:strike w:val="0"/>
      <w:noProof/>
      <w:vanish/>
      <w:color w:val="000080"/>
      <w:sz w:val="20"/>
    </w:rPr>
  </w:style>
  <w:style w:type="paragraph" w:customStyle="1" w:styleId="AmDocTypeTab">
    <w:name w:val="AmDocTypeTab"/>
    <w:basedOn w:val="Normal"/>
    <w:rsid w:val="00F24A9F"/>
    <w:pPr>
      <w:widowControl w:val="0"/>
      <w:tabs>
        <w:tab w:val="right" w:pos="9072"/>
      </w:tabs>
      <w:spacing w:before="0" w:after="0"/>
    </w:pPr>
    <w:rPr>
      <w:rFonts w:eastAsia="Times New Roman"/>
      <w:b/>
      <w:szCs w:val="20"/>
      <w:lang w:eastAsia="en-GB"/>
    </w:rPr>
  </w:style>
  <w:style w:type="paragraph" w:customStyle="1" w:styleId="Normal12a">
    <w:name w:val="Normal12a"/>
    <w:basedOn w:val="Normal"/>
    <w:rsid w:val="00F24A9F"/>
    <w:pPr>
      <w:widowControl w:val="0"/>
      <w:spacing w:before="0" w:after="240"/>
    </w:pPr>
    <w:rPr>
      <w:rFonts w:eastAsia="Times New Roman"/>
      <w:szCs w:val="20"/>
      <w:lang w:eastAsia="en-GB"/>
    </w:rPr>
  </w:style>
  <w:style w:type="character" w:customStyle="1" w:styleId="HideTWBInt">
    <w:name w:val="HideTWBInt"/>
    <w:rsid w:val="00F24A9F"/>
    <w:rPr>
      <w:rFonts w:ascii="Arial" w:hAnsi="Arial"/>
      <w:vanish/>
      <w:color w:val="808080"/>
      <w:sz w:val="20"/>
    </w:rPr>
  </w:style>
  <w:style w:type="paragraph" w:customStyle="1" w:styleId="NormalBold">
    <w:name w:val="NormalBold"/>
    <w:basedOn w:val="Normal"/>
    <w:rsid w:val="00F24A9F"/>
    <w:pPr>
      <w:widowControl w:val="0"/>
      <w:spacing w:before="0" w:after="0"/>
    </w:pPr>
    <w:rPr>
      <w:rFonts w:eastAsia="Times New Roman"/>
      <w:b/>
      <w:szCs w:val="20"/>
      <w:lang w:eastAsia="en-GB"/>
    </w:rPr>
  </w:style>
  <w:style w:type="paragraph" w:customStyle="1" w:styleId="NormalCenter12a">
    <w:name w:val="NormalCenter12a"/>
    <w:basedOn w:val="Normal"/>
    <w:rsid w:val="00F24A9F"/>
    <w:pPr>
      <w:widowControl w:val="0"/>
      <w:spacing w:before="0" w:after="240"/>
      <w:jc w:val="center"/>
    </w:pPr>
    <w:rPr>
      <w:rFonts w:eastAsia="Times New Roman"/>
      <w:szCs w:val="20"/>
      <w:lang w:eastAsia="en-GB"/>
    </w:rPr>
  </w:style>
  <w:style w:type="paragraph" w:customStyle="1" w:styleId="AmDateTab">
    <w:name w:val="AmDateTab"/>
    <w:basedOn w:val="Normal"/>
    <w:rsid w:val="00F24A9F"/>
    <w:pPr>
      <w:widowControl w:val="0"/>
      <w:tabs>
        <w:tab w:val="right" w:pos="9072"/>
      </w:tabs>
      <w:spacing w:before="0" w:after="0"/>
    </w:pPr>
    <w:rPr>
      <w:rFonts w:eastAsia="Times New Roman"/>
      <w:szCs w:val="20"/>
      <w:lang w:eastAsia="en-GB"/>
    </w:rPr>
  </w:style>
  <w:style w:type="paragraph" w:customStyle="1" w:styleId="AmNumberTabs">
    <w:name w:val="AmNumberTabs"/>
    <w:basedOn w:val="Normal"/>
    <w:rsid w:val="00F24A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pPr>
    <w:rPr>
      <w:rFonts w:eastAsia="Times New Roman"/>
      <w:b/>
      <w:szCs w:val="20"/>
      <w:lang w:eastAsia="en-GB"/>
    </w:rPr>
  </w:style>
  <w:style w:type="paragraph" w:customStyle="1" w:styleId="AmHeadingConsam">
    <w:name w:val="AmHeadingConsam"/>
    <w:basedOn w:val="Normal"/>
    <w:next w:val="NormalCenter12a"/>
    <w:rsid w:val="00F24A9F"/>
    <w:pPr>
      <w:widowControl w:val="0"/>
      <w:spacing w:before="720" w:after="240"/>
      <w:jc w:val="center"/>
    </w:pPr>
    <w:rPr>
      <w:rFonts w:eastAsia="Times New Roman"/>
      <w:szCs w:val="20"/>
      <w:lang w:eastAsia="en-GB"/>
    </w:rPr>
  </w:style>
  <w:style w:type="paragraph" w:customStyle="1" w:styleId="AmOrLang">
    <w:name w:val="AmOrLang"/>
    <w:basedOn w:val="Normal"/>
    <w:rsid w:val="00F24A9F"/>
    <w:pPr>
      <w:widowControl w:val="0"/>
      <w:spacing w:before="240" w:after="240"/>
      <w:jc w:val="right"/>
    </w:pPr>
    <w:rPr>
      <w:rFonts w:eastAsia="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10">
      <w:bodyDiv w:val="1"/>
      <w:marLeft w:val="0"/>
      <w:marRight w:val="0"/>
      <w:marTop w:val="0"/>
      <w:marBottom w:val="0"/>
      <w:divBdr>
        <w:top w:val="none" w:sz="0" w:space="0" w:color="auto"/>
        <w:left w:val="none" w:sz="0" w:space="0" w:color="auto"/>
        <w:bottom w:val="none" w:sz="0" w:space="0" w:color="auto"/>
        <w:right w:val="none" w:sz="0" w:space="0" w:color="auto"/>
      </w:divBdr>
    </w:div>
    <w:div w:id="115367445">
      <w:bodyDiv w:val="1"/>
      <w:marLeft w:val="0"/>
      <w:marRight w:val="0"/>
      <w:marTop w:val="0"/>
      <w:marBottom w:val="0"/>
      <w:divBdr>
        <w:top w:val="none" w:sz="0" w:space="0" w:color="auto"/>
        <w:left w:val="none" w:sz="0" w:space="0" w:color="auto"/>
        <w:bottom w:val="none" w:sz="0" w:space="0" w:color="auto"/>
        <w:right w:val="none" w:sz="0" w:space="0" w:color="auto"/>
      </w:divBdr>
    </w:div>
    <w:div w:id="622078427">
      <w:bodyDiv w:val="1"/>
      <w:marLeft w:val="0"/>
      <w:marRight w:val="0"/>
      <w:marTop w:val="0"/>
      <w:marBottom w:val="0"/>
      <w:divBdr>
        <w:top w:val="none" w:sz="0" w:space="0" w:color="auto"/>
        <w:left w:val="none" w:sz="0" w:space="0" w:color="auto"/>
        <w:bottom w:val="none" w:sz="0" w:space="0" w:color="auto"/>
        <w:right w:val="none" w:sz="0" w:space="0" w:color="auto"/>
      </w:divBdr>
    </w:div>
    <w:div w:id="1459224975">
      <w:bodyDiv w:val="1"/>
      <w:marLeft w:val="0"/>
      <w:marRight w:val="0"/>
      <w:marTop w:val="0"/>
      <w:marBottom w:val="0"/>
      <w:divBdr>
        <w:top w:val="none" w:sz="0" w:space="0" w:color="auto"/>
        <w:left w:val="none" w:sz="0" w:space="0" w:color="auto"/>
        <w:bottom w:val="none" w:sz="0" w:space="0" w:color="auto"/>
        <w:right w:val="none" w:sz="0" w:space="0" w:color="auto"/>
      </w:divBdr>
    </w:div>
    <w:div w:id="1655915546">
      <w:bodyDiv w:val="1"/>
      <w:marLeft w:val="0"/>
      <w:marRight w:val="0"/>
      <w:marTop w:val="0"/>
      <w:marBottom w:val="0"/>
      <w:divBdr>
        <w:top w:val="none" w:sz="0" w:space="0" w:color="auto"/>
        <w:left w:val="none" w:sz="0" w:space="0" w:color="auto"/>
        <w:bottom w:val="none" w:sz="0" w:space="0" w:color="auto"/>
        <w:right w:val="none" w:sz="0" w:space="0" w:color="auto"/>
      </w:divBdr>
    </w:div>
    <w:div w:id="1730960887">
      <w:bodyDiv w:val="1"/>
      <w:marLeft w:val="0"/>
      <w:marRight w:val="0"/>
      <w:marTop w:val="0"/>
      <w:marBottom w:val="0"/>
      <w:divBdr>
        <w:top w:val="none" w:sz="0" w:space="0" w:color="auto"/>
        <w:left w:val="none" w:sz="0" w:space="0" w:color="auto"/>
        <w:bottom w:val="none" w:sz="0" w:space="0" w:color="auto"/>
        <w:right w:val="none" w:sz="0" w:space="0" w:color="auto"/>
      </w:divBdr>
    </w:div>
    <w:div w:id="18333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KSAAU\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B27997-CC6B-43CE-8BC7-06D4A25D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45</Pages>
  <Words>5577</Words>
  <Characters>39325</Characters>
  <Application>Microsoft Office Word</Application>
  <DocSecurity>0</DocSecurity>
  <Lines>689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Quality Advisor</dc:creator>
  <cp:keywords/>
  <dc:description/>
  <cp:lastModifiedBy>SKERYS Irmantas</cp:lastModifiedBy>
  <cp:revision>2</cp:revision>
  <dcterms:created xsi:type="dcterms:W3CDTF">2021-01-15T13:51:00Z</dcterms:created>
  <dcterms:modified xsi:type="dcterms:W3CDTF">2021-01-15T13:51:00Z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DocuWrite 4.2.11, Build 20190404</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Yellow (DQC version 03)</vt:lpwstr>
  </property>
  <property fmtid="{D5CDD505-2E9C-101B-9397-08002B2CF9AE}" pid="8" name="Category">
    <vt:lpwstr>COM/PL/ORG</vt:lpwstr>
  </property>
  <property fmtid="{D5CDD505-2E9C-101B-9397-08002B2CF9AE}" pid="9" name="&lt;Model&gt;">
    <vt:lpwstr>AM_Ple_LegConsolidated</vt:lpwstr>
  </property>
  <property fmtid="{D5CDD505-2E9C-101B-9397-08002B2CF9AE}" pid="10" name="&lt;Type&gt;">
    <vt:lpwstr>AM</vt:lpwstr>
  </property>
  <property fmtid="{D5CDD505-2E9C-101B-9397-08002B2CF9AE}" pid="11" name="LastEdited with">
    <vt:lpwstr>9.9.1 Build [20200705]</vt:lpwstr>
  </property>
  <property fmtid="{D5CDD505-2E9C-101B-9397-08002B2CF9AE}" pid="12" name="&lt;FdR&gt;">
    <vt:lpwstr>1222354</vt:lpwstr>
  </property>
  <property fmtid="{D5CDD505-2E9C-101B-9397-08002B2CF9AE}" pid="13" name="FooterPath">
    <vt:lpwstr>AM\1222354LT.docx</vt:lpwstr>
  </property>
  <property fmtid="{D5CDD505-2E9C-101B-9397-08002B2CF9AE}" pid="14" name="SDLStudio">
    <vt:lpwstr/>
  </property>
  <property fmtid="{D5CDD505-2E9C-101B-9397-08002B2CF9AE}" pid="15" name="&lt;Extension&gt;">
    <vt:lpwstr>LT</vt:lpwstr>
  </property>
  <property fmtid="{D5CDD505-2E9C-101B-9397-08002B2CF9AE}" pid="16" name="Bookout">
    <vt:lpwstr>OK - 2021/01/15 14:51</vt:lpwstr>
  </property>
  <property fmtid="{D5CDD505-2E9C-101B-9397-08002B2CF9AE}" pid="17" name="PE number">
    <vt:lpwstr>662.816</vt:lpwstr>
  </property>
</Properties>
</file>