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mDateTab"/>
      </w:pPr>
      <w:r w:rsidR="00A77B3E">
        <w:rPr>
          <w:rStyle w:val="HideTWBExt"/>
        </w:rPr>
        <w:t>&lt;</w:t>
      </w:r>
      <w:r w:rsidR="00A77B3E">
        <w:rPr>
          <w:rStyle w:val="HideTWBExt"/>
        </w:rPr>
        <w:t>RepeatBlock-Amend</w:t>
      </w:r>
      <w:r w:rsidR="00A77B3E">
        <w:rPr>
          <w:rStyle w:val="HideTWBExt"/>
        </w:rPr>
        <w:t>&gt;</w:t>
      </w: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21/04/2021</w:t>
      </w:r>
      <w:r>
        <w:rPr>
          <w:rStyle w:val="HideTWBInt"/>
        </w:rPr>
        <w:t>}</w:t>
      </w:r>
      <w:r>
        <w:t>21.4.2021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A9-0081</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 xml:space="preserve">on behalf of the </w:t>
      </w:r>
      <w:r>
        <w:t>EPP</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A9-0081/2021</w:t>
      </w:r>
    </w:p>
    <w:p>
      <w:pPr>
        <w:pStyle w:val="NormalBold"/>
      </w:pPr>
      <w:r>
        <w:rPr>
          <w:rStyle w:val="HideTWBExt"/>
        </w:rPr>
        <w:t>&lt;</w:t>
      </w:r>
      <w:r>
        <w:rPr>
          <w:rStyle w:val="HideTWBExt"/>
        </w:rPr>
        <w:t>Rapporteur</w:t>
      </w:r>
      <w:r>
        <w:rPr>
          <w:rStyle w:val="HideTWBExt"/>
        </w:rPr>
        <w:t>&gt;</w:t>
      </w:r>
      <w:r>
        <w:t>Ryszard Czarnecki</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European Border and Coast Guard Agency</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2020/2167(DEC)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20</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20.</w:t>
            </w:r>
            <w:r>
              <w:tab/>
            </w:r>
            <w:r>
              <w:t xml:space="preserve">Is </w:t>
            </w:r>
            <w:r>
              <w:rPr>
                <w:rFonts w:ascii="Times New Roman" w:eastAsia="Times New Roman" w:hAnsi="Times New Roman" w:cs="Times New Roman"/>
                <w:b/>
                <w:i/>
                <w:strike w:val="0"/>
                <w:color w:val="auto"/>
                <w:sz w:val="24"/>
                <w:highlight w:val="none"/>
                <w:u w:val="none" w:color="auto"/>
                <w:vertAlign w:val="baseline"/>
              </w:rPr>
              <w:t>very</w:t>
            </w:r>
            <w:r>
              <w:t xml:space="preserve"> concerned by the lack of gender balance reported for 2019, in particular at the level of the management board (48 men and 8 women); calls on the Agency to improve the significant gender imbalance at </w:t>
            </w:r>
            <w:r>
              <w:rPr>
                <w:rFonts w:ascii="Times New Roman" w:eastAsia="Times New Roman" w:hAnsi="Times New Roman" w:cs="Times New Roman"/>
                <w:b/>
                <w:i/>
                <w:strike w:val="0"/>
                <w:color w:val="auto"/>
                <w:sz w:val="24"/>
                <w:highlight w:val="none"/>
                <w:u w:val="none" w:color="auto"/>
                <w:vertAlign w:val="baseline"/>
              </w:rPr>
              <w:t>all levels</w:t>
            </w:r>
            <w:r>
              <w:t>; asks the Commission and the Member States to take into account the importance of ensuring gender balance when nominating their members to the Agency’s management board;</w:t>
            </w:r>
          </w:p>
        </w:tc>
        <w:tc>
          <w:tcPr>
            <w:tcW w:w="4876" w:type="dxa"/>
            <w:vAlign w:val="top"/>
          </w:tcPr>
          <w:p>
            <w:pPr>
              <w:pStyle w:val="Normal6a"/>
            </w:pPr>
            <w:r>
              <w:t>20.</w:t>
            </w:r>
            <w:r>
              <w:tab/>
            </w:r>
            <w:r>
              <w:t xml:space="preserve">Is concerned by the lack of gender balance reported for 2019, in particular at the level of the management board (48 men and 8 women); calls on the Agency to improve the significant gender imbalance at </w:t>
            </w:r>
            <w:r>
              <w:rPr>
                <w:rFonts w:ascii="Times New Roman" w:eastAsia="Times New Roman" w:hAnsi="Times New Roman" w:cs="Times New Roman"/>
                <w:b/>
                <w:i/>
                <w:strike w:val="0"/>
                <w:color w:val="auto"/>
                <w:sz w:val="24"/>
                <w:highlight w:val="none"/>
                <w:u w:val="none" w:color="auto"/>
                <w:vertAlign w:val="baseline"/>
              </w:rPr>
              <w:t>management board level</w:t>
            </w:r>
            <w:r>
              <w:t>; asks the Commission and the Member States to take into account the importance of ensuring gender balance when nominating their members to the Agency’s management board;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4"/>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21/04/2021</w:t>
      </w:r>
      <w:r>
        <w:rPr>
          <w:rStyle w:val="HideTWBInt"/>
        </w:rPr>
        <w:t>}</w:t>
      </w:r>
      <w:r>
        <w:t>21.4.2021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A9-0081</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 xml:space="preserve">on behalf of the </w:t>
      </w:r>
      <w:r>
        <w:t>EPP</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A9-0081/2021</w:t>
      </w:r>
    </w:p>
    <w:p>
      <w:pPr>
        <w:pStyle w:val="NormalBold"/>
      </w:pPr>
      <w:r>
        <w:rPr>
          <w:rStyle w:val="HideTWBExt"/>
        </w:rPr>
        <w:t>&lt;</w:t>
      </w:r>
      <w:r>
        <w:rPr>
          <w:rStyle w:val="HideTWBExt"/>
        </w:rPr>
        <w:t>Rapporteur</w:t>
      </w:r>
      <w:r>
        <w:rPr>
          <w:rStyle w:val="HideTWBExt"/>
        </w:rPr>
        <w:t>&gt;</w:t>
      </w:r>
      <w:r>
        <w:t>Ryszard Czarnecki</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European Border and Coast Guard Agency</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2020/2167(DEC)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22.</w:t>
            </w:r>
            <w:r>
              <w:tab/>
            </w:r>
            <w:r>
              <w:t xml:space="preserve">Expresses </w:t>
            </w:r>
            <w:r>
              <w:rPr>
                <w:rFonts w:ascii="Times New Roman" w:eastAsia="Times New Roman" w:hAnsi="Times New Roman" w:cs="Times New Roman"/>
                <w:b/>
                <w:i/>
                <w:strike w:val="0"/>
                <w:color w:val="auto"/>
                <w:sz w:val="24"/>
                <w:highlight w:val="none"/>
                <w:u w:val="none" w:color="auto"/>
                <w:vertAlign w:val="baseline"/>
              </w:rPr>
              <w:t>great</w:t>
            </w:r>
            <w:r>
              <w:t xml:space="preserve"> concern over reports from journalistic investigations regarding the attitude of high ranking officials towards lower ranking staff; highlights in particular its concerns over reports of insulting and disrespectful behaviour towards staff, as well as </w:t>
            </w:r>
            <w:r>
              <w:rPr>
                <w:rFonts w:ascii="Times New Roman" w:eastAsia="Times New Roman" w:hAnsi="Times New Roman" w:cs="Times New Roman"/>
                <w:b/>
                <w:i/>
                <w:strike w:val="0"/>
                <w:color w:val="auto"/>
                <w:sz w:val="24"/>
                <w:highlight w:val="none"/>
                <w:u w:val="none" w:color="auto"/>
                <w:vertAlign w:val="baseline"/>
              </w:rPr>
              <w:t>of the fact that</w:t>
            </w:r>
            <w:r>
              <w:t xml:space="preserve"> control mechanisms at the Agency are becoming less effective; notes that the Agency had not reported any official complaints about those actions; </w:t>
            </w:r>
            <w:r>
              <w:rPr>
                <w:rFonts w:ascii="Times New Roman" w:eastAsia="Times New Roman" w:hAnsi="Times New Roman" w:cs="Times New Roman"/>
                <w:b/>
                <w:i/>
                <w:strike w:val="0"/>
                <w:color w:val="auto"/>
                <w:sz w:val="24"/>
                <w:highlight w:val="none"/>
                <w:u w:val="none" w:color="auto"/>
                <w:vertAlign w:val="baseline"/>
              </w:rPr>
              <w:t>is concerned over the fact that this disparity may suggest a lack of efficiency of</w:t>
            </w:r>
            <w:r>
              <w:t xml:space="preserve"> internal procedures </w:t>
            </w:r>
            <w:r>
              <w:rPr>
                <w:rFonts w:ascii="Times New Roman" w:eastAsia="Times New Roman" w:hAnsi="Times New Roman" w:cs="Times New Roman"/>
                <w:b/>
                <w:i/>
                <w:strike w:val="0"/>
                <w:color w:val="auto"/>
                <w:sz w:val="24"/>
                <w:highlight w:val="none"/>
                <w:u w:val="none" w:color="auto"/>
                <w:vertAlign w:val="baseline"/>
              </w:rPr>
              <w:t>in that field</w:t>
            </w:r>
            <w:r>
              <w:t>;</w:t>
            </w:r>
          </w:p>
        </w:tc>
        <w:tc>
          <w:tcPr>
            <w:tcW w:w="4876" w:type="dxa"/>
            <w:vAlign w:val="top"/>
          </w:tcPr>
          <w:p>
            <w:pPr>
              <w:pStyle w:val="Normal6a"/>
            </w:pPr>
            <w:r>
              <w:t>22.</w:t>
            </w:r>
            <w:r>
              <w:tab/>
            </w:r>
            <w:r>
              <w:t xml:space="preserve">Expresses concern over reports from journalistic investigations regarding the attitude of high ranking officials towards lower ranking staff; highlights in particular its concerns over reports of insulting and disrespectful behaviour towards staff, as well as </w:t>
            </w:r>
            <w:r>
              <w:rPr>
                <w:rFonts w:ascii="Times New Roman" w:eastAsia="Times New Roman" w:hAnsi="Times New Roman" w:cs="Times New Roman"/>
                <w:b/>
                <w:i/>
                <w:strike w:val="0"/>
                <w:color w:val="auto"/>
                <w:sz w:val="24"/>
                <w:highlight w:val="none"/>
                <w:u w:val="none" w:color="auto"/>
                <w:vertAlign w:val="baseline"/>
              </w:rPr>
              <w:t>remarks that allegedly</w:t>
            </w:r>
            <w:r>
              <w:t xml:space="preserve"> control mechanisms at the Agency are becoming less effective; notes that the Agency had not reported any official complaints about those actions; </w:t>
            </w:r>
            <w:r>
              <w:rPr>
                <w:rFonts w:ascii="Times New Roman" w:eastAsia="Times New Roman" w:hAnsi="Times New Roman" w:cs="Times New Roman"/>
                <w:b/>
                <w:i/>
                <w:strike w:val="0"/>
                <w:color w:val="auto"/>
                <w:sz w:val="24"/>
                <w:highlight w:val="none"/>
                <w:u w:val="none" w:color="auto"/>
                <w:vertAlign w:val="baseline"/>
              </w:rPr>
              <w:t>notes that according to its mandate, the Frontex Scrutiny Working Group will monitor the Agency's</w:t>
            </w:r>
            <w:r>
              <w:t xml:space="preserve"> internal </w:t>
            </w:r>
            <w:r>
              <w:rPr>
                <w:rFonts w:ascii="Times New Roman" w:eastAsia="Times New Roman" w:hAnsi="Times New Roman" w:cs="Times New Roman"/>
                <w:b/>
                <w:i/>
                <w:strike w:val="0"/>
                <w:color w:val="auto"/>
                <w:sz w:val="24"/>
                <w:highlight w:val="none"/>
                <w:u w:val="none" w:color="auto"/>
                <w:vertAlign w:val="baseline"/>
              </w:rPr>
              <w:t>management, including</w:t>
            </w:r>
            <w:r>
              <w:t xml:space="preserve"> procedures </w:t>
            </w:r>
            <w:r>
              <w:rPr>
                <w:rFonts w:ascii="Times New Roman" w:eastAsia="Times New Roman" w:hAnsi="Times New Roman" w:cs="Times New Roman"/>
                <w:b/>
                <w:i/>
                <w:strike w:val="0"/>
                <w:color w:val="auto"/>
                <w:sz w:val="24"/>
                <w:highlight w:val="none"/>
                <w:u w:val="none" w:color="auto"/>
                <w:vertAlign w:val="baseline"/>
              </w:rPr>
              <w:t>for reporting and handling of complaints; encourages the Agency to cooperate with the Frontex Scrutiny Working Group to clarify any concerns in this regard and follow up on future recommendations made regarding this aspect on the functioning of the Agency</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5"/>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21/04/2021</w:t>
      </w:r>
      <w:r>
        <w:rPr>
          <w:rStyle w:val="HideTWBInt"/>
        </w:rPr>
        <w:t>}</w:t>
      </w:r>
      <w:r>
        <w:t>21.4.2021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A9-0081</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 xml:space="preserve">on behalf of the </w:t>
      </w:r>
      <w:r>
        <w:t>EPP</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A9-0081/2021</w:t>
      </w:r>
    </w:p>
    <w:p>
      <w:pPr>
        <w:pStyle w:val="NormalBold"/>
      </w:pPr>
      <w:r>
        <w:rPr>
          <w:rStyle w:val="HideTWBExt"/>
        </w:rPr>
        <w:t>&lt;</w:t>
      </w:r>
      <w:r>
        <w:rPr>
          <w:rStyle w:val="HideTWBExt"/>
        </w:rPr>
        <w:t>Rapporteur</w:t>
      </w:r>
      <w:r>
        <w:rPr>
          <w:rStyle w:val="HideTWBExt"/>
        </w:rPr>
        <w:t>&gt;</w:t>
      </w:r>
      <w:r>
        <w:t>Ryszard Czarnecki</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European Border and Coast Guard Agency</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2020/2167(DEC)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25.</w:t>
            </w:r>
            <w:r>
              <w:tab/>
            </w:r>
            <w:r>
              <w:t xml:space="preserve">Expresses </w:t>
            </w:r>
            <w:r>
              <w:rPr>
                <w:rFonts w:ascii="Times New Roman" w:eastAsia="Times New Roman" w:hAnsi="Times New Roman" w:cs="Times New Roman"/>
                <w:b/>
                <w:i/>
                <w:strike w:val="0"/>
                <w:color w:val="auto"/>
                <w:sz w:val="24"/>
                <w:highlight w:val="none"/>
                <w:u w:val="none" w:color="auto"/>
                <w:vertAlign w:val="baseline"/>
              </w:rPr>
              <w:t>great</w:t>
            </w:r>
            <w:r>
              <w:t xml:space="preserve"> concern that in spite of being aware, as early as March 2019, of the changes that entered into force in December 2019 with regards to the role and competences of the fundamental rights officer and the fundamental rights monitors, the executive leadership of the Agency did not take the necessary measures to adapt to those changes, resulting in repeated delays in the implementation of provisions concerning the respect for fundamental rights within the Agency</w:t>
            </w:r>
            <w:r>
              <w:rPr>
                <w:rFonts w:ascii="Times New Roman" w:eastAsia="Times New Roman" w:hAnsi="Times New Roman" w:cs="Times New Roman"/>
                <w:b/>
                <w:i/>
                <w:strike w:val="0"/>
                <w:color w:val="auto"/>
                <w:sz w:val="24"/>
                <w:highlight w:val="none"/>
                <w:u w:val="none" w:color="auto"/>
                <w:vertAlign w:val="baseline"/>
              </w:rPr>
              <w:t>; deeply deplores the manner in which the executive director decided to bypass the management board in the replacement procedure of the fundamental rights officer at the end of 2019</w:t>
            </w:r>
            <w:r>
              <w:t xml:space="preserve">; notes with concern that the procedure had started just as the fundamental rights officer was returning from an extended illness, informing the incumbent on a very short notice; </w:t>
            </w:r>
            <w:r>
              <w:rPr>
                <w:rFonts w:ascii="Times New Roman" w:eastAsia="Times New Roman" w:hAnsi="Times New Roman" w:cs="Times New Roman"/>
                <w:b/>
                <w:i/>
                <w:strike w:val="0"/>
                <w:color w:val="auto"/>
                <w:sz w:val="24"/>
                <w:highlight w:val="none"/>
                <w:u w:val="none" w:color="auto"/>
                <w:vertAlign w:val="baseline"/>
              </w:rPr>
              <w:t>highlights</w:t>
            </w:r>
            <w:r>
              <w:t xml:space="preserve"> that the Agency had to suspend the publication of the vacancy note for the post of fundamental rights officer due to the lack of compliance with relevant legislation; </w:t>
            </w:r>
            <w:r>
              <w:rPr>
                <w:rFonts w:ascii="Times New Roman" w:eastAsia="Times New Roman" w:hAnsi="Times New Roman" w:cs="Times New Roman"/>
                <w:b/>
                <w:i/>
                <w:strike w:val="0"/>
                <w:color w:val="auto"/>
                <w:sz w:val="24"/>
                <w:highlight w:val="none"/>
                <w:u w:val="none" w:color="auto"/>
                <w:vertAlign w:val="baseline"/>
              </w:rPr>
              <w:t>underlines the comments made by the Commission with regard to that situation as "plain and simply unlawful";</w:t>
            </w:r>
            <w:r>
              <w:t xml:space="preserve"> takes note that currently the post of fundamental rights officer is occupied ad interim by a former member of the cabinet of the executive director; </w:t>
            </w:r>
            <w:r>
              <w:rPr>
                <w:rFonts w:ascii="Times New Roman" w:eastAsia="Times New Roman" w:hAnsi="Times New Roman" w:cs="Times New Roman"/>
                <w:b/>
                <w:i/>
                <w:strike w:val="0"/>
                <w:color w:val="auto"/>
                <w:sz w:val="24"/>
                <w:highlight w:val="none"/>
                <w:u w:val="none" w:color="auto"/>
                <w:vertAlign w:val="baseline"/>
              </w:rPr>
              <w:t>is seriously concerned over media reports that the executive director had repeatedly ignored reports and advice coming from the fundamental rights officer, concerning its operations in several Member States;</w:t>
            </w:r>
            <w:r>
              <w:t xml:space="preserve"> underlines that up until February 2021 the Agency had not recruited a single person for the post of fundamental rights monitor; </w:t>
            </w:r>
            <w:r>
              <w:rPr>
                <w:rFonts w:ascii="Times New Roman" w:eastAsia="Times New Roman" w:hAnsi="Times New Roman" w:cs="Times New Roman"/>
                <w:b/>
                <w:i/>
                <w:strike w:val="0"/>
                <w:color w:val="auto"/>
                <w:sz w:val="24"/>
                <w:highlight w:val="none"/>
                <w:u w:val="none" w:color="auto"/>
                <w:vertAlign w:val="baseline"/>
              </w:rPr>
              <w:t>expresses serious concerns over the Commission remarks concerning the Agency's reluctance to implement guidance provided by the Commission with regard to recruitment, including the recruitment of</w:t>
            </w:r>
            <w:r>
              <w:t xml:space="preserve"> the fundamental rights officer </w:t>
            </w:r>
            <w:r>
              <w:rPr>
                <w:rFonts w:ascii="Times New Roman" w:eastAsia="Times New Roman" w:hAnsi="Times New Roman" w:cs="Times New Roman"/>
                <w:b/>
                <w:i/>
                <w:strike w:val="0"/>
                <w:color w:val="auto"/>
                <w:sz w:val="24"/>
                <w:highlight w:val="none"/>
                <w:u w:val="none" w:color="auto"/>
                <w:vertAlign w:val="baseline"/>
              </w:rPr>
              <w:t>and</w:t>
            </w:r>
            <w:r>
              <w:t xml:space="preserve"> monitors</w:t>
            </w:r>
            <w:r>
              <w:rPr>
                <w:rFonts w:ascii="Times New Roman" w:eastAsia="Times New Roman" w:hAnsi="Times New Roman" w:cs="Times New Roman"/>
                <w:b/>
                <w:i/>
                <w:strike w:val="0"/>
                <w:color w:val="auto"/>
                <w:sz w:val="24"/>
                <w:highlight w:val="none"/>
                <w:u w:val="none" w:color="auto"/>
                <w:vertAlign w:val="baseline"/>
              </w:rPr>
              <w:t>, further obstructing and delaying this process</w:t>
            </w:r>
            <w:r>
              <w:t>; urges the Agency to fully comply with all obligations stemming from Regulation (EU) 2019/1896 and to report to the discharge authority on the progress made;</w:t>
            </w:r>
          </w:p>
        </w:tc>
        <w:tc>
          <w:tcPr>
            <w:tcW w:w="4876" w:type="dxa"/>
            <w:vAlign w:val="top"/>
          </w:tcPr>
          <w:p>
            <w:pPr>
              <w:pStyle w:val="Normal6a"/>
            </w:pPr>
            <w:r>
              <w:t>25.</w:t>
            </w:r>
            <w:r>
              <w:tab/>
            </w:r>
            <w:r>
              <w:t xml:space="preserve">Expresses concern that in spite of being aware, as early as March 2019, of the changes that entered into force in December 2019 with regards to the role and competences of the fundamental rights officer and the </w:t>
            </w:r>
            <w:r>
              <w:rPr>
                <w:rFonts w:ascii="Times New Roman" w:eastAsia="Times New Roman" w:hAnsi="Times New Roman" w:cs="Times New Roman"/>
                <w:b/>
                <w:i/>
                <w:strike w:val="0"/>
                <w:color w:val="auto"/>
                <w:sz w:val="24"/>
                <w:highlight w:val="none"/>
                <w:u w:val="none" w:color="auto"/>
                <w:vertAlign w:val="baseline"/>
              </w:rPr>
              <w:t>creation of</w:t>
            </w:r>
            <w:r>
              <w:t xml:space="preserve"> fundamental rights monitors </w:t>
            </w:r>
            <w:r>
              <w:rPr>
                <w:rFonts w:ascii="Times New Roman" w:eastAsia="Times New Roman" w:hAnsi="Times New Roman" w:cs="Times New Roman"/>
                <w:b/>
                <w:i/>
                <w:strike w:val="0"/>
                <w:color w:val="auto"/>
                <w:sz w:val="24"/>
                <w:highlight w:val="none"/>
                <w:u w:val="none" w:color="auto"/>
                <w:vertAlign w:val="baseline"/>
              </w:rPr>
              <w:t>posts</w:t>
            </w:r>
            <w:r>
              <w:t xml:space="preserve">, the executive leadership of the Agency did not take the necessary measures to adapt to those changes </w:t>
            </w:r>
            <w:r>
              <w:rPr>
                <w:rFonts w:ascii="Times New Roman" w:eastAsia="Times New Roman" w:hAnsi="Times New Roman" w:cs="Times New Roman"/>
                <w:b/>
                <w:i/>
                <w:strike w:val="0"/>
                <w:color w:val="auto"/>
                <w:sz w:val="24"/>
                <w:highlight w:val="none"/>
                <w:u w:val="none" w:color="auto"/>
                <w:vertAlign w:val="baseline"/>
              </w:rPr>
              <w:t>and to the introduction of fundamental rights monitors' posts</w:t>
            </w:r>
            <w:r>
              <w:t xml:space="preserve">, resulting in repeated delays in the implementation of provisions concerning the respect for fundamental rights within the Agency; notes with concern that the procedure had started just as the fundamental rights officer was returning from an extended illness, informing the incumbent on a very short notice; </w:t>
            </w:r>
            <w:r>
              <w:rPr>
                <w:rFonts w:ascii="Times New Roman" w:eastAsia="Times New Roman" w:hAnsi="Times New Roman" w:cs="Times New Roman"/>
                <w:b/>
                <w:i/>
                <w:strike w:val="0"/>
                <w:color w:val="auto"/>
                <w:sz w:val="24"/>
                <w:highlight w:val="none"/>
                <w:u w:val="none" w:color="auto"/>
                <w:vertAlign w:val="baseline"/>
              </w:rPr>
              <w:t>notes</w:t>
            </w:r>
            <w:r>
              <w:t xml:space="preserve"> that the Agency had to suspend the publication of the vacancy note for the post of fundamental rights officer due to the lack of compliance with relevant legislation; takes note that currently the post of fundamental rights officer is occupied ad interim by a former member of the cabinet of the executive director; underlines that up until February 2021 the Agency had not recruited a single person for the post of fundamental rights monitor; </w:t>
            </w:r>
            <w:r>
              <w:rPr>
                <w:rFonts w:ascii="Times New Roman" w:eastAsia="Times New Roman" w:hAnsi="Times New Roman" w:cs="Times New Roman"/>
                <w:b/>
                <w:i/>
                <w:strike w:val="0"/>
                <w:color w:val="auto"/>
                <w:sz w:val="24"/>
                <w:highlight w:val="none"/>
                <w:u w:val="none" w:color="auto"/>
                <w:vertAlign w:val="baseline"/>
              </w:rPr>
              <w:t>acknowledges that</w:t>
            </w:r>
            <w:r>
              <w:t xml:space="preserve"> the fundamental rights officer </w:t>
            </w:r>
            <w:r>
              <w:rPr>
                <w:rFonts w:ascii="Times New Roman" w:eastAsia="Times New Roman" w:hAnsi="Times New Roman" w:cs="Times New Roman"/>
                <w:b/>
                <w:i/>
                <w:strike w:val="0"/>
                <w:color w:val="auto"/>
                <w:sz w:val="24"/>
                <w:highlight w:val="none"/>
                <w:u w:val="none" w:color="auto"/>
                <w:vertAlign w:val="baseline"/>
              </w:rPr>
              <w:t>was selected in the management board meeting in March and will take up duties on the 1 June 2021; notes that as of April 2021, 15 applicants for the Fundamental Rights</w:t>
            </w:r>
            <w:r>
              <w:t xml:space="preserve"> Monitors</w:t>
            </w:r>
            <w:r>
              <w:rPr>
                <w:rFonts w:ascii="Times New Roman" w:eastAsia="Times New Roman" w:hAnsi="Times New Roman" w:cs="Times New Roman"/>
                <w:b/>
                <w:i/>
                <w:strike w:val="0"/>
                <w:color w:val="auto"/>
                <w:sz w:val="24"/>
                <w:highlight w:val="none"/>
                <w:u w:val="none" w:color="auto"/>
                <w:vertAlign w:val="baseline"/>
              </w:rPr>
              <w:t>' positions have accepted the Agency’s job offer, of which 10 will be employed as AST 4, and 5 will be employed as AD 7, with anticipated starting dates being in mid-June and beginning of July 2021</w:t>
            </w:r>
            <w:r>
              <w:t>; urges the Agency to fully comply with all obligations stemming from Regulation (EU) 2019/1896 and to report to the discharge authority on the progress made;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6"/>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21/04/2021</w:t>
      </w:r>
      <w:r>
        <w:rPr>
          <w:rStyle w:val="HideTWBInt"/>
        </w:rPr>
        <w:t>}</w:t>
      </w:r>
      <w:r>
        <w:t>21.4.2021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A9-0081</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 xml:space="preserve">on behalf of the </w:t>
      </w:r>
      <w:r>
        <w:t>EPP</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A9-0081/2021</w:t>
      </w:r>
    </w:p>
    <w:p>
      <w:pPr>
        <w:pStyle w:val="NormalBold"/>
      </w:pPr>
      <w:r>
        <w:rPr>
          <w:rStyle w:val="HideTWBExt"/>
        </w:rPr>
        <w:t>&lt;</w:t>
      </w:r>
      <w:r>
        <w:rPr>
          <w:rStyle w:val="HideTWBExt"/>
        </w:rPr>
        <w:t>Rapporteur</w:t>
      </w:r>
      <w:r>
        <w:rPr>
          <w:rStyle w:val="HideTWBExt"/>
        </w:rPr>
        <w:t>&gt;</w:t>
      </w:r>
      <w:r>
        <w:t>Ryszard Czarnecki</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European Border and Coast Guard Agency</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2020/2167(DEC)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25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rFonts w:ascii="Times New Roman" w:eastAsia="Times New Roman" w:hAnsi="Times New Roman" w:cs="Times New Roman"/>
                <w:b/>
                <w:i/>
                <w:strike w:val="0"/>
                <w:color w:val="auto"/>
                <w:sz w:val="24"/>
                <w:highlight w:val="none"/>
                <w:u w:val="none" w:color="auto"/>
                <w:vertAlign w:val="baseline"/>
              </w:rPr>
              <w:t>25 a.</w:t>
            </w:r>
            <w:r>
              <w:tab/>
            </w:r>
            <w:r>
              <w:rPr>
                <w:rFonts w:ascii="Times New Roman" w:eastAsia="Times New Roman" w:hAnsi="Times New Roman" w:cs="Times New Roman"/>
                <w:b/>
                <w:i/>
                <w:strike w:val="0"/>
                <w:color w:val="auto"/>
                <w:sz w:val="24"/>
                <w:highlight w:val="none"/>
                <w:u w:val="none" w:color="auto"/>
                <w:vertAlign w:val="baseline"/>
              </w:rPr>
              <w:t>Acknowledges that the fundamental rights officer was selected in the management board meeting in March and will take up duties on 1 June 2021; notes that as of April 2021, 15 applicants for the Fundamental Rights Monitors' positions have accepted the Agency’s job offer, of which 10 will be employed as AST 4, and 5 will be employed as AD 7, with anticipated starting dates being in mid-June and beginning of July 2021;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sectPr>
          <w:footerReference w:type="default" r:id="rId7"/>
          <w:type w:val="nextPage"/>
          <w:pgSz w:w="11906" w:h="16838"/>
          <w:pgMar w:top="1134" w:right="1417" w:bottom="1417" w:left="1417" w:header="1134" w:footer="567" w:gutter="0"/>
          <w:cols w:num="1" w:space="708"/>
          <w:titlePg w:val="0"/>
          <w:docGrid w:linePitch="360"/>
        </w:sectPr>
      </w:pPr>
      <w:r>
        <w:rPr>
          <w:rStyle w:val="HideTWBExt"/>
        </w:rPr>
        <w:t>&lt;/</w:t>
      </w:r>
      <w:r>
        <w:rPr>
          <w:rStyle w:val="HideTWBExt"/>
        </w:rPr>
        <w:t>Amend</w:t>
      </w:r>
      <w:r>
        <w:rPr>
          <w:rStyle w:val="HideTWBExt"/>
        </w:rPr>
        <w:t>&gt;</w:t>
      </w:r>
    </w:p>
    <w:p>
      <w:pPr>
        <w:pStyle w:val="AmDateTab"/>
      </w:pPr>
      <w:r>
        <w:rPr>
          <w:rStyle w:val="HideTWBExt"/>
        </w:rPr>
        <w:t>&lt;</w:t>
      </w:r>
      <w:r>
        <w:rPr>
          <w:rStyle w:val="HideTWBExt"/>
        </w:rPr>
        <w:t>Amend</w:t>
      </w:r>
      <w:r>
        <w:rPr>
          <w:rStyle w:val="HideTWBExt"/>
        </w:rPr>
        <w:t>&gt;</w:t>
      </w:r>
      <w:r>
        <w:rPr>
          <w:rStyle w:val="HideTWBExt"/>
        </w:rPr>
        <w:t>&lt;</w:t>
      </w:r>
      <w:r>
        <w:rPr>
          <w:rStyle w:val="HideTWBExt"/>
        </w:rPr>
        <w:t>Date</w:t>
      </w:r>
      <w:r>
        <w:rPr>
          <w:rStyle w:val="HideTWBExt"/>
        </w:rPr>
        <w:t>&gt;</w:t>
      </w:r>
      <w:r>
        <w:rPr>
          <w:rStyle w:val="HideTWBInt"/>
        </w:rPr>
        <w:t>{</w:t>
      </w:r>
      <w:r>
        <w:rPr>
          <w:rStyle w:val="HideTWBInt"/>
        </w:rPr>
        <w:t>21/04/2021</w:t>
      </w:r>
      <w:r>
        <w:rPr>
          <w:rStyle w:val="HideTWBInt"/>
        </w:rPr>
        <w:t>}</w:t>
      </w:r>
      <w:r>
        <w:t>21.4.2021</w:t>
      </w:r>
      <w:r>
        <w:rPr>
          <w:rStyle w:val="HideTWBExt"/>
        </w:rPr>
        <w:t>&lt;/</w:t>
      </w:r>
      <w:r>
        <w:rPr>
          <w:rStyle w:val="HideTWBExt"/>
        </w:rPr>
        <w:t>Date</w:t>
      </w:r>
      <w:r>
        <w:rPr>
          <w:rStyle w:val="HideTWBExt"/>
        </w:rPr>
        <w:t>&gt;</w:t>
      </w:r>
      <w:r>
        <w:tab/>
      </w:r>
      <w:r>
        <w:rPr>
          <w:rStyle w:val="HideTWBExt"/>
        </w:rPr>
        <w:t>&lt;</w:t>
      </w:r>
      <w:r>
        <w:rPr>
          <w:rStyle w:val="HideTWBExt"/>
        </w:rPr>
        <w:t>ANo</w:t>
      </w:r>
      <w:r>
        <w:rPr>
          <w:rStyle w:val="HideTWBExt"/>
        </w:rPr>
        <w:t>&gt;</w:t>
      </w:r>
      <w:r>
        <w:t>A9-0081</w:t>
      </w:r>
      <w:r>
        <w:rPr>
          <w:rStyle w:val="HideTWBExt"/>
        </w:rPr>
        <w:t>&lt;/</w:t>
      </w:r>
      <w:r>
        <w:rPr>
          <w:rStyle w:val="HideTWBExt"/>
        </w:rPr>
        <w:t>ANo</w:t>
      </w:r>
      <w:r>
        <w:rPr>
          <w:rStyle w:val="HideTWBExt"/>
        </w:rPr>
        <w:t>&gt;</w:t>
      </w:r>
      <w:r>
        <w:t>/</w:t>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AmNumberTabs"/>
      </w:pPr>
      <w:r>
        <w:t>Amendment</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r>
        <w:rPr>
          <w:rStyle w:val="HideTWBExt"/>
        </w:rPr>
        <w:t>&lt;</w:t>
      </w:r>
      <w:r>
        <w:rPr>
          <w:rStyle w:val="HideTWBExt"/>
        </w:rPr>
        <w:t>AuNomDe</w:t>
      </w:r>
      <w:r>
        <w:rPr>
          <w:rStyle w:val="HideTWBExt"/>
        </w:rPr>
        <w:t>&gt;</w:t>
      </w:r>
      <w:r>
        <w:rPr>
          <w:rStyle w:val="HideTWBInt"/>
        </w:rPr>
        <w:t>{</w:t>
      </w:r>
      <w:r>
        <w:rPr>
          <w:rStyle w:val="HideTWBInt"/>
        </w:rPr>
        <w:t>EPP</w:t>
      </w:r>
      <w:r>
        <w:rPr>
          <w:rStyle w:val="HideTWBInt"/>
        </w:rPr>
        <w:t>}</w:t>
      </w:r>
      <w:r>
        <w:t xml:space="preserve">on behalf of the </w:t>
      </w:r>
      <w:r>
        <w:t>EPP</w:t>
      </w:r>
      <w:r>
        <w:t xml:space="preserve"> Group</w:t>
      </w:r>
      <w:r>
        <w:rPr>
          <w:rStyle w:val="HideTWBExt"/>
        </w:rPr>
        <w:t>&lt;/</w:t>
      </w:r>
      <w:r>
        <w:rPr>
          <w:rStyle w:val="HideTWBExt"/>
        </w:rPr>
        <w:t>AuNomDe</w:t>
      </w:r>
      <w:r>
        <w:rPr>
          <w:rStyle w:val="HideTWBExt"/>
        </w:rPr>
        <w:t>&gt;</w:t>
      </w:r>
    </w:p>
    <w:p>
      <w:r>
        <w:rPr>
          <w:rStyle w:val="HideTWBExt"/>
        </w:rPr>
        <w:t>&lt;/</w:t>
      </w:r>
      <w:r>
        <w:rPr>
          <w:rStyle w:val="HideTWBExt"/>
        </w:rPr>
        <w:t>RepeatBlock-By</w:t>
      </w:r>
      <w:r>
        <w:rPr>
          <w:rStyle w:val="HideTWBExt"/>
        </w:rPr>
        <w:t>&gt;</w:t>
      </w:r>
    </w:p>
    <w:p>
      <w:pPr>
        <w:pStyle w:val="AmDocTypeTab"/>
      </w:pPr>
      <w:r>
        <w:rPr>
          <w:rStyle w:val="HideTWBExt"/>
        </w:rPr>
        <w:t>&lt;</w:t>
      </w:r>
      <w:r>
        <w:rPr>
          <w:rStyle w:val="HideTWBExt"/>
        </w:rPr>
        <w:t>TitreType</w:t>
      </w:r>
      <w:r>
        <w:rPr>
          <w:rStyle w:val="HideTWBExt"/>
        </w:rPr>
        <w:t>&gt;</w:t>
      </w:r>
      <w:r>
        <w:t>Report</w:t>
      </w:r>
      <w:r>
        <w:rPr>
          <w:rStyle w:val="HideTWBExt"/>
        </w:rPr>
        <w:t>&lt;/</w:t>
      </w:r>
      <w:r>
        <w:rPr>
          <w:rStyle w:val="HideTWBExt"/>
        </w:rPr>
        <w:t>TitreType</w:t>
      </w:r>
      <w:r>
        <w:rPr>
          <w:rStyle w:val="HideTWBExt"/>
        </w:rPr>
        <w:t>&gt;</w:t>
      </w:r>
      <w:r>
        <w:tab/>
      </w:r>
      <w:r>
        <w:t>A9-0081/2021</w:t>
      </w:r>
    </w:p>
    <w:p>
      <w:pPr>
        <w:pStyle w:val="NormalBold"/>
      </w:pPr>
      <w:r>
        <w:rPr>
          <w:rStyle w:val="HideTWBExt"/>
        </w:rPr>
        <w:t>&lt;</w:t>
      </w:r>
      <w:r>
        <w:rPr>
          <w:rStyle w:val="HideTWBExt"/>
        </w:rPr>
        <w:t>Rapporteur</w:t>
      </w:r>
      <w:r>
        <w:rPr>
          <w:rStyle w:val="HideTWBExt"/>
        </w:rPr>
        <w:t>&gt;</w:t>
      </w:r>
      <w:r>
        <w:t>Ryszard Czarnecki</w:t>
      </w:r>
      <w:r>
        <w:rPr>
          <w:rStyle w:val="HideTWBExt"/>
        </w:rPr>
        <w:t>&lt;/</w:t>
      </w:r>
      <w:r>
        <w:rPr>
          <w:rStyle w:val="HideTWBExt"/>
        </w:rPr>
        <w:t>Rapporteur</w:t>
      </w:r>
      <w:r>
        <w:rPr>
          <w:rStyle w:val="HideTWBExt"/>
        </w:rPr>
        <w:t>&gt;</w:t>
      </w:r>
    </w:p>
    <w:p>
      <w:r>
        <w:rPr>
          <w:rStyle w:val="HideTWBExt"/>
        </w:rPr>
        <w:t>&lt;</w:t>
      </w:r>
      <w:r>
        <w:rPr>
          <w:rStyle w:val="HideTWBExt"/>
        </w:rPr>
        <w:t>Titre</w:t>
      </w:r>
      <w:r>
        <w:rPr>
          <w:rStyle w:val="HideTWBExt"/>
        </w:rPr>
        <w:t>&gt;</w:t>
      </w:r>
      <w:r>
        <w:t>2019 Discharge: European Border and Coast Guard Agency</w:t>
      </w:r>
      <w:r>
        <w:rPr>
          <w:rStyle w:val="HideTWBExt"/>
        </w:rPr>
        <w:t>&lt;/</w:t>
      </w:r>
      <w:r>
        <w:rPr>
          <w:rStyle w:val="HideTWBExt"/>
        </w:rPr>
        <w:t>Titre</w:t>
      </w:r>
      <w:r>
        <w:rPr>
          <w:rStyle w:val="HideTWBExt"/>
        </w:rPr>
        <w:t>&gt;</w:t>
      </w:r>
    </w:p>
    <w:p>
      <w:pPr>
        <w:pStyle w:val="Normal12a"/>
      </w:pPr>
      <w:r>
        <w:rPr>
          <w:rStyle w:val="HideTWBExt"/>
        </w:rPr>
        <w:t>&lt;</w:t>
      </w:r>
      <w:r>
        <w:rPr>
          <w:rStyle w:val="HideTWBExt"/>
        </w:rPr>
        <w:t>DocRef</w:t>
      </w:r>
      <w:r>
        <w:rPr>
          <w:rStyle w:val="HideTWBExt"/>
        </w:rPr>
        <w:t>&gt;</w:t>
      </w:r>
      <w:r>
        <w:t>2020/2167(DEC)</w:t>
      </w:r>
      <w:r>
        <w:rPr>
          <w:rStyle w:val="HideTWBExt"/>
        </w:rPr>
        <w:t>&lt;/</w:t>
      </w:r>
      <w:r>
        <w:rPr>
          <w:rStyle w:val="HideTWBExt"/>
        </w:rPr>
        <w:t>DocRef</w:t>
      </w:r>
      <w:r>
        <w:rPr>
          <w:rStyle w:val="HideTWBExt"/>
        </w:rPr>
        <w:t>&gt;</w:t>
      </w:r>
    </w:p>
    <w:p>
      <w:pPr>
        <w:pStyle w:val="NormalBold"/>
      </w:pPr>
      <w:r>
        <w:rPr>
          <w:rStyle w:val="HideTWBExt"/>
        </w:rPr>
        <w:t>&lt;</w:t>
      </w:r>
      <w:r>
        <w:rPr>
          <w:rStyle w:val="HideTWBExt"/>
        </w:rPr>
        <w:t>DocAmend</w:t>
      </w:r>
      <w:r>
        <w:rPr>
          <w:rStyle w:val="HideTWBExt"/>
        </w:rPr>
        <w:t>&gt;</w:t>
      </w:r>
      <w:r>
        <w:t>Motion for a resolution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29</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Motion for a resolution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29.</w:t>
            </w:r>
            <w:r>
              <w:tab/>
            </w:r>
            <w:r>
              <w:rPr>
                <w:rFonts w:ascii="Times New Roman" w:eastAsia="Times New Roman" w:hAnsi="Times New Roman" w:cs="Times New Roman"/>
                <w:b/>
                <w:i/>
                <w:strike w:val="0"/>
                <w:color w:val="auto"/>
                <w:sz w:val="24"/>
                <w:highlight w:val="none"/>
                <w:u w:val="none" w:color="auto"/>
                <w:vertAlign w:val="baseline"/>
              </w:rPr>
              <w:t>Is concerned about</w:t>
            </w:r>
            <w:r>
              <w:t xml:space="preserve"> the Agency's procurement of </w:t>
            </w:r>
            <w:r>
              <w:rPr>
                <w:rFonts w:ascii="Times New Roman" w:eastAsia="Times New Roman" w:hAnsi="Times New Roman" w:cs="Times New Roman"/>
                <w:b/>
                <w:i/>
                <w:strike w:val="0"/>
                <w:color w:val="auto"/>
                <w:sz w:val="24"/>
                <w:highlight w:val="none"/>
                <w:u w:val="none" w:color="auto"/>
                <w:vertAlign w:val="baseline"/>
              </w:rPr>
              <w:t>military drone</w:t>
            </w:r>
            <w:r>
              <w:t xml:space="preserve"> surveillance </w:t>
            </w:r>
            <w:r>
              <w:rPr>
                <w:rFonts w:ascii="Times New Roman" w:eastAsia="Times New Roman" w:hAnsi="Times New Roman" w:cs="Times New Roman"/>
                <w:b/>
                <w:i/>
                <w:strike w:val="0"/>
                <w:color w:val="auto"/>
                <w:sz w:val="24"/>
                <w:highlight w:val="none"/>
                <w:u w:val="none" w:color="auto"/>
                <w:vertAlign w:val="baseline"/>
              </w:rPr>
              <w:t>equipment</w:t>
            </w:r>
            <w:r>
              <w:t xml:space="preserve"> totalling </w:t>
            </w:r>
            <w:r>
              <w:rPr>
                <w:rFonts w:ascii="Times New Roman" w:eastAsia="Times New Roman" w:hAnsi="Times New Roman" w:cs="Times New Roman"/>
                <w:b/>
                <w:i/>
                <w:strike w:val="0"/>
                <w:color w:val="auto"/>
                <w:sz w:val="24"/>
                <w:highlight w:val="none"/>
                <w:u w:val="none" w:color="auto"/>
                <w:vertAlign w:val="baseline"/>
              </w:rPr>
              <w:t>EUR 100</w:t>
            </w:r>
            <w:r>
              <w:t xml:space="preserve"> million </w:t>
            </w:r>
            <w:r>
              <w:rPr>
                <w:rFonts w:ascii="Times New Roman" w:eastAsia="Times New Roman" w:hAnsi="Times New Roman" w:cs="Times New Roman"/>
                <w:b/>
                <w:i/>
                <w:strike w:val="0"/>
                <w:color w:val="auto"/>
                <w:sz w:val="24"/>
                <w:highlight w:val="none"/>
                <w:u w:val="none" w:color="auto"/>
                <w:vertAlign w:val="baseline"/>
              </w:rPr>
              <w:t>from Airbus and two arms companies; is also surprised to note that the director of Airbus Defence &amp; Space stated that the Agency is its only non-military client</w:t>
            </w:r>
            <w:r>
              <w:t xml:space="preserve">; recalls that </w:t>
            </w:r>
            <w:r>
              <w:rPr>
                <w:rFonts w:ascii="Times New Roman" w:eastAsia="Times New Roman" w:hAnsi="Times New Roman" w:cs="Times New Roman"/>
                <w:b/>
                <w:i/>
                <w:strike w:val="0"/>
                <w:color w:val="auto"/>
                <w:sz w:val="24"/>
                <w:highlight w:val="none"/>
                <w:u w:val="none" w:color="auto"/>
                <w:vertAlign w:val="baseline"/>
              </w:rPr>
              <w:t>a crucial part of the Agency's mission is</w:t>
            </w:r>
            <w:r>
              <w:t xml:space="preserve"> to rescue migrants in distress at the external </w:t>
            </w:r>
            <w:r>
              <w:rPr>
                <w:rFonts w:ascii="Times New Roman" w:eastAsia="Times New Roman" w:hAnsi="Times New Roman" w:cs="Times New Roman"/>
                <w:b/>
                <w:i/>
                <w:strike w:val="0"/>
                <w:color w:val="auto"/>
                <w:sz w:val="24"/>
                <w:highlight w:val="none"/>
                <w:u w:val="none" w:color="auto"/>
                <w:vertAlign w:val="baseline"/>
              </w:rPr>
              <w:t>borders; urges</w:t>
            </w:r>
            <w:r>
              <w:t xml:space="preserve"> the Agency to </w:t>
            </w:r>
            <w:r>
              <w:rPr>
                <w:rFonts w:ascii="Times New Roman" w:eastAsia="Times New Roman" w:hAnsi="Times New Roman" w:cs="Times New Roman"/>
                <w:b/>
                <w:i/>
                <w:strike w:val="0"/>
                <w:color w:val="auto"/>
                <w:sz w:val="24"/>
                <w:highlight w:val="none"/>
                <w:u w:val="none" w:color="auto"/>
                <w:vertAlign w:val="baseline"/>
              </w:rPr>
              <w:t>revise its</w:t>
            </w:r>
            <w:r>
              <w:t xml:space="preserve"> procurement </w:t>
            </w:r>
            <w:r>
              <w:rPr>
                <w:rFonts w:ascii="Times New Roman" w:eastAsia="Times New Roman" w:hAnsi="Times New Roman" w:cs="Times New Roman"/>
                <w:b/>
                <w:i/>
                <w:strike w:val="0"/>
                <w:color w:val="auto"/>
                <w:sz w:val="24"/>
                <w:highlight w:val="none"/>
                <w:u w:val="none" w:color="auto"/>
                <w:vertAlign w:val="baseline"/>
              </w:rPr>
              <w:t>strategy</w:t>
            </w:r>
            <w:r>
              <w:t>;</w:t>
            </w:r>
          </w:p>
        </w:tc>
        <w:tc>
          <w:tcPr>
            <w:tcW w:w="4876" w:type="dxa"/>
            <w:vAlign w:val="top"/>
          </w:tcPr>
          <w:p>
            <w:pPr>
              <w:pStyle w:val="Normal6a"/>
            </w:pPr>
            <w:r>
              <w:t>29.</w:t>
            </w:r>
            <w:r>
              <w:tab/>
            </w:r>
            <w:r>
              <w:rPr>
                <w:rFonts w:ascii="Times New Roman" w:eastAsia="Times New Roman" w:hAnsi="Times New Roman" w:cs="Times New Roman"/>
                <w:b/>
                <w:i/>
                <w:strike w:val="0"/>
                <w:color w:val="auto"/>
                <w:sz w:val="24"/>
                <w:highlight w:val="none"/>
                <w:u w:val="none" w:color="auto"/>
                <w:vertAlign w:val="baseline"/>
              </w:rPr>
              <w:t>Notes</w:t>
            </w:r>
            <w:r>
              <w:t xml:space="preserve"> the Agency's procurement of </w:t>
            </w:r>
            <w:r>
              <w:rPr>
                <w:rFonts w:ascii="Times New Roman" w:eastAsia="Times New Roman" w:hAnsi="Times New Roman" w:cs="Times New Roman"/>
                <w:b/>
                <w:i/>
                <w:strike w:val="0"/>
                <w:color w:val="auto"/>
                <w:sz w:val="24"/>
                <w:highlight w:val="none"/>
                <w:u w:val="none" w:color="auto"/>
                <w:vertAlign w:val="baseline"/>
              </w:rPr>
              <w:t>remotely piloted aircraft systems for medium altitude long endurance maritime aerial</w:t>
            </w:r>
            <w:r>
              <w:t xml:space="preserve"> surveillance </w:t>
            </w:r>
            <w:r>
              <w:rPr>
                <w:rFonts w:ascii="Times New Roman" w:eastAsia="Times New Roman" w:hAnsi="Times New Roman" w:cs="Times New Roman"/>
                <w:b/>
                <w:i/>
                <w:strike w:val="0"/>
                <w:color w:val="auto"/>
                <w:sz w:val="24"/>
                <w:highlight w:val="none"/>
                <w:u w:val="none" w:color="auto"/>
                <w:vertAlign w:val="baseline"/>
              </w:rPr>
              <w:t>within a framework contract</w:t>
            </w:r>
            <w:r>
              <w:t xml:space="preserve"> totalling </w:t>
            </w:r>
            <w:r>
              <w:rPr>
                <w:rFonts w:ascii="Times New Roman" w:eastAsia="Times New Roman" w:hAnsi="Times New Roman" w:cs="Times New Roman"/>
                <w:b/>
                <w:i/>
                <w:strike w:val="0"/>
                <w:color w:val="auto"/>
                <w:sz w:val="24"/>
                <w:highlight w:val="none"/>
                <w:u w:val="none" w:color="auto"/>
                <w:vertAlign w:val="baseline"/>
              </w:rPr>
              <w:t>a maximum of EUR 50</w:t>
            </w:r>
            <w:r>
              <w:t xml:space="preserve"> million </w:t>
            </w:r>
            <w:r>
              <w:rPr>
                <w:rFonts w:ascii="Times New Roman" w:eastAsia="Times New Roman" w:hAnsi="Times New Roman" w:cs="Times New Roman"/>
                <w:b/>
                <w:i/>
                <w:strike w:val="0"/>
                <w:color w:val="auto"/>
                <w:sz w:val="24"/>
                <w:highlight w:val="none"/>
                <w:u w:val="none" w:color="auto"/>
                <w:vertAlign w:val="baseline"/>
              </w:rPr>
              <w:t>and a maximum total duration of the contract of four years for each of the respective contractors in 2020</w:t>
            </w:r>
            <w:r>
              <w:t xml:space="preserve">; recalls that </w:t>
            </w:r>
            <w:r>
              <w:rPr>
                <w:rFonts w:ascii="Times New Roman" w:eastAsia="Times New Roman" w:hAnsi="Times New Roman" w:cs="Times New Roman"/>
                <w:b/>
                <w:i/>
                <w:strike w:val="0"/>
                <w:color w:val="auto"/>
                <w:sz w:val="24"/>
                <w:highlight w:val="none"/>
                <w:u w:val="none" w:color="auto"/>
                <w:vertAlign w:val="baseline"/>
              </w:rPr>
              <w:t>both</w:t>
            </w:r>
            <w:r>
              <w:t xml:space="preserve"> to rescue migrants in distress at the external </w:t>
            </w:r>
            <w:r>
              <w:rPr>
                <w:rFonts w:ascii="Times New Roman" w:eastAsia="Times New Roman" w:hAnsi="Times New Roman" w:cs="Times New Roman"/>
                <w:b/>
                <w:i/>
                <w:strike w:val="0"/>
                <w:color w:val="auto"/>
                <w:sz w:val="24"/>
                <w:highlight w:val="none"/>
                <w:u w:val="none" w:color="auto"/>
                <w:vertAlign w:val="baseline"/>
              </w:rPr>
              <w:t>border and to procure technical equipment to ensure border management are essential parts of the Agency's mission and encourages</w:t>
            </w:r>
            <w:r>
              <w:t xml:space="preserve"> the Agency to </w:t>
            </w:r>
            <w:r>
              <w:rPr>
                <w:rFonts w:ascii="Times New Roman" w:eastAsia="Times New Roman" w:hAnsi="Times New Roman" w:cs="Times New Roman"/>
                <w:b/>
                <w:i/>
                <w:strike w:val="0"/>
                <w:color w:val="auto"/>
                <w:sz w:val="24"/>
                <w:highlight w:val="none"/>
                <w:u w:val="none" w:color="auto"/>
                <w:vertAlign w:val="baseline"/>
              </w:rPr>
              <w:t>continue following the applicable</w:t>
            </w:r>
            <w:r>
              <w:t xml:space="preserve"> procurement </w:t>
            </w:r>
            <w:r>
              <w:rPr>
                <w:rFonts w:ascii="Times New Roman" w:eastAsia="Times New Roman" w:hAnsi="Times New Roman" w:cs="Times New Roman"/>
                <w:b/>
                <w:i/>
                <w:strike w:val="0"/>
                <w:color w:val="auto"/>
                <w:sz w:val="24"/>
                <w:highlight w:val="none"/>
                <w:u w:val="none" w:color="auto"/>
                <w:vertAlign w:val="baseline"/>
              </w:rPr>
              <w:t>rules when acquiring technical equipment</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pPr>
        <w:pStyle w:val="AmOrLang"/>
      </w:pPr>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default" r:id="rId8"/>
      <w:type w:val="nextPage"/>
      <w:pgSz w:w="11906" w:h="16838"/>
      <w:pgMar w:top="1134" w:right="1417" w:bottom="1417" w:left="1417" w:header="1134" w:footer="567" w:gutter="0"/>
      <w:cols w:num="1"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AM\P9_AMA(2021)0081(001-005)EN.docx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AM\P9_AMA(2021)0081(001-005)EN.docx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AM\P9_AMA(2021)0081(001-005)EN.docx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AM\P9_AMA(2021)0081(001-005)EN.docx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AM\P9_AMA(2021)0081(001-005)EN.docx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690.773</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iddle"/>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sid w:val="002A1B45"/>
    <w:rPr>
      <w:rFonts w:ascii="Arial" w:hAnsi="Arial"/>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1" w:right="-851"/>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 w:type="paragraph" w:customStyle="1" w:styleId="Normal2">
    <w:name w:val="Normal2"/>
    <w:basedOn w:val="Normal"/>
    <w:qFormat/>
    <w:rsid w:val="00CE2245"/>
    <w:pPr>
      <w:spacing w:line="120" w:lineRule="auto"/>
    </w:pPr>
    <w:rPr>
      <w:sz w:val="4"/>
    </w:rPr>
  </w:style>
  <w:style w:type="character" w:customStyle="1" w:styleId="Bold">
    <w:name w:val="Bold"/>
    <w:uiPriority w:val="1"/>
    <w:qFormat/>
    <w:rsid w:val="003430B0"/>
    <w:rPr>
      <w:b/>
    </w:rPr>
  </w:style>
  <w:style w:type="character" w:customStyle="1" w:styleId="BoldItalic">
    <w:name w:val="BoldItalic"/>
    <w:uiPriority w:val="1"/>
    <w:qFormat/>
    <w:rsid w:val="003430B0"/>
    <w:rPr>
      <w:b/>
      <w:i/>
    </w:rPr>
  </w:style>
  <w:style w:type="paragraph" w:customStyle="1" w:styleId="CoverDate">
    <w:name w:val="CoverDate"/>
    <w:basedOn w:val="Normal"/>
    <w:rsid w:val="003430B0"/>
    <w:pPr>
      <w:spacing w:before="240" w:after="1200"/>
    </w:pPr>
  </w:style>
  <w:style w:type="paragraph" w:customStyle="1" w:styleId="CoverDocType">
    <w:name w:val="CoverDocType"/>
    <w:basedOn w:val="Normal"/>
    <w:rsid w:val="003430B0"/>
    <w:pPr>
      <w:ind w:left="1418"/>
    </w:pPr>
    <w:rPr>
      <w:rFonts w:ascii="Arial" w:hAnsi="Arial"/>
      <w:b/>
      <w:sz w:val="48"/>
    </w:rPr>
  </w:style>
  <w:style w:type="paragraph" w:customStyle="1" w:styleId="CoverDocType24a">
    <w:name w:val="CoverDocType24a"/>
    <w:basedOn w:val="Normal"/>
    <w:rsid w:val="003430B0"/>
    <w:pPr>
      <w:spacing w:after="480"/>
      <w:ind w:left="1417"/>
    </w:pPr>
    <w:rPr>
      <w:rFonts w:ascii="Arial" w:hAnsi="Arial" w:cs="Arial"/>
      <w:b/>
      <w:sz w:val="48"/>
    </w:rPr>
  </w:style>
  <w:style w:type="paragraph" w:customStyle="1" w:styleId="CoverReference">
    <w:name w:val="CoverReference"/>
    <w:basedOn w:val="Normal"/>
    <w:rsid w:val="003430B0"/>
    <w:pPr>
      <w:spacing w:before="1080"/>
      <w:jc w:val="right"/>
    </w:pPr>
    <w:rPr>
      <w:rFonts w:ascii="Arial" w:hAnsi="Arial"/>
      <w:b/>
    </w:rPr>
  </w:style>
  <w:style w:type="paragraph" w:customStyle="1" w:styleId="EPBody">
    <w:name w:val="EPBody"/>
    <w:basedOn w:val="Normal"/>
    <w:rsid w:val="003430B0"/>
    <w:pPr>
      <w:jc w:val="center"/>
    </w:pPr>
    <w:rPr>
      <w:rFonts w:ascii="Arial" w:hAnsi="Arial" w:cs="Arial"/>
      <w:i/>
      <w:sz w:val="22"/>
      <w:szCs w:val="22"/>
    </w:rPr>
  </w:style>
  <w:style w:type="paragraph" w:customStyle="1" w:styleId="EPFooter2Landscape">
    <w:name w:val="EPFooter2Landscape"/>
    <w:qFormat/>
    <w:rsid w:val="003430B0"/>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430B0"/>
    <w:rPr>
      <w:rFonts w:ascii="Arial" w:hAnsi="Arial"/>
      <w:b w:val="0"/>
      <w:i/>
      <w:color w:val="C0C0C0"/>
      <w:sz w:val="22"/>
    </w:rPr>
  </w:style>
  <w:style w:type="paragraph" w:customStyle="1" w:styleId="EPFooterLandscape">
    <w:name w:val="EPFooterLandscape"/>
    <w:qFormat/>
    <w:rsid w:val="003430B0"/>
    <w:pPr>
      <w:tabs>
        <w:tab w:val="center" w:pos="6804"/>
        <w:tab w:val="right" w:pos="15026"/>
      </w:tabs>
    </w:pPr>
    <w:rPr>
      <w:sz w:val="22"/>
    </w:rPr>
  </w:style>
  <w:style w:type="character" w:customStyle="1" w:styleId="Italic">
    <w:name w:val="Italic"/>
    <w:uiPriority w:val="1"/>
    <w:qFormat/>
    <w:rsid w:val="003430B0"/>
    <w:rPr>
      <w:i/>
    </w:rPr>
  </w:style>
  <w:style w:type="character" w:customStyle="1" w:styleId="NormalBI">
    <w:name w:val="NormalBI"/>
    <w:basedOn w:val="DefaultParagraphFont"/>
    <w:uiPriority w:val="1"/>
    <w:qFormat/>
    <w:rsid w:val="003430B0"/>
    <w:rPr>
      <w:rFonts w:ascii="Times New Roman" w:hAnsi="Times New Roman"/>
      <w:b/>
      <w:i/>
      <w:sz w:val="24"/>
    </w:rPr>
  </w:style>
  <w:style w:type="paragraph" w:customStyle="1" w:styleId="NormalBoldItalic6a">
    <w:name w:val="NormalBoldItalic6a"/>
    <w:basedOn w:val="Normal6a"/>
    <w:qFormat/>
    <w:rsid w:val="003430B0"/>
    <w:rPr>
      <w:b/>
      <w:i/>
    </w:rPr>
  </w:style>
  <w:style w:type="paragraph" w:customStyle="1" w:styleId="NormalBoldItalicCenter6a">
    <w:name w:val="NormalBoldItalicCenter6a"/>
    <w:basedOn w:val="Normal6a"/>
    <w:qFormat/>
    <w:rsid w:val="003430B0"/>
    <w:pPr>
      <w:jc w:val="center"/>
    </w:pPr>
    <w:rPr>
      <w:b/>
      <w:i/>
    </w:rPr>
  </w:style>
  <w:style w:type="paragraph" w:customStyle="1" w:styleId="NormalItalic6a">
    <w:name w:val="NormalItalic6a"/>
    <w:basedOn w:val="Normal6a"/>
    <w:qFormat/>
    <w:rsid w:val="003430B0"/>
    <w:rPr>
      <w:i/>
    </w:rPr>
  </w:style>
  <w:style w:type="character" w:customStyle="1" w:styleId="Sub">
    <w:name w:val="Sub"/>
    <w:uiPriority w:val="1"/>
    <w:qFormat/>
    <w:rsid w:val="003430B0"/>
    <w:rPr>
      <w:vertAlign w:val="subscript"/>
    </w:rPr>
  </w:style>
  <w:style w:type="character" w:customStyle="1" w:styleId="SubBoldItalic">
    <w:name w:val="SubBoldItalic"/>
    <w:uiPriority w:val="1"/>
    <w:qFormat/>
    <w:rsid w:val="003430B0"/>
    <w:rPr>
      <w:b/>
      <w:i/>
      <w:vertAlign w:val="subscript"/>
    </w:rPr>
  </w:style>
  <w:style w:type="character" w:customStyle="1" w:styleId="Sup">
    <w:name w:val="Sup"/>
    <w:uiPriority w:val="1"/>
    <w:qFormat/>
    <w:rsid w:val="003430B0"/>
    <w:rPr>
      <w:vertAlign w:val="superscript"/>
    </w:rPr>
  </w:style>
  <w:style w:type="character" w:customStyle="1" w:styleId="SupBoldItalic">
    <w:name w:val="SupBoldItalic"/>
    <w:uiPriority w:val="1"/>
    <w:qFormat/>
    <w:rsid w:val="003430B0"/>
    <w:rPr>
      <w:b/>
      <w:i/>
      <w:vertAlign w:val="superscript"/>
    </w:rPr>
  </w:style>
  <w:style w:type="character" w:customStyle="1" w:styleId="Underline">
    <w:name w:val="Underline"/>
    <w:uiPriority w:val="1"/>
    <w:qFormat/>
    <w:rsid w:val="003430B0"/>
    <w:rPr>
      <w:u w:val="single"/>
    </w:rPr>
  </w:style>
  <w:style w:type="paragraph" w:customStyle="1" w:styleId="EPFooterRC">
    <w:name w:val="EPFooterRC"/>
    <w:basedOn w:val="Normal"/>
    <w:rsid w:val="00F73E55"/>
    <w:pPr>
      <w:tabs>
        <w:tab w:val="center" w:pos="4535"/>
        <w:tab w:val="left" w:pos="6662"/>
      </w:tabs>
    </w:pPr>
    <w:rPr>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
  </property>
  <property fmtid="{D5CDD505-2E9C-101B-9397-08002B2CF9AE}" pid="4" name="&lt;Model&gt;">
    <vt:lpwstr>AM_Ple_NonLegReport</vt:lpwstr>
  </property>
  <property fmtid="{D5CDD505-2E9C-101B-9397-08002B2CF9AE}" pid="5" name="&lt;Type&gt;">
    <vt:lpwstr>AM</vt:lpwstr>
  </property>
  <property fmtid="{D5CDD505-2E9C-101B-9397-08002B2CF9AE}" pid="6" name="DMXMLUID">
    <vt:lpwstr>20210421-195345-068999-399006</vt:lpwstr>
  </property>
  <property fmtid="{D5CDD505-2E9C-101B-9397-08002B2CF9AE}" pid="7" name="FooterPath">
    <vt:lpwstr>AM\P9_AMA(2021)0081(001-005)EN.docx</vt:lpwstr>
  </property>
  <property fmtid="{D5CDD505-2E9C-101B-9397-08002B2CF9AE}" pid="8" name="PE Number">
    <vt:lpwstr>690.773</vt:lpwstr>
  </property>
  <property fmtid="{D5CDD505-2E9C-101B-9397-08002B2CF9AE}" pid="9" name="UID">
    <vt:lpwstr>eu.europa.europarl-DIN1-2021-0000030286_01.00-en-01.00_text-xml</vt:lpwstr>
  </property>
</Properties>
</file>