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mDateTab"/>
      </w:pPr>
      <w:r w:rsidR="00A77B3E">
        <w:rPr>
          <w:rStyle w:val="HideTWBExt"/>
        </w:rPr>
        <w:t>&lt;</w:t>
      </w:r>
      <w:r w:rsidR="00A77B3E">
        <w:rPr>
          <w:rStyle w:val="HideTWBExt"/>
        </w:rPr>
        <w:t>RepeatBlock-Amend</w:t>
      </w:r>
      <w:r w:rsidR="00A77B3E">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233.</w:t>
            </w:r>
            <w:r>
              <w:tab/>
            </w:r>
            <w:r>
              <w:t xml:space="preserve">Notes that in 2019, DG EMPL issued 16 warning letters, in which significant deficiencies in the management and control system have been identified. 12 decisions to interrupt payment deadlines have been taken </w:t>
            </w:r>
            <w:r>
              <w:rPr>
                <w:rFonts w:ascii="Times New Roman" w:eastAsia="Times New Roman" w:hAnsi="Times New Roman" w:cs="Times New Roman"/>
                <w:b/>
                <w:i/>
                <w:strike w:val="0"/>
                <w:color w:val="auto"/>
                <w:sz w:val="24"/>
                <w:highlight w:val="none"/>
                <w:u w:val="none" w:color="auto"/>
                <w:vertAlign w:val="baseline"/>
              </w:rPr>
              <w:t>(4 for Italy, 3 for Hungary, 2 for the UK and France and 1 for Spain)</w:t>
            </w:r>
            <w:r>
              <w:t xml:space="preserve"> and one decision has been taken to suspend payments </w:t>
            </w:r>
            <w:r>
              <w:rPr>
                <w:rFonts w:ascii="Times New Roman" w:eastAsia="Times New Roman" w:hAnsi="Times New Roman" w:cs="Times New Roman"/>
                <w:b/>
                <w:i/>
                <w:strike w:val="0"/>
                <w:color w:val="auto"/>
                <w:sz w:val="24"/>
                <w:highlight w:val="none"/>
                <w:u w:val="none" w:color="auto"/>
                <w:vertAlign w:val="baseline"/>
              </w:rPr>
              <w:t>(UK-Scotland)</w:t>
            </w:r>
            <w:r>
              <w:t>;</w:t>
            </w:r>
          </w:p>
        </w:tc>
        <w:tc>
          <w:tcPr>
            <w:tcW w:w="4876" w:type="dxa"/>
            <w:vAlign w:val="top"/>
          </w:tcPr>
          <w:p>
            <w:pPr>
              <w:pStyle w:val="Normal6a"/>
            </w:pPr>
            <w:r>
              <w:t>233.</w:t>
            </w:r>
            <w:r>
              <w:tab/>
            </w:r>
            <w:r>
              <w:t>Notes that in 2019, DG EMPL issued 16 warning letters, in which significant deficiencies in the management and control system have been identified. 12 decisions to interrupt payment deadlines have been taken and one decision has been taken to suspend payments;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4"/>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234.</w:t>
            </w:r>
            <w:r>
              <w:tab/>
            </w:r>
            <w:r>
              <w:t xml:space="preserve">Notes that significant reservations were issued for </w:t>
            </w:r>
            <w:r>
              <w:rPr>
                <w:rFonts w:ascii="Times New Roman" w:eastAsia="Times New Roman" w:hAnsi="Times New Roman" w:cs="Times New Roman"/>
                <w:b/>
                <w:i/>
                <w:strike w:val="0"/>
                <w:color w:val="auto"/>
                <w:sz w:val="24"/>
                <w:highlight w:val="none"/>
                <w:u w:val="none" w:color="auto"/>
                <w:vertAlign w:val="baseline"/>
              </w:rPr>
              <w:t>Italy (15 reservations,</w:t>
            </w:r>
            <w:r>
              <w:t xml:space="preserve"> amounting to EUR 50.26 million</w:t>
            </w:r>
            <w:r>
              <w:rPr>
                <w:rFonts w:ascii="Times New Roman" w:eastAsia="Times New Roman" w:hAnsi="Times New Roman" w:cs="Times New Roman"/>
                <w:b/>
                <w:i/>
                <w:strike w:val="0"/>
                <w:color w:val="auto"/>
                <w:sz w:val="24"/>
                <w:highlight w:val="none"/>
                <w:u w:val="none" w:color="auto"/>
                <w:vertAlign w:val="baseline"/>
              </w:rPr>
              <w:t>) and France (9 reservations, amounting to</w:t>
            </w:r>
            <w:r>
              <w:t xml:space="preserve"> EUR 47.95 million</w:t>
            </w:r>
            <w:r>
              <w:rPr>
                <w:rFonts w:ascii="Times New Roman" w:eastAsia="Times New Roman" w:hAnsi="Times New Roman" w:cs="Times New Roman"/>
                <w:b/>
                <w:i/>
                <w:strike w:val="0"/>
                <w:color w:val="auto"/>
                <w:sz w:val="24"/>
                <w:highlight w:val="none"/>
                <w:u w:val="none" w:color="auto"/>
                <w:vertAlign w:val="baseline"/>
              </w:rPr>
              <w:t>). In the case of Italy this was mainly due to the to a systemic deficiency in public procurements resulting from the wrong transposition of the public procurement directive by the national legislation, while in France the regional control bodies did not have enough time to finalise their audits of operations within the deadline in the case of 5 programmes</w:t>
            </w:r>
            <w:r>
              <w:t>;</w:t>
            </w:r>
          </w:p>
        </w:tc>
        <w:tc>
          <w:tcPr>
            <w:tcW w:w="4876" w:type="dxa"/>
            <w:vAlign w:val="top"/>
          </w:tcPr>
          <w:p>
            <w:pPr>
              <w:pStyle w:val="Normal6a"/>
            </w:pPr>
            <w:r>
              <w:t>234.</w:t>
            </w:r>
            <w:r>
              <w:tab/>
            </w:r>
            <w:r>
              <w:t xml:space="preserve">Notes that significant reservations were issued for </w:t>
            </w:r>
            <w:r>
              <w:rPr>
                <w:rFonts w:ascii="Times New Roman" w:eastAsia="Times New Roman" w:hAnsi="Times New Roman" w:cs="Times New Roman"/>
                <w:b/>
                <w:i/>
                <w:strike w:val="0"/>
                <w:color w:val="auto"/>
                <w:sz w:val="24"/>
                <w:highlight w:val="none"/>
                <w:u w:val="none" w:color="auto"/>
                <w:vertAlign w:val="baseline"/>
              </w:rPr>
              <w:t>two State Members</w:t>
            </w:r>
            <w:r>
              <w:t xml:space="preserve"> amounting to EUR 50.26 million </w:t>
            </w:r>
            <w:r>
              <w:rPr>
                <w:rFonts w:ascii="Times New Roman" w:eastAsia="Times New Roman" w:hAnsi="Times New Roman" w:cs="Times New Roman"/>
                <w:b/>
                <w:i/>
                <w:strike w:val="0"/>
                <w:color w:val="auto"/>
                <w:sz w:val="24"/>
                <w:highlight w:val="none"/>
                <w:u w:val="none" w:color="auto"/>
                <w:vertAlign w:val="baseline"/>
              </w:rPr>
              <w:t>and</w:t>
            </w:r>
            <w:r>
              <w:t xml:space="preserve"> EUR 47.95 million </w:t>
            </w:r>
            <w:r>
              <w:rPr>
                <w:rFonts w:ascii="Times New Roman" w:eastAsia="Times New Roman" w:hAnsi="Times New Roman" w:cs="Times New Roman"/>
                <w:b/>
                <w:i/>
                <w:strike w:val="0"/>
                <w:color w:val="auto"/>
                <w:sz w:val="24"/>
                <w:highlight w:val="none"/>
                <w:u w:val="none" w:color="auto"/>
                <w:vertAlign w:val="baseline"/>
              </w:rPr>
              <w:t>respectively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5"/>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235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235.</w:t>
            </w:r>
            <w:r>
              <w:tab/>
            </w:r>
            <w:r>
              <w:t>Notes that the total amount of financial corrections performed for the accounting year 2018- 2019 by the Member States was EUR 3.41 billion</w:t>
            </w:r>
            <w:r>
              <w:rPr>
                <w:rFonts w:ascii="Times New Roman" w:eastAsia="Times New Roman" w:hAnsi="Times New Roman" w:cs="Times New Roman"/>
                <w:b/>
                <w:i/>
                <w:strike w:val="0"/>
                <w:color w:val="auto"/>
                <w:sz w:val="24"/>
                <w:highlight w:val="none"/>
                <w:u w:val="none" w:color="auto"/>
                <w:vertAlign w:val="baseline"/>
              </w:rPr>
              <w:t>, of which 912 million fell on Hungary, 578 million on Spain, 368 million on Slovakia and 236 million on Poland.</w:t>
            </w:r>
            <w:r>
              <w:t xml:space="preserve"> As regards financial corrections reported cumulatively since the beginning of the period 2014-2020 by the Member States the total amount was 6.10 billion</w:t>
            </w:r>
            <w:r>
              <w:rPr>
                <w:rFonts w:ascii="Times New Roman" w:eastAsia="Times New Roman" w:hAnsi="Times New Roman" w:cs="Times New Roman"/>
                <w:b/>
                <w:i/>
                <w:strike w:val="0"/>
                <w:color w:val="auto"/>
                <w:sz w:val="24"/>
                <w:highlight w:val="none"/>
                <w:u w:val="none" w:color="auto"/>
                <w:vertAlign w:val="baseline"/>
              </w:rPr>
              <w:t>, of which 2.15 billion fell on Hungary, 668 million on Spain, 647 million on Poland and 459 million on Slovakia</w:t>
            </w:r>
            <w:r>
              <w:t>;</w:t>
            </w:r>
          </w:p>
        </w:tc>
        <w:tc>
          <w:tcPr>
            <w:tcW w:w="4876" w:type="dxa"/>
            <w:vAlign w:val="top"/>
          </w:tcPr>
          <w:p>
            <w:pPr>
              <w:pStyle w:val="Normal6a"/>
            </w:pPr>
            <w:r>
              <w:t>235.</w:t>
            </w:r>
            <w:r>
              <w:tab/>
            </w:r>
            <w:r>
              <w:t>Notes that the total amount of financial corrections performed for the accounting year 2018- 2019 by the Member States was EUR 3.41 billion</w:t>
            </w:r>
            <w:r>
              <w:rPr>
                <w:rFonts w:ascii="Times New Roman" w:eastAsia="Times New Roman" w:hAnsi="Times New Roman" w:cs="Times New Roman"/>
                <w:b/>
                <w:i/>
                <w:strike w:val="0"/>
                <w:color w:val="auto"/>
                <w:sz w:val="24"/>
                <w:highlight w:val="none"/>
                <w:u w:val="none" w:color="auto"/>
                <w:vertAlign w:val="baseline"/>
              </w:rPr>
              <w:t>;</w:t>
            </w:r>
            <w:r>
              <w:t xml:space="preserve"> as regards financial corrections reported cumulatively since the beginning of the period 2014-2020 by the Member States the total amount was 6.10 billion;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6"/>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279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279.</w:t>
            </w:r>
            <w:r>
              <w:tab/>
            </w:r>
            <w:r>
              <w:rPr>
                <w:rFonts w:ascii="Times New Roman" w:eastAsia="Times New Roman" w:hAnsi="Times New Roman" w:cs="Times New Roman"/>
                <w:b/>
                <w:i/>
                <w:strike w:val="0"/>
                <w:color w:val="auto"/>
                <w:sz w:val="24"/>
                <w:highlight w:val="none"/>
                <w:u w:val="none" w:color="auto"/>
                <w:vertAlign w:val="baseline"/>
              </w:rPr>
              <w:t>Deplores the fact that the Commission in its legislative proposal for the ESIF for 2021-2027 removes all the appraisal requirements specific to major projects, including the cost-benefit analysis requirement. While this is recognised as bringing a reduction in the general administrative burden, this is outweighed by the increased risk that the co-financed investments will not offer the best value for money; calls strongly on the Commission to re-evaluate its proposal;</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7"/>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282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282.</w:t>
            </w:r>
            <w:r>
              <w:tab/>
            </w:r>
            <w:r>
              <w:rPr>
                <w:rFonts w:ascii="Times New Roman" w:eastAsia="Times New Roman" w:hAnsi="Times New Roman" w:cs="Times New Roman"/>
                <w:b/>
                <w:i/>
                <w:strike w:val="0"/>
                <w:color w:val="auto"/>
                <w:sz w:val="24"/>
                <w:highlight w:val="none"/>
                <w:u w:val="none" w:color="auto"/>
                <w:vertAlign w:val="baseline"/>
              </w:rPr>
              <w:t>Notes that ERDF funding was used together with national sources of SME support, either by complementing existing national measures or by filling gaps in the support system, however, it</w:t>
            </w:r>
            <w:r>
              <w:rPr>
                <w:rStyle w:val="SupBoldItalic"/>
              </w:rPr>
              <w:t>9</w:t>
            </w:r>
            <w:r>
              <w:rPr>
                <w:rFonts w:ascii="Times New Roman" w:eastAsia="Times New Roman" w:hAnsi="Times New Roman" w:cs="Times New Roman"/>
                <w:b/>
                <w:i/>
                <w:strike w:val="0"/>
                <w:color w:val="auto"/>
                <w:sz w:val="24"/>
                <w:highlight w:val="none"/>
                <w:u w:val="none" w:color="auto"/>
                <w:vertAlign w:val="baseline"/>
              </w:rPr>
              <w:t xml:space="preserve"> found that synergies between ERDF and ESF support were generally low, despite the importance of safeguarding employment;</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BoldItalic"/>
              </w:rPr>
              <w:t>9</w:t>
            </w:r>
            <w:r>
              <w:t xml:space="preserve"> </w:t>
            </w:r>
            <w:r>
              <w:rPr>
                <w:rFonts w:ascii="Times New Roman" w:eastAsia="Times New Roman" w:hAnsi="Times New Roman" w:cs="Times New Roman"/>
                <w:b/>
                <w:i/>
                <w:strike w:val="0"/>
                <w:color w:val="auto"/>
                <w:sz w:val="24"/>
                <w:highlight w:val="none"/>
                <w:u w:val="none" w:color="auto"/>
                <w:vertAlign w:val="baseline"/>
              </w:rPr>
              <w:t>European Commission, Ex-post evaluation of 2007-2014, Support to SMEs – Increasing Research and Innovation in SMEs and SME Development, February 2016.</w:t>
            </w:r>
          </w:p>
        </w:tc>
        <w:tc>
          <w:tcPr>
            <w:tcW w:w="4876" w:type="dxa"/>
            <w:vAlign w:val="top"/>
          </w:tcPr>
          <w:p>
            <w:pPr>
              <w:pStyle w:val="Normal6a"/>
            </w:pP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8"/>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339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339 a.</w:t>
            </w:r>
            <w:r>
              <w:tab/>
            </w:r>
            <w:r>
              <w:rPr>
                <w:rFonts w:ascii="Times New Roman" w:eastAsia="Times New Roman" w:hAnsi="Times New Roman" w:cs="Times New Roman"/>
                <w:b/>
                <w:i/>
                <w:strike w:val="0"/>
                <w:color w:val="auto"/>
                <w:sz w:val="24"/>
                <w:highlight w:val="none"/>
                <w:u w:val="none" w:color="auto"/>
                <w:vertAlign w:val="baseline"/>
              </w:rPr>
              <w:t>Stresses that the impact of alleged fraud on the implementation of the CAP is marginal, both in terms of number of cases reported by the Member States and cases investigated by OLAF and in financial terms; notes that in 2019, the Member States(including the UK) have reported 236 cases of allegedly fraudulent irregularities in relation to 7 million beneficiaries, and that the financial impact of these cases was estimated at EUR 24 623 588, which represents only 0,041% of all CAP expenditure made in 2019; notes furthermore that as at November 2020, OLAF was investigating 43 alleged cases of fraud, in relation to which the possible financial impact is still unknown;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9"/>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340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340.</w:t>
            </w:r>
            <w:r>
              <w:tab/>
            </w:r>
            <w:r>
              <w:rPr>
                <w:rFonts w:ascii="Times New Roman" w:eastAsia="Times New Roman" w:hAnsi="Times New Roman" w:cs="Times New Roman"/>
                <w:b/>
                <w:i/>
                <w:strike w:val="0"/>
                <w:color w:val="auto"/>
                <w:sz w:val="24"/>
                <w:highlight w:val="none"/>
                <w:u w:val="none" w:color="auto"/>
                <w:vertAlign w:val="baseline"/>
              </w:rPr>
              <w:t>Regrets that the Court found</w:t>
            </w:r>
            <w:r>
              <w:t xml:space="preserve"> that DG AGRI </w:t>
            </w:r>
            <w:r>
              <w:rPr>
                <w:rFonts w:ascii="Times New Roman" w:eastAsia="Times New Roman" w:hAnsi="Times New Roman" w:cs="Times New Roman"/>
                <w:b/>
                <w:i/>
                <w:strike w:val="0"/>
                <w:color w:val="auto"/>
                <w:sz w:val="24"/>
                <w:highlight w:val="none"/>
                <w:u w:val="none" w:color="auto"/>
                <w:vertAlign w:val="baseline"/>
              </w:rPr>
              <w:t>had last</w:t>
            </w:r>
            <w:r>
              <w:t xml:space="preserve"> updated </w:t>
            </w:r>
            <w:r>
              <w:rPr>
                <w:rFonts w:ascii="Times New Roman" w:eastAsia="Times New Roman" w:hAnsi="Times New Roman" w:cs="Times New Roman"/>
                <w:b/>
                <w:i/>
                <w:strike w:val="0"/>
                <w:color w:val="auto"/>
                <w:sz w:val="24"/>
                <w:highlight w:val="none"/>
                <w:u w:val="none" w:color="auto"/>
                <w:vertAlign w:val="baseline"/>
              </w:rPr>
              <w:t>its fraud risk analysis only in 2016</w:t>
            </w:r>
            <w:r>
              <w:t xml:space="preserve">; </w:t>
            </w:r>
            <w:r>
              <w:rPr>
                <w:rFonts w:ascii="Times New Roman" w:eastAsia="Times New Roman" w:hAnsi="Times New Roman" w:cs="Times New Roman"/>
                <w:b/>
                <w:i/>
                <w:strike w:val="0"/>
                <w:color w:val="auto"/>
                <w:sz w:val="24"/>
                <w:highlight w:val="none"/>
                <w:u w:val="none" w:color="auto"/>
                <w:vertAlign w:val="baseline"/>
              </w:rPr>
              <w:t>shares the court recommendation to the Commission to update its analysis of CAP fraud risks more frequently;</w:t>
            </w:r>
          </w:p>
        </w:tc>
        <w:tc>
          <w:tcPr>
            <w:tcW w:w="4876" w:type="dxa"/>
            <w:vAlign w:val="top"/>
          </w:tcPr>
          <w:p>
            <w:pPr>
              <w:pStyle w:val="Normal6a"/>
            </w:pPr>
            <w:r>
              <w:t>340.</w:t>
            </w:r>
            <w:r>
              <w:tab/>
            </w:r>
            <w:r>
              <w:rPr>
                <w:rFonts w:ascii="Times New Roman" w:eastAsia="Times New Roman" w:hAnsi="Times New Roman" w:cs="Times New Roman"/>
                <w:b/>
                <w:i/>
                <w:strike w:val="0"/>
                <w:color w:val="auto"/>
                <w:sz w:val="24"/>
                <w:highlight w:val="none"/>
                <w:u w:val="none" w:color="auto"/>
                <w:vertAlign w:val="baseline"/>
              </w:rPr>
              <w:t>Takes note</w:t>
            </w:r>
            <w:r>
              <w:t xml:space="preserve"> that DG AGRI </w:t>
            </w:r>
            <w:r>
              <w:rPr>
                <w:rFonts w:ascii="Times New Roman" w:eastAsia="Times New Roman" w:hAnsi="Times New Roman" w:cs="Times New Roman"/>
                <w:b/>
                <w:i/>
                <w:strike w:val="0"/>
                <w:color w:val="auto"/>
                <w:sz w:val="24"/>
                <w:highlight w:val="none"/>
                <w:u w:val="none" w:color="auto"/>
                <w:vertAlign w:val="baseline"/>
              </w:rPr>
              <w:t>adopted its</w:t>
            </w:r>
            <w:r>
              <w:t xml:space="preserve"> updated </w:t>
            </w:r>
            <w:r>
              <w:rPr>
                <w:rFonts w:ascii="Times New Roman" w:eastAsia="Times New Roman" w:hAnsi="Times New Roman" w:cs="Times New Roman"/>
                <w:b/>
                <w:i/>
                <w:strike w:val="0"/>
                <w:color w:val="auto"/>
                <w:sz w:val="24"/>
                <w:highlight w:val="none"/>
                <w:u w:val="none" w:color="auto"/>
                <w:vertAlign w:val="baseline"/>
              </w:rPr>
              <w:t>Anti-fraud Strategy on 20 October 2020</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0"/>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356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356.</w:t>
            </w:r>
            <w:r>
              <w:tab/>
            </w:r>
            <w:r>
              <w:t>Notes, that as regards market measures, 6 Paying Agencies have been classified as providing "limited assurance with high risk"</w:t>
            </w:r>
            <w:r>
              <w:rPr>
                <w:rFonts w:ascii="Times New Roman" w:eastAsia="Times New Roman" w:hAnsi="Times New Roman" w:cs="Times New Roman"/>
                <w:b/>
                <w:i/>
                <w:strike w:val="0"/>
                <w:color w:val="auto"/>
                <w:sz w:val="24"/>
                <w:highlight w:val="none"/>
                <w:u w:val="none" w:color="auto"/>
                <w:vertAlign w:val="baseline"/>
              </w:rPr>
              <w:t>: Bulgaria, Spain, UK, Greece, Italy (for 2 aid schemes) and Portugal. The highest adjusted error rate was found in Bulgaria (11,52 %), followed by Poland (7,15 %) and Italy (6,12 %).</w:t>
            </w:r>
            <w:r>
              <w:t xml:space="preserve"> DG AGRI has issued 7 reservations at measure level</w:t>
            </w:r>
            <w:r>
              <w:rPr>
                <w:rFonts w:ascii="Times New Roman" w:eastAsia="Times New Roman" w:hAnsi="Times New Roman" w:cs="Times New Roman"/>
                <w:b/>
                <w:i/>
                <w:strike w:val="0"/>
                <w:color w:val="auto"/>
                <w:sz w:val="24"/>
                <w:highlight w:val="none"/>
                <w:u w:val="none" w:color="auto"/>
                <w:vertAlign w:val="baseline"/>
              </w:rPr>
              <w:t>: Fruit and Vegetables: Operational programmes for producer organisations (the United Kingdom, Italy and Portugal), Olive oil (Greece), Wine sector (Bulgaria, Italy), EU School Scheme (Spain).</w:t>
            </w:r>
            <w:r>
              <w:t xml:space="preserve"> Is especially concerned about the wine sector, where the adjusted error rates </w:t>
            </w:r>
            <w:r>
              <w:rPr>
                <w:rFonts w:ascii="Times New Roman" w:eastAsia="Times New Roman" w:hAnsi="Times New Roman" w:cs="Times New Roman"/>
                <w:b/>
                <w:i/>
                <w:strike w:val="0"/>
                <w:color w:val="auto"/>
                <w:sz w:val="24"/>
                <w:highlight w:val="none"/>
                <w:u w:val="none" w:color="auto"/>
                <w:vertAlign w:val="baseline"/>
              </w:rPr>
              <w:t>in Bulgaria (15,7 %) and Italy (9,6 %)</w:t>
            </w:r>
            <w:r>
              <w:t xml:space="preserve"> are very high, with amounts at risk of more than EUR 30 million </w:t>
            </w:r>
            <w:r>
              <w:rPr>
                <w:rFonts w:ascii="Times New Roman" w:eastAsia="Times New Roman" w:hAnsi="Times New Roman" w:cs="Times New Roman"/>
                <w:b/>
                <w:i/>
                <w:strike w:val="0"/>
                <w:color w:val="auto"/>
                <w:sz w:val="24"/>
                <w:highlight w:val="none"/>
                <w:u w:val="none" w:color="auto"/>
                <w:vertAlign w:val="baseline"/>
              </w:rPr>
              <w:t>in Italy and EUR 2,3 million in Bulgaria.</w:t>
            </w:r>
          </w:p>
        </w:tc>
        <w:tc>
          <w:tcPr>
            <w:tcW w:w="4876" w:type="dxa"/>
            <w:vAlign w:val="top"/>
          </w:tcPr>
          <w:p>
            <w:pPr>
              <w:pStyle w:val="Normal6a"/>
            </w:pPr>
            <w:r>
              <w:t>356.</w:t>
            </w:r>
            <w:r>
              <w:tab/>
            </w:r>
            <w:r>
              <w:t>Notes, that as regards market measures, 6 Paying Agencies have been classified as providing "limited assurance with high risk"</w:t>
            </w:r>
            <w:r>
              <w:rPr>
                <w:rFonts w:ascii="Times New Roman" w:eastAsia="Times New Roman" w:hAnsi="Times New Roman" w:cs="Times New Roman"/>
                <w:b/>
                <w:i/>
                <w:strike w:val="0"/>
                <w:color w:val="auto"/>
                <w:sz w:val="24"/>
                <w:highlight w:val="none"/>
                <w:u w:val="none" w:color="auto"/>
                <w:vertAlign w:val="baseline"/>
              </w:rPr>
              <w:t>;</w:t>
            </w:r>
            <w:r>
              <w:t xml:space="preserve"> DG AGRI has issued 7 reservations at measure level</w:t>
            </w:r>
            <w:r>
              <w:rPr>
                <w:rFonts w:ascii="Times New Roman" w:eastAsia="Times New Roman" w:hAnsi="Times New Roman" w:cs="Times New Roman"/>
                <w:b/>
                <w:i/>
                <w:strike w:val="0"/>
                <w:color w:val="auto"/>
                <w:sz w:val="24"/>
                <w:highlight w:val="none"/>
                <w:u w:val="none" w:color="auto"/>
                <w:vertAlign w:val="baseline"/>
              </w:rPr>
              <w:t>;</w:t>
            </w:r>
            <w:r>
              <w:t xml:space="preserve"> is especially concerned about the wine sector, where the adjusted error rates are very high </w:t>
            </w:r>
            <w:r>
              <w:rPr>
                <w:rFonts w:ascii="Times New Roman" w:eastAsia="Times New Roman" w:hAnsi="Times New Roman" w:cs="Times New Roman"/>
                <w:b/>
                <w:i/>
                <w:strike w:val="0"/>
                <w:color w:val="auto"/>
                <w:sz w:val="24"/>
                <w:highlight w:val="none"/>
                <w:u w:val="none" w:color="auto"/>
                <w:vertAlign w:val="baseline"/>
              </w:rPr>
              <w:t>in two Member States</w:t>
            </w:r>
            <w:r>
              <w:t>, with amounts at risk of more than EUR 30 million</w:t>
            </w:r>
            <w:r>
              <w:rPr>
                <w:rFonts w:ascii="Times New Roman" w:eastAsia="Times New Roman" w:hAnsi="Times New Roman" w:cs="Times New Roman"/>
                <w:b/>
                <w:i/>
                <w:strike w:val="0"/>
                <w:color w:val="auto"/>
                <w:sz w:val="24"/>
                <w:highlight w:val="none"/>
                <w:u w:val="none" w:color="auto"/>
                <w:vertAlign w:val="baseline"/>
              </w:rP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1"/>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357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357.</w:t>
            </w:r>
            <w:r>
              <w:tab/>
            </w:r>
            <w:r>
              <w:t xml:space="preserve">Notes, that as regards direct payments, 18 Paying Agencies had an error rate between 2 % and 5 %, and one above 5 % </w:t>
            </w:r>
            <w:r>
              <w:rPr>
                <w:rFonts w:ascii="Times New Roman" w:eastAsia="Times New Roman" w:hAnsi="Times New Roman" w:cs="Times New Roman"/>
                <w:b/>
                <w:i/>
                <w:strike w:val="0"/>
                <w:color w:val="auto"/>
                <w:sz w:val="24"/>
                <w:highlight w:val="none"/>
                <w:u w:val="none" w:color="auto"/>
                <w:vertAlign w:val="baseline"/>
              </w:rPr>
              <w:t>(5,2 in Austria).</w:t>
            </w:r>
            <w:r>
              <w:t xml:space="preserve"> DG AGRI has issued 17 reservations at Paying Agency level </w:t>
            </w:r>
            <w:r>
              <w:rPr>
                <w:rFonts w:ascii="Times New Roman" w:eastAsia="Times New Roman" w:hAnsi="Times New Roman" w:cs="Times New Roman"/>
                <w:b/>
                <w:i/>
                <w:strike w:val="0"/>
                <w:color w:val="auto"/>
                <w:sz w:val="24"/>
                <w:highlight w:val="none"/>
                <w:u w:val="none" w:color="auto"/>
                <w:vertAlign w:val="baseline"/>
              </w:rPr>
              <w:t>for Austria, Cyprus, Denmark, Spain (3 Paying Agencies), Greece, Italy (7 Paying Agencies), Portugal, Romania and Sweden</w:t>
            </w:r>
            <w:r>
              <w:t>;</w:t>
            </w:r>
          </w:p>
        </w:tc>
        <w:tc>
          <w:tcPr>
            <w:tcW w:w="4876" w:type="dxa"/>
            <w:vAlign w:val="top"/>
          </w:tcPr>
          <w:p>
            <w:pPr>
              <w:pStyle w:val="Normal6a"/>
            </w:pPr>
            <w:r>
              <w:t>357.</w:t>
            </w:r>
            <w:r>
              <w:tab/>
            </w:r>
            <w:r>
              <w:t>Notes, that as regards direct payments, 18 Paying Agencies had an error rate between 2 % and 5 %, and one above 5 %</w:t>
            </w:r>
            <w:r>
              <w:rPr>
                <w:rFonts w:ascii="Times New Roman" w:eastAsia="Times New Roman" w:hAnsi="Times New Roman" w:cs="Times New Roman"/>
                <w:b/>
                <w:i/>
                <w:strike w:val="0"/>
                <w:color w:val="auto"/>
                <w:sz w:val="24"/>
                <w:highlight w:val="none"/>
                <w:u w:val="none" w:color="auto"/>
                <w:vertAlign w:val="baseline"/>
              </w:rPr>
              <w:t>;</w:t>
            </w:r>
            <w:r>
              <w:t xml:space="preserve"> DG AGRI has issued 17 reservations at Paying Agency level;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2"/>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22/04/2021</w:t>
      </w:r>
      <w:r>
        <w:rPr>
          <w:rStyle w:val="HideTWBInt"/>
        </w:rPr>
        <w:t>}</w:t>
      </w:r>
      <w:r>
        <w:t>22.4.2021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A9-0117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A9-0117/2021</w:t>
      </w:r>
    </w:p>
    <w:p>
      <w:pPr>
        <w:pStyle w:val="NormalBold"/>
      </w:pPr>
      <w:r>
        <w:rPr>
          <w:rStyle w:val="HideTWBExt"/>
        </w:rPr>
        <w:t>&lt;</w:t>
      </w:r>
      <w:r>
        <w:rPr>
          <w:rStyle w:val="HideTWBExt"/>
        </w:rPr>
        <w:t>Rapporteur</w:t>
      </w:r>
      <w:r>
        <w:rPr>
          <w:rStyle w:val="HideTWBExt"/>
        </w:rPr>
        <w:t>&gt;</w:t>
      </w:r>
      <w:r>
        <w:t>Joachim Kuhs</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 general budget - Commission and executive agencies</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2020/2140(DEC)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358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358.</w:t>
            </w:r>
            <w:r>
              <w:tab/>
            </w:r>
            <w:r>
              <w:t xml:space="preserve">The reservations can be grouped in the following categories: due to weaknesses in relation to payment entitlements </w:t>
            </w:r>
            <w:r>
              <w:rPr>
                <w:rFonts w:ascii="Times New Roman" w:eastAsia="Times New Roman" w:hAnsi="Times New Roman" w:cs="Times New Roman"/>
                <w:b/>
                <w:i/>
                <w:strike w:val="0"/>
                <w:color w:val="auto"/>
                <w:sz w:val="24"/>
                <w:highlight w:val="none"/>
                <w:u w:val="none" w:color="auto"/>
                <w:vertAlign w:val="baseline"/>
              </w:rPr>
              <w:t>(AT, DK, IT, PT, SE)</w:t>
            </w:r>
            <w:r>
              <w:t xml:space="preserve">, due to weakness in animal-based voluntary support measures </w:t>
            </w:r>
            <w:r>
              <w:rPr>
                <w:rFonts w:ascii="Times New Roman" w:eastAsia="Times New Roman" w:hAnsi="Times New Roman" w:cs="Times New Roman"/>
                <w:b/>
                <w:i/>
                <w:strike w:val="0"/>
                <w:color w:val="auto"/>
                <w:sz w:val="24"/>
                <w:highlight w:val="none"/>
                <w:u w:val="none" w:color="auto"/>
                <w:vertAlign w:val="baseline"/>
              </w:rPr>
              <w:t>(AT, GR, RO)</w:t>
            </w:r>
            <w:r>
              <w:t xml:space="preserve">, due to high reported error-rate </w:t>
            </w:r>
            <w:r>
              <w:rPr>
                <w:rFonts w:ascii="Times New Roman" w:eastAsia="Times New Roman" w:hAnsi="Times New Roman" w:cs="Times New Roman"/>
                <w:b/>
                <w:i/>
                <w:strike w:val="0"/>
                <w:color w:val="auto"/>
                <w:sz w:val="24"/>
                <w:highlight w:val="none"/>
                <w:u w:val="none" w:color="auto"/>
                <w:vertAlign w:val="baseline"/>
              </w:rPr>
              <w:t>(CY)</w:t>
            </w:r>
            <w:r>
              <w:t xml:space="preserve">, based on the Certification Body assessment </w:t>
            </w:r>
            <w:r>
              <w:rPr>
                <w:rFonts w:ascii="Times New Roman" w:eastAsia="Times New Roman" w:hAnsi="Times New Roman" w:cs="Times New Roman"/>
                <w:b/>
                <w:i/>
                <w:strike w:val="0"/>
                <w:color w:val="auto"/>
                <w:sz w:val="24"/>
                <w:highlight w:val="none"/>
                <w:u w:val="none" w:color="auto"/>
                <w:vertAlign w:val="baseline"/>
              </w:rPr>
              <w:t>(ES06)</w:t>
            </w:r>
            <w:r>
              <w:t xml:space="preserve"> , due to weaknesses in the quality of on-the-spot checks </w:t>
            </w:r>
            <w:r>
              <w:rPr>
                <w:rFonts w:ascii="Times New Roman" w:eastAsia="Times New Roman" w:hAnsi="Times New Roman" w:cs="Times New Roman"/>
                <w:b/>
                <w:i/>
                <w:strike w:val="0"/>
                <w:color w:val="auto"/>
                <w:sz w:val="24"/>
                <w:highlight w:val="none"/>
                <w:u w:val="none" w:color="auto"/>
                <w:vertAlign w:val="baseline"/>
              </w:rPr>
              <w:t>(ES09, ES15, GR, PT, SE)</w:t>
            </w:r>
            <w:r>
              <w:t xml:space="preserve">, weaknesses in the Land Parcel Identification System (LPIS) </w:t>
            </w:r>
            <w:r>
              <w:rPr>
                <w:rFonts w:ascii="Times New Roman" w:eastAsia="Times New Roman" w:hAnsi="Times New Roman" w:cs="Times New Roman"/>
                <w:b/>
                <w:i/>
                <w:strike w:val="0"/>
                <w:color w:val="auto"/>
                <w:sz w:val="24"/>
                <w:highlight w:val="none"/>
                <w:u w:val="none" w:color="auto"/>
                <w:vertAlign w:val="baseline"/>
              </w:rPr>
              <w:t>(IT)</w:t>
            </w:r>
            <w:r>
              <w:t xml:space="preserve"> and due to weaknesses in the definition of land type </w:t>
            </w:r>
            <w:r>
              <w:rPr>
                <w:rFonts w:ascii="Times New Roman" w:eastAsia="Times New Roman" w:hAnsi="Times New Roman" w:cs="Times New Roman"/>
                <w:b/>
                <w:i/>
                <w:strike w:val="0"/>
                <w:color w:val="auto"/>
                <w:sz w:val="24"/>
                <w:highlight w:val="none"/>
                <w:u w:val="none" w:color="auto"/>
                <w:vertAlign w:val="baseline"/>
              </w:rPr>
              <w:t>(RO, SE)</w:t>
            </w:r>
            <w:r>
              <w:t>;</w:t>
            </w:r>
          </w:p>
        </w:tc>
        <w:tc>
          <w:tcPr>
            <w:tcW w:w="4876" w:type="dxa"/>
            <w:vAlign w:val="top"/>
          </w:tcPr>
          <w:p>
            <w:pPr>
              <w:pStyle w:val="Normal6a"/>
            </w:pPr>
            <w:r>
              <w:t>358.</w:t>
            </w:r>
            <w:r>
              <w:tab/>
            </w:r>
            <w:r>
              <w:t>The reservations can be grouped in the following categories: due to weaknesses in relation to payment entitlements, due to weakness in animal-based voluntary support measures, due to high reported error-rate, based on the Certification Body assessment, due to weaknesses in the quality of on-the-spot checks, weaknesses in the Land Parcel Identification System (LPIS) and due to weaknesses in the definition of land type;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default" r:id="rId13"/>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AM\P9_AMA(2021)0117(011-020)EN.docx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sid w:val="002A1B45"/>
    <w:rPr>
      <w:rFonts w:ascii="Arial" w:hAnsi="Arial"/>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1" w:right="-851"/>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footer" Target="footer9.xml" /><Relationship Id="rId13" Type="http://schemas.openxmlformats.org/officeDocument/2006/relationships/footer" Target="footer10.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20210422-105421-076597-270047</vt:lpwstr>
  </property>
  <property fmtid="{D5CDD505-2E9C-101B-9397-08002B2CF9AE}" pid="7" name="FooterPath">
    <vt:lpwstr>AM\P9_AMA(2021)0117(011-020)EN.docx</vt:lpwstr>
  </property>
  <property fmtid="{D5CDD505-2E9C-101B-9397-08002B2CF9AE}" pid="8" name="PE Number">
    <vt:lpwstr>690.778</vt:lpwstr>
  </property>
  <property fmtid="{D5CDD505-2E9C-101B-9397-08002B2CF9AE}" pid="9" name="UID">
    <vt:lpwstr>eu.europa.europarl-DIN1-2021-0000030337_01.00-en-01.00_text-xml</vt:lpwstr>
  </property>
</Properties>
</file>