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56F22" w:rsidRPr="00CD1A6B" w:rsidTr="00C85D0F">
        <w:trPr>
          <w:trHeight w:hRule="exact" w:val="1418"/>
        </w:trPr>
        <w:tc>
          <w:tcPr>
            <w:tcW w:w="6804" w:type="dxa"/>
            <w:shd w:val="clear" w:color="auto" w:fill="auto"/>
            <w:vAlign w:val="center"/>
          </w:tcPr>
          <w:p w:rsidR="00356F22" w:rsidRPr="00CD1A6B" w:rsidRDefault="00E50CCA" w:rsidP="00C85D0F">
            <w:pPr>
              <w:pStyle w:val="EPName"/>
            </w:pPr>
            <w:r>
              <w:t>Evropský parlament</w:t>
            </w:r>
          </w:p>
          <w:p w:rsidR="00356F22" w:rsidRPr="00CD1A6B" w:rsidRDefault="0003242A" w:rsidP="0003242A">
            <w:pPr>
              <w:pStyle w:val="EPTerm"/>
            </w:pPr>
            <w:r>
              <w:t>2019-2024</w:t>
            </w:r>
          </w:p>
        </w:tc>
        <w:tc>
          <w:tcPr>
            <w:tcW w:w="2268" w:type="dxa"/>
            <w:shd w:val="clear" w:color="auto" w:fill="auto"/>
          </w:tcPr>
          <w:p w:rsidR="00356F22" w:rsidRPr="00CD1A6B" w:rsidRDefault="00356F22" w:rsidP="00C85D0F">
            <w:pPr>
              <w:pStyle w:val="EPLogo"/>
            </w:pPr>
            <w:r w:rsidRPr="00CD1A6B">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CD1A6B" w:rsidRDefault="00C71A3C" w:rsidP="00C71A3C">
      <w:pPr>
        <w:pStyle w:val="LineTop"/>
      </w:pPr>
    </w:p>
    <w:p w:rsidR="00C71A3C" w:rsidRPr="00CD1A6B" w:rsidRDefault="005A2F22" w:rsidP="00C71A3C">
      <w:pPr>
        <w:pStyle w:val="EPBody"/>
      </w:pPr>
      <w:r>
        <w:t>Dokument ze zasedání</w:t>
      </w:r>
    </w:p>
    <w:p w:rsidR="00C71A3C" w:rsidRPr="00CD1A6B" w:rsidRDefault="00C71A3C" w:rsidP="00C71A3C">
      <w:pPr>
        <w:pStyle w:val="LineBottom"/>
      </w:pPr>
    </w:p>
    <w:p w:rsidR="00ED0821" w:rsidRPr="00CD1A6B" w:rsidRDefault="005A2F22">
      <w:pPr>
        <w:pStyle w:val="CoverReference"/>
      </w:pPr>
      <w:r w:rsidRPr="005A2F22">
        <w:rPr>
          <w:rStyle w:val="HideTWBExt"/>
          <w:noProof w:val="0"/>
        </w:rPr>
        <w:t>&lt;NoDocSe&gt;</w:t>
      </w:r>
      <w:r>
        <w:t>A9</w:t>
      </w:r>
      <w:r>
        <w:noBreakHyphen/>
        <w:t>0155/2021</w:t>
      </w:r>
      <w:r w:rsidRPr="005A2F22">
        <w:rPr>
          <w:rStyle w:val="HideTWBExt"/>
          <w:noProof w:val="0"/>
        </w:rPr>
        <w:t>&lt;/NoDocSe&gt;</w:t>
      </w:r>
    </w:p>
    <w:p w:rsidR="00ED0821" w:rsidRPr="00CD1A6B" w:rsidRDefault="00ED0821">
      <w:pPr>
        <w:pStyle w:val="CoverDate"/>
      </w:pPr>
      <w:r>
        <w:rPr>
          <w:rStyle w:val="HideTWBExt"/>
          <w:noProof w:val="0"/>
        </w:rPr>
        <w:t>&lt;Date&gt;</w:t>
      </w:r>
      <w:r w:rsidR="005A2F22" w:rsidRPr="005A2F22">
        <w:rPr>
          <w:rStyle w:val="HideTWBInt"/>
        </w:rPr>
        <w:t>{11/05/2021}</w:t>
      </w:r>
      <w:r w:rsidR="005A2F22" w:rsidRPr="005A2F22">
        <w:t>11.5.2021</w:t>
      </w:r>
      <w:r>
        <w:rPr>
          <w:rStyle w:val="HideTWBExt"/>
          <w:noProof w:val="0"/>
        </w:rPr>
        <w:t>&lt;/Date&gt;</w:t>
      </w:r>
    </w:p>
    <w:p w:rsidR="00ED0821" w:rsidRPr="00CD1A6B" w:rsidRDefault="00ED0821">
      <w:pPr>
        <w:pStyle w:val="CoverDocType"/>
      </w:pPr>
      <w:r>
        <w:rPr>
          <w:rStyle w:val="HideTWBExt"/>
          <w:b w:val="0"/>
          <w:noProof w:val="0"/>
        </w:rPr>
        <w:t>&lt;RefProcLect&gt;</w:t>
      </w:r>
      <w:r>
        <w:t>*</w:t>
      </w:r>
      <w:r>
        <w:rPr>
          <w:rStyle w:val="HideTWBExt"/>
          <w:b w:val="0"/>
          <w:noProof w:val="0"/>
        </w:rPr>
        <w:t>&lt;/RefProcLect&gt;</w:t>
      </w:r>
    </w:p>
    <w:p w:rsidR="00ED0821" w:rsidRPr="00CD1A6B" w:rsidRDefault="00ED0821">
      <w:pPr>
        <w:pStyle w:val="CoverDocType24a"/>
      </w:pPr>
      <w:r>
        <w:rPr>
          <w:rStyle w:val="HideTWBExt"/>
          <w:b w:val="0"/>
          <w:noProof w:val="0"/>
        </w:rPr>
        <w:t>&lt;TitreType&gt;</w:t>
      </w:r>
      <w:r w:rsidR="005A2F22" w:rsidRPr="005A2F22">
        <w:t>ZPRÁVA</w:t>
      </w:r>
      <w:r>
        <w:rPr>
          <w:rStyle w:val="HideTWBExt"/>
          <w:b w:val="0"/>
          <w:noProof w:val="0"/>
        </w:rPr>
        <w:t>&lt;/TitreType&gt;</w:t>
      </w:r>
    </w:p>
    <w:p w:rsidR="0003242A" w:rsidRPr="00CD1A6B" w:rsidRDefault="0003242A" w:rsidP="0003242A">
      <w:pPr>
        <w:pStyle w:val="CoverNormal"/>
      </w:pPr>
      <w:r>
        <w:rPr>
          <w:rStyle w:val="HideTWBExt"/>
          <w:noProof w:val="0"/>
        </w:rPr>
        <w:t>&lt;Titre&gt;</w:t>
      </w:r>
      <w:r>
        <w:t>o návrhu směrnice Rady, kterou se mění směrnice 2006/112/ES, pokud jde o osvobození od daně při dovozu a některých dodáních v souvislosti s opatřeními Unie ve veřejném zájmu</w:t>
      </w:r>
      <w:r>
        <w:cr/>
      </w:r>
      <w:r>
        <w:br/>
      </w:r>
      <w:r>
        <w:rPr>
          <w:rStyle w:val="HideTWBExt"/>
          <w:noProof w:val="0"/>
        </w:rPr>
        <w:t>&lt;/Titre&gt;</w:t>
      </w:r>
    </w:p>
    <w:p w:rsidR="00ED0821" w:rsidRPr="00CD1A6B" w:rsidRDefault="0003242A" w:rsidP="0003242A">
      <w:pPr>
        <w:pStyle w:val="CoverNormal24a"/>
      </w:pPr>
      <w:r>
        <w:rPr>
          <w:rStyle w:val="HideTWBExt"/>
          <w:noProof w:val="0"/>
        </w:rPr>
        <w:t>&lt;DocRef&gt;</w:t>
      </w:r>
      <w:r>
        <w:t>(COM(2021)0181 – C9-0132/2021 – 2021/0097(CNS))</w:t>
      </w:r>
      <w:r>
        <w:rPr>
          <w:rStyle w:val="HideTWBExt"/>
          <w:noProof w:val="0"/>
        </w:rPr>
        <w:t>&lt;/DocRef&gt;</w:t>
      </w:r>
    </w:p>
    <w:p w:rsidR="00ED0821" w:rsidRPr="00CD1A6B" w:rsidRDefault="00ED0821">
      <w:pPr>
        <w:pStyle w:val="CoverNormal24a"/>
      </w:pPr>
      <w:r>
        <w:rPr>
          <w:rStyle w:val="HideTWBExt"/>
          <w:noProof w:val="0"/>
        </w:rPr>
        <w:t>&lt;Commission&gt;</w:t>
      </w:r>
      <w:r>
        <w:rPr>
          <w:rStyle w:val="HideTWBInt"/>
        </w:rPr>
        <w:t>{ECON}</w:t>
      </w:r>
      <w:r>
        <w:t>Hospodářský a měnový výbor</w:t>
      </w:r>
      <w:r>
        <w:rPr>
          <w:rStyle w:val="HideTWBExt"/>
          <w:noProof w:val="0"/>
        </w:rPr>
        <w:t>&lt;/Commission&gt;</w:t>
      </w:r>
    </w:p>
    <w:p w:rsidR="00ED0821" w:rsidRPr="00CD1A6B" w:rsidRDefault="0003242A">
      <w:pPr>
        <w:pStyle w:val="CoverNormal24a"/>
      </w:pPr>
      <w:r>
        <w:t xml:space="preserve">Zpravodajka: </w:t>
      </w:r>
      <w:r>
        <w:rPr>
          <w:rStyle w:val="HideTWBExt"/>
          <w:noProof w:val="0"/>
        </w:rPr>
        <w:t>&lt;Depute&gt;</w:t>
      </w:r>
      <w:r>
        <w:t>Irene Tinagli</w:t>
      </w:r>
      <w:r>
        <w:rPr>
          <w:rStyle w:val="HideTWBExt"/>
          <w:noProof w:val="0"/>
        </w:rPr>
        <w:t>&lt;/Depute&gt;</w:t>
      </w:r>
    </w:p>
    <w:p w:rsidR="00B368D2" w:rsidRDefault="00B368D2" w:rsidP="00894923"/>
    <w:p w:rsidR="00B368D2" w:rsidRDefault="00B368D2" w:rsidP="00894923"/>
    <w:p w:rsidR="00B368D2" w:rsidRPr="00A15162" w:rsidRDefault="00B368D2" w:rsidP="00B368D2">
      <w:pPr>
        <w:pStyle w:val="CoverNormal"/>
      </w:pPr>
      <w:r>
        <w:tab/>
      </w:r>
      <w:r w:rsidRPr="00A15162">
        <w:t>(</w:t>
      </w:r>
      <w:r>
        <w:t>Zjednodušený postup</w:t>
      </w:r>
      <w:r w:rsidRPr="00A15162">
        <w:t xml:space="preserve"> – </w:t>
      </w:r>
      <w:r>
        <w:t>čl.</w:t>
      </w:r>
      <w:r w:rsidRPr="00A15162">
        <w:t xml:space="preserve"> 52</w:t>
      </w:r>
      <w:r>
        <w:t xml:space="preserve"> odst. </w:t>
      </w:r>
      <w:r w:rsidRPr="00A15162">
        <w:t xml:space="preserve">1 </w:t>
      </w:r>
      <w:r>
        <w:t>jednacího řádu</w:t>
      </w:r>
      <w:r w:rsidRPr="00A15162">
        <w:t>)</w:t>
      </w:r>
    </w:p>
    <w:p w:rsidR="00B368D2" w:rsidRDefault="00B368D2" w:rsidP="00B368D2">
      <w:pPr>
        <w:tabs>
          <w:tab w:val="left" w:pos="1683"/>
        </w:tabs>
      </w:pPr>
    </w:p>
    <w:p w:rsidR="0003242A" w:rsidRPr="00CD1A6B" w:rsidRDefault="00ED0821" w:rsidP="00894923">
      <w:r w:rsidRPr="00B368D2">
        <w:br w:type="page"/>
      </w:r>
      <w:fldSimple w:instr=" TITLE  \* MERGEFORMAT ">
        <w:r w:rsidR="00D624F9">
          <w:t>PR_CNS_LegAct_app</w:t>
        </w:r>
      </w:fldSimple>
    </w:p>
    <w:p w:rsidR="0003242A" w:rsidRPr="00625FE5" w:rsidRDefault="0003242A" w:rsidP="00894923"/>
    <w:p w:rsidR="0003242A" w:rsidRPr="00625FE5" w:rsidRDefault="0003242A"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3242A" w:rsidRPr="00CD1A6B">
        <w:tc>
          <w:tcPr>
            <w:tcW w:w="5811" w:type="dxa"/>
          </w:tcPr>
          <w:p w:rsidR="0003242A" w:rsidRPr="00CD1A6B" w:rsidRDefault="0003242A" w:rsidP="00894923">
            <w:pPr>
              <w:pStyle w:val="Lgendetitre"/>
            </w:pPr>
            <w:r>
              <w:t>Vysvětlivky</w:t>
            </w:r>
          </w:p>
        </w:tc>
      </w:tr>
      <w:tr w:rsidR="0003242A" w:rsidRPr="00CD1A6B" w:rsidTr="00D60247">
        <w:trPr>
          <w:cantSplit/>
          <w:trHeight w:val="1807"/>
        </w:trPr>
        <w:tc>
          <w:tcPr>
            <w:tcW w:w="5811" w:type="dxa"/>
            <w:tcBorders>
              <w:bottom w:val="single" w:sz="4" w:space="0" w:color="auto"/>
            </w:tcBorders>
          </w:tcPr>
          <w:p w:rsidR="0003242A" w:rsidRPr="00CD1A6B" w:rsidRDefault="0003242A" w:rsidP="00291397">
            <w:pPr>
              <w:pStyle w:val="Lgendesigne"/>
            </w:pPr>
            <w:r>
              <w:tab/>
              <w:t>*</w:t>
            </w:r>
            <w:r>
              <w:tab/>
              <w:t>Postup konzultace</w:t>
            </w:r>
          </w:p>
          <w:p w:rsidR="0003242A" w:rsidRPr="00CD1A6B" w:rsidRDefault="0003242A" w:rsidP="00291397">
            <w:pPr>
              <w:pStyle w:val="Lgendesigne"/>
            </w:pPr>
            <w:r>
              <w:tab/>
              <w:t>***</w:t>
            </w:r>
            <w:r>
              <w:tab/>
              <w:t>Postup souhlasu</w:t>
            </w:r>
          </w:p>
          <w:p w:rsidR="0003242A" w:rsidRPr="00CD1A6B" w:rsidRDefault="0003242A" w:rsidP="00291397">
            <w:pPr>
              <w:pStyle w:val="Lgendesigne"/>
            </w:pPr>
            <w:r>
              <w:tab/>
              <w:t>***I</w:t>
            </w:r>
            <w:r>
              <w:tab/>
              <w:t>Řádný legislativní postup (první čtení)</w:t>
            </w:r>
          </w:p>
          <w:p w:rsidR="0003242A" w:rsidRPr="00CD1A6B" w:rsidRDefault="0003242A" w:rsidP="00291397">
            <w:pPr>
              <w:pStyle w:val="Lgendesigne"/>
            </w:pPr>
            <w:r>
              <w:tab/>
              <w:t>***II</w:t>
            </w:r>
            <w:r>
              <w:tab/>
              <w:t>Řádný legislativní postup (druhé čtení)</w:t>
            </w:r>
          </w:p>
          <w:p w:rsidR="0003242A" w:rsidRPr="00CD1A6B" w:rsidRDefault="0003242A" w:rsidP="00291397">
            <w:pPr>
              <w:pStyle w:val="Lgendesigne"/>
            </w:pPr>
            <w:r>
              <w:tab/>
              <w:t>***III</w:t>
            </w:r>
            <w:r>
              <w:tab/>
              <w:t>Řádný legislativní postup (třetí čtení)</w:t>
            </w:r>
          </w:p>
          <w:p w:rsidR="0003242A" w:rsidRPr="00CD1A6B" w:rsidRDefault="0003242A" w:rsidP="0069092A">
            <w:pPr>
              <w:pStyle w:val="Lgendestandard"/>
            </w:pPr>
          </w:p>
          <w:p w:rsidR="0003242A" w:rsidRPr="00CD1A6B" w:rsidRDefault="0003242A" w:rsidP="0069092A">
            <w:pPr>
              <w:pStyle w:val="Lgendestandard"/>
            </w:pPr>
            <w:r>
              <w:t>(Druh postupu závisí na právním základu navrženém v návrhu aktu.)</w:t>
            </w:r>
          </w:p>
          <w:p w:rsidR="0003242A" w:rsidRPr="00CD1A6B" w:rsidRDefault="0003242A" w:rsidP="008F1BC6">
            <w:pPr>
              <w:pStyle w:val="Lgendestandard"/>
            </w:pPr>
          </w:p>
        </w:tc>
      </w:tr>
    </w:tbl>
    <w:p w:rsidR="0003242A" w:rsidRPr="00CD1A6B" w:rsidRDefault="0003242A" w:rsidP="00894923"/>
    <w:p w:rsidR="0003242A" w:rsidRPr="00CD1A6B" w:rsidRDefault="0003242A" w:rsidP="00894923"/>
    <w:p w:rsidR="0003242A" w:rsidRPr="00CD1A6B" w:rsidRDefault="0003242A" w:rsidP="00894923"/>
    <w:p w:rsidR="0003242A" w:rsidRPr="00CD1A6B" w:rsidRDefault="0003242A" w:rsidP="0029139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3242A" w:rsidRPr="00CD1A6B" w:rsidTr="00740116">
        <w:tc>
          <w:tcPr>
            <w:tcW w:w="5811" w:type="dxa"/>
          </w:tcPr>
          <w:p w:rsidR="0003242A" w:rsidRPr="00CD1A6B" w:rsidRDefault="0003242A" w:rsidP="00740116">
            <w:pPr>
              <w:pStyle w:val="Lgendetitre"/>
            </w:pPr>
            <w:r>
              <w:t>Pozměňovací návrhy k návrhu aktu</w:t>
            </w:r>
          </w:p>
        </w:tc>
      </w:tr>
      <w:tr w:rsidR="0003242A" w:rsidRPr="00CD1A6B" w:rsidTr="00D60247">
        <w:trPr>
          <w:trHeight w:val="4213"/>
        </w:trPr>
        <w:tc>
          <w:tcPr>
            <w:tcW w:w="5811" w:type="dxa"/>
          </w:tcPr>
          <w:p w:rsidR="0003242A" w:rsidRPr="00CD1A6B" w:rsidRDefault="0003242A" w:rsidP="00740116">
            <w:pPr>
              <w:pStyle w:val="Lgendestandard"/>
              <w:rPr>
                <w:szCs w:val="18"/>
              </w:rPr>
            </w:pPr>
            <w:r>
              <w:rPr>
                <w:b/>
                <w:szCs w:val="24"/>
              </w:rPr>
              <w:t>Pozměňovacích návrhy Parlamentu předložené ve dvou sloupcích</w:t>
            </w:r>
          </w:p>
          <w:p w:rsidR="0003242A" w:rsidRPr="00CD1A6B" w:rsidRDefault="0003242A" w:rsidP="00740116">
            <w:pPr>
              <w:pStyle w:val="Lgendestandard"/>
              <w:rPr>
                <w:szCs w:val="18"/>
              </w:rPr>
            </w:pPr>
          </w:p>
          <w:p w:rsidR="0003242A" w:rsidRPr="00CD1A6B" w:rsidRDefault="0003242A" w:rsidP="00740116">
            <w:pPr>
              <w:pStyle w:val="Lgendestandard"/>
              <w:rPr>
                <w:szCs w:val="18"/>
              </w:rPr>
            </w:pPr>
            <w:r>
              <w:t xml:space="preserve">Vypuštění textu je označeno </w:t>
            </w:r>
            <w:r>
              <w:rPr>
                <w:b/>
                <w:i/>
                <w:szCs w:val="24"/>
              </w:rPr>
              <w:t xml:space="preserve">tučnou kurzivou </w:t>
            </w:r>
            <w:r>
              <w:t xml:space="preserve">v levém sloupci. Nahrazení je označeno </w:t>
            </w:r>
            <w:r>
              <w:rPr>
                <w:b/>
                <w:i/>
                <w:szCs w:val="24"/>
              </w:rPr>
              <w:t>tučnou kurzivou</w:t>
            </w:r>
            <w:r>
              <w:t xml:space="preserve"> v obou sloupcích. Nový text je označen </w:t>
            </w:r>
            <w:r>
              <w:rPr>
                <w:b/>
                <w:i/>
                <w:szCs w:val="24"/>
              </w:rPr>
              <w:t>tučnou kurzivou</w:t>
            </w:r>
            <w:r>
              <w:t xml:space="preserve"> v pravém sloupci.</w:t>
            </w:r>
          </w:p>
          <w:p w:rsidR="0003242A" w:rsidRPr="00CD1A6B" w:rsidRDefault="0003242A" w:rsidP="00740116">
            <w:pPr>
              <w:pStyle w:val="Lgendestandard"/>
            </w:pPr>
          </w:p>
          <w:p w:rsidR="0003242A" w:rsidRPr="00CD1A6B" w:rsidRDefault="0003242A" w:rsidP="00740116">
            <w:pPr>
              <w:pStyle w:val="Lgendestandard"/>
            </w:pPr>
            <w:r>
              <w:t xml:space="preserve">První a druhý řádek záhlaví každého pozměňovacího návrhu označují příslušnou část projednávaného návrhu aktu. Pokud se pozměňovací návrh týká existujícího aktu, který má být návrhem aktu pozměněn, je v záhlaví mimo to na třetím řádku uveden existující akt a na čtvrtém řádku ustanovení existujícího aktu, kterého se pozměňovací návrh týká. </w:t>
            </w:r>
          </w:p>
          <w:p w:rsidR="0003242A" w:rsidRPr="00CD1A6B" w:rsidRDefault="0003242A" w:rsidP="00740116">
            <w:pPr>
              <w:pStyle w:val="Lgendestandard"/>
            </w:pPr>
          </w:p>
          <w:p w:rsidR="0003242A" w:rsidRPr="00CD1A6B" w:rsidRDefault="0003242A" w:rsidP="00740116">
            <w:pPr>
              <w:pStyle w:val="Lgendestandard"/>
              <w:rPr>
                <w:b/>
                <w:szCs w:val="18"/>
              </w:rPr>
            </w:pPr>
            <w:r>
              <w:rPr>
                <w:b/>
                <w:szCs w:val="24"/>
              </w:rPr>
              <w:t>Pozměňovací návrhy Parlamentu v podobě konsolidovaného textu</w:t>
            </w:r>
          </w:p>
          <w:p w:rsidR="0003242A" w:rsidRPr="00CD1A6B" w:rsidRDefault="0003242A" w:rsidP="00740116">
            <w:pPr>
              <w:pStyle w:val="Lgendestandard"/>
              <w:rPr>
                <w:szCs w:val="18"/>
              </w:rPr>
            </w:pPr>
          </w:p>
          <w:p w:rsidR="0003242A" w:rsidRPr="00CD1A6B" w:rsidRDefault="0003242A" w:rsidP="00740116">
            <w:pPr>
              <w:pStyle w:val="Lgendestandard"/>
            </w:pPr>
            <w:r>
              <w:t xml:space="preserve">Nové části textu jsou označeny </w:t>
            </w:r>
            <w:r>
              <w:rPr>
                <w:b/>
                <w:i/>
                <w:szCs w:val="24"/>
              </w:rPr>
              <w:t>tučnou kurzivou</w:t>
            </w:r>
            <w:r>
              <w:t xml:space="preserve">. Vypuštěné části textu jsou označeny symbolem ▌nebo přeškrtnuty. Nahrazení se vyznačují tak, že nový text se označí </w:t>
            </w:r>
            <w:r>
              <w:rPr>
                <w:b/>
                <w:i/>
                <w:szCs w:val="18"/>
              </w:rPr>
              <w:t>tučnou kurzivou</w:t>
            </w:r>
            <w:r>
              <w:t xml:space="preserve"> a nahrazený text se vymaže nebo přeškrtne. Výjimečně se neoznačují změny výlučně technické povahy, které provedly příslušné útvary za účelem vypracování konečného znění.</w:t>
            </w:r>
          </w:p>
          <w:p w:rsidR="0003242A" w:rsidRPr="00CD1A6B" w:rsidRDefault="0003242A" w:rsidP="00740116">
            <w:pPr>
              <w:pStyle w:val="Lgendestandard"/>
            </w:pPr>
          </w:p>
        </w:tc>
      </w:tr>
    </w:tbl>
    <w:p w:rsidR="0003242A" w:rsidRPr="00CD1A6B" w:rsidRDefault="0003242A" w:rsidP="00291397"/>
    <w:p w:rsidR="0003242A" w:rsidRPr="00CD1A6B" w:rsidRDefault="0003242A" w:rsidP="00291397"/>
    <w:p w:rsidR="00ED0821" w:rsidRPr="00CD1A6B" w:rsidRDefault="00ED0821" w:rsidP="004C4A0B">
      <w:pPr>
        <w:widowControl/>
        <w:tabs>
          <w:tab w:val="center" w:pos="4677"/>
        </w:tabs>
      </w:pPr>
    </w:p>
    <w:p w:rsidR="00ED0821" w:rsidRPr="00CD1A6B" w:rsidRDefault="00ED0821">
      <w:pPr>
        <w:pStyle w:val="TOCHeading"/>
      </w:pPr>
      <w:r>
        <w:br w:type="page"/>
      </w:r>
      <w:r>
        <w:lastRenderedPageBreak/>
        <w:t>OBSAH</w:t>
      </w:r>
    </w:p>
    <w:p w:rsidR="00ED0821" w:rsidRPr="00CD1A6B" w:rsidRDefault="00E50CCA">
      <w:pPr>
        <w:pStyle w:val="TOCPage"/>
      </w:pPr>
      <w:r>
        <w:t>Strana</w:t>
      </w:r>
    </w:p>
    <w:p w:rsidR="00D624F9" w:rsidRDefault="004C4A0B">
      <w:pPr>
        <w:pStyle w:val="TOC1"/>
        <w:tabs>
          <w:tab w:val="right" w:leader="dot" w:pos="9060"/>
        </w:tabs>
        <w:rPr>
          <w:rFonts w:asciiTheme="minorHAnsi" w:eastAsiaTheme="minorEastAsia" w:hAnsiTheme="minorHAnsi" w:cstheme="minorBidi"/>
          <w:noProof/>
          <w:sz w:val="22"/>
          <w:szCs w:val="22"/>
          <w:lang w:val="en-GB"/>
        </w:rPr>
      </w:pPr>
      <w:r w:rsidRPr="00CD1A6B">
        <w:rPr>
          <w:b/>
        </w:rPr>
        <w:fldChar w:fldCharType="begin"/>
      </w:r>
      <w:r w:rsidRPr="00CD1A6B">
        <w:rPr>
          <w:b/>
        </w:rPr>
        <w:instrText xml:space="preserve"> TOC \t "PageHeading</w:instrText>
      </w:r>
      <w:r w:rsidR="00D624F9">
        <w:rPr>
          <w:b/>
        </w:rPr>
        <w:instrText>;</w:instrText>
      </w:r>
      <w:r w:rsidRPr="00CD1A6B">
        <w:rPr>
          <w:b/>
        </w:rPr>
        <w:instrText xml:space="preserve">1" </w:instrText>
      </w:r>
      <w:r w:rsidRPr="00CD1A6B">
        <w:rPr>
          <w:b/>
        </w:rPr>
        <w:fldChar w:fldCharType="separate"/>
      </w:r>
      <w:r w:rsidR="00D624F9">
        <w:rPr>
          <w:noProof/>
        </w:rPr>
        <w:t>NÁVRH LEGISLATIVNÍHO USNESENÍ EVROPSKÉHO PARLAMENTU</w:t>
      </w:r>
      <w:r w:rsidR="00D624F9">
        <w:rPr>
          <w:noProof/>
        </w:rPr>
        <w:tab/>
      </w:r>
      <w:r w:rsidR="00D624F9">
        <w:rPr>
          <w:noProof/>
        </w:rPr>
        <w:fldChar w:fldCharType="begin"/>
      </w:r>
      <w:r w:rsidR="00D624F9">
        <w:rPr>
          <w:noProof/>
        </w:rPr>
        <w:instrText xml:space="preserve"> PAGEREF _Toc71727507 \h </w:instrText>
      </w:r>
      <w:r w:rsidR="00D624F9">
        <w:rPr>
          <w:noProof/>
        </w:rPr>
      </w:r>
      <w:r w:rsidR="00D624F9">
        <w:rPr>
          <w:noProof/>
        </w:rPr>
        <w:fldChar w:fldCharType="separate"/>
      </w:r>
      <w:r w:rsidR="00D624F9">
        <w:rPr>
          <w:noProof/>
        </w:rPr>
        <w:t>5</w:t>
      </w:r>
      <w:r w:rsidR="00D624F9">
        <w:rPr>
          <w:noProof/>
        </w:rPr>
        <w:fldChar w:fldCharType="end"/>
      </w:r>
    </w:p>
    <w:p w:rsidR="00D624F9" w:rsidRDefault="00D624F9">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_Toc71727508 \h </w:instrText>
      </w:r>
      <w:r>
        <w:rPr>
          <w:noProof/>
        </w:rPr>
      </w:r>
      <w:r>
        <w:rPr>
          <w:noProof/>
        </w:rPr>
        <w:fldChar w:fldCharType="separate"/>
      </w:r>
      <w:r>
        <w:rPr>
          <w:noProof/>
        </w:rPr>
        <w:t>6</w:t>
      </w:r>
      <w:r>
        <w:rPr>
          <w:noProof/>
        </w:rPr>
        <w:fldChar w:fldCharType="end"/>
      </w:r>
    </w:p>
    <w:p w:rsidR="00D624F9" w:rsidRDefault="00D624F9">
      <w:pPr>
        <w:pStyle w:val="TOC1"/>
        <w:tabs>
          <w:tab w:val="right" w:leader="dot" w:pos="9060"/>
        </w:tabs>
        <w:rPr>
          <w:rFonts w:asciiTheme="minorHAnsi" w:eastAsiaTheme="minorEastAsia" w:hAnsiTheme="minorHAnsi" w:cstheme="minorBidi"/>
          <w:noProof/>
          <w:sz w:val="22"/>
          <w:szCs w:val="22"/>
          <w:lang w:val="en-GB"/>
        </w:rPr>
      </w:pPr>
      <w:r>
        <w:rPr>
          <w:noProof/>
        </w:rPr>
        <w:t>POSTUP V PŘÍSLUŠNÉM VÝBORU</w:t>
      </w:r>
      <w:r>
        <w:rPr>
          <w:noProof/>
        </w:rPr>
        <w:tab/>
      </w:r>
      <w:r>
        <w:rPr>
          <w:noProof/>
        </w:rPr>
        <w:fldChar w:fldCharType="begin"/>
      </w:r>
      <w:r>
        <w:rPr>
          <w:noProof/>
        </w:rPr>
        <w:instrText xml:space="preserve"> PAGEREF _Toc71727509 \h </w:instrText>
      </w:r>
      <w:r>
        <w:rPr>
          <w:noProof/>
        </w:rPr>
      </w:r>
      <w:r>
        <w:rPr>
          <w:noProof/>
        </w:rPr>
        <w:fldChar w:fldCharType="separate"/>
      </w:r>
      <w:r>
        <w:rPr>
          <w:noProof/>
        </w:rPr>
        <w:t>7</w:t>
      </w:r>
      <w:r>
        <w:rPr>
          <w:noProof/>
        </w:rPr>
        <w:fldChar w:fldCharType="end"/>
      </w:r>
    </w:p>
    <w:p w:rsidR="001A06D8" w:rsidRPr="00CD1A6B" w:rsidRDefault="004C4A0B" w:rsidP="007B68B8">
      <w:r w:rsidRPr="00CD1A6B">
        <w:rPr>
          <w:b/>
        </w:rPr>
        <w:fldChar w:fldCharType="end"/>
      </w:r>
    </w:p>
    <w:p w:rsidR="00ED0821" w:rsidRPr="00CD1A6B" w:rsidRDefault="00ED0821">
      <w:pPr>
        <w:pStyle w:val="PageHeading"/>
      </w:pPr>
      <w:r>
        <w:br w:type="page"/>
      </w:r>
      <w:r>
        <w:br w:type="page"/>
      </w:r>
      <w:bookmarkStart w:id="0" w:name="_Toc71727507"/>
      <w:r>
        <w:t>NÁVRH LEGISLATIVNÍHO USNESENÍ EVROPSKÉHO PARLAMENTU</w:t>
      </w:r>
      <w:bookmarkEnd w:id="0"/>
    </w:p>
    <w:p w:rsidR="0003242A" w:rsidRPr="00CD1A6B" w:rsidRDefault="0003242A" w:rsidP="0003242A">
      <w:pPr>
        <w:pStyle w:val="NormalBold"/>
      </w:pPr>
      <w:r>
        <w:t>o návrhu směrnice Rady, kterou se mění směrnice 2006/112/ES, pokud jde o osvobození od daně při dovozu a některých dodáních v souvislosti s opatřeními Unie ve veřejném zájmu</w:t>
      </w:r>
    </w:p>
    <w:p w:rsidR="00ED0821" w:rsidRPr="00CD1A6B" w:rsidRDefault="0003242A" w:rsidP="0003242A">
      <w:pPr>
        <w:pStyle w:val="NormalBold12a"/>
      </w:pPr>
      <w:r>
        <w:t>(COM(2021)0181 – C9-0132/2021 – 2021/0097(CNS))</w:t>
      </w:r>
    </w:p>
    <w:p w:rsidR="00ED0821" w:rsidRPr="00CD1A6B" w:rsidRDefault="00E50CCA" w:rsidP="007B68B8">
      <w:pPr>
        <w:pStyle w:val="NormalBold"/>
      </w:pPr>
      <w:r>
        <w:t>(Zvláštní legislativní postup – konzultace)</w:t>
      </w:r>
    </w:p>
    <w:p w:rsidR="00ED0821" w:rsidRPr="00CD1A6B" w:rsidRDefault="00E50CCA">
      <w:pPr>
        <w:pStyle w:val="EPComma"/>
      </w:pPr>
      <w:r>
        <w:rPr>
          <w:i/>
        </w:rPr>
        <w:t>Evropský parlament</w:t>
      </w:r>
      <w:r>
        <w:t>,</w:t>
      </w:r>
    </w:p>
    <w:p w:rsidR="00ED0821" w:rsidRPr="00CD1A6B" w:rsidRDefault="00ED0821">
      <w:pPr>
        <w:pStyle w:val="NormalHanging12a"/>
      </w:pPr>
      <w:r>
        <w:t>–</w:t>
      </w:r>
      <w:r>
        <w:tab/>
        <w:t>s ohledem na návrh Komise předložený Radě (COM(2021)0181),</w:t>
      </w:r>
    </w:p>
    <w:p w:rsidR="00ED0821" w:rsidRPr="00CD1A6B" w:rsidRDefault="00ED0821">
      <w:pPr>
        <w:pStyle w:val="NormalHanging12a"/>
      </w:pPr>
      <w:r>
        <w:t>–</w:t>
      </w:r>
      <w:r>
        <w:tab/>
        <w:t>s ohledem na článek 113 Smlouvy o fungování Evropské unie, podle kterého Rada konzultovala s Parlamentem (C9-0132/2021),</w:t>
      </w:r>
    </w:p>
    <w:p w:rsidR="00E822D6" w:rsidRPr="00CD1A6B" w:rsidRDefault="00ED0821" w:rsidP="0003242A">
      <w:pPr>
        <w:pStyle w:val="NormalHanging12a"/>
      </w:pPr>
      <w:r>
        <w:t>–</w:t>
      </w:r>
      <w:r>
        <w:tab/>
        <w:t>s ohledem na článek 82 jednacího řádu,</w:t>
      </w:r>
    </w:p>
    <w:p w:rsidR="00E822D6" w:rsidRPr="00CD1A6B" w:rsidRDefault="00E822D6" w:rsidP="00E822D6">
      <w:pPr>
        <w:pStyle w:val="NormalHanging12a"/>
      </w:pPr>
      <w:r>
        <w:t>–</w:t>
      </w:r>
      <w:r>
        <w:tab/>
        <w:t>s ohledem na zprávu Hospodářského a měnového výboru (</w:t>
      </w:r>
      <w:r w:rsidR="005A2F22">
        <w:t>A9</w:t>
      </w:r>
      <w:r w:rsidR="005A2F22">
        <w:noBreakHyphen/>
        <w:t>0155/2021</w:t>
      </w:r>
      <w:r>
        <w:t>),</w:t>
      </w:r>
    </w:p>
    <w:p w:rsidR="00ED0821" w:rsidRPr="00CD1A6B" w:rsidRDefault="00ED0821">
      <w:pPr>
        <w:pStyle w:val="NormalHanging12a"/>
      </w:pPr>
      <w:r>
        <w:t>1.</w:t>
      </w:r>
      <w:r>
        <w:tab/>
        <w:t>schvaluje návrh Komise;</w:t>
      </w:r>
    </w:p>
    <w:p w:rsidR="002F7000" w:rsidRPr="00CD1A6B" w:rsidRDefault="00ED0821">
      <w:pPr>
        <w:pStyle w:val="NormalHanging12a"/>
      </w:pPr>
      <w:r>
        <w:t>2.</w:t>
      </w:r>
      <w:r>
        <w:tab/>
        <w:t>vyzývá Radu, aby informovala Parlament, bude-li mít v úmyslu odchýlit se od znění schváleného Parlamentem;</w:t>
      </w:r>
    </w:p>
    <w:p w:rsidR="00ED0821" w:rsidRPr="00CD1A6B" w:rsidRDefault="002F7000">
      <w:pPr>
        <w:pStyle w:val="NormalHanging12a"/>
      </w:pPr>
      <w:r>
        <w:t>3.</w:t>
      </w:r>
      <w:r>
        <w:tab/>
        <w:t>vyzývá Radu, aby znovu konzultovala s Parlamentem, bude-li mít v úmyslu podstatně změnit znění schválené Parlamentem;</w:t>
      </w:r>
    </w:p>
    <w:p w:rsidR="0003242A" w:rsidRPr="00CD1A6B" w:rsidRDefault="002F7000">
      <w:pPr>
        <w:pStyle w:val="NormalHanging12a"/>
      </w:pPr>
      <w:r>
        <w:t>4.</w:t>
      </w:r>
      <w:r>
        <w:tab/>
        <w:t>pověřuje svého předsedu, aby předal postoj Parlamentu Radě a Komisi, jakož i vnitrostátním parlamentům.</w:t>
      </w:r>
    </w:p>
    <w:p w:rsidR="0003242A" w:rsidRPr="00CD1A6B" w:rsidRDefault="0003242A">
      <w:pPr>
        <w:widowControl/>
      </w:pPr>
      <w:r>
        <w:br w:type="page"/>
      </w:r>
    </w:p>
    <w:p w:rsidR="0003242A" w:rsidRPr="00CD1A6B" w:rsidRDefault="0003242A" w:rsidP="0003242A">
      <w:pPr>
        <w:pStyle w:val="PageHeading"/>
      </w:pPr>
      <w:bookmarkStart w:id="1" w:name="_Toc70427257"/>
      <w:bookmarkStart w:id="2" w:name="_Toc71727508"/>
      <w:r>
        <w:t>VYSVĚTLUJÍCÍ PROHLÁŠENÍ</w:t>
      </w:r>
      <w:bookmarkEnd w:id="1"/>
      <w:bookmarkEnd w:id="2"/>
    </w:p>
    <w:p w:rsidR="0003242A" w:rsidRPr="00CD1A6B" w:rsidRDefault="0003242A" w:rsidP="0003242A">
      <w:r>
        <w:t>Směrnice o DPH stanoví osvobození od daně podle čl. 143 odst. 1 písm. fa) a čl. 151 odst. 1 písm. aa) umožňující odpočet DPH týkající se dovozu zboží a dodání zboží a poskytnutí služeb evropským subjektům, na které se vztahuje Protokol o výsadách a imunitách Evropské unie. Na základě příslušného výkladu tohoto protokolu je tato výjimka přísně omezena na nákupy pro účely oficiálního použití daným subjektem EU. Nebylo by možné ji uplatnit na nákupy zboží a služeb určených k bezplatnému poskytnutí členským státům nebo vnitrostátnímu zdravotnickému orgán či nemocnici, jelikož to není považováno za oficiální použití. Právě takové případy se však mohou stát obzvláště důležitými v reakci na krize, jako je pandemie COVID-19, a proto se v současnosti platná osvobození od DPH považují v této souvislosti za nedostatečná.</w:t>
      </w:r>
    </w:p>
    <w:p w:rsidR="0003242A" w:rsidRPr="00CD1A6B" w:rsidRDefault="0003242A" w:rsidP="0003242A"/>
    <w:p w:rsidR="0003242A" w:rsidRPr="00CD1A6B" w:rsidRDefault="0003242A" w:rsidP="0003242A">
      <w:r>
        <w:t>Stávající návrh má tudíž za cíl zavést široce pojaté osvobození od DPH pro pořizování zboží či služeb Komisí nebo agenturou či subjektem založenými podle práva Unie v rámci plnění mandátu, který jim byl ve veřejném zájmu udělen právem Unie.</w:t>
      </w:r>
    </w:p>
    <w:p w:rsidR="0003242A" w:rsidRPr="00CD1A6B" w:rsidRDefault="0003242A" w:rsidP="0003242A"/>
    <w:p w:rsidR="0003242A" w:rsidRPr="00CD1A6B" w:rsidRDefault="0003242A" w:rsidP="0003242A">
      <w:r>
        <w:t>Mezi transakce, na které se vztahuje osvobození od daně, patří:</w:t>
      </w:r>
    </w:p>
    <w:p w:rsidR="0003242A" w:rsidRPr="00CD1A6B" w:rsidRDefault="00CD1A6B" w:rsidP="0003242A">
      <w:pPr>
        <w:ind w:left="720" w:hanging="360"/>
      </w:pPr>
      <w:r>
        <w:t>–</w:t>
      </w:r>
      <w:r>
        <w:tab/>
        <w:t>diagnostické testy a testovací materiál a laboratorní vybavení;</w:t>
      </w:r>
    </w:p>
    <w:p w:rsidR="0003242A" w:rsidRPr="00CD1A6B" w:rsidRDefault="00CD1A6B" w:rsidP="0003242A">
      <w:pPr>
        <w:ind w:left="720" w:hanging="360"/>
      </w:pPr>
      <w:r>
        <w:t>–</w:t>
      </w:r>
      <w:r>
        <w:tab/>
        <w:t>osobní ochranné prostředky (OOP), jako jsou rukavice, respirátory, roušky, pláště, dezinfekční prostředky a vybavení;</w:t>
      </w:r>
    </w:p>
    <w:p w:rsidR="0003242A" w:rsidRPr="00CD1A6B" w:rsidRDefault="00CD1A6B" w:rsidP="0003242A">
      <w:pPr>
        <w:ind w:left="720" w:hanging="360"/>
      </w:pPr>
      <w:r>
        <w:t>–</w:t>
      </w:r>
      <w:r>
        <w:tab/>
        <w:t>stany, polní lůžka, oblečení a potraviny;</w:t>
      </w:r>
    </w:p>
    <w:p w:rsidR="0003242A" w:rsidRPr="00CD1A6B" w:rsidRDefault="00CD1A6B" w:rsidP="0003242A">
      <w:pPr>
        <w:ind w:left="720" w:hanging="360"/>
      </w:pPr>
      <w:r>
        <w:t>–</w:t>
      </w:r>
      <w:r>
        <w:tab/>
        <w:t>vybavení pro pátrací a záchranné operace, pytle s pískem, záchranné vesty a</w:t>
      </w:r>
      <w:r w:rsidR="00B368D2">
        <w:t> </w:t>
      </w:r>
      <w:r>
        <w:t>nafukovací čluny;</w:t>
      </w:r>
    </w:p>
    <w:p w:rsidR="0003242A" w:rsidRPr="00CD1A6B" w:rsidRDefault="00CD1A6B" w:rsidP="0003242A">
      <w:pPr>
        <w:ind w:left="720" w:hanging="360"/>
      </w:pPr>
      <w:r>
        <w:t>–</w:t>
      </w:r>
      <w:r>
        <w:tab/>
        <w:t>antimikrobiální látky a antibiotika, antidota pro případ chemické hrozby, ošetřující přípravky na poškození zdraví v důsledku ozáření, antitoxiny, jodové tablety;</w:t>
      </w:r>
    </w:p>
    <w:p w:rsidR="0003242A" w:rsidRPr="00CD1A6B" w:rsidRDefault="00CD1A6B" w:rsidP="0003242A">
      <w:pPr>
        <w:ind w:left="720" w:hanging="360"/>
      </w:pPr>
      <w:r>
        <w:t>–</w:t>
      </w:r>
      <w:r>
        <w:tab/>
        <w:t>krevní produkty nebo protilátky;</w:t>
      </w:r>
    </w:p>
    <w:p w:rsidR="0003242A" w:rsidRPr="00CD1A6B" w:rsidRDefault="00CD1A6B" w:rsidP="0003242A">
      <w:pPr>
        <w:ind w:left="720" w:hanging="360"/>
      </w:pPr>
      <w:r>
        <w:t>–</w:t>
      </w:r>
      <w:r>
        <w:tab/>
        <w:t>zařízení měřící radiaci;</w:t>
      </w:r>
    </w:p>
    <w:p w:rsidR="0003242A" w:rsidRPr="00CD1A6B" w:rsidRDefault="00CD1A6B" w:rsidP="0003242A">
      <w:pPr>
        <w:ind w:left="720" w:hanging="360"/>
      </w:pPr>
      <w:r>
        <w:t>–</w:t>
      </w:r>
      <w:r>
        <w:tab/>
        <w:t>vývoj, výroba a obstarání nezbytných produktů, činnosti v oblasti výzkumu a inovací, strategické vytváření zásob produktů; farmaceutické licence, karanténní zařízení, klinická hodnocení, dezinfekce prostor atd.</w:t>
      </w:r>
    </w:p>
    <w:p w:rsidR="0003242A" w:rsidRPr="00CD1A6B" w:rsidRDefault="0003242A" w:rsidP="0003242A"/>
    <w:p w:rsidR="0003242A" w:rsidRPr="00CD1A6B" w:rsidRDefault="0003242A" w:rsidP="0003242A">
      <w:r>
        <w:t>Návrh odstraní DPH jakožto nákladový faktor programů EU. Je důležité uvést, že zavedení tohoto osvobození od daně nebude mít negativní dopad na rozpočet EU.</w:t>
      </w:r>
    </w:p>
    <w:p w:rsidR="0003242A" w:rsidRPr="00CD1A6B" w:rsidRDefault="0003242A" w:rsidP="0003242A"/>
    <w:p w:rsidR="0003242A" w:rsidRPr="00CD1A6B" w:rsidRDefault="0003242A" w:rsidP="0003242A">
      <w:r>
        <w:t>Aby se snížila administrativní zátěž související s používáním tištěné verze osvědčení o</w:t>
      </w:r>
      <w:r w:rsidR="00B368D2">
        <w:t> </w:t>
      </w:r>
      <w:r>
        <w:t>osvobození, návrh rovněž stanoví zavedení elektronické verze tohoto formuláře.</w:t>
      </w:r>
    </w:p>
    <w:p w:rsidR="0003242A" w:rsidRPr="00CD1A6B" w:rsidRDefault="0003242A" w:rsidP="0003242A"/>
    <w:p w:rsidR="0003242A" w:rsidRPr="00CD1A6B" w:rsidRDefault="0003242A" w:rsidP="0003242A">
      <w:r>
        <w:t>V souvislosti s výše uvedeným se zpravodajka domnívá, že návrh by měl být schválen co nejdříve, aby Komise mohla představit řešení, která jsou pro boj s pandemií COVID-19 nezbytná, aniž by představovala zbytečnou zátěž. S ohledem na stávající výjimečné okolnosti proto zpravodajka navrhuje, aby byl návrh schválen bez pozměňovacích návrhů zjednodušeným postupem podle čl. 52 odst. 1 jednacího řádu.</w:t>
      </w:r>
    </w:p>
    <w:p w:rsidR="0003242A" w:rsidRPr="00CD1A6B" w:rsidRDefault="0003242A" w:rsidP="0003242A">
      <w:pPr>
        <w:jc w:val="both"/>
      </w:pPr>
    </w:p>
    <w:p w:rsidR="0003242A" w:rsidRPr="00CD1A6B" w:rsidRDefault="0003242A" w:rsidP="0003242A">
      <w:pPr>
        <w:jc w:val="both"/>
      </w:pPr>
    </w:p>
    <w:p w:rsidR="005A2F22" w:rsidRPr="005A2F22" w:rsidRDefault="0003242A" w:rsidP="00D624F9">
      <w:pPr>
        <w:pStyle w:val="NormalHanging12a"/>
        <w:jc w:val="center"/>
      </w:pPr>
      <w:r>
        <w:t>****</w:t>
      </w:r>
      <w:bookmarkStart w:id="3" w:name="_GoBack"/>
      <w:bookmarkEnd w:id="3"/>
      <w:r w:rsidR="005A2F22" w:rsidRPr="005A2F22">
        <w:br w:type="page"/>
      </w:r>
    </w:p>
    <w:p w:rsidR="005A2F22" w:rsidRDefault="005A2F22" w:rsidP="005A2F22">
      <w:pPr>
        <w:pStyle w:val="PageHeading"/>
      </w:pPr>
      <w:bookmarkStart w:id="4" w:name="ProcPageRR"/>
      <w:bookmarkStart w:id="5" w:name="_Toc71727509"/>
      <w:r>
        <w:t>POSTUP V PŘÍSLUŠNÉM VÝBORU</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Změna směrnice 2006/112/ES pokud jde o výjimky vztahující se na dovozy a některé dodávky, při respektování opatření Unie ve veřejném zájmu</w:t>
            </w:r>
          </w:p>
        </w:tc>
      </w:tr>
      <w:tr w:rsidR="005A2F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COM(2021)0181 – C9-0132/2021 – 2021/0097(CNS)</w:t>
            </w:r>
          </w:p>
        </w:tc>
      </w:tr>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Datum konzultace s Parlamentem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16.4.2021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Příslušný výbor</w:t>
            </w:r>
          </w:p>
          <w:p w:rsidR="005A2F22" w:rsidRDefault="005A2F22">
            <w:pPr>
              <w:autoSpaceDE w:val="0"/>
              <w:autoSpaceDN w:val="0"/>
              <w:adjustRightInd w:val="0"/>
              <w:rPr>
                <w:color w:val="000000"/>
                <w:sz w:val="20"/>
              </w:rPr>
            </w:pPr>
            <w:r>
              <w:rPr>
                <w:color w:val="000000"/>
                <w:sz w:val="20"/>
              </w:rPr>
              <w:t>       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ECON</w:t>
            </w:r>
          </w:p>
          <w:p w:rsidR="005A2F22" w:rsidRDefault="005A2F22">
            <w:pPr>
              <w:autoSpaceDE w:val="0"/>
              <w:autoSpaceDN w:val="0"/>
              <w:adjustRightInd w:val="0"/>
              <w:rPr>
                <w:color w:val="000000"/>
                <w:sz w:val="20"/>
              </w:rPr>
            </w:pPr>
            <w:r>
              <w:rPr>
                <w:color w:val="000000"/>
                <w:sz w:val="20"/>
              </w:rPr>
              <w:t>26.4.2021</w:t>
            </w:r>
          </w:p>
        </w:tc>
        <w:tc>
          <w:tcPr>
            <w:tcW w:w="1474"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Výbory požádané o stanovisko</w:t>
            </w:r>
          </w:p>
          <w:p w:rsidR="005A2F22" w:rsidRDefault="005A2F22">
            <w:pPr>
              <w:autoSpaceDE w:val="0"/>
              <w:autoSpaceDN w:val="0"/>
              <w:adjustRightInd w:val="0"/>
              <w:rPr>
                <w:color w:val="000000"/>
                <w:sz w:val="20"/>
              </w:rPr>
            </w:pPr>
            <w:r>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IMCO</w:t>
            </w:r>
          </w:p>
          <w:p w:rsidR="005A2F22" w:rsidRDefault="005A2F22">
            <w:pPr>
              <w:autoSpaceDE w:val="0"/>
              <w:autoSpaceDN w:val="0"/>
              <w:adjustRightInd w:val="0"/>
              <w:rPr>
                <w:color w:val="000000"/>
                <w:sz w:val="20"/>
              </w:rPr>
            </w:pPr>
            <w:r>
              <w:rPr>
                <w:color w:val="000000"/>
                <w:sz w:val="20"/>
              </w:rPr>
              <w:t>26.4.2021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Nezaujetí stanoviska</w:t>
            </w:r>
          </w:p>
          <w:p w:rsidR="005A2F22" w:rsidRDefault="005A2F22">
            <w:pPr>
              <w:autoSpaceDE w:val="0"/>
              <w:autoSpaceDN w:val="0"/>
              <w:adjustRightInd w:val="0"/>
              <w:rPr>
                <w:color w:val="000000"/>
                <w:sz w:val="20"/>
              </w:rPr>
            </w:pPr>
            <w:r>
              <w:rPr>
                <w:color w:val="000000"/>
                <w:sz w:val="20"/>
              </w:rPr>
              <w:t>       Datum rozhodnutí</w:t>
            </w:r>
          </w:p>
        </w:tc>
        <w:tc>
          <w:tcPr>
            <w:tcW w:w="1530"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IMCO</w:t>
            </w:r>
          </w:p>
          <w:p w:rsidR="005A2F22" w:rsidRDefault="005A2F22">
            <w:pPr>
              <w:autoSpaceDE w:val="0"/>
              <w:autoSpaceDN w:val="0"/>
              <w:adjustRightInd w:val="0"/>
              <w:rPr>
                <w:color w:val="000000"/>
                <w:sz w:val="20"/>
              </w:rPr>
            </w:pPr>
            <w:r>
              <w:rPr>
                <w:color w:val="000000"/>
                <w:sz w:val="20"/>
              </w:rPr>
              <w:t>26.4.2021</w:t>
            </w:r>
          </w:p>
        </w:tc>
        <w:tc>
          <w:tcPr>
            <w:tcW w:w="1474"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Zpravodajové</w:t>
            </w:r>
          </w:p>
          <w:p w:rsidR="005A2F22" w:rsidRDefault="005A2F22">
            <w:pPr>
              <w:autoSpaceDE w:val="0"/>
              <w:autoSpaceDN w:val="0"/>
              <w:adjustRightInd w:val="0"/>
              <w:rPr>
                <w:color w:val="000000"/>
                <w:sz w:val="20"/>
              </w:rPr>
            </w:pPr>
            <w:r>
              <w:rPr>
                <w:color w:val="000000"/>
                <w:sz w:val="20"/>
              </w:rPr>
              <w:t>       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Irene Tinagli</w:t>
            </w:r>
          </w:p>
          <w:p w:rsidR="005A2F22" w:rsidRDefault="005A2F22">
            <w:pPr>
              <w:autoSpaceDE w:val="0"/>
              <w:autoSpaceDN w:val="0"/>
              <w:adjustRightInd w:val="0"/>
              <w:rPr>
                <w:color w:val="000000"/>
                <w:sz w:val="20"/>
              </w:rPr>
            </w:pPr>
            <w:r>
              <w:rPr>
                <w:color w:val="000000"/>
                <w:sz w:val="20"/>
              </w:rPr>
              <w:t>22.4.2021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Zjednodušený postup - datum rozhodnutí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10.5.2021</w:t>
            </w:r>
          </w:p>
        </w:tc>
      </w:tr>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10.5.2021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10.5.2021</w:t>
            </w:r>
          </w:p>
        </w:tc>
        <w:tc>
          <w:tcPr>
            <w:tcW w:w="1474"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rFonts w:ascii="sans-serif" w:hAnsi="sans-serif" w:cs="sans-serif"/>
                <w:color w:val="000000"/>
                <w:szCs w:val="24"/>
              </w:rPr>
            </w:pPr>
          </w:p>
        </w:tc>
      </w:tr>
      <w:tr w:rsidR="005A2F2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b/>
                <w:bCs/>
                <w:color w:val="000000"/>
                <w:sz w:val="20"/>
              </w:rPr>
            </w:pPr>
            <w:r>
              <w:rPr>
                <w:b/>
                <w:bCs/>
                <w:color w:val="000000"/>
                <w:sz w:val="20"/>
              </w:rPr>
              <w:t>Datum předložení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2F22" w:rsidRDefault="005A2F22">
            <w:pPr>
              <w:autoSpaceDE w:val="0"/>
              <w:autoSpaceDN w:val="0"/>
              <w:adjustRightInd w:val="0"/>
              <w:rPr>
                <w:color w:val="000000"/>
                <w:sz w:val="20"/>
              </w:rPr>
            </w:pPr>
            <w:r>
              <w:rPr>
                <w:color w:val="000000"/>
                <w:sz w:val="20"/>
              </w:rPr>
              <w:t>11.5.2021</w:t>
            </w:r>
          </w:p>
        </w:tc>
      </w:tr>
    </w:tbl>
    <w:p w:rsidR="005A2F22" w:rsidRDefault="005A2F22"/>
    <w:bookmarkEnd w:id="4"/>
    <w:p w:rsidR="002B1B1D" w:rsidRPr="005A2F22" w:rsidRDefault="002B1B1D" w:rsidP="005A2F22"/>
    <w:sectPr w:rsidR="002B1B1D" w:rsidRPr="005A2F22" w:rsidSect="00911DF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CA" w:rsidRPr="00E50CCA" w:rsidRDefault="00E50CCA">
      <w:r w:rsidRPr="00E50CCA">
        <w:separator/>
      </w:r>
    </w:p>
  </w:endnote>
  <w:endnote w:type="continuationSeparator" w:id="0">
    <w:p w:rsidR="00E50CCA" w:rsidRPr="00E50CCA" w:rsidRDefault="00E50CCA">
      <w:r w:rsidRPr="00E50C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22" w:rsidRDefault="005A2F22" w:rsidP="005A2F22">
    <w:pPr>
      <w:pStyle w:val="EPFooter"/>
    </w:pPr>
    <w:r>
      <w:t>PE</w:t>
    </w:r>
    <w:r w:rsidRPr="005A2F22">
      <w:rPr>
        <w:rStyle w:val="HideTWBExt"/>
      </w:rPr>
      <w:t>&lt;NoPE&gt;</w:t>
    </w:r>
    <w:r>
      <w:t>691.440</w:t>
    </w:r>
    <w:r w:rsidRPr="005A2F22">
      <w:rPr>
        <w:rStyle w:val="HideTWBExt"/>
      </w:rPr>
      <w:t>&lt;/NoPE&gt;&lt;Version&gt;</w:t>
    </w:r>
    <w:r>
      <w:t>v02-00</w:t>
    </w:r>
    <w:r w:rsidRPr="005A2F22">
      <w:rPr>
        <w:rStyle w:val="HideTWBExt"/>
      </w:rPr>
      <w:t>&lt;/Version&gt;</w:t>
    </w:r>
    <w:r>
      <w:tab/>
    </w:r>
    <w:r>
      <w:fldChar w:fldCharType="begin"/>
    </w:r>
    <w:r>
      <w:instrText xml:space="preserve"> PAGE  \* MERGEFORMAT </w:instrText>
    </w:r>
    <w:r>
      <w:fldChar w:fldCharType="separate"/>
    </w:r>
    <w:r w:rsidR="00D624F9">
      <w:rPr>
        <w:noProof/>
      </w:rPr>
      <w:t>6</w:t>
    </w:r>
    <w:r>
      <w:fldChar w:fldCharType="end"/>
    </w:r>
    <w:r>
      <w:t>/</w:t>
    </w:r>
    <w:fldSimple w:instr=" NUMPAGES  \* MERGEFORMAT ">
      <w:r w:rsidR="00D624F9">
        <w:rPr>
          <w:noProof/>
        </w:rPr>
        <w:t>7</w:t>
      </w:r>
    </w:fldSimple>
    <w:r>
      <w:tab/>
    </w:r>
    <w:r w:rsidRPr="005A2F22">
      <w:rPr>
        <w:rStyle w:val="HideTWBExt"/>
      </w:rPr>
      <w:t>&lt;PathFdR&gt;</w:t>
    </w:r>
    <w:r>
      <w:t>RR\1231192CS.docx</w:t>
    </w:r>
    <w:r w:rsidRPr="005A2F22">
      <w:rPr>
        <w:rStyle w:val="HideTWBExt"/>
      </w:rPr>
      <w:t>&lt;/PathFdR&gt;</w:t>
    </w:r>
  </w:p>
  <w:p w:rsidR="002F7000" w:rsidRPr="00E50CCA" w:rsidRDefault="005A2F22" w:rsidP="005A2F22">
    <w:pPr>
      <w:pStyle w:val="EP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22" w:rsidRDefault="005A2F22" w:rsidP="005A2F22">
    <w:pPr>
      <w:pStyle w:val="EPFooter"/>
    </w:pPr>
    <w:r w:rsidRPr="005A2F22">
      <w:rPr>
        <w:rStyle w:val="HideTWBExt"/>
      </w:rPr>
      <w:t>&lt;PathFdR&gt;</w:t>
    </w:r>
    <w:r>
      <w:t>RR\1231192CS.docx</w:t>
    </w:r>
    <w:r w:rsidRPr="005A2F22">
      <w:rPr>
        <w:rStyle w:val="HideTWBExt"/>
      </w:rPr>
      <w:t>&lt;/PathFdR&gt;</w:t>
    </w:r>
    <w:r>
      <w:tab/>
    </w:r>
    <w:r>
      <w:fldChar w:fldCharType="begin"/>
    </w:r>
    <w:r>
      <w:instrText xml:space="preserve"> PAGE  \* MERGEFORMAT </w:instrText>
    </w:r>
    <w:r>
      <w:fldChar w:fldCharType="separate"/>
    </w:r>
    <w:r w:rsidR="00D624F9">
      <w:rPr>
        <w:noProof/>
      </w:rPr>
      <w:t>7</w:t>
    </w:r>
    <w:r>
      <w:fldChar w:fldCharType="end"/>
    </w:r>
    <w:r>
      <w:t>/</w:t>
    </w:r>
    <w:fldSimple w:instr=" NUMPAGES  \* MERGEFORMAT ">
      <w:r w:rsidR="00D624F9">
        <w:rPr>
          <w:noProof/>
        </w:rPr>
        <w:t>7</w:t>
      </w:r>
    </w:fldSimple>
    <w:r>
      <w:tab/>
      <w:t>PE</w:t>
    </w:r>
    <w:r w:rsidRPr="005A2F22">
      <w:rPr>
        <w:rStyle w:val="HideTWBExt"/>
      </w:rPr>
      <w:t>&lt;NoPE&gt;</w:t>
    </w:r>
    <w:r>
      <w:t>691.440</w:t>
    </w:r>
    <w:r w:rsidRPr="005A2F22">
      <w:rPr>
        <w:rStyle w:val="HideTWBExt"/>
      </w:rPr>
      <w:t>&lt;/NoPE&gt;&lt;Version&gt;</w:t>
    </w:r>
    <w:r>
      <w:t>v02-00</w:t>
    </w:r>
    <w:r w:rsidRPr="005A2F22">
      <w:rPr>
        <w:rStyle w:val="HideTWBExt"/>
      </w:rPr>
      <w:t>&lt;/Version&gt;</w:t>
    </w:r>
  </w:p>
  <w:p w:rsidR="002F7000" w:rsidRPr="00E50CCA" w:rsidRDefault="005A2F22" w:rsidP="005A2F22">
    <w:pPr>
      <w:pStyle w:val="EPFooter2"/>
    </w:pPr>
    <w:r>
      <w:tab/>
    </w: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22" w:rsidRDefault="005A2F22" w:rsidP="005A2F22">
    <w:pPr>
      <w:pStyle w:val="EPFooter"/>
    </w:pPr>
    <w:r w:rsidRPr="005A2F22">
      <w:rPr>
        <w:rStyle w:val="HideTWBExt"/>
      </w:rPr>
      <w:t>&lt;PathFdR&gt;</w:t>
    </w:r>
    <w:r>
      <w:t>RR\1231192CS.docx</w:t>
    </w:r>
    <w:r w:rsidRPr="005A2F22">
      <w:rPr>
        <w:rStyle w:val="HideTWBExt"/>
      </w:rPr>
      <w:t>&lt;/PathFdR&gt;</w:t>
    </w:r>
    <w:r>
      <w:tab/>
    </w:r>
    <w:r>
      <w:tab/>
      <w:t>PE</w:t>
    </w:r>
    <w:r w:rsidRPr="005A2F22">
      <w:rPr>
        <w:rStyle w:val="HideTWBExt"/>
      </w:rPr>
      <w:t>&lt;NoPE&gt;</w:t>
    </w:r>
    <w:r>
      <w:t>691.440</w:t>
    </w:r>
    <w:r w:rsidRPr="005A2F22">
      <w:rPr>
        <w:rStyle w:val="HideTWBExt"/>
      </w:rPr>
      <w:t>&lt;/NoPE&gt;&lt;Version&gt;</w:t>
    </w:r>
    <w:r>
      <w:t>v02-00</w:t>
    </w:r>
    <w:r w:rsidRPr="005A2F22">
      <w:rPr>
        <w:rStyle w:val="HideTWBExt"/>
      </w:rPr>
      <w:t>&lt;/Version&gt;</w:t>
    </w:r>
  </w:p>
  <w:p w:rsidR="002F7000" w:rsidRPr="00E50CCA" w:rsidRDefault="005A2F22" w:rsidP="005A2F22">
    <w:pPr>
      <w:pStyle w:val="EPFooter2"/>
    </w:pPr>
    <w:r>
      <w:t>CS</w:t>
    </w:r>
    <w:r>
      <w:tab/>
    </w:r>
    <w:r w:rsidRPr="005A2F22">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CA" w:rsidRPr="00E50CCA" w:rsidRDefault="00E50CCA">
      <w:r w:rsidRPr="00E50CCA">
        <w:separator/>
      </w:r>
    </w:p>
  </w:footnote>
  <w:footnote w:type="continuationSeparator" w:id="0">
    <w:p w:rsidR="00E50CCA" w:rsidRPr="00E50CCA" w:rsidRDefault="00E50CCA">
      <w:r w:rsidRPr="00E50C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2A" w:rsidRDefault="0003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2A" w:rsidRDefault="0003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2A" w:rsidRDefault="0003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EURATOMMNU" w:val=" 3"/>
    <w:docVar w:name="ARTFEUMNU" w:val=" 1"/>
    <w:docVar w:name="AUTHORMNU" w:val=" 2"/>
    <w:docVar w:name="COMKEY" w:val="ECON"/>
    <w:docVar w:name="JURI1MNU" w:val=" 2"/>
    <w:docVar w:name="JURI2MNU" w:val=" 2"/>
    <w:docVar w:name="LastEditedSection" w:val=" 1"/>
    <w:docVar w:name="PARLIAMENTSMNU" w:val=" 2"/>
    <w:docVar w:name="strDocTypeID" w:val="PR_CNS_LegAct_app"/>
    <w:docVar w:name="strSubDir" w:val="1231"/>
    <w:docVar w:name="TITLEMNU" w:val=" 1"/>
    <w:docVar w:name="TXTLANGUE" w:val="CS"/>
    <w:docVar w:name="TXTLANGUEMIN" w:val="cs"/>
    <w:docVar w:name="TXTNRC" w:val="C9_x001e_0132/2021"/>
    <w:docVar w:name="TXTNRCNS" w:val="2021/0097"/>
    <w:docVar w:name="TXTNRCOM" w:val="COM(2021)0181"/>
    <w:docVar w:name="TXTNRPE" w:val="691.440"/>
    <w:docVar w:name="TXTPEorAP" w:val="PE"/>
    <w:docVar w:name="TXTROUTE" w:val="RR\1231192CS.docx"/>
    <w:docVar w:name="TXTVERSION" w:val="02-00"/>
  </w:docVars>
  <w:rsids>
    <w:rsidRoot w:val="00E50CCA"/>
    <w:rsid w:val="0003242A"/>
    <w:rsid w:val="00056EA7"/>
    <w:rsid w:val="000753AB"/>
    <w:rsid w:val="000C7D46"/>
    <w:rsid w:val="000E1B0C"/>
    <w:rsid w:val="00104AEE"/>
    <w:rsid w:val="001157F2"/>
    <w:rsid w:val="001907B9"/>
    <w:rsid w:val="001A06D8"/>
    <w:rsid w:val="001E5A80"/>
    <w:rsid w:val="002436D6"/>
    <w:rsid w:val="0027008F"/>
    <w:rsid w:val="002817C0"/>
    <w:rsid w:val="002B0E9D"/>
    <w:rsid w:val="002B1B1D"/>
    <w:rsid w:val="002B272A"/>
    <w:rsid w:val="002D6A8E"/>
    <w:rsid w:val="002E5810"/>
    <w:rsid w:val="002F7000"/>
    <w:rsid w:val="00302A66"/>
    <w:rsid w:val="00356F22"/>
    <w:rsid w:val="00385C3B"/>
    <w:rsid w:val="00420A29"/>
    <w:rsid w:val="00470D5E"/>
    <w:rsid w:val="00487BC1"/>
    <w:rsid w:val="004C4A0B"/>
    <w:rsid w:val="004D7B3B"/>
    <w:rsid w:val="004F549A"/>
    <w:rsid w:val="0050486E"/>
    <w:rsid w:val="005048AD"/>
    <w:rsid w:val="00543B7B"/>
    <w:rsid w:val="00566C5B"/>
    <w:rsid w:val="005A2F22"/>
    <w:rsid w:val="005C0789"/>
    <w:rsid w:val="005E7098"/>
    <w:rsid w:val="005F4E2B"/>
    <w:rsid w:val="006214A0"/>
    <w:rsid w:val="00625FE5"/>
    <w:rsid w:val="00681C69"/>
    <w:rsid w:val="006860EE"/>
    <w:rsid w:val="006C3928"/>
    <w:rsid w:val="006D7DDB"/>
    <w:rsid w:val="00796EB5"/>
    <w:rsid w:val="007B68B8"/>
    <w:rsid w:val="007D611D"/>
    <w:rsid w:val="00865B2B"/>
    <w:rsid w:val="00874129"/>
    <w:rsid w:val="008E1C2D"/>
    <w:rsid w:val="008E22DF"/>
    <w:rsid w:val="00911DF1"/>
    <w:rsid w:val="00972620"/>
    <w:rsid w:val="009C7A06"/>
    <w:rsid w:val="009D0C99"/>
    <w:rsid w:val="00A11805"/>
    <w:rsid w:val="00A32023"/>
    <w:rsid w:val="00A43E6A"/>
    <w:rsid w:val="00AD26AD"/>
    <w:rsid w:val="00AF7573"/>
    <w:rsid w:val="00B368D2"/>
    <w:rsid w:val="00B37926"/>
    <w:rsid w:val="00B37B16"/>
    <w:rsid w:val="00B8590D"/>
    <w:rsid w:val="00B8794C"/>
    <w:rsid w:val="00BB2027"/>
    <w:rsid w:val="00BD28D4"/>
    <w:rsid w:val="00BE4EC7"/>
    <w:rsid w:val="00C22C1C"/>
    <w:rsid w:val="00C54859"/>
    <w:rsid w:val="00C71A3C"/>
    <w:rsid w:val="00C82EBC"/>
    <w:rsid w:val="00C95F4F"/>
    <w:rsid w:val="00CD1A6B"/>
    <w:rsid w:val="00D33288"/>
    <w:rsid w:val="00D4037E"/>
    <w:rsid w:val="00D624F9"/>
    <w:rsid w:val="00DC3DED"/>
    <w:rsid w:val="00E44A17"/>
    <w:rsid w:val="00E45E53"/>
    <w:rsid w:val="00E50CCA"/>
    <w:rsid w:val="00E822D6"/>
    <w:rsid w:val="00E97119"/>
    <w:rsid w:val="00ED0609"/>
    <w:rsid w:val="00ED0821"/>
    <w:rsid w:val="00F10FED"/>
    <w:rsid w:val="00F4597B"/>
    <w:rsid w:val="00F803E3"/>
    <w:rsid w:val="00F978D3"/>
    <w:rsid w:val="00FC479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F0616B-774C-4A0B-93AB-3F4464DB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E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7B68B8"/>
    <w:pPr>
      <w:spacing w:before="480" w:after="240"/>
    </w:pPr>
  </w:style>
  <w:style w:type="paragraph" w:styleId="TOC1">
    <w:name w:val="toc 1"/>
    <w:basedOn w:val="Normal"/>
    <w:next w:val="Normal"/>
    <w:autoRedefine/>
    <w:uiPriority w:val="39"/>
    <w:rsid w:val="00470D5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C4A0B"/>
    <w:pPr>
      <w:spacing w:before="80" w:after="80"/>
    </w:pPr>
    <w:rPr>
      <w:rFonts w:ascii="Arial Narrow" w:hAnsi="Arial Narrow" w:cs="Arial"/>
      <w:b/>
      <w:sz w:val="32"/>
      <w:szCs w:val="22"/>
    </w:rPr>
  </w:style>
  <w:style w:type="paragraph" w:customStyle="1" w:styleId="CoverNormal24a">
    <w:name w:val="CoverNormal24a"/>
    <w:basedOn w:val="Normal"/>
    <w:rsid w:val="005C078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F549A"/>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5C078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4597B"/>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EPFooter">
    <w:name w:val="EPFooter"/>
    <w:basedOn w:val="Normal"/>
    <w:rsid w:val="005C0789"/>
    <w:pPr>
      <w:tabs>
        <w:tab w:val="center" w:pos="4535"/>
        <w:tab w:val="right" w:pos="9071"/>
      </w:tabs>
      <w:spacing w:before="240" w:after="240"/>
    </w:pPr>
    <w:rPr>
      <w:color w:val="010000"/>
      <w:sz w:val="22"/>
    </w:rPr>
  </w:style>
  <w:style w:type="character" w:styleId="PageNumber">
    <w:name w:val="page number"/>
    <w:basedOn w:val="DefaultParagraphFont"/>
    <w:semiHidden/>
    <w:rsid w:val="00865B2B"/>
  </w:style>
  <w:style w:type="character" w:customStyle="1" w:styleId="HeaderChar">
    <w:name w:val="Header Char"/>
    <w:basedOn w:val="DefaultParagraphFont"/>
    <w:link w:val="Header"/>
    <w:semiHidden/>
    <w:rsid w:val="00F4597B"/>
    <w:rPr>
      <w:sz w:val="24"/>
    </w:rPr>
  </w:style>
  <w:style w:type="paragraph" w:customStyle="1" w:styleId="Lgendesigne">
    <w:name w:val="Légende signe"/>
    <w:basedOn w:val="Normal"/>
    <w:rsid w:val="0003242A"/>
    <w:pPr>
      <w:tabs>
        <w:tab w:val="right" w:pos="454"/>
        <w:tab w:val="left" w:pos="737"/>
      </w:tabs>
      <w:ind w:left="737" w:hanging="737"/>
    </w:pPr>
    <w:rPr>
      <w:snapToGrid w:val="0"/>
      <w:sz w:val="18"/>
      <w:lang w:eastAsia="en-US"/>
    </w:rPr>
  </w:style>
  <w:style w:type="paragraph" w:customStyle="1" w:styleId="Lgendetitre">
    <w:name w:val="Légende titre"/>
    <w:basedOn w:val="Normal"/>
    <w:rsid w:val="0003242A"/>
    <w:pPr>
      <w:spacing w:before="240" w:after="240"/>
    </w:pPr>
    <w:rPr>
      <w:b/>
      <w:i/>
      <w:snapToGrid w:val="0"/>
      <w:lang w:eastAsia="en-US"/>
    </w:rPr>
  </w:style>
  <w:style w:type="paragraph" w:customStyle="1" w:styleId="Lgendestandard">
    <w:name w:val="Légende standard"/>
    <w:basedOn w:val="Normal"/>
    <w:rsid w:val="0003242A"/>
    <w:rPr>
      <w:sz w:val="18"/>
    </w:rPr>
  </w:style>
  <w:style w:type="paragraph" w:styleId="Footer">
    <w:name w:val="footer"/>
    <w:basedOn w:val="Normal"/>
    <w:link w:val="FooterChar"/>
    <w:semiHidden/>
    <w:rsid w:val="0003242A"/>
    <w:pPr>
      <w:tabs>
        <w:tab w:val="center" w:pos="4513"/>
        <w:tab w:val="right" w:pos="9026"/>
      </w:tabs>
    </w:pPr>
  </w:style>
  <w:style w:type="character" w:customStyle="1" w:styleId="FooterChar">
    <w:name w:val="Footer Char"/>
    <w:basedOn w:val="DefaultParagraphFont"/>
    <w:link w:val="Footer"/>
    <w:semiHidden/>
    <w:rsid w:val="0003242A"/>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DC11-DE34-46DA-9373-ABD8456B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910</Words>
  <Characters>5627</Characters>
  <Application>Microsoft Office Word</Application>
  <DocSecurity>0</DocSecurity>
  <Lines>208</Lines>
  <Paragraphs>112</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SOCHOROVA Lenka</dc:creator>
  <cp:keywords/>
  <dc:description/>
  <cp:lastModifiedBy>HANUSOVA Jindra</cp:lastModifiedBy>
  <cp:revision>2</cp:revision>
  <cp:lastPrinted>2004-11-04T10:10:00Z</cp:lastPrinted>
  <dcterms:created xsi:type="dcterms:W3CDTF">2021-05-12T13:58:00Z</dcterms:created>
  <dcterms:modified xsi:type="dcterms:W3CDTF">2021-05-12T13:58:00Z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1231192</vt:lpwstr>
  </property>
  <property fmtid="{D5CDD505-2E9C-101B-9397-08002B2CF9AE}" pid="5" name="&lt;Type&gt;">
    <vt:lpwstr>RR</vt:lpwstr>
  </property>
  <property fmtid="{D5CDD505-2E9C-101B-9397-08002B2CF9AE}" pid="6" name="&lt;ModelCod&gt;">
    <vt:lpwstr>\\eiciBRUpr1\pdocep$\DocEP\DOCS\General\PR\PR_Leg\CNS\CNS_LegAct\PR_CNS_LegAct_app.dotx(17/04/2020 19:27:11)</vt:lpwstr>
  </property>
  <property fmtid="{D5CDD505-2E9C-101B-9397-08002B2CF9AE}" pid="7" name="&lt;ModelTra&gt;">
    <vt:lpwstr>\\eiciBRUpr1\pdocep$\DocEP\TRANSFIL\CS\PR_CNS_LegAct_app.CS(02/09/2020 19:15:03)</vt:lpwstr>
  </property>
  <property fmtid="{D5CDD505-2E9C-101B-9397-08002B2CF9AE}" pid="8" name="&lt;Model&gt;">
    <vt:lpwstr>PR_CNS_LegAct_app</vt:lpwstr>
  </property>
  <property fmtid="{D5CDD505-2E9C-101B-9397-08002B2CF9AE}" pid="9" name="FooterPath">
    <vt:lpwstr>RR\1231192CS.docx</vt:lpwstr>
  </property>
  <property fmtid="{D5CDD505-2E9C-101B-9397-08002B2CF9AE}" pid="10" name="PE number">
    <vt:lpwstr>691.440</vt:lpwstr>
  </property>
  <property fmtid="{D5CDD505-2E9C-101B-9397-08002B2CF9AE}" pid="11" name="Bookout">
    <vt:lpwstr>OK - 2021/05/12 15:58</vt:lpwstr>
  </property>
  <property fmtid="{D5CDD505-2E9C-101B-9397-08002B2CF9AE}" pid="12" name="SDLStudio">
    <vt:lpwstr/>
  </property>
  <property fmtid="{D5CDD505-2E9C-101B-9397-08002B2CF9AE}" pid="13" name="&lt;Extension&gt;">
    <vt:lpwstr>CS</vt:lpwstr>
  </property>
</Properties>
</file>