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843F1" w:rsidRPr="00691414" w:rsidTr="00C85D0F">
        <w:trPr>
          <w:trHeight w:hRule="exact" w:val="1418"/>
        </w:trPr>
        <w:tc>
          <w:tcPr>
            <w:tcW w:w="6804" w:type="dxa"/>
            <w:shd w:val="clear" w:color="auto" w:fill="auto"/>
            <w:vAlign w:val="center"/>
          </w:tcPr>
          <w:p w:rsidR="00B843F1" w:rsidRPr="00691414" w:rsidRDefault="007E0652" w:rsidP="00C85D0F">
            <w:pPr>
              <w:pStyle w:val="EPName"/>
            </w:pPr>
            <w:r w:rsidRPr="00691414">
              <w:t>European Parliament</w:t>
            </w:r>
          </w:p>
          <w:p w:rsidR="00B843F1" w:rsidRPr="00691414" w:rsidRDefault="00F77813" w:rsidP="00F77813">
            <w:pPr>
              <w:pStyle w:val="EPTerm"/>
            </w:pPr>
            <w:r w:rsidRPr="00691414">
              <w:t>2019-2024</w:t>
            </w:r>
          </w:p>
        </w:tc>
        <w:tc>
          <w:tcPr>
            <w:tcW w:w="2268" w:type="dxa"/>
            <w:shd w:val="clear" w:color="auto" w:fill="auto"/>
          </w:tcPr>
          <w:p w:rsidR="00B843F1" w:rsidRPr="00691414" w:rsidRDefault="00B843F1" w:rsidP="00C85D0F">
            <w:pPr>
              <w:pStyle w:val="EPLogo"/>
            </w:pPr>
            <w:r w:rsidRPr="00691414">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233823" w:rsidRPr="00691414" w:rsidRDefault="00233823" w:rsidP="00233823">
      <w:pPr>
        <w:pStyle w:val="LineTop"/>
      </w:pPr>
    </w:p>
    <w:p w:rsidR="00233823" w:rsidRPr="00691414" w:rsidRDefault="00881007" w:rsidP="00233823">
      <w:pPr>
        <w:pStyle w:val="EPBody"/>
      </w:pPr>
      <w:r w:rsidRPr="00691414">
        <w:t>Plenary sitting</w:t>
      </w:r>
    </w:p>
    <w:p w:rsidR="00233823" w:rsidRPr="00691414" w:rsidRDefault="00233823" w:rsidP="00233823">
      <w:pPr>
        <w:pStyle w:val="LineBottom"/>
      </w:pPr>
    </w:p>
    <w:p w:rsidR="00C23ADB" w:rsidRPr="00691414" w:rsidRDefault="00881007">
      <w:pPr>
        <w:pStyle w:val="CoverReference"/>
      </w:pPr>
      <w:r w:rsidRPr="00691414">
        <w:rPr>
          <w:rStyle w:val="HideTWBExt"/>
          <w:noProof w:val="0"/>
        </w:rPr>
        <w:t>&lt;NoDocSe&gt;</w:t>
      </w:r>
      <w:r w:rsidR="009B1332">
        <w:t>A9-0160/2021</w:t>
      </w:r>
      <w:r w:rsidRPr="00691414">
        <w:rPr>
          <w:rStyle w:val="HideTWBExt"/>
          <w:noProof w:val="0"/>
        </w:rPr>
        <w:t>&lt;/NoDocSe&gt;</w:t>
      </w:r>
    </w:p>
    <w:p w:rsidR="00C23ADB" w:rsidRPr="009B1332" w:rsidRDefault="00C23ADB">
      <w:pPr>
        <w:pStyle w:val="CoverDate"/>
      </w:pPr>
      <w:r w:rsidRPr="009B1332">
        <w:rPr>
          <w:rStyle w:val="HideTWBExt"/>
          <w:noProof w:val="0"/>
        </w:rPr>
        <w:t>&lt;Date&gt;</w:t>
      </w:r>
      <w:r w:rsidR="00881007" w:rsidRPr="009B1332">
        <w:rPr>
          <w:rStyle w:val="HideTWBInt"/>
        </w:rPr>
        <w:t>{06/05/2021}</w:t>
      </w:r>
      <w:r w:rsidR="00881007" w:rsidRPr="009B1332">
        <w:t>6.5.2021</w:t>
      </w:r>
      <w:r w:rsidRPr="009B1332">
        <w:rPr>
          <w:rStyle w:val="HideTWBExt"/>
          <w:noProof w:val="0"/>
        </w:rPr>
        <w:t>&lt;/Date&gt;</w:t>
      </w:r>
    </w:p>
    <w:p w:rsidR="00C23ADB" w:rsidRPr="009B1332" w:rsidRDefault="00C23ADB">
      <w:pPr>
        <w:pStyle w:val="CoverDocType24a"/>
      </w:pPr>
      <w:r w:rsidRPr="009B1332">
        <w:rPr>
          <w:rStyle w:val="HideTWBExt"/>
          <w:b w:val="0"/>
          <w:noProof w:val="0"/>
        </w:rPr>
        <w:t>&lt;TitreType&gt;</w:t>
      </w:r>
      <w:r w:rsidR="00881007" w:rsidRPr="009B1332">
        <w:t>REPORT</w:t>
      </w:r>
      <w:r w:rsidRPr="009B1332">
        <w:rPr>
          <w:rStyle w:val="HideTWBExt"/>
          <w:b w:val="0"/>
          <w:noProof w:val="0"/>
        </w:rPr>
        <w:t>&lt;/TitreType&gt;</w:t>
      </w:r>
    </w:p>
    <w:p w:rsidR="00C23ADB" w:rsidRPr="00691414" w:rsidRDefault="00C23ADB">
      <w:pPr>
        <w:pStyle w:val="CoverNormal"/>
      </w:pPr>
      <w:r w:rsidRPr="00691414">
        <w:rPr>
          <w:rStyle w:val="HideTWBExt"/>
          <w:noProof w:val="0"/>
        </w:rPr>
        <w:t>&lt;Titre&gt;</w:t>
      </w:r>
      <w:r w:rsidR="00F77813" w:rsidRPr="00691414">
        <w:t xml:space="preserve">on the Council position on Draft amending budget No 2/2021 of the European Union for the financial year 2021 - financing the COVID-19 response and including refinements and updates related to the final adoption of the Multiannual Financial Framework </w:t>
      </w:r>
      <w:r w:rsidRPr="00691414">
        <w:rPr>
          <w:rStyle w:val="HideTWBExt"/>
          <w:noProof w:val="0"/>
        </w:rPr>
        <w:t>&lt;/Titre&gt;</w:t>
      </w:r>
    </w:p>
    <w:p w:rsidR="00C23ADB" w:rsidRPr="00691414" w:rsidRDefault="00C23ADB">
      <w:pPr>
        <w:pStyle w:val="CoverNormal24a"/>
      </w:pPr>
      <w:r w:rsidRPr="00691414">
        <w:rPr>
          <w:rStyle w:val="HideTWBExt"/>
          <w:noProof w:val="0"/>
        </w:rPr>
        <w:t>&lt;DocRef&gt;</w:t>
      </w:r>
      <w:r w:rsidR="007E0652" w:rsidRPr="00691414">
        <w:t>(</w:t>
      </w:r>
      <w:r w:rsidR="00F77813" w:rsidRPr="00691414">
        <w:t>00000/2021</w:t>
      </w:r>
      <w:r w:rsidR="007E0652" w:rsidRPr="00691414">
        <w:t xml:space="preserve"> </w:t>
      </w:r>
      <w:r w:rsidR="00F77813" w:rsidRPr="00691414">
        <w:t>–</w:t>
      </w:r>
      <w:r w:rsidR="007E0652" w:rsidRPr="00691414">
        <w:t xml:space="preserve"> </w:t>
      </w:r>
      <w:r w:rsidR="00F77813" w:rsidRPr="00691414">
        <w:t>C9</w:t>
      </w:r>
      <w:r w:rsidR="00F77813" w:rsidRPr="00691414">
        <w:noBreakHyphen/>
        <w:t>0000/2021</w:t>
      </w:r>
      <w:r w:rsidR="007E0652" w:rsidRPr="00691414">
        <w:t xml:space="preserve"> </w:t>
      </w:r>
      <w:r w:rsidR="00F77813" w:rsidRPr="00691414">
        <w:t>–</w:t>
      </w:r>
      <w:r w:rsidR="007E0652" w:rsidRPr="00691414">
        <w:t xml:space="preserve"> </w:t>
      </w:r>
      <w:r w:rsidR="00F77813" w:rsidRPr="00691414">
        <w:t>2021/0078</w:t>
      </w:r>
      <w:r w:rsidR="007E0652" w:rsidRPr="00691414">
        <w:t>(BUD))</w:t>
      </w:r>
      <w:r w:rsidR="00585EFA" w:rsidRPr="00691414">
        <w:rPr>
          <w:rStyle w:val="HideTWBExt"/>
          <w:noProof w:val="0"/>
        </w:rPr>
        <w:t>&lt;/DocRef&gt;</w:t>
      </w:r>
    </w:p>
    <w:p w:rsidR="00C23ADB" w:rsidRPr="00691414" w:rsidRDefault="00C23ADB" w:rsidP="00702830">
      <w:pPr>
        <w:pStyle w:val="CoverNormal24a"/>
      </w:pPr>
      <w:r w:rsidRPr="00691414">
        <w:rPr>
          <w:rStyle w:val="HideTWBExt"/>
          <w:noProof w:val="0"/>
        </w:rPr>
        <w:t>&lt;Commission&gt;</w:t>
      </w:r>
      <w:r w:rsidRPr="00691414">
        <w:rPr>
          <w:rStyle w:val="HideTWBInt"/>
        </w:rPr>
        <w:t>{BUDG}</w:t>
      </w:r>
      <w:r w:rsidR="007E0652" w:rsidRPr="00691414">
        <w:t>Committee on Budgets</w:t>
      </w:r>
      <w:r w:rsidRPr="00691414">
        <w:rPr>
          <w:rStyle w:val="HideTWBExt"/>
          <w:noProof w:val="0"/>
        </w:rPr>
        <w:t>&lt;/Commission&gt;</w:t>
      </w:r>
    </w:p>
    <w:p w:rsidR="00C23ADB" w:rsidRPr="00F17674" w:rsidRDefault="007E0652">
      <w:pPr>
        <w:pStyle w:val="CoverNormal24a"/>
        <w:rPr>
          <w:lang w:val="fr-BE"/>
        </w:rPr>
      </w:pPr>
      <w:r w:rsidRPr="00F17674">
        <w:rPr>
          <w:lang w:val="fr-BE"/>
        </w:rPr>
        <w:t>Rapporteur:</w:t>
      </w:r>
      <w:r w:rsidR="00C23ADB" w:rsidRPr="00F17674">
        <w:rPr>
          <w:lang w:val="fr-BE"/>
        </w:rPr>
        <w:t xml:space="preserve"> </w:t>
      </w:r>
      <w:r w:rsidR="00C23ADB" w:rsidRPr="00F17674">
        <w:rPr>
          <w:rStyle w:val="HideTWBExt"/>
          <w:noProof w:val="0"/>
          <w:lang w:val="fr-BE"/>
        </w:rPr>
        <w:t>&lt;Depute&gt;</w:t>
      </w:r>
      <w:r w:rsidR="00F77813" w:rsidRPr="00F17674">
        <w:rPr>
          <w:lang w:val="fr-BE"/>
        </w:rPr>
        <w:t>Pierre Larrouturou</w:t>
      </w:r>
      <w:r w:rsidR="00C23ADB" w:rsidRPr="00F17674">
        <w:rPr>
          <w:rStyle w:val="HideTWBExt"/>
          <w:noProof w:val="0"/>
          <w:lang w:val="fr-BE"/>
        </w:rPr>
        <w:t>&lt;/Depute&gt;</w:t>
      </w:r>
    </w:p>
    <w:p w:rsidR="008D3A88" w:rsidRPr="00F17674" w:rsidRDefault="008D3A88" w:rsidP="008D3A88">
      <w:pPr>
        <w:pStyle w:val="CoverNormal"/>
        <w:rPr>
          <w:lang w:val="fr-BE"/>
        </w:rPr>
      </w:pPr>
    </w:p>
    <w:p w:rsidR="00C23ADB" w:rsidRPr="009B1332" w:rsidRDefault="00C23ADB" w:rsidP="0057259B">
      <w:pPr>
        <w:rPr>
          <w:lang w:val="fr-BE"/>
        </w:rPr>
      </w:pPr>
      <w:r w:rsidRPr="00F17674">
        <w:rPr>
          <w:lang w:val="fr-BE"/>
        </w:rPr>
        <w:br w:type="page"/>
      </w:r>
      <w:r w:rsidR="007E0652" w:rsidRPr="009B1332">
        <w:rPr>
          <w:lang w:val="fr-BE"/>
        </w:rPr>
        <w:lastRenderedPageBreak/>
        <w:t>PR_BUD_DABapp</w:t>
      </w:r>
    </w:p>
    <w:p w:rsidR="00C23ADB" w:rsidRPr="00691414" w:rsidRDefault="007E0652">
      <w:pPr>
        <w:pStyle w:val="TOCHeading"/>
      </w:pPr>
      <w:r w:rsidRPr="00691414">
        <w:t>CONTENTS</w:t>
      </w:r>
    </w:p>
    <w:p w:rsidR="00C23ADB" w:rsidRPr="00691414" w:rsidRDefault="007E0652">
      <w:pPr>
        <w:pStyle w:val="TOCPage"/>
      </w:pPr>
      <w:r w:rsidRPr="00691414">
        <w:t>Page</w:t>
      </w:r>
    </w:p>
    <w:p w:rsidR="009B1332" w:rsidRDefault="00C96001">
      <w:pPr>
        <w:pStyle w:val="TOC1"/>
        <w:tabs>
          <w:tab w:val="right" w:leader="dot" w:pos="9060"/>
        </w:tabs>
        <w:rPr>
          <w:rFonts w:asciiTheme="minorHAnsi" w:eastAsiaTheme="minorEastAsia" w:hAnsiTheme="minorHAnsi" w:cstheme="minorBidi"/>
          <w:noProof/>
          <w:sz w:val="22"/>
          <w:szCs w:val="22"/>
        </w:rPr>
      </w:pPr>
      <w:r w:rsidRPr="00691414">
        <w:fldChar w:fldCharType="begin"/>
      </w:r>
      <w:r w:rsidRPr="00691414">
        <w:instrText xml:space="preserve"> TOC \t "PageHeading</w:instrText>
      </w:r>
      <w:r w:rsidR="00247E1E">
        <w:instrText>;</w:instrText>
      </w:r>
      <w:r w:rsidRPr="00691414">
        <w:instrText xml:space="preserve">1" </w:instrText>
      </w:r>
      <w:r w:rsidRPr="00691414">
        <w:fldChar w:fldCharType="separate"/>
      </w:r>
      <w:r w:rsidR="009B1332">
        <w:rPr>
          <w:noProof/>
        </w:rPr>
        <w:t>MOTION FOR A EUROPEAN PARLIAMENT RESOLUTION</w:t>
      </w:r>
      <w:r w:rsidR="009B1332">
        <w:rPr>
          <w:noProof/>
        </w:rPr>
        <w:tab/>
      </w:r>
      <w:r w:rsidR="009B1332">
        <w:rPr>
          <w:noProof/>
        </w:rPr>
        <w:fldChar w:fldCharType="begin"/>
      </w:r>
      <w:r w:rsidR="009B1332">
        <w:rPr>
          <w:noProof/>
        </w:rPr>
        <w:instrText xml:space="preserve"> PAGEREF _Toc71712813 \h </w:instrText>
      </w:r>
      <w:r w:rsidR="009B1332">
        <w:rPr>
          <w:noProof/>
        </w:rPr>
      </w:r>
      <w:r w:rsidR="009B1332">
        <w:rPr>
          <w:noProof/>
        </w:rPr>
        <w:fldChar w:fldCharType="separate"/>
      </w:r>
      <w:r w:rsidR="009B1332">
        <w:rPr>
          <w:noProof/>
        </w:rPr>
        <w:t>3</w:t>
      </w:r>
      <w:r w:rsidR="009B1332">
        <w:rPr>
          <w:noProof/>
        </w:rPr>
        <w:fldChar w:fldCharType="end"/>
      </w:r>
    </w:p>
    <w:p w:rsidR="009B1332" w:rsidRDefault="009B1332">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_Toc71712814 \h </w:instrText>
      </w:r>
      <w:r>
        <w:rPr>
          <w:noProof/>
        </w:rPr>
      </w:r>
      <w:r>
        <w:rPr>
          <w:noProof/>
        </w:rPr>
        <w:fldChar w:fldCharType="separate"/>
      </w:r>
      <w:r>
        <w:rPr>
          <w:noProof/>
        </w:rPr>
        <w:t>7</w:t>
      </w:r>
      <w:r>
        <w:rPr>
          <w:noProof/>
        </w:rPr>
        <w:fldChar w:fldCharType="end"/>
      </w:r>
    </w:p>
    <w:p w:rsidR="009B1332" w:rsidRDefault="009B1332">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_Toc71712815 \h </w:instrText>
      </w:r>
      <w:r>
        <w:rPr>
          <w:noProof/>
        </w:rPr>
      </w:r>
      <w:r>
        <w:rPr>
          <w:noProof/>
        </w:rPr>
        <w:fldChar w:fldCharType="separate"/>
      </w:r>
      <w:r>
        <w:rPr>
          <w:noProof/>
        </w:rPr>
        <w:t>8</w:t>
      </w:r>
      <w:r>
        <w:rPr>
          <w:noProof/>
        </w:rPr>
        <w:fldChar w:fldCharType="end"/>
      </w:r>
    </w:p>
    <w:p w:rsidR="00C23ADB" w:rsidRPr="00691414" w:rsidRDefault="00C96001" w:rsidP="0057259B">
      <w:r w:rsidRPr="00691414">
        <w:fldChar w:fldCharType="end"/>
      </w:r>
    </w:p>
    <w:p w:rsidR="00C23ADB" w:rsidRPr="00691414" w:rsidRDefault="00C23ADB" w:rsidP="00C96001">
      <w:pPr>
        <w:pStyle w:val="PageHeading"/>
      </w:pPr>
      <w:r w:rsidRPr="00691414">
        <w:br w:type="page"/>
      </w:r>
      <w:bookmarkStart w:id="0" w:name="_Toc71712813"/>
      <w:r w:rsidR="007E0652" w:rsidRPr="00691414">
        <w:lastRenderedPageBreak/>
        <w:t>MOTION FOR A EUROPEAN PARLIAMENT RESOLUTION</w:t>
      </w:r>
      <w:bookmarkEnd w:id="0"/>
    </w:p>
    <w:p w:rsidR="00C23ADB" w:rsidRPr="00691414" w:rsidRDefault="007E0652">
      <w:pPr>
        <w:pStyle w:val="NormalBold"/>
      </w:pPr>
      <w:r w:rsidRPr="00691414">
        <w:t>on the Council position on Draft amending budget No </w:t>
      </w:r>
      <w:r w:rsidR="00F77813" w:rsidRPr="00691414">
        <w:t>2</w:t>
      </w:r>
      <w:r w:rsidRPr="00691414">
        <w:t>/</w:t>
      </w:r>
      <w:r w:rsidR="00F77813" w:rsidRPr="00691414">
        <w:t>2021</w:t>
      </w:r>
      <w:r w:rsidRPr="00691414">
        <w:t xml:space="preserve"> of the European Union for the financial year </w:t>
      </w:r>
      <w:r w:rsidR="00F77813" w:rsidRPr="00691414">
        <w:t>2021</w:t>
      </w:r>
      <w:r w:rsidRPr="00691414">
        <w:t xml:space="preserve">, Section </w:t>
      </w:r>
      <w:r w:rsidR="00F77813" w:rsidRPr="00691414">
        <w:t>III – Commission</w:t>
      </w:r>
    </w:p>
    <w:p w:rsidR="00C23ADB" w:rsidRPr="00691414" w:rsidRDefault="007E0652" w:rsidP="0057259B">
      <w:pPr>
        <w:pStyle w:val="NormalBold"/>
      </w:pPr>
      <w:r w:rsidRPr="00691414">
        <w:t>(</w:t>
      </w:r>
      <w:r w:rsidR="00F77813" w:rsidRPr="00691414">
        <w:t>00000/2021</w:t>
      </w:r>
      <w:r w:rsidRPr="00691414">
        <w:t xml:space="preserve"> </w:t>
      </w:r>
      <w:r w:rsidR="00F77813" w:rsidRPr="00691414">
        <w:t>–</w:t>
      </w:r>
      <w:r w:rsidRPr="00691414">
        <w:t xml:space="preserve"> </w:t>
      </w:r>
      <w:r w:rsidR="00F77813" w:rsidRPr="00691414">
        <w:t>C9</w:t>
      </w:r>
      <w:r w:rsidR="00F77813" w:rsidRPr="00691414">
        <w:noBreakHyphen/>
        <w:t>0000/2021</w:t>
      </w:r>
      <w:r w:rsidRPr="00691414">
        <w:t xml:space="preserve"> </w:t>
      </w:r>
      <w:r w:rsidR="00F77813" w:rsidRPr="00691414">
        <w:t>–</w:t>
      </w:r>
      <w:r w:rsidRPr="00691414">
        <w:t xml:space="preserve"> </w:t>
      </w:r>
      <w:r w:rsidR="00F77813" w:rsidRPr="00691414">
        <w:t>2021/0078</w:t>
      </w:r>
      <w:r w:rsidRPr="00691414">
        <w:t>(BUD))</w:t>
      </w:r>
    </w:p>
    <w:p w:rsidR="00F77813" w:rsidRPr="00691414" w:rsidRDefault="00F77813" w:rsidP="00F77813">
      <w:pPr>
        <w:pStyle w:val="EPComma"/>
      </w:pPr>
      <w:r w:rsidRPr="00691414">
        <w:rPr>
          <w:i/>
        </w:rPr>
        <w:t>The European Parliament</w:t>
      </w:r>
      <w:r w:rsidRPr="00691414">
        <w:t>,</w:t>
      </w:r>
    </w:p>
    <w:p w:rsidR="00F77813" w:rsidRPr="00691414" w:rsidRDefault="00F77813" w:rsidP="00F77813">
      <w:pPr>
        <w:pStyle w:val="NormalHanging12a"/>
      </w:pPr>
      <w:r w:rsidRPr="00691414">
        <w:t>–</w:t>
      </w:r>
      <w:r w:rsidRPr="00691414">
        <w:tab/>
        <w:t>having regard to Article 314 of the Treaty on the Functioning of the European Union,</w:t>
      </w:r>
    </w:p>
    <w:p w:rsidR="00F77813" w:rsidRPr="00691414" w:rsidRDefault="00F77813" w:rsidP="00F77813">
      <w:pPr>
        <w:pStyle w:val="NormalHanging12a"/>
      </w:pPr>
      <w:r w:rsidRPr="00691414">
        <w:t>–</w:t>
      </w:r>
      <w:r w:rsidRPr="00691414">
        <w:tab/>
        <w:t>having regard to Article 106a of the Treaty establishing the European Atomic Energy Community,</w:t>
      </w:r>
    </w:p>
    <w:p w:rsidR="00F77813" w:rsidRPr="00691414" w:rsidRDefault="00F77813" w:rsidP="00F77813">
      <w:pPr>
        <w:pStyle w:val="NormalHanging12a"/>
      </w:pPr>
      <w:r w:rsidRPr="00691414">
        <w:t>–</w:t>
      </w:r>
      <w:r w:rsidRPr="00691414">
        <w:tab/>
        <w:t>having regard to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Pr="00691414">
        <w:rPr>
          <w:rStyle w:val="FootnoteReference"/>
        </w:rPr>
        <w:footnoteReference w:id="1"/>
      </w:r>
      <w:r w:rsidRPr="00691414">
        <w:t>, and in particular Article 44 thereof,</w:t>
      </w:r>
    </w:p>
    <w:p w:rsidR="00F77813" w:rsidRPr="00691414" w:rsidRDefault="00F77813" w:rsidP="00F77813">
      <w:pPr>
        <w:pStyle w:val="NormalHanging12a"/>
      </w:pPr>
      <w:r w:rsidRPr="00691414">
        <w:t>–</w:t>
      </w:r>
      <w:r w:rsidRPr="00691414">
        <w:tab/>
        <w:t>having regard to the general budget of the European Union for the financial year 2021, as definitively adopted on 18 December 2020</w:t>
      </w:r>
      <w:r w:rsidRPr="00691414">
        <w:rPr>
          <w:rStyle w:val="FootnoteReference"/>
        </w:rPr>
        <w:footnoteReference w:id="2"/>
      </w:r>
      <w:r w:rsidRPr="00691414">
        <w:t>,</w:t>
      </w:r>
    </w:p>
    <w:p w:rsidR="00F77813" w:rsidRPr="00691414" w:rsidRDefault="00F77813" w:rsidP="00F77813">
      <w:pPr>
        <w:pStyle w:val="NormalHanging12a"/>
      </w:pPr>
      <w:r w:rsidRPr="00691414">
        <w:t>–</w:t>
      </w:r>
      <w:r w:rsidRPr="00691414">
        <w:tab/>
        <w:t>having regard to Council Regulation (EU, Euratom) No 2020/2093 of 17 December 2020 laying down the multiannual financial framework for the years 2021 to 2027</w:t>
      </w:r>
      <w:r w:rsidRPr="00691414">
        <w:rPr>
          <w:rStyle w:val="FootnoteReference"/>
        </w:rPr>
        <w:footnoteReference w:id="3"/>
      </w:r>
      <w:r w:rsidRPr="00691414">
        <w:t xml:space="preserve"> (MFF Regulation),</w:t>
      </w:r>
    </w:p>
    <w:p w:rsidR="00F77813" w:rsidRPr="00691414" w:rsidRDefault="00F77813" w:rsidP="00F77813">
      <w:pPr>
        <w:pStyle w:val="NormalHanging12a"/>
      </w:pPr>
      <w:r w:rsidRPr="00691414">
        <w:t>–</w:t>
      </w:r>
      <w:r w:rsidRPr="00691414">
        <w:tab/>
        <w:t>having regard to the Interinstitutional Agreement of 16 December 2020 between the European Parliament, the Council and the Commission on budgetary discipline, on cooperation in budgetary matters and on sound financial management, as well as on new own resources, including a roadmap towards the introduction of new own resources</w:t>
      </w:r>
      <w:r w:rsidRPr="00691414">
        <w:rPr>
          <w:rStyle w:val="FootnoteReference"/>
        </w:rPr>
        <w:footnoteReference w:id="4"/>
      </w:r>
      <w:r w:rsidRPr="00691414">
        <w:t>,</w:t>
      </w:r>
    </w:p>
    <w:p w:rsidR="00F77813" w:rsidRPr="00691414" w:rsidRDefault="00F77813" w:rsidP="00F77813">
      <w:pPr>
        <w:pStyle w:val="NormalHanging12a"/>
      </w:pPr>
      <w:r w:rsidRPr="00691414">
        <w:t>–</w:t>
      </w:r>
      <w:r w:rsidRPr="00691414">
        <w:tab/>
        <w:t>having regard to Council Decision 2020/2053/EU, Euratom of 14 December 2020 on the system of own resources of the European Union</w:t>
      </w:r>
      <w:r w:rsidRPr="00691414">
        <w:rPr>
          <w:rStyle w:val="FootnoteReference"/>
        </w:rPr>
        <w:footnoteReference w:id="5"/>
      </w:r>
      <w:r w:rsidRPr="00691414">
        <w:t>,</w:t>
      </w:r>
    </w:p>
    <w:p w:rsidR="00F77813" w:rsidRPr="00691414" w:rsidRDefault="00F77813" w:rsidP="00F77813">
      <w:pPr>
        <w:pStyle w:val="NormalHanging12a"/>
      </w:pPr>
      <w:r w:rsidRPr="00691414">
        <w:t>–</w:t>
      </w:r>
      <w:r w:rsidRPr="00691414">
        <w:tab/>
        <w:t>having regard to Draft amending budget No 2/2021, which the Commission adopted on 24 March 2021 (COM(2021)0200),</w:t>
      </w:r>
    </w:p>
    <w:p w:rsidR="00F77813" w:rsidRPr="00691414" w:rsidRDefault="00F77813" w:rsidP="00F77813">
      <w:pPr>
        <w:pStyle w:val="NormalHanging12a"/>
      </w:pPr>
      <w:r w:rsidRPr="00691414">
        <w:t>–</w:t>
      </w:r>
      <w:r w:rsidRPr="00691414">
        <w:tab/>
        <w:t>having regard to the position on Draft amending budget No 2/2021 which the Council adopted on ... and forwarded to Parliament on ... (00000/2021 – C9</w:t>
      </w:r>
      <w:r w:rsidRPr="00691414">
        <w:noBreakHyphen/>
        <w:t>0000),</w:t>
      </w:r>
    </w:p>
    <w:p w:rsidR="00F77813" w:rsidRPr="00691414" w:rsidRDefault="00F77813" w:rsidP="00F77813">
      <w:pPr>
        <w:pStyle w:val="NormalHanging12a"/>
      </w:pPr>
      <w:r w:rsidRPr="00691414">
        <w:lastRenderedPageBreak/>
        <w:t>–</w:t>
      </w:r>
      <w:r w:rsidRPr="00691414">
        <w:tab/>
        <w:t>having regard to Rule 94 and 96 of its Rules of Procedure,</w:t>
      </w:r>
    </w:p>
    <w:p w:rsidR="00F77813" w:rsidRPr="00691414" w:rsidRDefault="00F77813" w:rsidP="00F77813">
      <w:pPr>
        <w:pStyle w:val="NormalHanging12a"/>
      </w:pPr>
      <w:r w:rsidRPr="00691414">
        <w:t>–</w:t>
      </w:r>
      <w:r w:rsidRPr="00691414">
        <w:tab/>
        <w:t>having regard to the report of the Committee on Budgets (</w:t>
      </w:r>
      <w:r w:rsidR="009B1332">
        <w:t>A9-0160/2021</w:t>
      </w:r>
      <w:r w:rsidRPr="00691414">
        <w:t>),</w:t>
      </w:r>
    </w:p>
    <w:p w:rsidR="00F77813" w:rsidRPr="00691414" w:rsidRDefault="00F77813" w:rsidP="00F77813">
      <w:pPr>
        <w:pStyle w:val="NormalHanging12a"/>
      </w:pPr>
      <w:r w:rsidRPr="00691414">
        <w:t>A.</w:t>
      </w:r>
      <w:r w:rsidRPr="00691414">
        <w:tab/>
        <w:t>whereas the purpose of the Commission proposal is principally twofold: on one hand, to provide additional funding for the prevention, preparedness and response to the COVID-19 pandemic, safe and sustained re-opening and potential impact of further European initiatives related to the COVID-19 response; on the other hand, to introduce technical changes stemming from the political agreements on sectoral legal bases following the adoption of the M</w:t>
      </w:r>
      <w:r w:rsidR="00FD11E1" w:rsidRPr="00691414">
        <w:t xml:space="preserve">ultiannual </w:t>
      </w:r>
      <w:r w:rsidRPr="00691414">
        <w:t>F</w:t>
      </w:r>
      <w:r w:rsidR="00FD11E1" w:rsidRPr="00691414">
        <w:t xml:space="preserve">inancial </w:t>
      </w:r>
      <w:r w:rsidRPr="00691414">
        <w:t>F</w:t>
      </w:r>
      <w:r w:rsidR="00FD11E1" w:rsidRPr="00691414">
        <w:t>ramework (MFF)</w:t>
      </w:r>
      <w:r w:rsidRPr="00691414">
        <w:t xml:space="preserve"> in December 2020, as well as adjustments in relation to the provisioning of the External Action Guarantee; moreover, it proposes to carry over the amount of EUR 47 981 598 from the unused 2020 allocation of the EU Solidarity Fund (EUSF) directly to the EUSF operational budget line and to operate other adjustments and technical updates;</w:t>
      </w:r>
    </w:p>
    <w:p w:rsidR="00F77813" w:rsidRPr="00691414" w:rsidRDefault="00F77813" w:rsidP="00F77813">
      <w:pPr>
        <w:pStyle w:val="NormalHanging12a"/>
      </w:pPr>
      <w:r w:rsidRPr="00691414">
        <w:t>B.</w:t>
      </w:r>
      <w:r w:rsidRPr="00691414">
        <w:tab/>
        <w:t xml:space="preserve">whereas the net effect of the proposal on expenditure in the 2021 budget is an amount of EUR 260 681 598 in commitment and EUR 252 581 598 in payment appropriations, </w:t>
      </w:r>
    </w:p>
    <w:p w:rsidR="00F77813" w:rsidRPr="00691414" w:rsidRDefault="00184321" w:rsidP="00F77813">
      <w:pPr>
        <w:pStyle w:val="NormalHanging12a"/>
      </w:pPr>
      <w:r w:rsidRPr="00691414">
        <w:t>C</w:t>
      </w:r>
      <w:r w:rsidR="00F77813" w:rsidRPr="00691414">
        <w:t>.</w:t>
      </w:r>
      <w:r w:rsidR="00F77813" w:rsidRPr="00691414">
        <w:tab/>
        <w:t xml:space="preserve">whereas Parliament has repeatedly considered that a draft amending budget should follow one purpose only, </w:t>
      </w:r>
    </w:p>
    <w:p w:rsidR="00F77813" w:rsidRPr="00691414" w:rsidRDefault="00F77813" w:rsidP="00F77813">
      <w:pPr>
        <w:pStyle w:val="NormalHanging12a"/>
      </w:pPr>
      <w:r w:rsidRPr="00691414">
        <w:t>1.</w:t>
      </w:r>
      <w:r w:rsidRPr="00691414">
        <w:tab/>
        <w:t>Takes note of Draft amending budget No 2/2021 as submitted by the Commission</w:t>
      </w:r>
      <w:r w:rsidRPr="00691414">
        <w:rPr>
          <w:sz w:val="23"/>
          <w:szCs w:val="23"/>
        </w:rPr>
        <w:t xml:space="preserve">; </w:t>
      </w:r>
    </w:p>
    <w:p w:rsidR="00F77813" w:rsidRPr="00691414" w:rsidRDefault="00F77813" w:rsidP="00F77813">
      <w:pPr>
        <w:pStyle w:val="NormalHanging12a"/>
      </w:pPr>
      <w:r w:rsidRPr="00691414">
        <w:t>2.</w:t>
      </w:r>
      <w:r w:rsidRPr="00691414">
        <w:tab/>
        <w:t>Stresses its full support for a robust Union response to the COVID-19 pandemic; reiterates its view that no effort should be spared, including through all available possibilities under the Union budget and the Financial regulation, to fight the pandemic and pave the way for a safe and sustained recovery in Europe;</w:t>
      </w:r>
    </w:p>
    <w:p w:rsidR="00F77813" w:rsidRPr="00691414" w:rsidRDefault="00F77813" w:rsidP="00F77813">
      <w:pPr>
        <w:pStyle w:val="NormalHanging12a"/>
      </w:pPr>
      <w:r w:rsidRPr="00691414">
        <w:t>3.</w:t>
      </w:r>
      <w:r w:rsidRPr="00691414">
        <w:tab/>
        <w:t xml:space="preserve">Regrets that the Commission decided, in spite of Parliament’s insistence, to present together elements related to COVID-19 pandemic with the part related to the alignment with the MFF programmes’ legal bases which could and should have been treated separately; reiterates that, to better respect the prerogative of the budgetary authority, the Commission should present a draft amending budget for one purpose only and refrain from combining several purposes in one draft amending budget; </w:t>
      </w:r>
    </w:p>
    <w:p w:rsidR="003246C8" w:rsidRPr="00691414" w:rsidRDefault="00706878" w:rsidP="003246C8">
      <w:pPr>
        <w:pStyle w:val="NormalHanging12a"/>
        <w:rPr>
          <w:szCs w:val="24"/>
        </w:rPr>
      </w:pPr>
      <w:r w:rsidRPr="00691414">
        <w:t>4</w:t>
      </w:r>
      <w:r w:rsidR="003246C8" w:rsidRPr="00691414">
        <w:tab/>
        <w:t>Insists that the adoption of the Draft Amending Budget 2/2021, allowing, notably, the start of preparatory work to establish a common framework for a Digital Green Certificate, does not prejudge in any way the outcome of the negotiations between the Parliament and the Council on the Green digital certificate Regulation;</w:t>
      </w:r>
    </w:p>
    <w:p w:rsidR="00F77813" w:rsidRPr="00691414" w:rsidRDefault="00706878" w:rsidP="00F77813">
      <w:pPr>
        <w:pStyle w:val="NormalHanging12a"/>
      </w:pPr>
      <w:r w:rsidRPr="00691414">
        <w:t>5</w:t>
      </w:r>
      <w:r w:rsidR="00F77813" w:rsidRPr="00691414">
        <w:t>.</w:t>
      </w:r>
      <w:r w:rsidR="00F77813" w:rsidRPr="00691414">
        <w:tab/>
        <w:t>Considers that the Commission has not followed up properly on the result of the negotiations of the Neighbourhood, Development and International Cooperation Instrument - Global Europe when it comes to the budget nomenclature for geographic programmes in Asia; asks the Commission to present a new draft amending budget reflecting the agreed texts of the sectoral legal bases; in line with its guidelines for the 2022 budget, insists that such a harmonisation could and should be carried out ahead of the 2022 budgetary procedure;</w:t>
      </w:r>
    </w:p>
    <w:p w:rsidR="003246C8" w:rsidRPr="00691414" w:rsidRDefault="00706878" w:rsidP="003246C8">
      <w:pPr>
        <w:pStyle w:val="NormalHanging12a"/>
        <w:rPr>
          <w:szCs w:val="24"/>
        </w:rPr>
      </w:pPr>
      <w:r w:rsidRPr="00691414">
        <w:t>6</w:t>
      </w:r>
      <w:r w:rsidR="003246C8" w:rsidRPr="00691414">
        <w:t xml:space="preserve">. </w:t>
      </w:r>
      <w:r w:rsidR="003246C8" w:rsidRPr="00691414">
        <w:rPr>
          <w:b/>
          <w:i/>
        </w:rPr>
        <w:tab/>
      </w:r>
      <w:r w:rsidR="003246C8" w:rsidRPr="00691414">
        <w:t xml:space="preserve">Asks the Commission to provide the two arms of the budgetary authority with comprehensive information about the planned autonomous transfers, carried in </w:t>
      </w:r>
      <w:r w:rsidR="003246C8" w:rsidRPr="00691414">
        <w:lastRenderedPageBreak/>
        <w:t xml:space="preserve">accordance with Article 30 of the Financial Regulation, aimed at adjusting the budget 2021 in relation with the political agreements on MFF sectoral legal bases on top of the Draft Amending Budget No 2/2021, </w:t>
      </w:r>
      <w:r w:rsidR="003246C8" w:rsidRPr="00691414">
        <w:rPr>
          <w:bCs/>
          <w:iCs/>
        </w:rPr>
        <w:t>including their amounts when available</w:t>
      </w:r>
      <w:r w:rsidR="003246C8" w:rsidRPr="00691414">
        <w:t>;</w:t>
      </w:r>
    </w:p>
    <w:p w:rsidR="00F77813" w:rsidRPr="00691414" w:rsidRDefault="00706878" w:rsidP="00F77813">
      <w:pPr>
        <w:pStyle w:val="NormalHanging12a"/>
      </w:pPr>
      <w:r w:rsidRPr="00691414">
        <w:t>7</w:t>
      </w:r>
      <w:r w:rsidR="00F77813" w:rsidRPr="00691414">
        <w:t>.</w:t>
      </w:r>
      <w:r w:rsidR="00F77813" w:rsidRPr="00691414">
        <w:tab/>
        <w:t>Approves the Council position on Draft amending budget No 2/2021;</w:t>
      </w:r>
    </w:p>
    <w:p w:rsidR="00F77813" w:rsidRPr="00691414" w:rsidRDefault="00706878" w:rsidP="00F77813">
      <w:pPr>
        <w:pStyle w:val="NormalHanging12a"/>
      </w:pPr>
      <w:r w:rsidRPr="00691414">
        <w:t>8</w:t>
      </w:r>
      <w:r w:rsidR="00F77813" w:rsidRPr="00691414">
        <w:t>.</w:t>
      </w:r>
      <w:r w:rsidR="00F77813" w:rsidRPr="00691414">
        <w:tab/>
        <w:t xml:space="preserve">Instructs its President to declare that Amending budget No 2/2021 has been definitively adopted and arrange for its publication in the </w:t>
      </w:r>
      <w:r w:rsidR="00F77813" w:rsidRPr="00691414">
        <w:rPr>
          <w:i/>
        </w:rPr>
        <w:t>Official Journal of the European Union</w:t>
      </w:r>
      <w:r w:rsidR="00F77813" w:rsidRPr="00691414">
        <w:t>;</w:t>
      </w:r>
    </w:p>
    <w:p w:rsidR="00881007" w:rsidRPr="00691414" w:rsidRDefault="00706878" w:rsidP="00F77813">
      <w:pPr>
        <w:pStyle w:val="NormalHanging12a"/>
      </w:pPr>
      <w:r w:rsidRPr="00691414">
        <w:t>9</w:t>
      </w:r>
      <w:r w:rsidR="00F77813" w:rsidRPr="00691414">
        <w:t>.</w:t>
      </w:r>
      <w:r w:rsidR="00F77813" w:rsidRPr="00691414">
        <w:tab/>
        <w:t>Instructs its President to forward this resolution to the Council, the Commission and the national parliaments.</w:t>
      </w:r>
    </w:p>
    <w:p w:rsidR="00CC2033" w:rsidRPr="00691414" w:rsidRDefault="00CC2033">
      <w:pPr>
        <w:widowControl/>
      </w:pPr>
      <w:r w:rsidRPr="00691414">
        <w:br w:type="page"/>
      </w:r>
    </w:p>
    <w:p w:rsidR="00436BF0" w:rsidRPr="00691414" w:rsidRDefault="00436BF0">
      <w:pPr>
        <w:widowControl/>
      </w:pPr>
      <w:r w:rsidRPr="00691414">
        <w:lastRenderedPageBreak/>
        <w:br w:type="page"/>
      </w:r>
    </w:p>
    <w:p w:rsidR="00436BF0" w:rsidRPr="00691414" w:rsidRDefault="00436BF0" w:rsidP="00436BF0">
      <w:pPr>
        <w:pStyle w:val="PageHeading"/>
      </w:pPr>
      <w:bookmarkStart w:id="1" w:name="_Toc66898613"/>
      <w:bookmarkStart w:id="2" w:name="_Toc71712814"/>
      <w:r w:rsidRPr="00691414">
        <w:lastRenderedPageBreak/>
        <w:t>FINAL VOTE BY ROLL CALL IN COMMITTEE RESPONSIBLE</w:t>
      </w:r>
      <w:bookmarkEnd w:id="1"/>
      <w:bookmarkEnd w:id="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36BF0" w:rsidRPr="00691414" w:rsidTr="002266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36BF0" w:rsidRPr="00691414" w:rsidRDefault="00436BF0" w:rsidP="00D51E19">
            <w:pPr>
              <w:pStyle w:val="RollCallVotes"/>
            </w:pPr>
            <w:r w:rsidRPr="00691414">
              <w:t>3</w:t>
            </w:r>
            <w:r w:rsidR="00226689" w:rsidRPr="00691414">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36BF0" w:rsidRPr="00691414" w:rsidRDefault="00436BF0" w:rsidP="00D51E19">
            <w:pPr>
              <w:pStyle w:val="RollCallSymbols14pt"/>
            </w:pPr>
            <w:r w:rsidRPr="00691414">
              <w:t>+</w:t>
            </w:r>
          </w:p>
        </w:tc>
      </w:tr>
      <w:tr w:rsidR="00226689" w:rsidRPr="00691414" w:rsidTr="002266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226689" w:rsidRPr="00691414" w:rsidRDefault="00226689" w:rsidP="00D51E19">
            <w:pPr>
              <w:pStyle w:val="RollCallTable"/>
            </w:pPr>
            <w:r w:rsidRPr="00691414">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226689" w:rsidRPr="00691414" w:rsidRDefault="00226689" w:rsidP="00D51E19">
            <w:pPr>
              <w:pStyle w:val="RollCallTable"/>
            </w:pPr>
            <w:r w:rsidRPr="00691414">
              <w:t>Zbigniew Kuźmiuk, Bogdan Rzońca, Johan Van Overtveldt</w:t>
            </w:r>
          </w:p>
        </w:tc>
      </w:tr>
      <w:tr w:rsidR="00436BF0" w:rsidRPr="00CA1158" w:rsidTr="002266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36BF0" w:rsidRPr="00691414" w:rsidRDefault="00436BF0" w:rsidP="00D51E19">
            <w:pPr>
              <w:pStyle w:val="RollCallTable"/>
            </w:pPr>
            <w:r w:rsidRPr="00691414">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36BF0" w:rsidRPr="00F17674" w:rsidRDefault="00226689" w:rsidP="00226689">
            <w:pPr>
              <w:pStyle w:val="RollCallTable"/>
              <w:rPr>
                <w:lang w:val="it-IT"/>
              </w:rPr>
            </w:pPr>
            <w:r w:rsidRPr="00F17674">
              <w:rPr>
                <w:lang w:val="it-IT"/>
              </w:rPr>
              <w:t xml:space="preserve">Anna Bonfrisco, </w:t>
            </w:r>
            <w:r w:rsidR="00436BF0" w:rsidRPr="00F17674">
              <w:rPr>
                <w:lang w:val="it-IT"/>
              </w:rPr>
              <w:t>Hélène Laporte</w:t>
            </w:r>
            <w:r w:rsidRPr="00F17674">
              <w:rPr>
                <w:lang w:val="it-IT"/>
              </w:rPr>
              <w:t>, Valentino Grant</w:t>
            </w:r>
          </w:p>
        </w:tc>
      </w:tr>
      <w:tr w:rsidR="00226689" w:rsidRPr="00691414" w:rsidTr="00226689">
        <w:trPr>
          <w:cantSplit/>
        </w:trPr>
        <w:tc>
          <w:tcPr>
            <w:tcW w:w="1701" w:type="dxa"/>
            <w:tcBorders>
              <w:top w:val="single" w:sz="2" w:space="0" w:color="000000"/>
              <w:left w:val="double" w:sz="2" w:space="0" w:color="000000"/>
              <w:bottom w:val="single" w:sz="4" w:space="0" w:color="auto"/>
              <w:right w:val="single" w:sz="2" w:space="0" w:color="000000"/>
            </w:tcBorders>
            <w:shd w:val="clear" w:color="auto" w:fill="FFFFFF"/>
          </w:tcPr>
          <w:p w:rsidR="00226689" w:rsidRPr="00691414" w:rsidRDefault="00226689" w:rsidP="00D51E19">
            <w:pPr>
              <w:pStyle w:val="RollCallTable"/>
            </w:pPr>
            <w:r w:rsidRPr="00691414">
              <w:t>NI</w:t>
            </w:r>
          </w:p>
        </w:tc>
        <w:tc>
          <w:tcPr>
            <w:tcW w:w="7371" w:type="dxa"/>
            <w:tcBorders>
              <w:top w:val="single" w:sz="2" w:space="0" w:color="000000"/>
              <w:left w:val="single" w:sz="2" w:space="0" w:color="000000"/>
              <w:bottom w:val="single" w:sz="4" w:space="0" w:color="auto"/>
              <w:right w:val="double" w:sz="2" w:space="0" w:color="000000"/>
            </w:tcBorders>
            <w:shd w:val="clear" w:color="auto" w:fill="FFFFFF"/>
          </w:tcPr>
          <w:p w:rsidR="00226689" w:rsidRPr="00691414" w:rsidRDefault="00226689" w:rsidP="00226689">
            <w:pPr>
              <w:pStyle w:val="RollCallTable"/>
            </w:pPr>
            <w:r w:rsidRPr="00691414">
              <w:t>Mario Furore</w:t>
            </w:r>
          </w:p>
        </w:tc>
      </w:tr>
      <w:tr w:rsidR="00436BF0" w:rsidRPr="00691414" w:rsidTr="002266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36BF0" w:rsidRPr="00691414" w:rsidRDefault="00436BF0" w:rsidP="00D51E19">
            <w:pPr>
              <w:pStyle w:val="RollCallTable"/>
            </w:pPr>
            <w:r w:rsidRPr="00691414">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36BF0" w:rsidRPr="00691414" w:rsidRDefault="00436BF0" w:rsidP="00D51E19">
            <w:pPr>
              <w:pStyle w:val="RollCallTable"/>
            </w:pPr>
            <w:r w:rsidRPr="00691414">
              <w:t>Lefteris Christoforou, José Manuel Fernandes, Niclas Herbst, Monika Hohlmeier, Janusz Lewandowski, Sie</w:t>
            </w:r>
            <w:r w:rsidR="00226689" w:rsidRPr="00691414">
              <w:t xml:space="preserve">gfried Mureşan, </w:t>
            </w:r>
            <w:r w:rsidRPr="00691414">
              <w:t>Jan Olbrycht, Karlo Ressler, Rainer Wieland, Angelika Winzig</w:t>
            </w:r>
          </w:p>
        </w:tc>
      </w:tr>
      <w:tr w:rsidR="00436BF0" w:rsidRPr="00691414" w:rsidTr="002266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36BF0" w:rsidRPr="00691414" w:rsidRDefault="00436BF0" w:rsidP="00D51E19">
            <w:pPr>
              <w:pStyle w:val="RollCallTable"/>
            </w:pPr>
            <w:r w:rsidRPr="00691414">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36BF0" w:rsidRPr="00691414" w:rsidRDefault="00436BF0" w:rsidP="00D51E19">
            <w:pPr>
              <w:pStyle w:val="RollCallTable"/>
            </w:pPr>
            <w:r w:rsidRPr="00691414">
              <w:t>Olivier Chastel, Vlad Gheorghe, Valérie Hayer, Moritz Körner, Nicolae Stefanuta, Nils Torvalds</w:t>
            </w:r>
          </w:p>
        </w:tc>
      </w:tr>
      <w:tr w:rsidR="00436BF0" w:rsidRPr="00691414" w:rsidTr="002266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36BF0" w:rsidRPr="00691414" w:rsidRDefault="00436BF0" w:rsidP="00D51E19">
            <w:pPr>
              <w:pStyle w:val="RollCallTable"/>
            </w:pPr>
            <w:r w:rsidRPr="00691414">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36BF0" w:rsidRPr="00691414" w:rsidRDefault="00436BF0" w:rsidP="00BE157D">
            <w:pPr>
              <w:pStyle w:val="RollCallTable"/>
            </w:pPr>
            <w:r w:rsidRPr="00691414">
              <w:t>Robert Biedroń, Paolo De Castro, Eider Gardiazabal Rubial, Eero Heinäluoma, Pierre Larrouturou, Margarida Marques, Victor Negrescu, Nils Ušakovs</w:t>
            </w:r>
          </w:p>
        </w:tc>
      </w:tr>
      <w:tr w:rsidR="00436BF0" w:rsidRPr="00691414" w:rsidTr="00226689">
        <w:trPr>
          <w:cantSplit/>
        </w:trPr>
        <w:tc>
          <w:tcPr>
            <w:tcW w:w="1701" w:type="dxa"/>
            <w:tcBorders>
              <w:top w:val="single" w:sz="2" w:space="0" w:color="000000"/>
              <w:left w:val="double" w:sz="2" w:space="0" w:color="000000"/>
              <w:bottom w:val="single" w:sz="4" w:space="0" w:color="auto"/>
              <w:right w:val="single" w:sz="2" w:space="0" w:color="000000"/>
            </w:tcBorders>
            <w:shd w:val="clear" w:color="auto" w:fill="FFFFFF"/>
            <w:hideMark/>
          </w:tcPr>
          <w:p w:rsidR="00436BF0" w:rsidRPr="00691414" w:rsidRDefault="00436BF0" w:rsidP="00D51E19">
            <w:pPr>
              <w:pStyle w:val="RollCallTable"/>
            </w:pPr>
            <w:r w:rsidRPr="00691414">
              <w:t>The Left</w:t>
            </w:r>
          </w:p>
        </w:tc>
        <w:tc>
          <w:tcPr>
            <w:tcW w:w="7371" w:type="dxa"/>
            <w:tcBorders>
              <w:top w:val="single" w:sz="2" w:space="0" w:color="000000"/>
              <w:left w:val="single" w:sz="2" w:space="0" w:color="000000"/>
              <w:bottom w:val="single" w:sz="4" w:space="0" w:color="auto"/>
              <w:right w:val="double" w:sz="2" w:space="0" w:color="000000"/>
            </w:tcBorders>
            <w:shd w:val="clear" w:color="auto" w:fill="FFFFFF"/>
            <w:hideMark/>
          </w:tcPr>
          <w:p w:rsidR="00436BF0" w:rsidRPr="00691414" w:rsidRDefault="00436BF0" w:rsidP="00D51E19">
            <w:pPr>
              <w:pStyle w:val="RollCallTable"/>
            </w:pPr>
            <w:r w:rsidRPr="00691414">
              <w:t>Silvia Modig, Dimitrios Papadimoulis</w:t>
            </w:r>
          </w:p>
        </w:tc>
      </w:tr>
      <w:tr w:rsidR="00436BF0" w:rsidRPr="00CA1158" w:rsidTr="00226689">
        <w:trPr>
          <w:cantSplit/>
        </w:trPr>
        <w:tc>
          <w:tcPr>
            <w:tcW w:w="1701" w:type="dxa"/>
            <w:tcBorders>
              <w:top w:val="single" w:sz="4" w:space="0" w:color="auto"/>
              <w:left w:val="double" w:sz="2" w:space="0" w:color="000000"/>
              <w:bottom w:val="double" w:sz="2" w:space="0" w:color="000000"/>
              <w:right w:val="single" w:sz="2" w:space="0" w:color="000000"/>
            </w:tcBorders>
            <w:shd w:val="clear" w:color="auto" w:fill="FFFFFF"/>
            <w:hideMark/>
          </w:tcPr>
          <w:p w:rsidR="00436BF0" w:rsidRPr="00691414" w:rsidRDefault="00436BF0" w:rsidP="00D51E19">
            <w:pPr>
              <w:pStyle w:val="RollCallTable"/>
            </w:pPr>
            <w:r w:rsidRPr="00691414">
              <w:t>Verts/ALE</w:t>
            </w:r>
          </w:p>
        </w:tc>
        <w:tc>
          <w:tcPr>
            <w:tcW w:w="7371" w:type="dxa"/>
            <w:tcBorders>
              <w:top w:val="single" w:sz="4" w:space="0" w:color="auto"/>
              <w:left w:val="single" w:sz="2" w:space="0" w:color="000000"/>
              <w:bottom w:val="double" w:sz="2" w:space="0" w:color="000000"/>
              <w:right w:val="double" w:sz="2" w:space="0" w:color="000000"/>
            </w:tcBorders>
            <w:shd w:val="clear" w:color="auto" w:fill="FFFFFF"/>
            <w:hideMark/>
          </w:tcPr>
          <w:p w:rsidR="00436BF0" w:rsidRPr="00F17674" w:rsidRDefault="00436BF0" w:rsidP="00D51E19">
            <w:pPr>
              <w:pStyle w:val="RollCallTable"/>
              <w:rPr>
                <w:lang w:val="pt-PT"/>
              </w:rPr>
            </w:pPr>
            <w:r w:rsidRPr="00F17674">
              <w:rPr>
                <w:lang w:val="pt-PT"/>
              </w:rPr>
              <w:t>Rasmus Andresen, David Cormand, Francisco Guerreiro, Hahn Henrike</w:t>
            </w:r>
          </w:p>
        </w:tc>
      </w:tr>
    </w:tbl>
    <w:p w:rsidR="00436BF0" w:rsidRPr="00F17674" w:rsidRDefault="00436BF0" w:rsidP="00436BF0">
      <w:pPr>
        <w:rPr>
          <w:lang w:val="pt-PT"/>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36BF0" w:rsidRPr="00691414" w:rsidTr="00BE157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36BF0" w:rsidRPr="00691414" w:rsidRDefault="00226689" w:rsidP="00D51E19">
            <w:pPr>
              <w:pStyle w:val="RollCallVotes"/>
            </w:pPr>
            <w:r w:rsidRPr="00691414">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36BF0" w:rsidRPr="00691414" w:rsidRDefault="00436BF0" w:rsidP="00D51E19">
            <w:pPr>
              <w:pStyle w:val="RollCallSymbols14pt"/>
            </w:pPr>
            <w:r w:rsidRPr="00691414">
              <w:t>-</w:t>
            </w:r>
          </w:p>
        </w:tc>
      </w:tr>
      <w:tr w:rsidR="00436BF0" w:rsidRPr="00691414" w:rsidTr="00BE157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36BF0" w:rsidRPr="00691414" w:rsidRDefault="00436BF0" w:rsidP="00D51E19">
            <w:pPr>
              <w:pStyle w:val="RollCallTable"/>
            </w:pPr>
            <w:r w:rsidRPr="00691414">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36BF0" w:rsidRPr="00691414" w:rsidRDefault="00436BF0" w:rsidP="00D51E19">
            <w:pPr>
              <w:pStyle w:val="RollCallTable"/>
            </w:pPr>
            <w:r w:rsidRPr="00691414">
              <w:t>Joachim Kuhs</w:t>
            </w:r>
          </w:p>
        </w:tc>
      </w:tr>
      <w:tr w:rsidR="00BE157D" w:rsidRPr="00691414" w:rsidTr="00BE157D">
        <w:trPr>
          <w:cantSplit/>
        </w:trPr>
        <w:tc>
          <w:tcPr>
            <w:tcW w:w="1701" w:type="dxa"/>
            <w:tcBorders>
              <w:top w:val="single" w:sz="4" w:space="0" w:color="auto"/>
              <w:left w:val="double" w:sz="2" w:space="0" w:color="000000"/>
              <w:bottom w:val="double" w:sz="2" w:space="0" w:color="000000"/>
              <w:right w:val="single" w:sz="2" w:space="0" w:color="000000"/>
            </w:tcBorders>
            <w:shd w:val="clear" w:color="auto" w:fill="FFFFFF"/>
            <w:hideMark/>
          </w:tcPr>
          <w:p w:rsidR="00BE157D" w:rsidRPr="00691414" w:rsidRDefault="00BE157D" w:rsidP="00D51E19">
            <w:pPr>
              <w:pStyle w:val="RollCallTable"/>
            </w:pPr>
            <w:r w:rsidRPr="00691414">
              <w:t>NI</w:t>
            </w:r>
          </w:p>
        </w:tc>
        <w:tc>
          <w:tcPr>
            <w:tcW w:w="7371" w:type="dxa"/>
            <w:tcBorders>
              <w:top w:val="single" w:sz="4" w:space="0" w:color="auto"/>
              <w:left w:val="single" w:sz="2" w:space="0" w:color="000000"/>
              <w:bottom w:val="double" w:sz="2" w:space="0" w:color="000000"/>
              <w:right w:val="double" w:sz="2" w:space="0" w:color="000000"/>
            </w:tcBorders>
            <w:shd w:val="clear" w:color="auto" w:fill="FFFFFF"/>
            <w:hideMark/>
          </w:tcPr>
          <w:p w:rsidR="00BE157D" w:rsidRPr="00691414" w:rsidRDefault="00BE157D" w:rsidP="00D51E19">
            <w:pPr>
              <w:pStyle w:val="RollCallTable"/>
            </w:pPr>
            <w:r w:rsidRPr="00691414">
              <w:t>Ioannis Lagos</w:t>
            </w:r>
          </w:p>
        </w:tc>
      </w:tr>
    </w:tbl>
    <w:p w:rsidR="00436BF0" w:rsidRPr="00691414" w:rsidRDefault="00436BF0" w:rsidP="00436BF0"/>
    <w:p w:rsidR="00436BF0" w:rsidRPr="00691414" w:rsidRDefault="00436BF0" w:rsidP="00436BF0">
      <w:pPr>
        <w:pStyle w:val="Normal12a"/>
      </w:pPr>
    </w:p>
    <w:p w:rsidR="00436BF0" w:rsidRPr="00691414" w:rsidRDefault="00436BF0" w:rsidP="00436BF0">
      <w:r w:rsidRPr="00691414">
        <w:t>Key To Symbols:</w:t>
      </w:r>
    </w:p>
    <w:p w:rsidR="00436BF0" w:rsidRPr="00691414" w:rsidRDefault="00436BF0" w:rsidP="00436BF0">
      <w:pPr>
        <w:pStyle w:val="RollCallTabs"/>
      </w:pPr>
      <w:r w:rsidRPr="00691414">
        <w:t>+</w:t>
      </w:r>
      <w:r w:rsidRPr="00691414">
        <w:tab/>
        <w:t>:</w:t>
      </w:r>
      <w:r w:rsidRPr="00691414">
        <w:tab/>
        <w:t>in favour</w:t>
      </w:r>
    </w:p>
    <w:p w:rsidR="00436BF0" w:rsidRPr="00691414" w:rsidRDefault="00436BF0" w:rsidP="00436BF0">
      <w:pPr>
        <w:pStyle w:val="RollCallTabs"/>
      </w:pPr>
      <w:r w:rsidRPr="00691414">
        <w:t>-</w:t>
      </w:r>
      <w:r w:rsidRPr="00691414">
        <w:tab/>
        <w:t>:</w:t>
      </w:r>
      <w:r w:rsidRPr="00691414">
        <w:tab/>
        <w:t>against</w:t>
      </w:r>
    </w:p>
    <w:p w:rsidR="00436BF0" w:rsidRPr="00691414" w:rsidRDefault="00436BF0" w:rsidP="00436BF0">
      <w:pPr>
        <w:pStyle w:val="RollCallTabs"/>
      </w:pPr>
      <w:r w:rsidRPr="00691414">
        <w:t>0</w:t>
      </w:r>
      <w:r w:rsidRPr="00691414">
        <w:tab/>
        <w:t>:</w:t>
      </w:r>
      <w:r w:rsidRPr="00691414">
        <w:tab/>
        <w:t>abstention</w:t>
      </w:r>
    </w:p>
    <w:p w:rsidR="00436BF0" w:rsidRPr="00691414" w:rsidRDefault="00436BF0" w:rsidP="00436BF0"/>
    <w:p w:rsidR="00436BF0" w:rsidRPr="00691414" w:rsidRDefault="00436BF0" w:rsidP="00436BF0"/>
    <w:p w:rsidR="00436BF0" w:rsidRPr="00691414" w:rsidRDefault="00436BF0" w:rsidP="00436BF0"/>
    <w:p w:rsidR="009B1332" w:rsidRPr="009B1332" w:rsidRDefault="009B1332" w:rsidP="009B1332">
      <w:r w:rsidRPr="009B1332">
        <w:br w:type="page"/>
      </w:r>
    </w:p>
    <w:p w:rsidR="009B1332" w:rsidRDefault="009B1332" w:rsidP="009B1332">
      <w:pPr>
        <w:pStyle w:val="PageHeading"/>
      </w:pPr>
      <w:bookmarkStart w:id="3" w:name="ProcPageRR"/>
      <w:bookmarkStart w:id="4" w:name="_Toc71712815"/>
      <w:bookmarkStart w:id="5" w:name="_GoBack"/>
      <w:bookmarkEnd w:id="5"/>
      <w:r>
        <w:lastRenderedPageBreak/>
        <w:t>INFORMATION ON ADOPTION IN COMMITTEE RESPONSIBLE</w:t>
      </w:r>
      <w:bookmarkEnd w:id="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B1332">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B1332" w:rsidRDefault="009B1332">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B1332" w:rsidRDefault="009B1332">
            <w:pPr>
              <w:autoSpaceDE w:val="0"/>
              <w:autoSpaceDN w:val="0"/>
              <w:adjustRightInd w:val="0"/>
              <w:rPr>
                <w:color w:val="000000"/>
                <w:sz w:val="20"/>
              </w:rPr>
            </w:pPr>
            <w:r>
              <w:rPr>
                <w:color w:val="000000"/>
                <w:sz w:val="20"/>
              </w:rPr>
              <w:t>10.5.2021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B1332" w:rsidRDefault="009B13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B1332" w:rsidRDefault="009B13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B1332" w:rsidRDefault="009B1332">
            <w:pPr>
              <w:autoSpaceDE w:val="0"/>
              <w:autoSpaceDN w:val="0"/>
              <w:adjustRightInd w:val="0"/>
              <w:rPr>
                <w:rFonts w:ascii="sans-serif" w:hAnsi="sans-serif" w:cs="sans-serif"/>
                <w:color w:val="000000"/>
                <w:szCs w:val="24"/>
              </w:rPr>
            </w:pPr>
          </w:p>
        </w:tc>
      </w:tr>
      <w:tr w:rsidR="009B1332">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B1332" w:rsidRDefault="009B1332">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B1332" w:rsidRDefault="009B1332">
            <w:pPr>
              <w:autoSpaceDE w:val="0"/>
              <w:autoSpaceDN w:val="0"/>
              <w:adjustRightInd w:val="0"/>
              <w:rPr>
                <w:color w:val="000000"/>
                <w:sz w:val="20"/>
              </w:rPr>
            </w:pPr>
            <w:r>
              <w:rPr>
                <w:color w:val="000000"/>
                <w:sz w:val="20"/>
              </w:rPr>
              <w:t>+:</w:t>
            </w:r>
          </w:p>
          <w:p w:rsidR="009B1332" w:rsidRDefault="009B1332">
            <w:pPr>
              <w:autoSpaceDE w:val="0"/>
              <w:autoSpaceDN w:val="0"/>
              <w:adjustRightInd w:val="0"/>
              <w:rPr>
                <w:color w:val="000000"/>
                <w:sz w:val="20"/>
              </w:rPr>
            </w:pPr>
            <w:r>
              <w:rPr>
                <w:color w:val="000000"/>
                <w:sz w:val="20"/>
              </w:rPr>
              <w:t>–:</w:t>
            </w:r>
          </w:p>
          <w:p w:rsidR="009B1332" w:rsidRDefault="009B133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B1332" w:rsidRDefault="009B1332">
            <w:pPr>
              <w:autoSpaceDE w:val="0"/>
              <w:autoSpaceDN w:val="0"/>
              <w:adjustRightInd w:val="0"/>
              <w:rPr>
                <w:color w:val="000000"/>
                <w:sz w:val="20"/>
              </w:rPr>
            </w:pPr>
            <w:r>
              <w:rPr>
                <w:color w:val="000000"/>
                <w:sz w:val="20"/>
              </w:rPr>
              <w:t>37</w:t>
            </w:r>
          </w:p>
          <w:p w:rsidR="009B1332" w:rsidRDefault="009B1332">
            <w:pPr>
              <w:autoSpaceDE w:val="0"/>
              <w:autoSpaceDN w:val="0"/>
              <w:adjustRightInd w:val="0"/>
              <w:rPr>
                <w:color w:val="000000"/>
                <w:sz w:val="20"/>
              </w:rPr>
            </w:pPr>
            <w:r>
              <w:rPr>
                <w:color w:val="000000"/>
                <w:sz w:val="20"/>
              </w:rPr>
              <w:t>2</w:t>
            </w:r>
          </w:p>
          <w:p w:rsidR="009B1332" w:rsidRDefault="009B1332">
            <w:pPr>
              <w:autoSpaceDE w:val="0"/>
              <w:autoSpaceDN w:val="0"/>
              <w:adjustRightInd w:val="0"/>
              <w:rPr>
                <w:color w:val="000000"/>
                <w:sz w:val="20"/>
              </w:rPr>
            </w:pPr>
            <w:r>
              <w:rPr>
                <w:color w:val="000000"/>
                <w:sz w:val="20"/>
              </w:rPr>
              <w:t>0</w:t>
            </w:r>
          </w:p>
        </w:tc>
      </w:tr>
      <w:tr w:rsidR="009B1332">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B1332" w:rsidRDefault="009B1332">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B1332" w:rsidRDefault="009B1332">
            <w:pPr>
              <w:autoSpaceDE w:val="0"/>
              <w:autoSpaceDN w:val="0"/>
              <w:adjustRightInd w:val="0"/>
              <w:rPr>
                <w:color w:val="000000"/>
                <w:sz w:val="20"/>
              </w:rPr>
            </w:pPr>
            <w:r>
              <w:rPr>
                <w:color w:val="000000"/>
                <w:sz w:val="20"/>
              </w:rPr>
              <w:t>Rasmus Andresen, Robert Biedroń, Anna Bonfrisco, Olivier Chastel, Lefteris Christoforou, David Cormand, Paolo De Castro, José Manuel Fernandes, Eider Gardiazabal Rubial, Vlad Gheorghe, Valentino Grant, Francisco Guerreiro, Valérie Hayer, Eero Heinäluoma, Niclas Herbst, Monika Hohlmeier, Moritz Körner, Joachim Kuhs, Zbigniew Kuźmiuk, Ioannis Lagos, Hélène Laporte, Pierre Larrouturou, Janusz Lewandowski, Margarida Marques, Silvia Modig, Siegfried Mureşan, Victor Negrescu, Jan Olbrycht, Dimitrios Papadimoulis, Karlo Ressler, Bogdan Rzońca, Nicolae Ştefănuță, Nils Torvalds, Nils Ušakovs, Johan Van Overtveldt, Rainer Wieland, Angelika Winzig</w:t>
            </w:r>
          </w:p>
        </w:tc>
      </w:tr>
      <w:tr w:rsidR="009B1332">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B1332" w:rsidRDefault="009B1332">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B1332" w:rsidRDefault="009B1332">
            <w:pPr>
              <w:autoSpaceDE w:val="0"/>
              <w:autoSpaceDN w:val="0"/>
              <w:adjustRightInd w:val="0"/>
              <w:rPr>
                <w:color w:val="000000"/>
                <w:sz w:val="20"/>
              </w:rPr>
            </w:pPr>
            <w:r>
              <w:rPr>
                <w:color w:val="000000"/>
                <w:sz w:val="20"/>
              </w:rPr>
              <w:t>Mario Furore, Henrike Hahn</w:t>
            </w:r>
          </w:p>
        </w:tc>
      </w:tr>
    </w:tbl>
    <w:p w:rsidR="009B1332" w:rsidRDefault="009B1332"/>
    <w:bookmarkEnd w:id="3"/>
    <w:p w:rsidR="00F77813" w:rsidRPr="009B1332" w:rsidRDefault="00F77813" w:rsidP="009B1332"/>
    <w:sectPr w:rsidR="00F77813" w:rsidRPr="009B1332" w:rsidSect="00C2036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52" w:rsidRPr="00691414" w:rsidRDefault="007E0652">
      <w:r w:rsidRPr="00691414">
        <w:separator/>
      </w:r>
    </w:p>
  </w:endnote>
  <w:endnote w:type="continuationSeparator" w:id="0">
    <w:p w:rsidR="007E0652" w:rsidRPr="00691414" w:rsidRDefault="007E0652">
      <w:r w:rsidRPr="006914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2" w:rsidRDefault="009B1332" w:rsidP="009B1332">
    <w:pPr>
      <w:pStyle w:val="EPFooter"/>
    </w:pPr>
    <w:r>
      <w:t>PE</w:t>
    </w:r>
    <w:r w:rsidRPr="009B1332">
      <w:rPr>
        <w:rStyle w:val="HideTWBExt"/>
      </w:rPr>
      <w:t>&lt;NoPE&gt;</w:t>
    </w:r>
    <w:r>
      <w:t>691.224</w:t>
    </w:r>
    <w:r w:rsidRPr="009B1332">
      <w:rPr>
        <w:rStyle w:val="HideTWBExt"/>
      </w:rPr>
      <w:t>&lt;/NoPE&gt;&lt;Version&gt;</w:t>
    </w:r>
    <w:r>
      <w:t>v02-00</w:t>
    </w:r>
    <w:r w:rsidRPr="009B1332">
      <w:rPr>
        <w:rStyle w:val="HideTWBExt"/>
      </w:rPr>
      <w:t>&lt;/Version&gt;</w:t>
    </w:r>
    <w:r>
      <w:tab/>
    </w:r>
    <w:r>
      <w:fldChar w:fldCharType="begin"/>
    </w:r>
    <w:r>
      <w:instrText xml:space="preserve"> PAGE  \* MERGEFORMAT </w:instrText>
    </w:r>
    <w:r>
      <w:fldChar w:fldCharType="separate"/>
    </w:r>
    <w:r>
      <w:rPr>
        <w:noProof/>
      </w:rPr>
      <w:t>8</w:t>
    </w:r>
    <w:r>
      <w:fldChar w:fldCharType="end"/>
    </w:r>
    <w:r>
      <w:t>/</w:t>
    </w:r>
    <w:fldSimple w:instr=" NUMPAGES  \* MERGEFORMAT ">
      <w:r>
        <w:rPr>
          <w:noProof/>
        </w:rPr>
        <w:t>8</w:t>
      </w:r>
    </w:fldSimple>
    <w:r>
      <w:tab/>
    </w:r>
    <w:r w:rsidRPr="009B1332">
      <w:rPr>
        <w:rStyle w:val="HideTWBExt"/>
      </w:rPr>
      <w:t>&lt;PathFdR&gt;</w:t>
    </w:r>
    <w:r>
      <w:t>RR\1231348EN.docx</w:t>
    </w:r>
    <w:r w:rsidRPr="009B1332">
      <w:rPr>
        <w:rStyle w:val="HideTWBExt"/>
      </w:rPr>
      <w:t>&lt;/PathFdR&gt;</w:t>
    </w:r>
  </w:p>
  <w:p w:rsidR="002D6EBB" w:rsidRPr="00691414" w:rsidRDefault="009B1332" w:rsidP="009B1332">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2" w:rsidRDefault="009B1332" w:rsidP="009B1332">
    <w:pPr>
      <w:pStyle w:val="EPFooter"/>
    </w:pPr>
    <w:r w:rsidRPr="009B1332">
      <w:rPr>
        <w:rStyle w:val="HideTWBExt"/>
      </w:rPr>
      <w:t>&lt;PathFdR&gt;</w:t>
    </w:r>
    <w:r>
      <w:t>RR\1231348EN.docx</w:t>
    </w:r>
    <w:r w:rsidRPr="009B1332">
      <w:rPr>
        <w:rStyle w:val="HideTWBExt"/>
      </w:rPr>
      <w:t>&lt;/PathFdR&gt;</w:t>
    </w:r>
    <w:r>
      <w:tab/>
    </w:r>
    <w:r>
      <w:fldChar w:fldCharType="begin"/>
    </w:r>
    <w:r>
      <w:instrText xml:space="preserve"> PAGE  \* MERGEFORMAT </w:instrText>
    </w:r>
    <w:r>
      <w:fldChar w:fldCharType="separate"/>
    </w:r>
    <w:r>
      <w:rPr>
        <w:noProof/>
      </w:rPr>
      <w:t>7</w:t>
    </w:r>
    <w:r>
      <w:fldChar w:fldCharType="end"/>
    </w:r>
    <w:r>
      <w:t>/</w:t>
    </w:r>
    <w:fldSimple w:instr=" NUMPAGES  \* MERGEFORMAT ">
      <w:r>
        <w:rPr>
          <w:noProof/>
        </w:rPr>
        <w:t>8</w:t>
      </w:r>
    </w:fldSimple>
    <w:r>
      <w:tab/>
      <w:t>PE</w:t>
    </w:r>
    <w:r w:rsidRPr="009B1332">
      <w:rPr>
        <w:rStyle w:val="HideTWBExt"/>
      </w:rPr>
      <w:t>&lt;NoPE&gt;</w:t>
    </w:r>
    <w:r>
      <w:t>691.224</w:t>
    </w:r>
    <w:r w:rsidRPr="009B1332">
      <w:rPr>
        <w:rStyle w:val="HideTWBExt"/>
      </w:rPr>
      <w:t>&lt;/NoPE&gt;&lt;Version&gt;</w:t>
    </w:r>
    <w:r>
      <w:t>v02-00</w:t>
    </w:r>
    <w:r w:rsidRPr="009B1332">
      <w:rPr>
        <w:rStyle w:val="HideTWBExt"/>
      </w:rPr>
      <w:t>&lt;/Version&gt;</w:t>
    </w:r>
  </w:p>
  <w:p w:rsidR="002D6EBB" w:rsidRPr="00691414" w:rsidRDefault="009B1332" w:rsidP="009B1332">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2" w:rsidRDefault="009B1332" w:rsidP="009B1332">
    <w:pPr>
      <w:pStyle w:val="EPFooter"/>
    </w:pPr>
    <w:r w:rsidRPr="009B1332">
      <w:rPr>
        <w:rStyle w:val="HideTWBExt"/>
      </w:rPr>
      <w:t>&lt;PathFdR&gt;</w:t>
    </w:r>
    <w:r>
      <w:t>RR\1231348EN.docx</w:t>
    </w:r>
    <w:r w:rsidRPr="009B1332">
      <w:rPr>
        <w:rStyle w:val="HideTWBExt"/>
      </w:rPr>
      <w:t>&lt;/PathFdR&gt;</w:t>
    </w:r>
    <w:r>
      <w:tab/>
    </w:r>
    <w:r>
      <w:tab/>
      <w:t>PE</w:t>
    </w:r>
    <w:r w:rsidRPr="009B1332">
      <w:rPr>
        <w:rStyle w:val="HideTWBExt"/>
      </w:rPr>
      <w:t>&lt;NoPE&gt;</w:t>
    </w:r>
    <w:r>
      <w:t>691.224</w:t>
    </w:r>
    <w:r w:rsidRPr="009B1332">
      <w:rPr>
        <w:rStyle w:val="HideTWBExt"/>
      </w:rPr>
      <w:t>&lt;/NoPE&gt;&lt;Version&gt;</w:t>
    </w:r>
    <w:r>
      <w:t>v02-00</w:t>
    </w:r>
    <w:r w:rsidRPr="009B1332">
      <w:rPr>
        <w:rStyle w:val="HideTWBExt"/>
      </w:rPr>
      <w:t>&lt;/Version&gt;</w:t>
    </w:r>
  </w:p>
  <w:p w:rsidR="002D6EBB" w:rsidRPr="00691414" w:rsidRDefault="009B1332" w:rsidP="009B1332">
    <w:pPr>
      <w:pStyle w:val="EPFooter2"/>
    </w:pPr>
    <w:r>
      <w:t>EN</w:t>
    </w:r>
    <w:r>
      <w:tab/>
    </w:r>
    <w:r w:rsidRPr="009B1332">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52" w:rsidRPr="00691414" w:rsidRDefault="007E0652">
      <w:r w:rsidRPr="00691414">
        <w:separator/>
      </w:r>
    </w:p>
  </w:footnote>
  <w:footnote w:type="continuationSeparator" w:id="0">
    <w:p w:rsidR="007E0652" w:rsidRPr="00691414" w:rsidRDefault="007E0652">
      <w:r w:rsidRPr="00691414">
        <w:continuationSeparator/>
      </w:r>
    </w:p>
  </w:footnote>
  <w:footnote w:id="1">
    <w:p w:rsidR="00F77813" w:rsidRPr="00691414" w:rsidRDefault="00F77813" w:rsidP="00F77813">
      <w:pPr>
        <w:pStyle w:val="FootnoteText"/>
      </w:pPr>
      <w:r w:rsidRPr="00691414">
        <w:rPr>
          <w:rStyle w:val="FootnoteReference"/>
        </w:rPr>
        <w:footnoteRef/>
      </w:r>
      <w:r w:rsidRPr="00691414">
        <w:t xml:space="preserve"> OJ L 193, 30.7.2018, p. 1.</w:t>
      </w:r>
    </w:p>
  </w:footnote>
  <w:footnote w:id="2">
    <w:p w:rsidR="00F77813" w:rsidRPr="00691414" w:rsidRDefault="00F77813" w:rsidP="00F77813">
      <w:r w:rsidRPr="00691414">
        <w:rPr>
          <w:rStyle w:val="FootnoteReference"/>
        </w:rPr>
        <w:footnoteRef/>
      </w:r>
      <w:r w:rsidRPr="00691414">
        <w:rPr>
          <w:rStyle w:val="FootnoteReference"/>
        </w:rPr>
        <w:t xml:space="preserve"> </w:t>
      </w:r>
      <w:r w:rsidRPr="00691414">
        <w:rPr>
          <w:sz w:val="20"/>
        </w:rPr>
        <w:t>OJ L 433 I, 22.12.2020, p. 23.</w:t>
      </w:r>
    </w:p>
  </w:footnote>
  <w:footnote w:id="3">
    <w:p w:rsidR="00F77813" w:rsidRPr="00691414" w:rsidRDefault="00F77813" w:rsidP="00F77813">
      <w:pPr>
        <w:pStyle w:val="FootnoteText"/>
      </w:pPr>
      <w:r w:rsidRPr="00691414">
        <w:rPr>
          <w:rStyle w:val="FootnoteReference"/>
        </w:rPr>
        <w:footnoteRef/>
      </w:r>
      <w:r w:rsidRPr="00691414">
        <w:t xml:space="preserve"> OJ L 433I , 22.12.2020, p. 11.</w:t>
      </w:r>
    </w:p>
  </w:footnote>
  <w:footnote w:id="4">
    <w:p w:rsidR="00F77813" w:rsidRPr="00691414" w:rsidRDefault="00F77813" w:rsidP="00F77813">
      <w:pPr>
        <w:pStyle w:val="FootnoteText"/>
      </w:pPr>
      <w:r w:rsidRPr="00691414">
        <w:rPr>
          <w:rStyle w:val="FootnoteReference"/>
        </w:rPr>
        <w:footnoteRef/>
      </w:r>
      <w:r w:rsidRPr="00691414">
        <w:t xml:space="preserve"> OJ L 433I , 22.12.2020, p. 28.</w:t>
      </w:r>
    </w:p>
  </w:footnote>
  <w:footnote w:id="5">
    <w:p w:rsidR="00F77813" w:rsidRPr="00691414" w:rsidRDefault="00F77813" w:rsidP="00F77813">
      <w:pPr>
        <w:pStyle w:val="FootnoteText"/>
      </w:pPr>
      <w:r w:rsidRPr="00691414">
        <w:rPr>
          <w:rStyle w:val="FootnoteReference"/>
        </w:rPr>
        <w:footnoteRef/>
      </w:r>
      <w:r w:rsidRPr="00691414">
        <w:t xml:space="preserve"> OJ L 424, 15.12.2020,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4" w:rsidRDefault="00F17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4" w:rsidRDefault="00F17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4" w:rsidRDefault="00F17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ECTION1MNU" w:val=" 3"/>
    <w:docVar w:name="SECTIONSMNU" w:val=" 1"/>
    <w:docVar w:name="strDocTypeID" w:val="PR_BUD_DABapp"/>
    <w:docVar w:name="strSubDir" w:val="1230"/>
    <w:docVar w:name="TXTBUDYEAR" w:val="2021"/>
    <w:docVar w:name="TXTLANGUE" w:val="EN"/>
    <w:docVar w:name="TXTLANGUEMIN" w:val="en"/>
    <w:docVar w:name="TXTNRBUD" w:val="2021/0078"/>
    <w:docVar w:name="TXTNRC" w:val="0000/2021"/>
    <w:docVar w:name="TXTNRCOM" w:val="XXX"/>
    <w:docVar w:name="TXTNRCOUNC" w:val="00000/2021"/>
    <w:docVar w:name="TXTNRDAB" w:val="2"/>
    <w:docVar w:name="TXTNRPE" w:val="691.224"/>
    <w:docVar w:name="TXTPEorAP" w:val="PE"/>
    <w:docVar w:name="TXTROUTE" w:val="RR\1230924EN.docx"/>
    <w:docVar w:name="TXTVERSION" w:val="02-00"/>
  </w:docVars>
  <w:rsids>
    <w:rsidRoot w:val="007E0652"/>
    <w:rsid w:val="000018EE"/>
    <w:rsid w:val="00007893"/>
    <w:rsid w:val="000226B0"/>
    <w:rsid w:val="000324D4"/>
    <w:rsid w:val="000404FE"/>
    <w:rsid w:val="00045F86"/>
    <w:rsid w:val="00057DE7"/>
    <w:rsid w:val="000E3D68"/>
    <w:rsid w:val="00135FEA"/>
    <w:rsid w:val="00151E6D"/>
    <w:rsid w:val="00152F43"/>
    <w:rsid w:val="0017450C"/>
    <w:rsid w:val="00184321"/>
    <w:rsid w:val="001B682C"/>
    <w:rsid w:val="001D6C47"/>
    <w:rsid w:val="00226689"/>
    <w:rsid w:val="00233823"/>
    <w:rsid w:val="00246A74"/>
    <w:rsid w:val="00247E1E"/>
    <w:rsid w:val="0025563C"/>
    <w:rsid w:val="002678FE"/>
    <w:rsid w:val="002714EB"/>
    <w:rsid w:val="00285943"/>
    <w:rsid w:val="002930F3"/>
    <w:rsid w:val="00294E99"/>
    <w:rsid w:val="002A3E24"/>
    <w:rsid w:val="002D2475"/>
    <w:rsid w:val="002D6EBB"/>
    <w:rsid w:val="002E6E5A"/>
    <w:rsid w:val="00321B1E"/>
    <w:rsid w:val="003246C8"/>
    <w:rsid w:val="00332F58"/>
    <w:rsid w:val="003477BB"/>
    <w:rsid w:val="00364812"/>
    <w:rsid w:val="00387D59"/>
    <w:rsid w:val="003D5A57"/>
    <w:rsid w:val="00414159"/>
    <w:rsid w:val="00436BF0"/>
    <w:rsid w:val="0045077A"/>
    <w:rsid w:val="0045495B"/>
    <w:rsid w:val="0048191A"/>
    <w:rsid w:val="004B6A35"/>
    <w:rsid w:val="004C30DA"/>
    <w:rsid w:val="004D0149"/>
    <w:rsid w:val="00506405"/>
    <w:rsid w:val="00533A78"/>
    <w:rsid w:val="0057259B"/>
    <w:rsid w:val="00585EFA"/>
    <w:rsid w:val="005A273A"/>
    <w:rsid w:val="0060242C"/>
    <w:rsid w:val="00637CDC"/>
    <w:rsid w:val="00661ECC"/>
    <w:rsid w:val="00671805"/>
    <w:rsid w:val="00681D37"/>
    <w:rsid w:val="00691414"/>
    <w:rsid w:val="00691635"/>
    <w:rsid w:val="006942A7"/>
    <w:rsid w:val="006D6516"/>
    <w:rsid w:val="006E1229"/>
    <w:rsid w:val="00702830"/>
    <w:rsid w:val="00702C8D"/>
    <w:rsid w:val="00706878"/>
    <w:rsid w:val="00713658"/>
    <w:rsid w:val="00742829"/>
    <w:rsid w:val="0074723E"/>
    <w:rsid w:val="00772EC8"/>
    <w:rsid w:val="007B2901"/>
    <w:rsid w:val="007E0652"/>
    <w:rsid w:val="007F7FA6"/>
    <w:rsid w:val="008239BD"/>
    <w:rsid w:val="00824B38"/>
    <w:rsid w:val="008313FA"/>
    <w:rsid w:val="00863BD9"/>
    <w:rsid w:val="008679BA"/>
    <w:rsid w:val="00881007"/>
    <w:rsid w:val="00887419"/>
    <w:rsid w:val="008B331C"/>
    <w:rsid w:val="008C750D"/>
    <w:rsid w:val="008D3A88"/>
    <w:rsid w:val="009151BB"/>
    <w:rsid w:val="00925749"/>
    <w:rsid w:val="009556F7"/>
    <w:rsid w:val="009A6474"/>
    <w:rsid w:val="009B1332"/>
    <w:rsid w:val="009C163A"/>
    <w:rsid w:val="009C4C04"/>
    <w:rsid w:val="009C6617"/>
    <w:rsid w:val="009D230B"/>
    <w:rsid w:val="009E14E1"/>
    <w:rsid w:val="009E3D35"/>
    <w:rsid w:val="00A012E2"/>
    <w:rsid w:val="00AC252D"/>
    <w:rsid w:val="00AD20BC"/>
    <w:rsid w:val="00AD2E0B"/>
    <w:rsid w:val="00B118B3"/>
    <w:rsid w:val="00B46239"/>
    <w:rsid w:val="00B843F1"/>
    <w:rsid w:val="00BA48ED"/>
    <w:rsid w:val="00BB46AD"/>
    <w:rsid w:val="00BE157D"/>
    <w:rsid w:val="00C02654"/>
    <w:rsid w:val="00C20364"/>
    <w:rsid w:val="00C20F44"/>
    <w:rsid w:val="00C23ADB"/>
    <w:rsid w:val="00C6226C"/>
    <w:rsid w:val="00C64197"/>
    <w:rsid w:val="00C73CFE"/>
    <w:rsid w:val="00C91266"/>
    <w:rsid w:val="00C96001"/>
    <w:rsid w:val="00CA1158"/>
    <w:rsid w:val="00CB35E4"/>
    <w:rsid w:val="00CC2033"/>
    <w:rsid w:val="00CE3732"/>
    <w:rsid w:val="00D36625"/>
    <w:rsid w:val="00D47DA0"/>
    <w:rsid w:val="00D70F5C"/>
    <w:rsid w:val="00DB7028"/>
    <w:rsid w:val="00E212B3"/>
    <w:rsid w:val="00E37820"/>
    <w:rsid w:val="00E428B6"/>
    <w:rsid w:val="00EF4C5B"/>
    <w:rsid w:val="00F17674"/>
    <w:rsid w:val="00F662B0"/>
    <w:rsid w:val="00F77813"/>
    <w:rsid w:val="00FB5D9F"/>
    <w:rsid w:val="00FD11E1"/>
    <w:rsid w:val="00FE6C9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FE369C-6226-459E-BDC4-73CD7A86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E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57259B"/>
    <w:pPr>
      <w:spacing w:before="480" w:after="240"/>
    </w:pPr>
  </w:style>
  <w:style w:type="paragraph" w:styleId="TOC1">
    <w:name w:val="toc 1"/>
    <w:basedOn w:val="Normal"/>
    <w:next w:val="Normal"/>
    <w:autoRedefine/>
    <w:uiPriority w:val="39"/>
    <w:rsid w:val="00A012E2"/>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AD2E0B"/>
    <w:pPr>
      <w:spacing w:before="80" w:after="80"/>
    </w:pPr>
    <w:rPr>
      <w:rFonts w:ascii="Arial Narrow" w:hAnsi="Arial Narrow" w:cs="Arial"/>
      <w:b/>
      <w:sz w:val="32"/>
      <w:szCs w:val="22"/>
    </w:rPr>
  </w:style>
  <w:style w:type="paragraph" w:customStyle="1" w:styleId="CoverNormal24a">
    <w:name w:val="CoverNormal24a"/>
    <w:basedOn w:val="Normal"/>
    <w:rsid w:val="000018EE"/>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414159"/>
    <w:pPr>
      <w:spacing w:before="1080"/>
      <w:jc w:val="right"/>
    </w:pPr>
    <w:rPr>
      <w:rFonts w:ascii="Arial" w:hAnsi="Arial" w:cs="Arial"/>
      <w:b/>
    </w:rPr>
  </w:style>
  <w:style w:type="paragraph" w:customStyle="1" w:styleId="CoverDocType24a">
    <w:name w:val="CoverDocType24a"/>
    <w:basedOn w:val="Normal"/>
    <w:rsid w:val="000018EE"/>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681D37"/>
    <w:pPr>
      <w:tabs>
        <w:tab w:val="center" w:pos="4513"/>
        <w:tab w:val="right" w:pos="9026"/>
      </w:tabs>
    </w:pPr>
  </w:style>
  <w:style w:type="table" w:styleId="TableGrid">
    <w:name w:val="Table Grid"/>
    <w:basedOn w:val="TableNormal"/>
    <w:rsid w:val="007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72EC8"/>
    <w:pPr>
      <w:jc w:val="center"/>
    </w:pPr>
    <w:rPr>
      <w:rFonts w:ascii="Arial" w:hAnsi="Arial" w:cs="Arial"/>
      <w:i/>
      <w:sz w:val="22"/>
      <w:szCs w:val="22"/>
    </w:rPr>
  </w:style>
  <w:style w:type="paragraph" w:customStyle="1" w:styleId="LineTop">
    <w:name w:val="LineTop"/>
    <w:basedOn w:val="Normal"/>
    <w:next w:val="Normal"/>
    <w:rsid w:val="00772EC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72EC8"/>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AD2E0B"/>
    <w:pPr>
      <w:spacing w:after="80"/>
    </w:pPr>
    <w:rPr>
      <w:rFonts w:ascii="Arial" w:hAnsi="Arial" w:cs="Arial"/>
      <w:sz w:val="20"/>
      <w:szCs w:val="22"/>
    </w:rPr>
  </w:style>
  <w:style w:type="paragraph" w:customStyle="1" w:styleId="EPLogo">
    <w:name w:val="EPLogo"/>
    <w:basedOn w:val="Normal"/>
    <w:qFormat/>
    <w:rsid w:val="00AD2E0B"/>
    <w:pPr>
      <w:jc w:val="right"/>
    </w:pPr>
  </w:style>
  <w:style w:type="paragraph" w:customStyle="1" w:styleId="EPFooter">
    <w:name w:val="EPFooter"/>
    <w:basedOn w:val="Normal"/>
    <w:rsid w:val="000018EE"/>
    <w:pPr>
      <w:tabs>
        <w:tab w:val="center" w:pos="4535"/>
        <w:tab w:val="right" w:pos="9071"/>
      </w:tabs>
      <w:spacing w:before="240" w:after="240"/>
    </w:pPr>
    <w:rPr>
      <w:color w:val="010000"/>
      <w:sz w:val="22"/>
    </w:rPr>
  </w:style>
  <w:style w:type="character" w:styleId="PageNumber">
    <w:name w:val="page number"/>
    <w:basedOn w:val="DefaultParagraphFont"/>
    <w:semiHidden/>
    <w:rsid w:val="00691635"/>
  </w:style>
  <w:style w:type="character" w:customStyle="1" w:styleId="HeaderChar">
    <w:name w:val="Header Char"/>
    <w:basedOn w:val="DefaultParagraphFont"/>
    <w:link w:val="Header"/>
    <w:semiHidden/>
    <w:rsid w:val="00681D37"/>
    <w:rPr>
      <w:sz w:val="24"/>
    </w:rPr>
  </w:style>
  <w:style w:type="paragraph" w:styleId="FootnoteText">
    <w:name w:val="footnote text"/>
    <w:basedOn w:val="Normal"/>
    <w:link w:val="FootnoteTextChar"/>
    <w:rsid w:val="00F77813"/>
    <w:rPr>
      <w:sz w:val="20"/>
    </w:rPr>
  </w:style>
  <w:style w:type="character" w:customStyle="1" w:styleId="FootnoteTextChar">
    <w:name w:val="Footnote Text Char"/>
    <w:basedOn w:val="DefaultParagraphFont"/>
    <w:link w:val="FootnoteText"/>
    <w:rsid w:val="00F77813"/>
  </w:style>
  <w:style w:type="character" w:styleId="FootnoteReference">
    <w:name w:val="footnote reference"/>
    <w:basedOn w:val="DefaultParagraphFont"/>
    <w:rsid w:val="00F77813"/>
    <w:rPr>
      <w:vertAlign w:val="superscript"/>
    </w:rPr>
  </w:style>
  <w:style w:type="paragraph" w:styleId="Footer">
    <w:name w:val="footer"/>
    <w:basedOn w:val="Normal"/>
    <w:link w:val="FooterChar"/>
    <w:semiHidden/>
    <w:rsid w:val="009E3D35"/>
    <w:pPr>
      <w:tabs>
        <w:tab w:val="center" w:pos="4513"/>
        <w:tab w:val="right" w:pos="9026"/>
      </w:tabs>
    </w:pPr>
  </w:style>
  <w:style w:type="character" w:customStyle="1" w:styleId="FooterChar">
    <w:name w:val="Footer Char"/>
    <w:basedOn w:val="DefaultParagraphFont"/>
    <w:link w:val="Footer"/>
    <w:semiHidden/>
    <w:rsid w:val="009E3D35"/>
    <w:rPr>
      <w:sz w:val="24"/>
    </w:rPr>
  </w:style>
  <w:style w:type="paragraph" w:styleId="BalloonText">
    <w:name w:val="Balloon Text"/>
    <w:basedOn w:val="Normal"/>
    <w:link w:val="BalloonTextChar"/>
    <w:semiHidden/>
    <w:unhideWhenUsed/>
    <w:rsid w:val="00184321"/>
    <w:rPr>
      <w:rFonts w:ascii="Segoe UI" w:hAnsi="Segoe UI" w:cs="Segoe UI"/>
      <w:sz w:val="18"/>
      <w:szCs w:val="18"/>
    </w:rPr>
  </w:style>
  <w:style w:type="character" w:customStyle="1" w:styleId="BalloonTextChar">
    <w:name w:val="Balloon Text Char"/>
    <w:basedOn w:val="DefaultParagraphFont"/>
    <w:link w:val="BalloonText"/>
    <w:semiHidden/>
    <w:rsid w:val="00184321"/>
    <w:rPr>
      <w:rFonts w:ascii="Segoe UI" w:hAnsi="Segoe UI" w:cs="Segoe UI"/>
      <w:sz w:val="18"/>
      <w:szCs w:val="18"/>
    </w:rPr>
  </w:style>
  <w:style w:type="character" w:customStyle="1" w:styleId="NormalHanging12aChar">
    <w:name w:val="NormalHanging12a Char"/>
    <w:basedOn w:val="DefaultParagraphFont"/>
    <w:link w:val="NormalHanging12a"/>
    <w:rsid w:val="003246C8"/>
    <w:rPr>
      <w:sz w:val="24"/>
    </w:rPr>
  </w:style>
  <w:style w:type="paragraph" w:customStyle="1" w:styleId="Normal12a">
    <w:name w:val="Normal12a"/>
    <w:basedOn w:val="Normal"/>
    <w:rsid w:val="00CC2033"/>
    <w:pPr>
      <w:spacing w:after="240"/>
    </w:pPr>
  </w:style>
  <w:style w:type="paragraph" w:customStyle="1" w:styleId="RollCallSymbols14pt">
    <w:name w:val="RollCallSymbols14pt"/>
    <w:basedOn w:val="Normal"/>
    <w:rsid w:val="00CC2033"/>
    <w:pPr>
      <w:snapToGrid w:val="0"/>
      <w:spacing w:before="120" w:after="120"/>
      <w:jc w:val="center"/>
    </w:pPr>
    <w:rPr>
      <w:rFonts w:ascii="Arial" w:hAnsi="Arial"/>
      <w:b/>
      <w:bCs/>
      <w:sz w:val="28"/>
      <w:lang w:eastAsia="en-US"/>
    </w:rPr>
  </w:style>
  <w:style w:type="paragraph" w:customStyle="1" w:styleId="RollCallTabs">
    <w:name w:val="RollCallTabs"/>
    <w:basedOn w:val="Normal"/>
    <w:qFormat/>
    <w:rsid w:val="00CC2033"/>
    <w:pPr>
      <w:tabs>
        <w:tab w:val="center" w:pos="284"/>
        <w:tab w:val="left" w:pos="426"/>
      </w:tabs>
      <w:snapToGrid w:val="0"/>
    </w:pPr>
    <w:rPr>
      <w:lang w:eastAsia="en-US"/>
    </w:rPr>
  </w:style>
  <w:style w:type="paragraph" w:customStyle="1" w:styleId="RollCallVotes">
    <w:name w:val="RollCallVotes"/>
    <w:basedOn w:val="Normal"/>
    <w:rsid w:val="00CC2033"/>
    <w:pPr>
      <w:snapToGrid w:val="0"/>
      <w:spacing w:before="120" w:after="120"/>
      <w:jc w:val="center"/>
    </w:pPr>
    <w:rPr>
      <w:b/>
      <w:bCs/>
      <w:sz w:val="16"/>
      <w:lang w:eastAsia="en-US"/>
    </w:rPr>
  </w:style>
  <w:style w:type="paragraph" w:customStyle="1" w:styleId="RollCallTable">
    <w:name w:val="RollCallTable"/>
    <w:basedOn w:val="Normal"/>
    <w:rsid w:val="00CC2033"/>
    <w:pPr>
      <w:snapToGrid w:val="0"/>
      <w:spacing w:before="120" w:after="120"/>
    </w:pPr>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620">
      <w:bodyDiv w:val="1"/>
      <w:marLeft w:val="0"/>
      <w:marRight w:val="0"/>
      <w:marTop w:val="0"/>
      <w:marBottom w:val="0"/>
      <w:divBdr>
        <w:top w:val="none" w:sz="0" w:space="0" w:color="auto"/>
        <w:left w:val="none" w:sz="0" w:space="0" w:color="auto"/>
        <w:bottom w:val="none" w:sz="0" w:space="0" w:color="auto"/>
        <w:right w:val="none" w:sz="0" w:space="0" w:color="auto"/>
      </w:divBdr>
    </w:div>
    <w:div w:id="402532728">
      <w:bodyDiv w:val="1"/>
      <w:marLeft w:val="0"/>
      <w:marRight w:val="0"/>
      <w:marTop w:val="0"/>
      <w:marBottom w:val="0"/>
      <w:divBdr>
        <w:top w:val="none" w:sz="0" w:space="0" w:color="auto"/>
        <w:left w:val="none" w:sz="0" w:space="0" w:color="auto"/>
        <w:bottom w:val="none" w:sz="0" w:space="0" w:color="auto"/>
        <w:right w:val="none" w:sz="0" w:space="0" w:color="auto"/>
      </w:divBdr>
    </w:div>
    <w:div w:id="690692184">
      <w:bodyDiv w:val="1"/>
      <w:marLeft w:val="0"/>
      <w:marRight w:val="0"/>
      <w:marTop w:val="0"/>
      <w:marBottom w:val="0"/>
      <w:divBdr>
        <w:top w:val="none" w:sz="0" w:space="0" w:color="auto"/>
        <w:left w:val="none" w:sz="0" w:space="0" w:color="auto"/>
        <w:bottom w:val="none" w:sz="0" w:space="0" w:color="auto"/>
        <w:right w:val="none" w:sz="0" w:space="0" w:color="auto"/>
      </w:divBdr>
    </w:div>
    <w:div w:id="15658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1254</Words>
  <Characters>7052</Characters>
  <Application>Microsoft Office Word</Application>
  <DocSecurity>0</DocSecurity>
  <Lines>201</Lines>
  <Paragraphs>106</Paragraphs>
  <ScaleCrop>false</ScaleCrop>
  <HeadingPairs>
    <vt:vector size="2" baseType="variant">
      <vt:variant>
        <vt:lpstr>Title</vt:lpstr>
      </vt:variant>
      <vt:variant>
        <vt:i4>1</vt:i4>
      </vt:variant>
    </vt:vector>
  </HeadingPairs>
  <TitlesOfParts>
    <vt:vector size="1" baseType="lpstr">
      <vt:lpstr>PR_BUD_DABapp</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PR_BUD_DABapp</dc:title>
  <dc:subject/>
  <dc:creator>FRAGKOU Dimitra</dc:creator>
  <cp:keywords/>
  <dc:description/>
  <cp:lastModifiedBy>HORGASZ Tamas</cp:lastModifiedBy>
  <cp:revision>6</cp:revision>
  <cp:lastPrinted>2004-05-27T07:49:00Z</cp:lastPrinted>
  <dcterms:created xsi:type="dcterms:W3CDTF">2021-05-12T09:15:00Z</dcterms:created>
  <dcterms:modified xsi:type="dcterms:W3CDTF">2021-05-12T09:53:00Z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1231348</vt:lpwstr>
  </property>
  <property fmtid="{D5CDD505-2E9C-101B-9397-08002B2CF9AE}" pid="6" name="&lt;Type&gt;">
    <vt:lpwstr>RR</vt:lpwstr>
  </property>
  <property fmtid="{D5CDD505-2E9C-101B-9397-08002B2CF9AE}" pid="7" name="&lt;ModelCod&gt;">
    <vt:lpwstr>\\eiciBRUpr1\pdocep$\DocEP\DOCS\General\PR\PR_BUD\BUDGET\BUD\PR_BUD_DABapp.dotx(29/06/2020 06:46:08)</vt:lpwstr>
  </property>
  <property fmtid="{D5CDD505-2E9C-101B-9397-08002B2CF9AE}" pid="8" name="&lt;ModelTra&gt;">
    <vt:lpwstr>\\eiciBRUpr1\pdocep$\DocEP\TRANSFIL\EN\PR_BUD_DABapp.EN(17/09/2019 20:03:41)</vt:lpwstr>
  </property>
  <property fmtid="{D5CDD505-2E9C-101B-9397-08002B2CF9AE}" pid="9" name="&lt;Model&gt;">
    <vt:lpwstr>PR_BUD_DABapp</vt:lpwstr>
  </property>
  <property fmtid="{D5CDD505-2E9C-101B-9397-08002B2CF9AE}" pid="10" name="FooterPath">
    <vt:lpwstr>RR\1230924EN.docx</vt:lpwstr>
  </property>
  <property fmtid="{D5CDD505-2E9C-101B-9397-08002B2CF9AE}" pid="11" name="PE number">
    <vt:lpwstr>691.224</vt:lpwstr>
  </property>
  <property fmtid="{D5CDD505-2E9C-101B-9397-08002B2CF9AE}" pid="12" name="SendToEpades">
    <vt:lpwstr/>
  </property>
</Properties>
</file>