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72E8E" w:rsidRPr="006F5AFA" w:rsidTr="00C85D0F">
        <w:trPr>
          <w:trHeight w:hRule="exact" w:val="1418"/>
        </w:trPr>
        <w:tc>
          <w:tcPr>
            <w:tcW w:w="6804" w:type="dxa"/>
            <w:shd w:val="clear" w:color="auto" w:fill="auto"/>
            <w:vAlign w:val="center"/>
          </w:tcPr>
          <w:p w:rsidR="00872E8E" w:rsidRPr="006F5AFA" w:rsidRDefault="008B4F4B" w:rsidP="00C85D0F">
            <w:pPr>
              <w:pStyle w:val="EPName"/>
            </w:pPr>
            <w:bookmarkStart w:id="0" w:name="_GoBack"/>
            <w:bookmarkEnd w:id="0"/>
            <w:r>
              <w:t>Parlement européen</w:t>
            </w:r>
          </w:p>
          <w:p w:rsidR="00872E8E" w:rsidRPr="006F5AFA" w:rsidRDefault="00E62EE5" w:rsidP="00E62EE5">
            <w:pPr>
              <w:pStyle w:val="EPTerm"/>
            </w:pPr>
            <w:r>
              <w:t>2019-2024</w:t>
            </w:r>
          </w:p>
        </w:tc>
        <w:tc>
          <w:tcPr>
            <w:tcW w:w="2268" w:type="dxa"/>
            <w:shd w:val="clear" w:color="auto" w:fill="auto"/>
          </w:tcPr>
          <w:p w:rsidR="00872E8E" w:rsidRPr="006F5AFA" w:rsidRDefault="00872E8E" w:rsidP="00C85D0F">
            <w:pPr>
              <w:pStyle w:val="EPLogo"/>
            </w:pPr>
            <w:r w:rsidRPr="006F5AFA">
              <w:rPr>
                <w:noProof/>
                <w:lang w:eastAsia="fr-FR"/>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2E9" w:rsidRPr="006F5AFA" w:rsidRDefault="001742E9" w:rsidP="001742E9">
      <w:pPr>
        <w:pStyle w:val="LineTop"/>
      </w:pPr>
    </w:p>
    <w:p w:rsidR="001742E9" w:rsidRPr="006F5AFA" w:rsidRDefault="003B25F2" w:rsidP="001742E9">
      <w:pPr>
        <w:pStyle w:val="EPBody"/>
      </w:pPr>
      <w:r>
        <w:t>Document de séance</w:t>
      </w:r>
    </w:p>
    <w:p w:rsidR="001742E9" w:rsidRPr="006F5AFA" w:rsidRDefault="001742E9" w:rsidP="001742E9">
      <w:pPr>
        <w:pStyle w:val="LineBottom"/>
      </w:pPr>
    </w:p>
    <w:p w:rsidR="00B328A0" w:rsidRPr="006F5AFA" w:rsidRDefault="003B25F2">
      <w:pPr>
        <w:pStyle w:val="CoverReference"/>
      </w:pPr>
      <w:r>
        <w:rPr>
          <w:rStyle w:val="HideTWBExt"/>
        </w:rPr>
        <w:t>&lt;NoDocSe&gt;</w:t>
      </w:r>
      <w:r>
        <w:t>A9-0167/2021</w:t>
      </w:r>
      <w:r>
        <w:rPr>
          <w:rStyle w:val="HideTWBExt"/>
        </w:rPr>
        <w:t>&lt;/NoDocSe&gt;</w:t>
      </w:r>
    </w:p>
    <w:p w:rsidR="00B328A0" w:rsidRPr="006F5AFA" w:rsidRDefault="00B328A0">
      <w:pPr>
        <w:pStyle w:val="CoverDate"/>
      </w:pPr>
      <w:r>
        <w:rPr>
          <w:rStyle w:val="HideTWBExt"/>
        </w:rPr>
        <w:t>&lt;Date&gt;</w:t>
      </w:r>
      <w:r>
        <w:rPr>
          <w:rStyle w:val="HideTWBInt"/>
        </w:rPr>
        <w:t>{17/05/2021}</w:t>
      </w:r>
      <w:r>
        <w:t>17.5.2021</w:t>
      </w:r>
      <w:r>
        <w:rPr>
          <w:rStyle w:val="HideTWBExt"/>
        </w:rPr>
        <w:t>&lt;/Date&gt;</w:t>
      </w:r>
    </w:p>
    <w:p w:rsidR="00B328A0" w:rsidRPr="006F5AFA" w:rsidRDefault="00B328A0">
      <w:pPr>
        <w:pStyle w:val="CoverDocType"/>
      </w:pPr>
      <w:r>
        <w:rPr>
          <w:rStyle w:val="HideTWBExt"/>
          <w:b w:val="0"/>
        </w:rPr>
        <w:t>&lt;RefProcLect&gt;</w:t>
      </w:r>
      <w:r>
        <w:t>***II</w:t>
      </w:r>
      <w:r>
        <w:rPr>
          <w:rStyle w:val="HideTWBExt"/>
          <w:b w:val="0"/>
        </w:rPr>
        <w:t>&lt;/RefProcLect&gt;</w:t>
      </w:r>
    </w:p>
    <w:p w:rsidR="00B328A0" w:rsidRPr="006F5AFA" w:rsidRDefault="00B328A0">
      <w:pPr>
        <w:pStyle w:val="CoverDocType24a"/>
      </w:pPr>
      <w:r>
        <w:rPr>
          <w:rStyle w:val="HideTWBExt"/>
          <w:b w:val="0"/>
        </w:rPr>
        <w:t>&lt;TitreType&gt;</w:t>
      </w:r>
      <w:r>
        <w:t>RECOMMANDATION POUR LA DEUXIÈME LECTURE</w:t>
      </w:r>
      <w:r>
        <w:rPr>
          <w:rStyle w:val="HideTWBExt"/>
          <w:b w:val="0"/>
        </w:rPr>
        <w:t>&lt;/TitreType&gt;</w:t>
      </w:r>
    </w:p>
    <w:p w:rsidR="00B328A0" w:rsidRPr="00EB78A4" w:rsidRDefault="00B328A0">
      <w:pPr>
        <w:pStyle w:val="CoverNormal"/>
      </w:pPr>
      <w:r w:rsidRPr="001742F3">
        <w:rPr>
          <w:rStyle w:val="HideTWBExt"/>
        </w:rPr>
        <w:t>&lt;Titre&gt;</w:t>
      </w:r>
      <w:r>
        <w:t>sur la position du Conseil en première lecture en vue de l’adoption du règlement du Parlement européen et du Conseil établissant le programme «Fiscalis» aux fins de la coopération dans le domaine fiscal et abrogeant le règlement (UE) nº 1286/2013</w:t>
      </w:r>
      <w:r w:rsidRPr="001742F3">
        <w:rPr>
          <w:rStyle w:val="HideTWBExt"/>
        </w:rPr>
        <w:t>&lt;/Titre&gt;</w:t>
      </w:r>
    </w:p>
    <w:p w:rsidR="00B328A0" w:rsidRPr="006F5AFA" w:rsidRDefault="00B328A0">
      <w:pPr>
        <w:pStyle w:val="CoverNormal24a"/>
      </w:pPr>
      <w:r>
        <w:rPr>
          <w:rStyle w:val="HideTWBExt"/>
        </w:rPr>
        <w:t>&lt;DocRef&gt;</w:t>
      </w:r>
      <w:r>
        <w:t>(06116/1/2021 – C9-0179/2021 – 2018/0233(COD))</w:t>
      </w:r>
      <w:r>
        <w:rPr>
          <w:rStyle w:val="HideTWBExt"/>
        </w:rPr>
        <w:t>&lt;/DocRef&gt;</w:t>
      </w:r>
    </w:p>
    <w:p w:rsidR="00B328A0" w:rsidRPr="006F5AFA" w:rsidRDefault="00B328A0">
      <w:pPr>
        <w:pStyle w:val="CoverNormal24a"/>
      </w:pPr>
      <w:r>
        <w:rPr>
          <w:rStyle w:val="HideTWBExt"/>
        </w:rPr>
        <w:t>&lt;Commission&gt;</w:t>
      </w:r>
      <w:r>
        <w:rPr>
          <w:rStyle w:val="HideTWBInt"/>
        </w:rPr>
        <w:t>{ECON}</w:t>
      </w:r>
      <w:r>
        <w:t>Commission des affaires économiques et monétaires</w:t>
      </w:r>
      <w:r>
        <w:rPr>
          <w:rStyle w:val="HideTWBExt"/>
        </w:rPr>
        <w:t>&lt;/Commission&gt;</w:t>
      </w:r>
    </w:p>
    <w:p w:rsidR="00B328A0" w:rsidRPr="006F5AFA" w:rsidRDefault="008B4F4B">
      <w:pPr>
        <w:pStyle w:val="CoverNormal24a"/>
      </w:pPr>
      <w:r>
        <w:t xml:space="preserve">Rapporteur: </w:t>
      </w:r>
      <w:r>
        <w:rPr>
          <w:rStyle w:val="HideTWBExt"/>
        </w:rPr>
        <w:t>&lt;Depute&gt;</w:t>
      </w:r>
      <w:r>
        <w:t>Sven Giegold</w:t>
      </w:r>
      <w:r>
        <w:rPr>
          <w:rStyle w:val="HideTWBExt"/>
        </w:rPr>
        <w:t>&lt;/Depute&gt;</w:t>
      </w:r>
    </w:p>
    <w:p w:rsidR="00E91F5F" w:rsidRPr="006F5AFA" w:rsidRDefault="00E91F5F" w:rsidP="00E91F5F">
      <w:pPr>
        <w:pStyle w:val="CoverNormal"/>
      </w:pPr>
    </w:p>
    <w:p w:rsidR="00E62EE5" w:rsidRPr="006F5AFA" w:rsidRDefault="00B328A0" w:rsidP="00894923">
      <w:r>
        <w:br w:type="page"/>
      </w:r>
      <w:fldSimple w:instr=" TITLE  \* MERGEFORMAT ">
        <w:r w:rsidR="001742F3">
          <w:t>PR_COD_2app</w:t>
        </w:r>
      </w:fldSimple>
    </w:p>
    <w:p w:rsidR="00E62EE5" w:rsidRPr="006F5AFA" w:rsidRDefault="00E62EE5" w:rsidP="00894923"/>
    <w:p w:rsidR="00E62EE5" w:rsidRPr="006F5AFA" w:rsidRDefault="00E62EE5"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62EE5" w:rsidRPr="006F5AFA">
        <w:tc>
          <w:tcPr>
            <w:tcW w:w="5811" w:type="dxa"/>
          </w:tcPr>
          <w:p w:rsidR="00E62EE5" w:rsidRPr="006F5AFA" w:rsidRDefault="00E62EE5" w:rsidP="00894923">
            <w:pPr>
              <w:pStyle w:val="Lgendetitre"/>
            </w:pPr>
            <w:r>
              <w:t>Légende des signes utilisés</w:t>
            </w:r>
          </w:p>
        </w:tc>
      </w:tr>
      <w:tr w:rsidR="00E62EE5" w:rsidRPr="006F5AFA" w:rsidTr="007452CB">
        <w:trPr>
          <w:cantSplit/>
          <w:trHeight w:val="1807"/>
        </w:trPr>
        <w:tc>
          <w:tcPr>
            <w:tcW w:w="5811" w:type="dxa"/>
            <w:tcBorders>
              <w:bottom w:val="single" w:sz="4" w:space="0" w:color="auto"/>
            </w:tcBorders>
          </w:tcPr>
          <w:p w:rsidR="00E62EE5" w:rsidRPr="006F5AFA" w:rsidRDefault="00E62EE5" w:rsidP="003506ED">
            <w:pPr>
              <w:pStyle w:val="Lgendesigne"/>
            </w:pPr>
            <w:r>
              <w:tab/>
              <w:t>*</w:t>
            </w:r>
            <w:r>
              <w:tab/>
              <w:t>Procédure de consultation</w:t>
            </w:r>
          </w:p>
          <w:p w:rsidR="00E62EE5" w:rsidRPr="006F5AFA" w:rsidRDefault="00E62EE5" w:rsidP="003506ED">
            <w:pPr>
              <w:pStyle w:val="Lgendesigne"/>
            </w:pPr>
            <w:r>
              <w:tab/>
              <w:t>***</w:t>
            </w:r>
            <w:r>
              <w:tab/>
              <w:t>Procédure d’approbation</w:t>
            </w:r>
          </w:p>
          <w:p w:rsidR="00E62EE5" w:rsidRPr="006F5AFA" w:rsidRDefault="00E62EE5" w:rsidP="003506ED">
            <w:pPr>
              <w:pStyle w:val="Lgendesigne"/>
            </w:pPr>
            <w:r>
              <w:tab/>
              <w:t>***I</w:t>
            </w:r>
            <w:r>
              <w:tab/>
              <w:t>Procédure législative ordinaire (première lecture)</w:t>
            </w:r>
          </w:p>
          <w:p w:rsidR="00E62EE5" w:rsidRPr="006F5AFA" w:rsidRDefault="00E62EE5" w:rsidP="003506ED">
            <w:pPr>
              <w:pStyle w:val="Lgendesigne"/>
            </w:pPr>
            <w:r>
              <w:tab/>
              <w:t>***II</w:t>
            </w:r>
            <w:r>
              <w:tab/>
              <w:t>Procédure législative ordinaire (deuxième lecture)</w:t>
            </w:r>
          </w:p>
          <w:p w:rsidR="00E62EE5" w:rsidRPr="006F5AFA" w:rsidRDefault="00E62EE5" w:rsidP="003506ED">
            <w:pPr>
              <w:pStyle w:val="Lgendesigne"/>
            </w:pPr>
            <w:r>
              <w:tab/>
              <w:t>***III</w:t>
            </w:r>
            <w:r>
              <w:tab/>
              <w:t>Procédure législative ordinaire (troisième lecture)</w:t>
            </w:r>
          </w:p>
          <w:p w:rsidR="00E62EE5" w:rsidRPr="006F5AFA" w:rsidRDefault="00E62EE5" w:rsidP="003506ED">
            <w:pPr>
              <w:pStyle w:val="Lgendestandard"/>
            </w:pPr>
          </w:p>
          <w:p w:rsidR="00E62EE5" w:rsidRPr="006F5AFA" w:rsidRDefault="00E62EE5" w:rsidP="003506ED">
            <w:pPr>
              <w:pStyle w:val="Lgendestandard"/>
            </w:pPr>
            <w:r>
              <w:t>(La procédure indiquée est fondée sur la base juridique proposée par le projet d’acte.)</w:t>
            </w:r>
          </w:p>
          <w:p w:rsidR="00E62EE5" w:rsidRPr="006F5AFA" w:rsidRDefault="00E62EE5" w:rsidP="00B54EAF">
            <w:pPr>
              <w:pStyle w:val="Lgendestandard"/>
            </w:pPr>
          </w:p>
        </w:tc>
      </w:tr>
    </w:tbl>
    <w:p w:rsidR="00E62EE5" w:rsidRPr="006F5AFA" w:rsidRDefault="00E62EE5" w:rsidP="00894923"/>
    <w:p w:rsidR="00E62EE5" w:rsidRPr="006F5AFA" w:rsidRDefault="00E62EE5" w:rsidP="00894923"/>
    <w:p w:rsidR="00E62EE5" w:rsidRPr="006F5AFA" w:rsidRDefault="00E62EE5" w:rsidP="00894923"/>
    <w:p w:rsidR="00E62EE5" w:rsidRPr="006F5AFA" w:rsidRDefault="00E62EE5"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62EE5" w:rsidRPr="006F5AFA">
        <w:tc>
          <w:tcPr>
            <w:tcW w:w="5811" w:type="dxa"/>
          </w:tcPr>
          <w:p w:rsidR="00E62EE5" w:rsidRPr="006F5AFA" w:rsidRDefault="00E62EE5" w:rsidP="00894923">
            <w:pPr>
              <w:pStyle w:val="Lgendetitre"/>
            </w:pPr>
            <w:r>
              <w:t>Amendements à un projet d’acte</w:t>
            </w:r>
          </w:p>
        </w:tc>
      </w:tr>
      <w:tr w:rsidR="00E62EE5" w:rsidRPr="006F5AFA" w:rsidTr="00554250">
        <w:trPr>
          <w:trHeight w:val="4496"/>
        </w:trPr>
        <w:tc>
          <w:tcPr>
            <w:tcW w:w="5811" w:type="dxa"/>
          </w:tcPr>
          <w:p w:rsidR="00E62EE5" w:rsidRPr="006F5AFA" w:rsidRDefault="00E62EE5" w:rsidP="003506ED">
            <w:pPr>
              <w:pStyle w:val="Lgendestandard"/>
              <w:rPr>
                <w:szCs w:val="24"/>
              </w:rPr>
            </w:pPr>
            <w:r>
              <w:rPr>
                <w:b/>
                <w:szCs w:val="24"/>
              </w:rPr>
              <w:t>Amendements du Parlement présentés en deux colonnes</w:t>
            </w:r>
          </w:p>
          <w:p w:rsidR="00E62EE5" w:rsidRPr="006F5AFA" w:rsidRDefault="00E62EE5" w:rsidP="003506ED">
            <w:pPr>
              <w:pStyle w:val="Lgendestandard"/>
              <w:rPr>
                <w:szCs w:val="24"/>
              </w:rPr>
            </w:pPr>
          </w:p>
          <w:p w:rsidR="00E62EE5" w:rsidRPr="006F5AFA" w:rsidRDefault="00E62EE5" w:rsidP="003506ED">
            <w:pPr>
              <w:pStyle w:val="Lgendestandard"/>
              <w:rPr>
                <w:szCs w:val="24"/>
              </w:rPr>
            </w:pPr>
            <w:r>
              <w:t xml:space="preserve">Les suppressions sont signalées par des </w:t>
            </w:r>
            <w:r>
              <w:rPr>
                <w:b/>
                <w:i/>
                <w:szCs w:val="24"/>
              </w:rPr>
              <w:t>italiques gras</w:t>
            </w:r>
            <w:r>
              <w:t xml:space="preserve"> dans la colonne de gauche. Les remplacements sont signalés par des </w:t>
            </w:r>
            <w:r>
              <w:rPr>
                <w:b/>
                <w:i/>
                <w:szCs w:val="24"/>
              </w:rPr>
              <w:t>italiques gras</w:t>
            </w:r>
            <w:r>
              <w:t xml:space="preserve"> dans les deux colonnes Le texte nouveau est signalé par des </w:t>
            </w:r>
            <w:r>
              <w:rPr>
                <w:b/>
                <w:i/>
                <w:szCs w:val="24"/>
              </w:rPr>
              <w:t>italiques gras</w:t>
            </w:r>
            <w:r>
              <w:t xml:space="preserve"> dans la colonne de droite</w:t>
            </w:r>
          </w:p>
          <w:p w:rsidR="00E62EE5" w:rsidRPr="006F5AFA" w:rsidRDefault="00E62EE5" w:rsidP="003506ED">
            <w:pPr>
              <w:pStyle w:val="Lgendestandard"/>
              <w:rPr>
                <w:szCs w:val="24"/>
              </w:rPr>
            </w:pPr>
          </w:p>
          <w:p w:rsidR="00E62EE5" w:rsidRPr="006F5AFA" w:rsidRDefault="00E62EE5" w:rsidP="003506ED">
            <w:pPr>
              <w:pStyle w:val="Lgendestandard"/>
              <w:rPr>
                <w:szCs w:val="24"/>
              </w:rPr>
            </w:pPr>
            <w:r>
              <w:t>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w:t>
            </w:r>
          </w:p>
          <w:p w:rsidR="00E62EE5" w:rsidRPr="006F5AFA" w:rsidRDefault="00E62EE5" w:rsidP="003506ED">
            <w:pPr>
              <w:pStyle w:val="Lgendestandard"/>
              <w:rPr>
                <w:szCs w:val="24"/>
              </w:rPr>
            </w:pPr>
          </w:p>
          <w:p w:rsidR="00E62EE5" w:rsidRPr="006F5AFA" w:rsidRDefault="00E62EE5" w:rsidP="003506ED">
            <w:pPr>
              <w:pStyle w:val="Lgendestandard"/>
              <w:rPr>
                <w:b/>
                <w:szCs w:val="24"/>
              </w:rPr>
            </w:pPr>
            <w:r>
              <w:rPr>
                <w:b/>
                <w:szCs w:val="24"/>
              </w:rPr>
              <w:t>Amendements du Parlement prenant la forme d’un texte consolidé</w:t>
            </w:r>
          </w:p>
          <w:p w:rsidR="00E62EE5" w:rsidRPr="006F5AFA" w:rsidRDefault="00E62EE5" w:rsidP="003506ED">
            <w:pPr>
              <w:pStyle w:val="Lgendestandard"/>
              <w:rPr>
                <w:szCs w:val="24"/>
              </w:rPr>
            </w:pPr>
          </w:p>
          <w:p w:rsidR="00E62EE5" w:rsidRPr="006F5AFA" w:rsidRDefault="00E62EE5" w:rsidP="003506ED">
            <w:pPr>
              <w:pStyle w:val="Lgendestandard"/>
              <w:rPr>
                <w:szCs w:val="24"/>
              </w:rPr>
            </w:pPr>
            <w:r>
              <w:t xml:space="preserve">Les parties de textes nouvelles sont indiquées en </w:t>
            </w:r>
            <w:r>
              <w:rPr>
                <w:b/>
                <w:i/>
                <w:szCs w:val="24"/>
              </w:rPr>
              <w:t>italiques gras</w:t>
            </w:r>
            <w:r>
              <w:t xml:space="preserve">. Les parties de texte supprimées sont indiquées par le symbole ▌ ou barrées. Les remplacements sont signalés en indiquant en </w:t>
            </w:r>
            <w:r>
              <w:rPr>
                <w:b/>
                <w:i/>
                <w:szCs w:val="24"/>
              </w:rPr>
              <w:t>italiques gras</w:t>
            </w:r>
            <w:r>
              <w:t xml:space="preserve"> le texte nouveau et en effaçant ou en barrant le texte remplacé. </w:t>
            </w:r>
          </w:p>
          <w:p w:rsidR="00E62EE5" w:rsidRPr="006F5AFA" w:rsidRDefault="00E62EE5" w:rsidP="003506ED">
            <w:pPr>
              <w:pStyle w:val="Lgendestandard"/>
            </w:pPr>
            <w:r>
              <w:t>Par exception, les modifications de nature strictement technique apportées par les services en vue de l’élaboration du texte final ne sont pas marquées.</w:t>
            </w:r>
          </w:p>
          <w:p w:rsidR="00E62EE5" w:rsidRPr="006F5AFA" w:rsidRDefault="00E62EE5" w:rsidP="0069092A">
            <w:pPr>
              <w:pStyle w:val="Lgendestandard"/>
            </w:pPr>
          </w:p>
        </w:tc>
      </w:tr>
    </w:tbl>
    <w:p w:rsidR="00E62EE5" w:rsidRPr="006F5AFA" w:rsidRDefault="00E62EE5" w:rsidP="00894923"/>
    <w:p w:rsidR="00B328A0" w:rsidRPr="006F5AFA" w:rsidRDefault="00B328A0" w:rsidP="00744DF3">
      <w:pPr>
        <w:widowControl/>
        <w:tabs>
          <w:tab w:val="center" w:pos="4677"/>
        </w:tabs>
      </w:pPr>
    </w:p>
    <w:p w:rsidR="00B328A0" w:rsidRPr="006F5AFA" w:rsidRDefault="00B328A0">
      <w:pPr>
        <w:pStyle w:val="TOCHeading"/>
      </w:pPr>
      <w:r>
        <w:br w:type="page"/>
        <w:t>SOMMAIRE</w:t>
      </w:r>
    </w:p>
    <w:p w:rsidR="00B328A0" w:rsidRPr="006F5AFA" w:rsidRDefault="008B4F4B">
      <w:pPr>
        <w:pStyle w:val="TOCPage"/>
      </w:pPr>
      <w:r>
        <w:t>Page</w:t>
      </w:r>
    </w:p>
    <w:p w:rsidR="001742F3" w:rsidRDefault="00744DF3">
      <w:pPr>
        <w:pStyle w:val="TOC1"/>
        <w:tabs>
          <w:tab w:val="right" w:leader="dot" w:pos="9060"/>
        </w:tabs>
        <w:rPr>
          <w:rFonts w:asciiTheme="minorHAnsi" w:eastAsiaTheme="minorEastAsia" w:hAnsiTheme="minorHAnsi" w:cstheme="minorBidi"/>
          <w:noProof/>
          <w:sz w:val="22"/>
          <w:szCs w:val="22"/>
          <w:lang w:eastAsia="fr-FR"/>
        </w:rPr>
      </w:pPr>
      <w:r w:rsidRPr="006F5AFA">
        <w:rPr>
          <w:b/>
        </w:rPr>
        <w:fldChar w:fldCharType="begin"/>
      </w:r>
      <w:r w:rsidRPr="00CC26E1">
        <w:rPr>
          <w:b/>
        </w:rPr>
        <w:instrText xml:space="preserve"> TOC \t "PageHeading</w:instrText>
      </w:r>
      <w:r w:rsidR="003B25F2">
        <w:rPr>
          <w:b/>
        </w:rPr>
        <w:instrText>;</w:instrText>
      </w:r>
      <w:r w:rsidRPr="00CC26E1">
        <w:rPr>
          <w:b/>
        </w:rPr>
        <w:instrText xml:space="preserve">1" </w:instrText>
      </w:r>
      <w:r w:rsidRPr="006F5AFA">
        <w:rPr>
          <w:b/>
        </w:rPr>
        <w:fldChar w:fldCharType="separate"/>
      </w:r>
      <w:r w:rsidR="001742F3">
        <w:rPr>
          <w:noProof/>
        </w:rPr>
        <w:t>PROJET DE RÉSOLUTION LÉGISLATIVE DU PARLEMENT EUROPÉEN</w:t>
      </w:r>
      <w:r w:rsidR="001742F3">
        <w:rPr>
          <w:noProof/>
        </w:rPr>
        <w:tab/>
      </w:r>
      <w:r w:rsidR="001742F3">
        <w:rPr>
          <w:noProof/>
        </w:rPr>
        <w:fldChar w:fldCharType="begin"/>
      </w:r>
      <w:r w:rsidR="001742F3">
        <w:rPr>
          <w:noProof/>
        </w:rPr>
        <w:instrText xml:space="preserve"> PAGEREF _Toc72224428 \h </w:instrText>
      </w:r>
      <w:r w:rsidR="001742F3">
        <w:rPr>
          <w:noProof/>
        </w:rPr>
      </w:r>
      <w:r w:rsidR="001742F3">
        <w:rPr>
          <w:noProof/>
        </w:rPr>
        <w:fldChar w:fldCharType="separate"/>
      </w:r>
      <w:r w:rsidR="001742F3">
        <w:rPr>
          <w:noProof/>
        </w:rPr>
        <w:t>5</w:t>
      </w:r>
      <w:r w:rsidR="001742F3">
        <w:rPr>
          <w:noProof/>
        </w:rPr>
        <w:fldChar w:fldCharType="end"/>
      </w:r>
    </w:p>
    <w:p w:rsidR="001742F3" w:rsidRDefault="001742F3">
      <w:pPr>
        <w:pStyle w:val="TOC1"/>
        <w:tabs>
          <w:tab w:val="right" w:leader="dot" w:pos="9060"/>
        </w:tabs>
        <w:rPr>
          <w:rFonts w:asciiTheme="minorHAnsi" w:eastAsiaTheme="minorEastAsia" w:hAnsiTheme="minorHAnsi" w:cstheme="minorBidi"/>
          <w:noProof/>
          <w:sz w:val="22"/>
          <w:szCs w:val="22"/>
          <w:lang w:eastAsia="fr-FR"/>
        </w:rPr>
      </w:pPr>
      <w:r>
        <w:rPr>
          <w:noProof/>
        </w:rPr>
        <w:t>ANNEXE À LA RÉSOLUTION LÉGISLATIVE</w:t>
      </w:r>
      <w:r>
        <w:rPr>
          <w:noProof/>
        </w:rPr>
        <w:tab/>
      </w:r>
      <w:r>
        <w:rPr>
          <w:noProof/>
        </w:rPr>
        <w:fldChar w:fldCharType="begin"/>
      </w:r>
      <w:r>
        <w:rPr>
          <w:noProof/>
        </w:rPr>
        <w:instrText xml:space="preserve"> PAGEREF _Toc72224429 \h </w:instrText>
      </w:r>
      <w:r>
        <w:rPr>
          <w:noProof/>
        </w:rPr>
      </w:r>
      <w:r>
        <w:rPr>
          <w:noProof/>
        </w:rPr>
        <w:fldChar w:fldCharType="separate"/>
      </w:r>
      <w:r>
        <w:rPr>
          <w:noProof/>
        </w:rPr>
        <w:t>6</w:t>
      </w:r>
      <w:r>
        <w:rPr>
          <w:noProof/>
        </w:rPr>
        <w:fldChar w:fldCharType="end"/>
      </w:r>
    </w:p>
    <w:p w:rsidR="001742F3" w:rsidRDefault="001742F3">
      <w:pPr>
        <w:pStyle w:val="TOC1"/>
        <w:tabs>
          <w:tab w:val="right" w:leader="dot" w:pos="9060"/>
        </w:tabs>
        <w:rPr>
          <w:rFonts w:asciiTheme="minorHAnsi" w:eastAsiaTheme="minorEastAsia" w:hAnsiTheme="minorHAnsi" w:cstheme="minorBidi"/>
          <w:noProof/>
          <w:sz w:val="22"/>
          <w:szCs w:val="22"/>
          <w:lang w:eastAsia="fr-FR"/>
        </w:rPr>
      </w:pPr>
      <w:r>
        <w:rPr>
          <w:noProof/>
        </w:rPr>
        <w:t>PROCÉDURE DE LA COMMISSION COMPÉTENTE AU FOND</w:t>
      </w:r>
      <w:r>
        <w:rPr>
          <w:noProof/>
        </w:rPr>
        <w:tab/>
      </w:r>
      <w:r>
        <w:rPr>
          <w:noProof/>
        </w:rPr>
        <w:fldChar w:fldCharType="begin"/>
      </w:r>
      <w:r>
        <w:rPr>
          <w:noProof/>
        </w:rPr>
        <w:instrText xml:space="preserve"> PAGEREF _Toc72224430 \h </w:instrText>
      </w:r>
      <w:r>
        <w:rPr>
          <w:noProof/>
        </w:rPr>
      </w:r>
      <w:r>
        <w:rPr>
          <w:noProof/>
        </w:rPr>
        <w:fldChar w:fldCharType="separate"/>
      </w:r>
      <w:r>
        <w:rPr>
          <w:noProof/>
        </w:rPr>
        <w:t>7</w:t>
      </w:r>
      <w:r>
        <w:rPr>
          <w:noProof/>
        </w:rPr>
        <w:fldChar w:fldCharType="end"/>
      </w:r>
    </w:p>
    <w:p w:rsidR="001742F3" w:rsidRDefault="001742F3">
      <w:pPr>
        <w:pStyle w:val="TOC1"/>
        <w:tabs>
          <w:tab w:val="right" w:leader="dot" w:pos="9060"/>
        </w:tabs>
        <w:rPr>
          <w:rFonts w:asciiTheme="minorHAnsi" w:eastAsiaTheme="minorEastAsia" w:hAnsiTheme="minorHAnsi" w:cstheme="minorBidi"/>
          <w:noProof/>
          <w:sz w:val="22"/>
          <w:szCs w:val="22"/>
          <w:lang w:eastAsia="fr-FR"/>
        </w:rPr>
      </w:pPr>
      <w:r>
        <w:rPr>
          <w:noProof/>
        </w:rPr>
        <w:t>VOTE FINAL PAR APPEL NOMINAL EN COMMISSION COMPÉTENTE AU FOND</w:t>
      </w:r>
      <w:r>
        <w:rPr>
          <w:noProof/>
        </w:rPr>
        <w:tab/>
      </w:r>
      <w:r>
        <w:rPr>
          <w:noProof/>
        </w:rPr>
        <w:fldChar w:fldCharType="begin"/>
      </w:r>
      <w:r>
        <w:rPr>
          <w:noProof/>
        </w:rPr>
        <w:instrText xml:space="preserve"> PAGEREF _Toc72224431 \h </w:instrText>
      </w:r>
      <w:r>
        <w:rPr>
          <w:noProof/>
        </w:rPr>
      </w:r>
      <w:r>
        <w:rPr>
          <w:noProof/>
        </w:rPr>
        <w:fldChar w:fldCharType="separate"/>
      </w:r>
      <w:r>
        <w:rPr>
          <w:noProof/>
        </w:rPr>
        <w:t>8</w:t>
      </w:r>
      <w:r>
        <w:rPr>
          <w:noProof/>
        </w:rPr>
        <w:fldChar w:fldCharType="end"/>
      </w:r>
    </w:p>
    <w:p w:rsidR="00AB2BE6" w:rsidRPr="00CC26E1" w:rsidRDefault="00744DF3" w:rsidP="00A347A7">
      <w:r w:rsidRPr="006F5AFA">
        <w:rPr>
          <w:b/>
        </w:rPr>
        <w:fldChar w:fldCharType="end"/>
      </w:r>
    </w:p>
    <w:p w:rsidR="00B328A0" w:rsidRPr="006F5AFA" w:rsidRDefault="00B328A0">
      <w:pPr>
        <w:pStyle w:val="PageHeading"/>
      </w:pPr>
      <w:r>
        <w:br w:type="page"/>
      </w:r>
      <w:r>
        <w:br w:type="page"/>
      </w:r>
      <w:bookmarkStart w:id="1" w:name="_Toc72224428"/>
      <w:r>
        <w:t>PROJET DE RÉSOLUTION LÉGISLATIVE DU PARLEMENT EUROPÉEN</w:t>
      </w:r>
      <w:bookmarkEnd w:id="1"/>
    </w:p>
    <w:p w:rsidR="00EB78A4" w:rsidRPr="00EB78A4" w:rsidRDefault="00EB78A4" w:rsidP="00EB78A4">
      <w:pPr>
        <w:pStyle w:val="NormalBold"/>
      </w:pPr>
      <w:r>
        <w:t>sur la position du Conseil en première lecture en vue de l’adoption du règlement du Parlement européen et du Conseil établissant le programme «Fiscalis» aux fins de la coopération dans le domaine fiscal et abrogeant le règlement (UE) nº 1286/2013</w:t>
      </w:r>
    </w:p>
    <w:p w:rsidR="00B328A0" w:rsidRPr="006F5AFA" w:rsidRDefault="00EB78A4" w:rsidP="00EB78A4">
      <w:pPr>
        <w:pStyle w:val="NormalBold12a"/>
      </w:pPr>
      <w:r>
        <w:t>(06116/1/2021 – C9-0179/2021 – 2018/0233(COD))</w:t>
      </w:r>
    </w:p>
    <w:p w:rsidR="00B328A0" w:rsidRPr="006F5AFA" w:rsidRDefault="008B4F4B" w:rsidP="004A107D">
      <w:pPr>
        <w:pStyle w:val="NormalBold"/>
      </w:pPr>
      <w:r>
        <w:t>(Procédure législative ordinaire: deuxième lecture)</w:t>
      </w:r>
    </w:p>
    <w:p w:rsidR="00B328A0" w:rsidRPr="006F5AFA" w:rsidRDefault="008B4F4B">
      <w:pPr>
        <w:pStyle w:val="EPComma"/>
      </w:pPr>
      <w:r>
        <w:rPr>
          <w:i/>
        </w:rPr>
        <w:t>Le Parlement européen</w:t>
      </w:r>
      <w:r>
        <w:t>,</w:t>
      </w:r>
    </w:p>
    <w:p w:rsidR="00EB78A4" w:rsidRPr="00EB78A4" w:rsidRDefault="00B328A0" w:rsidP="00EB78A4">
      <w:pPr>
        <w:pStyle w:val="NormalHanging12a"/>
      </w:pPr>
      <w:r>
        <w:t>–</w:t>
      </w:r>
      <w:r>
        <w:tab/>
        <w:t>vu la position du Conseil en première lecture (06116/1/2021 – C9-0179/2021),</w:t>
      </w:r>
    </w:p>
    <w:p w:rsidR="00EB78A4" w:rsidRPr="00EB78A4" w:rsidRDefault="00EB78A4" w:rsidP="00EB78A4">
      <w:pPr>
        <w:pStyle w:val="NormalHanging12a"/>
      </w:pPr>
      <w:r>
        <w:t>–</w:t>
      </w:r>
      <w:r>
        <w:tab/>
        <w:t>vu l’avis du Comité économique et social européen du 17 octobre 2018</w:t>
      </w:r>
      <w:r w:rsidRPr="00006F1E">
        <w:rPr>
          <w:rStyle w:val="FootnoteReference"/>
        </w:rPr>
        <w:footnoteReference w:id="1"/>
      </w:r>
      <w:r>
        <w:t>,</w:t>
      </w:r>
    </w:p>
    <w:p w:rsidR="00EB78A4" w:rsidRPr="00EB78A4" w:rsidRDefault="00EB78A4" w:rsidP="00EB78A4">
      <w:pPr>
        <w:pStyle w:val="NormalHanging12a"/>
      </w:pPr>
      <w:r>
        <w:t>–</w:t>
      </w:r>
      <w:r>
        <w:tab/>
        <w:t>vu sa position en première lecture</w:t>
      </w:r>
      <w:r w:rsidRPr="00006F1E">
        <w:rPr>
          <w:rStyle w:val="FootnoteReference"/>
        </w:rPr>
        <w:footnoteReference w:id="2"/>
      </w:r>
      <w:r>
        <w:t xml:space="preserve"> sur la proposition de la Commission au Parlement européen et au Conseil (COM(2018)0443),</w:t>
      </w:r>
    </w:p>
    <w:p w:rsidR="00EB78A4" w:rsidRPr="00EB78A4" w:rsidRDefault="00EB78A4" w:rsidP="00EB78A4">
      <w:pPr>
        <w:pStyle w:val="NormalHanging12a"/>
      </w:pPr>
      <w:r>
        <w:t>–</w:t>
      </w:r>
      <w:r>
        <w:tab/>
        <w:t>vu l’article 294, paragraphe 7, du traité sur le fonctionnement de l’Union européenne,</w:t>
      </w:r>
    </w:p>
    <w:p w:rsidR="00EB78A4" w:rsidRPr="00EB78A4" w:rsidRDefault="00EB78A4" w:rsidP="00EB78A4">
      <w:pPr>
        <w:pStyle w:val="NormalHanging12a"/>
      </w:pPr>
      <w:r>
        <w:t>–</w:t>
      </w:r>
      <w:r>
        <w:tab/>
        <w:t>vu l’accord provisoire approuvé en vertu de l’article 74, paragraphe 4, de son règlement intérieur par la commission compétente,</w:t>
      </w:r>
    </w:p>
    <w:p w:rsidR="00EB78A4" w:rsidRPr="00EB78A4" w:rsidRDefault="00EB78A4" w:rsidP="00EB78A4">
      <w:pPr>
        <w:pStyle w:val="NormalHanging12a"/>
      </w:pPr>
      <w:r>
        <w:t>–</w:t>
      </w:r>
      <w:r>
        <w:tab/>
        <w:t>vu l’article 67 de son règlement intérieur,</w:t>
      </w:r>
    </w:p>
    <w:p w:rsidR="00EB78A4" w:rsidRPr="00EB78A4" w:rsidRDefault="00EB78A4" w:rsidP="00EB78A4">
      <w:pPr>
        <w:pStyle w:val="NormalHanging12a"/>
      </w:pPr>
      <w:r>
        <w:t>–</w:t>
      </w:r>
      <w:r>
        <w:tab/>
        <w:t>vu la recommandation pour la deuxième lecture de la commission des affaires économiques et monétaires (A9-0167/2021),</w:t>
      </w:r>
    </w:p>
    <w:p w:rsidR="00EB78A4" w:rsidRPr="00EB78A4" w:rsidRDefault="00EB78A4" w:rsidP="00EB78A4">
      <w:pPr>
        <w:pStyle w:val="NormalHanging12a"/>
      </w:pPr>
      <w:r>
        <w:t>1.</w:t>
      </w:r>
      <w:r>
        <w:tab/>
        <w:t>approuve la position du Conseil en première lecture;</w:t>
      </w:r>
    </w:p>
    <w:p w:rsidR="00EB78A4" w:rsidRPr="00EB78A4" w:rsidRDefault="00EB78A4" w:rsidP="00EB78A4">
      <w:pPr>
        <w:pStyle w:val="NormalHanging12a"/>
      </w:pPr>
      <w:r>
        <w:t>2.</w:t>
      </w:r>
      <w:r>
        <w:tab/>
        <w:t>prend note de la déclaration du Conseil annexée à la présente résolution, qui est très appréciée par le Parlement et a été essentielle pour parvenir à l’accord final;</w:t>
      </w:r>
    </w:p>
    <w:p w:rsidR="00EB78A4" w:rsidRPr="00EB78A4" w:rsidRDefault="00EB78A4" w:rsidP="00EB78A4">
      <w:pPr>
        <w:pStyle w:val="NormalHanging12a"/>
      </w:pPr>
      <w:r>
        <w:t>3.</w:t>
      </w:r>
      <w:r>
        <w:tab/>
        <w:t>constate que l’acte est adopté conformément à la position du Conseil;</w:t>
      </w:r>
    </w:p>
    <w:p w:rsidR="00EB78A4" w:rsidRPr="00EB78A4" w:rsidRDefault="00EB78A4" w:rsidP="00EB78A4">
      <w:pPr>
        <w:pStyle w:val="NormalHanging12a"/>
      </w:pPr>
      <w:r>
        <w:t>4.</w:t>
      </w:r>
      <w:r>
        <w:tab/>
        <w:t>charge son Président de signer l’acte, avec le Président du Conseil, conformément à l’article 297, paragraphe 1, du traité sur le fonctionnement de l’Union européenne;</w:t>
      </w:r>
    </w:p>
    <w:p w:rsidR="00EB78A4" w:rsidRPr="00EB78A4" w:rsidRDefault="00EB78A4" w:rsidP="00EB78A4">
      <w:pPr>
        <w:pStyle w:val="NormalHanging12a"/>
      </w:pPr>
      <w:r>
        <w:t>5.</w:t>
      </w:r>
      <w:r>
        <w:tab/>
        <w:t xml:space="preserve">charge son secrétaire général de signer l’acte, après qu’il a été vérifié que toutes les procédures ont été dûment accomplies, et de procéder, en accord avec le secrétaire général du Conseil, à sa publication au </w:t>
      </w:r>
      <w:r>
        <w:rPr>
          <w:i/>
        </w:rPr>
        <w:t>Journal officiel de l’Union européenne</w:t>
      </w:r>
      <w:r>
        <w:t>;</w:t>
      </w:r>
    </w:p>
    <w:p w:rsidR="00CB1DD5" w:rsidRPr="00EB78A4" w:rsidRDefault="00EB78A4" w:rsidP="00EB78A4">
      <w:pPr>
        <w:pStyle w:val="NormalHanging12a"/>
        <w:sectPr w:rsidR="00CB1DD5" w:rsidRPr="00EB78A4" w:rsidSect="009B609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r>
        <w:t>6.</w:t>
      </w:r>
      <w:r>
        <w:tab/>
        <w:t>charge son Président de transmettre la position du Parlement au Conseil, à la Commission ainsi qu’aux parlements nationaux.</w:t>
      </w:r>
    </w:p>
    <w:p w:rsidR="00B328A0" w:rsidRPr="006F5AFA" w:rsidRDefault="00CB1DD5" w:rsidP="00CB1DD5">
      <w:pPr>
        <w:pStyle w:val="PageHeading"/>
      </w:pPr>
      <w:bookmarkStart w:id="2" w:name="_Toc72224429"/>
      <w:r>
        <w:t>ANNEXE À LA RÉSOLUTION LÉGISLATIVE</w:t>
      </w:r>
      <w:bookmarkEnd w:id="2"/>
    </w:p>
    <w:p w:rsidR="00EB78A4" w:rsidRPr="00006F1E" w:rsidRDefault="00EB78A4" w:rsidP="00EB78A4">
      <w:pPr>
        <w:rPr>
          <w:b/>
        </w:rPr>
      </w:pPr>
      <w:r>
        <w:rPr>
          <w:b/>
        </w:rPr>
        <w:t>Déclaration du Conseil</w:t>
      </w:r>
    </w:p>
    <w:p w:rsidR="00EB78A4" w:rsidRPr="00006F1E" w:rsidRDefault="00EB78A4" w:rsidP="00EB78A4"/>
    <w:p w:rsidR="003B25F2" w:rsidRPr="00EB78A4" w:rsidRDefault="00EB78A4" w:rsidP="00EB78A4">
      <w:r>
        <w:t xml:space="preserve">Le Conseil prend acte de l’intérêt que manifeste le Parlement pour une plus grande transparence dans la mise en œuvre de la législation de l’UE en matière de lutte contre la fraude et l’évasion fiscales. Dans le contexte du cadre juridique régissant les relations interinstitutionnelles en vertu des traités, le Conseil reconnaît la valeur ajoutée qu’apportent les échanges des vues annuels avec le Parlement européen et la Commission sur les enseignements tirés du programme Fiscalis, sur la base des rapports de suivi annuels établis par la Commission.  </w:t>
      </w:r>
    </w:p>
    <w:p w:rsidR="003B25F2" w:rsidRPr="00EB78A4" w:rsidRDefault="003B25F2" w:rsidP="003B25F2">
      <w:r>
        <w:br w:type="page"/>
      </w:r>
    </w:p>
    <w:p w:rsidR="003B25F2" w:rsidRDefault="003B25F2" w:rsidP="003B25F2">
      <w:pPr>
        <w:pStyle w:val="PageHeading"/>
      </w:pPr>
      <w:bookmarkStart w:id="3" w:name="ProcPageRR"/>
      <w:bookmarkStart w:id="4" w:name="_Toc72224430"/>
      <w:r>
        <w:t>PROCÉDURE DE LA COMMISSION COMPÉTENTE AU FOND</w:t>
      </w:r>
      <w:bookmarkEnd w:id="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B25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Établissement du programme «Fiscalis» aux fins de la coopération dans le domaine fiscal</w:t>
            </w:r>
          </w:p>
        </w:tc>
      </w:tr>
      <w:tr w:rsidR="003B25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06116/1/2021 – C9-0179/2021 – 2018/0233(COD)</w:t>
            </w:r>
          </w:p>
        </w:tc>
      </w:tr>
      <w:tr w:rsidR="003B25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b/>
                <w:bCs/>
                <w:color w:val="000000"/>
                <w:sz w:val="20"/>
              </w:rPr>
            </w:pPr>
            <w:r>
              <w:rPr>
                <w:b/>
                <w:bCs/>
                <w:color w:val="000000"/>
                <w:sz w:val="20"/>
              </w:rPr>
              <w:t>Date de la 1re lecture du PE – Numéro P</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17.4.2019                     T8-0404/2019</w:t>
            </w:r>
          </w:p>
        </w:tc>
      </w:tr>
      <w:tr w:rsidR="003B25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b/>
                <w:bCs/>
                <w:color w:val="000000"/>
                <w:sz w:val="20"/>
              </w:rPr>
            </w:pPr>
            <w:r>
              <w:rPr>
                <w:b/>
                <w:bCs/>
                <w:color w:val="000000"/>
                <w:sz w:val="20"/>
              </w:rPr>
              <w:t>Proposition de la Commission</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COM(2018)0443 - C8-0260/2018</w:t>
            </w:r>
          </w:p>
        </w:tc>
      </w:tr>
      <w:tr w:rsidR="003B25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b/>
                <w:bCs/>
                <w:color w:val="000000"/>
                <w:sz w:val="20"/>
              </w:rPr>
            </w:pPr>
            <w:r>
              <w:rPr>
                <w:b/>
                <w:bCs/>
                <w:color w:val="000000"/>
                <w:sz w:val="20"/>
              </w:rPr>
              <w:t>Commission compétente au fond</w:t>
            </w:r>
          </w:p>
          <w:p w:rsidR="003B25F2" w:rsidRDefault="003B25F2">
            <w:pPr>
              <w:autoSpaceDE w:val="0"/>
              <w:autoSpaceDN w:val="0"/>
              <w:adjustRightInd w:val="0"/>
              <w:rPr>
                <w:color w:val="000000"/>
                <w:sz w:val="20"/>
              </w:rPr>
            </w:pPr>
            <w:r>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ECON</w:t>
            </w:r>
          </w:p>
          <w:p w:rsidR="003B25F2" w:rsidRDefault="003B25F2">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5F2" w:rsidRDefault="003B25F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5F2" w:rsidRDefault="003B25F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rFonts w:ascii="sans-serif" w:hAnsi="sans-serif" w:cs="sans-serif"/>
                <w:color w:val="000000"/>
                <w:szCs w:val="24"/>
              </w:rPr>
            </w:pPr>
          </w:p>
        </w:tc>
      </w:tr>
      <w:tr w:rsidR="003B25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b/>
                <w:bCs/>
                <w:color w:val="000000"/>
                <w:sz w:val="20"/>
              </w:rPr>
            </w:pPr>
            <w:r>
              <w:rPr>
                <w:b/>
                <w:bCs/>
                <w:color w:val="000000"/>
                <w:sz w:val="20"/>
              </w:rPr>
              <w:t>Rapporteurs</w:t>
            </w:r>
          </w:p>
          <w:p w:rsidR="003B25F2" w:rsidRDefault="003B25F2">
            <w:pPr>
              <w:autoSpaceDE w:val="0"/>
              <w:autoSpaceDN w:val="0"/>
              <w:adjustRightInd w:val="0"/>
              <w:rPr>
                <w:color w:val="000000"/>
                <w:sz w:val="20"/>
              </w:rPr>
            </w:pPr>
            <w:r>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Sven Giegold</w:t>
            </w:r>
          </w:p>
          <w:p w:rsidR="003B25F2" w:rsidRDefault="003B25F2">
            <w:pPr>
              <w:autoSpaceDE w:val="0"/>
              <w:autoSpaceDN w:val="0"/>
              <w:adjustRightInd w:val="0"/>
              <w:rPr>
                <w:color w:val="000000"/>
                <w:sz w:val="20"/>
              </w:rPr>
            </w:pPr>
            <w:r>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5F2" w:rsidRDefault="003B25F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5F2" w:rsidRDefault="003B25F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rFonts w:ascii="sans-serif" w:hAnsi="sans-serif" w:cs="sans-serif"/>
                <w:color w:val="000000"/>
                <w:szCs w:val="24"/>
              </w:rPr>
            </w:pPr>
          </w:p>
        </w:tc>
      </w:tr>
      <w:tr w:rsidR="003B25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17.5.2021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5F2" w:rsidRDefault="003B25F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5F2" w:rsidRDefault="003B25F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rFonts w:ascii="sans-serif" w:hAnsi="sans-serif" w:cs="sans-serif"/>
                <w:color w:val="000000"/>
                <w:szCs w:val="24"/>
              </w:rPr>
            </w:pPr>
          </w:p>
        </w:tc>
      </w:tr>
      <w:tr w:rsidR="003B25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w:t>
            </w:r>
          </w:p>
          <w:p w:rsidR="003B25F2" w:rsidRDefault="003B25F2">
            <w:pPr>
              <w:autoSpaceDE w:val="0"/>
              <w:autoSpaceDN w:val="0"/>
              <w:adjustRightInd w:val="0"/>
              <w:rPr>
                <w:color w:val="000000"/>
                <w:sz w:val="20"/>
              </w:rPr>
            </w:pPr>
            <w:r>
              <w:rPr>
                <w:color w:val="000000"/>
                <w:sz w:val="20"/>
              </w:rPr>
              <w:t>–:</w:t>
            </w:r>
          </w:p>
          <w:p w:rsidR="003B25F2" w:rsidRDefault="003B25F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46</w:t>
            </w:r>
          </w:p>
          <w:p w:rsidR="003B25F2" w:rsidRDefault="003B25F2">
            <w:pPr>
              <w:autoSpaceDE w:val="0"/>
              <w:autoSpaceDN w:val="0"/>
              <w:adjustRightInd w:val="0"/>
              <w:rPr>
                <w:color w:val="000000"/>
                <w:sz w:val="20"/>
              </w:rPr>
            </w:pPr>
            <w:r>
              <w:rPr>
                <w:color w:val="000000"/>
                <w:sz w:val="20"/>
              </w:rPr>
              <w:t>2</w:t>
            </w:r>
          </w:p>
          <w:p w:rsidR="003B25F2" w:rsidRDefault="003B25F2">
            <w:pPr>
              <w:autoSpaceDE w:val="0"/>
              <w:autoSpaceDN w:val="0"/>
              <w:adjustRightInd w:val="0"/>
              <w:rPr>
                <w:color w:val="000000"/>
                <w:sz w:val="20"/>
              </w:rPr>
            </w:pPr>
            <w:r>
              <w:rPr>
                <w:color w:val="000000"/>
                <w:sz w:val="20"/>
              </w:rPr>
              <w:t>5</w:t>
            </w:r>
          </w:p>
        </w:tc>
      </w:tr>
      <w:tr w:rsidR="003B25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Gunnar Beck, Marek Belka, Isabel Benjumea Benjumea, Stefan Berger, Gilles Boyer, Francesca Donato, Engin Eroglu, Markus Ferber, Jonás Fernández, Frances Fitzgerald, Luis Garicano, Sven Giegold, Valentino Grant, Claude Gruffat, Eero Heinäluoma, Michiel Hoogeveen, Danuta Maria Hübner, Stasys Jakeliūnas, Othmar Karas, Billy Kelleher, Ondřej Kovařík, Georgios Kyrtsos, Aurore Lalucq, Philippe Lamberts, Aušra Maldeikienė, Pedro Marques, Fulvio Martusciello, Costas Mavrides, Siegfried Mureşan, Luděk Niedermayer, Lefteris Nikolaou-Alavanos, Dimitrios Papadimoulis, Piernicola Pedicini, Kira Marie Peter-Hansen, Sirpa Pietikäinen, Dragoș Pîslaru, Evelyn Regner, Antonio Maria Rinaldi, Alfred Sant, Martin Schirdewan, Joachim Schuster, Ralf Seekatz, Pedro Silva Pereira, Irene Tinagli, Ernest Urtasun, Inese Vaidere, Johan Van Overtveldt, Marco Zanni, Roberts Zīle</w:t>
            </w:r>
          </w:p>
        </w:tc>
      </w:tr>
      <w:tr w:rsidR="003B25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Hélène Laporte, Chris MacManus, Eva Maydell, Sven Simon</w:t>
            </w:r>
          </w:p>
        </w:tc>
      </w:tr>
      <w:tr w:rsidR="003B25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b/>
                <w:bCs/>
                <w:color w:val="000000"/>
                <w:sz w:val="20"/>
              </w:rPr>
            </w:pPr>
            <w:r>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B25F2" w:rsidRDefault="003B25F2">
            <w:pPr>
              <w:autoSpaceDE w:val="0"/>
              <w:autoSpaceDN w:val="0"/>
              <w:adjustRightInd w:val="0"/>
              <w:rPr>
                <w:color w:val="000000"/>
                <w:sz w:val="20"/>
              </w:rPr>
            </w:pPr>
            <w:r>
              <w:rPr>
                <w:color w:val="000000"/>
                <w:sz w:val="20"/>
              </w:rPr>
              <w:t>17.5.2021</w:t>
            </w:r>
          </w:p>
        </w:tc>
      </w:tr>
    </w:tbl>
    <w:p w:rsidR="003B25F2" w:rsidRDefault="003B25F2"/>
    <w:bookmarkEnd w:id="3"/>
    <w:p w:rsidR="00EB78A4" w:rsidRDefault="00EB78A4">
      <w:pPr>
        <w:widowControl/>
      </w:pPr>
      <w:r>
        <w:br w:type="page"/>
      </w:r>
    </w:p>
    <w:p w:rsidR="00EB78A4" w:rsidRPr="00EB78A4" w:rsidRDefault="00EB78A4" w:rsidP="00EB78A4">
      <w:pPr>
        <w:pStyle w:val="PageHeading"/>
      </w:pPr>
      <w:bookmarkStart w:id="5" w:name="_Toc72173482"/>
      <w:bookmarkStart w:id="6" w:name="RollCallPageRR"/>
      <w:bookmarkStart w:id="7" w:name="_Toc72224431"/>
      <w:r>
        <w:t>VOTE FINAL PAR APPEL NOMINAL EN COMMISSION COMPÉTENTE AU FOND</w:t>
      </w:r>
      <w:bookmarkEnd w:id="5"/>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78A4" w:rsidRPr="00006F1E" w:rsidTr="00EC34EE">
        <w:trPr>
          <w:cantSplit/>
        </w:trPr>
        <w:tc>
          <w:tcPr>
            <w:tcW w:w="1701" w:type="dxa"/>
            <w:shd w:val="pct10" w:color="000000" w:fill="FFFFFF"/>
            <w:vAlign w:val="center"/>
          </w:tcPr>
          <w:p w:rsidR="00EB78A4" w:rsidRPr="00006F1E" w:rsidRDefault="00EB78A4" w:rsidP="00EC34EE">
            <w:pPr>
              <w:pStyle w:val="RollCallVotes"/>
            </w:pPr>
            <w:r>
              <w:t>46</w:t>
            </w:r>
          </w:p>
        </w:tc>
        <w:tc>
          <w:tcPr>
            <w:tcW w:w="7371" w:type="dxa"/>
            <w:shd w:val="pct10" w:color="000000" w:fill="FFFFFF"/>
          </w:tcPr>
          <w:p w:rsidR="00EB78A4" w:rsidRPr="00006F1E" w:rsidRDefault="00EB78A4" w:rsidP="00EC34EE">
            <w:pPr>
              <w:pStyle w:val="RollCallSymbols14pt"/>
            </w:pPr>
            <w:r>
              <w:t>+</w:t>
            </w:r>
          </w:p>
        </w:tc>
      </w:tr>
      <w:tr w:rsidR="00EB78A4" w:rsidRPr="001742F3" w:rsidTr="00EC34EE">
        <w:trPr>
          <w:cantSplit/>
        </w:trPr>
        <w:tc>
          <w:tcPr>
            <w:tcW w:w="1701" w:type="dxa"/>
            <w:shd w:val="clear" w:color="auto" w:fill="FFFFFF"/>
          </w:tcPr>
          <w:p w:rsidR="00EB78A4" w:rsidRPr="00006F1E" w:rsidRDefault="00EB78A4" w:rsidP="00EC34EE">
            <w:pPr>
              <w:pStyle w:val="RollCallTable"/>
            </w:pPr>
            <w:r>
              <w:t>ECR</w:t>
            </w:r>
          </w:p>
        </w:tc>
        <w:tc>
          <w:tcPr>
            <w:tcW w:w="7371" w:type="dxa"/>
            <w:shd w:val="clear" w:color="auto" w:fill="FFFFFF"/>
          </w:tcPr>
          <w:p w:rsidR="00EB78A4" w:rsidRPr="001742F3" w:rsidRDefault="00EB78A4" w:rsidP="00EC34EE">
            <w:pPr>
              <w:pStyle w:val="RollCallTable"/>
              <w:rPr>
                <w:lang w:val="nl-NL"/>
              </w:rPr>
            </w:pPr>
            <w:r w:rsidRPr="001742F3">
              <w:rPr>
                <w:lang w:val="nl-NL"/>
              </w:rPr>
              <w:t>Johan Van Overtveldt, Roberts Zīle</w:t>
            </w:r>
          </w:p>
        </w:tc>
      </w:tr>
      <w:tr w:rsidR="00EB78A4" w:rsidRPr="00006F1E" w:rsidTr="00EC34EE">
        <w:trPr>
          <w:cantSplit/>
        </w:trPr>
        <w:tc>
          <w:tcPr>
            <w:tcW w:w="1701" w:type="dxa"/>
            <w:shd w:val="clear" w:color="auto" w:fill="FFFFFF"/>
          </w:tcPr>
          <w:p w:rsidR="00EB78A4" w:rsidRPr="00006F1E" w:rsidRDefault="00EB78A4" w:rsidP="00EC34EE">
            <w:pPr>
              <w:pStyle w:val="RollCallTable"/>
            </w:pPr>
            <w:r>
              <w:t>ID</w:t>
            </w:r>
          </w:p>
        </w:tc>
        <w:tc>
          <w:tcPr>
            <w:tcW w:w="7371" w:type="dxa"/>
            <w:shd w:val="clear" w:color="auto" w:fill="FFFFFF"/>
          </w:tcPr>
          <w:p w:rsidR="00EB78A4" w:rsidRPr="00006F1E" w:rsidRDefault="00EB78A4" w:rsidP="00EC34EE">
            <w:pPr>
              <w:pStyle w:val="RollCallTable"/>
            </w:pPr>
            <w:r>
              <w:t>Hélène Laporte</w:t>
            </w:r>
          </w:p>
        </w:tc>
      </w:tr>
      <w:tr w:rsidR="00EB78A4" w:rsidRPr="00EB78A4" w:rsidTr="00EC34EE">
        <w:trPr>
          <w:cantSplit/>
        </w:trPr>
        <w:tc>
          <w:tcPr>
            <w:tcW w:w="1701" w:type="dxa"/>
            <w:shd w:val="clear" w:color="auto" w:fill="FFFFFF"/>
          </w:tcPr>
          <w:p w:rsidR="00EB78A4" w:rsidRPr="00006F1E" w:rsidRDefault="00EB78A4" w:rsidP="00EC34EE">
            <w:pPr>
              <w:pStyle w:val="RollCallTable"/>
            </w:pPr>
            <w:r>
              <w:t>PPE</w:t>
            </w:r>
          </w:p>
        </w:tc>
        <w:tc>
          <w:tcPr>
            <w:tcW w:w="7371" w:type="dxa"/>
            <w:shd w:val="clear" w:color="auto" w:fill="FFFFFF"/>
          </w:tcPr>
          <w:p w:rsidR="00EB78A4" w:rsidRPr="00006F1E" w:rsidRDefault="00EB78A4" w:rsidP="00EC34EE">
            <w:pPr>
              <w:pStyle w:val="RollCallTable"/>
            </w:pPr>
            <w:r>
              <w:t>Isabel Benjumea Benjumea, Stefan Berger, Markus Ferber, Frances Fitzgerald, Danuta Maria Hübner, Othmar Karas, Georgios Kyrtsos, Aušra Maldeikienė, Fulvio Martusciello, Eva Maydell, Siegfried Mureşan, Luděk Niedermayer, Sirpa Pietikäinen, Ralf Seekatz, Sven Simon, Inese Vaidere</w:t>
            </w:r>
          </w:p>
        </w:tc>
      </w:tr>
      <w:tr w:rsidR="00EB78A4" w:rsidRPr="00EB78A4" w:rsidTr="00EC34EE">
        <w:trPr>
          <w:cantSplit/>
        </w:trPr>
        <w:tc>
          <w:tcPr>
            <w:tcW w:w="1701" w:type="dxa"/>
            <w:shd w:val="clear" w:color="auto" w:fill="FFFFFF"/>
          </w:tcPr>
          <w:p w:rsidR="00EB78A4" w:rsidRPr="00006F1E" w:rsidRDefault="00EB78A4" w:rsidP="00EC34EE">
            <w:pPr>
              <w:pStyle w:val="RollCallTable"/>
            </w:pPr>
            <w:r>
              <w:t>Renew</w:t>
            </w:r>
          </w:p>
        </w:tc>
        <w:tc>
          <w:tcPr>
            <w:tcW w:w="7371" w:type="dxa"/>
            <w:shd w:val="clear" w:color="auto" w:fill="FFFFFF"/>
          </w:tcPr>
          <w:p w:rsidR="00EB78A4" w:rsidRPr="00006F1E" w:rsidRDefault="00EB78A4" w:rsidP="00EC34EE">
            <w:pPr>
              <w:pStyle w:val="RollCallTable"/>
            </w:pPr>
            <w:r>
              <w:t>Gilles Boyer, Engin Eroglu, Luis Garicano, Billy Kelleher, Ondřej Kovařík, Dragoș Pîslaru</w:t>
            </w:r>
          </w:p>
        </w:tc>
      </w:tr>
      <w:tr w:rsidR="00EB78A4" w:rsidRPr="00EB78A4" w:rsidTr="00EC34EE">
        <w:trPr>
          <w:cantSplit/>
        </w:trPr>
        <w:tc>
          <w:tcPr>
            <w:tcW w:w="1701" w:type="dxa"/>
            <w:shd w:val="clear" w:color="auto" w:fill="FFFFFF"/>
          </w:tcPr>
          <w:p w:rsidR="00EB78A4" w:rsidRPr="00006F1E" w:rsidRDefault="00EB78A4" w:rsidP="00EC34EE">
            <w:pPr>
              <w:pStyle w:val="RollCallTable"/>
            </w:pPr>
            <w:r>
              <w:t>S&amp;D</w:t>
            </w:r>
          </w:p>
        </w:tc>
        <w:tc>
          <w:tcPr>
            <w:tcW w:w="7371" w:type="dxa"/>
            <w:shd w:val="clear" w:color="auto" w:fill="FFFFFF"/>
          </w:tcPr>
          <w:p w:rsidR="00EB78A4" w:rsidRPr="00006F1E" w:rsidRDefault="00EB78A4" w:rsidP="00EC34EE">
            <w:pPr>
              <w:pStyle w:val="RollCallTable"/>
            </w:pPr>
            <w:r>
              <w:t>Marek Belka, Jonás Fernández, Eero Heinäluoma, Aurore Lalucq, Pedro Marques, Costas Mavrides, Evelyn Regner, Alfred Sant, Joachim Schuster, Pedro Silva Pereira, Irene Tinagli</w:t>
            </w:r>
          </w:p>
        </w:tc>
      </w:tr>
      <w:tr w:rsidR="00EB78A4" w:rsidRPr="00EB78A4" w:rsidTr="00EC34EE">
        <w:trPr>
          <w:cantSplit/>
        </w:trPr>
        <w:tc>
          <w:tcPr>
            <w:tcW w:w="1701" w:type="dxa"/>
            <w:shd w:val="clear" w:color="auto" w:fill="FFFFFF"/>
          </w:tcPr>
          <w:p w:rsidR="00EB78A4" w:rsidRPr="00006F1E" w:rsidRDefault="00EB78A4" w:rsidP="00EC34EE">
            <w:pPr>
              <w:pStyle w:val="RollCallTable"/>
            </w:pPr>
            <w:r>
              <w:t>The Left</w:t>
            </w:r>
          </w:p>
        </w:tc>
        <w:tc>
          <w:tcPr>
            <w:tcW w:w="7371" w:type="dxa"/>
            <w:shd w:val="clear" w:color="auto" w:fill="FFFFFF"/>
          </w:tcPr>
          <w:p w:rsidR="00EB78A4" w:rsidRPr="00006F1E" w:rsidRDefault="00EB78A4" w:rsidP="00EC34EE">
            <w:pPr>
              <w:pStyle w:val="RollCallTable"/>
            </w:pPr>
            <w:r>
              <w:t>Chris MacManus, Dimitrios Papadimoulis, Martin Schirdewan</w:t>
            </w:r>
          </w:p>
        </w:tc>
      </w:tr>
      <w:tr w:rsidR="00EB78A4" w:rsidRPr="00006F1E" w:rsidTr="00EC34EE">
        <w:trPr>
          <w:cantSplit/>
        </w:trPr>
        <w:tc>
          <w:tcPr>
            <w:tcW w:w="1701" w:type="dxa"/>
            <w:shd w:val="clear" w:color="auto" w:fill="FFFFFF"/>
          </w:tcPr>
          <w:p w:rsidR="00EB78A4" w:rsidRPr="00006F1E" w:rsidRDefault="00EB78A4" w:rsidP="00EC34EE">
            <w:pPr>
              <w:pStyle w:val="RollCallTable"/>
            </w:pPr>
            <w:r>
              <w:t>Verts/ALE</w:t>
            </w:r>
          </w:p>
        </w:tc>
        <w:tc>
          <w:tcPr>
            <w:tcW w:w="7371" w:type="dxa"/>
            <w:shd w:val="clear" w:color="auto" w:fill="FFFFFF"/>
          </w:tcPr>
          <w:p w:rsidR="00EB78A4" w:rsidRPr="00006F1E" w:rsidRDefault="00EB78A4" w:rsidP="00EC34EE">
            <w:pPr>
              <w:pStyle w:val="RollCallTable"/>
            </w:pPr>
            <w:r>
              <w:t>Sven Giegold, Claude Gruffat, Stasys Jakeliūnas, Philippe Lamberts, Piernicola Pedicini, Kira Marie Peter-Hansen, Ernest Urtasun</w:t>
            </w:r>
          </w:p>
        </w:tc>
      </w:tr>
    </w:tbl>
    <w:p w:rsidR="00EB78A4" w:rsidRPr="00006F1E" w:rsidRDefault="00EB78A4" w:rsidP="00EB78A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78A4" w:rsidRPr="00006F1E" w:rsidTr="00EC34EE">
        <w:trPr>
          <w:cantSplit/>
        </w:trPr>
        <w:tc>
          <w:tcPr>
            <w:tcW w:w="1701" w:type="dxa"/>
            <w:shd w:val="pct10" w:color="000000" w:fill="FFFFFF"/>
            <w:vAlign w:val="center"/>
          </w:tcPr>
          <w:p w:rsidR="00EB78A4" w:rsidRPr="00006F1E" w:rsidRDefault="00EB78A4" w:rsidP="00EC34EE">
            <w:pPr>
              <w:pStyle w:val="RollCallVotes"/>
            </w:pPr>
            <w:r>
              <w:t>2</w:t>
            </w:r>
          </w:p>
        </w:tc>
        <w:tc>
          <w:tcPr>
            <w:tcW w:w="7371" w:type="dxa"/>
            <w:shd w:val="pct10" w:color="000000" w:fill="FFFFFF"/>
          </w:tcPr>
          <w:p w:rsidR="00EB78A4" w:rsidRPr="00006F1E" w:rsidRDefault="00EB78A4" w:rsidP="00EC34EE">
            <w:pPr>
              <w:pStyle w:val="RollCallSymbols14pt"/>
            </w:pPr>
            <w:r>
              <w:t>-</w:t>
            </w:r>
          </w:p>
        </w:tc>
      </w:tr>
      <w:tr w:rsidR="00EB78A4" w:rsidRPr="00006F1E" w:rsidTr="00EC34EE">
        <w:trPr>
          <w:cantSplit/>
        </w:trPr>
        <w:tc>
          <w:tcPr>
            <w:tcW w:w="1701" w:type="dxa"/>
            <w:shd w:val="clear" w:color="auto" w:fill="FFFFFF"/>
          </w:tcPr>
          <w:p w:rsidR="00EB78A4" w:rsidRPr="00006F1E" w:rsidRDefault="00EB78A4" w:rsidP="00EC34EE">
            <w:pPr>
              <w:pStyle w:val="RollCallTable"/>
            </w:pPr>
            <w:r>
              <w:t>ECR</w:t>
            </w:r>
          </w:p>
        </w:tc>
        <w:tc>
          <w:tcPr>
            <w:tcW w:w="7371" w:type="dxa"/>
            <w:shd w:val="clear" w:color="auto" w:fill="FFFFFF"/>
          </w:tcPr>
          <w:p w:rsidR="00EB78A4" w:rsidRPr="00006F1E" w:rsidRDefault="00EB78A4" w:rsidP="00EC34EE">
            <w:pPr>
              <w:pStyle w:val="RollCallTable"/>
            </w:pPr>
            <w:r>
              <w:t>Michiel Hoogeveen</w:t>
            </w:r>
          </w:p>
        </w:tc>
      </w:tr>
      <w:tr w:rsidR="00EB78A4" w:rsidRPr="00006F1E" w:rsidTr="00EC34EE">
        <w:trPr>
          <w:cantSplit/>
        </w:trPr>
        <w:tc>
          <w:tcPr>
            <w:tcW w:w="1701" w:type="dxa"/>
            <w:shd w:val="clear" w:color="auto" w:fill="FFFFFF"/>
          </w:tcPr>
          <w:p w:rsidR="00EB78A4" w:rsidRPr="00006F1E" w:rsidRDefault="00EB78A4" w:rsidP="00EC34EE">
            <w:pPr>
              <w:pStyle w:val="RollCallTable"/>
            </w:pPr>
            <w:r>
              <w:t>NI</w:t>
            </w:r>
          </w:p>
        </w:tc>
        <w:tc>
          <w:tcPr>
            <w:tcW w:w="7371" w:type="dxa"/>
            <w:shd w:val="clear" w:color="auto" w:fill="FFFFFF"/>
          </w:tcPr>
          <w:p w:rsidR="00EB78A4" w:rsidRPr="00006F1E" w:rsidRDefault="00EB78A4" w:rsidP="00EC34EE">
            <w:pPr>
              <w:pStyle w:val="RollCallTable"/>
            </w:pPr>
            <w:r>
              <w:t>Lefteris Nikolaou-Alavanos</w:t>
            </w:r>
          </w:p>
        </w:tc>
      </w:tr>
    </w:tbl>
    <w:p w:rsidR="00EB78A4" w:rsidRPr="00006F1E" w:rsidRDefault="00EB78A4" w:rsidP="00EB78A4"/>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78A4" w:rsidRPr="00006F1E" w:rsidTr="00EC34EE">
        <w:trPr>
          <w:cantSplit/>
        </w:trPr>
        <w:tc>
          <w:tcPr>
            <w:tcW w:w="1701" w:type="dxa"/>
            <w:shd w:val="pct10" w:color="000000" w:fill="FFFFFF"/>
            <w:vAlign w:val="center"/>
          </w:tcPr>
          <w:p w:rsidR="00EB78A4" w:rsidRPr="00006F1E" w:rsidRDefault="00EB78A4" w:rsidP="00EC34EE">
            <w:pPr>
              <w:pStyle w:val="RollCallVotes"/>
            </w:pPr>
            <w:r>
              <w:t>5</w:t>
            </w:r>
          </w:p>
        </w:tc>
        <w:tc>
          <w:tcPr>
            <w:tcW w:w="7371" w:type="dxa"/>
            <w:shd w:val="pct10" w:color="000000" w:fill="FFFFFF"/>
          </w:tcPr>
          <w:p w:rsidR="00EB78A4" w:rsidRPr="00006F1E" w:rsidRDefault="00EB78A4" w:rsidP="00EC34EE">
            <w:pPr>
              <w:pStyle w:val="RollCallSymbols14pt"/>
            </w:pPr>
            <w:r>
              <w:t>0</w:t>
            </w:r>
          </w:p>
        </w:tc>
      </w:tr>
      <w:tr w:rsidR="00EB78A4" w:rsidRPr="001742F3" w:rsidTr="00EC34EE">
        <w:trPr>
          <w:cantSplit/>
        </w:trPr>
        <w:tc>
          <w:tcPr>
            <w:tcW w:w="1701" w:type="dxa"/>
            <w:shd w:val="clear" w:color="auto" w:fill="FFFFFF"/>
          </w:tcPr>
          <w:p w:rsidR="00EB78A4" w:rsidRPr="00006F1E" w:rsidRDefault="00EB78A4" w:rsidP="00EC34EE">
            <w:pPr>
              <w:pStyle w:val="RollCallTable"/>
            </w:pPr>
            <w:r>
              <w:t>ID</w:t>
            </w:r>
          </w:p>
        </w:tc>
        <w:tc>
          <w:tcPr>
            <w:tcW w:w="7371" w:type="dxa"/>
            <w:shd w:val="clear" w:color="auto" w:fill="FFFFFF"/>
          </w:tcPr>
          <w:p w:rsidR="00EB78A4" w:rsidRPr="001742F3" w:rsidRDefault="00EB78A4" w:rsidP="00EC34EE">
            <w:pPr>
              <w:pStyle w:val="RollCallTable"/>
              <w:rPr>
                <w:lang w:val="it-IT"/>
              </w:rPr>
            </w:pPr>
            <w:r w:rsidRPr="001742F3">
              <w:rPr>
                <w:lang w:val="it-IT"/>
              </w:rPr>
              <w:t>Gunnar Beck, Francesca Donato, Valentino Grant, Antonio Maria Rinaldi, Marco Zanni</w:t>
            </w:r>
          </w:p>
        </w:tc>
      </w:tr>
    </w:tbl>
    <w:p w:rsidR="00EB78A4" w:rsidRPr="007B5B65" w:rsidRDefault="00EB78A4" w:rsidP="00EB78A4">
      <w:pPr>
        <w:pStyle w:val="Normal12a"/>
        <w:rPr>
          <w:lang w:val="it-IT"/>
        </w:rPr>
      </w:pPr>
    </w:p>
    <w:p w:rsidR="00EB78A4" w:rsidRPr="00EB78A4" w:rsidRDefault="00EB78A4" w:rsidP="00EB78A4">
      <w:r>
        <w:t>Légende des signes utilisés:</w:t>
      </w:r>
    </w:p>
    <w:p w:rsidR="00EB78A4" w:rsidRPr="00EB78A4" w:rsidRDefault="00EB78A4" w:rsidP="00EB78A4">
      <w:pPr>
        <w:pStyle w:val="RollCallTabs"/>
      </w:pPr>
      <w:r>
        <w:t>+</w:t>
      </w:r>
      <w:r>
        <w:tab/>
        <w:t>:</w:t>
      </w:r>
      <w:r>
        <w:tab/>
        <w:t>pour</w:t>
      </w:r>
    </w:p>
    <w:p w:rsidR="00EB78A4" w:rsidRPr="00EB78A4" w:rsidRDefault="00EB78A4" w:rsidP="00EB78A4">
      <w:pPr>
        <w:pStyle w:val="RollCallTabs"/>
      </w:pPr>
      <w:r>
        <w:t>-</w:t>
      </w:r>
      <w:r>
        <w:tab/>
        <w:t>:</w:t>
      </w:r>
      <w:r>
        <w:tab/>
        <w:t>contre</w:t>
      </w:r>
    </w:p>
    <w:p w:rsidR="00EB78A4" w:rsidRPr="00006F1E" w:rsidRDefault="00EB78A4" w:rsidP="00EB78A4">
      <w:pPr>
        <w:pStyle w:val="RollCallTabs"/>
      </w:pPr>
      <w:r>
        <w:t>0</w:t>
      </w:r>
      <w:r>
        <w:tab/>
        <w:t>:</w:t>
      </w:r>
      <w:r>
        <w:tab/>
        <w:t>abstention</w:t>
      </w:r>
    </w:p>
    <w:p w:rsidR="00EB78A4" w:rsidRPr="00006F1E" w:rsidRDefault="00EB78A4" w:rsidP="00EB78A4"/>
    <w:bookmarkEnd w:id="6"/>
    <w:p w:rsidR="00EB78A4" w:rsidRPr="00006F1E" w:rsidRDefault="00EB78A4" w:rsidP="00EB78A4"/>
    <w:p w:rsidR="0045505F" w:rsidRPr="003B25F2" w:rsidRDefault="0045505F" w:rsidP="003B25F2"/>
    <w:sectPr w:rsidR="0045505F" w:rsidRPr="003B25F2" w:rsidSect="001A055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4B" w:rsidRPr="006F5AFA" w:rsidRDefault="008B4F4B">
      <w:r w:rsidRPr="006F5AFA">
        <w:separator/>
      </w:r>
    </w:p>
  </w:endnote>
  <w:endnote w:type="continuationSeparator" w:id="0">
    <w:p w:rsidR="008B4F4B" w:rsidRPr="006F5AFA" w:rsidRDefault="008B4F4B">
      <w:r w:rsidRPr="006F5A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F2" w:rsidRDefault="003B25F2" w:rsidP="003B25F2">
    <w:pPr>
      <w:pStyle w:val="EPFooter"/>
    </w:pPr>
    <w:r>
      <w:t>PE</w:t>
    </w:r>
    <w:r w:rsidRPr="003B25F2">
      <w:rPr>
        <w:rStyle w:val="HideTWBExt"/>
      </w:rPr>
      <w:t>&lt;NoPE&gt;</w:t>
    </w:r>
    <w:r>
      <w:t>691.372</w:t>
    </w:r>
    <w:r w:rsidRPr="003B25F2">
      <w:rPr>
        <w:rStyle w:val="HideTWBExt"/>
      </w:rPr>
      <w:t>&lt;/NoPE&gt;&lt;Version&gt;</w:t>
    </w:r>
    <w:r>
      <w:t>v02-00</w:t>
    </w:r>
    <w:r w:rsidRPr="003B25F2">
      <w:rPr>
        <w:rStyle w:val="HideTWBExt"/>
      </w:rPr>
      <w:t>&lt;/Version&gt;</w:t>
    </w:r>
    <w:r>
      <w:tab/>
    </w:r>
    <w:r>
      <w:fldChar w:fldCharType="begin"/>
    </w:r>
    <w:r>
      <w:instrText xml:space="preserve"> PAGE  \* MERGEFORMAT </w:instrText>
    </w:r>
    <w:r>
      <w:fldChar w:fldCharType="separate"/>
    </w:r>
    <w:r w:rsidR="001742F3">
      <w:rPr>
        <w:noProof/>
      </w:rPr>
      <w:t>2</w:t>
    </w:r>
    <w:r>
      <w:fldChar w:fldCharType="end"/>
    </w:r>
    <w:r>
      <w:t>/</w:t>
    </w:r>
    <w:fldSimple w:instr=" NUMPAGES  \* MERGEFORMAT ">
      <w:r w:rsidR="001742F3">
        <w:rPr>
          <w:noProof/>
        </w:rPr>
        <w:t>8</w:t>
      </w:r>
    </w:fldSimple>
    <w:r>
      <w:tab/>
    </w:r>
    <w:r w:rsidRPr="003B25F2">
      <w:rPr>
        <w:rStyle w:val="HideTWBExt"/>
      </w:rPr>
      <w:t>&lt;PathFdR&gt;</w:t>
    </w:r>
    <w:r>
      <w:t>RR\1231700FR.docx</w:t>
    </w:r>
    <w:r w:rsidRPr="003B25F2">
      <w:rPr>
        <w:rStyle w:val="HideTWBExt"/>
      </w:rPr>
      <w:t>&lt;/PathFdR&gt;</w:t>
    </w:r>
  </w:p>
  <w:p w:rsidR="00A71001" w:rsidRPr="006F5AFA" w:rsidRDefault="003B25F2" w:rsidP="003B25F2">
    <w:pPr>
      <w:pStyle w:val="EP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F2" w:rsidRDefault="003B25F2" w:rsidP="003B25F2">
    <w:pPr>
      <w:pStyle w:val="EPFooter"/>
    </w:pPr>
    <w:r w:rsidRPr="003B25F2">
      <w:rPr>
        <w:rStyle w:val="HideTWBExt"/>
      </w:rPr>
      <w:t>&lt;PathFdR&gt;</w:t>
    </w:r>
    <w:r>
      <w:t>RR\1231700FR.docx</w:t>
    </w:r>
    <w:r w:rsidRPr="003B25F2">
      <w:rPr>
        <w:rStyle w:val="HideTWBExt"/>
      </w:rPr>
      <w:t>&lt;/PathFdR&gt;</w:t>
    </w:r>
    <w:r>
      <w:tab/>
    </w:r>
    <w:r>
      <w:fldChar w:fldCharType="begin"/>
    </w:r>
    <w:r>
      <w:instrText xml:space="preserve"> PAGE  \* MERGEFORMAT </w:instrText>
    </w:r>
    <w:r>
      <w:fldChar w:fldCharType="separate"/>
    </w:r>
    <w:r w:rsidR="001742F3">
      <w:rPr>
        <w:noProof/>
      </w:rPr>
      <w:t>3</w:t>
    </w:r>
    <w:r>
      <w:fldChar w:fldCharType="end"/>
    </w:r>
    <w:r>
      <w:t>/</w:t>
    </w:r>
    <w:fldSimple w:instr=" NUMPAGES  \* MERGEFORMAT ">
      <w:r w:rsidR="001742F3">
        <w:rPr>
          <w:noProof/>
        </w:rPr>
        <w:t>8</w:t>
      </w:r>
    </w:fldSimple>
    <w:r>
      <w:tab/>
      <w:t>PE</w:t>
    </w:r>
    <w:r w:rsidRPr="003B25F2">
      <w:rPr>
        <w:rStyle w:val="HideTWBExt"/>
      </w:rPr>
      <w:t>&lt;NoPE&gt;</w:t>
    </w:r>
    <w:r>
      <w:t>691.372</w:t>
    </w:r>
    <w:r w:rsidRPr="003B25F2">
      <w:rPr>
        <w:rStyle w:val="HideTWBExt"/>
      </w:rPr>
      <w:t>&lt;/NoPE&gt;&lt;Version&gt;</w:t>
    </w:r>
    <w:r>
      <w:t>v02-00</w:t>
    </w:r>
    <w:r w:rsidRPr="003B25F2">
      <w:rPr>
        <w:rStyle w:val="HideTWBExt"/>
      </w:rPr>
      <w:t>&lt;/Version&gt;</w:t>
    </w:r>
  </w:p>
  <w:p w:rsidR="00A71001" w:rsidRPr="006F5AFA" w:rsidRDefault="003B25F2" w:rsidP="003B25F2">
    <w:pPr>
      <w:pStyle w:val="EPFooter2"/>
    </w:pPr>
    <w:r>
      <w:tab/>
    </w: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F2" w:rsidRDefault="003B25F2" w:rsidP="003B25F2">
    <w:pPr>
      <w:pStyle w:val="EPFooter"/>
    </w:pPr>
    <w:r w:rsidRPr="003B25F2">
      <w:rPr>
        <w:rStyle w:val="HideTWBExt"/>
      </w:rPr>
      <w:t>&lt;PathFdR&gt;</w:t>
    </w:r>
    <w:r>
      <w:t>RR\1231700FR.docx</w:t>
    </w:r>
    <w:r w:rsidRPr="003B25F2">
      <w:rPr>
        <w:rStyle w:val="HideTWBExt"/>
      </w:rPr>
      <w:t>&lt;/PathFdR&gt;</w:t>
    </w:r>
    <w:r>
      <w:tab/>
    </w:r>
    <w:r>
      <w:tab/>
      <w:t>PE</w:t>
    </w:r>
    <w:r w:rsidRPr="003B25F2">
      <w:rPr>
        <w:rStyle w:val="HideTWBExt"/>
      </w:rPr>
      <w:t>&lt;NoPE&gt;</w:t>
    </w:r>
    <w:r>
      <w:t>691.372</w:t>
    </w:r>
    <w:r w:rsidRPr="003B25F2">
      <w:rPr>
        <w:rStyle w:val="HideTWBExt"/>
      </w:rPr>
      <w:t>&lt;/NoPE&gt;&lt;Version&gt;</w:t>
    </w:r>
    <w:r>
      <w:t>v02-00</w:t>
    </w:r>
    <w:r w:rsidRPr="003B25F2">
      <w:rPr>
        <w:rStyle w:val="HideTWBExt"/>
      </w:rPr>
      <w:t>&lt;/Version&gt;</w:t>
    </w:r>
  </w:p>
  <w:p w:rsidR="00A71001" w:rsidRPr="006F5AFA" w:rsidRDefault="003B25F2" w:rsidP="003B25F2">
    <w:pPr>
      <w:pStyle w:val="EPFooter2"/>
    </w:pPr>
    <w:r>
      <w:t>FR</w:t>
    </w:r>
    <w:r>
      <w:tab/>
    </w:r>
    <w:r w:rsidRPr="003B25F2">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4B" w:rsidRPr="006F5AFA" w:rsidRDefault="008B4F4B">
      <w:r w:rsidRPr="006F5AFA">
        <w:separator/>
      </w:r>
    </w:p>
  </w:footnote>
  <w:footnote w:type="continuationSeparator" w:id="0">
    <w:p w:rsidR="008B4F4B" w:rsidRPr="006F5AFA" w:rsidRDefault="008B4F4B">
      <w:r w:rsidRPr="006F5AFA">
        <w:continuationSeparator/>
      </w:r>
    </w:p>
  </w:footnote>
  <w:footnote w:id="1">
    <w:p w:rsidR="00EB78A4" w:rsidRPr="00EB78A4" w:rsidRDefault="00EB78A4" w:rsidP="00EB78A4">
      <w:pPr>
        <w:pStyle w:val="FootnoteText"/>
      </w:pPr>
      <w:r>
        <w:rPr>
          <w:rStyle w:val="FootnoteReference"/>
        </w:rPr>
        <w:footnoteRef/>
      </w:r>
      <w:r>
        <w:t xml:space="preserve"> JO C 62 du 15.2.2019, p. 118.</w:t>
      </w:r>
    </w:p>
  </w:footnote>
  <w:footnote w:id="2">
    <w:p w:rsidR="00EB78A4" w:rsidRPr="00EB78A4" w:rsidRDefault="00EB78A4" w:rsidP="00EB78A4">
      <w:pPr>
        <w:pStyle w:val="FootnoteText"/>
      </w:pPr>
      <w:r>
        <w:rPr>
          <w:rStyle w:val="FootnoteReference"/>
        </w:rPr>
        <w:footnoteRef/>
      </w:r>
      <w:r>
        <w:t xml:space="preserve"> Textes adoptés du 17.4.2019, P8_TA(2019)0404.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A4" w:rsidRDefault="00EB7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A4" w:rsidRDefault="00EB7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A4" w:rsidRDefault="00EB7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12757E"/>
    <w:multiLevelType w:val="hybridMultilevel"/>
    <w:tmpl w:val="B6D48DC4"/>
    <w:lvl w:ilvl="0" w:tplc="9F76E00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10632"/>
    <w:multiLevelType w:val="hybridMultilevel"/>
    <w:tmpl w:val="C8E46688"/>
    <w:lvl w:ilvl="0" w:tplc="313AE78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READINGMNU" w:val=" 1"/>
    <w:docVar w:name="CJMNU" w:val="1"/>
    <w:docVar w:name="COMKEY" w:val="ECON"/>
    <w:docVar w:name="CopyToNetwork" w:val="-1"/>
    <w:docVar w:name="DOCMNU" w:val=" 1"/>
    <w:docVar w:name="EPSTATMNU" w:val=" 1"/>
    <w:docVar w:name="INSTITUTIONSMNU" w:val=" 2"/>
    <w:docVar w:name="LastEditedSection" w:val=" 1"/>
    <w:docVar w:name="OFSTATMNU" w:val=" 1"/>
    <w:docVar w:name="OTHERSTATMNU" w:val=" 1"/>
    <w:docVar w:name="PARLIAMENTSMNU" w:val=" 2"/>
    <w:docVar w:name="STATMNU" w:val=" 1"/>
    <w:docVar w:name="strDocTypeID" w:val="CONV"/>
    <w:docVar w:name="strSubDir" w:val="1231"/>
    <w:docVar w:name="TXTAUTHOR" w:val="Sven Giegold"/>
    <w:docVar w:name="TXTLANGUE" w:val="FR"/>
    <w:docVar w:name="TXTLANGUEMIN" w:val="fr"/>
    <w:docVar w:name="TXTNRC" w:val="xxxx/2021"/>
    <w:docVar w:name="TXTNRCOD" w:val="2018/0233"/>
    <w:docVar w:name="TXTNRCOUNC" w:val="xxxx"/>
    <w:docVar w:name="TXTNRPE" w:val="691.372"/>
    <w:docVar w:name="TXTPEorAP" w:val="PE"/>
    <w:docVar w:name="TXTROUTE" w:val="RR\1231700FR.docx"/>
    <w:docVar w:name="TXTTITLE" w:val="establishing the ‘Fiscalis’ programme for cooperation in the field of taxation"/>
    <w:docVar w:name="TXTVERSION" w:val="02-00"/>
  </w:docVars>
  <w:rsids>
    <w:rsidRoot w:val="008B4F4B"/>
    <w:rsid w:val="00012820"/>
    <w:rsid w:val="000220E6"/>
    <w:rsid w:val="000263F4"/>
    <w:rsid w:val="000352F9"/>
    <w:rsid w:val="00071D7E"/>
    <w:rsid w:val="00076114"/>
    <w:rsid w:val="000B55B4"/>
    <w:rsid w:val="000C00BA"/>
    <w:rsid w:val="000F380A"/>
    <w:rsid w:val="000F5800"/>
    <w:rsid w:val="00106498"/>
    <w:rsid w:val="0010658F"/>
    <w:rsid w:val="00115A46"/>
    <w:rsid w:val="00121F57"/>
    <w:rsid w:val="00135DB4"/>
    <w:rsid w:val="00145F6A"/>
    <w:rsid w:val="00151C63"/>
    <w:rsid w:val="001742E9"/>
    <w:rsid w:val="001742F3"/>
    <w:rsid w:val="001A0558"/>
    <w:rsid w:val="001D2345"/>
    <w:rsid w:val="001E7D60"/>
    <w:rsid w:val="001F74C8"/>
    <w:rsid w:val="00205F2E"/>
    <w:rsid w:val="00214AAD"/>
    <w:rsid w:val="002737CB"/>
    <w:rsid w:val="002B4823"/>
    <w:rsid w:val="002D3607"/>
    <w:rsid w:val="003057C3"/>
    <w:rsid w:val="00396EC8"/>
    <w:rsid w:val="003A7AA7"/>
    <w:rsid w:val="003B25F2"/>
    <w:rsid w:val="003B4DD8"/>
    <w:rsid w:val="00411B37"/>
    <w:rsid w:val="00422E71"/>
    <w:rsid w:val="0045505F"/>
    <w:rsid w:val="00471AFA"/>
    <w:rsid w:val="00480271"/>
    <w:rsid w:val="00481A55"/>
    <w:rsid w:val="00496C69"/>
    <w:rsid w:val="004A107D"/>
    <w:rsid w:val="004B2B38"/>
    <w:rsid w:val="00501DC4"/>
    <w:rsid w:val="00507878"/>
    <w:rsid w:val="005817F5"/>
    <w:rsid w:val="005D19D6"/>
    <w:rsid w:val="00607AAB"/>
    <w:rsid w:val="00696B79"/>
    <w:rsid w:val="006A12DF"/>
    <w:rsid w:val="006B240E"/>
    <w:rsid w:val="006E1A9F"/>
    <w:rsid w:val="006F5AFA"/>
    <w:rsid w:val="00744DF3"/>
    <w:rsid w:val="00756B4B"/>
    <w:rsid w:val="007C23A6"/>
    <w:rsid w:val="007C77B4"/>
    <w:rsid w:val="008464CA"/>
    <w:rsid w:val="0085215D"/>
    <w:rsid w:val="00872E8E"/>
    <w:rsid w:val="008A1560"/>
    <w:rsid w:val="008B4F4B"/>
    <w:rsid w:val="0092262A"/>
    <w:rsid w:val="00973AAF"/>
    <w:rsid w:val="009A3E26"/>
    <w:rsid w:val="009B3FB2"/>
    <w:rsid w:val="009B6095"/>
    <w:rsid w:val="00A04886"/>
    <w:rsid w:val="00A11851"/>
    <w:rsid w:val="00A347A7"/>
    <w:rsid w:val="00A653B6"/>
    <w:rsid w:val="00A71001"/>
    <w:rsid w:val="00A83749"/>
    <w:rsid w:val="00AB2BE6"/>
    <w:rsid w:val="00AB44E4"/>
    <w:rsid w:val="00AD6F7D"/>
    <w:rsid w:val="00B22039"/>
    <w:rsid w:val="00B30B85"/>
    <w:rsid w:val="00B328A0"/>
    <w:rsid w:val="00B439F5"/>
    <w:rsid w:val="00BA087E"/>
    <w:rsid w:val="00BD1DEF"/>
    <w:rsid w:val="00C117E5"/>
    <w:rsid w:val="00C42045"/>
    <w:rsid w:val="00C77873"/>
    <w:rsid w:val="00C83E85"/>
    <w:rsid w:val="00CB1DD5"/>
    <w:rsid w:val="00CC026D"/>
    <w:rsid w:val="00CC26E1"/>
    <w:rsid w:val="00D019D4"/>
    <w:rsid w:val="00D01B24"/>
    <w:rsid w:val="00D03678"/>
    <w:rsid w:val="00D32B30"/>
    <w:rsid w:val="00D4058F"/>
    <w:rsid w:val="00D63387"/>
    <w:rsid w:val="00D7695E"/>
    <w:rsid w:val="00DC3868"/>
    <w:rsid w:val="00DE253F"/>
    <w:rsid w:val="00E00D94"/>
    <w:rsid w:val="00E220DA"/>
    <w:rsid w:val="00E30664"/>
    <w:rsid w:val="00E4310C"/>
    <w:rsid w:val="00E62EE5"/>
    <w:rsid w:val="00E661BC"/>
    <w:rsid w:val="00E91F5F"/>
    <w:rsid w:val="00EB78A4"/>
    <w:rsid w:val="00F17BA6"/>
    <w:rsid w:val="00F3060C"/>
    <w:rsid w:val="00F633A2"/>
    <w:rsid w:val="00F90BF7"/>
    <w:rsid w:val="00F96F72"/>
    <w:rsid w:val="00FA5A39"/>
    <w:rsid w:val="00FE0128"/>
    <w:rsid w:val="00FE1371"/>
    <w:rsid w:val="00FE5DD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830467-0C81-45B5-A7AD-E5FD60D9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92262A"/>
    <w:pPr>
      <w:spacing w:before="480" w:after="240"/>
    </w:pPr>
  </w:style>
  <w:style w:type="paragraph" w:styleId="TOC1">
    <w:name w:val="toc 1"/>
    <w:basedOn w:val="Normal"/>
    <w:next w:val="Normal"/>
    <w:autoRedefine/>
    <w:uiPriority w:val="39"/>
    <w:rsid w:val="00A347A7"/>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96B79"/>
    <w:pPr>
      <w:spacing w:before="80" w:after="80"/>
    </w:pPr>
    <w:rPr>
      <w:rFonts w:ascii="Arial Narrow" w:hAnsi="Arial Narrow" w:cs="Arial"/>
      <w:b/>
      <w:sz w:val="32"/>
      <w:szCs w:val="22"/>
    </w:rPr>
  </w:style>
  <w:style w:type="paragraph" w:customStyle="1" w:styleId="CoverNormal24a">
    <w:name w:val="CoverNormal24a"/>
    <w:basedOn w:val="Normal"/>
    <w:rsid w:val="000B55B4"/>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FE1371"/>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0B55B4"/>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AB44E4"/>
    <w:pPr>
      <w:tabs>
        <w:tab w:val="center" w:pos="4513"/>
        <w:tab w:val="right" w:pos="902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2E9"/>
    <w:pPr>
      <w:jc w:val="center"/>
    </w:pPr>
    <w:rPr>
      <w:rFonts w:ascii="Arial" w:hAnsi="Arial" w:cs="Arial"/>
      <w:i/>
      <w:sz w:val="22"/>
      <w:szCs w:val="22"/>
    </w:rPr>
  </w:style>
  <w:style w:type="paragraph" w:customStyle="1" w:styleId="LineTop">
    <w:name w:val="LineTop"/>
    <w:basedOn w:val="Normal"/>
    <w:next w:val="Normal"/>
    <w:rsid w:val="001742E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2E9"/>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EPFooter">
    <w:name w:val="EPFooter"/>
    <w:basedOn w:val="Normal"/>
    <w:rsid w:val="000B55B4"/>
    <w:pPr>
      <w:tabs>
        <w:tab w:val="center" w:pos="4535"/>
        <w:tab w:val="right" w:pos="9071"/>
      </w:tabs>
      <w:spacing w:before="240" w:after="240"/>
    </w:pPr>
    <w:rPr>
      <w:color w:val="010000"/>
      <w:sz w:val="22"/>
    </w:rPr>
  </w:style>
  <w:style w:type="character" w:styleId="PageNumber">
    <w:name w:val="page number"/>
    <w:basedOn w:val="DefaultParagraphFont"/>
    <w:semiHidden/>
    <w:rsid w:val="009B3FB2"/>
  </w:style>
  <w:style w:type="character" w:customStyle="1" w:styleId="HeaderChar">
    <w:name w:val="Header Char"/>
    <w:basedOn w:val="DefaultParagraphFont"/>
    <w:link w:val="Header"/>
    <w:semiHidden/>
    <w:rsid w:val="00AB44E4"/>
    <w:rPr>
      <w:sz w:val="24"/>
    </w:rPr>
  </w:style>
  <w:style w:type="paragraph" w:customStyle="1" w:styleId="Lgendesigne">
    <w:name w:val="Légende signe"/>
    <w:basedOn w:val="Normal"/>
    <w:rsid w:val="00E62EE5"/>
    <w:pPr>
      <w:tabs>
        <w:tab w:val="right" w:pos="454"/>
        <w:tab w:val="left" w:pos="737"/>
      </w:tabs>
      <w:ind w:left="737" w:hanging="737"/>
    </w:pPr>
    <w:rPr>
      <w:snapToGrid w:val="0"/>
      <w:sz w:val="18"/>
      <w:lang w:eastAsia="en-US"/>
    </w:rPr>
  </w:style>
  <w:style w:type="paragraph" w:customStyle="1" w:styleId="Lgendetitre">
    <w:name w:val="Légende titre"/>
    <w:basedOn w:val="Normal"/>
    <w:rsid w:val="00E62EE5"/>
    <w:pPr>
      <w:spacing w:before="240" w:after="240"/>
    </w:pPr>
    <w:rPr>
      <w:b/>
      <w:i/>
      <w:snapToGrid w:val="0"/>
      <w:lang w:eastAsia="en-US"/>
    </w:rPr>
  </w:style>
  <w:style w:type="paragraph" w:customStyle="1" w:styleId="Lgendestandard">
    <w:name w:val="Légende standard"/>
    <w:basedOn w:val="Normal"/>
    <w:rsid w:val="00E62EE5"/>
    <w:rPr>
      <w:sz w:val="18"/>
    </w:rPr>
  </w:style>
  <w:style w:type="paragraph" w:styleId="FootnoteText">
    <w:name w:val="footnote text"/>
    <w:basedOn w:val="Normal"/>
    <w:link w:val="FootnoteTextChar"/>
    <w:rsid w:val="00E62EE5"/>
    <w:rPr>
      <w:sz w:val="20"/>
    </w:rPr>
  </w:style>
  <w:style w:type="character" w:customStyle="1" w:styleId="FootnoteTextChar">
    <w:name w:val="Footnote Text Char"/>
    <w:basedOn w:val="DefaultParagraphFont"/>
    <w:link w:val="FootnoteText"/>
    <w:rsid w:val="00E62EE5"/>
  </w:style>
  <w:style w:type="character" w:styleId="FootnoteReference">
    <w:name w:val="footnote reference"/>
    <w:basedOn w:val="DefaultParagraphFont"/>
    <w:rsid w:val="00E62EE5"/>
    <w:rPr>
      <w:vertAlign w:val="superscript"/>
    </w:rPr>
  </w:style>
  <w:style w:type="paragraph" w:styleId="Footer">
    <w:name w:val="footer"/>
    <w:basedOn w:val="Normal"/>
    <w:link w:val="FooterChar"/>
    <w:semiHidden/>
    <w:rsid w:val="00214AAD"/>
    <w:pPr>
      <w:tabs>
        <w:tab w:val="center" w:pos="4513"/>
        <w:tab w:val="right" w:pos="9026"/>
      </w:tabs>
    </w:pPr>
  </w:style>
  <w:style w:type="character" w:customStyle="1" w:styleId="FooterChar">
    <w:name w:val="Footer Char"/>
    <w:basedOn w:val="DefaultParagraphFont"/>
    <w:link w:val="Footer"/>
    <w:semiHidden/>
    <w:rsid w:val="00214AAD"/>
    <w:rPr>
      <w:sz w:val="24"/>
    </w:rPr>
  </w:style>
  <w:style w:type="paragraph" w:styleId="BalloonText">
    <w:name w:val="Balloon Text"/>
    <w:basedOn w:val="Normal"/>
    <w:link w:val="BalloonTextChar"/>
    <w:semiHidden/>
    <w:unhideWhenUsed/>
    <w:rsid w:val="005817F5"/>
    <w:rPr>
      <w:rFonts w:ascii="Segoe UI" w:hAnsi="Segoe UI" w:cs="Segoe UI"/>
      <w:sz w:val="18"/>
      <w:szCs w:val="18"/>
    </w:rPr>
  </w:style>
  <w:style w:type="character" w:customStyle="1" w:styleId="BalloonTextChar">
    <w:name w:val="Balloon Text Char"/>
    <w:basedOn w:val="DefaultParagraphFont"/>
    <w:link w:val="BalloonText"/>
    <w:semiHidden/>
    <w:rsid w:val="005817F5"/>
    <w:rPr>
      <w:rFonts w:ascii="Segoe UI" w:hAnsi="Segoe UI" w:cs="Segoe UI"/>
      <w:sz w:val="18"/>
      <w:szCs w:val="18"/>
    </w:rPr>
  </w:style>
  <w:style w:type="paragraph" w:customStyle="1" w:styleId="Normal12a">
    <w:name w:val="Normal12a"/>
    <w:basedOn w:val="Normal"/>
    <w:rsid w:val="00EB78A4"/>
    <w:pPr>
      <w:spacing w:after="240"/>
    </w:pPr>
  </w:style>
  <w:style w:type="paragraph" w:customStyle="1" w:styleId="RollCallVotes">
    <w:name w:val="RollCallVotes"/>
    <w:basedOn w:val="Normal"/>
    <w:rsid w:val="00EB78A4"/>
    <w:pPr>
      <w:spacing w:before="120" w:after="120"/>
      <w:jc w:val="center"/>
    </w:pPr>
    <w:rPr>
      <w:b/>
      <w:bCs/>
      <w:snapToGrid w:val="0"/>
      <w:sz w:val="16"/>
      <w:lang w:eastAsia="en-US"/>
    </w:rPr>
  </w:style>
  <w:style w:type="paragraph" w:customStyle="1" w:styleId="RollCallTabs">
    <w:name w:val="RollCallTabs"/>
    <w:basedOn w:val="Normal"/>
    <w:qFormat/>
    <w:rsid w:val="00EB78A4"/>
    <w:pPr>
      <w:tabs>
        <w:tab w:val="center" w:pos="284"/>
        <w:tab w:val="left" w:pos="426"/>
      </w:tabs>
    </w:pPr>
    <w:rPr>
      <w:snapToGrid w:val="0"/>
      <w:lang w:eastAsia="en-US"/>
    </w:rPr>
  </w:style>
  <w:style w:type="paragraph" w:customStyle="1" w:styleId="RollCallSymbols14pt">
    <w:name w:val="RollCallSymbols14pt"/>
    <w:basedOn w:val="Normal"/>
    <w:rsid w:val="00EB78A4"/>
    <w:pPr>
      <w:spacing w:before="120" w:after="120"/>
      <w:jc w:val="center"/>
    </w:pPr>
    <w:rPr>
      <w:rFonts w:ascii="Arial" w:hAnsi="Arial"/>
      <w:b/>
      <w:bCs/>
      <w:snapToGrid w:val="0"/>
      <w:sz w:val="28"/>
      <w:lang w:eastAsia="en-US"/>
    </w:rPr>
  </w:style>
  <w:style w:type="paragraph" w:customStyle="1" w:styleId="RollCallTable">
    <w:name w:val="RollCallTable"/>
    <w:basedOn w:val="Normal"/>
    <w:rsid w:val="00EB78A4"/>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0E95-5B5D-45CD-82C3-BD6FD3FE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1141</Words>
  <Characters>6749</Characters>
  <Application>Microsoft Office Word</Application>
  <DocSecurity>0</DocSecurity>
  <Lines>224</Lines>
  <Paragraphs>140</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ESPOSITO Odila</dc:creator>
  <cp:keywords/>
  <dc:description/>
  <cp:lastModifiedBy>PETITCOLAS Anne</cp:lastModifiedBy>
  <cp:revision>2</cp:revision>
  <cp:lastPrinted>2021-04-28T08:53:00Z</cp:lastPrinted>
  <dcterms:created xsi:type="dcterms:W3CDTF">2021-05-18T08:00:00Z</dcterms:created>
  <dcterms:modified xsi:type="dcterms:W3CDTF">2021-05-18T08:00:00Z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1231700</vt:lpwstr>
  </property>
  <property fmtid="{D5CDD505-2E9C-101B-9397-08002B2CF9AE}" pid="5" name="&lt;Type&gt;">
    <vt:lpwstr>RR</vt:lpwstr>
  </property>
  <property fmtid="{D5CDD505-2E9C-101B-9397-08002B2CF9AE}" pid="6" name="&lt;ModelCod&gt;">
    <vt:lpwstr>\\eiciBRUpr1\pdocep$\DocEP\DOCS\General\PR\PR_Leg\COD\COD_2nd\PR_COD_2app.dotx(17/04/2020 19:27:08)</vt:lpwstr>
  </property>
  <property fmtid="{D5CDD505-2E9C-101B-9397-08002B2CF9AE}" pid="7" name="&lt;ModelTra&gt;">
    <vt:lpwstr>\\eiciBRUpr1\pdocep$\DocEP\TRANSFIL\EN\PR_COD_2app.EN(15/10/2020 23:32:15)</vt:lpwstr>
  </property>
  <property fmtid="{D5CDD505-2E9C-101B-9397-08002B2CF9AE}" pid="8" name="&lt;Model&gt;">
    <vt:lpwstr>PR_COD_2app</vt:lpwstr>
  </property>
  <property fmtid="{D5CDD505-2E9C-101B-9397-08002B2CF9AE}" pid="9" name="FooterPath">
    <vt:lpwstr>RR\1231700FR.docx</vt:lpwstr>
  </property>
  <property fmtid="{D5CDD505-2E9C-101B-9397-08002B2CF9AE}" pid="10" name="PE number">
    <vt:lpwstr>691.372</vt:lpwstr>
  </property>
  <property fmtid="{D5CDD505-2E9C-101B-9397-08002B2CF9AE}" pid="11" name="SendToEpades">
    <vt:lpwstr>OK - 2021/04/29 16:27</vt:lpwstr>
  </property>
  <property fmtid="{D5CDD505-2E9C-101B-9397-08002B2CF9AE}" pid="12" name="Bookout">
    <vt:lpwstr>OK - 2021/05/18 10:00</vt:lpwstr>
  </property>
  <property fmtid="{D5CDD505-2E9C-101B-9397-08002B2CF9AE}" pid="13" name="SDLStudio">
    <vt:lpwstr/>
  </property>
  <property fmtid="{D5CDD505-2E9C-101B-9397-08002B2CF9AE}" pid="14" name="&lt;Extension&gt;">
    <vt:lpwstr>FR</vt:lpwstr>
  </property>
</Properties>
</file>