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F3" w:rsidRDefault="00F046F3" w:rsidP="00F046F3">
      <w:pPr>
        <w:tabs>
          <w:tab w:val="right" w:pos="9184"/>
        </w:tabs>
      </w:pPr>
    </w:p>
    <w:p w:rsidR="00F046F3" w:rsidRDefault="00F046F3" w:rsidP="00F046F3">
      <w:pPr>
        <w:tabs>
          <w:tab w:val="right" w:pos="9184"/>
        </w:tabs>
      </w:pPr>
    </w:p>
    <w:p w:rsidR="00F046F3" w:rsidRDefault="00F046F3" w:rsidP="00F046F3">
      <w:pPr>
        <w:tabs>
          <w:tab w:val="right" w:pos="9184"/>
        </w:tabs>
      </w:pPr>
    </w:p>
    <w:p w:rsidR="00F046F3" w:rsidRDefault="00F046F3" w:rsidP="00F046F3">
      <w:pPr>
        <w:tabs>
          <w:tab w:val="right" w:pos="9184"/>
        </w:tabs>
      </w:pPr>
    </w:p>
    <w:p w:rsidR="00F046F3" w:rsidRDefault="00F046F3" w:rsidP="00F046F3">
      <w:pPr>
        <w:tabs>
          <w:tab w:val="right" w:pos="9184"/>
        </w:tabs>
      </w:pPr>
      <w:r w:rsidRPr="00F046F3">
        <w:rPr>
          <w:rStyle w:val="HideTWBExt"/>
        </w:rPr>
        <w:t>&lt;Date&gt;</w:t>
      </w:r>
      <w:r>
        <w:t>9.9.2021</w:t>
      </w:r>
      <w:r w:rsidRPr="00F046F3">
        <w:rPr>
          <w:rStyle w:val="HideTWBExt"/>
        </w:rPr>
        <w:t>&lt;/Date&gt;</w:t>
      </w:r>
      <w:r>
        <w:tab/>
        <w:t xml:space="preserve">A9-0178/ </w:t>
      </w:r>
      <w:r w:rsidRPr="00F046F3">
        <w:rPr>
          <w:rStyle w:val="HideTWBExt"/>
        </w:rPr>
        <w:t>&lt;NumOfAM&gt;</w:t>
      </w:r>
      <w:r>
        <w:t>001-106</w:t>
      </w:r>
      <w:bookmarkStart w:id="0" w:name="_GoBack"/>
      <w:bookmarkEnd w:id="0"/>
      <w:r w:rsidRPr="00F046F3">
        <w:rPr>
          <w:rStyle w:val="HideTWBExt"/>
        </w:rPr>
        <w:t>&lt;/NumOfAM&gt;</w:t>
      </w:r>
    </w:p>
    <w:p w:rsidR="00F046F3" w:rsidRDefault="00F046F3" w:rsidP="00F046F3">
      <w:pPr>
        <w:tabs>
          <w:tab w:val="right" w:pos="9184"/>
        </w:tabs>
      </w:pPr>
    </w:p>
    <w:p w:rsidR="00F046F3" w:rsidRDefault="00F046F3" w:rsidP="00F046F3">
      <w:pPr>
        <w:tabs>
          <w:tab w:val="right" w:pos="9184"/>
        </w:tabs>
      </w:pPr>
    </w:p>
    <w:p w:rsidR="00F046F3" w:rsidRDefault="00F046F3" w:rsidP="00F046F3">
      <w:pPr>
        <w:tabs>
          <w:tab w:val="right" w:pos="9184"/>
        </w:tabs>
      </w:pPr>
      <w:r>
        <w:rPr>
          <w:b/>
        </w:rPr>
        <w:t xml:space="preserve">AMENDEMENTEN 001-106 </w:t>
      </w:r>
    </w:p>
    <w:p w:rsidR="00F046F3" w:rsidRDefault="00F046F3" w:rsidP="00F046F3">
      <w:pPr>
        <w:tabs>
          <w:tab w:val="right" w:pos="9184"/>
        </w:tabs>
      </w:pPr>
      <w:r>
        <w:t xml:space="preserve">ingediend door de </w:t>
      </w:r>
      <w:r w:rsidRPr="00F046F3">
        <w:rPr>
          <w:rStyle w:val="HideTWBExt"/>
        </w:rPr>
        <w:t>&lt;Committee&gt;</w:t>
      </w:r>
      <w:r>
        <w:t>Commissie regionale ontwikkeling</w:t>
      </w:r>
      <w:r w:rsidRPr="00F046F3">
        <w:rPr>
          <w:rStyle w:val="HideTWBExt"/>
        </w:rPr>
        <w:t>&lt;/Committee&gt;</w:t>
      </w:r>
    </w:p>
    <w:p w:rsidR="00F046F3" w:rsidRDefault="00F046F3" w:rsidP="00F046F3">
      <w:pPr>
        <w:tabs>
          <w:tab w:val="right" w:pos="9184"/>
        </w:tabs>
      </w:pPr>
    </w:p>
    <w:p w:rsidR="00F046F3" w:rsidRPr="00AF7938" w:rsidRDefault="00F046F3" w:rsidP="00F046F3">
      <w:pPr>
        <w:tabs>
          <w:tab w:val="right" w:pos="9184"/>
        </w:tabs>
        <w:rPr>
          <w:b/>
          <w:lang w:val="en-GB"/>
        </w:rPr>
      </w:pPr>
      <w:r w:rsidRPr="00AF7938">
        <w:rPr>
          <w:b/>
          <w:lang w:val="en-GB"/>
        </w:rPr>
        <w:t>Verslag</w:t>
      </w:r>
    </w:p>
    <w:p w:rsidR="00F046F3" w:rsidRPr="00AF7938" w:rsidRDefault="00F046F3" w:rsidP="00F046F3">
      <w:pPr>
        <w:tabs>
          <w:tab w:val="right" w:pos="9184"/>
        </w:tabs>
        <w:rPr>
          <w:b/>
          <w:lang w:val="en-GB"/>
        </w:rPr>
      </w:pPr>
      <w:r w:rsidRPr="00AF7938">
        <w:rPr>
          <w:rStyle w:val="HideTWBExt"/>
          <w:lang w:val="en-GB"/>
        </w:rPr>
        <w:t>&lt;Chairman&gt;</w:t>
      </w:r>
      <w:r w:rsidRPr="00AF7938">
        <w:rPr>
          <w:b/>
          <w:lang w:val="en-GB"/>
        </w:rPr>
        <w:t>Pascal Arimont</w:t>
      </w:r>
      <w:r w:rsidRPr="00AF7938">
        <w:rPr>
          <w:rStyle w:val="HideTWBExt"/>
          <w:lang w:val="en-GB"/>
        </w:rPr>
        <w:t>&lt;/Chairman&gt;</w:t>
      </w:r>
      <w:r w:rsidRPr="00AF7938">
        <w:rPr>
          <w:b/>
          <w:lang w:val="en-GB"/>
        </w:rPr>
        <w:tab/>
      </w:r>
      <w:r w:rsidRPr="00AF7938">
        <w:rPr>
          <w:rStyle w:val="HideTWBExt"/>
          <w:lang w:val="en-GB"/>
        </w:rPr>
        <w:t>&lt;A5Nr&gt;</w:t>
      </w:r>
      <w:r w:rsidRPr="00AF7938">
        <w:rPr>
          <w:b/>
          <w:lang w:val="en-GB"/>
        </w:rPr>
        <w:t>A9-0178/2021</w:t>
      </w:r>
      <w:r w:rsidRPr="00AF7938">
        <w:rPr>
          <w:rStyle w:val="HideTWBExt"/>
          <w:lang w:val="en-GB"/>
        </w:rPr>
        <w:t>&lt;/A5Nr&gt;</w:t>
      </w:r>
    </w:p>
    <w:p w:rsidR="00F046F3" w:rsidRDefault="00F046F3" w:rsidP="00F046F3">
      <w:pPr>
        <w:tabs>
          <w:tab w:val="right" w:pos="9184"/>
        </w:tabs>
      </w:pPr>
      <w:r w:rsidRPr="00F046F3">
        <w:rPr>
          <w:rStyle w:val="HideTWBExt"/>
        </w:rPr>
        <w:t>&lt;ShortTitel&gt;</w:t>
      </w:r>
      <w:r>
        <w:t>Reserve voor aanpassing aan de brexit</w:t>
      </w:r>
      <w:r w:rsidRPr="00F046F3">
        <w:rPr>
          <w:rStyle w:val="HideTWBExt"/>
        </w:rPr>
        <w:t>&lt;/ShortTitel&gt;</w:t>
      </w:r>
    </w:p>
    <w:p w:rsidR="00F046F3" w:rsidRDefault="00F046F3" w:rsidP="00F046F3">
      <w:pPr>
        <w:tabs>
          <w:tab w:val="right" w:pos="9184"/>
        </w:tabs>
      </w:pPr>
    </w:p>
    <w:p w:rsidR="00F046F3" w:rsidRDefault="00F046F3" w:rsidP="00F046F3">
      <w:pPr>
        <w:tabs>
          <w:tab w:val="right" w:pos="9184"/>
        </w:tabs>
      </w:pPr>
      <w:r w:rsidRPr="00F046F3">
        <w:rPr>
          <w:rStyle w:val="HideTWBExt"/>
        </w:rPr>
        <w:t>&lt;Procedure&gt;</w:t>
      </w:r>
      <w:r>
        <w:t>Voorstel voor een verordening</w:t>
      </w:r>
      <w:r w:rsidRPr="00F046F3">
        <w:rPr>
          <w:rStyle w:val="HideTWBExt"/>
        </w:rPr>
        <w:t>&lt;/Procedure&gt;</w:t>
      </w:r>
      <w:r>
        <w:t xml:space="preserve"> </w:t>
      </w:r>
      <w:r w:rsidRPr="00F046F3">
        <w:rPr>
          <w:rStyle w:val="HideTWBExt"/>
        </w:rPr>
        <w:t>&lt;ReferenceNo&gt;</w:t>
      </w:r>
      <w:r>
        <w:t>(COM(2020)0854 – C9-0433/2020 – 2020/0380(COD))</w:t>
      </w:r>
      <w:r w:rsidRPr="00F046F3">
        <w:rPr>
          <w:rStyle w:val="HideTWBExt"/>
        </w:rPr>
        <w:t>&lt;/ReferenceNo&gt;</w:t>
      </w:r>
    </w:p>
    <w:p w:rsidR="00F046F3" w:rsidRDefault="00F046F3" w:rsidP="00F046F3">
      <w:pPr>
        <w:tabs>
          <w:tab w:val="right" w:pos="9184"/>
        </w:tabs>
      </w:pPr>
    </w:p>
    <w:p w:rsidR="00F046F3" w:rsidRDefault="00F046F3" w:rsidP="00F046F3">
      <w:pPr>
        <w:tabs>
          <w:tab w:val="right" w:pos="9184"/>
        </w:tabs>
      </w:pPr>
    </w:p>
    <w:p w:rsidR="00F046F3" w:rsidRDefault="00F046F3" w:rsidP="00F046F3">
      <w:pPr>
        <w:tabs>
          <w:tab w:val="right" w:pos="9184"/>
        </w:tabs>
      </w:pPr>
    </w:p>
    <w:p w:rsidR="00F046F3" w:rsidRDefault="00F046F3" w:rsidP="00F046F3">
      <w:pPr>
        <w:tabs>
          <w:tab w:val="right" w:pos="9184"/>
        </w:tabs>
        <w:jc w:val="center"/>
      </w:pPr>
      <w:r>
        <w:t>_____________________________________________________________</w:t>
      </w:r>
    </w:p>
    <w:p w:rsidR="00F046F3" w:rsidRDefault="00F046F3" w:rsidP="00F046F3">
      <w:pPr>
        <w:tabs>
          <w:tab w:val="right" w:pos="9184"/>
        </w:tabs>
        <w:jc w:val="center"/>
      </w:pPr>
    </w:p>
    <w:p w:rsidR="00D15344" w:rsidRPr="00F046F3" w:rsidRDefault="00D15344" w:rsidP="00F046F3">
      <w:pPr>
        <w:pStyle w:val="AmNumberTabs"/>
      </w:pPr>
      <w:r w:rsidRPr="00F046F3">
        <w:t>Amendement</w:t>
      </w:r>
      <w:r w:rsidRPr="00F046F3">
        <w:tab/>
      </w:r>
      <w:r w:rsidRPr="00F046F3">
        <w:tab/>
        <w:t>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 xml:space="preserve">Op 1 februari 2020 heeft het Verenigd Koninkrijk van Groot-Brittannië en Noord-Ierland (“het Verenigd Koninkrijk”) de Europese Unie en de Europese Gemeenschap voor Atoomenergie (“Euratom”), hierna samen “de Unie” genoemd, verlaten, en is een overgangsperiode ingegaan. Die in de tijd beperkte overgangsperiode </w:t>
            </w:r>
            <w:r w:rsidRPr="00F046F3">
              <w:rPr>
                <w:b/>
                <w:i/>
              </w:rPr>
              <w:t>is</w:t>
            </w:r>
            <w:r w:rsidRPr="00F046F3">
              <w:t xml:space="preserve"> overeengekomen in het kader van het terugtrekkingsakkoord</w:t>
            </w:r>
            <w:r w:rsidRPr="00F046F3">
              <w:rPr>
                <w:vertAlign w:val="superscript"/>
              </w:rPr>
              <w:t>11</w:t>
            </w:r>
            <w:r w:rsidRPr="00F046F3">
              <w:t xml:space="preserve"> en </w:t>
            </w:r>
            <w:r w:rsidRPr="00F046F3">
              <w:rPr>
                <w:b/>
                <w:i/>
              </w:rPr>
              <w:t>loopt tot en met</w:t>
            </w:r>
            <w:r w:rsidRPr="00F046F3">
              <w:t xml:space="preserve"> 31 december 2020. Tijdens de overgangsperiode zijn de Unie en het Verenigd Koninkrijk formele onderhandelingen over hun toekomstige betrekkingen begonnen.</w:t>
            </w:r>
          </w:p>
        </w:tc>
        <w:tc>
          <w:tcPr>
            <w:tcW w:w="4876" w:type="dxa"/>
            <w:hideMark/>
          </w:tcPr>
          <w:p w:rsidR="00D15344" w:rsidRPr="00F046F3" w:rsidRDefault="00D15344" w:rsidP="004F1417">
            <w:pPr>
              <w:pStyle w:val="Normal6"/>
              <w:rPr>
                <w:szCs w:val="24"/>
              </w:rPr>
            </w:pPr>
            <w:r w:rsidRPr="00F046F3">
              <w:t>(1)</w:t>
            </w:r>
            <w:r w:rsidRPr="00F046F3">
              <w:tab/>
              <w:t xml:space="preserve">Op 1 februari 2020 heeft het Verenigd Koninkrijk van Groot-Brittannië en Noord-Ierland (“het Verenigd Koninkrijk”) de Europese Unie en de Europese Gemeenschap voor Atoomenergie (“Euratom”), hierna samen “de Unie” genoemd, verlaten, en is een overgangsperiode ingegaan. Die in de tijd beperkte overgangsperiode </w:t>
            </w:r>
            <w:r w:rsidRPr="00F046F3">
              <w:rPr>
                <w:b/>
                <w:i/>
              </w:rPr>
              <w:t>was</w:t>
            </w:r>
            <w:r w:rsidRPr="00F046F3">
              <w:t xml:space="preserve"> overeengekomen in het kader van het terugtrekkingsakkoord</w:t>
            </w:r>
            <w:r w:rsidRPr="00F046F3">
              <w:rPr>
                <w:vertAlign w:val="superscript"/>
              </w:rPr>
              <w:t>11</w:t>
            </w:r>
            <w:r w:rsidRPr="00F046F3">
              <w:t xml:space="preserve"> en </w:t>
            </w:r>
            <w:r w:rsidRPr="00F046F3">
              <w:rPr>
                <w:b/>
                <w:i/>
              </w:rPr>
              <w:t>eindigde op</w:t>
            </w:r>
            <w:r w:rsidRPr="00F046F3">
              <w:t xml:space="preserve"> 31 december 2020. Tijdens de overgangsperiode zijn de Unie en het Verenigd Koninkrijk formele onderhandelingen over hun toekomstige betrekkingen begonnen.</w:t>
            </w:r>
          </w:p>
        </w:tc>
      </w:tr>
      <w:tr w:rsidR="00D15344" w:rsidRPr="00F046F3" w:rsidTr="004F1417">
        <w:trPr>
          <w:jc w:val="center"/>
        </w:trPr>
        <w:tc>
          <w:tcPr>
            <w:tcW w:w="4876" w:type="dxa"/>
            <w:hideMark/>
          </w:tcPr>
          <w:p w:rsidR="00D15344" w:rsidRPr="00F046F3" w:rsidRDefault="00D15344" w:rsidP="004F1417">
            <w:pPr>
              <w:pStyle w:val="Normal6"/>
            </w:pPr>
            <w:r w:rsidRPr="00F046F3">
              <w:t>__________________</w:t>
            </w:r>
          </w:p>
        </w:tc>
        <w:tc>
          <w:tcPr>
            <w:tcW w:w="4876" w:type="dxa"/>
            <w:hideMark/>
          </w:tcPr>
          <w:p w:rsidR="00D15344" w:rsidRPr="00F046F3" w:rsidRDefault="00D15344" w:rsidP="004F1417">
            <w:pPr>
              <w:pStyle w:val="Normal6"/>
              <w:rPr>
                <w:szCs w:val="24"/>
              </w:rPr>
            </w:pPr>
            <w:r w:rsidRPr="00F046F3">
              <w:t>__________________</w:t>
            </w:r>
          </w:p>
        </w:tc>
      </w:tr>
      <w:tr w:rsidR="00D15344" w:rsidRPr="00F046F3" w:rsidTr="004F1417">
        <w:trPr>
          <w:jc w:val="center"/>
        </w:trPr>
        <w:tc>
          <w:tcPr>
            <w:tcW w:w="4876" w:type="dxa"/>
            <w:hideMark/>
          </w:tcPr>
          <w:p w:rsidR="00D15344" w:rsidRPr="00F046F3" w:rsidRDefault="00D15344" w:rsidP="004F1417">
            <w:pPr>
              <w:pStyle w:val="Normal6"/>
            </w:pPr>
            <w:r w:rsidRPr="00F046F3">
              <w:rPr>
                <w:vertAlign w:val="superscript"/>
              </w:rPr>
              <w:t>11</w:t>
            </w:r>
            <w:r w:rsidRPr="00F046F3">
              <w:t xml:space="preserve"> Akkoord inzake de terugtrekking van het Verenigd Koninkrijk van Groot-Brittannië en Noord-Ierland uit de Europese Unie en </w:t>
            </w:r>
            <w:r w:rsidRPr="00F046F3">
              <w:lastRenderedPageBreak/>
              <w:t>de Europese Gemeenschap voor Atoomenergie (“terugtrekkingsakkoord”) (PB L 29 van 31.1.2020, blz. 7).</w:t>
            </w:r>
          </w:p>
        </w:tc>
        <w:tc>
          <w:tcPr>
            <w:tcW w:w="4876" w:type="dxa"/>
            <w:hideMark/>
          </w:tcPr>
          <w:p w:rsidR="00D15344" w:rsidRPr="00F046F3" w:rsidRDefault="00D15344" w:rsidP="004F1417">
            <w:pPr>
              <w:pStyle w:val="Normal6"/>
              <w:rPr>
                <w:szCs w:val="24"/>
              </w:rPr>
            </w:pPr>
            <w:r w:rsidRPr="00F046F3">
              <w:rPr>
                <w:vertAlign w:val="superscript"/>
              </w:rPr>
              <w:lastRenderedPageBreak/>
              <w:t>11</w:t>
            </w:r>
            <w:r w:rsidRPr="00F046F3">
              <w:t xml:space="preserve"> Akkoord inzake de terugtrekking van het Verenigd Koninkrijk van Groot-Brittannië en Noord-Ierland uit de Europese Unie en </w:t>
            </w:r>
            <w:r w:rsidRPr="00F046F3">
              <w:lastRenderedPageBreak/>
              <w:t>de Europese Gemeenschap voor Atoomenergie (“terugtrekkingsakkoord”) (PB L 29 van 31.1.2020, blz. 7).</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 xml:space="preserve">Na afloop van de overgangsperiode </w:t>
            </w:r>
            <w:r w:rsidRPr="00F046F3">
              <w:rPr>
                <w:b/>
                <w:i/>
              </w:rPr>
              <w:t>zullen</w:t>
            </w:r>
            <w:r w:rsidRPr="00F046F3">
              <w:t xml:space="preserve"> er belemmeringen voor de handel en voor </w:t>
            </w:r>
            <w:r w:rsidRPr="00F046F3">
              <w:rPr>
                <w:b/>
                <w:i/>
              </w:rPr>
              <w:t>grensoverschrijdende uitwisselingen</w:t>
            </w:r>
            <w:r w:rsidRPr="00F046F3">
              <w:t xml:space="preserve"> tussen de Unie en het Verenigd Koninkrijk </w:t>
            </w:r>
            <w:r w:rsidRPr="00F046F3">
              <w:rPr>
                <w:b/>
                <w:i/>
              </w:rPr>
              <w:t>bestaan.</w:t>
            </w:r>
            <w:r w:rsidRPr="00F046F3">
              <w:t xml:space="preserve"> </w:t>
            </w:r>
            <w:r w:rsidRPr="00F046F3">
              <w:rPr>
                <w:b/>
                <w:i/>
              </w:rPr>
              <w:t>Er worden</w:t>
            </w:r>
            <w:r w:rsidRPr="00F046F3">
              <w:t xml:space="preserve"> brede en verstrekkende gevolgen </w:t>
            </w:r>
            <w:r w:rsidRPr="00F046F3">
              <w:rPr>
                <w:b/>
                <w:i/>
              </w:rPr>
              <w:t xml:space="preserve">verwacht </w:t>
            </w:r>
            <w:r w:rsidRPr="00F046F3">
              <w:t>voor</w:t>
            </w:r>
            <w:r w:rsidRPr="00F046F3">
              <w:rPr>
                <w:b/>
                <w:i/>
              </w:rPr>
              <w:t xml:space="preserve"> de</w:t>
            </w:r>
            <w:r w:rsidRPr="00F046F3">
              <w:t xml:space="preserve"> bedrijven, </w:t>
            </w:r>
            <w:r w:rsidRPr="00F046F3">
              <w:rPr>
                <w:b/>
                <w:i/>
              </w:rPr>
              <w:t>burgers</w:t>
            </w:r>
            <w:r w:rsidRPr="00F046F3">
              <w:t xml:space="preserve"> en overheden. Deze gevolgen zijn</w:t>
            </w:r>
            <w:r w:rsidRPr="00F046F3">
              <w:rPr>
                <w:b/>
                <w:i/>
              </w:rPr>
              <w:t xml:space="preserve"> onvermijdelijk</w:t>
            </w:r>
            <w:r w:rsidRPr="00F046F3">
              <w:t xml:space="preserve"> en de belanghebbenden</w:t>
            </w:r>
            <w:r w:rsidRPr="00F046F3">
              <w:rPr>
                <w:b/>
                <w:i/>
              </w:rPr>
              <w:t xml:space="preserve"> moeten</w:t>
            </w:r>
            <w:r w:rsidRPr="00F046F3">
              <w:t xml:space="preserve"> ervoor zorgen dat zij er klaar voor zijn.</w:t>
            </w:r>
          </w:p>
        </w:tc>
        <w:tc>
          <w:tcPr>
            <w:tcW w:w="4876" w:type="dxa"/>
            <w:hideMark/>
          </w:tcPr>
          <w:p w:rsidR="00D15344" w:rsidRPr="00F046F3" w:rsidRDefault="00D15344" w:rsidP="004F1417">
            <w:pPr>
              <w:pStyle w:val="Normal6"/>
              <w:rPr>
                <w:szCs w:val="24"/>
              </w:rPr>
            </w:pPr>
            <w:r w:rsidRPr="00F046F3">
              <w:t>(2)</w:t>
            </w:r>
            <w:r w:rsidRPr="00F046F3">
              <w:tab/>
              <w:t xml:space="preserve">Na afloop van de overgangsperiode </w:t>
            </w:r>
            <w:r w:rsidRPr="00F046F3">
              <w:rPr>
                <w:b/>
                <w:i/>
              </w:rPr>
              <w:t>zijn</w:t>
            </w:r>
            <w:r w:rsidRPr="00F046F3">
              <w:t xml:space="preserve"> er belemmeringen voor de handel</w:t>
            </w:r>
            <w:r w:rsidRPr="00F046F3">
              <w:rPr>
                <w:b/>
                <w:i/>
              </w:rPr>
              <w:t>, voor grensoverschrijdende uitwisselingen</w:t>
            </w:r>
            <w:r w:rsidRPr="00F046F3">
              <w:t xml:space="preserve"> en voor </w:t>
            </w:r>
            <w:r w:rsidRPr="00F046F3">
              <w:rPr>
                <w:b/>
                <w:i/>
              </w:rPr>
              <w:t>het vrije verkeer van personen, diensten en kapitaal</w:t>
            </w:r>
            <w:r w:rsidRPr="00F046F3">
              <w:t xml:space="preserve"> tussen de Unie en het Verenigd Koninkrijk </w:t>
            </w:r>
            <w:r w:rsidRPr="00F046F3">
              <w:rPr>
                <w:b/>
                <w:i/>
              </w:rPr>
              <w:t>ontstaan, met</w:t>
            </w:r>
            <w:r w:rsidRPr="00F046F3">
              <w:t xml:space="preserve"> brede en verstrekkende gevolgen voor bedrijven, </w:t>
            </w:r>
            <w:r w:rsidRPr="00F046F3">
              <w:rPr>
                <w:b/>
                <w:i/>
              </w:rPr>
              <w:t>met name kmo’s,</w:t>
            </w:r>
            <w:r w:rsidRPr="00F046F3">
              <w:t xml:space="preserve"> en </w:t>
            </w:r>
            <w:r w:rsidRPr="00F046F3">
              <w:rPr>
                <w:b/>
                <w:i/>
              </w:rPr>
              <w:t xml:space="preserve">hun werknemers, evenals voor lokale gemeenschappen, </w:t>
            </w:r>
            <w:r w:rsidRPr="00F046F3">
              <w:t>overheden</w:t>
            </w:r>
            <w:r w:rsidRPr="00F046F3">
              <w:rPr>
                <w:b/>
                <w:i/>
              </w:rPr>
              <w:t xml:space="preserve"> en burgers</w:t>
            </w:r>
            <w:r w:rsidRPr="00F046F3">
              <w:t xml:space="preserve">. </w:t>
            </w:r>
            <w:r w:rsidRPr="00F046F3">
              <w:rPr>
                <w:b/>
                <w:i/>
              </w:rPr>
              <w:t>Aangezien</w:t>
            </w:r>
            <w:r w:rsidRPr="00F046F3">
              <w:t xml:space="preserve"> deze gevolgen </w:t>
            </w:r>
            <w:r w:rsidRPr="00F046F3">
              <w:rPr>
                <w:b/>
                <w:i/>
              </w:rPr>
              <w:t xml:space="preserve">onvermijdelijk </w:t>
            </w:r>
            <w:r w:rsidRPr="00F046F3">
              <w:t>zijn</w:t>
            </w:r>
            <w:r w:rsidRPr="00F046F3">
              <w:rPr>
                <w:b/>
                <w:i/>
              </w:rPr>
              <w:t>, moeten ze zo veel mogelijk worden beperkt</w:t>
            </w:r>
            <w:r w:rsidRPr="00F046F3">
              <w:t xml:space="preserve"> en</w:t>
            </w:r>
            <w:r w:rsidRPr="00F046F3">
              <w:rPr>
                <w:b/>
                <w:i/>
              </w:rPr>
              <w:t xml:space="preserve"> moeten</w:t>
            </w:r>
            <w:r w:rsidRPr="00F046F3">
              <w:t xml:space="preserve"> de belanghebbenden ervoor zorgen dat zij er klaar voor zijn.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(3)</w:t>
            </w:r>
            <w:r w:rsidRPr="00F046F3">
              <w:tab/>
              <w:t>De Unie verbindt zich ertoe de economische</w:t>
            </w:r>
            <w:r w:rsidRPr="00F046F3">
              <w:rPr>
                <w:b/>
                <w:i/>
              </w:rPr>
              <w:t xml:space="preserve"> gevolgen</w:t>
            </w:r>
            <w:r w:rsidRPr="00F046F3">
              <w:t xml:space="preserve"> van de terugtrekking van het Verenigd Koninkrijk uit de Unie te verzachten en solidariteit te betonen met alle lidstaten, </w:t>
            </w:r>
            <w:r w:rsidRPr="00F046F3">
              <w:rPr>
                <w:b/>
                <w:i/>
              </w:rPr>
              <w:t>met name de lidstaten</w:t>
            </w:r>
            <w:r w:rsidRPr="00F046F3">
              <w:t xml:space="preserve"> die in deze uitzonderlijke omstandigheden het zwaarst getroffen zijn.</w:t>
            </w:r>
          </w:p>
        </w:tc>
        <w:tc>
          <w:tcPr>
            <w:tcW w:w="4876" w:type="dxa"/>
            <w:hideMark/>
          </w:tcPr>
          <w:p w:rsidR="00D15344" w:rsidRPr="00F046F3" w:rsidRDefault="00D15344" w:rsidP="004F1417">
            <w:pPr>
              <w:pStyle w:val="Normal6"/>
              <w:rPr>
                <w:szCs w:val="24"/>
              </w:rPr>
            </w:pPr>
            <w:r w:rsidRPr="00F046F3">
              <w:t>(3)</w:t>
            </w:r>
            <w:r w:rsidRPr="00F046F3">
              <w:tab/>
              <w:t xml:space="preserve">De Unie verbindt zich ertoe de </w:t>
            </w:r>
            <w:r w:rsidRPr="00F046F3">
              <w:rPr>
                <w:b/>
                <w:i/>
              </w:rPr>
              <w:t xml:space="preserve">negatieve </w:t>
            </w:r>
            <w:r w:rsidRPr="00F046F3">
              <w:t>economische</w:t>
            </w:r>
            <w:r w:rsidRPr="00F046F3">
              <w:rPr>
                <w:b/>
                <w:i/>
              </w:rPr>
              <w:t>, sociale, territoriale en milieugevolgen</w:t>
            </w:r>
            <w:r w:rsidRPr="00F046F3">
              <w:t xml:space="preserve"> van de terugtrekking van het Verenigd Koninkrijk uit de Unie te verzachten en solidariteit te betonen met alle lidstaten, </w:t>
            </w:r>
            <w:r w:rsidRPr="00F046F3">
              <w:rPr>
                <w:b/>
                <w:i/>
              </w:rPr>
              <w:t>waaronder hun regio’s, lokale gemeenschappen en economische sectoren, met name</w:t>
            </w:r>
            <w:r w:rsidRPr="00F046F3">
              <w:t xml:space="preserve"> die</w:t>
            </w:r>
            <w:r w:rsidRPr="00F046F3">
              <w:rPr>
                <w:b/>
                <w:i/>
              </w:rPr>
              <w:t xml:space="preserve"> welke</w:t>
            </w:r>
            <w:r w:rsidRPr="00F046F3">
              <w:t xml:space="preserve"> in deze uitzonderlijke omstandigheden het zwaarst getroffen zijn.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w:t>
      </w:r>
    </w:p>
    <w:p w:rsidR="00D15344" w:rsidRPr="00F046F3" w:rsidRDefault="00D15344" w:rsidP="00D15344"/>
    <w:p w:rsidR="00D15344" w:rsidRPr="00F046F3" w:rsidRDefault="00D15344" w:rsidP="00D15344">
      <w:pPr>
        <w:pStyle w:val="NormalBold"/>
        <w:keepNext/>
      </w:pPr>
      <w:r w:rsidRPr="00F046F3">
        <w:lastRenderedPageBreak/>
        <w:t>Voorstel voor een verordening</w:t>
      </w:r>
    </w:p>
    <w:p w:rsidR="00D15344" w:rsidRPr="00F046F3" w:rsidRDefault="00D15344" w:rsidP="00D15344">
      <w:pPr>
        <w:pStyle w:val="NormalBold"/>
      </w:pPr>
      <w:r w:rsidRPr="00F046F3">
        <w:t>Overweging 3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(3 bis)</w:t>
            </w:r>
            <w:r w:rsidRPr="00F046F3">
              <w:rPr>
                <w:b/>
                <w:i/>
              </w:rPr>
              <w:tab/>
              <w:t>De Unie maakt zich tevens hard voor duurzaam visserijbeheer in overeenstemming met de doelstellingen van het GVB, met inbegrip van het beginsel van het behalen van een maximale duurzame opbrengst voor alle bestanden op grond van het beste beschikbare wetenschappelijke advies, het uitbannen van overbevissing, het herstellen van de populaties van gevangen soorten en het beschermen van het mariene milieu, waarnaar eveneens wordt verwezen in internationale toezeggingen.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(4)</w:t>
            </w:r>
            <w:r w:rsidRPr="00F046F3">
              <w:tab/>
              <w:t>Er moet een reserve voor aanpassing aan de brexit worden opgericht om steun te verlenen om de negatieve gevolgen in lidstaten, regio’s en sectoren, met name die welke het zwaarst getroffen worden door de terugtrekking van het Verenigd Koninkrijk uit de Unie, tegen te gaan en zo de impact ervan op de economische, sociale en territoriale samenhang te verzachten. Deze reserve moet geheel of gedeeltelijk de extra overheidsuitgaven dekken die de lidstaten doen voor maatregelen die specifiek zijn genomen om die gevolgen te verzachten.</w:t>
            </w:r>
          </w:p>
        </w:tc>
        <w:tc>
          <w:tcPr>
            <w:tcW w:w="4876" w:type="dxa"/>
            <w:hideMark/>
          </w:tcPr>
          <w:p w:rsidR="00D15344" w:rsidRPr="00F046F3" w:rsidRDefault="00D15344" w:rsidP="004F1417">
            <w:pPr>
              <w:pStyle w:val="Normal6"/>
              <w:rPr>
                <w:szCs w:val="24"/>
              </w:rPr>
            </w:pPr>
            <w:r w:rsidRPr="00F046F3">
              <w:t>(4)</w:t>
            </w:r>
            <w:r w:rsidRPr="00F046F3">
              <w:tab/>
              <w:t xml:space="preserve">Er moet een reserve voor aanpassing aan de brexit worden opgericht om steun te verlenen om de negatieve gevolgen in lidstaten, regio’s en sectoren, met name die welke het zwaarst getroffen worden door de terugtrekking van het Verenigd Koninkrijk uit de Unie, tegen te gaan en zo de </w:t>
            </w:r>
            <w:r w:rsidRPr="00F046F3">
              <w:rPr>
                <w:b/>
                <w:i/>
              </w:rPr>
              <w:t xml:space="preserve">negatieve </w:t>
            </w:r>
            <w:r w:rsidRPr="00F046F3">
              <w:t xml:space="preserve">impact ervan op de economische, sociale en territoriale samenhang te verzachten. Deze reserve moet geheel of gedeeltelijk de extra overheidsuitgaven dekken die de </w:t>
            </w:r>
            <w:r w:rsidRPr="00F046F3">
              <w:rPr>
                <w:b/>
                <w:i/>
              </w:rPr>
              <w:t xml:space="preserve">nationale, regionale of lokale overheidsinstanties in de </w:t>
            </w:r>
            <w:r w:rsidRPr="00F046F3">
              <w:t xml:space="preserve">lidstaten doen voor maatregelen die specifiek zijn genomen om die gevolgen te verzachten. </w:t>
            </w:r>
            <w:r w:rsidRPr="00F046F3">
              <w:rPr>
                <w:b/>
                <w:i/>
              </w:rPr>
              <w:t xml:space="preserve">De in deze verordening vastgestelde referentieperiode voor het bepalen van de subsidiabiliteit van de uitgaven moet van toepassing zijn op betalingen die door overheidsinstanties in de lidstaten zijn gedaan, waaronder betalingen aan </w:t>
            </w:r>
            <w:r w:rsidRPr="00F046F3">
              <w:rPr>
                <w:b/>
                <w:i/>
              </w:rPr>
              <w:lastRenderedPageBreak/>
              <w:t>publieke of particuliere entiteiten, voor uitgevoerde maatregelen.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w:t>
      </w:r>
    </w:p>
    <w:p w:rsidR="00D15344" w:rsidRPr="00F046F3" w:rsidRDefault="00D15344" w:rsidP="00D15344">
      <w:pPr>
        <w:pStyle w:val="NormalBold12b"/>
      </w:pPr>
      <w:r w:rsidRPr="00F046F3">
        <w:t>Voorstel voor een verordening</w:t>
      </w:r>
    </w:p>
    <w:p w:rsidR="00D15344" w:rsidRPr="00F046F3" w:rsidRDefault="00D15344" w:rsidP="00D15344">
      <w:pPr>
        <w:pStyle w:val="NormalBold"/>
      </w:pPr>
      <w:r w:rsidRPr="00F046F3">
        <w:t>Overweging 4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trHeight w:val="240"/>
          <w:jc w:val="center"/>
        </w:trPr>
        <w:tc>
          <w:tcPr>
            <w:tcW w:w="9752" w:type="dxa"/>
            <w:gridSpan w:val="2"/>
          </w:tcPr>
          <w:p w:rsidR="00D15344" w:rsidRPr="00F046F3" w:rsidRDefault="00D15344" w:rsidP="004F1417"/>
        </w:tc>
      </w:tr>
      <w:tr w:rsidR="00D15344" w:rsidRPr="00F046F3" w:rsidTr="004F1417">
        <w:trPr>
          <w:trHeight w:val="240"/>
          <w:jc w:val="center"/>
        </w:trPr>
        <w:tc>
          <w:tcPr>
            <w:tcW w:w="4876" w:type="dxa"/>
            <w:hideMark/>
          </w:tcPr>
          <w:p w:rsidR="00D15344" w:rsidRPr="00F046F3" w:rsidRDefault="00D15344" w:rsidP="004F1417">
            <w:pPr>
              <w:pStyle w:val="AmColumnHeading"/>
            </w:pPr>
            <w:r w:rsidRPr="00F046F3">
              <w:t>Door de Commissie voorgestelde tekst</w:t>
            </w:r>
          </w:p>
        </w:tc>
        <w:tc>
          <w:tcPr>
            <w:tcW w:w="4876" w:type="dxa"/>
            <w:hideMark/>
          </w:tcPr>
          <w:p w:rsidR="00D15344" w:rsidRPr="00F046F3" w:rsidRDefault="00D15344" w:rsidP="004F1417">
            <w:pPr>
              <w:pStyle w:val="AmColumnHeading"/>
            </w:pPr>
            <w:r w:rsidRPr="00F046F3">
              <w:t>Amendement</w:t>
            </w:r>
          </w:p>
        </w:tc>
      </w:tr>
      <w:tr w:rsidR="00D15344" w:rsidRPr="00F046F3" w:rsidTr="004F1417">
        <w:trPr>
          <w:jc w:val="center"/>
        </w:trPr>
        <w:tc>
          <w:tcPr>
            <w:tcW w:w="4876" w:type="dxa"/>
          </w:tcPr>
          <w:p w:rsidR="00D15344" w:rsidRPr="00F046F3" w:rsidRDefault="00D15344" w:rsidP="004F1417">
            <w:pPr>
              <w:pStyle w:val="Normal6a"/>
            </w:pPr>
          </w:p>
        </w:tc>
        <w:tc>
          <w:tcPr>
            <w:tcW w:w="4876" w:type="dxa"/>
            <w:hideMark/>
          </w:tcPr>
          <w:p w:rsidR="00D15344" w:rsidRPr="00F046F3" w:rsidRDefault="00D15344" w:rsidP="004F1417">
            <w:pPr>
              <w:pStyle w:val="Normal6a"/>
            </w:pPr>
            <w:r w:rsidRPr="00F046F3">
              <w:rPr>
                <w:b/>
                <w:i/>
              </w:rPr>
              <w:t>(4 bis)</w:t>
            </w:r>
            <w:r w:rsidRPr="00F046F3">
              <w:tab/>
            </w:r>
            <w:r w:rsidRPr="00F046F3">
              <w:rPr>
                <w:b/>
                <w:i/>
              </w:rPr>
              <w:t>De lidstaten die gebruikmaken van de reserve voor aanpassing aan de brexit moeten alle nodigde bewijzen overleggen van overheidssteun om hoogwaardige banen te scheppen en te behouden wanneer er negatieve gevolgen waren voor de werkgelegenheid of er banen verloren zijn gegaan als gevolg van de terugtrekking van het Verenigd Koninkrijk uit de EU.</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(5)</w:t>
            </w:r>
            <w:r w:rsidRPr="00F046F3">
              <w:tab/>
              <w:t>Om bij te dragen tot economische, sociale en territoriale samenhang is het passend dat de lidstaten zich bij het opzetten van steunmaatregelen met name richten op de regio’s, gebieden en lokale gemeenschappen, met inbegrip van die welke afhankelijk zijn van visserijactiviteiten</w:t>
            </w:r>
            <w:r w:rsidRPr="00F046F3">
              <w:rPr>
                <w:b/>
                <w:i/>
              </w:rPr>
              <w:t xml:space="preserve"> in</w:t>
            </w:r>
            <w:r w:rsidRPr="00F046F3">
              <w:t xml:space="preserve"> de </w:t>
            </w:r>
            <w:r w:rsidRPr="00F046F3">
              <w:rPr>
                <w:b/>
                <w:i/>
              </w:rPr>
              <w:t>wateren</w:t>
            </w:r>
            <w:r w:rsidRPr="00F046F3">
              <w:t xml:space="preserve"> van het Verenigd Koninkrijk</w:t>
            </w:r>
            <w:r w:rsidRPr="00F046F3">
              <w:rPr>
                <w:b/>
                <w:i/>
              </w:rPr>
              <w:t>, die naar verwachting het zwaarst door</w:t>
            </w:r>
            <w:r w:rsidRPr="00F046F3">
              <w:t xml:space="preserve"> de terugtrekking van het Verenigd Koninkrijk </w:t>
            </w:r>
            <w:r w:rsidRPr="00F046F3">
              <w:rPr>
                <w:b/>
                <w:i/>
              </w:rPr>
              <w:t>zullen worden getroffen.</w:t>
            </w:r>
            <w:r w:rsidRPr="00F046F3">
              <w:t xml:space="preserve"> </w:t>
            </w:r>
            <w:r w:rsidRPr="00F046F3">
              <w:rPr>
                <w:b/>
                <w:i/>
              </w:rPr>
              <w:t>Het is mogelijk dat</w:t>
            </w:r>
            <w:r w:rsidRPr="00F046F3">
              <w:t xml:space="preserve"> de </w:t>
            </w:r>
            <w:r w:rsidRPr="00F046F3">
              <w:rPr>
                <w:b/>
                <w:i/>
              </w:rPr>
              <w:t>lidstaten specifieke maatregelen moeten nemen om met name bedrijven en economische sectoren te ondersteunen</w:t>
            </w:r>
            <w:r w:rsidRPr="00F046F3">
              <w:t xml:space="preserve"> die nadeel ondervinden van de terugtrekking. Daarom is het passend een niet-uitputtende lijst op te stellen van het soort maatregelen dat met de meeste waarschijnlijkheid deze </w:t>
            </w:r>
            <w:r w:rsidRPr="00F046F3">
              <w:rPr>
                <w:b/>
                <w:i/>
              </w:rPr>
              <w:t>doelstelling</w:t>
            </w:r>
            <w:r w:rsidRPr="00F046F3">
              <w:t xml:space="preserve"> zal verwezenlijken.</w:t>
            </w:r>
          </w:p>
        </w:tc>
        <w:tc>
          <w:tcPr>
            <w:tcW w:w="4876" w:type="dxa"/>
            <w:hideMark/>
          </w:tcPr>
          <w:p w:rsidR="00D15344" w:rsidRPr="00F046F3" w:rsidRDefault="00D15344" w:rsidP="004F1417">
            <w:pPr>
              <w:pStyle w:val="Normal6"/>
              <w:rPr>
                <w:szCs w:val="24"/>
              </w:rPr>
            </w:pPr>
            <w:r w:rsidRPr="00F046F3">
              <w:t>(5)</w:t>
            </w:r>
            <w:r w:rsidRPr="00F046F3">
              <w:tab/>
              <w:t xml:space="preserve">Om bij te dragen tot economische, sociale en territoriale samenhang is het passend dat de lidstaten zich bij het opzetten van steunmaatregelen met name richten op </w:t>
            </w:r>
            <w:r w:rsidRPr="00F046F3">
              <w:rPr>
                <w:b/>
                <w:i/>
              </w:rPr>
              <w:t xml:space="preserve">en middelen uit de reserve toewijzen aan </w:t>
            </w:r>
            <w:r w:rsidRPr="00F046F3">
              <w:t>de regio’s, gebieden en lokale gemeenschappen, met inbegrip van die welke afhankelijk zijn van visserijactiviteiten</w:t>
            </w:r>
            <w:r w:rsidRPr="00F046F3">
              <w:rPr>
                <w:b/>
                <w:i/>
              </w:rPr>
              <w:t>, die het zwaarst door</w:t>
            </w:r>
            <w:r w:rsidRPr="00F046F3">
              <w:t xml:space="preserve"> de </w:t>
            </w:r>
            <w:r w:rsidRPr="00F046F3">
              <w:rPr>
                <w:b/>
                <w:i/>
              </w:rPr>
              <w:t>terugtrekking</w:t>
            </w:r>
            <w:r w:rsidRPr="00F046F3">
              <w:t xml:space="preserve"> van het Verenigd Koninkrijk</w:t>
            </w:r>
            <w:r w:rsidRPr="00F046F3">
              <w:rPr>
                <w:b/>
                <w:i/>
              </w:rPr>
              <w:t xml:space="preserve"> worden getroffen.</w:t>
            </w:r>
            <w:r w:rsidRPr="00F046F3">
              <w:t xml:space="preserve"> </w:t>
            </w:r>
            <w:r w:rsidRPr="00F046F3">
              <w:rPr>
                <w:b/>
                <w:i/>
              </w:rPr>
              <w:t>Om de negatieve gevolgen van</w:t>
            </w:r>
            <w:r w:rsidRPr="00F046F3">
              <w:t xml:space="preserve"> de terugtrekking van het Verenigd Koninkrijk </w:t>
            </w:r>
            <w:r w:rsidRPr="00F046F3">
              <w:rPr>
                <w:b/>
                <w:i/>
              </w:rPr>
              <w:t>tegen te gaan, moeten de lidstaten een aanzienlijk deel van</w:t>
            </w:r>
            <w:r w:rsidRPr="00F046F3">
              <w:t xml:space="preserve"> de </w:t>
            </w:r>
            <w:r w:rsidRPr="00F046F3">
              <w:rPr>
                <w:b/>
                <w:i/>
              </w:rPr>
              <w:t>bijdrage uit de reserve gebruiken voor maatregelen ter ondersteuning van particuliere en openbare bedrijven</w:t>
            </w:r>
            <w:r w:rsidRPr="00F046F3">
              <w:t xml:space="preserve"> die nadeel ondervinden van de terugtrekking</w:t>
            </w:r>
            <w:r w:rsidRPr="00F046F3">
              <w:rPr>
                <w:b/>
                <w:i/>
              </w:rPr>
              <w:t>, met name kmo’s en hun werknemers, evenals zelfstandigen, aangezien zij nu worden geconfronteerd met belemmeringen voor handelsstromen, meer administratieve en douaneprocedures en een grotere regelgevings- en financiële last</w:t>
            </w:r>
            <w:r w:rsidRPr="00F046F3">
              <w:t xml:space="preserve">. Daarom is het passend een niet-uitputtende lijst op te stellen van het soort maatregelen dat met de meeste waarschijnlijkheid deze </w:t>
            </w:r>
            <w:r w:rsidRPr="00F046F3">
              <w:rPr>
                <w:b/>
                <w:i/>
              </w:rPr>
              <w:t>doelstellingen</w:t>
            </w:r>
            <w:r w:rsidRPr="00F046F3">
              <w:t xml:space="preserve"> zal verwezenlijken. </w:t>
            </w:r>
            <w:r w:rsidRPr="00F046F3">
              <w:rPr>
                <w:b/>
                <w:i/>
              </w:rPr>
              <w:t xml:space="preserve">Bij het ondersteunen van hun getroffen sectoren, regio’s, gebieden en lokale gemeenschappen moeten de lidstaten de in de Europese gedragscode inzake partnerschap neergelegde beginselen toepassen en vertrouwen op hun regionale en lokale overheidsinstanties om de meest geschikte maatregelen vast te stellen. Bij de ondersteuningsmaatregelen moet rekening worden gehouden met de Europese Green Deal en de digitale agenda en moet het beginsel “geen ernstige afbreuk doen” zoals bedoeld in artikel 17 van Verordening (EU) 2020/852 worden geëerbiedigd, evenals de beginselen van de Europese pijler van sociale rechten, waaronder de inherente bijdrage ervan aan het wegnemen van ongelijkheden en het bevorderen van gendergelijkheid en gendermainstreaming. </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8</w:t>
      </w:r>
    </w:p>
    <w:p w:rsidR="00D15344" w:rsidRPr="00F046F3" w:rsidRDefault="00D15344" w:rsidP="00D15344">
      <w:pPr>
        <w:pStyle w:val="NormalBold12b"/>
      </w:pPr>
      <w:r w:rsidRPr="00F046F3">
        <w:t>Voorstel voor een verordening</w:t>
      </w:r>
    </w:p>
    <w:p w:rsidR="00D15344" w:rsidRPr="00F046F3" w:rsidRDefault="00D15344" w:rsidP="00D15344">
      <w:pPr>
        <w:pStyle w:val="NormalBold"/>
      </w:pPr>
      <w:r w:rsidRPr="00F046F3">
        <w:t>Overweging 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trHeight w:val="240"/>
          <w:jc w:val="center"/>
        </w:trPr>
        <w:tc>
          <w:tcPr>
            <w:tcW w:w="9752" w:type="dxa"/>
            <w:gridSpan w:val="2"/>
          </w:tcPr>
          <w:p w:rsidR="00D15344" w:rsidRPr="00F046F3" w:rsidRDefault="00D15344" w:rsidP="004F1417"/>
        </w:tc>
      </w:tr>
      <w:tr w:rsidR="00D15344" w:rsidRPr="00F046F3" w:rsidTr="004F1417">
        <w:trPr>
          <w:trHeight w:val="240"/>
          <w:jc w:val="center"/>
        </w:trPr>
        <w:tc>
          <w:tcPr>
            <w:tcW w:w="4876" w:type="dxa"/>
            <w:hideMark/>
          </w:tcPr>
          <w:p w:rsidR="00D15344" w:rsidRPr="00F046F3" w:rsidRDefault="00D15344" w:rsidP="004F1417">
            <w:pPr>
              <w:pStyle w:val="AmColumnHeading"/>
            </w:pPr>
            <w:r w:rsidRPr="00F046F3">
              <w:t>Door de Commissie voorgestelde tekst</w:t>
            </w:r>
          </w:p>
        </w:tc>
        <w:tc>
          <w:tcPr>
            <w:tcW w:w="4876" w:type="dxa"/>
            <w:hideMark/>
          </w:tcPr>
          <w:p w:rsidR="00D15344" w:rsidRPr="00F046F3" w:rsidRDefault="00D15344" w:rsidP="004F1417">
            <w:pPr>
              <w:pStyle w:val="AmColumnHeading"/>
            </w:pPr>
            <w:r w:rsidRPr="00F046F3">
              <w:t>Amendement</w:t>
            </w:r>
          </w:p>
        </w:tc>
      </w:tr>
      <w:tr w:rsidR="00D15344" w:rsidRPr="00F046F3" w:rsidTr="004F1417">
        <w:trPr>
          <w:jc w:val="center"/>
        </w:trPr>
        <w:tc>
          <w:tcPr>
            <w:tcW w:w="4876" w:type="dxa"/>
          </w:tcPr>
          <w:p w:rsidR="00D15344" w:rsidRPr="00F046F3" w:rsidRDefault="00D15344" w:rsidP="004F1417">
            <w:pPr>
              <w:pStyle w:val="Normal6a"/>
            </w:pPr>
          </w:p>
        </w:tc>
        <w:tc>
          <w:tcPr>
            <w:tcW w:w="4876" w:type="dxa"/>
            <w:hideMark/>
          </w:tcPr>
          <w:p w:rsidR="00D15344" w:rsidRPr="00F046F3" w:rsidRDefault="00D15344" w:rsidP="004F1417">
            <w:pPr>
              <w:pStyle w:val="Normal6a"/>
            </w:pPr>
            <w:r w:rsidRPr="00F046F3">
              <w:rPr>
                <w:b/>
                <w:i/>
              </w:rPr>
              <w:t>(5 bis)</w:t>
            </w:r>
            <w:r w:rsidRPr="00F046F3">
              <w:tab/>
            </w:r>
            <w:r w:rsidRPr="00F046F3">
              <w:rPr>
                <w:b/>
                <w:i/>
              </w:rPr>
              <w:t>Gezien het belang van de strijd tegen de klimaatverandering, in overeenstemming met de verbintenissen van de Unie om de Overeenkomst van Parijs en de VN-doelstellingen voor duurzame ontwikkeling uit te voeren, zullen de fondsen en programma’s bijdragen aan klimaatmainstreaming en aan de verwezenlijking van een algemeen streefdoel om 30 % van de begrotingsuitgaven van de Unie te bestemmen voor het ondersteunen van de klimaatdoelen. De reserve voor aanpassing aan de brexit zal naar verwachting 30 % bijdragen aan het totale bedrag dat wordt uitgetrokken voor de klimaatdoelstelling, afhankelijk van de specifieke behoeften en prioriteiten van elke lidstaat.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5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(5 ter)</w:t>
            </w:r>
            <w:r w:rsidRPr="00F046F3">
              <w:rPr>
                <w:b/>
                <w:i/>
              </w:rPr>
              <w:tab/>
              <w:t>Op initiatief van de lidstaten moeten uitgaven voor technische bijstand subsidiabel zijn teneinde de administratieve lasten te verminderen en lokale, regionale en nationale autoriteiten te helpen bij de uitvoering van de reserve, door met name kmo’s bij te staan, die vanwege hun omvang niet over de middelen en kennis beschikken om de toegenomen administratieve lasten en kosten het hoofd te bieden.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10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(6)</w:t>
            </w:r>
            <w:r w:rsidRPr="00F046F3">
              <w:tab/>
              <w:t xml:space="preserve">Tegelijkertijd is het belangrijk om de uitsluitingen van steun uit de reserve duidelijk te vermelden. Belasting over de toegevoegde waarde moet van steun uit de reserve worden uitgesloten, aangezien het gaat om inkomsten van de lidstaten die de daarmee gepaard gaande kosten voor de begroting van de lidstaat compenseren. </w:t>
            </w:r>
            <w:r w:rsidRPr="00F046F3">
              <w:rPr>
                <w:b/>
                <w:i/>
              </w:rPr>
              <w:t xml:space="preserve">Om het gebruik van beperkte middelen zo efficiënt mogelijk te concentreren, mag technische bijstand die is geleverd aan de organen die verantwoordelijk zijn voor de uitvoering van de reserve, niet in aanmerking komen voor steun uit de reserve. </w:t>
            </w:r>
            <w:r w:rsidRPr="00F046F3">
              <w:t>Overeenkomstig de algemene aanpak voor het cohesiebeleid mogen uitgaven die verband houden met verplaatsingen of die strijdig zijn met het toepasselijke Unierecht of nationaal recht, niet worden ondersteund.</w:t>
            </w:r>
          </w:p>
        </w:tc>
        <w:tc>
          <w:tcPr>
            <w:tcW w:w="4876" w:type="dxa"/>
            <w:hideMark/>
          </w:tcPr>
          <w:p w:rsidR="00D15344" w:rsidRPr="00F046F3" w:rsidRDefault="00D15344" w:rsidP="004F1417">
            <w:pPr>
              <w:pStyle w:val="Normal6"/>
              <w:rPr>
                <w:szCs w:val="24"/>
              </w:rPr>
            </w:pPr>
            <w:r w:rsidRPr="00F046F3">
              <w:t>(6)</w:t>
            </w:r>
            <w:r w:rsidRPr="00F046F3">
              <w:tab/>
              <w:t xml:space="preserve">Tegelijkertijd is het belangrijk om de uitsluitingen van steun uit de reserve duidelijk te vermelden. Belasting over de toegevoegde waarde moet van steun uit de reserve worden uitgesloten, aangezien het gaat om inkomsten van de lidstaten die de daarmee gepaard gaande kosten voor de begroting van de lidstaat compenseren. Overeenkomstig de algemene aanpak voor het cohesiebeleid mogen uitgaven die verband houden met verplaatsingen of die strijdig zijn met het toepasselijke Unierecht of nationaal recht, niet worden ondersteund. </w:t>
            </w:r>
            <w:r w:rsidRPr="00F046F3">
              <w:rPr>
                <w:b/>
                <w:i/>
              </w:rPr>
              <w:t>Teneinde de beperkte middelen te concentreren en in overeenstemming met de doelstellingen van deze verordening om de nadruk te leggen op de lidstaten en sectoren die het hardst zijn getroffen door de terugtrekking van het Verenigd Koninkrijk uit de Unie, mogen entiteiten uit de financiële sector, waaronder entiteiten uit de banksector, die van de terugtrekking hebben geprofiteerd niet in aanmerking komen voor steun uit de reserve.</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11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(7)</w:t>
            </w:r>
            <w:r w:rsidRPr="00F046F3">
              <w:tab/>
              <w:t xml:space="preserve">Om rekening te houden met de </w:t>
            </w:r>
            <w:r w:rsidRPr="00F046F3">
              <w:rPr>
                <w:b/>
                <w:i/>
              </w:rPr>
              <w:t xml:space="preserve">onmiddellijke </w:t>
            </w:r>
            <w:r w:rsidRPr="00F046F3">
              <w:t xml:space="preserve">impact van de negatieve </w:t>
            </w:r>
            <w:r w:rsidRPr="00F046F3">
              <w:rPr>
                <w:b/>
                <w:i/>
              </w:rPr>
              <w:t>gevolgen</w:t>
            </w:r>
            <w:r w:rsidRPr="00F046F3">
              <w:t xml:space="preserve"> van de terugtrekking van het Verenigd Koninkrijk uit de Unie </w:t>
            </w:r>
            <w:r w:rsidRPr="00F046F3">
              <w:rPr>
                <w:b/>
                <w:i/>
              </w:rPr>
              <w:t>op</w:t>
            </w:r>
            <w:r w:rsidRPr="00F046F3">
              <w:t xml:space="preserve"> de lidstaten en hun economieën en met de </w:t>
            </w:r>
            <w:r w:rsidRPr="00F046F3">
              <w:rPr>
                <w:b/>
                <w:i/>
              </w:rPr>
              <w:t>noodzaak</w:t>
            </w:r>
            <w:r w:rsidRPr="00F046F3">
              <w:t xml:space="preserve"> om </w:t>
            </w:r>
            <w:r w:rsidRPr="00F046F3">
              <w:rPr>
                <w:b/>
                <w:i/>
              </w:rPr>
              <w:t>in voorkomend geval</w:t>
            </w:r>
            <w:r w:rsidRPr="00F046F3">
              <w:t xml:space="preserve"> vóór het verstrijken van de overgangsperiode </w:t>
            </w:r>
            <w:r w:rsidRPr="00F046F3">
              <w:rPr>
                <w:b/>
                <w:i/>
              </w:rPr>
              <w:t xml:space="preserve">risicobeperkende maatregelen vast </w:t>
            </w:r>
            <w:r w:rsidRPr="00F046F3">
              <w:t xml:space="preserve">te </w:t>
            </w:r>
            <w:r w:rsidRPr="00F046F3">
              <w:rPr>
                <w:b/>
                <w:i/>
              </w:rPr>
              <w:t>stellen</w:t>
            </w:r>
            <w:r w:rsidRPr="00F046F3">
              <w:t xml:space="preserve">, moet de subsidiabiliteitsperiode </w:t>
            </w:r>
            <w:r w:rsidRPr="00F046F3">
              <w:rPr>
                <w:b/>
                <w:i/>
              </w:rPr>
              <w:t xml:space="preserve">voor de uitvoering van dergelijke maatregelen </w:t>
            </w:r>
            <w:r w:rsidRPr="00F046F3">
              <w:t xml:space="preserve">ingaan op 1 juli </w:t>
            </w:r>
            <w:r w:rsidRPr="00F046F3">
              <w:rPr>
                <w:b/>
                <w:i/>
              </w:rPr>
              <w:t>2020</w:t>
            </w:r>
            <w:r w:rsidRPr="00F046F3">
              <w:t xml:space="preserve"> en worden geconcentreerd in een beperkte periode van </w:t>
            </w:r>
            <w:r w:rsidRPr="00F046F3">
              <w:rPr>
                <w:b/>
                <w:i/>
              </w:rPr>
              <w:t>30</w:t>
            </w:r>
            <w:r w:rsidRPr="00F046F3">
              <w:t> maanden.</w:t>
            </w:r>
          </w:p>
        </w:tc>
        <w:tc>
          <w:tcPr>
            <w:tcW w:w="4876" w:type="dxa"/>
            <w:hideMark/>
          </w:tcPr>
          <w:p w:rsidR="00D15344" w:rsidRPr="00F046F3" w:rsidRDefault="00D15344" w:rsidP="004F1417">
            <w:pPr>
              <w:pStyle w:val="Normal6"/>
              <w:rPr>
                <w:szCs w:val="24"/>
              </w:rPr>
            </w:pPr>
            <w:r w:rsidRPr="00F046F3">
              <w:t>(7)</w:t>
            </w:r>
            <w:r w:rsidRPr="00F046F3">
              <w:tab/>
              <w:t xml:space="preserve">Om rekening te houden met de impact van de negatieve </w:t>
            </w:r>
            <w:r w:rsidRPr="00F046F3">
              <w:rPr>
                <w:b/>
                <w:i/>
              </w:rPr>
              <w:t>economische, sociale, territoriale en milieugevolgen</w:t>
            </w:r>
            <w:r w:rsidRPr="00F046F3">
              <w:t xml:space="preserve"> van de terugtrekking van het Verenigd Koninkrijk uit de Unie </w:t>
            </w:r>
            <w:r w:rsidRPr="00F046F3">
              <w:rPr>
                <w:b/>
                <w:i/>
              </w:rPr>
              <w:t>voor</w:t>
            </w:r>
            <w:r w:rsidRPr="00F046F3">
              <w:t xml:space="preserve"> de lidstaten en hun economieën en </w:t>
            </w:r>
            <w:r w:rsidRPr="00F046F3">
              <w:rPr>
                <w:b/>
                <w:i/>
              </w:rPr>
              <w:t xml:space="preserve">in voorkomend geval </w:t>
            </w:r>
            <w:r w:rsidRPr="00F046F3">
              <w:t xml:space="preserve">met de </w:t>
            </w:r>
            <w:r w:rsidRPr="00F046F3">
              <w:rPr>
                <w:b/>
                <w:i/>
              </w:rPr>
              <w:t>door de lidstaten genomen maatregelen</w:t>
            </w:r>
            <w:r w:rsidRPr="00F046F3">
              <w:t xml:space="preserve"> om </w:t>
            </w:r>
            <w:r w:rsidRPr="00F046F3">
              <w:rPr>
                <w:b/>
                <w:i/>
              </w:rPr>
              <w:t>de verwachte negatieve gevolgen van de terugtrekking</w:t>
            </w:r>
            <w:r w:rsidRPr="00F046F3">
              <w:t xml:space="preserve"> vóór het verstrijken van de overgangsperiode te </w:t>
            </w:r>
            <w:r w:rsidRPr="00F046F3">
              <w:rPr>
                <w:b/>
                <w:i/>
              </w:rPr>
              <w:t>verzachten</w:t>
            </w:r>
            <w:r w:rsidRPr="00F046F3">
              <w:t xml:space="preserve">, moet de subsidiabiliteitsperiode ingaan op 1 juli </w:t>
            </w:r>
            <w:r w:rsidRPr="00F046F3">
              <w:rPr>
                <w:b/>
                <w:i/>
              </w:rPr>
              <w:t>2019</w:t>
            </w:r>
            <w:r w:rsidRPr="00F046F3">
              <w:t xml:space="preserve"> en worden geconcentreerd in een beperkte periode van </w:t>
            </w:r>
            <w:r w:rsidRPr="00F046F3">
              <w:rPr>
                <w:b/>
                <w:i/>
              </w:rPr>
              <w:t>54</w:t>
            </w:r>
            <w:r w:rsidRPr="00F046F3">
              <w:t> maanden.</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12</w:t>
      </w:r>
    </w:p>
    <w:p w:rsidR="00D15344" w:rsidRPr="00F046F3" w:rsidRDefault="00D15344" w:rsidP="00D15344">
      <w:pPr>
        <w:pStyle w:val="NormalBold12b"/>
      </w:pPr>
      <w:r w:rsidRPr="00F046F3">
        <w:t>Voorstel voor een verordening</w:t>
      </w:r>
    </w:p>
    <w:p w:rsidR="00D15344" w:rsidRPr="00F046F3" w:rsidRDefault="00D15344" w:rsidP="00D15344">
      <w:pPr>
        <w:pStyle w:val="NormalBold"/>
      </w:pPr>
      <w:r w:rsidRPr="00F046F3">
        <w:t>Overweging 7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trHeight w:val="240"/>
          <w:jc w:val="center"/>
        </w:trPr>
        <w:tc>
          <w:tcPr>
            <w:tcW w:w="9752" w:type="dxa"/>
            <w:gridSpan w:val="2"/>
          </w:tcPr>
          <w:p w:rsidR="00D15344" w:rsidRPr="00F046F3" w:rsidRDefault="00D15344" w:rsidP="004F1417"/>
        </w:tc>
      </w:tr>
      <w:tr w:rsidR="00D15344" w:rsidRPr="00F046F3" w:rsidTr="004F1417">
        <w:trPr>
          <w:trHeight w:val="240"/>
          <w:jc w:val="center"/>
        </w:trPr>
        <w:tc>
          <w:tcPr>
            <w:tcW w:w="4876" w:type="dxa"/>
            <w:hideMark/>
          </w:tcPr>
          <w:p w:rsidR="00D15344" w:rsidRPr="00F046F3" w:rsidRDefault="00D15344" w:rsidP="004F1417">
            <w:pPr>
              <w:pStyle w:val="AmColumnHeading"/>
            </w:pPr>
            <w:r w:rsidRPr="00F046F3">
              <w:t>Door de Commissie voorgestelde tekst</w:t>
            </w:r>
          </w:p>
        </w:tc>
        <w:tc>
          <w:tcPr>
            <w:tcW w:w="4876" w:type="dxa"/>
            <w:hideMark/>
          </w:tcPr>
          <w:p w:rsidR="00D15344" w:rsidRPr="00F046F3" w:rsidRDefault="00D15344" w:rsidP="004F1417">
            <w:pPr>
              <w:pStyle w:val="AmColumnHeading"/>
            </w:pPr>
            <w:r w:rsidRPr="00F046F3">
              <w:t>Amendement</w:t>
            </w:r>
          </w:p>
        </w:tc>
      </w:tr>
      <w:tr w:rsidR="00D15344" w:rsidRPr="00F046F3" w:rsidTr="004F1417">
        <w:trPr>
          <w:jc w:val="center"/>
        </w:trPr>
        <w:tc>
          <w:tcPr>
            <w:tcW w:w="4876" w:type="dxa"/>
          </w:tcPr>
          <w:p w:rsidR="00D15344" w:rsidRPr="00F046F3" w:rsidRDefault="00D15344" w:rsidP="004F1417">
            <w:pPr>
              <w:pStyle w:val="Normal6a"/>
            </w:pPr>
          </w:p>
        </w:tc>
        <w:tc>
          <w:tcPr>
            <w:tcW w:w="4876" w:type="dxa"/>
            <w:hideMark/>
          </w:tcPr>
          <w:p w:rsidR="00D15344" w:rsidRPr="00F046F3" w:rsidRDefault="00D15344" w:rsidP="004F1417">
            <w:pPr>
              <w:pStyle w:val="Normal6a"/>
            </w:pPr>
            <w:r w:rsidRPr="00F046F3">
              <w:rPr>
                <w:b/>
                <w:i/>
              </w:rPr>
              <w:t>(7a)</w:t>
            </w:r>
            <w:r w:rsidRPr="00F046F3">
              <w:tab/>
            </w:r>
            <w:r w:rsidRPr="00F046F3">
              <w:rPr>
                <w:b/>
                <w:i/>
              </w:rPr>
              <w:t>De Commissie wordt verzocht het Europees Parlement een effectbeoordeling te verstrekken van de schommelingen van het Britse pond (GBP) ten opzichte van de euro (EUR) vanaf 1 januari 2019, de aanvangsdatum van de referentieperiode voor financiële steun uit de reserve, teneinde de negatieve gevolgen van de terugtrekking van het Verenigd Koninkrijk voor EU-bedrijven en -sectoren duidelijk te maken.</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13</w:t>
      </w:r>
    </w:p>
    <w:p w:rsidR="00D15344" w:rsidRPr="00F046F3" w:rsidRDefault="00D15344" w:rsidP="00D15344">
      <w:pPr>
        <w:pStyle w:val="NormalBold12b"/>
      </w:pPr>
      <w:r w:rsidRPr="00F046F3">
        <w:t>Voorstel voor een verordening</w:t>
      </w:r>
    </w:p>
    <w:p w:rsidR="00D15344" w:rsidRPr="00F046F3" w:rsidRDefault="00D15344" w:rsidP="00D15344">
      <w:pPr>
        <w:pStyle w:val="NormalBold"/>
      </w:pPr>
      <w:r w:rsidRPr="00F046F3">
        <w:t>Overweging 8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trHeight w:val="240"/>
          <w:jc w:val="center"/>
        </w:trPr>
        <w:tc>
          <w:tcPr>
            <w:tcW w:w="9752" w:type="dxa"/>
            <w:gridSpan w:val="2"/>
          </w:tcPr>
          <w:p w:rsidR="00D15344" w:rsidRPr="00F046F3" w:rsidRDefault="00D15344" w:rsidP="004F1417"/>
        </w:tc>
      </w:tr>
      <w:tr w:rsidR="00D15344" w:rsidRPr="00F046F3" w:rsidTr="004F1417">
        <w:trPr>
          <w:trHeight w:val="240"/>
          <w:jc w:val="center"/>
        </w:trPr>
        <w:tc>
          <w:tcPr>
            <w:tcW w:w="4876" w:type="dxa"/>
            <w:hideMark/>
          </w:tcPr>
          <w:p w:rsidR="00D15344" w:rsidRPr="00F046F3" w:rsidRDefault="00D15344" w:rsidP="004F1417">
            <w:pPr>
              <w:pStyle w:val="AmColumnHeading"/>
            </w:pPr>
            <w:r w:rsidRPr="00F046F3">
              <w:t>Door de Commissie voorgestelde tekst</w:t>
            </w:r>
          </w:p>
        </w:tc>
        <w:tc>
          <w:tcPr>
            <w:tcW w:w="4876" w:type="dxa"/>
            <w:hideMark/>
          </w:tcPr>
          <w:p w:rsidR="00D15344" w:rsidRPr="00F046F3" w:rsidRDefault="00D15344" w:rsidP="004F1417">
            <w:pPr>
              <w:pStyle w:val="AmColumnHeading"/>
            </w:pPr>
            <w:r w:rsidRPr="00F046F3">
              <w:t>Amendement</w:t>
            </w:r>
          </w:p>
        </w:tc>
      </w:tr>
      <w:tr w:rsidR="00D15344" w:rsidRPr="00F046F3" w:rsidTr="004F1417">
        <w:trPr>
          <w:jc w:val="center"/>
        </w:trPr>
        <w:tc>
          <w:tcPr>
            <w:tcW w:w="4876" w:type="dxa"/>
          </w:tcPr>
          <w:p w:rsidR="00D15344" w:rsidRPr="00F046F3" w:rsidRDefault="00D15344" w:rsidP="004F1417">
            <w:pPr>
              <w:pStyle w:val="Normal6a"/>
            </w:pPr>
          </w:p>
        </w:tc>
        <w:tc>
          <w:tcPr>
            <w:tcW w:w="4876" w:type="dxa"/>
            <w:hideMark/>
          </w:tcPr>
          <w:p w:rsidR="00D15344" w:rsidRPr="00F046F3" w:rsidRDefault="00D15344" w:rsidP="004F1417">
            <w:pPr>
              <w:pStyle w:val="Normal6a"/>
            </w:pPr>
            <w:r w:rsidRPr="00F046F3">
              <w:rPr>
                <w:b/>
                <w:i/>
              </w:rPr>
              <w:t>(8 bis)</w:t>
            </w:r>
            <w:r w:rsidRPr="00F046F3">
              <w:tab/>
            </w:r>
            <w:r w:rsidRPr="00F046F3">
              <w:rPr>
                <w:b/>
                <w:i/>
              </w:rPr>
              <w:t>Bij het uitvoeren van de reserve voor aanpassing aan de brexit moeten de lidstaten, samen met de Europese Commissie, streven naar synergieën met steun uit de Europese structuurfondsen en overlappingen tussen de reserve en deze fondsen trachten te vermijden.</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14</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(9)</w:t>
            </w:r>
            <w:r w:rsidRPr="00F046F3">
              <w:tab/>
              <w:t>De door het Europees Parlement en de Raad op grond van artikel 322 van het Verdrag betreffende de werking van de Europese Unie (VWEU) vastgestelde horizontale financiële regels zijn op deze verordening van toepassing. Deze regels zijn vastgelegd in het Financieel Reglement en bepalen met name de procedure voor het opstellen en uitvoeren van de begroting, en voorzien in controles op de verantwoordelijkheid van financiële actoren. De op grond van artikel 322 VWEU vastgestelde regels hebben ook betrekking op het algemeen conditionaliteitsstelsel ter bescherming van de begroting van de Unie.</w:t>
            </w:r>
          </w:p>
        </w:tc>
        <w:tc>
          <w:tcPr>
            <w:tcW w:w="4876" w:type="dxa"/>
            <w:hideMark/>
          </w:tcPr>
          <w:p w:rsidR="00D15344" w:rsidRPr="00F046F3" w:rsidRDefault="00D15344" w:rsidP="004F1417">
            <w:pPr>
              <w:pStyle w:val="Normal6"/>
              <w:rPr>
                <w:szCs w:val="24"/>
              </w:rPr>
            </w:pPr>
            <w:r w:rsidRPr="00F046F3">
              <w:t>(9)</w:t>
            </w:r>
            <w:r w:rsidRPr="00F046F3">
              <w:tab/>
              <w:t xml:space="preserve">De door het Europees Parlement en de Raad op grond van artikel 322 van het Verdrag betreffende de werking van de Europese Unie (VWEU) vastgestelde horizontale financiële regels zijn op deze verordening van toepassing. Deze regels zijn vastgelegd in het Financieel Reglement en bepalen met name de procedure voor het opstellen en uitvoeren van de begroting, en voorzien in controles op de verantwoordelijkheid van financiële actoren. De op grond van artikel 322 VWEU vastgestelde regels hebben ook betrekking op het algemeen conditionaliteitsstelsel ter bescherming van de begroting van de Unie </w:t>
            </w:r>
            <w:r w:rsidRPr="00F046F3">
              <w:rPr>
                <w:b/>
                <w:i/>
              </w:rPr>
              <w:t>in geval van algemene tekortkomingen ten aanzien van de rechtsstaat en de eerbiediging van de grondrechten in de lidstaten, aangezien de eerbiediging van de rechtsstaat en de grondrechten een essentiële voorwaarde is voor goed financieel beheer en effectieve EU-financiering.</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15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(10)</w:t>
            </w:r>
            <w:r w:rsidRPr="00F046F3">
              <w:tab/>
              <w:t>Voor een deugdelijk financieel beheer moeten specifieke regels worden vastgesteld voor de vastleggingen in de begroting, betalingen, overdrachten en invordering met betrekking tot de reserve. Met inachtneming van het beginsel dat de begroting van de Unie jaarlijks wordt vastgesteld, moet deze verordening voorzien in mogelijkheden om meer ongebruikte middelen over te dragen dan de bedragen die in het Financieel Reglement zijn vastgesteld, zodat de capaciteit van de reserve om de negatieve gevolgen van de terugtrekking van het Verenigd Koninkrijk uit de Unie voor de lidstaten en hun economieën aan te pakken, wordt gemaximaliseerd.</w:t>
            </w:r>
          </w:p>
        </w:tc>
        <w:tc>
          <w:tcPr>
            <w:tcW w:w="4876" w:type="dxa"/>
            <w:hideMark/>
          </w:tcPr>
          <w:p w:rsidR="00D15344" w:rsidRPr="00F046F3" w:rsidRDefault="00D15344" w:rsidP="004F1417">
            <w:pPr>
              <w:pStyle w:val="Normal6"/>
              <w:rPr>
                <w:szCs w:val="24"/>
              </w:rPr>
            </w:pPr>
            <w:r w:rsidRPr="00F046F3">
              <w:t>(10)</w:t>
            </w:r>
            <w:r w:rsidRPr="00F046F3">
              <w:tab/>
            </w:r>
            <w:r w:rsidRPr="00F046F3">
              <w:rPr>
                <w:b/>
                <w:i/>
              </w:rPr>
              <w:t>De reserve moet worden uitgevoerd in overeenstemming met het beginsel van goed financieel beheer, met inbegrip van een doeltreffende preventie en vervolging van belastingfraude, belastingontduiking, belastingontwijking en agressieve belastingplanning.</w:t>
            </w:r>
            <w:r w:rsidRPr="00F046F3">
              <w:t xml:space="preserve"> Voor een deugdelijk financieel beheer moeten specifieke regels worden vastgesteld voor de vastleggingen in de begroting, betalingen, overdrachten en invordering met betrekking tot de reserve. Met inachtneming van het beginsel dat de begroting van de Unie jaarlijks wordt vastgesteld, moet deze verordening </w:t>
            </w:r>
            <w:r w:rsidRPr="00F046F3">
              <w:rPr>
                <w:b/>
                <w:i/>
              </w:rPr>
              <w:t xml:space="preserve">– gezien de uitzonderlijke en specifieke aard van de reserve – </w:t>
            </w:r>
            <w:r w:rsidRPr="00F046F3">
              <w:t>voorzien in mogelijkheden om meer ongebruikte middelen over te dragen dan de bedragen die in het Financieel Reglement zijn vastgesteld, zodat de capaciteit van de reserve om de negatieve gevolgen van de terugtrekking van het Verenigd Koninkrijk uit de Unie voor de lidstaten</w:t>
            </w:r>
            <w:r w:rsidRPr="00F046F3">
              <w:rPr>
                <w:b/>
                <w:i/>
              </w:rPr>
              <w:t>, waaronder op regionaal en lokaal niveau,</w:t>
            </w:r>
            <w:r w:rsidRPr="00F046F3">
              <w:t xml:space="preserve"> en hun economieën aan te pakken, wordt gemaximaliseerd.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16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(11)</w:t>
            </w:r>
            <w:r w:rsidRPr="00F046F3">
              <w:tab/>
              <w:t xml:space="preserve">Om de lidstaten in staat te stellen de aanvullende middelen in te zetten en te zorgen voor voldoende financiële middelen om snel maatregelen in het kader van de reserve uit te voeren, moet een aanzienlijk deel daarvan </w:t>
            </w:r>
            <w:r w:rsidRPr="00F046F3">
              <w:rPr>
                <w:b/>
                <w:i/>
              </w:rPr>
              <w:t>in 2021</w:t>
            </w:r>
            <w:r w:rsidRPr="00F046F3">
              <w:t xml:space="preserve"> in de vorm van voorfinanciering</w:t>
            </w:r>
            <w:r w:rsidRPr="00F046F3">
              <w:rPr>
                <w:b/>
                <w:i/>
              </w:rPr>
              <w:t xml:space="preserve"> worden uitbetaald</w:t>
            </w:r>
            <w:r w:rsidRPr="00F046F3">
              <w:t>.</w:t>
            </w:r>
            <w:r w:rsidRPr="00F046F3">
              <w:rPr>
                <w:b/>
                <w:i/>
              </w:rPr>
              <w:t xml:space="preserve"> </w:t>
            </w:r>
            <w:r w:rsidRPr="00F046F3">
              <w:t xml:space="preserve">Bij de methode voor de </w:t>
            </w:r>
            <w:r w:rsidRPr="00F046F3">
              <w:rPr>
                <w:b/>
                <w:i/>
              </w:rPr>
              <w:t>verdeling</w:t>
            </w:r>
            <w:r w:rsidRPr="00F046F3">
              <w:t xml:space="preserve"> moet rekening worden gehouden met het belang van de handel met het Verenigd Koninkrijk</w:t>
            </w:r>
            <w:r w:rsidRPr="00F046F3">
              <w:rPr>
                <w:b/>
                <w:i/>
              </w:rPr>
              <w:t xml:space="preserve"> en</w:t>
            </w:r>
            <w:r w:rsidRPr="00F046F3">
              <w:t xml:space="preserve"> het belang van de visserij in de exclusieve economische zone van het Verenigd Koninkrijk, op basis van betrouwbare en officiële statistieken. Aangezien de terugtrekking van het Verenigd Koninkrijk uit de Unie een unieke gebeurtenis vormt en gezien de onzekerheid rond belangrijke aspecten van de betrekkingen tussen het Verenigd Koninkrijk en de Unie na het verstrijken van de overgangsperiode, is het moeilijk te bepalen welke passende maatregelen de lidstaten snel zullen moeten nemen om de gevolgen van de terugtrekking tegen te gaan. Daarom is het noodzakelijk de lidstaten flexibiliteit te bieden en met name de Commissie in staat te stellen het financieringsbesluit dat in voorfinanciering voorziet, vast te stellen zonder dat uit hoofde van artikel 110, lid 2, van het Financieel Reglement een beschrijving moet worden gegeven van de concrete te financieren acties.</w:t>
            </w:r>
          </w:p>
        </w:tc>
        <w:tc>
          <w:tcPr>
            <w:tcW w:w="4876" w:type="dxa"/>
            <w:hideMark/>
          </w:tcPr>
          <w:p w:rsidR="00D15344" w:rsidRPr="00F046F3" w:rsidRDefault="00D15344" w:rsidP="004F1417">
            <w:pPr>
              <w:pStyle w:val="Normal6"/>
              <w:rPr>
                <w:szCs w:val="24"/>
              </w:rPr>
            </w:pPr>
            <w:r w:rsidRPr="00F046F3">
              <w:t>(11)</w:t>
            </w:r>
            <w:r w:rsidRPr="00F046F3">
              <w:tab/>
              <w:t xml:space="preserve">Om de lidstaten in staat te stellen de aanvullende middelen in te zetten en te zorgen voor voldoende financiële middelen om snel maatregelen in het kader van de reserve uit te voeren, moet een aanzienlijk deel daarvan </w:t>
            </w:r>
            <w:r w:rsidRPr="00F046F3">
              <w:rPr>
                <w:b/>
                <w:i/>
              </w:rPr>
              <w:t>worden uitbetaald</w:t>
            </w:r>
            <w:r w:rsidRPr="00F046F3">
              <w:t xml:space="preserve"> in de vorm van voorfinanciering</w:t>
            </w:r>
            <w:r w:rsidRPr="00F046F3">
              <w:rPr>
                <w:b/>
                <w:i/>
              </w:rPr>
              <w:t>, in twee gelijke tranches, in 2021 en 2022</w:t>
            </w:r>
            <w:r w:rsidRPr="00F046F3">
              <w:t>.</w:t>
            </w:r>
            <w:r w:rsidRPr="00F046F3">
              <w:rPr>
                <w:b/>
                <w:i/>
              </w:rPr>
              <w:t xml:space="preserve"> </w:t>
            </w:r>
            <w:r w:rsidRPr="00F046F3">
              <w:t xml:space="preserve">Bij de methode voor de </w:t>
            </w:r>
            <w:r w:rsidRPr="00F046F3">
              <w:rPr>
                <w:b/>
                <w:i/>
              </w:rPr>
              <w:t>toewijzing van de middelen uit de reserve</w:t>
            </w:r>
            <w:r w:rsidRPr="00F046F3">
              <w:t xml:space="preserve"> moet rekening worden gehouden met het belang van de handel met het Verenigd Koninkrijk</w:t>
            </w:r>
            <w:r w:rsidRPr="00F046F3">
              <w:rPr>
                <w:b/>
                <w:i/>
              </w:rPr>
              <w:t>,</w:t>
            </w:r>
            <w:r w:rsidRPr="00F046F3">
              <w:t xml:space="preserve"> het belang van de visserij in de exclusieve economische zone van het Verenigd Koninkrijk</w:t>
            </w:r>
            <w:r w:rsidRPr="00F046F3">
              <w:rPr>
                <w:b/>
                <w:i/>
              </w:rPr>
              <w:t xml:space="preserve"> en het belang van naburige maritieme grensregio’s en hun gemeenschappen</w:t>
            </w:r>
            <w:r w:rsidRPr="00F046F3">
              <w:t>, op basis van betrouwbare en officiële statistieken. Aangezien de terugtrekking van het Verenigd Koninkrijk uit de Unie een unieke gebeurtenis vormt en gezien de onzekerheid rond belangrijke aspecten van de betrekkingen tussen het Verenigd Koninkrijk en de Unie na het verstrijken van de overgangsperiode, is het moeilijk te bepalen welke passende maatregelen de lidstaten snel zullen moeten nemen om de gevolgen van de terugtrekking tegen te gaan. Daarom is het noodzakelijk de lidstaten flexibiliteit te bieden en met name de Commissie in staat te stellen het financieringsbesluit dat in voorfinanciering voorziet, vast te stellen zonder dat uit hoofde van artikel 110, lid 2, van het Financieel Reglement een beschrijving moet worden gegeven van de concrete te financieren acties.</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17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(12)</w:t>
            </w:r>
            <w:r w:rsidRPr="00F046F3">
              <w:tab/>
              <w:t>Vóór de betaling van de voorfinanciering moeten de lidstaten de Commissie binnen drie maanden na de inwerkingtreding van deze verordening in kennis stellen van de identiteit van de aangewezen organen en van het orgaan waaraan de voorfinanciering moet worden betaald, en bevestigen dat de systeembeschrijvingen zijn opgesteld.</w:t>
            </w:r>
          </w:p>
        </w:tc>
        <w:tc>
          <w:tcPr>
            <w:tcW w:w="4876" w:type="dxa"/>
            <w:hideMark/>
          </w:tcPr>
          <w:p w:rsidR="00D15344" w:rsidRPr="00F046F3" w:rsidRDefault="00D15344" w:rsidP="004F1417">
            <w:pPr>
              <w:pStyle w:val="Normal6"/>
              <w:rPr>
                <w:szCs w:val="24"/>
              </w:rPr>
            </w:pPr>
            <w:r w:rsidRPr="00F046F3">
              <w:t>(12)</w:t>
            </w:r>
            <w:r w:rsidRPr="00F046F3">
              <w:tab/>
              <w:t xml:space="preserve">Vóór de betaling van de voorfinanciering moeten de lidstaten de Commissie binnen drie maanden na de inwerkingtreding van deze verordening in kennis stellen van de identiteit van de aangewezen organen en van het orgaan waaraan de voorfinanciering moet worden betaald, en bevestigen dat de systeembeschrijvingen zijn opgesteld. </w:t>
            </w:r>
            <w:r w:rsidRPr="00F046F3">
              <w:rPr>
                <w:b/>
                <w:i/>
              </w:rPr>
              <w:t>De lidstaten moeten de relevante organen op het juiste territoriale niveau aanwijzen, overeenkomstig hun institutionele, wettelijke en financiële kader.</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18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(13)</w:t>
            </w:r>
            <w:r w:rsidRPr="00F046F3">
              <w:tab/>
              <w:t>Om een gelijke behandeling van alle lidstaten te waarborgen, moet voor alle lidstaten één enkele termijn worden vastgesteld voor de indiening van aanvragen van een financiële bijdrage uit de reserve. Gezien de specifieke aard van het instrument en de relatief korte uitvoeringsperiode is de vaststelling van een op maat gesneden referentieperiode gerechtvaardigd en zou de verplichting voor de lidstaten om jaarlijks de in artikel 63, leden 5, 6 en 7, van het Financieel Reglement voorgeschreven documenten over te leggen, onevenredig zijn. Aangezien tegelijkertijd de risico’s voor de begroting van de Unie worden beperkt door de eis dat de lidstaten een solide beheers- en controlesysteem opzetten, is het gerechtvaardigd af te wijken van de verplichting om de vereiste documenten in februari of maart van elk jaar in te dienen. Om de Commissie in staat te stellen te controleren of de financiële bijdrage uit de reserve correct wordt gebruikt, moet van de lidstaten ook worden verlangd dat zij in het kader van de aanvraag uitvoeringsverslagen indienen met meer details over de gefinancierde acties, een beheersverklaring en een advies van een onafhankelijk auditorgaan, opgesteld overeenkomstig internationaal aanvaarde auditnormen.</w:t>
            </w:r>
          </w:p>
        </w:tc>
        <w:tc>
          <w:tcPr>
            <w:tcW w:w="4876" w:type="dxa"/>
            <w:hideMark/>
          </w:tcPr>
          <w:p w:rsidR="00D15344" w:rsidRPr="00F046F3" w:rsidRDefault="00D15344" w:rsidP="004F1417">
            <w:pPr>
              <w:pStyle w:val="Normal6"/>
              <w:rPr>
                <w:szCs w:val="24"/>
              </w:rPr>
            </w:pPr>
            <w:r w:rsidRPr="00F046F3">
              <w:t>(13)</w:t>
            </w:r>
            <w:r w:rsidRPr="00F046F3">
              <w:tab/>
              <w:t xml:space="preserve">Om een gelijke behandeling van alle lidstaten te waarborgen, moet voor alle lidstaten één enkele termijn worden vastgesteld voor de indiening van aanvragen van een financiële bijdrage uit de reserve. Gezien de specifieke aard van het instrument en de relatief korte uitvoeringsperiode is de vaststelling van een op maat gesneden referentieperiode gerechtvaardigd en zou de verplichting voor de lidstaten om jaarlijks de in artikel 63, leden 5, 6 en 7, van het Financieel Reglement voorgeschreven documenten over te leggen, onevenredig zijn. Aangezien tegelijkertijd de risico’s voor de begroting van de Unie worden beperkt door de eis dat de lidstaten </w:t>
            </w:r>
            <w:r w:rsidRPr="00F046F3">
              <w:rPr>
                <w:b/>
                <w:i/>
              </w:rPr>
              <w:t xml:space="preserve">gebruikmaken van </w:t>
            </w:r>
            <w:r w:rsidRPr="00F046F3">
              <w:t xml:space="preserve">een </w:t>
            </w:r>
            <w:r w:rsidRPr="00F046F3">
              <w:rPr>
                <w:b/>
                <w:i/>
              </w:rPr>
              <w:t xml:space="preserve">bestaand </w:t>
            </w:r>
            <w:r w:rsidRPr="00F046F3">
              <w:t>solide beheers- en controlesysteem</w:t>
            </w:r>
            <w:r w:rsidRPr="00F046F3">
              <w:rPr>
                <w:b/>
                <w:i/>
              </w:rPr>
              <w:t xml:space="preserve"> of er in voorkomend geval een</w:t>
            </w:r>
            <w:r w:rsidRPr="00F046F3">
              <w:t xml:space="preserve"> opzetten, is het gerechtvaardigd af te wijken van de verplichting om de vereiste documenten in februari of maart van elk jaar in te dienen. Om de Commissie in staat te stellen te controleren of de financiële bijdrage uit de reserve correct wordt gebruikt, moet van de lidstaten ook worden verlangd dat zij in het kader van de aanvraag uitvoeringsverslagen indienen met meer details over de gefinancierde acties</w:t>
            </w:r>
            <w:r w:rsidRPr="00F046F3">
              <w:rPr>
                <w:b/>
                <w:i/>
              </w:rPr>
              <w:t>, de elementen in verband met de rekeningen, de uitgevoerde controles</w:t>
            </w:r>
            <w:r w:rsidRPr="00F046F3">
              <w:t>, een beheersverklaring en een advies van een onafhankelijk auditorgaan, opgesteld overeenkomstig internationaal aanvaarde auditnormen.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19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(14)</w:t>
            </w:r>
            <w:r w:rsidRPr="00F046F3">
              <w:tab/>
              <w:t>Uit hoofde van de punten 22 en 23 van het Interinstitutioneel Akkoord over beter wetgeven van 13 april 2016</w:t>
            </w:r>
            <w:r w:rsidRPr="00F046F3">
              <w:rPr>
                <w:vertAlign w:val="superscript"/>
              </w:rPr>
              <w:t>13</w:t>
            </w:r>
            <w:r w:rsidRPr="00F046F3">
              <w:t xml:space="preserve"> moet de reserve worden geëvalueerd op basis van gegevens die zijn verzameld op grond van specifieke monitoringvoorschriften, waarbij echter overregulering en administratieve lasten</w:t>
            </w:r>
            <w:r w:rsidRPr="00F046F3">
              <w:rPr>
                <w:b/>
                <w:i/>
              </w:rPr>
              <w:t>, in het bijzonder voor de lidstaten,</w:t>
            </w:r>
            <w:r w:rsidRPr="00F046F3">
              <w:t xml:space="preserve"> moeten worden vermeden. Deze voorschriften moeten in voorkomend geval meetbare indicatoren omvatten als basis voor de evaluatie van de reserve.</w:t>
            </w:r>
          </w:p>
        </w:tc>
        <w:tc>
          <w:tcPr>
            <w:tcW w:w="4876" w:type="dxa"/>
            <w:hideMark/>
          </w:tcPr>
          <w:p w:rsidR="00D15344" w:rsidRPr="00F046F3" w:rsidRDefault="00D15344" w:rsidP="004F1417">
            <w:pPr>
              <w:pStyle w:val="Normal6"/>
              <w:rPr>
                <w:szCs w:val="24"/>
              </w:rPr>
            </w:pPr>
            <w:r w:rsidRPr="00F046F3">
              <w:t>(14)</w:t>
            </w:r>
            <w:r w:rsidRPr="00F046F3">
              <w:tab/>
              <w:t>Uit hoofde van de punten 22 en 23 van het Interinstitutioneel Akkoord over beter wetgeven van 13 april 2016</w:t>
            </w:r>
            <w:r w:rsidRPr="00F046F3">
              <w:rPr>
                <w:vertAlign w:val="superscript"/>
              </w:rPr>
              <w:t>13</w:t>
            </w:r>
            <w:r w:rsidRPr="00F046F3">
              <w:t xml:space="preserve"> moet de reserve worden geëvalueerd op basis van gegevens die zijn verzameld op grond van specifieke monitoringvoorschriften, waarbij echter overregulering en administratieve lasten</w:t>
            </w:r>
            <w:r w:rsidRPr="00F046F3">
              <w:rPr>
                <w:b/>
                <w:i/>
              </w:rPr>
              <w:t xml:space="preserve"> voor de nationale, regionale en lokale autoriteiten</w:t>
            </w:r>
            <w:r w:rsidRPr="00F046F3">
              <w:t xml:space="preserve"> moeten worden vermeden. Deze voorschriften moeten in voorkomend geval meetbare indicatoren omvatten als basis voor de evaluatie van de reserve.</w:t>
            </w:r>
          </w:p>
        </w:tc>
      </w:tr>
      <w:tr w:rsidR="00D15344" w:rsidRPr="00F046F3" w:rsidTr="004F1417">
        <w:trPr>
          <w:jc w:val="center"/>
        </w:trPr>
        <w:tc>
          <w:tcPr>
            <w:tcW w:w="4876" w:type="dxa"/>
            <w:hideMark/>
          </w:tcPr>
          <w:p w:rsidR="00D15344" w:rsidRPr="00F046F3" w:rsidRDefault="00D15344" w:rsidP="004F1417">
            <w:pPr>
              <w:pStyle w:val="Normal6"/>
            </w:pPr>
            <w:r w:rsidRPr="00F046F3">
              <w:t>__________________</w:t>
            </w:r>
          </w:p>
        </w:tc>
        <w:tc>
          <w:tcPr>
            <w:tcW w:w="4876" w:type="dxa"/>
            <w:hideMark/>
          </w:tcPr>
          <w:p w:rsidR="00D15344" w:rsidRPr="00F046F3" w:rsidRDefault="00D15344" w:rsidP="004F1417">
            <w:pPr>
              <w:pStyle w:val="Normal6"/>
              <w:rPr>
                <w:szCs w:val="24"/>
              </w:rPr>
            </w:pPr>
            <w:r w:rsidRPr="00F046F3">
              <w:t>__________________</w:t>
            </w:r>
          </w:p>
        </w:tc>
      </w:tr>
      <w:tr w:rsidR="00D15344" w:rsidRPr="00F046F3" w:rsidTr="004F1417">
        <w:trPr>
          <w:jc w:val="center"/>
        </w:trPr>
        <w:tc>
          <w:tcPr>
            <w:tcW w:w="4876" w:type="dxa"/>
            <w:hideMark/>
          </w:tcPr>
          <w:p w:rsidR="00D15344" w:rsidRPr="00F046F3" w:rsidRDefault="00D15344" w:rsidP="004F1417">
            <w:pPr>
              <w:pStyle w:val="Normal6"/>
            </w:pPr>
            <w:r w:rsidRPr="00F046F3">
              <w:rPr>
                <w:vertAlign w:val="superscript"/>
              </w:rPr>
              <w:t>13</w:t>
            </w:r>
            <w:r w:rsidRPr="00F046F3">
              <w:t xml:space="preserve"> Interinstitutioneel Akkoord tussen het Europees Parlement, de Raad van de Europese Unie en de Europese Commissie over beter wetgeven (PB L 123 van 12.5.2016, blz. 1).</w:t>
            </w:r>
          </w:p>
        </w:tc>
        <w:tc>
          <w:tcPr>
            <w:tcW w:w="4876" w:type="dxa"/>
            <w:hideMark/>
          </w:tcPr>
          <w:p w:rsidR="00D15344" w:rsidRPr="00F046F3" w:rsidRDefault="00D15344" w:rsidP="004F1417">
            <w:pPr>
              <w:pStyle w:val="Normal6"/>
              <w:rPr>
                <w:szCs w:val="24"/>
              </w:rPr>
            </w:pPr>
            <w:r w:rsidRPr="00F046F3">
              <w:rPr>
                <w:vertAlign w:val="superscript"/>
              </w:rPr>
              <w:t>13</w:t>
            </w:r>
            <w:r w:rsidRPr="00F046F3">
              <w:t xml:space="preserve"> Interinstitutioneel Akkoord tussen het Europees Parlement, de Raad van de Europese Unie en de Europese Commissie over beter wetgeven (PB L 123 van 12.5.2016, blz. 1).</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(15)</w:t>
            </w:r>
            <w:r w:rsidRPr="00F046F3">
              <w:tab/>
              <w:t>Om een gelijke behandeling van alle lidstaten en een consistente beoordeling van de aanvragen te waarborgen, moet de Commissie de aanvragen als pakket beoordelen. Daarbij moet zij met name de subsidiabiliteit en de correctheid van de gedeclareerde uitgaven, het rechtstreekse verband tussen de uitgaven en de maatregelen die zijn genomen om de gevolgen van de terugtrekking aan te pakken en de maatregelen die de betrokken lidstaat heeft genomen om dubbele financiering te voorkomen, verifiëren. Na de beoordeling van de aanvragen van een financiële bijdrage uit de reserve moet de Commissie de betaalde voorfinanciering vereffenen</w:t>
            </w:r>
            <w:r w:rsidRPr="00F046F3">
              <w:rPr>
                <w:b/>
                <w:i/>
              </w:rPr>
              <w:t xml:space="preserve"> en</w:t>
            </w:r>
            <w:r w:rsidRPr="00F046F3">
              <w:t xml:space="preserve"> de ongebruikte bedragen terugvorderen</w:t>
            </w:r>
            <w:r w:rsidRPr="00F046F3">
              <w:rPr>
                <w:b/>
                <w:i/>
              </w:rPr>
              <w:t>. Om de steun te concentreren op de lidstaten die het zwaarst door de terugtrekking worden getroffen, moet, wanneer de door de Commissie als subsidiabel aanvaarde uitgaven in de betrokken lidstaat het als voorfinanciering betaalde bedrag</w:t>
            </w:r>
            <w:r w:rsidRPr="00F046F3">
              <w:t xml:space="preserve"> en </w:t>
            </w:r>
            <w:r w:rsidRPr="00F046F3">
              <w:rPr>
                <w:b/>
                <w:i/>
              </w:rPr>
              <w:t xml:space="preserve">0,06 % van het nominale bruto nationaal inkomen (bni) voor 2021 van de betrokken lidstaat overschrijdt, </w:t>
            </w:r>
            <w:r w:rsidRPr="00F046F3">
              <w:t xml:space="preserve">een </w:t>
            </w:r>
            <w:r w:rsidRPr="00F046F3">
              <w:rPr>
                <w:b/>
                <w:i/>
              </w:rPr>
              <w:t>verdere toewijzing uit de reserve aan die lidstaat mogelijk zijn binnen</w:t>
            </w:r>
            <w:r w:rsidRPr="00F046F3">
              <w:t xml:space="preserve"> de grenzen van de </w:t>
            </w:r>
            <w:r w:rsidRPr="00F046F3">
              <w:rPr>
                <w:b/>
                <w:i/>
              </w:rPr>
              <w:t>beschikbare financiële middelen</w:t>
            </w:r>
            <w:r w:rsidRPr="00F046F3">
              <w:t xml:space="preserve">. Gezien de omvang van de te verwachten economische schok </w:t>
            </w:r>
            <w:r w:rsidRPr="00F046F3">
              <w:rPr>
                <w:b/>
                <w:i/>
              </w:rPr>
              <w:t>moet</w:t>
            </w:r>
            <w:r w:rsidRPr="00F046F3">
              <w:t xml:space="preserve"> de </w:t>
            </w:r>
            <w:r w:rsidRPr="00F046F3">
              <w:rPr>
                <w:b/>
                <w:i/>
              </w:rPr>
              <w:t>mogelijkheid worden geboden om de</w:t>
            </w:r>
            <w:r w:rsidRPr="00F046F3">
              <w:t xml:space="preserve"> van de </w:t>
            </w:r>
            <w:r w:rsidRPr="00F046F3">
              <w:rPr>
                <w:b/>
                <w:i/>
              </w:rPr>
              <w:t>voorfinanciering teruggevorderde bedragen te gebruiken voor de terugbetaling van extra uitgaven van de lidstaten</w:t>
            </w:r>
            <w:r w:rsidRPr="00F046F3">
              <w:t>.</w:t>
            </w:r>
          </w:p>
        </w:tc>
        <w:tc>
          <w:tcPr>
            <w:tcW w:w="4876" w:type="dxa"/>
            <w:hideMark/>
          </w:tcPr>
          <w:p w:rsidR="00D15344" w:rsidRPr="00F046F3" w:rsidRDefault="00D15344" w:rsidP="004F1417">
            <w:pPr>
              <w:pStyle w:val="Normal6"/>
              <w:rPr>
                <w:szCs w:val="24"/>
              </w:rPr>
            </w:pPr>
            <w:r w:rsidRPr="00F046F3">
              <w:t>(15)</w:t>
            </w:r>
            <w:r w:rsidRPr="00F046F3">
              <w:tab/>
              <w:t xml:space="preserve">Om een gelijke behandeling van alle lidstaten en een consistente beoordeling van de aanvragen te waarborgen, moet de Commissie de aanvragen als pakket beoordelen. Daarbij moet zij met name de subsidiabiliteit en de correctheid van de gedeclareerde uitgaven, het rechtstreekse verband tussen de uitgaven en de maatregelen die zijn genomen om de </w:t>
            </w:r>
            <w:r w:rsidRPr="00F046F3">
              <w:rPr>
                <w:b/>
                <w:i/>
              </w:rPr>
              <w:t xml:space="preserve">negatieve </w:t>
            </w:r>
            <w:r w:rsidRPr="00F046F3">
              <w:t>gevolgen van de terugtrekking aan te pakken en de maatregelen die de betrokken lidstaat heeft genomen om dubbele financiering te voorkomen, verifiëren. Na de beoordeling van de aanvragen van een financiële bijdrage uit de reserve moet de Commissie de betaalde voorfinanciering vereffenen</w:t>
            </w:r>
            <w:r w:rsidRPr="00F046F3">
              <w:rPr>
                <w:b/>
                <w:i/>
              </w:rPr>
              <w:t>,</w:t>
            </w:r>
            <w:r w:rsidRPr="00F046F3">
              <w:t xml:space="preserve"> de ongebruikte bedragen terugvorderen en een </w:t>
            </w:r>
            <w:r w:rsidRPr="00F046F3">
              <w:rPr>
                <w:b/>
                <w:i/>
              </w:rPr>
              <w:t>besluit nemen over extra betalingen tot</w:t>
            </w:r>
            <w:r w:rsidRPr="00F046F3">
              <w:t xml:space="preserve"> de grenzen van de </w:t>
            </w:r>
            <w:r w:rsidRPr="00F046F3">
              <w:rPr>
                <w:b/>
                <w:i/>
              </w:rPr>
              <w:t>voorlopige toewijzing</w:t>
            </w:r>
            <w:r w:rsidRPr="00F046F3">
              <w:t xml:space="preserve">. Gezien de omvang van de te verwachten economische schok </w:t>
            </w:r>
            <w:r w:rsidRPr="00F046F3">
              <w:rPr>
                <w:b/>
                <w:i/>
              </w:rPr>
              <w:t>moeten</w:t>
            </w:r>
            <w:r w:rsidRPr="00F046F3">
              <w:t xml:space="preserve"> de </w:t>
            </w:r>
            <w:r w:rsidRPr="00F046F3">
              <w:rPr>
                <w:b/>
                <w:i/>
              </w:rPr>
              <w:t>ongebruikte bedragen</w:t>
            </w:r>
            <w:r w:rsidRPr="00F046F3">
              <w:t xml:space="preserve"> van de </w:t>
            </w:r>
            <w:r w:rsidRPr="00F046F3">
              <w:rPr>
                <w:b/>
                <w:i/>
              </w:rPr>
              <w:t>voorlopige toewijzing ter beschikking worden gesteld van de lidstaten waarvan het totale aanvaarde bedrag hun respectieve voorlopige toewijzing overschrijdt</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(15 bis)</w:t>
            </w:r>
            <w:r w:rsidRPr="00F046F3">
              <w:rPr>
                <w:b/>
                <w:i/>
              </w:rPr>
              <w:tab/>
              <w:t>Gezien de ongekende en uitzonderlijke aard van het instrument en het doel ervan, is het dienstig dat de Commissie de lidstaten bijstaat bij het in kaart brengen van maatregelen die zijn uitgevoerd of moeten worden uitgevoerd om de negatieve gevolgen van de terugtrekking van het Verenigd Koninkrijk tegen te gaan, onder meer omtrent de manier waarop het rechtstreekse verband tussen de uitgave en de terugtrekking van het Verenigd Koninkrijk uit de Unie wordt beoordeeld.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(16)</w:t>
            </w:r>
            <w:r w:rsidRPr="00F046F3">
              <w:tab/>
              <w:t xml:space="preserve">Om de deugdelijke werking van het gedeeld beheer te waarborgen, moeten de lidstaten een beheers- en controlesysteem opzetten, de organen die voor het beheer van de reserve verantwoordelijk zijn en een afzonderlijk onafhankelijk auditorgaan aanwijzen en de Commissie daarvan in kennis stellen. </w:t>
            </w:r>
            <w:r w:rsidRPr="00F046F3">
              <w:rPr>
                <w:b/>
                <w:i/>
              </w:rPr>
              <w:t>Om redenen</w:t>
            </w:r>
            <w:r w:rsidRPr="00F046F3">
              <w:t xml:space="preserve"> van </w:t>
            </w:r>
            <w:r w:rsidRPr="00F046F3">
              <w:rPr>
                <w:b/>
                <w:i/>
              </w:rPr>
              <w:t>vereenvoudiging kunnen de lidstaten gebruikmaken van</w:t>
            </w:r>
            <w:r w:rsidRPr="00F046F3">
              <w:t xml:space="preserve"> bestaande organen </w:t>
            </w:r>
            <w:r w:rsidRPr="00F046F3">
              <w:rPr>
                <w:b/>
                <w:i/>
              </w:rPr>
              <w:t>die zijn aangewezen en systemen</w:t>
            </w:r>
            <w:r w:rsidRPr="00F046F3">
              <w:t xml:space="preserve"> die zijn opgezet voor het beheer en de controle van financiering in het kader van het cohesiebeleid of het Solidariteitsfonds van de Europese Unie. Het is noodzakelijk de verantwoordelijkheden van de lidstaten nader te omschrijven en de specifieke vereisten voor de aangewezen organen vast te stellen.</w:t>
            </w:r>
          </w:p>
        </w:tc>
        <w:tc>
          <w:tcPr>
            <w:tcW w:w="4876" w:type="dxa"/>
            <w:hideMark/>
          </w:tcPr>
          <w:p w:rsidR="00D15344" w:rsidRPr="00F046F3" w:rsidRDefault="00D15344" w:rsidP="004F1417">
            <w:pPr>
              <w:pStyle w:val="Normal6"/>
              <w:rPr>
                <w:szCs w:val="24"/>
              </w:rPr>
            </w:pPr>
            <w:r w:rsidRPr="00F046F3">
              <w:t>(16)</w:t>
            </w:r>
            <w:r w:rsidRPr="00F046F3">
              <w:tab/>
              <w:t>Om de deugdelijke werking van het gedeeld beheer te waarborgen, moeten de lidstaten een beheers- en controlesysteem opzetten</w:t>
            </w:r>
            <w:r w:rsidRPr="00F046F3">
              <w:rPr>
                <w:b/>
                <w:i/>
              </w:rPr>
              <w:t>, en</w:t>
            </w:r>
            <w:r w:rsidRPr="00F046F3">
              <w:t xml:space="preserve"> de organen </w:t>
            </w:r>
            <w:r w:rsidRPr="00F046F3">
              <w:rPr>
                <w:b/>
                <w:i/>
              </w:rPr>
              <w:t xml:space="preserve">op het passende territoriale niveau </w:t>
            </w:r>
            <w:r w:rsidRPr="00F046F3">
              <w:t xml:space="preserve">die voor het beheer van de reserve verantwoordelijk zijn en een afzonderlijk onafhankelijk auditorgaan aanwijzen en de Commissie daarvan in kennis stellen. </w:t>
            </w:r>
            <w:r w:rsidRPr="00F046F3">
              <w:rPr>
                <w:b/>
                <w:i/>
              </w:rPr>
              <w:t>De lidstaten moeten waar mogelijk gebruikmaken</w:t>
            </w:r>
            <w:r w:rsidRPr="00F046F3">
              <w:t xml:space="preserve"> van </w:t>
            </w:r>
            <w:r w:rsidRPr="00F046F3">
              <w:rPr>
                <w:b/>
                <w:i/>
              </w:rPr>
              <w:t>bestaande systemen en moeten taken delegeren aan</w:t>
            </w:r>
            <w:r w:rsidRPr="00F046F3">
              <w:t xml:space="preserve"> bestaande</w:t>
            </w:r>
            <w:r w:rsidRPr="00F046F3">
              <w:rPr>
                <w:b/>
                <w:i/>
              </w:rPr>
              <w:t xml:space="preserve"> aangewezen</w:t>
            </w:r>
            <w:r w:rsidRPr="00F046F3">
              <w:t xml:space="preserve"> organen </w:t>
            </w:r>
            <w:r w:rsidRPr="00F046F3">
              <w:rPr>
                <w:b/>
                <w:i/>
              </w:rPr>
              <w:t>op het passende territoriale niveau</w:t>
            </w:r>
            <w:r w:rsidRPr="00F046F3">
              <w:t xml:space="preserve"> die zijn opgezet voor het beheer en de controle van financiering in het kader van het cohesiebeleid of het Solidariteitsfonds van de Europese Unie. Het is noodzakelijk de verantwoordelijkheden van de lidstaten nader te omschrijven en de specifieke vereisten voor de aangewezen organen vast te stellen. </w:t>
            </w:r>
            <w:r w:rsidRPr="00F046F3">
              <w:rPr>
                <w:b/>
                <w:i/>
              </w:rPr>
              <w:t>De lidstaten dragen er zorg voor dat de betrokken lokale en regionale overheden vertegenwoordigd zijn in de monitoringorganen, indien dat nog niet het geval is.</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23</w:t>
      </w:r>
    </w:p>
    <w:p w:rsidR="00D15344" w:rsidRPr="00F046F3" w:rsidRDefault="00D15344" w:rsidP="00D15344">
      <w:pPr>
        <w:pStyle w:val="NormalBold12b"/>
        <w:keepNext/>
      </w:pPr>
      <w:r w:rsidRPr="00F046F3">
        <w:t>Voorstel voor een verordening</w:t>
      </w:r>
    </w:p>
    <w:p w:rsidR="00D15344" w:rsidRPr="00F046F3" w:rsidRDefault="00D15344" w:rsidP="00D15344">
      <w:pPr>
        <w:pStyle w:val="NormalBold"/>
      </w:pPr>
      <w:r w:rsidRPr="00F046F3">
        <w:t>Overweging 16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(16 bis)</w:t>
            </w:r>
            <w:r w:rsidRPr="00F046F3">
              <w:rPr>
                <w:b/>
                <w:i/>
              </w:rPr>
              <w:tab/>
              <w:t>Teneinde doeltreffende controles en audits te waarborgen om dubbele financiering te voorkomen, en fraude, corruptie en belangenconflicten in verband met de uit de reserve ondersteunde maatregelen te voorkomen, op te sporen en te corrigeren, is het van essentieel belang dat de lidstaten in een gestandaardiseerd elektronisch en interoperabel formaat gegevens verzamelen en registreren over de ontvangers van een financiële bijdrage uit de reserve en hun uiteindelijke begunstigden en dat zij gebruikmaken van één enkel instrument voor datamining dat door de Commissie ter beschikking moet worden gesteld.</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24</w:t>
      </w:r>
    </w:p>
    <w:p w:rsidR="00D15344" w:rsidRPr="00F046F3" w:rsidRDefault="00D15344" w:rsidP="00D15344">
      <w:pPr>
        <w:pStyle w:val="NormalBold12b"/>
      </w:pPr>
      <w:r w:rsidRPr="00F046F3">
        <w:t>Voorstel voor een verordening</w:t>
      </w:r>
    </w:p>
    <w:p w:rsidR="00D15344" w:rsidRPr="00F046F3" w:rsidRDefault="00D15344" w:rsidP="00D15344">
      <w:pPr>
        <w:pStyle w:val="NormalBold"/>
      </w:pPr>
      <w:r w:rsidRPr="00F046F3">
        <w:t>Overweging 16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trHeight w:val="240"/>
          <w:jc w:val="center"/>
        </w:trPr>
        <w:tc>
          <w:tcPr>
            <w:tcW w:w="9752" w:type="dxa"/>
            <w:gridSpan w:val="2"/>
          </w:tcPr>
          <w:p w:rsidR="00D15344" w:rsidRPr="00F046F3" w:rsidRDefault="00D15344" w:rsidP="004F1417"/>
        </w:tc>
      </w:tr>
      <w:tr w:rsidR="00D15344" w:rsidRPr="00F046F3" w:rsidTr="004F1417">
        <w:trPr>
          <w:trHeight w:val="240"/>
          <w:jc w:val="center"/>
        </w:trPr>
        <w:tc>
          <w:tcPr>
            <w:tcW w:w="4876" w:type="dxa"/>
            <w:hideMark/>
          </w:tcPr>
          <w:p w:rsidR="00D15344" w:rsidRPr="00F046F3" w:rsidRDefault="00D15344" w:rsidP="004F1417">
            <w:pPr>
              <w:pStyle w:val="AmColumnHeading"/>
            </w:pPr>
            <w:r w:rsidRPr="00F046F3">
              <w:t>Door de Commissie voorgestelde tekst</w:t>
            </w:r>
          </w:p>
        </w:tc>
        <w:tc>
          <w:tcPr>
            <w:tcW w:w="4876" w:type="dxa"/>
            <w:hideMark/>
          </w:tcPr>
          <w:p w:rsidR="00D15344" w:rsidRPr="00F046F3" w:rsidRDefault="00D15344" w:rsidP="004F1417">
            <w:pPr>
              <w:pStyle w:val="AmColumnHeading"/>
            </w:pPr>
            <w:r w:rsidRPr="00F046F3">
              <w:t>Amendement</w:t>
            </w:r>
          </w:p>
        </w:tc>
      </w:tr>
      <w:tr w:rsidR="00D15344" w:rsidRPr="00F046F3" w:rsidTr="004F1417">
        <w:trPr>
          <w:jc w:val="center"/>
        </w:trPr>
        <w:tc>
          <w:tcPr>
            <w:tcW w:w="4876" w:type="dxa"/>
          </w:tcPr>
          <w:p w:rsidR="00D15344" w:rsidRPr="00F046F3" w:rsidRDefault="00D15344" w:rsidP="004F1417">
            <w:pPr>
              <w:pStyle w:val="Normal6a"/>
            </w:pPr>
          </w:p>
        </w:tc>
        <w:tc>
          <w:tcPr>
            <w:tcW w:w="4876" w:type="dxa"/>
            <w:hideMark/>
          </w:tcPr>
          <w:p w:rsidR="00D15344" w:rsidRPr="00F046F3" w:rsidRDefault="00D15344" w:rsidP="004F1417">
            <w:pPr>
              <w:pStyle w:val="Normal6a"/>
            </w:pPr>
            <w:r w:rsidRPr="00F046F3">
              <w:rPr>
                <w:b/>
                <w:i/>
              </w:rPr>
              <w:t>(16 ter)</w:t>
            </w:r>
            <w:r w:rsidRPr="00F046F3">
              <w:tab/>
            </w:r>
            <w:r w:rsidRPr="00F046F3">
              <w:rPr>
                <w:b/>
                <w:i/>
              </w:rPr>
              <w:t>Teneinde de bureaucratie te verminderen, wordt aanbevolen om gebruik te maken van bestaande technieken, zoals de vereenvoudigde kostenoptie, met het oog op een snellere verdeling van financiële middelen.</w:t>
            </w:r>
          </w:p>
        </w:tc>
      </w:tr>
    </w:tbl>
    <w:p w:rsidR="00D15344" w:rsidRPr="00F046F3" w:rsidRDefault="00D15344" w:rsidP="00D15344"/>
    <w:p w:rsidR="00D15344" w:rsidRPr="00F046F3" w:rsidRDefault="00D15344" w:rsidP="00D15344"/>
    <w:p w:rsidR="00D15344" w:rsidRPr="00F046F3" w:rsidRDefault="00D15344" w:rsidP="00D15344">
      <w:pPr>
        <w:pStyle w:val="AmNumberTabs"/>
      </w:pPr>
      <w:r w:rsidRPr="00F046F3">
        <w:t>Amendement</w:t>
      </w:r>
      <w:r w:rsidRPr="00F046F3">
        <w:tab/>
      </w:r>
      <w:r w:rsidRPr="00F046F3">
        <w:tab/>
        <w:t>25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(17)</w:t>
            </w:r>
            <w:r w:rsidRPr="00F046F3">
              <w:tab/>
              <w:t>Overeenkomstig het Financieel Reglement, Verordening (EU, Euratom) nr. 2988/95 van de Raad</w:t>
            </w:r>
            <w:r w:rsidRPr="00F046F3">
              <w:rPr>
                <w:vertAlign w:val="superscript"/>
              </w:rPr>
              <w:t>14</w:t>
            </w:r>
            <w:r w:rsidRPr="00F046F3">
              <w:t>, Verordening (Euratom, EG) nr. 2185/96 van de Raad</w:t>
            </w:r>
            <w:r w:rsidRPr="00F046F3">
              <w:rPr>
                <w:vertAlign w:val="superscript"/>
              </w:rPr>
              <w:t>15</w:t>
            </w:r>
            <w:r w:rsidRPr="00F046F3">
              <w:t xml:space="preserve"> en Verordening (EU) 2017/1939 van de Raad</w:t>
            </w:r>
            <w:r w:rsidRPr="00F046F3">
              <w:rPr>
                <w:vertAlign w:val="superscript"/>
              </w:rPr>
              <w:t>16</w:t>
            </w:r>
            <w:r w:rsidRPr="00F046F3">
              <w:t xml:space="preserve"> moeten de financiële belangen van de Unie worden beschermd door middel van evenredige maatregelen, waaronder preventie, opsporing, correctie en onderzoek van onregelmatigheden en fraude, de terugvordering van verloren gegane, ten onrechte betaalde of slecht bestede middelen en, in voorkomend geval, het opleggen van administratieve sancties. In het bijzonder kan het Europees Bureau voor fraudebestrijding (OLAF) overeenkomstig Verordening (EU, Euratom) nr. 883/2013 van het Europees Parlement en de Raad</w:t>
            </w:r>
            <w:r w:rsidRPr="00F046F3">
              <w:rPr>
                <w:vertAlign w:val="superscript"/>
              </w:rPr>
              <w:t>17</w:t>
            </w:r>
            <w:r w:rsidRPr="00F046F3">
              <w:t xml:space="preserve">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F046F3">
              <w:rPr>
                <w:vertAlign w:val="superscript"/>
              </w:rPr>
              <w:t>18</w:t>
            </w:r>
            <w:r w:rsidRPr="00F046F3">
              <w:t>. Personen of entiteiten die middelen van de Unie ontvangen, moeten overeenkomstig het Financieel Reglement ten volle meewerken aan de bescherming van de financiële belangen van de Unie, de nodige rechten en toegang verlenen aan de Commissie, OLAF, het EOM en de Europese Rekenkamer en ervoor zorgen dat derden die betrokken zijn bij de uitvoering van middelen van de Unie gelijkwaardige rechten verlenen.</w:t>
            </w:r>
          </w:p>
        </w:tc>
        <w:tc>
          <w:tcPr>
            <w:tcW w:w="4876" w:type="dxa"/>
            <w:hideMark/>
          </w:tcPr>
          <w:p w:rsidR="00D15344" w:rsidRPr="00F046F3" w:rsidRDefault="00D15344" w:rsidP="004F1417">
            <w:pPr>
              <w:pStyle w:val="Normal6"/>
              <w:rPr>
                <w:szCs w:val="24"/>
              </w:rPr>
            </w:pPr>
            <w:r w:rsidRPr="00F046F3">
              <w:t>(17)</w:t>
            </w:r>
            <w:r w:rsidRPr="00F046F3">
              <w:tab/>
              <w:t>Overeenkomstig het Financieel Reglement, Verordening (EU, Euratom) nr. 2988/95 van de Raad</w:t>
            </w:r>
            <w:r w:rsidRPr="00F046F3">
              <w:rPr>
                <w:vertAlign w:val="superscript"/>
              </w:rPr>
              <w:t>14</w:t>
            </w:r>
            <w:r w:rsidRPr="00F046F3">
              <w:t>, Verordening (Euratom, EG) nr. 2185/96 van de Raad</w:t>
            </w:r>
            <w:r w:rsidRPr="00F046F3">
              <w:rPr>
                <w:vertAlign w:val="superscript"/>
              </w:rPr>
              <w:t>15</w:t>
            </w:r>
            <w:r w:rsidRPr="00F046F3">
              <w:t xml:space="preserve"> en Verordening (EU) 2017/1939 van de Raad</w:t>
            </w:r>
            <w:r w:rsidRPr="00F046F3">
              <w:rPr>
                <w:vertAlign w:val="superscript"/>
              </w:rPr>
              <w:t>16</w:t>
            </w:r>
            <w:r w:rsidRPr="00F046F3">
              <w:rPr>
                <w:b/>
                <w:i/>
              </w:rPr>
              <w:t>, evenals Verordening (EU) 2020/2092 betreffende een algemeen conditionaliteitsregime ter bescherming van de Uniebegroting,</w:t>
            </w:r>
            <w:r w:rsidRPr="00F046F3">
              <w:t xml:space="preserve"> moeten de financiële belangen van de Unie worden beschermd door middel van evenredige maatregelen, waaronder preventie, opsporing, correctie en onderzoek van onregelmatigheden en fraude, de terugvordering van verloren gegane, ten onrechte betaalde of slecht bestede middelen en, in voorkomend geval, het opleggen van administratieve sancties. In het bijzonder kan het Europees Bureau voor fraudebestrijding (OLAF) overeenkomstig Verordening (EU, Euratom) nr. 883/2013 van het Europees Parlement en de Raad</w:t>
            </w:r>
            <w:r w:rsidRPr="00F046F3">
              <w:rPr>
                <w:vertAlign w:val="superscript"/>
              </w:rPr>
              <w:t>17</w:t>
            </w:r>
            <w:r w:rsidRPr="00F046F3">
              <w:t xml:space="preserve">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F046F3">
              <w:rPr>
                <w:vertAlign w:val="superscript"/>
              </w:rPr>
              <w:t>18</w:t>
            </w:r>
            <w:r w:rsidRPr="00F046F3">
              <w:t>. Personen of entiteiten die middelen van de Unie ontvangen, moeten overeenkomstig het Financieel Reglement ten volle meewerken aan de bescherming van de financiële belangen van de Unie, de nodige rechten en toegang verlenen aan de Commissie, OLAF, het EOM en de Europese Rekenkamer en ervoor zorgen dat derden die betrokken zijn bij de uitvoering van middelen van de Unie gelijkwaardige rechten verlenen.</w:t>
            </w:r>
          </w:p>
        </w:tc>
      </w:tr>
      <w:tr w:rsidR="00D15344" w:rsidRPr="00F046F3" w:rsidTr="004F1417">
        <w:trPr>
          <w:jc w:val="center"/>
        </w:trPr>
        <w:tc>
          <w:tcPr>
            <w:tcW w:w="4876" w:type="dxa"/>
            <w:hideMark/>
          </w:tcPr>
          <w:p w:rsidR="00D15344" w:rsidRPr="00F046F3" w:rsidRDefault="00D15344" w:rsidP="004F1417">
            <w:pPr>
              <w:pStyle w:val="Normal6"/>
            </w:pPr>
            <w:r w:rsidRPr="00F046F3">
              <w:t>__________________</w:t>
            </w:r>
          </w:p>
        </w:tc>
        <w:tc>
          <w:tcPr>
            <w:tcW w:w="4876" w:type="dxa"/>
            <w:hideMark/>
          </w:tcPr>
          <w:p w:rsidR="00D15344" w:rsidRPr="00F046F3" w:rsidRDefault="00D15344" w:rsidP="004F1417">
            <w:pPr>
              <w:pStyle w:val="Normal6"/>
              <w:rPr>
                <w:szCs w:val="24"/>
              </w:rPr>
            </w:pPr>
            <w:r w:rsidRPr="00F046F3">
              <w:t>__________________</w:t>
            </w:r>
          </w:p>
        </w:tc>
      </w:tr>
      <w:tr w:rsidR="00D15344" w:rsidRPr="00F046F3" w:rsidTr="004F1417">
        <w:trPr>
          <w:jc w:val="center"/>
        </w:trPr>
        <w:tc>
          <w:tcPr>
            <w:tcW w:w="4876" w:type="dxa"/>
            <w:hideMark/>
          </w:tcPr>
          <w:p w:rsidR="00D15344" w:rsidRPr="00F046F3" w:rsidRDefault="00D15344" w:rsidP="004F1417">
            <w:pPr>
              <w:pStyle w:val="Normal6"/>
            </w:pPr>
            <w:r w:rsidRPr="00F046F3">
              <w:rPr>
                <w:vertAlign w:val="superscript"/>
              </w:rPr>
              <w:t>14</w:t>
            </w:r>
            <w:r w:rsidRPr="00F046F3">
              <w:t xml:space="preserve"> Verordening (EG, Euratom) nr. 2988/95 van de Raad van 18 december 1995 betreffende de bescherming van de financiële belangen van de Europese Gemeenschappen (PB L 312 van 23.12.1995, blz. 1).</w:t>
            </w:r>
          </w:p>
        </w:tc>
        <w:tc>
          <w:tcPr>
            <w:tcW w:w="4876" w:type="dxa"/>
            <w:hideMark/>
          </w:tcPr>
          <w:p w:rsidR="00D15344" w:rsidRPr="00F046F3" w:rsidRDefault="00D15344" w:rsidP="004F1417">
            <w:pPr>
              <w:pStyle w:val="Normal6"/>
              <w:rPr>
                <w:szCs w:val="24"/>
              </w:rPr>
            </w:pPr>
            <w:r w:rsidRPr="00F046F3">
              <w:rPr>
                <w:vertAlign w:val="superscript"/>
              </w:rPr>
              <w:t>14</w:t>
            </w:r>
            <w:r w:rsidRPr="00F046F3">
              <w:t xml:space="preserve"> Verordening (EG, Euratom) nr. 2988/95 van de Raad van 18 december 1995 betreffende de bescherming van de financiële belangen van de Europese Gemeenschappen (PB L 312 van 23.12.1995, blz. 1).</w:t>
            </w:r>
          </w:p>
        </w:tc>
      </w:tr>
      <w:tr w:rsidR="00D15344" w:rsidRPr="00F046F3" w:rsidTr="004F1417">
        <w:trPr>
          <w:jc w:val="center"/>
        </w:trPr>
        <w:tc>
          <w:tcPr>
            <w:tcW w:w="4876" w:type="dxa"/>
            <w:hideMark/>
          </w:tcPr>
          <w:p w:rsidR="00D15344" w:rsidRPr="00F046F3" w:rsidRDefault="00D15344" w:rsidP="004F1417">
            <w:pPr>
              <w:pStyle w:val="Normal6"/>
            </w:pPr>
            <w:r w:rsidRPr="00F046F3">
              <w:rPr>
                <w:vertAlign w:val="superscript"/>
              </w:rPr>
              <w:t>15</w:t>
            </w:r>
            <w:r w:rsidRPr="00F046F3">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c>
          <w:tcPr>
            <w:tcW w:w="4876" w:type="dxa"/>
            <w:hideMark/>
          </w:tcPr>
          <w:p w:rsidR="00D15344" w:rsidRPr="00F046F3" w:rsidRDefault="00D15344" w:rsidP="004F1417">
            <w:pPr>
              <w:pStyle w:val="Normal6"/>
              <w:rPr>
                <w:szCs w:val="24"/>
              </w:rPr>
            </w:pPr>
            <w:r w:rsidRPr="00F046F3">
              <w:rPr>
                <w:vertAlign w:val="superscript"/>
              </w:rPr>
              <w:t>15</w:t>
            </w:r>
            <w:r w:rsidRPr="00F046F3">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r>
      <w:tr w:rsidR="00D15344" w:rsidRPr="00F046F3" w:rsidTr="004F1417">
        <w:trPr>
          <w:jc w:val="center"/>
        </w:trPr>
        <w:tc>
          <w:tcPr>
            <w:tcW w:w="4876" w:type="dxa"/>
            <w:hideMark/>
          </w:tcPr>
          <w:p w:rsidR="00D15344" w:rsidRPr="00F046F3" w:rsidRDefault="00D15344" w:rsidP="004F1417">
            <w:pPr>
              <w:pStyle w:val="Normal6"/>
            </w:pPr>
            <w:r w:rsidRPr="00F046F3">
              <w:rPr>
                <w:vertAlign w:val="superscript"/>
              </w:rPr>
              <w:t>16</w:t>
            </w:r>
            <w:r w:rsidRPr="00F046F3">
              <w:t xml:space="preserve"> Verordening (EU) 2017/1939 van de Raad van 12 oktober 2017 betreffende nauwere samenwerking bij de instelling van het Europees Openbaar Ministerie (“EOM”) (PB L 283 van 31.10.2017, blz. 1).</w:t>
            </w:r>
          </w:p>
        </w:tc>
        <w:tc>
          <w:tcPr>
            <w:tcW w:w="4876" w:type="dxa"/>
            <w:hideMark/>
          </w:tcPr>
          <w:p w:rsidR="00D15344" w:rsidRPr="00F046F3" w:rsidRDefault="00D15344" w:rsidP="004F1417">
            <w:pPr>
              <w:pStyle w:val="Normal6"/>
              <w:rPr>
                <w:szCs w:val="24"/>
              </w:rPr>
            </w:pPr>
            <w:r w:rsidRPr="00F046F3">
              <w:rPr>
                <w:vertAlign w:val="superscript"/>
              </w:rPr>
              <w:t>16</w:t>
            </w:r>
            <w:r w:rsidRPr="00F046F3">
              <w:t xml:space="preserve"> Verordening (EU) 2017/1939 van de Raad van 12 oktober 2017 betreffende nauwere samenwerking bij de instelling van het Europees Openbaar Ministerie (“EOM”) (PB L 283 van 31.10.2017, blz. 1).</w:t>
            </w:r>
          </w:p>
        </w:tc>
      </w:tr>
      <w:tr w:rsidR="00D15344" w:rsidRPr="00F046F3" w:rsidTr="004F1417">
        <w:trPr>
          <w:jc w:val="center"/>
        </w:trPr>
        <w:tc>
          <w:tcPr>
            <w:tcW w:w="4876" w:type="dxa"/>
            <w:hideMark/>
          </w:tcPr>
          <w:p w:rsidR="00D15344" w:rsidRPr="00F046F3" w:rsidRDefault="00D15344" w:rsidP="004F1417">
            <w:pPr>
              <w:pStyle w:val="Normal6"/>
            </w:pPr>
            <w:r w:rsidRPr="00F046F3">
              <w:rPr>
                <w:vertAlign w:val="superscript"/>
              </w:rPr>
              <w:t>17</w:t>
            </w:r>
            <w:r w:rsidRPr="00F046F3">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c>
          <w:tcPr>
            <w:tcW w:w="4876" w:type="dxa"/>
            <w:hideMark/>
          </w:tcPr>
          <w:p w:rsidR="00D15344" w:rsidRPr="00F046F3" w:rsidRDefault="00D15344" w:rsidP="004F1417">
            <w:pPr>
              <w:pStyle w:val="Normal6"/>
              <w:rPr>
                <w:szCs w:val="24"/>
              </w:rPr>
            </w:pPr>
            <w:r w:rsidRPr="00F046F3">
              <w:rPr>
                <w:vertAlign w:val="superscript"/>
              </w:rPr>
              <w:t>17</w:t>
            </w:r>
            <w:r w:rsidRPr="00F046F3">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r>
      <w:tr w:rsidR="00D15344" w:rsidRPr="00F046F3" w:rsidTr="004F1417">
        <w:trPr>
          <w:jc w:val="center"/>
        </w:trPr>
        <w:tc>
          <w:tcPr>
            <w:tcW w:w="4876" w:type="dxa"/>
            <w:hideMark/>
          </w:tcPr>
          <w:p w:rsidR="00D15344" w:rsidRPr="00F046F3" w:rsidRDefault="00D15344" w:rsidP="004F1417">
            <w:pPr>
              <w:pStyle w:val="Normal6"/>
            </w:pPr>
            <w:r w:rsidRPr="00F046F3">
              <w:rPr>
                <w:vertAlign w:val="superscript"/>
              </w:rPr>
              <w:t>18</w:t>
            </w:r>
            <w:r w:rsidRPr="00F046F3">
              <w:t xml:space="preserve"> Richtlijn (EU) 2017/1371 van het Europees Parlement en de Raad van 5 juli 2017 betreffende de strafrechtelijke bestrijding van fraude die de financiële belangen van de Unie schaadt (PB L 198 van 28.7.2017, blz. 29).</w:t>
            </w:r>
          </w:p>
        </w:tc>
        <w:tc>
          <w:tcPr>
            <w:tcW w:w="4876" w:type="dxa"/>
            <w:hideMark/>
          </w:tcPr>
          <w:p w:rsidR="00D15344" w:rsidRPr="00F046F3" w:rsidRDefault="00D15344" w:rsidP="004F1417">
            <w:pPr>
              <w:pStyle w:val="Normal6"/>
              <w:rPr>
                <w:szCs w:val="24"/>
              </w:rPr>
            </w:pPr>
            <w:r w:rsidRPr="00F046F3">
              <w:rPr>
                <w:vertAlign w:val="superscript"/>
              </w:rPr>
              <w:t>18</w:t>
            </w:r>
            <w:r w:rsidRPr="00F046F3">
              <w:t xml:space="preserve"> Richtlijn (EU) 2017/1371 van het Europees Parlement en de Raad van 5 juli 2017 betreffende de strafrechtelijke bestrijding van fraude die de financiële belangen van de Unie schaadt (PB L 198 van 28.7.2017, blz. 29).</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(18)</w:t>
            </w:r>
            <w:r w:rsidRPr="00F046F3">
              <w:tab/>
              <w:t>De lidstaten moeten de bewustwording met betrekking tot de bijdrage van de Unie uit de reserve vergroten en het publiek dienovereenkomstig informeren, aangezien activiteiten op het gebied van transparantie, communicatie en zichtbaarheid essentieel zijn om ervoor te zorgen dat het optreden van de Unie in de praktijk zichtbaar is. Deze activiteiten moeten gebaseerd zijn op nauwkeurige en bijgewerkte informatie.</w:t>
            </w:r>
          </w:p>
        </w:tc>
        <w:tc>
          <w:tcPr>
            <w:tcW w:w="4876" w:type="dxa"/>
            <w:hideMark/>
          </w:tcPr>
          <w:p w:rsidR="00D15344" w:rsidRPr="00F046F3" w:rsidRDefault="00D15344" w:rsidP="004F1417">
            <w:pPr>
              <w:pStyle w:val="Normal6"/>
              <w:rPr>
                <w:szCs w:val="24"/>
              </w:rPr>
            </w:pPr>
            <w:r w:rsidRPr="00F046F3">
              <w:t>(18)</w:t>
            </w:r>
            <w:r w:rsidRPr="00F046F3">
              <w:tab/>
              <w:t>De lidstaten</w:t>
            </w:r>
            <w:r w:rsidRPr="00F046F3">
              <w:rPr>
                <w:b/>
                <w:i/>
              </w:rPr>
              <w:t>, regio’s en lokale gemeenschappen</w:t>
            </w:r>
            <w:r w:rsidRPr="00F046F3">
              <w:t xml:space="preserve"> moeten de bewustwording met betrekking tot de bijdrage van de Unie uit de reserve vergroten en het publiek</w:t>
            </w:r>
            <w:r w:rsidRPr="00F046F3">
              <w:rPr>
                <w:b/>
                <w:i/>
              </w:rPr>
              <w:t xml:space="preserve"> en in het bijzonder de begunstigden</w:t>
            </w:r>
            <w:r w:rsidRPr="00F046F3">
              <w:t xml:space="preserve"> dienovereenkomstig informeren, aangezien activiteiten op het gebied van transparantie, communicatie en zichtbaarheid essentieel zijn om ervoor te zorgen dat het optreden van de Unie in de praktijk zichtbaar is. Deze activiteiten moeten gebaseerd zijn op nauwkeurige en bijgewerkte informatie.</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Overweging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(19)</w:t>
            </w:r>
            <w:r w:rsidRPr="00F046F3">
              <w:tab/>
              <w:t>Om de transparantie over het gebruik van de bijdrage van de Unie te vergroten, moet de Commissie bij het Europees Parlement</w:t>
            </w:r>
            <w:r w:rsidRPr="00F046F3">
              <w:rPr>
                <w:b/>
                <w:i/>
              </w:rPr>
              <w:t xml:space="preserve"> en</w:t>
            </w:r>
            <w:r w:rsidRPr="00F046F3">
              <w:t xml:space="preserve"> de Raad een eindverslag indienen met betrekking tot de uitvoering van de reserve.</w:t>
            </w:r>
          </w:p>
        </w:tc>
        <w:tc>
          <w:tcPr>
            <w:tcW w:w="4876" w:type="dxa"/>
            <w:hideMark/>
          </w:tcPr>
          <w:p w:rsidR="00D15344" w:rsidRPr="00F046F3" w:rsidRDefault="00D15344" w:rsidP="004F1417">
            <w:pPr>
              <w:pStyle w:val="Normal6"/>
              <w:rPr>
                <w:szCs w:val="24"/>
              </w:rPr>
            </w:pPr>
            <w:r w:rsidRPr="00F046F3">
              <w:t>(19)</w:t>
            </w:r>
            <w:r w:rsidRPr="00F046F3">
              <w:tab/>
              <w:t>Om de transparantie over het gebruik van de bijdrage van de Unie te vergroten, moet de Commissie bij het Europees Parlement</w:t>
            </w:r>
            <w:r w:rsidRPr="00F046F3">
              <w:rPr>
                <w:b/>
                <w:i/>
              </w:rPr>
              <w:t>,</w:t>
            </w:r>
            <w:r w:rsidRPr="00F046F3">
              <w:t xml:space="preserve"> de Raad</w:t>
            </w:r>
            <w:r w:rsidRPr="00F046F3">
              <w:rPr>
                <w:b/>
                <w:i/>
              </w:rPr>
              <w:t>, het Comité van de Regio’s en het Europees Economisch en Sociaal Comité</w:t>
            </w:r>
            <w:r w:rsidRPr="00F046F3">
              <w:t xml:space="preserve"> een eindverslag indienen met betrekking tot de uitvoering van de reserve.</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2 – alinea 1 – punt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 xml:space="preserve">“referentieperiode”: de in artikel 63, lid 5, punt a), van het Financieel Reglement bedoelde referentieperiode, die loopt van 1 juli </w:t>
            </w:r>
            <w:r w:rsidRPr="00F046F3">
              <w:rPr>
                <w:b/>
                <w:i/>
              </w:rPr>
              <w:t>2020</w:t>
            </w:r>
            <w:r w:rsidRPr="00F046F3">
              <w:t xml:space="preserve"> tot en met 31 december </w:t>
            </w:r>
            <w:r w:rsidRPr="00F046F3">
              <w:rPr>
                <w:b/>
                <w:i/>
              </w:rPr>
              <w:t>2022</w:t>
            </w:r>
            <w:r w:rsidRPr="00F046F3">
              <w:t>;</w:t>
            </w:r>
          </w:p>
        </w:tc>
        <w:tc>
          <w:tcPr>
            <w:tcW w:w="4876" w:type="dxa"/>
            <w:hideMark/>
          </w:tcPr>
          <w:p w:rsidR="00D15344" w:rsidRPr="00F046F3" w:rsidRDefault="00D15344" w:rsidP="004F1417">
            <w:pPr>
              <w:pStyle w:val="Normal6"/>
              <w:rPr>
                <w:szCs w:val="24"/>
              </w:rPr>
            </w:pPr>
            <w:r w:rsidRPr="00F046F3">
              <w:t>1)</w:t>
            </w:r>
            <w:r w:rsidRPr="00F046F3">
              <w:tab/>
              <w:t xml:space="preserve">“referentieperiode”: de in artikel 63, lid 5, punt a), van het Financieel Reglement bedoelde referentieperiode, die loopt van 1 juli </w:t>
            </w:r>
            <w:r w:rsidRPr="00F046F3">
              <w:rPr>
                <w:b/>
                <w:i/>
              </w:rPr>
              <w:t>2019</w:t>
            </w:r>
            <w:r w:rsidRPr="00F046F3">
              <w:t xml:space="preserve"> tot en met 31 december </w:t>
            </w:r>
            <w:r w:rsidRPr="00F046F3">
              <w:rPr>
                <w:b/>
                <w:i/>
              </w:rPr>
              <w:t>2023</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29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2 – alinea 1 – punt 6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6 bis)</w:t>
            </w:r>
            <w:r w:rsidRPr="00F046F3">
              <w:rPr>
                <w:b/>
                <w:i/>
              </w:rPr>
              <w:tab/>
              <w:t>“gebieden met een bijzondere status”: in voorkomend geval, de Britse overzeese gebieden en de gebieden onder de Britse kroon.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3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 xml:space="preserve">De reserve biedt ondersteuning om de negatieve </w:t>
            </w:r>
            <w:r w:rsidRPr="00F046F3">
              <w:rPr>
                <w:b/>
                <w:i/>
              </w:rPr>
              <w:t>gevolgen</w:t>
            </w:r>
            <w:r w:rsidRPr="00F046F3">
              <w:t xml:space="preserve"> van de terugtrekking van het Verenigd Koninkrijk uit de Unie tegen te gaan in lidstaten, regio’s en sectoren, met name die welke het zwaarst door die terugtrekking worden getroffen, en om de daarmee samenhangende gevolgen voor de economische, sociale en territoriale samenhang te verzachten.</w:t>
            </w:r>
          </w:p>
        </w:tc>
        <w:tc>
          <w:tcPr>
            <w:tcW w:w="4876" w:type="dxa"/>
            <w:hideMark/>
          </w:tcPr>
          <w:p w:rsidR="00D15344" w:rsidRPr="00F046F3" w:rsidRDefault="00D15344" w:rsidP="004F1417">
            <w:pPr>
              <w:pStyle w:val="Normal6"/>
              <w:rPr>
                <w:szCs w:val="24"/>
              </w:rPr>
            </w:pPr>
            <w:r w:rsidRPr="00F046F3">
              <w:t xml:space="preserve">De reserve biedt ondersteuning om de negatieve </w:t>
            </w:r>
            <w:r w:rsidRPr="00F046F3">
              <w:rPr>
                <w:b/>
                <w:i/>
              </w:rPr>
              <w:t>economische, sociale, territoriale en milieugevolgen</w:t>
            </w:r>
            <w:r w:rsidRPr="00F046F3">
              <w:t xml:space="preserve"> van de terugtrekking van het Verenigd Koninkrijk uit de Unie tegen te gaan in </w:t>
            </w:r>
            <w:r w:rsidRPr="00F046F3">
              <w:rPr>
                <w:b/>
                <w:i/>
              </w:rPr>
              <w:t xml:space="preserve">de </w:t>
            </w:r>
            <w:r w:rsidRPr="00F046F3">
              <w:t xml:space="preserve">lidstaten, </w:t>
            </w:r>
            <w:r w:rsidRPr="00F046F3">
              <w:rPr>
                <w:b/>
                <w:i/>
              </w:rPr>
              <w:t xml:space="preserve">met inbegrip van hun </w:t>
            </w:r>
            <w:r w:rsidRPr="00F046F3">
              <w:t>regio’s en</w:t>
            </w:r>
            <w:r w:rsidRPr="00F046F3">
              <w:rPr>
                <w:b/>
                <w:i/>
              </w:rPr>
              <w:t xml:space="preserve"> lokale gemeenschappen, evenals de economische</w:t>
            </w:r>
            <w:r w:rsidRPr="00F046F3">
              <w:t xml:space="preserve"> sectoren, met name die welke het zwaarst door die terugtrekking worden getroffen, en om de daarmee samenhangende</w:t>
            </w:r>
            <w:r w:rsidRPr="00F046F3">
              <w:rPr>
                <w:b/>
                <w:i/>
              </w:rPr>
              <w:t xml:space="preserve"> negatieve</w:t>
            </w:r>
            <w:r w:rsidRPr="00F046F3">
              <w:t xml:space="preserve"> gevolgen voor de economische, sociale en territoriale samenhang te verzachten.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4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 xml:space="preserve">De maximale middelen voor de reserve bedragen </w:t>
            </w:r>
            <w:r w:rsidRPr="00F046F3">
              <w:rPr>
                <w:b/>
                <w:i/>
              </w:rPr>
              <w:t>5 370</w:t>
            </w:r>
            <w:r w:rsidRPr="00F046F3">
              <w:t> </w:t>
            </w:r>
            <w:r w:rsidRPr="00F046F3">
              <w:rPr>
                <w:b/>
                <w:i/>
              </w:rPr>
              <w:t>994 000 EUR</w:t>
            </w:r>
            <w:r w:rsidRPr="00F046F3">
              <w:t xml:space="preserve"> in </w:t>
            </w:r>
            <w:r w:rsidRPr="00F046F3">
              <w:rPr>
                <w:b/>
                <w:i/>
              </w:rPr>
              <w:t>lopende prijzen</w:t>
            </w:r>
            <w:r w:rsidRPr="00F046F3">
              <w:t>.</w:t>
            </w:r>
          </w:p>
        </w:tc>
        <w:tc>
          <w:tcPr>
            <w:tcW w:w="4876" w:type="dxa"/>
            <w:hideMark/>
          </w:tcPr>
          <w:p w:rsidR="00D15344" w:rsidRPr="00F046F3" w:rsidRDefault="00D15344" w:rsidP="004F1417">
            <w:pPr>
              <w:pStyle w:val="Normal6"/>
              <w:rPr>
                <w:szCs w:val="24"/>
              </w:rPr>
            </w:pPr>
            <w:r w:rsidRPr="00F046F3">
              <w:t>2.</w:t>
            </w:r>
            <w:r w:rsidRPr="00F046F3">
              <w:tab/>
              <w:t xml:space="preserve">De maximale middelen voor de reserve bedragen </w:t>
            </w:r>
            <w:r w:rsidRPr="00F046F3">
              <w:rPr>
                <w:b/>
                <w:i/>
              </w:rPr>
              <w:t>5 000</w:t>
            </w:r>
            <w:r w:rsidRPr="00F046F3">
              <w:t> </w:t>
            </w:r>
            <w:r w:rsidRPr="00F046F3">
              <w:rPr>
                <w:b/>
                <w:i/>
              </w:rPr>
              <w:t>000 000 EUR</w:t>
            </w:r>
            <w:r w:rsidRPr="00F046F3">
              <w:t xml:space="preserve"> in </w:t>
            </w:r>
            <w:r w:rsidRPr="00F046F3">
              <w:rPr>
                <w:b/>
                <w:i/>
              </w:rPr>
              <w:t>prijzen van 2018</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4 – lid 3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3.</w:t>
            </w:r>
            <w:r w:rsidRPr="00F046F3">
              <w:tab/>
              <w:t>De in lid 2 genoemde middelen worden als volgt</w:t>
            </w:r>
            <w:r w:rsidRPr="00F046F3">
              <w:rPr>
                <w:b/>
                <w:i/>
              </w:rPr>
              <w:t xml:space="preserve"> toegewezen</w:t>
            </w:r>
            <w:r w:rsidRPr="00F046F3">
              <w:t>:</w:t>
            </w:r>
          </w:p>
        </w:tc>
        <w:tc>
          <w:tcPr>
            <w:tcW w:w="4876" w:type="dxa"/>
            <w:hideMark/>
          </w:tcPr>
          <w:p w:rsidR="00D15344" w:rsidRPr="00F046F3" w:rsidRDefault="00D15344" w:rsidP="004F1417">
            <w:pPr>
              <w:pStyle w:val="Normal6"/>
              <w:rPr>
                <w:szCs w:val="24"/>
              </w:rPr>
            </w:pPr>
            <w:r w:rsidRPr="00F046F3">
              <w:t>3.</w:t>
            </w:r>
            <w:r w:rsidRPr="00F046F3">
              <w:tab/>
              <w:t xml:space="preserve">De in lid 2 genoemde middelen worden </w:t>
            </w:r>
            <w:r w:rsidRPr="00F046F3">
              <w:rPr>
                <w:b/>
                <w:i/>
              </w:rPr>
              <w:t xml:space="preserve">voorlopig toegewezen volgens de methode en de daaruit voortvloeiende bedragen in bijlage I. Zij worden beschikbaar gesteld </w:t>
            </w:r>
            <w:r w:rsidRPr="00F046F3">
              <w:t>als volgt: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33</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4 – lid 3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a)</w:t>
            </w:r>
            <w:r w:rsidRPr="00F046F3">
              <w:tab/>
            </w:r>
            <w:r w:rsidRPr="00F046F3">
              <w:rPr>
                <w:b/>
                <w:i/>
              </w:rPr>
              <w:t xml:space="preserve">in 2021 wordt </w:t>
            </w:r>
            <w:r w:rsidRPr="00F046F3">
              <w:t>overeenkomstig artikel 8 een bedrag van</w:t>
            </w:r>
            <w:r w:rsidRPr="00F046F3">
              <w:rPr>
                <w:b/>
                <w:i/>
              </w:rPr>
              <w:t xml:space="preserve"> 4 244 832 000 EUR</w:t>
            </w:r>
            <w:r w:rsidRPr="00F046F3">
              <w:t xml:space="preserve"> voor voorfinanciering beschikbaar gesteld;</w:t>
            </w:r>
          </w:p>
        </w:tc>
        <w:tc>
          <w:tcPr>
            <w:tcW w:w="4876" w:type="dxa"/>
            <w:hideMark/>
          </w:tcPr>
          <w:p w:rsidR="00D15344" w:rsidRPr="00F046F3" w:rsidRDefault="00D15344" w:rsidP="004F1417">
            <w:pPr>
              <w:pStyle w:val="Normal6"/>
              <w:rPr>
                <w:szCs w:val="24"/>
              </w:rPr>
            </w:pPr>
            <w:r w:rsidRPr="00F046F3">
              <w:t>a)</w:t>
            </w:r>
            <w:r w:rsidRPr="00F046F3">
              <w:tab/>
              <w:t xml:space="preserve">overeenkomstig artikel 8 </w:t>
            </w:r>
            <w:r w:rsidRPr="00F046F3">
              <w:rPr>
                <w:b/>
                <w:i/>
              </w:rPr>
              <w:t>wordt</w:t>
            </w:r>
            <w:r w:rsidRPr="00F046F3">
              <w:t xml:space="preserve"> een bedrag van</w:t>
            </w:r>
            <w:r w:rsidRPr="00F046F3">
              <w:rPr>
                <w:b/>
                <w:i/>
              </w:rPr>
              <w:t xml:space="preserve"> 4 000 000 000 EUR in prijzen van 2018</w:t>
            </w:r>
            <w:r w:rsidRPr="00F046F3">
              <w:t xml:space="preserve"> voor voorfinanciering beschikbaar gesteld </w:t>
            </w:r>
            <w:r w:rsidRPr="00F046F3">
              <w:rPr>
                <w:b/>
                <w:i/>
              </w:rPr>
              <w:t>en in twee tranches van 2 000 000 000 EUR in 2021 en 2 000 000 000 EUR in 2022 uitbetaald</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34</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4 – lid 3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b)</w:t>
            </w:r>
            <w:r w:rsidRPr="00F046F3">
              <w:tab/>
              <w:t xml:space="preserve">daarnaast wordt overeenkomstig artikel 11 in </w:t>
            </w:r>
            <w:r w:rsidRPr="00F046F3">
              <w:rPr>
                <w:b/>
                <w:i/>
              </w:rPr>
              <w:t>2024 1 126 162 000 EUR</w:t>
            </w:r>
            <w:r w:rsidRPr="00F046F3">
              <w:t xml:space="preserve"> beschikbaar gesteld.</w:t>
            </w:r>
          </w:p>
        </w:tc>
        <w:tc>
          <w:tcPr>
            <w:tcW w:w="4876" w:type="dxa"/>
            <w:hideMark/>
          </w:tcPr>
          <w:p w:rsidR="00D15344" w:rsidRPr="00F046F3" w:rsidRDefault="00D15344" w:rsidP="004F1417">
            <w:pPr>
              <w:pStyle w:val="Normal6"/>
              <w:rPr>
                <w:szCs w:val="24"/>
              </w:rPr>
            </w:pPr>
            <w:r w:rsidRPr="00F046F3">
              <w:t>b)</w:t>
            </w:r>
            <w:r w:rsidRPr="00F046F3">
              <w:tab/>
              <w:t xml:space="preserve">daarnaast wordt overeenkomstig artikel 11 in </w:t>
            </w:r>
            <w:r w:rsidRPr="00F046F3">
              <w:rPr>
                <w:b/>
                <w:i/>
              </w:rPr>
              <w:t>2025 1 000 000 000 EUR in prijzen van 2018</w:t>
            </w:r>
            <w:r w:rsidRPr="00F046F3">
              <w:t xml:space="preserve"> beschikbaar gesteld. </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1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 xml:space="preserve">De financiële bijdrage uit de reserve ondersteunt alleen </w:t>
            </w:r>
            <w:r w:rsidRPr="00F046F3">
              <w:rPr>
                <w:b/>
                <w:i/>
              </w:rPr>
              <w:t>de overheidsuitgaven</w:t>
            </w:r>
            <w:r w:rsidRPr="00F046F3">
              <w:t xml:space="preserve"> die </w:t>
            </w:r>
            <w:r w:rsidRPr="00F046F3">
              <w:rPr>
                <w:b/>
                <w:i/>
              </w:rPr>
              <w:t>rechtstreeks verband houden met maatregelen die</w:t>
            </w:r>
            <w:r w:rsidRPr="00F046F3">
              <w:t xml:space="preserve"> de </w:t>
            </w:r>
            <w:r w:rsidRPr="00F046F3">
              <w:rPr>
                <w:b/>
                <w:i/>
              </w:rPr>
              <w:t>lidstaten</w:t>
            </w:r>
            <w:r w:rsidRPr="00F046F3">
              <w:t xml:space="preserve"> specifiek hebben genomen om bij te dragen tot de verwezenlijking van de in artikel 3 genoemde doelstellingen, en kan met name dienen ter dekking van:</w:t>
            </w:r>
          </w:p>
        </w:tc>
        <w:tc>
          <w:tcPr>
            <w:tcW w:w="4876" w:type="dxa"/>
            <w:hideMark/>
          </w:tcPr>
          <w:p w:rsidR="00D15344" w:rsidRPr="00F046F3" w:rsidRDefault="00D15344" w:rsidP="004F1417">
            <w:pPr>
              <w:pStyle w:val="Normal6"/>
              <w:rPr>
                <w:szCs w:val="24"/>
              </w:rPr>
            </w:pPr>
            <w:r w:rsidRPr="00F046F3">
              <w:t>1.</w:t>
            </w:r>
            <w:r w:rsidRPr="00F046F3">
              <w:tab/>
              <w:t xml:space="preserve">De financiële bijdrage uit de reserve ondersteunt alleen </w:t>
            </w:r>
            <w:r w:rsidRPr="00F046F3">
              <w:rPr>
                <w:b/>
                <w:i/>
              </w:rPr>
              <w:t>maatregelen</w:t>
            </w:r>
            <w:r w:rsidRPr="00F046F3">
              <w:t xml:space="preserve"> die </w:t>
            </w:r>
            <w:r w:rsidRPr="00F046F3">
              <w:rPr>
                <w:b/>
                <w:i/>
              </w:rPr>
              <w:t>de lidstaten, waaronder op het niveau van</w:t>
            </w:r>
            <w:r w:rsidRPr="00F046F3">
              <w:t xml:space="preserve"> de </w:t>
            </w:r>
            <w:r w:rsidRPr="00F046F3">
              <w:rPr>
                <w:b/>
                <w:i/>
              </w:rPr>
              <w:t>regionale en lokale autoriteiten,</w:t>
            </w:r>
            <w:r w:rsidRPr="00F046F3">
              <w:t xml:space="preserve"> specifiek hebben genomen om bij te dragen tot de verwezenlijking van de in artikel 3 genoemde doelstellingen, en kan met name dienen ter dekking van: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1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a)</w:t>
            </w:r>
            <w:r w:rsidRPr="00F046F3">
              <w:tab/>
              <w:t>maatregelen om bedrijven</w:t>
            </w:r>
            <w:r w:rsidRPr="00F046F3">
              <w:rPr>
                <w:b/>
                <w:i/>
              </w:rPr>
              <w:t xml:space="preserve"> en</w:t>
            </w:r>
            <w:r w:rsidRPr="00F046F3">
              <w:t xml:space="preserve"> lokale gemeenschappen die nadeel ondervinden van de terugtrekking bij te staan;</w:t>
            </w:r>
          </w:p>
        </w:tc>
        <w:tc>
          <w:tcPr>
            <w:tcW w:w="4876" w:type="dxa"/>
            <w:hideMark/>
          </w:tcPr>
          <w:p w:rsidR="00D15344" w:rsidRPr="00F046F3" w:rsidRDefault="00D15344" w:rsidP="004F1417">
            <w:pPr>
              <w:pStyle w:val="Normal6"/>
              <w:rPr>
                <w:szCs w:val="24"/>
              </w:rPr>
            </w:pPr>
            <w:r w:rsidRPr="00F046F3">
              <w:t>a)</w:t>
            </w:r>
            <w:r w:rsidRPr="00F046F3">
              <w:tab/>
              <w:t xml:space="preserve">maatregelen om </w:t>
            </w:r>
            <w:r w:rsidRPr="00F046F3">
              <w:rPr>
                <w:b/>
                <w:i/>
              </w:rPr>
              <w:t xml:space="preserve">particuliere en openbare </w:t>
            </w:r>
            <w:r w:rsidRPr="00F046F3">
              <w:t>bedrijven</w:t>
            </w:r>
            <w:r w:rsidRPr="00F046F3">
              <w:rPr>
                <w:b/>
                <w:i/>
              </w:rPr>
              <w:t>, met name kmo’s, zelfstandigen,</w:t>
            </w:r>
            <w:r w:rsidRPr="00F046F3">
              <w:t xml:space="preserve"> lokale gemeenschappen</w:t>
            </w:r>
            <w:r w:rsidRPr="00F046F3">
              <w:rPr>
                <w:b/>
                <w:i/>
              </w:rPr>
              <w:t xml:space="preserve"> en organisaties</w:t>
            </w:r>
            <w:r w:rsidRPr="00F046F3">
              <w:t xml:space="preserve"> die nadeel ondervinden van de terugtrekking bij te staan;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1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b)</w:t>
            </w:r>
            <w:r w:rsidRPr="00F046F3">
              <w:tab/>
              <w:t xml:space="preserve">maatregelen ter ondersteuning van de </w:t>
            </w:r>
            <w:r w:rsidRPr="00F046F3">
              <w:rPr>
                <w:b/>
                <w:i/>
              </w:rPr>
              <w:t xml:space="preserve">zwaarst getroffen </w:t>
            </w:r>
            <w:r w:rsidRPr="00F046F3">
              <w:t>economische sectoren;</w:t>
            </w:r>
          </w:p>
        </w:tc>
        <w:tc>
          <w:tcPr>
            <w:tcW w:w="4876" w:type="dxa"/>
            <w:hideMark/>
          </w:tcPr>
          <w:p w:rsidR="00D15344" w:rsidRPr="00F046F3" w:rsidRDefault="00D15344" w:rsidP="004F1417">
            <w:pPr>
              <w:pStyle w:val="Normal6"/>
              <w:rPr>
                <w:szCs w:val="24"/>
              </w:rPr>
            </w:pPr>
            <w:r w:rsidRPr="00F046F3">
              <w:t>b)</w:t>
            </w:r>
            <w:r w:rsidRPr="00F046F3">
              <w:tab/>
              <w:t>maatregelen ter ondersteuning van de economische sectoren</w:t>
            </w:r>
            <w:r w:rsidRPr="00F046F3">
              <w:rPr>
                <w:b/>
                <w:i/>
              </w:rPr>
              <w:t xml:space="preserve"> die de nadeligste gevolgen ondervinden</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1 – letter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c)</w:t>
            </w:r>
            <w:r w:rsidRPr="00F046F3">
              <w:tab/>
              <w:t xml:space="preserve">maatregelen ter ondersteuning van </w:t>
            </w:r>
            <w:r w:rsidRPr="00F046F3">
              <w:rPr>
                <w:b/>
                <w:i/>
              </w:rPr>
              <w:t>bedrijven</w:t>
            </w:r>
            <w:r w:rsidRPr="00F046F3">
              <w:t xml:space="preserve"> en lokale gemeenschappen die afhankelijk zijn van visserijactiviteiten in de wateren van het Verenigd Koninkrijk;</w:t>
            </w:r>
          </w:p>
        </w:tc>
        <w:tc>
          <w:tcPr>
            <w:tcW w:w="4876" w:type="dxa"/>
            <w:hideMark/>
          </w:tcPr>
          <w:p w:rsidR="00D15344" w:rsidRPr="00F046F3" w:rsidRDefault="00D15344" w:rsidP="004F1417">
            <w:pPr>
              <w:pStyle w:val="Normal6"/>
              <w:rPr>
                <w:szCs w:val="24"/>
              </w:rPr>
            </w:pPr>
            <w:r w:rsidRPr="00F046F3">
              <w:t>c)</w:t>
            </w:r>
            <w:r w:rsidRPr="00F046F3">
              <w:tab/>
              <w:t xml:space="preserve">maatregelen ter ondersteuning van </w:t>
            </w:r>
            <w:r w:rsidRPr="00F046F3">
              <w:rPr>
                <w:b/>
                <w:i/>
              </w:rPr>
              <w:t>regionale</w:t>
            </w:r>
            <w:r w:rsidRPr="00F046F3">
              <w:t xml:space="preserve"> en lokale gemeenschappen </w:t>
            </w:r>
            <w:r w:rsidRPr="00F046F3">
              <w:rPr>
                <w:b/>
                <w:i/>
              </w:rPr>
              <w:t xml:space="preserve">en organisaties, met name de kleinschalige visserij, </w:t>
            </w:r>
            <w:r w:rsidRPr="00F046F3">
              <w:t>die afhankelijk zijn van visserijactiviteiten in de wateren van het Verenigd Koninkrijk</w:t>
            </w:r>
            <w:r w:rsidRPr="00F046F3">
              <w:rPr>
                <w:b/>
                <w:i/>
              </w:rPr>
              <w:t>, de wateren van zijn gebieden met een bijzondere status en de wateren die onder met kuststaten gesloten visserijovereenkomsten vallen waar de vangstmogelijkheden voor de EU-vissersvloot als gevolg van de terugtrekking van het Verenigd Koninkrijk uit de Europese Unie kleiner zijn geworden</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39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1 – letter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d)</w:t>
            </w:r>
            <w:r w:rsidRPr="00F046F3">
              <w:tab/>
              <w:t xml:space="preserve">maatregelen ter ondersteuning van </w:t>
            </w:r>
            <w:r w:rsidRPr="00F046F3">
              <w:rPr>
                <w:b/>
                <w:i/>
              </w:rPr>
              <w:t>de werkgelegenheid, met name door middel van</w:t>
            </w:r>
            <w:r w:rsidRPr="00F046F3">
              <w:t xml:space="preserve"> arbeidstijdverkortingsregelingen, omscholing en opleiding in de getroffen sectoren;</w:t>
            </w:r>
          </w:p>
        </w:tc>
        <w:tc>
          <w:tcPr>
            <w:tcW w:w="4876" w:type="dxa"/>
            <w:hideMark/>
          </w:tcPr>
          <w:p w:rsidR="00D15344" w:rsidRPr="00F046F3" w:rsidRDefault="00D15344" w:rsidP="004F1417">
            <w:pPr>
              <w:pStyle w:val="Normal6"/>
              <w:rPr>
                <w:szCs w:val="24"/>
              </w:rPr>
            </w:pPr>
            <w:r w:rsidRPr="00F046F3">
              <w:t>d)</w:t>
            </w:r>
            <w:r w:rsidRPr="00F046F3">
              <w:tab/>
              <w:t xml:space="preserve">maatregelen ter ondersteuning van </w:t>
            </w:r>
            <w:r w:rsidRPr="00F046F3">
              <w:rPr>
                <w:b/>
                <w:i/>
              </w:rPr>
              <w:t>het scheppen en beschermen van banen, waaronder groene banen,</w:t>
            </w:r>
            <w:r w:rsidRPr="00F046F3">
              <w:t xml:space="preserve"> arbeidstijdverkortingsregelingen, omscholing en opleiding in de getroffen sectoren</w:t>
            </w:r>
            <w:r w:rsidRPr="00F046F3">
              <w:rPr>
                <w:b/>
                <w:i/>
              </w:rPr>
              <w:t>, en passende maatregelen ter facilitering van de re-integratie van burgers van de Unie en personen die het recht hebben op het grondgebied van de Unie of van een lidstaat te verblijven en die het Verenigd Koninkrijk als gevolg van de terugtrekking hebben verlaten</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1 – letter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e)</w:t>
            </w:r>
            <w:r w:rsidRPr="00F046F3">
              <w:tab/>
              <w:t>maatregelen om het functioneren van de grens-, douane-, sanitaire en fytosanitaire, veiligheids- en visserijcontroles, alsmede de inning van indirecte belastingen en bijkomend personeel en infrastructuur te waarborgen;</w:t>
            </w:r>
          </w:p>
        </w:tc>
        <w:tc>
          <w:tcPr>
            <w:tcW w:w="4876" w:type="dxa"/>
            <w:hideMark/>
          </w:tcPr>
          <w:p w:rsidR="00D15344" w:rsidRPr="00F046F3" w:rsidRDefault="00D15344" w:rsidP="004F1417">
            <w:pPr>
              <w:pStyle w:val="Normal6"/>
              <w:rPr>
                <w:szCs w:val="24"/>
              </w:rPr>
            </w:pPr>
            <w:r w:rsidRPr="00F046F3">
              <w:t>e)</w:t>
            </w:r>
            <w:r w:rsidRPr="00F046F3">
              <w:tab/>
              <w:t>maatregelen om het functioneren van de grens-, douane-, sanitaire en fytosanitaire, veiligheids- en visserijcontroles, alsmede de inning van indirecte belastingen en bijkomend personeel</w:t>
            </w:r>
            <w:r w:rsidRPr="00F046F3">
              <w:rPr>
                <w:b/>
                <w:i/>
              </w:rPr>
              <w:t>, opleiding</w:t>
            </w:r>
            <w:r w:rsidRPr="00F046F3">
              <w:t xml:space="preserve"> en infrastructuur te waarborgen;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1 – letter e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e bis)</w:t>
            </w:r>
            <w:r w:rsidRPr="00F046F3">
              <w:rPr>
                <w:b/>
                <w:i/>
              </w:rPr>
              <w:tab/>
              <w:t>maatregelen ter beperking van door de terugtrekking van het Verenigd Koninkrijk veroorzaakte verstoringen voor lokale en regionale grensoverschrijdende samenwerkings- en uitwisselingsprogramma’s;</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 xml:space="preserve">De uitgaven </w:t>
            </w:r>
            <w:r w:rsidRPr="00F046F3">
              <w:rPr>
                <w:b/>
                <w:i/>
              </w:rPr>
              <w:t>zijn subsidiabel</w:t>
            </w:r>
            <w:r w:rsidRPr="00F046F3">
              <w:t xml:space="preserve"> indien zij tijdens de referentieperiode zijn gedaan en betaald voor maatregelen die in de betrokken lidstaat of ten behoeve van de betrokken lidstaat worden uitgevoerd.</w:t>
            </w:r>
          </w:p>
        </w:tc>
        <w:tc>
          <w:tcPr>
            <w:tcW w:w="4876" w:type="dxa"/>
            <w:hideMark/>
          </w:tcPr>
          <w:p w:rsidR="00D15344" w:rsidRPr="00F046F3" w:rsidRDefault="00D15344" w:rsidP="004F1417">
            <w:pPr>
              <w:pStyle w:val="Normal6"/>
              <w:rPr>
                <w:szCs w:val="24"/>
              </w:rPr>
            </w:pPr>
            <w:r w:rsidRPr="00F046F3">
              <w:t>2.</w:t>
            </w:r>
            <w:r w:rsidRPr="00F046F3">
              <w:tab/>
              <w:t xml:space="preserve">De uitgaven </w:t>
            </w:r>
            <w:r w:rsidRPr="00F046F3">
              <w:rPr>
                <w:b/>
                <w:i/>
              </w:rPr>
              <w:t>komen in aanmerking voor een financiële bijdrage uit de reserve</w:t>
            </w:r>
            <w:r w:rsidRPr="00F046F3">
              <w:t xml:space="preserve"> indien zij tijdens de referentieperiode </w:t>
            </w:r>
            <w:r w:rsidRPr="00F046F3">
              <w:rPr>
                <w:b/>
                <w:i/>
              </w:rPr>
              <w:t xml:space="preserve">door nationale, regionale of lokale openbare autoriteiten in de lidstaten </w:t>
            </w:r>
            <w:r w:rsidRPr="00F046F3">
              <w:t>zijn gedaan en betaald</w:t>
            </w:r>
            <w:r w:rsidRPr="00F046F3">
              <w:rPr>
                <w:b/>
                <w:i/>
              </w:rPr>
              <w:t>, waaronder betalingen aan openbare en particuliere entiteiten,</w:t>
            </w:r>
            <w:r w:rsidRPr="00F046F3">
              <w:t xml:space="preserve"> voor maatregelen die in de betrokken lidstaat of ten behoeve van de betrokken lidstaat worden uitgevoerd.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43</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3.</w:t>
            </w:r>
            <w:r w:rsidRPr="00F046F3">
              <w:tab/>
              <w:t xml:space="preserve">Bij het ontwerpen van steunmaatregelen houden de lidstaten rekening met de uiteenlopende gevolgen van de terugtrekking van het Verenigd Koninkrijk uit de Unie voor de verschillende regio’s en lokale gemeenschappen en concentreren zij de steun uit de reserve </w:t>
            </w:r>
            <w:r w:rsidRPr="00F046F3">
              <w:rPr>
                <w:b/>
                <w:i/>
              </w:rPr>
              <w:t xml:space="preserve">in voorkomend geval </w:t>
            </w:r>
            <w:r w:rsidRPr="00F046F3">
              <w:t>op de zwaarst getroffen gebieden.</w:t>
            </w:r>
          </w:p>
        </w:tc>
        <w:tc>
          <w:tcPr>
            <w:tcW w:w="4876" w:type="dxa"/>
            <w:hideMark/>
          </w:tcPr>
          <w:p w:rsidR="00D15344" w:rsidRPr="00F046F3" w:rsidRDefault="00D15344" w:rsidP="004F1417">
            <w:pPr>
              <w:pStyle w:val="Normal6"/>
              <w:rPr>
                <w:szCs w:val="24"/>
              </w:rPr>
            </w:pPr>
            <w:r w:rsidRPr="00F046F3">
              <w:t>3.</w:t>
            </w:r>
            <w:r w:rsidRPr="00F046F3">
              <w:tab/>
              <w:t>Bij het ontwerpen van steunmaatregelen houden de lidstaten rekening met de uiteenlopende gevolgen van de terugtrekking van het Verenigd Koninkrijk uit de Unie voor de verschillende regio’s en lokale gemeenschappen en concentreren zij de steun uit de reserve op de zwaarst getroffen gebieden.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44</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3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3 bis.</w:t>
            </w:r>
            <w:r w:rsidRPr="00F046F3">
              <w:rPr>
                <w:b/>
                <w:i/>
              </w:rPr>
              <w:tab/>
              <w:t>Bij het opzetten van steunmaatregelen voor de visserij houden de lidstaten rekening met de doelstellingen van het gemeenschappelijk visserijbeleid, zorgen zij ervoor dat de maatregelen bijdragen tot een duurzaam beheer van visbestanden, en streven zij ernaar de vissers die het zwaarst door de terugtrekking van het Verenigd Koninkrijk uit de Unie zijn getroffen, en met name de kleinschalige visserij, te ondersteunen.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3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3 ter.</w:t>
            </w:r>
            <w:r w:rsidRPr="00F046F3">
              <w:rPr>
                <w:b/>
                <w:i/>
              </w:rPr>
              <w:tab/>
              <w:t>Overeenkomstig hun institutioneel, juridisch en financieel kader, en in overeenstemming met het partnerschapbeginsel zoals neergelegd in artikel 6 van Verordening (EU) .../... [nieuwe GB-verordening], organiseren de lidstaten een dialoog op verschillende niveaus met de lokale en regionale autoriteiten en gemeenschappen van de regio’s en sectoren die het zwaarst getroffen zijn, de sociale partners en het maatschappelijk middenveld, met als doel onderling overeengekomen, door de reserve te ondersteunen maatregelen en een monitoringmechanisme vast te stellen en uit te voeren.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4.</w:t>
            </w:r>
            <w:r w:rsidRPr="00F046F3">
              <w:tab/>
              <w:t xml:space="preserve">De in lid 1 genoemde maatregelen </w:t>
            </w:r>
            <w:r w:rsidRPr="00F046F3">
              <w:rPr>
                <w:b/>
                <w:i/>
              </w:rPr>
              <w:t>moeten</w:t>
            </w:r>
            <w:r w:rsidRPr="00F046F3">
              <w:t xml:space="preserve"> in overeenstemming </w:t>
            </w:r>
            <w:r w:rsidRPr="00F046F3">
              <w:rPr>
                <w:b/>
                <w:i/>
              </w:rPr>
              <w:t>zijn</w:t>
            </w:r>
            <w:r w:rsidRPr="00F046F3">
              <w:t xml:space="preserve"> met het toepasselijke recht.</w:t>
            </w:r>
          </w:p>
        </w:tc>
        <w:tc>
          <w:tcPr>
            <w:tcW w:w="4876" w:type="dxa"/>
            <w:hideMark/>
          </w:tcPr>
          <w:p w:rsidR="00D15344" w:rsidRPr="00F046F3" w:rsidRDefault="00D15344" w:rsidP="004F1417">
            <w:pPr>
              <w:pStyle w:val="Normal6"/>
              <w:rPr>
                <w:szCs w:val="24"/>
              </w:rPr>
            </w:pPr>
            <w:r w:rsidRPr="00F046F3">
              <w:t>4.</w:t>
            </w:r>
            <w:r w:rsidRPr="00F046F3">
              <w:tab/>
              <w:t xml:space="preserve">De in lid 1 genoemde maatregelen </w:t>
            </w:r>
            <w:r w:rsidRPr="00F046F3">
              <w:rPr>
                <w:b/>
                <w:i/>
              </w:rPr>
              <w:t>zijn</w:t>
            </w:r>
            <w:r w:rsidRPr="00F046F3">
              <w:t xml:space="preserve"> in overeenstemming met het toepasselijke recht </w:t>
            </w:r>
            <w:r w:rsidRPr="00F046F3">
              <w:rPr>
                <w:b/>
                <w:i/>
              </w:rPr>
              <w:t>en met de beginselen van de Europese pijler van sociale rechten, waaronder de inherente bijdrage ervan aan het wegnemen van ongelijkheden en het bevorderen van gendergelijkheid en gendermainstreaming, houden rekening met de Europese Green Deal, eerbiedigen het beginsel “geen ernstige afbreuk doen” en dragen bij tot de milieudoelstellingen van de Unie, in overeenstemming met de doelstellingen van de Overeenkomst van Parijs en de VN-doelstellingen voor duurzame ontwikkeling</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 lid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5.</w:t>
            </w:r>
            <w:r w:rsidRPr="00F046F3">
              <w:tab/>
              <w:t>Voor op grond van lid 1 subsidiabele maatregelen kan steun uit andere programma’s en instrumenten van de Unie worden ontvangen, voor zover deze steun niet dezelfde kosten dekt.</w:t>
            </w:r>
          </w:p>
        </w:tc>
        <w:tc>
          <w:tcPr>
            <w:tcW w:w="4876" w:type="dxa"/>
            <w:hideMark/>
          </w:tcPr>
          <w:p w:rsidR="00D15344" w:rsidRPr="00F046F3" w:rsidRDefault="00D15344" w:rsidP="004F1417">
            <w:pPr>
              <w:pStyle w:val="Normal6"/>
              <w:rPr>
                <w:szCs w:val="24"/>
              </w:rPr>
            </w:pPr>
            <w:r w:rsidRPr="00F046F3">
              <w:t>5.</w:t>
            </w:r>
            <w:r w:rsidRPr="00F046F3">
              <w:tab/>
              <w:t xml:space="preserve">Voor op grond van lid 1 subsidiabele maatregelen kan steun uit andere programma’s en instrumenten van de Unie worden ontvangen, voor zover deze steun niet dezelfde kosten dekt. </w:t>
            </w:r>
            <w:r w:rsidRPr="00F046F3">
              <w:rPr>
                <w:b/>
                <w:i/>
              </w:rPr>
              <w:t>De lidstaten raadplegen de betrokken lokale en regionale overheden die optreden als beheersautoriteit of intermediaire instantie voor EU-fondsen teneinde overlappende financiering te voorkomen.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jc w:val="center"/>
              <w:rPr>
                <w:szCs w:val="24"/>
              </w:rPr>
            </w:pPr>
            <w:r w:rsidRPr="00F046F3">
              <w:rPr>
                <w:b/>
                <w:i/>
              </w:rPr>
              <w:t>Artikel 5 bis</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jc w:val="center"/>
              <w:rPr>
                <w:szCs w:val="24"/>
              </w:rPr>
            </w:pPr>
            <w:r w:rsidRPr="00F046F3">
              <w:rPr>
                <w:b/>
                <w:i/>
              </w:rPr>
              <w:t>Technische bijstand</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Elke lidstaat kan tot 2,5 % van zijn toewijzing uit de reserve gebruiken voor technische bijstand om lokale, regionale en nationale autoriteiten te helpen bij het beheren, monitoren en controleren van en communiceren over de uitvoering van de maatregelen die zijn genomen om de negatieve gevolgen van de terugtrekking van het Verenigd Koninkrijk uit de Unie tegen te gaan, en om met name kmo’s te helpen om de toegenomen administratieve lasten en kosten het hoofd te bieden.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49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6 – alinea 1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rPr>
                <w:b/>
                <w:i/>
              </w:rPr>
              <w:t>b)</w:t>
            </w:r>
            <w:r w:rsidRPr="00F046F3">
              <w:rPr>
                <w:b/>
                <w:i/>
              </w:rPr>
              <w:tab/>
              <w:t>technische bijstand voor beheer, monitoring, voorlichting en communicatie, afhandeling van klachten en controle en audit met betrekking tot de reserve;</w:t>
            </w:r>
          </w:p>
        </w:tc>
        <w:tc>
          <w:tcPr>
            <w:tcW w:w="4876" w:type="dxa"/>
            <w:hideMark/>
          </w:tcPr>
          <w:p w:rsidR="00D15344" w:rsidRPr="00F046F3" w:rsidRDefault="00D15344" w:rsidP="004F1417">
            <w:pPr>
              <w:pStyle w:val="Normal6"/>
              <w:rPr>
                <w:szCs w:val="24"/>
              </w:rPr>
            </w:pPr>
            <w:r w:rsidRPr="00F046F3">
              <w:rPr>
                <w:b/>
                <w:i/>
              </w:rPr>
              <w:t>Schrappen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6 – alinea 1 – letter d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d bis)</w:t>
            </w:r>
            <w:r w:rsidRPr="00F046F3">
              <w:rPr>
                <w:b/>
                <w:i/>
              </w:rPr>
              <w:tab/>
              <w:t>uitgaven ter ondersteuning van entiteiten uit de financiële sector, waaronder entiteiten uit de banksector, die van de terugtrekking van het Verenigd Koninkrijk uit de Unie hebben geprofiteerd.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7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De lidstaten gebruiken de bijdrage uit de reserve voor de uitvoering van de in artikel 5 bedoelde maatregelen om niet-terugbetaalbare vormen van steun te verstrekken. De bijdrage van de Unie bestaat in de terugbetaling van subsidiabele kosten die daadwerkelijk door de lidstaten bij de uitvoering van de maatregelen zijn gemaakt en betaald.</w:t>
            </w:r>
          </w:p>
        </w:tc>
        <w:tc>
          <w:tcPr>
            <w:tcW w:w="4876" w:type="dxa"/>
            <w:hideMark/>
          </w:tcPr>
          <w:p w:rsidR="00D15344" w:rsidRPr="00F046F3" w:rsidRDefault="00D15344" w:rsidP="004F1417">
            <w:pPr>
              <w:pStyle w:val="Normal6"/>
              <w:rPr>
                <w:szCs w:val="24"/>
              </w:rPr>
            </w:pPr>
            <w:r w:rsidRPr="00F046F3">
              <w:t>2.</w:t>
            </w:r>
            <w:r w:rsidRPr="00F046F3">
              <w:tab/>
              <w:t xml:space="preserve">De lidstaten gebruiken de bijdrage uit de reserve voor de uitvoering van de in artikel 5 bedoelde maatregelen om niet-terugbetaalbare vormen van steun te verstrekken. De bijdrage van de Unie bestaat in de terugbetaling van subsidiabele kosten die daadwerkelijk door </w:t>
            </w:r>
            <w:r w:rsidRPr="00F046F3">
              <w:rPr>
                <w:b/>
                <w:i/>
              </w:rPr>
              <w:t>de bevoegde autoriteiten in</w:t>
            </w:r>
            <w:r w:rsidRPr="00F046F3">
              <w:t xml:space="preserve"> de lidstaten bij de uitvoering van de maatregelen </w:t>
            </w:r>
            <w:r w:rsidRPr="00F046F3">
              <w:rPr>
                <w:b/>
                <w:i/>
              </w:rPr>
              <w:t>en voor technische bijstand</w:t>
            </w:r>
            <w:r w:rsidRPr="00F046F3">
              <w:t xml:space="preserve"> zijn gemaakt en betaald</w:t>
            </w:r>
            <w:r w:rsidRPr="00F046F3">
              <w:rPr>
                <w:b/>
                <w:i/>
              </w:rPr>
              <w:t>, waaronder betalingen aan publieke en/of private entiteiten</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7 – lid 3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3 bis.</w:t>
            </w:r>
            <w:r w:rsidRPr="00F046F3">
              <w:rPr>
                <w:b/>
                <w:i/>
              </w:rPr>
              <w:tab/>
              <w:t>Lidstaten waarvan het aandeel van de middelen uit de reserve uit hoofde van bijlage I wordt bepaald op grond van de vis die wordt gevangen in de wateren die tot de exclusieve economische zone (EEZ) van het Verenigd Koninkrijk behoren, wijzen ten minste 7 % van hun voorlopig toegewezen bedrag toe aan maatregelen ter ondersteuning van lokale en regionale gemeenschappen die afhankelijk zijn van visserijactiviteiten, in het bijzonder de kleinschalige visserij.</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53</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8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 xml:space="preserve">De toewijzingscriteria voor de </w:t>
            </w:r>
            <w:r w:rsidRPr="00F046F3">
              <w:rPr>
                <w:b/>
                <w:i/>
              </w:rPr>
              <w:t>voorfinanciering</w:t>
            </w:r>
            <w:r w:rsidRPr="00F046F3">
              <w:t xml:space="preserve"> die de Commissie aan de lidstaten moet betalen, zijn opgenomen in bijlage I.</w:t>
            </w:r>
          </w:p>
        </w:tc>
        <w:tc>
          <w:tcPr>
            <w:tcW w:w="4876" w:type="dxa"/>
            <w:hideMark/>
          </w:tcPr>
          <w:p w:rsidR="00D15344" w:rsidRPr="00F046F3" w:rsidRDefault="00D15344" w:rsidP="004F1417">
            <w:pPr>
              <w:pStyle w:val="Normal6"/>
              <w:rPr>
                <w:szCs w:val="24"/>
              </w:rPr>
            </w:pPr>
            <w:r w:rsidRPr="00F046F3">
              <w:t>1.</w:t>
            </w:r>
            <w:r w:rsidRPr="00F046F3">
              <w:tab/>
              <w:t xml:space="preserve">De toewijzingscriteria voor de </w:t>
            </w:r>
            <w:r w:rsidRPr="00F046F3">
              <w:rPr>
                <w:b/>
                <w:i/>
              </w:rPr>
              <w:t>middelen</w:t>
            </w:r>
            <w:r w:rsidRPr="00F046F3">
              <w:t xml:space="preserve"> die de Commissie aan de lidstaten moet betalen, zijn opgenomen in bijlage I.</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54</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8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3.</w:t>
            </w:r>
            <w:r w:rsidRPr="00F046F3">
              <w:tab/>
              <w:t xml:space="preserve">De Commissie keert de voorfinanciering binnen </w:t>
            </w:r>
            <w:r w:rsidRPr="00F046F3">
              <w:rPr>
                <w:b/>
                <w:i/>
              </w:rPr>
              <w:t>60</w:t>
            </w:r>
            <w:r w:rsidRPr="00F046F3">
              <w:t> dagen na de datum van vaststelling van de in lid 2 bedoelde uitvoeringshandeling uit. De voorfinanciering wordt vereffend overeenkomstig artikel 11.</w:t>
            </w:r>
          </w:p>
        </w:tc>
        <w:tc>
          <w:tcPr>
            <w:tcW w:w="4876" w:type="dxa"/>
            <w:hideMark/>
          </w:tcPr>
          <w:p w:rsidR="00D15344" w:rsidRPr="00F046F3" w:rsidRDefault="00D15344" w:rsidP="004F1417">
            <w:pPr>
              <w:pStyle w:val="Normal6"/>
              <w:rPr>
                <w:szCs w:val="24"/>
              </w:rPr>
            </w:pPr>
            <w:r w:rsidRPr="00F046F3">
              <w:t>3.</w:t>
            </w:r>
            <w:r w:rsidRPr="00F046F3">
              <w:tab/>
              <w:t xml:space="preserve">De Commissie keert de voorfinanciering binnen </w:t>
            </w:r>
            <w:r w:rsidRPr="00F046F3">
              <w:rPr>
                <w:b/>
                <w:i/>
              </w:rPr>
              <w:t>30</w:t>
            </w:r>
            <w:r w:rsidRPr="00F046F3">
              <w:t> dagen na de datum van vaststelling van de in lid 2 bedoelde uitvoeringshandeling uit. De voorfinanciering wordt vereffend overeenkomstig artikel 11.</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9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 xml:space="preserve">De lidstaten dienen uiterlijk op </w:t>
            </w:r>
            <w:r w:rsidRPr="00F046F3">
              <w:rPr>
                <w:b/>
                <w:i/>
              </w:rPr>
              <w:t>30 september 2023</w:t>
            </w:r>
            <w:r w:rsidRPr="00F046F3">
              <w:t xml:space="preserve"> bij de Commissie een aanvraag in van een financiële bijdrage uit de reserve. De Commissie beoordeelt deze aanvraag en bepaalt of er aan de lidstaten aanvullende bedragen zijn verschuldigd dan wel of er van de lidstaten bedragen moeten worden teruggevorderd overeenkomstig artikel 11.</w:t>
            </w:r>
          </w:p>
        </w:tc>
        <w:tc>
          <w:tcPr>
            <w:tcW w:w="4876" w:type="dxa"/>
            <w:hideMark/>
          </w:tcPr>
          <w:p w:rsidR="00D15344" w:rsidRPr="00F046F3" w:rsidRDefault="00D15344" w:rsidP="004F1417">
            <w:pPr>
              <w:pStyle w:val="Normal6"/>
              <w:rPr>
                <w:szCs w:val="24"/>
              </w:rPr>
            </w:pPr>
            <w:r w:rsidRPr="00F046F3">
              <w:t>1.</w:t>
            </w:r>
            <w:r w:rsidRPr="00F046F3">
              <w:tab/>
              <w:t xml:space="preserve">De lidstaten dienen uiterlijk op </w:t>
            </w:r>
            <w:r w:rsidRPr="00F046F3">
              <w:rPr>
                <w:b/>
                <w:i/>
              </w:rPr>
              <w:t>30 juni 2024, na overleg met de belanghebbenden zoals bedoeld in artikel 5, lid 3 ter,</w:t>
            </w:r>
            <w:r w:rsidRPr="00F046F3">
              <w:t xml:space="preserve"> bij de Commissie een aanvraag in van een financiële bijdrage uit de reserve. De Commissie beoordeelt deze aanvraag en bepaalt of er aan de lidstaten aanvullende bedragen zijn verschuldigd dan wel of er van de lidstaten bedragen moeten worden teruggevorderd overeenkomstig artikel 11.</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9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 xml:space="preserve">Indien een lidstaat uiterlijk op </w:t>
            </w:r>
            <w:r w:rsidRPr="00F046F3">
              <w:rPr>
                <w:b/>
                <w:i/>
              </w:rPr>
              <w:t>30 september 2023</w:t>
            </w:r>
            <w:r w:rsidRPr="00F046F3">
              <w:t xml:space="preserve"> geen aanvraag van een financiële bijdrage uit de reserve indient, vordert de Commissie het totale bedrag terug dat als voorfinanciering aan die lidstaat is betaald.</w:t>
            </w:r>
          </w:p>
        </w:tc>
        <w:tc>
          <w:tcPr>
            <w:tcW w:w="4876" w:type="dxa"/>
            <w:hideMark/>
          </w:tcPr>
          <w:p w:rsidR="00D15344" w:rsidRPr="00F046F3" w:rsidRDefault="00D15344" w:rsidP="004F1417">
            <w:pPr>
              <w:pStyle w:val="Normal6"/>
              <w:rPr>
                <w:szCs w:val="24"/>
              </w:rPr>
            </w:pPr>
            <w:r w:rsidRPr="00F046F3">
              <w:t>2.</w:t>
            </w:r>
            <w:r w:rsidRPr="00F046F3">
              <w:tab/>
              <w:t xml:space="preserve">Indien een lidstaat uiterlijk op </w:t>
            </w:r>
            <w:r w:rsidRPr="00F046F3">
              <w:rPr>
                <w:b/>
                <w:i/>
              </w:rPr>
              <w:t>30 juni 2024</w:t>
            </w:r>
            <w:r w:rsidRPr="00F046F3">
              <w:t xml:space="preserve"> geen aanvraag van een financiële bijdrage uit de reserve indient, vordert de Commissie het totale bedrag terug dat als voorfinanciering aan die lidstaat is betaald.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10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 xml:space="preserve">De aanvraag is gebaseerd op het model in bijlage II. Zij bevat informatie over de totale </w:t>
            </w:r>
            <w:r w:rsidRPr="00F046F3">
              <w:rPr>
                <w:b/>
                <w:i/>
              </w:rPr>
              <w:t>overheidsuitgaven</w:t>
            </w:r>
            <w:r w:rsidRPr="00F046F3">
              <w:t xml:space="preserve"> die de lidstaten hebben gedaan en betaald en over de waarden van de outputindicatoren voor de ondersteunde maatregelen. Zij gaat vergezeld van de in artikel 63, leden 5, 6 en 7, van het Financieel Reglement bedoelde documenten en van een uitvoeringsverslag.</w:t>
            </w:r>
          </w:p>
        </w:tc>
        <w:tc>
          <w:tcPr>
            <w:tcW w:w="4876" w:type="dxa"/>
            <w:hideMark/>
          </w:tcPr>
          <w:p w:rsidR="00D15344" w:rsidRPr="00F046F3" w:rsidRDefault="00D15344" w:rsidP="004F1417">
            <w:pPr>
              <w:pStyle w:val="Normal6"/>
              <w:rPr>
                <w:szCs w:val="24"/>
              </w:rPr>
            </w:pPr>
            <w:r w:rsidRPr="00F046F3">
              <w:t>1.</w:t>
            </w:r>
            <w:r w:rsidRPr="00F046F3">
              <w:tab/>
              <w:t xml:space="preserve">De aanvraag is gebaseerd op het model in bijlage II. Zij bevat informatie over de totale </w:t>
            </w:r>
            <w:r w:rsidRPr="00F046F3">
              <w:rPr>
                <w:b/>
                <w:i/>
              </w:rPr>
              <w:t>uitgaven</w:t>
            </w:r>
            <w:r w:rsidRPr="00F046F3">
              <w:t xml:space="preserve"> die de </w:t>
            </w:r>
            <w:r w:rsidRPr="00F046F3">
              <w:rPr>
                <w:b/>
                <w:i/>
              </w:rPr>
              <w:t xml:space="preserve">nationale, regionale of lokale overheidsinstanties in de </w:t>
            </w:r>
            <w:r w:rsidRPr="00F046F3">
              <w:t>lidstaten hebben gedaan en betaald</w:t>
            </w:r>
            <w:r w:rsidRPr="00F046F3">
              <w:rPr>
                <w:b/>
                <w:i/>
              </w:rPr>
              <w:t>, met inbegrip van de territoriale verdeling van de uitgaven op NUTS-niveau 2,</w:t>
            </w:r>
            <w:r w:rsidRPr="00F046F3">
              <w:t xml:space="preserve"> en over de waarden van de outputindicatoren voor de ondersteunde maatregelen. Zij gaat vergezeld van de in artikel 63, leden 5, 6 en 7, van het Financieel Reglement bedoelde documenten en van een uitvoeringsverslag.</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10 – lid 2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a)</w:t>
            </w:r>
            <w:r w:rsidRPr="00F046F3">
              <w:tab/>
              <w:t xml:space="preserve">een beschrijving van de </w:t>
            </w:r>
            <w:r w:rsidRPr="00F046F3">
              <w:rPr>
                <w:b/>
                <w:i/>
              </w:rPr>
              <w:t>economische en</w:t>
            </w:r>
            <w:r w:rsidRPr="00F046F3">
              <w:t xml:space="preserve"> sociale</w:t>
            </w:r>
            <w:r w:rsidRPr="00F046F3">
              <w:rPr>
                <w:b/>
                <w:i/>
              </w:rPr>
              <w:t xml:space="preserve"> gevolgen</w:t>
            </w:r>
            <w:r w:rsidRPr="00F046F3">
              <w:t xml:space="preserve"> van de terugtrekking van het Verenigd Koninkrijk uit de Unie, met vermelding van de </w:t>
            </w:r>
            <w:r w:rsidRPr="00F046F3">
              <w:rPr>
                <w:b/>
                <w:i/>
              </w:rPr>
              <w:t>meest</w:t>
            </w:r>
            <w:r w:rsidRPr="00F046F3">
              <w:t xml:space="preserve"> getroffen regio’s, gebieden en </w:t>
            </w:r>
            <w:r w:rsidRPr="00F046F3">
              <w:rPr>
                <w:b/>
                <w:i/>
              </w:rPr>
              <w:t>sectoren</w:t>
            </w:r>
            <w:r w:rsidRPr="00F046F3">
              <w:t>;</w:t>
            </w:r>
          </w:p>
        </w:tc>
        <w:tc>
          <w:tcPr>
            <w:tcW w:w="4876" w:type="dxa"/>
            <w:hideMark/>
          </w:tcPr>
          <w:p w:rsidR="00D15344" w:rsidRPr="00F046F3" w:rsidRDefault="00D15344" w:rsidP="004F1417">
            <w:pPr>
              <w:pStyle w:val="Normal6"/>
              <w:rPr>
                <w:szCs w:val="24"/>
              </w:rPr>
            </w:pPr>
            <w:r w:rsidRPr="00F046F3">
              <w:t>a)</w:t>
            </w:r>
            <w:r w:rsidRPr="00F046F3">
              <w:tab/>
              <w:t xml:space="preserve">een beschrijving van de </w:t>
            </w:r>
            <w:r w:rsidRPr="00F046F3">
              <w:rPr>
                <w:b/>
                <w:i/>
              </w:rPr>
              <w:t>negatieve economische,</w:t>
            </w:r>
            <w:r w:rsidRPr="00F046F3">
              <w:t xml:space="preserve"> sociale</w:t>
            </w:r>
            <w:r w:rsidRPr="00F046F3">
              <w:rPr>
                <w:b/>
                <w:i/>
              </w:rPr>
              <w:t>, territoriale en milieugevolgen</w:t>
            </w:r>
            <w:r w:rsidRPr="00F046F3">
              <w:t xml:space="preserve"> van de terugtrekking van het Verenigd Koninkrijk uit de Unie, met vermelding van de </w:t>
            </w:r>
            <w:r w:rsidRPr="00F046F3">
              <w:rPr>
                <w:b/>
                <w:i/>
              </w:rPr>
              <w:t>zwaarst</w:t>
            </w:r>
            <w:r w:rsidRPr="00F046F3">
              <w:t xml:space="preserve"> getroffen</w:t>
            </w:r>
            <w:r w:rsidRPr="00F046F3">
              <w:rPr>
                <w:b/>
                <w:i/>
              </w:rPr>
              <w:t xml:space="preserve"> sectoren,</w:t>
            </w:r>
            <w:r w:rsidRPr="00F046F3">
              <w:t xml:space="preserve"> regio’s, gebieden en </w:t>
            </w:r>
            <w:r w:rsidRPr="00F046F3">
              <w:rPr>
                <w:b/>
                <w:i/>
              </w:rPr>
              <w:t>lokale gemeenschappen</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59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10 – lid 2 – letter c bis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c bis)</w:t>
            </w:r>
            <w:r w:rsidRPr="00F046F3">
              <w:rPr>
                <w:b/>
                <w:i/>
              </w:rPr>
              <w:tab/>
              <w:t xml:space="preserve">op verzoek van de Commissie, overlegging van bewijzen van de negatieve gevolgen van de terugtrekking voor de bedrijven en economische sectoren die steun uit de reserve hebben ontvangen, met inachtneming van de verplaatsing van economische sectoren van het Verenigd Koninkrijk naar de Unie; </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10 – lid 2 – letter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e)</w:t>
            </w:r>
            <w:r w:rsidRPr="00F046F3">
              <w:tab/>
              <w:t xml:space="preserve">een beschrijving van de bijdrage van de maatregelen aan de </w:t>
            </w:r>
            <w:r w:rsidRPr="00F046F3">
              <w:rPr>
                <w:b/>
                <w:i/>
              </w:rPr>
              <w:t>matiging</w:t>
            </w:r>
            <w:r w:rsidRPr="00F046F3">
              <w:t xml:space="preserve"> van en de </w:t>
            </w:r>
            <w:r w:rsidRPr="00F046F3">
              <w:rPr>
                <w:b/>
                <w:i/>
              </w:rPr>
              <w:t>aanpassing</w:t>
            </w:r>
            <w:r w:rsidRPr="00F046F3">
              <w:t xml:space="preserve"> aan de </w:t>
            </w:r>
            <w:r w:rsidRPr="00F046F3">
              <w:rPr>
                <w:b/>
                <w:i/>
              </w:rPr>
              <w:t>klimaatverandering.</w:t>
            </w:r>
          </w:p>
        </w:tc>
        <w:tc>
          <w:tcPr>
            <w:tcW w:w="4876" w:type="dxa"/>
            <w:hideMark/>
          </w:tcPr>
          <w:p w:rsidR="00D15344" w:rsidRPr="00F046F3" w:rsidRDefault="00D15344" w:rsidP="004F1417">
            <w:pPr>
              <w:pStyle w:val="Normal6"/>
              <w:rPr>
                <w:szCs w:val="24"/>
              </w:rPr>
            </w:pPr>
            <w:r w:rsidRPr="00F046F3">
              <w:t>e)</w:t>
            </w:r>
            <w:r w:rsidRPr="00F046F3">
              <w:tab/>
              <w:t xml:space="preserve">een beschrijving van de bijdrage van de maatregelen aan de </w:t>
            </w:r>
            <w:r w:rsidRPr="00F046F3">
              <w:rPr>
                <w:b/>
                <w:i/>
              </w:rPr>
              <w:t>beginselen die zijn uiteengezet in de Europese pijler van sociale rechten, waaronder die inzake de bevordering</w:t>
            </w:r>
            <w:r w:rsidRPr="00F046F3">
              <w:t xml:space="preserve"> van </w:t>
            </w:r>
            <w:r w:rsidRPr="00F046F3">
              <w:rPr>
                <w:b/>
                <w:i/>
              </w:rPr>
              <w:t xml:space="preserve">gendergelijkheid </w:t>
            </w:r>
            <w:r w:rsidRPr="00F046F3">
              <w:t xml:space="preserve">en </w:t>
            </w:r>
            <w:r w:rsidRPr="00F046F3">
              <w:rPr>
                <w:b/>
                <w:i/>
              </w:rPr>
              <w:t xml:space="preserve">gendermainstreaming, evenals aan </w:t>
            </w:r>
            <w:r w:rsidRPr="00F046F3">
              <w:t xml:space="preserve">de </w:t>
            </w:r>
            <w:r w:rsidRPr="00F046F3">
              <w:rPr>
                <w:b/>
                <w:i/>
              </w:rPr>
              <w:t>digitale agenda, de milieudoelstellingen van de Unie in overeenstemming met de doelstellingen van de Green Deal en de Overeenkomst van Parijs, en</w:t>
            </w:r>
            <w:r w:rsidRPr="00F046F3">
              <w:t xml:space="preserve"> aan de </w:t>
            </w:r>
            <w:r w:rsidRPr="00F046F3">
              <w:rPr>
                <w:b/>
                <w:i/>
              </w:rPr>
              <w:t>VN-doelstellingen voor duurzame ontwikkeling.</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2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a)</w:t>
            </w:r>
            <w:r w:rsidRPr="00F046F3">
              <w:tab/>
              <w:t xml:space="preserve">het totale bedrag van de </w:t>
            </w:r>
            <w:r w:rsidRPr="00F046F3">
              <w:rPr>
                <w:b/>
                <w:i/>
              </w:rPr>
              <w:t>subsidiabele overheidsuitgaven (het “aanvaarde bedrag”)</w:t>
            </w:r>
            <w:r w:rsidRPr="00F046F3">
              <w:t>;</w:t>
            </w:r>
          </w:p>
        </w:tc>
        <w:tc>
          <w:tcPr>
            <w:tcW w:w="4876" w:type="dxa"/>
            <w:hideMark/>
          </w:tcPr>
          <w:p w:rsidR="00D15344" w:rsidRPr="00F046F3" w:rsidRDefault="00D15344" w:rsidP="004F1417">
            <w:pPr>
              <w:pStyle w:val="Normal6"/>
              <w:rPr>
                <w:szCs w:val="24"/>
              </w:rPr>
            </w:pPr>
            <w:r w:rsidRPr="00F046F3">
              <w:t>a)</w:t>
            </w:r>
            <w:r w:rsidRPr="00F046F3">
              <w:tab/>
              <w:t xml:space="preserve">het totale bedrag van de </w:t>
            </w:r>
            <w:r w:rsidRPr="00F046F3">
              <w:rPr>
                <w:b/>
                <w:i/>
              </w:rPr>
              <w:t>aanvaarde subsidiabele uitgaven</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2 – letter a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a bis)</w:t>
            </w:r>
            <w:r w:rsidRPr="00F046F3">
              <w:rPr>
                <w:b/>
                <w:i/>
              </w:rPr>
              <w:tab/>
              <w:t>het bedrag voor technische bijstand zoals bedoeld in artikel 5 bis;</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63</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2 – letter a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a ter)</w:t>
            </w:r>
            <w:r w:rsidRPr="00F046F3">
              <w:rPr>
                <w:b/>
                <w:i/>
              </w:rPr>
              <w:tab/>
              <w:t>de som van de bedragen in punt a) en punt a bis) (het “totale aanvaarde bedrag”);</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64</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2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b)</w:t>
            </w:r>
            <w:r w:rsidRPr="00F046F3">
              <w:tab/>
              <w:t>of er aan de lidstaat aanvullende bedragen zijn verschuldigd overeenkomstig lid 3, dan wel of er bedragen moeten worden teruggevorderd uit hoofde van lid </w:t>
            </w:r>
            <w:r w:rsidRPr="00F046F3">
              <w:rPr>
                <w:b/>
                <w:i/>
              </w:rPr>
              <w:t>5</w:t>
            </w:r>
            <w:r w:rsidRPr="00F046F3">
              <w:t>.</w:t>
            </w:r>
          </w:p>
        </w:tc>
        <w:tc>
          <w:tcPr>
            <w:tcW w:w="4876" w:type="dxa"/>
            <w:hideMark/>
          </w:tcPr>
          <w:p w:rsidR="00D15344" w:rsidRPr="00F046F3" w:rsidRDefault="00D15344" w:rsidP="004F1417">
            <w:pPr>
              <w:pStyle w:val="Normal6"/>
              <w:rPr>
                <w:szCs w:val="24"/>
              </w:rPr>
            </w:pPr>
            <w:r w:rsidRPr="00F046F3">
              <w:t>b)</w:t>
            </w:r>
            <w:r w:rsidRPr="00F046F3">
              <w:tab/>
              <w:t>of er aan de lidstaat aanvullende bedragen zijn verschuldigd overeenkomstig lid 3, dan wel of er bedragen moeten worden teruggevorderd uit hoofde van lid </w:t>
            </w:r>
            <w:r w:rsidRPr="00F046F3">
              <w:rPr>
                <w:b/>
                <w:i/>
              </w:rPr>
              <w:t>6</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3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Indien het aanvaarde bedrag</w:t>
            </w:r>
            <w:r w:rsidRPr="00F046F3">
              <w:rPr>
                <w:b/>
                <w:i/>
              </w:rPr>
              <w:t xml:space="preserve"> zowel</w:t>
            </w:r>
            <w:r w:rsidRPr="00F046F3">
              <w:t xml:space="preserve"> het bedrag van de voorfinanciering </w:t>
            </w:r>
            <w:r w:rsidRPr="00F046F3">
              <w:rPr>
                <w:b/>
                <w:i/>
              </w:rPr>
              <w:t>als 0,06 % van het nominale bni van 2021 van de betrokken lidstaat</w:t>
            </w:r>
            <w:r w:rsidRPr="00F046F3">
              <w:t xml:space="preserve"> overschrijdt, is aan die lidstaat een aanvullend bedrag verschuldigd uit de in artikel 4, lid 3, punt b), bedoelde toewijzing</w:t>
            </w:r>
            <w:r w:rsidRPr="00F046F3">
              <w:rPr>
                <w:b/>
                <w:i/>
              </w:rPr>
              <w:t xml:space="preserve"> en eventueel uit hoofde van artikel 8, lid 4, overgedragen bedragen</w:t>
            </w:r>
            <w:r w:rsidRPr="00F046F3">
              <w:t>.</w:t>
            </w:r>
          </w:p>
        </w:tc>
        <w:tc>
          <w:tcPr>
            <w:tcW w:w="4876" w:type="dxa"/>
            <w:hideMark/>
          </w:tcPr>
          <w:p w:rsidR="00D15344" w:rsidRPr="00F046F3" w:rsidRDefault="00D15344" w:rsidP="004F1417">
            <w:pPr>
              <w:pStyle w:val="Normal6"/>
              <w:rPr>
                <w:szCs w:val="24"/>
              </w:rPr>
            </w:pPr>
            <w:r w:rsidRPr="00F046F3">
              <w:t xml:space="preserve">Indien het </w:t>
            </w:r>
            <w:r w:rsidRPr="00F046F3">
              <w:rPr>
                <w:b/>
                <w:i/>
              </w:rPr>
              <w:t xml:space="preserve">totale </w:t>
            </w:r>
            <w:r w:rsidRPr="00F046F3">
              <w:t xml:space="preserve">aanvaarde bedrag het bedrag van de </w:t>
            </w:r>
            <w:r w:rsidRPr="00F046F3">
              <w:rPr>
                <w:b/>
                <w:i/>
              </w:rPr>
              <w:t>betaalde</w:t>
            </w:r>
            <w:r w:rsidRPr="00F046F3">
              <w:t xml:space="preserve"> voorfinanciering overschrijdt, is aan die lidstaat een aanvullend bedrag verschuldigd uit de in artikel 4, lid 3, punt b), bedoelde toewijzing</w:t>
            </w:r>
            <w:r w:rsidRPr="00F046F3">
              <w:rPr>
                <w:b/>
                <w:i/>
              </w:rPr>
              <w:t>, tot het overeenkomstig bijlage I aan die lidstaat toegewezen voorlopige bedrag is bereikt</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3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rPr>
                <w:b/>
                <w:i/>
              </w:rPr>
              <w:t>In dat geval betaalt</w:t>
            </w:r>
            <w:r w:rsidRPr="00F046F3">
              <w:t xml:space="preserve"> de </w:t>
            </w:r>
            <w:r w:rsidRPr="00F046F3">
              <w:rPr>
                <w:b/>
                <w:i/>
              </w:rPr>
              <w:t>Commissie het bedrag</w:t>
            </w:r>
            <w:r w:rsidRPr="00F046F3">
              <w:t xml:space="preserve"> dat </w:t>
            </w:r>
            <w:r w:rsidRPr="00F046F3">
              <w:rPr>
                <w:b/>
                <w:i/>
              </w:rPr>
              <w:t>de aan de betrokken lidstaat betaalde voorfinanciering, of 0</w:t>
            </w:r>
            <w:r w:rsidRPr="00F046F3">
              <w:t>,</w:t>
            </w:r>
            <w:r w:rsidRPr="00F046F3">
              <w:rPr>
                <w:b/>
                <w:i/>
              </w:rPr>
              <w:t>06</w:t>
            </w:r>
            <w:r w:rsidRPr="00F046F3">
              <w:t> </w:t>
            </w:r>
            <w:r w:rsidRPr="00F046F3">
              <w:rPr>
                <w:b/>
                <w:i/>
              </w:rPr>
              <w:t>% van het nominale bni van 2021 indien dit hoger is,</w:t>
            </w:r>
            <w:r w:rsidRPr="00F046F3">
              <w:t xml:space="preserve"> overschrijdt.</w:t>
            </w:r>
          </w:p>
        </w:tc>
        <w:tc>
          <w:tcPr>
            <w:tcW w:w="4876" w:type="dxa"/>
            <w:hideMark/>
          </w:tcPr>
          <w:p w:rsidR="00D15344" w:rsidRPr="00F046F3" w:rsidRDefault="00D15344" w:rsidP="004F1417">
            <w:pPr>
              <w:pStyle w:val="Normal6"/>
              <w:rPr>
                <w:szCs w:val="24"/>
              </w:rPr>
            </w:pPr>
            <w:r w:rsidRPr="00F046F3">
              <w:rPr>
                <w:b/>
                <w:i/>
              </w:rPr>
              <w:t>Het gedeelte van</w:t>
            </w:r>
            <w:r w:rsidRPr="00F046F3">
              <w:t xml:space="preserve"> de </w:t>
            </w:r>
            <w:r w:rsidRPr="00F046F3">
              <w:rPr>
                <w:b/>
                <w:i/>
              </w:rPr>
              <w:t>voorlopige toewijzing aan een lidstaat</w:t>
            </w:r>
            <w:r w:rsidRPr="00F046F3">
              <w:t xml:space="preserve"> dat </w:t>
            </w:r>
            <w:r w:rsidRPr="00F046F3">
              <w:rPr>
                <w:b/>
                <w:i/>
              </w:rPr>
              <w:t>niet door het totale aanvaarde bedrag wordt gedekt en eventueel uit hoofde van artikel 8</w:t>
            </w:r>
            <w:r w:rsidRPr="00F046F3">
              <w:t>,</w:t>
            </w:r>
            <w:r w:rsidRPr="00F046F3">
              <w:rPr>
                <w:b/>
                <w:i/>
              </w:rPr>
              <w:t xml:space="preserve"> lid</w:t>
            </w:r>
            <w:r w:rsidRPr="00F046F3">
              <w:t> </w:t>
            </w:r>
            <w:r w:rsidRPr="00F046F3">
              <w:rPr>
                <w:b/>
                <w:i/>
              </w:rPr>
              <w:t>3, overgedragen bedragen worden beschikbaar gesteld aan de lidstaten waarvan het totale aanvaarde bedrag de voorlopige toewijzing</w:t>
            </w:r>
            <w:r w:rsidRPr="00F046F3">
              <w:t xml:space="preserve"> overschrijdt.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3 – alinea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 xml:space="preserve">Indien de som van de overeenkomstig de eerste alinea van dit lid </w:t>
            </w:r>
            <w:r w:rsidRPr="00F046F3">
              <w:rPr>
                <w:b/>
                <w:i/>
              </w:rPr>
              <w:t xml:space="preserve">berekende aanvullende bedragen </w:t>
            </w:r>
            <w:r w:rsidRPr="00F046F3">
              <w:t>voor alle lidstaten de beschikbare middelen overeenkomstig artikel 4, lid 3, punt b), overschrijdt, worden de bijdragen uit de reserve evenredig verlaagd.</w:t>
            </w:r>
          </w:p>
        </w:tc>
        <w:tc>
          <w:tcPr>
            <w:tcW w:w="4876" w:type="dxa"/>
            <w:hideMark/>
          </w:tcPr>
          <w:p w:rsidR="00D15344" w:rsidRPr="00F046F3" w:rsidRDefault="00D15344" w:rsidP="004F1417">
            <w:pPr>
              <w:pStyle w:val="Normal6"/>
              <w:rPr>
                <w:szCs w:val="24"/>
              </w:rPr>
            </w:pPr>
            <w:r w:rsidRPr="00F046F3">
              <w:t>Indien de som van de overeenkomstig de eerste alinea van dit lid voor alle lidstaten</w:t>
            </w:r>
            <w:r w:rsidRPr="00F046F3">
              <w:rPr>
                <w:b/>
                <w:i/>
              </w:rPr>
              <w:t xml:space="preserve"> berekende aanvullende bedragen</w:t>
            </w:r>
            <w:r w:rsidRPr="00F046F3">
              <w:t xml:space="preserve"> de beschikbare middelen overeenkomstig artikel 4, lid 3, punt b), </w:t>
            </w:r>
            <w:r w:rsidRPr="00F046F3">
              <w:rPr>
                <w:b/>
                <w:i/>
              </w:rPr>
              <w:t xml:space="preserve">en de tweede alinea van dit lid </w:t>
            </w:r>
            <w:r w:rsidRPr="00F046F3">
              <w:t>overschrijdt, worden de bijdragen uit de reserve</w:t>
            </w:r>
            <w:r w:rsidRPr="00F046F3">
              <w:rPr>
                <w:b/>
                <w:i/>
              </w:rPr>
              <w:t xml:space="preserve"> voor de bedragen die de voorlopige toewijzingen overschrijden,</w:t>
            </w:r>
            <w:r w:rsidRPr="00F046F3">
              <w:t xml:space="preserve"> evenredig verlaagd.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5.</w:t>
            </w:r>
            <w:r w:rsidRPr="00F046F3">
              <w:tab/>
              <w:t xml:space="preserve">De Commissie vereffent de desbetreffende voorfinanciering en betaalt de eventueel verschuldigde aanvullende bedragen binnen </w:t>
            </w:r>
            <w:r w:rsidRPr="00F046F3">
              <w:rPr>
                <w:b/>
                <w:i/>
              </w:rPr>
              <w:t>60</w:t>
            </w:r>
            <w:r w:rsidRPr="00F046F3">
              <w:t> dagen na de vaststelling van de in lid 2 bedoelde uitvoeringshandeling.</w:t>
            </w:r>
          </w:p>
        </w:tc>
        <w:tc>
          <w:tcPr>
            <w:tcW w:w="4876" w:type="dxa"/>
            <w:hideMark/>
          </w:tcPr>
          <w:p w:rsidR="00D15344" w:rsidRPr="00F046F3" w:rsidRDefault="00D15344" w:rsidP="004F1417">
            <w:pPr>
              <w:pStyle w:val="Normal6"/>
              <w:rPr>
                <w:szCs w:val="24"/>
              </w:rPr>
            </w:pPr>
            <w:r w:rsidRPr="00F046F3">
              <w:t>5.</w:t>
            </w:r>
            <w:r w:rsidRPr="00F046F3">
              <w:tab/>
              <w:t xml:space="preserve">De Commissie vereffent de desbetreffende voorfinanciering en betaalt de eventueel verschuldigde aanvullende bedragen binnen </w:t>
            </w:r>
            <w:r w:rsidRPr="00F046F3">
              <w:rPr>
                <w:b/>
                <w:i/>
              </w:rPr>
              <w:t>30</w:t>
            </w:r>
            <w:r w:rsidRPr="00F046F3">
              <w:t> dagen na de vaststelling van de in lid 2 bedoelde uitvoeringshandeling.</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69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6.</w:t>
            </w:r>
            <w:r w:rsidRPr="00F046F3">
              <w:tab/>
              <w:t xml:space="preserve">Indien het aanvaarde bedrag lager is dan de </w:t>
            </w:r>
            <w:r w:rsidRPr="00F046F3">
              <w:rPr>
                <w:b/>
                <w:i/>
              </w:rPr>
              <w:t>voorfinanciering voor</w:t>
            </w:r>
            <w:r w:rsidRPr="00F046F3">
              <w:t xml:space="preserve"> de betrokken lidstaat, wordt het verschil teruggevorderd overeenkomstig het Financieel Reglement, en met name deel I, hoofdstuk 6, afdelingen</w:t>
            </w:r>
            <w:r w:rsidRPr="00F046F3">
              <w:rPr>
                <w:b/>
                <w:i/>
              </w:rPr>
              <w:t xml:space="preserve"> </w:t>
            </w:r>
            <w:r w:rsidRPr="00F046F3">
              <w:t>3, 4 en 5. De teruggevorderde bedragen worden behandeld als interne bestemmingsontvangsten overeenkomstig artikel 21, lid 3, punt b), van het Financieel Reglement en worden, wanneer lid 3, derde alinea, van dit artikel is toegepast, gebruikt om de bijdragen die zijn betaald aan lidstaten die in aanmerking komen voor aanvullende bedragen op grond van lid 3 van dit artikel, evenredig te verhogen tot maximaal 100 %. Indien de betalingen aan de lidstaten uit hoofde van lid 3 van dit artikel tegen een percentage van 100 % zijn verricht, worden de teruggevorderde bedragen teruggestort in de algemene begroting van de Unie.</w:t>
            </w:r>
          </w:p>
        </w:tc>
        <w:tc>
          <w:tcPr>
            <w:tcW w:w="4876" w:type="dxa"/>
            <w:hideMark/>
          </w:tcPr>
          <w:p w:rsidR="00D15344" w:rsidRPr="00F046F3" w:rsidRDefault="00D15344" w:rsidP="004F1417">
            <w:pPr>
              <w:pStyle w:val="Normal6"/>
              <w:rPr>
                <w:szCs w:val="24"/>
              </w:rPr>
            </w:pPr>
            <w:r w:rsidRPr="00F046F3">
              <w:t>6.</w:t>
            </w:r>
            <w:r w:rsidRPr="00F046F3">
              <w:tab/>
              <w:t xml:space="preserve">Indien het </w:t>
            </w:r>
            <w:r w:rsidRPr="00F046F3">
              <w:rPr>
                <w:b/>
                <w:i/>
              </w:rPr>
              <w:t xml:space="preserve">totale </w:t>
            </w:r>
            <w:r w:rsidRPr="00F046F3">
              <w:t xml:space="preserve">aanvaarde bedrag lager is dan de </w:t>
            </w:r>
            <w:r w:rsidRPr="00F046F3">
              <w:rPr>
                <w:b/>
                <w:i/>
              </w:rPr>
              <w:t>aan</w:t>
            </w:r>
            <w:r w:rsidRPr="00F046F3">
              <w:t xml:space="preserve"> de betrokken lidstaat</w:t>
            </w:r>
            <w:r w:rsidRPr="00F046F3">
              <w:rPr>
                <w:b/>
                <w:i/>
              </w:rPr>
              <w:t xml:space="preserve"> betaalde voorfinanciering</w:t>
            </w:r>
            <w:r w:rsidRPr="00F046F3">
              <w:t xml:space="preserve">, wordt het verschil teruggevorderd overeenkomstig het Financieel Reglement, en met name deel I, </w:t>
            </w:r>
            <w:r w:rsidRPr="00F046F3">
              <w:rPr>
                <w:b/>
                <w:i/>
              </w:rPr>
              <w:t xml:space="preserve">titel IV, </w:t>
            </w:r>
            <w:r w:rsidRPr="00F046F3">
              <w:t>hoofdstuk 6, afdelingen</w:t>
            </w:r>
            <w:r w:rsidRPr="00F046F3">
              <w:rPr>
                <w:b/>
                <w:i/>
              </w:rPr>
              <w:t> </w:t>
            </w:r>
            <w:r w:rsidRPr="00F046F3">
              <w:t>3, 4 en 5. De teruggevorderde bedragen worden behandeld als interne bestemmingsontvangsten overeenkomstig artikel 21, lid 3, punt b), van het Financieel Reglement en worden, wanneer lid 3, derde alinea, van dit artikel is toegepast, gebruikt om de bijdragen die zijn betaald aan lidstaten die in aanmerking komen voor aanvullende bedragen op grond van lid 3 van dit artikel, evenredig te verhogen tot maximaal 100 %. Indien de betalingen aan de lidstaten uit hoofde van lid 3 van dit artikel tegen een percentage van 100 % zijn verricht, worden de teruggevorderde bedragen teruggestort in de algemene begroting van de Unie.</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11 – lid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7.</w:t>
            </w:r>
            <w:r w:rsidRPr="00F046F3">
              <w:tab/>
              <w:t xml:space="preserve">De Commissie stelt door middel van een uitvoeringshandeling de aanvullende bedragen vast die uit hoofde van lid 6, tweede zin, van dit artikel zijn verschuldigd. Die uitvoeringshandeling vormt een financieringsbesluit in de zin van artikel 110, lid 1, van het Financieel Reglement en de juridische verbintenis in de zin van dat reglement. De Commissie betaalt de eventueel verschuldigde aanvullende bedragen binnen </w:t>
            </w:r>
            <w:r w:rsidRPr="00F046F3">
              <w:rPr>
                <w:b/>
                <w:i/>
              </w:rPr>
              <w:t>60</w:t>
            </w:r>
            <w:r w:rsidRPr="00F046F3">
              <w:t> dagen na de vaststelling van die handeling.</w:t>
            </w:r>
          </w:p>
        </w:tc>
        <w:tc>
          <w:tcPr>
            <w:tcW w:w="4876" w:type="dxa"/>
            <w:hideMark/>
          </w:tcPr>
          <w:p w:rsidR="00D15344" w:rsidRPr="00F046F3" w:rsidRDefault="00D15344" w:rsidP="004F1417">
            <w:pPr>
              <w:pStyle w:val="Normal6"/>
              <w:rPr>
                <w:szCs w:val="24"/>
              </w:rPr>
            </w:pPr>
            <w:r w:rsidRPr="00F046F3">
              <w:t>7.</w:t>
            </w:r>
            <w:r w:rsidRPr="00F046F3">
              <w:tab/>
              <w:t xml:space="preserve">De Commissie stelt door middel van een uitvoeringshandeling de aanvullende bedragen vast die uit hoofde van lid 6, tweede zin, van dit artikel zijn verschuldigd. Die uitvoeringshandeling vormt een financieringsbesluit in de zin van artikel 110, lid 1, van het Financieel Reglement en de juridische verbintenis in de zin van dat reglement. De Commissie betaalt de eventueel verschuldigde aanvullende bedragen binnen </w:t>
            </w:r>
            <w:r w:rsidRPr="00F046F3">
              <w:rPr>
                <w:b/>
                <w:i/>
              </w:rPr>
              <w:t>30</w:t>
            </w:r>
            <w:r w:rsidRPr="00F046F3">
              <w:t> dagen na de vaststelling van die handeling.</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13 – lid 1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De lidstaten nemen, wanneer zij taken met betrekking tot de uitvoering van de reserve uitoefenen, alle nodige maatregelen, met inbegrip van wetgevende, regelgevende, en administratieve maatregelen, ter bescherming van de financiële belangen van de Unie, met name door:</w:t>
            </w:r>
          </w:p>
        </w:tc>
        <w:tc>
          <w:tcPr>
            <w:tcW w:w="4876" w:type="dxa"/>
            <w:hideMark/>
          </w:tcPr>
          <w:p w:rsidR="00D15344" w:rsidRPr="00F046F3" w:rsidRDefault="00D15344" w:rsidP="004F1417">
            <w:pPr>
              <w:pStyle w:val="Normal6"/>
              <w:rPr>
                <w:szCs w:val="24"/>
              </w:rPr>
            </w:pPr>
            <w:r w:rsidRPr="00F046F3">
              <w:t>1.</w:t>
            </w:r>
            <w:r w:rsidRPr="00F046F3">
              <w:tab/>
              <w:t>De lidstaten</w:t>
            </w:r>
            <w:r w:rsidRPr="00F046F3">
              <w:rPr>
                <w:b/>
                <w:i/>
              </w:rPr>
              <w:t>, indien van toepassing met inbegrip van hun regionale en lokale autoriteiten,</w:t>
            </w:r>
            <w:r w:rsidRPr="00F046F3">
              <w:t xml:space="preserve"> nemen, wanneer zij taken met betrekking tot de uitvoering van de reserve uitoefenen, alle nodige maatregelen, met inbegrip van wetgevende, regelgevende, en administratieve maatregelen, ter bescherming van de financiële belangen van de Unie, met name door:</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13 – lid 1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a)</w:t>
            </w:r>
            <w:r w:rsidRPr="00F046F3">
              <w:tab/>
            </w:r>
            <w:r w:rsidRPr="00F046F3">
              <w:rPr>
                <w:b/>
                <w:i/>
              </w:rPr>
              <w:t>een</w:t>
            </w:r>
            <w:r w:rsidRPr="00F046F3">
              <w:t xml:space="preserve"> orgaan aan te wijzen </w:t>
            </w:r>
            <w:r w:rsidRPr="00F046F3">
              <w:rPr>
                <w:b/>
                <w:i/>
              </w:rPr>
              <w:t>dat</w:t>
            </w:r>
            <w:r w:rsidRPr="00F046F3">
              <w:t xml:space="preserve"> verantwoordelijk </w:t>
            </w:r>
            <w:r w:rsidRPr="00F046F3">
              <w:rPr>
                <w:b/>
                <w:i/>
              </w:rPr>
              <w:t>is</w:t>
            </w:r>
            <w:r w:rsidRPr="00F046F3">
              <w:t xml:space="preserve"> voor het beheer van de financiële bijdrage uit de reserve, alsmede een onafhankelijk auditorgaan overeenkomstig artikel 63, lid 3, van het Financieel Reglement, en toezicht te houden op deze organen;</w:t>
            </w:r>
          </w:p>
        </w:tc>
        <w:tc>
          <w:tcPr>
            <w:tcW w:w="4876" w:type="dxa"/>
            <w:hideMark/>
          </w:tcPr>
          <w:p w:rsidR="00D15344" w:rsidRPr="00F046F3" w:rsidRDefault="00D15344" w:rsidP="004F1417">
            <w:pPr>
              <w:pStyle w:val="Normal6"/>
              <w:rPr>
                <w:szCs w:val="24"/>
              </w:rPr>
            </w:pPr>
            <w:r w:rsidRPr="00F046F3">
              <w:t>a)</w:t>
            </w:r>
            <w:r w:rsidRPr="00F046F3">
              <w:tab/>
            </w:r>
            <w:r w:rsidRPr="00F046F3">
              <w:rPr>
                <w:b/>
                <w:i/>
              </w:rPr>
              <w:t>op het passende territoriale niveau een</w:t>
            </w:r>
            <w:r w:rsidRPr="00F046F3">
              <w:t xml:space="preserve"> orgaan </w:t>
            </w:r>
            <w:r w:rsidRPr="00F046F3">
              <w:rPr>
                <w:b/>
                <w:i/>
              </w:rPr>
              <w:t xml:space="preserve">of, wanneer dat volgens het grondwettelijke kader van de lidstaat vereist is, organen </w:t>
            </w:r>
            <w:r w:rsidRPr="00F046F3">
              <w:t xml:space="preserve">aan te wijzen </w:t>
            </w:r>
            <w:r w:rsidRPr="00F046F3">
              <w:rPr>
                <w:b/>
                <w:i/>
              </w:rPr>
              <w:t>die</w:t>
            </w:r>
            <w:r w:rsidRPr="00F046F3">
              <w:t xml:space="preserve"> verantwoordelijk </w:t>
            </w:r>
            <w:r w:rsidRPr="00F046F3">
              <w:rPr>
                <w:b/>
                <w:i/>
              </w:rPr>
              <w:t>zijn</w:t>
            </w:r>
            <w:r w:rsidRPr="00F046F3">
              <w:t xml:space="preserve"> voor het beheer van de financiële bijdrage uit de reserve, alsmede een onafhankelijk auditorgaan overeenkomstig artikel 63, lid 3, van het Financieel Reglement, en toezicht te houden op deze organen;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73</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13 – lid 1 – letter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d)</w:t>
            </w:r>
            <w:r w:rsidRPr="00F046F3">
              <w:tab/>
              <w:t xml:space="preserve">de Commissie binnen </w:t>
            </w:r>
            <w:r w:rsidRPr="00F046F3">
              <w:rPr>
                <w:b/>
                <w:i/>
              </w:rPr>
              <w:t>drie</w:t>
            </w:r>
            <w:r w:rsidRPr="00F046F3">
              <w:t xml:space="preserve"> maanden na de inwerkingtreding van deze verordening in kennis te stellen van de identiteit van </w:t>
            </w:r>
            <w:r w:rsidRPr="00F046F3">
              <w:rPr>
                <w:b/>
                <w:i/>
              </w:rPr>
              <w:t>de</w:t>
            </w:r>
            <w:r w:rsidRPr="00F046F3">
              <w:t xml:space="preserve"> aangewezen </w:t>
            </w:r>
            <w:r w:rsidRPr="00F046F3">
              <w:rPr>
                <w:b/>
                <w:i/>
              </w:rPr>
              <w:t>organen en van het orgaan</w:t>
            </w:r>
            <w:r w:rsidRPr="00F046F3">
              <w:t xml:space="preserve"> waaraan de voorfinanciering zal worden betaald, en te bevestigen dat de systeembeschrijvingen zijn opgesteld;</w:t>
            </w:r>
          </w:p>
        </w:tc>
        <w:tc>
          <w:tcPr>
            <w:tcW w:w="4876" w:type="dxa"/>
            <w:hideMark/>
          </w:tcPr>
          <w:p w:rsidR="00D15344" w:rsidRPr="00F046F3" w:rsidRDefault="00D15344" w:rsidP="004F1417">
            <w:pPr>
              <w:pStyle w:val="Normal6"/>
              <w:rPr>
                <w:szCs w:val="24"/>
              </w:rPr>
            </w:pPr>
            <w:r w:rsidRPr="00F046F3">
              <w:t>d)</w:t>
            </w:r>
            <w:r w:rsidRPr="00F046F3">
              <w:tab/>
              <w:t xml:space="preserve">de Commissie binnen </w:t>
            </w:r>
            <w:r w:rsidRPr="00F046F3">
              <w:rPr>
                <w:b/>
                <w:i/>
              </w:rPr>
              <w:t>twee</w:t>
            </w:r>
            <w:r w:rsidRPr="00F046F3">
              <w:t xml:space="preserve"> maanden na de inwerkingtreding van deze verordening in kennis te stellen van de identiteit van </w:t>
            </w:r>
            <w:r w:rsidRPr="00F046F3">
              <w:rPr>
                <w:b/>
                <w:i/>
              </w:rPr>
              <w:t>het</w:t>
            </w:r>
            <w:r w:rsidRPr="00F046F3">
              <w:t xml:space="preserve"> aangewezen </w:t>
            </w:r>
            <w:r w:rsidRPr="00F046F3">
              <w:rPr>
                <w:b/>
                <w:i/>
              </w:rPr>
              <w:t>orgaan of de aangewezen organen</w:t>
            </w:r>
            <w:r w:rsidRPr="00F046F3">
              <w:t xml:space="preserve"> waaraan de voorfinanciering zal worden betaald</w:t>
            </w:r>
            <w:r w:rsidRPr="00F046F3">
              <w:rPr>
                <w:b/>
                <w:i/>
              </w:rPr>
              <w:t>, met inbegrip van, in voorkomend geval, de organen waaraan taken en financiële middelen uit de reserve werden gedelegeerd</w:t>
            </w:r>
            <w:r w:rsidRPr="00F046F3">
              <w:t>, en te bevestigen dat de systeembeschrijvingen zijn opgesteld;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74</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13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 xml:space="preserve">Voor de toepassing van lid 1, punten a) en b), </w:t>
            </w:r>
            <w:r w:rsidRPr="00F046F3">
              <w:rPr>
                <w:b/>
                <w:i/>
              </w:rPr>
              <w:t>kunnen</w:t>
            </w:r>
            <w:r w:rsidRPr="00F046F3">
              <w:t xml:space="preserve"> de lidstaten gebruikmaken van </w:t>
            </w:r>
            <w:r w:rsidRPr="00F046F3">
              <w:rPr>
                <w:b/>
                <w:i/>
              </w:rPr>
              <w:t>reeds bestaande organen en</w:t>
            </w:r>
            <w:r w:rsidRPr="00F046F3">
              <w:t xml:space="preserve"> beheers- en controlesystemen voor de uitvoering van de financiering van het cohesiebeleid of het Solidariteitsfonds van de Europese Unie.</w:t>
            </w:r>
          </w:p>
        </w:tc>
        <w:tc>
          <w:tcPr>
            <w:tcW w:w="4876" w:type="dxa"/>
            <w:hideMark/>
          </w:tcPr>
          <w:p w:rsidR="00D15344" w:rsidRPr="00F046F3" w:rsidRDefault="00D15344" w:rsidP="004F1417">
            <w:pPr>
              <w:pStyle w:val="Normal6"/>
              <w:rPr>
                <w:szCs w:val="24"/>
              </w:rPr>
            </w:pPr>
            <w:r w:rsidRPr="00F046F3">
              <w:t>2.</w:t>
            </w:r>
            <w:r w:rsidRPr="00F046F3">
              <w:tab/>
              <w:t xml:space="preserve">Voor de toepassing van lid 1, punten a) en b), </w:t>
            </w:r>
            <w:r w:rsidRPr="00F046F3">
              <w:rPr>
                <w:b/>
                <w:i/>
              </w:rPr>
              <w:t>maken</w:t>
            </w:r>
            <w:r w:rsidRPr="00F046F3">
              <w:t xml:space="preserve"> de lidstaten </w:t>
            </w:r>
            <w:r w:rsidRPr="00F046F3">
              <w:rPr>
                <w:b/>
                <w:i/>
              </w:rPr>
              <w:t xml:space="preserve">gebruik van organen op het passende territoriale niveau, en kunnen zij </w:t>
            </w:r>
            <w:r w:rsidRPr="00F046F3">
              <w:t xml:space="preserve">gebruikmaken van </w:t>
            </w:r>
            <w:r w:rsidRPr="00F046F3">
              <w:rPr>
                <w:b/>
                <w:i/>
              </w:rPr>
              <w:t>nieuw opgerichte of reeds bestaande</w:t>
            </w:r>
            <w:r w:rsidRPr="00F046F3">
              <w:t xml:space="preserve"> beheers- en controlesystemen voor de uitvoering van de financiering van het cohesiebeleid of het Solidariteitsfonds van de Europese Unie.</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13 – lid 3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3.</w:t>
            </w:r>
            <w:r w:rsidRPr="00F046F3">
              <w:tab/>
              <w:t>Het orgaan dat verantwoordelijk is voor het beheer van de financiële bijdrage uit de reserve:</w:t>
            </w:r>
          </w:p>
        </w:tc>
        <w:tc>
          <w:tcPr>
            <w:tcW w:w="4876" w:type="dxa"/>
            <w:hideMark/>
          </w:tcPr>
          <w:p w:rsidR="00D15344" w:rsidRPr="00F046F3" w:rsidRDefault="00D15344" w:rsidP="004F1417">
            <w:pPr>
              <w:pStyle w:val="Normal6"/>
              <w:rPr>
                <w:szCs w:val="24"/>
              </w:rPr>
            </w:pPr>
            <w:r w:rsidRPr="00F046F3">
              <w:t>3.</w:t>
            </w:r>
            <w:r w:rsidRPr="00F046F3">
              <w:tab/>
              <w:t xml:space="preserve">Het orgaan dat verantwoordelijk is </w:t>
            </w:r>
            <w:r w:rsidRPr="00F046F3">
              <w:rPr>
                <w:b/>
                <w:i/>
              </w:rPr>
              <w:t xml:space="preserve">of de organen die verantwoordelijk zijn </w:t>
            </w:r>
            <w:r w:rsidRPr="00F046F3">
              <w:t>voor het beheer van de financiële bijdrage uit de reserve:</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13 – lid 4 – alinea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 xml:space="preserve">Indien de populatie uit minder dan 300 steekproefeenheden bestaat, kan het onafhankelijke auditorgaan op basis van zijn professionele oordeel een niet-statistische steekproefmethode toepassen. In dergelijke gevallen moet de steekproef omvangrijk genoeg zijn om het onafhankelijke auditorgaan in staat te stellen een geldig auditadvies uit te brengen. De niet-statistische steekproefmethode bestrijkt minimaal 10 % van de steekproefeenheden in de populatie van </w:t>
            </w:r>
            <w:r w:rsidRPr="00F046F3">
              <w:rPr>
                <w:b/>
                <w:i/>
              </w:rPr>
              <w:t>het boekjaar</w:t>
            </w:r>
            <w:r w:rsidRPr="00F046F3">
              <w:t>, op aselecte wijze gekozen.</w:t>
            </w:r>
          </w:p>
        </w:tc>
        <w:tc>
          <w:tcPr>
            <w:tcW w:w="4876" w:type="dxa"/>
            <w:hideMark/>
          </w:tcPr>
          <w:p w:rsidR="00D15344" w:rsidRPr="00F046F3" w:rsidRDefault="00D15344" w:rsidP="004F1417">
            <w:pPr>
              <w:pStyle w:val="Normal6"/>
              <w:rPr>
                <w:szCs w:val="24"/>
              </w:rPr>
            </w:pPr>
            <w:r w:rsidRPr="00F046F3">
              <w:t xml:space="preserve">Indien de populatie uit minder dan 300 steekproefeenheden bestaat, kan het onafhankelijke auditorgaan op basis van zijn professionele oordeel een niet-statistische steekproefmethode toepassen. In dergelijke gevallen moet de steekproef omvangrijk genoeg zijn om het onafhankelijke auditorgaan in staat te stellen een geldig auditadvies uit te brengen. De niet-statistische steekproefmethode bestrijkt minimaal 10 % van de steekproefeenheden in de populatie van </w:t>
            </w:r>
            <w:r w:rsidRPr="00F046F3">
              <w:rPr>
                <w:b/>
                <w:i/>
              </w:rPr>
              <w:t>de referentieperiode</w:t>
            </w:r>
            <w:r w:rsidRPr="00F046F3">
              <w:t>, op aselecte wijze gekozen.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13 – lid 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5 bis.</w:t>
            </w:r>
            <w:r w:rsidRPr="00F046F3">
              <w:rPr>
                <w:b/>
                <w:i/>
              </w:rPr>
              <w:tab/>
              <w:t>Indien een lidstaat besluit om voor de toepassing van de reserve geen gebruik te maken van zijn beheers- en controlesystemen die zijn opgezet voor de uitvoering van de financiering in het kader van het cohesiebeleid of het Solidariteitsfonds van de Europese Unie, maar om een nieuw systeem in te stellen, gaat de Commissie binnen zes maanden na de inwerkingtreding van deze verordening na of het systeem doeltreffend is en een toereikend niveau van bescherming van de financiële belangen van de Unie biedt. Indien de Commissie concludeert dat het systeem niet doeltreffend is en onvoldoende bescherming van de financiële belangen van de Unie biedt, beveelt zij de betrokken lidstaat corrigerende maatregelen aan. De lidstaat in kwestie voert die maatregelen binnen twee maanden na de aanbeveling van de Commissie uit.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14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De financiële correcties die de lidstaat overeenkomstig artikel 13, lid 1, punt f), aanbrengt, houden in dat de financiële bijdrage uit de reserve geheel of gedeeltelijk wordt ingetrokken. Bedragen die door een vastgestelde onregelmatigheid verloren zijn gegaan, worden door de lidstaat teruggevorderd.</w:t>
            </w:r>
          </w:p>
        </w:tc>
        <w:tc>
          <w:tcPr>
            <w:tcW w:w="4876" w:type="dxa"/>
            <w:hideMark/>
          </w:tcPr>
          <w:p w:rsidR="00D15344" w:rsidRPr="00F046F3" w:rsidRDefault="00D15344" w:rsidP="00155B88">
            <w:pPr>
              <w:pStyle w:val="Normal6"/>
              <w:rPr>
                <w:szCs w:val="24"/>
              </w:rPr>
            </w:pPr>
            <w:r w:rsidRPr="00F046F3">
              <w:rPr>
                <w:i/>
              </w:rPr>
              <w:t>(Niet van toepassing op de Nederlandse versie)</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79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15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De lidstaten zijn verantwoordelijk voor de voorlichting en publiciteit ten behoeve van de burgers van de Unie over de rol, de resultaten en de impact van de bijdrage van de Unie uit de reserve door middel van voorlichtings- en communicatieacties.</w:t>
            </w:r>
          </w:p>
        </w:tc>
        <w:tc>
          <w:tcPr>
            <w:tcW w:w="4876" w:type="dxa"/>
            <w:hideMark/>
          </w:tcPr>
          <w:p w:rsidR="00D15344" w:rsidRPr="00F046F3" w:rsidRDefault="00D15344" w:rsidP="004F1417">
            <w:pPr>
              <w:pStyle w:val="Normal6"/>
              <w:rPr>
                <w:szCs w:val="24"/>
              </w:rPr>
            </w:pPr>
            <w:r w:rsidRPr="00F046F3">
              <w:t xml:space="preserve">De lidstaten </w:t>
            </w:r>
            <w:r w:rsidRPr="00F046F3">
              <w:rPr>
                <w:b/>
                <w:i/>
              </w:rPr>
              <w:t xml:space="preserve">en regio’s </w:t>
            </w:r>
            <w:r w:rsidRPr="00F046F3">
              <w:t>zijn verantwoordelijk voor de voorlichting en publiciteit ten behoeve van de burgers van de Unie over de rol, de resultaten en de impact van de bijdrage van de Unie uit de reserve door middel van voorlichtings- en communicatieacties</w:t>
            </w:r>
            <w:r w:rsidRPr="00F046F3">
              <w:rPr>
                <w:b/>
                <w:i/>
              </w:rPr>
              <w:t>, teneinde de negatieve gevolgen voor bedrijven en economische sectoren te verlichten, administratieve knelpunten te vermijden en hun voorlichtingscampagnes te versterken om het bewustzijn over de nieuwe regels die gelden na de terugtrekking van het Verenigd Koninkrijk uit de Unie te vergroten, en zorgen er met name voor dat ontvangers van de in artikel 5 bedoelde maatregelen ervan op de hoogte worden gebracht dat de bijdrage uit de reserve een initiatief van de Europese Unie is</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16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Uiterlijk op 30</w:t>
            </w:r>
            <w:r w:rsidRPr="00F046F3">
              <w:rPr>
                <w:b/>
                <w:i/>
              </w:rPr>
              <w:t> </w:t>
            </w:r>
            <w:r w:rsidRPr="00F046F3">
              <w:t xml:space="preserve">juni 2026 </w:t>
            </w:r>
            <w:r w:rsidRPr="00F046F3">
              <w:rPr>
                <w:b/>
                <w:i/>
              </w:rPr>
              <w:t>verricht de Commissie</w:t>
            </w:r>
            <w:r w:rsidRPr="00F046F3">
              <w:t xml:space="preserve"> een evaluatie om de doeltreffendheid, efficiëntie, relevantie, samenhang en EU-meerwaarde van de reserve te onderzoeken. De Commissie </w:t>
            </w:r>
            <w:r w:rsidRPr="00F046F3">
              <w:rPr>
                <w:b/>
                <w:i/>
              </w:rPr>
              <w:t>kan gebruikmaken van</w:t>
            </w:r>
            <w:r w:rsidRPr="00F046F3">
              <w:t xml:space="preserve"> alle relevante informatie die al beschikbaar is overeenkomstig artikel 128 van het Financieel Reglement.</w:t>
            </w:r>
          </w:p>
        </w:tc>
        <w:tc>
          <w:tcPr>
            <w:tcW w:w="4876" w:type="dxa"/>
            <w:hideMark/>
          </w:tcPr>
          <w:p w:rsidR="00D15344" w:rsidRPr="00F046F3" w:rsidRDefault="00D15344" w:rsidP="004F1417">
            <w:pPr>
              <w:pStyle w:val="Normal6"/>
              <w:rPr>
                <w:szCs w:val="24"/>
              </w:rPr>
            </w:pPr>
            <w:r w:rsidRPr="00F046F3">
              <w:t>1.</w:t>
            </w:r>
            <w:r w:rsidRPr="00F046F3">
              <w:tab/>
              <w:t>Uiterlijk op 30</w:t>
            </w:r>
            <w:r w:rsidRPr="00F046F3">
              <w:rPr>
                <w:b/>
                <w:i/>
              </w:rPr>
              <w:t xml:space="preserve"> </w:t>
            </w:r>
            <w:r w:rsidRPr="00F046F3">
              <w:t xml:space="preserve">juni 2026 </w:t>
            </w:r>
            <w:r w:rsidRPr="00F046F3">
              <w:rPr>
                <w:b/>
                <w:i/>
              </w:rPr>
              <w:t>wordt er</w:t>
            </w:r>
            <w:r w:rsidRPr="00F046F3">
              <w:t xml:space="preserve"> een evaluatie</w:t>
            </w:r>
            <w:r w:rsidRPr="00F046F3">
              <w:rPr>
                <w:b/>
                <w:i/>
              </w:rPr>
              <w:t xml:space="preserve"> uitgevoerd</w:t>
            </w:r>
            <w:r w:rsidRPr="00F046F3">
              <w:t xml:space="preserve"> om de doeltreffendheid, efficiëntie, relevantie, samenhang en EU-meerwaarde van de reserve te onderzoeken. De Commissie </w:t>
            </w:r>
            <w:r w:rsidRPr="00F046F3">
              <w:rPr>
                <w:b/>
                <w:i/>
              </w:rPr>
              <w:t>verstrekt</w:t>
            </w:r>
            <w:r w:rsidRPr="00F046F3">
              <w:t xml:space="preserve"> alle relevante informatie die al beschikbaar is overeenkomstig artikel 128 van het Financieel Reglement.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Artikel 16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 xml:space="preserve">De Commissie dient uiterlijk op 30 juni </w:t>
            </w:r>
            <w:r w:rsidRPr="00F046F3">
              <w:rPr>
                <w:b/>
                <w:i/>
              </w:rPr>
              <w:t>2027</w:t>
            </w:r>
            <w:r w:rsidRPr="00F046F3">
              <w:t xml:space="preserve"> bij het Europees Parlement en de Raad een verslag in over de uitvoering van de reserve.</w:t>
            </w:r>
          </w:p>
        </w:tc>
        <w:tc>
          <w:tcPr>
            <w:tcW w:w="4876" w:type="dxa"/>
            <w:hideMark/>
          </w:tcPr>
          <w:p w:rsidR="00D15344" w:rsidRPr="00F046F3" w:rsidRDefault="00D15344" w:rsidP="004F1417">
            <w:pPr>
              <w:pStyle w:val="Normal6"/>
              <w:rPr>
                <w:szCs w:val="24"/>
              </w:rPr>
            </w:pPr>
            <w:r w:rsidRPr="00F046F3">
              <w:t>2.</w:t>
            </w:r>
            <w:r w:rsidRPr="00F046F3">
              <w:tab/>
              <w:t xml:space="preserve">De Commissie dient uiterlijk op 30 juni </w:t>
            </w:r>
            <w:r w:rsidRPr="00F046F3">
              <w:rPr>
                <w:b/>
                <w:i/>
              </w:rPr>
              <w:t>2024</w:t>
            </w:r>
            <w:r w:rsidRPr="00F046F3">
              <w:t xml:space="preserve"> bij het Europees Parlement en de Raad een </w:t>
            </w:r>
            <w:r w:rsidRPr="00F046F3">
              <w:rPr>
                <w:b/>
                <w:i/>
              </w:rPr>
              <w:t xml:space="preserve">gedetailleerd </w:t>
            </w:r>
            <w:r w:rsidRPr="00F046F3">
              <w:t xml:space="preserve">verslag in over </w:t>
            </w:r>
            <w:r w:rsidRPr="00F046F3">
              <w:rPr>
                <w:b/>
                <w:i/>
              </w:rPr>
              <w:t xml:space="preserve">het uitvoeringsproces van deze verordening, indien nodig samen met een wetgevingsvoorstel, en dient uiterlijk op 30 juni 2027 een definitief verlag over </w:t>
            </w:r>
            <w:r w:rsidRPr="00F046F3">
              <w:t>de uitvoering van de reserve</w:t>
            </w:r>
            <w:r w:rsidRPr="00F046F3">
              <w:rPr>
                <w:b/>
                <w:i/>
              </w:rPr>
              <w:t xml:space="preserve"> in bij het Europees Parlement, de Raad, het Comité van de Regio’s en het Europees Economisch en Sociaal Comité</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ondertitel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 xml:space="preserve">Toewijzingsmethode voor de </w:t>
            </w:r>
            <w:r w:rsidRPr="00F046F3">
              <w:rPr>
                <w:b/>
                <w:i/>
              </w:rPr>
              <w:t>voorfinanciering</w:t>
            </w:r>
            <w:r w:rsidRPr="00F046F3">
              <w:t xml:space="preserve"> van de reserve voor aanpassing aan de brexit</w:t>
            </w:r>
          </w:p>
        </w:tc>
        <w:tc>
          <w:tcPr>
            <w:tcW w:w="4876" w:type="dxa"/>
            <w:hideMark/>
          </w:tcPr>
          <w:p w:rsidR="00D15344" w:rsidRPr="00F046F3" w:rsidRDefault="00D15344" w:rsidP="004F1417">
            <w:pPr>
              <w:pStyle w:val="Normal6"/>
              <w:rPr>
                <w:szCs w:val="24"/>
              </w:rPr>
            </w:pPr>
            <w:r w:rsidRPr="00F046F3">
              <w:t xml:space="preserve">Toewijzingsmethode voor de </w:t>
            </w:r>
            <w:r w:rsidRPr="00F046F3">
              <w:rPr>
                <w:b/>
                <w:i/>
              </w:rPr>
              <w:t>middelen</w:t>
            </w:r>
            <w:r w:rsidRPr="00F046F3">
              <w:t xml:space="preserve"> van de reserve voor aanpassing aan de brexit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83</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 xml:space="preserve">De </w:t>
            </w:r>
            <w:r w:rsidRPr="00F046F3">
              <w:rPr>
                <w:b/>
                <w:i/>
              </w:rPr>
              <w:t>voorfinanciering</w:t>
            </w:r>
            <w:r w:rsidRPr="00F046F3">
              <w:t xml:space="preserve"> van de reserve voor aanpassing aan de brexit </w:t>
            </w:r>
            <w:r w:rsidRPr="00F046F3">
              <w:rPr>
                <w:b/>
                <w:i/>
              </w:rPr>
              <w:t>wordt</w:t>
            </w:r>
            <w:r w:rsidRPr="00F046F3">
              <w:t xml:space="preserve"> aan de hand van de volgende methode over de lidstaten verdeeld:</w:t>
            </w:r>
          </w:p>
        </w:tc>
        <w:tc>
          <w:tcPr>
            <w:tcW w:w="4876" w:type="dxa"/>
            <w:hideMark/>
          </w:tcPr>
          <w:p w:rsidR="00D15344" w:rsidRPr="00F046F3" w:rsidRDefault="00D15344" w:rsidP="004F1417">
            <w:pPr>
              <w:pStyle w:val="Normal6"/>
              <w:rPr>
                <w:szCs w:val="24"/>
              </w:rPr>
            </w:pPr>
            <w:r w:rsidRPr="00F046F3">
              <w:t xml:space="preserve">De </w:t>
            </w:r>
            <w:r w:rsidRPr="00F046F3">
              <w:rPr>
                <w:b/>
                <w:i/>
              </w:rPr>
              <w:t>middelen</w:t>
            </w:r>
            <w:r w:rsidRPr="00F046F3">
              <w:t xml:space="preserve"> van de reserve voor aanpassing aan de brexit </w:t>
            </w:r>
            <w:r w:rsidRPr="00F046F3">
              <w:rPr>
                <w:b/>
                <w:i/>
              </w:rPr>
              <w:t>worden</w:t>
            </w:r>
            <w:r w:rsidRPr="00F046F3">
              <w:t xml:space="preserve"> aan de hand van de volgende methode over de lidstaten verdeeld:</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84</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1.</w:t>
            </w:r>
            <w:r w:rsidRPr="00F046F3">
              <w:tab/>
              <w:t xml:space="preserve">Het aandeel van elke lidstaat in de </w:t>
            </w:r>
            <w:r w:rsidRPr="00F046F3">
              <w:rPr>
                <w:b/>
                <w:i/>
              </w:rPr>
              <w:t>voorfinanciering</w:t>
            </w:r>
            <w:r w:rsidRPr="00F046F3">
              <w:t xml:space="preserve"> van de reserve voor aanpassing aan de brexit wordt bepaald als de som van een factor die gekoppeld is aan de vis die wordt gevangen in de wateren die tot de exclusieve economische zone (EEZ) van het Verenigd Koninkrijk behoren, </w:t>
            </w:r>
            <w:r w:rsidRPr="00F046F3">
              <w:rPr>
                <w:b/>
                <w:i/>
              </w:rPr>
              <w:t xml:space="preserve">en </w:t>
            </w:r>
            <w:r w:rsidRPr="00F046F3">
              <w:t>een factor die gekoppeld is aan de handel met het Verenigd Koninkrijk.</w:t>
            </w:r>
          </w:p>
        </w:tc>
        <w:tc>
          <w:tcPr>
            <w:tcW w:w="4876" w:type="dxa"/>
            <w:hideMark/>
          </w:tcPr>
          <w:p w:rsidR="00D15344" w:rsidRPr="00F046F3" w:rsidRDefault="00D15344" w:rsidP="004F1417">
            <w:pPr>
              <w:pStyle w:val="Normal6"/>
              <w:rPr>
                <w:szCs w:val="24"/>
              </w:rPr>
            </w:pPr>
            <w:r w:rsidRPr="00F046F3">
              <w:t>1.</w:t>
            </w:r>
            <w:r w:rsidRPr="00F046F3">
              <w:tab/>
              <w:t xml:space="preserve">Het aandeel van elke lidstaat in de </w:t>
            </w:r>
            <w:r w:rsidRPr="00F046F3">
              <w:rPr>
                <w:b/>
                <w:i/>
              </w:rPr>
              <w:t>middelen</w:t>
            </w:r>
            <w:r w:rsidRPr="00F046F3">
              <w:t xml:space="preserve"> van de reserve voor aanpassing aan de brexit wordt bepaald als de som van een factor die gekoppeld is aan de vis die wordt gevangen in de wateren die tot de exclusieve economische zone (EEZ) van het Verenigd Koninkrijk behoren, een factor die gekoppeld is aan de handel met het Verenigd Koninkrijk</w:t>
            </w:r>
            <w:r w:rsidRPr="00F046F3">
              <w:rPr>
                <w:b/>
                <w:i/>
              </w:rPr>
              <w:t xml:space="preserve"> en een factor die gekoppeld is aan de bevolking van de aan het VK grenzende maritieme regio’s</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lid 1 – punt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2.</w:t>
            </w:r>
            <w:r w:rsidRPr="00F046F3">
              <w:tab/>
              <w:t xml:space="preserve">De factor die gekoppeld is aan de in de EEZ van het Verenigd Koninkrijk gevangen vis wordt gebruikt om 600 miljoen EUR toe te wijzen. De factor die gekoppeld is aan de handel wordt gebruikt om </w:t>
            </w:r>
            <w:r w:rsidRPr="00F046F3">
              <w:rPr>
                <w:b/>
                <w:i/>
              </w:rPr>
              <w:t>3</w:t>
            </w:r>
            <w:r w:rsidRPr="00F046F3">
              <w:t> </w:t>
            </w:r>
            <w:r w:rsidRPr="00F046F3">
              <w:rPr>
                <w:b/>
                <w:i/>
              </w:rPr>
              <w:t>400</w:t>
            </w:r>
            <w:r w:rsidRPr="00F046F3">
              <w:t xml:space="preserve"> miljoen EUR toe te wijzen. </w:t>
            </w:r>
            <w:r w:rsidRPr="00F046F3">
              <w:rPr>
                <w:b/>
                <w:i/>
              </w:rPr>
              <w:t>Beide</w:t>
            </w:r>
            <w:r w:rsidRPr="00F046F3">
              <w:t xml:space="preserve"> bedragen </w:t>
            </w:r>
            <w:r w:rsidRPr="00F046F3">
              <w:rPr>
                <w:b/>
                <w:i/>
              </w:rPr>
              <w:t>zijn</w:t>
            </w:r>
            <w:r w:rsidRPr="00F046F3">
              <w:t xml:space="preserve"> uitgedrukt in prijzen van 2018.</w:t>
            </w:r>
          </w:p>
        </w:tc>
        <w:tc>
          <w:tcPr>
            <w:tcW w:w="4876" w:type="dxa"/>
            <w:hideMark/>
          </w:tcPr>
          <w:p w:rsidR="00D15344" w:rsidRPr="00F046F3" w:rsidRDefault="00D15344" w:rsidP="004F1417">
            <w:pPr>
              <w:pStyle w:val="Normal6"/>
              <w:rPr>
                <w:szCs w:val="24"/>
              </w:rPr>
            </w:pPr>
            <w:r w:rsidRPr="00F046F3">
              <w:t>2.</w:t>
            </w:r>
            <w:r w:rsidRPr="00F046F3">
              <w:tab/>
              <w:t xml:space="preserve">De factor die gekoppeld is aan de in de EEZ van het Verenigd Koninkrijk gevangen vis wordt gebruikt om 600 miljoen EUR toe te wijzen. De factor die gekoppeld is aan de handel wordt gebruikt om </w:t>
            </w:r>
            <w:r w:rsidRPr="00F046F3">
              <w:rPr>
                <w:b/>
                <w:i/>
              </w:rPr>
              <w:t>4</w:t>
            </w:r>
            <w:r w:rsidRPr="00F046F3">
              <w:t> </w:t>
            </w:r>
            <w:r w:rsidRPr="00F046F3">
              <w:rPr>
                <w:b/>
                <w:i/>
              </w:rPr>
              <w:t>150</w:t>
            </w:r>
            <w:r w:rsidRPr="00F046F3">
              <w:t xml:space="preserve"> miljoen EUR toe te wijzen. </w:t>
            </w:r>
            <w:r w:rsidRPr="00F046F3">
              <w:rPr>
                <w:b/>
                <w:i/>
              </w:rPr>
              <w:t>De factor die gekoppeld is aan de maritieme grensregio’s wordt gebruikt om 250 miljoen EUR toe te wijzen. Elk van deze</w:t>
            </w:r>
            <w:r w:rsidRPr="00F046F3">
              <w:t xml:space="preserve"> bedragen </w:t>
            </w:r>
            <w:r w:rsidRPr="00F046F3">
              <w:rPr>
                <w:b/>
                <w:i/>
              </w:rPr>
              <w:t>is</w:t>
            </w:r>
            <w:r w:rsidRPr="00F046F3">
              <w:t xml:space="preserve"> uitgedrukt in prijzen van 2018.</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3 – letter b – punt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ii)</w:t>
            </w:r>
            <w:r w:rsidRPr="00F046F3">
              <w:tab/>
              <w:t>het oorspronkelijke aandeel van de waarde van de in de EEZ van het Verenigd Koninkrijk gevangen vis wordt aangepast door het te vermenigvuldigen met de afhankelijkheidsindex van de lidstaat;</w:t>
            </w:r>
          </w:p>
        </w:tc>
        <w:tc>
          <w:tcPr>
            <w:tcW w:w="4876" w:type="dxa"/>
            <w:hideMark/>
          </w:tcPr>
          <w:p w:rsidR="00D15344" w:rsidRPr="00F046F3" w:rsidRDefault="00D15344" w:rsidP="004F1417">
            <w:pPr>
              <w:pStyle w:val="Normal6"/>
              <w:rPr>
                <w:szCs w:val="24"/>
              </w:rPr>
            </w:pPr>
            <w:r w:rsidRPr="00F046F3">
              <w:t>ii)</w:t>
            </w:r>
            <w:r w:rsidRPr="00F046F3">
              <w:tab/>
              <w:t>het oorspronkelijke aandeel van de waarde van de in de EEZ van het Verenigd Koninkrijk gevangen vis wordt aangepast door het te vermenigvuldigen met de afhankelijkheidsindex van de lidstaat</w:t>
            </w:r>
            <w:r w:rsidRPr="00F046F3">
              <w:rPr>
                <w:b/>
                <w:i/>
              </w:rPr>
              <w:t xml:space="preserve"> verhoogd tot 75 %</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87</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4 – letter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c)</w:t>
            </w:r>
            <w:r w:rsidRPr="00F046F3">
              <w:tab/>
              <w:t>het oorspronkelijke aandeel in de handel met het Verenigd Koninkrijk wordt aangepast door het te vermenigvuldigen met de afhankelijkheidsindex van de lidstaat;</w:t>
            </w:r>
          </w:p>
        </w:tc>
        <w:tc>
          <w:tcPr>
            <w:tcW w:w="4876" w:type="dxa"/>
            <w:hideMark/>
          </w:tcPr>
          <w:p w:rsidR="00D15344" w:rsidRPr="00F046F3" w:rsidRDefault="00D15344" w:rsidP="004F1417">
            <w:pPr>
              <w:pStyle w:val="Normal6"/>
              <w:rPr>
                <w:szCs w:val="24"/>
              </w:rPr>
            </w:pPr>
            <w:r w:rsidRPr="00F046F3">
              <w:t>c)</w:t>
            </w:r>
            <w:r w:rsidRPr="00F046F3">
              <w:tab/>
              <w:t>het oorspronkelijke aandeel in de handel met het Verenigd Koninkrijk wordt aangepast door het te vermenigvuldigen met de afhankelijkheidsindex van de lidstaat</w:t>
            </w:r>
            <w:r w:rsidRPr="00F046F3">
              <w:rPr>
                <w:b/>
                <w:i/>
              </w:rPr>
              <w:t xml:space="preserve"> verhoogd tot 75 %</w:t>
            </w:r>
            <w:r w:rsidRPr="00F046F3">
              <w: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88</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4 – letter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g)</w:t>
            </w:r>
            <w:r w:rsidRPr="00F046F3">
              <w:tab/>
              <w:t xml:space="preserve">indien deze berekening leidt tot een toewijzing van meer dan </w:t>
            </w:r>
            <w:r w:rsidRPr="00F046F3">
              <w:rPr>
                <w:b/>
                <w:i/>
              </w:rPr>
              <w:t>0,35 %</w:t>
            </w:r>
            <w:r w:rsidRPr="00F046F3">
              <w:t xml:space="preserve"> van het bni van een lidstaat (uitgedrukt in euro’s), is de toewijzing van die lidstaat beperkt tot </w:t>
            </w:r>
            <w:r w:rsidRPr="00F046F3">
              <w:rPr>
                <w:b/>
                <w:i/>
              </w:rPr>
              <w:t>0,35 %</w:t>
            </w:r>
            <w:r w:rsidRPr="00F046F3">
              <w:t xml:space="preserve"> van zijn bni. De middelen die als gevolg van deze plafonnering in mindering worden gebracht, worden herverdeeld onder de andere lidstaten, naar rato van hun niet-geplafonneerde aandelen;</w:t>
            </w:r>
          </w:p>
        </w:tc>
        <w:tc>
          <w:tcPr>
            <w:tcW w:w="4876" w:type="dxa"/>
            <w:hideMark/>
          </w:tcPr>
          <w:p w:rsidR="00D15344" w:rsidRPr="00F046F3" w:rsidRDefault="00D15344" w:rsidP="004F1417">
            <w:pPr>
              <w:pStyle w:val="Normal6"/>
              <w:rPr>
                <w:szCs w:val="24"/>
              </w:rPr>
            </w:pPr>
            <w:r w:rsidRPr="00F046F3">
              <w:t>g)</w:t>
            </w:r>
            <w:r w:rsidRPr="00F046F3">
              <w:tab/>
              <w:t xml:space="preserve">indien deze berekening leidt tot een toewijzing van meer dan </w:t>
            </w:r>
            <w:r w:rsidRPr="00F046F3">
              <w:rPr>
                <w:b/>
                <w:i/>
              </w:rPr>
              <w:t>0,36 %</w:t>
            </w:r>
            <w:r w:rsidRPr="00F046F3">
              <w:t xml:space="preserve"> van het bni van een lidstaat (uitgedrukt in euro’s), is de toewijzing van die lidstaat beperkt tot </w:t>
            </w:r>
            <w:r w:rsidRPr="00F046F3">
              <w:rPr>
                <w:b/>
                <w:i/>
              </w:rPr>
              <w:t>0,36 %</w:t>
            </w:r>
            <w:r w:rsidRPr="00F046F3">
              <w:t xml:space="preserve"> van zijn bni. De middelen die als gevolg van deze plafonnering in mindering worden gebracht, worden herverdeeld onder de andere lidstaten, naar rato van hun niet-geplafonneerde aandelen;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89</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4 – letter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h)</w:t>
            </w:r>
            <w:r w:rsidRPr="00F046F3">
              <w:tab/>
              <w:t xml:space="preserve">indien de onder g) bedoelde berekening resulteert in een steunintensiteit van meer dan </w:t>
            </w:r>
            <w:r w:rsidRPr="00F046F3">
              <w:rPr>
                <w:b/>
                <w:i/>
              </w:rPr>
              <w:t>190 EUR/inwoner</w:t>
            </w:r>
            <w:r w:rsidRPr="00F046F3">
              <w:t xml:space="preserve">, wordt de toewijzing aan die lidstaat beperkt tot het niveau dat overeenstemt met een steunintensiteit van </w:t>
            </w:r>
            <w:r w:rsidRPr="00F046F3">
              <w:rPr>
                <w:b/>
                <w:i/>
              </w:rPr>
              <w:t>190 EUR/inwoner</w:t>
            </w:r>
            <w:r w:rsidRPr="00F046F3">
              <w:t>. De middelen die als gevolg van deze plafonnering in mindering worden gebracht, worden verdeeld onder de lidstaten die niet op grond van punt g) of h) zijn geplafonneerd, naar rato van hun aandeel als berekend volgens punt g).</w:t>
            </w:r>
          </w:p>
        </w:tc>
        <w:tc>
          <w:tcPr>
            <w:tcW w:w="4876" w:type="dxa"/>
            <w:hideMark/>
          </w:tcPr>
          <w:p w:rsidR="00D15344" w:rsidRPr="00F046F3" w:rsidRDefault="00D15344" w:rsidP="004F1417">
            <w:pPr>
              <w:pStyle w:val="Normal6"/>
              <w:rPr>
                <w:szCs w:val="24"/>
              </w:rPr>
            </w:pPr>
            <w:r w:rsidRPr="00F046F3">
              <w:t>h)</w:t>
            </w:r>
            <w:r w:rsidRPr="00F046F3">
              <w:tab/>
              <w:t xml:space="preserve">indien de onder g) bedoelde berekening resulteert in een steunintensiteit van meer dan </w:t>
            </w:r>
            <w:r w:rsidRPr="00F046F3">
              <w:rPr>
                <w:b/>
                <w:i/>
              </w:rPr>
              <w:t>195 EUR/inwoner</w:t>
            </w:r>
            <w:r w:rsidRPr="00F046F3">
              <w:t xml:space="preserve">, wordt de toewijzing aan die lidstaat beperkt tot het niveau dat overeenstemt met een steunintensiteit van </w:t>
            </w:r>
            <w:r w:rsidRPr="00F046F3">
              <w:rPr>
                <w:b/>
                <w:i/>
              </w:rPr>
              <w:t>195 EUR/inwoner</w:t>
            </w:r>
            <w:r w:rsidRPr="00F046F3">
              <w:t>. De middelen die als gevolg van deze plafonnering in mindering worden gebracht, worden verdeeld onder de lidstaten die niet op grond van punt g) of h) zijn geplafonneerd, naar rato van hun aandeel als berekend volgens punt g).</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90</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4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4 bis.</w:t>
            </w:r>
            <w:r w:rsidRPr="00F046F3">
              <w:rPr>
                <w:b/>
                <w:i/>
              </w:rPr>
              <w:tab/>
              <w:t>De factor die gekoppeld is aan de maritieme grensregio’s wordt verkregen door het aandeel te berekenen van elke lidstaat in de totale bevolking van de aan het VK grenzende maritieme regio’s. Maritieme grensregio’s zijn regio’s van NUTS-niveau 3 aan kustgrenzen en andere regio’s van NUTS-niveau 3 waarvan ten minste de helft van de bevolking binnen een straal van 25 kilometer van de kustgrens woont. Grenskustlijnen worden gedefinieerd als kustlijnen die zich op maximum 150 km van de Britse kustlijn bevinden.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91</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5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
            </w:pPr>
            <w:r w:rsidRPr="00F046F3">
              <w:t>5.</w:t>
            </w:r>
            <w:r w:rsidRPr="00F046F3">
              <w:tab/>
              <w:t xml:space="preserve">Voor de berekening van de verdeling van de </w:t>
            </w:r>
            <w:r w:rsidRPr="00F046F3">
              <w:rPr>
                <w:b/>
                <w:i/>
              </w:rPr>
              <w:t>voorfinanciering</w:t>
            </w:r>
            <w:r w:rsidRPr="00F046F3">
              <w:t xml:space="preserve"> van de reserve voor aanpassing aan de brexit:</w:t>
            </w:r>
          </w:p>
        </w:tc>
        <w:tc>
          <w:tcPr>
            <w:tcW w:w="4876" w:type="dxa"/>
            <w:hideMark/>
          </w:tcPr>
          <w:p w:rsidR="00D15344" w:rsidRPr="00F046F3" w:rsidRDefault="00D15344" w:rsidP="004F1417">
            <w:pPr>
              <w:pStyle w:val="Normal6"/>
              <w:rPr>
                <w:szCs w:val="24"/>
              </w:rPr>
            </w:pPr>
            <w:r w:rsidRPr="00F046F3">
              <w:t>5.</w:t>
            </w:r>
            <w:r w:rsidRPr="00F046F3">
              <w:tab/>
              <w:t xml:space="preserve">Voor de berekening van de verdeling van de </w:t>
            </w:r>
            <w:r w:rsidRPr="00F046F3">
              <w:rPr>
                <w:b/>
                <w:i/>
              </w:rPr>
              <w:t>middelen</w:t>
            </w:r>
            <w:r w:rsidRPr="00F046F3">
              <w:t xml:space="preserve"> van de reserve voor aanpassing aan de brexit:</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92</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 – alinea 1 – punt 5 – letter f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f bis)</w:t>
            </w:r>
            <w:r w:rsidRPr="00F046F3">
              <w:rPr>
                <w:b/>
                <w:i/>
              </w:rPr>
              <w:tab/>
              <w:t>geldt voor de bevolking van de regio’s van NUTS-niveau 3 als referentieperiode 2017.</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93</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7 bis (nieuw)</w:t>
      </w:r>
    </w:p>
    <w:tbl>
      <w:tblPr>
        <w:tblW w:w="0" w:type="dxa"/>
        <w:jc w:val="center"/>
        <w:tblLayout w:type="fixed"/>
        <w:tblCellMar>
          <w:left w:w="340" w:type="dxa"/>
          <w:right w:w="340" w:type="dxa"/>
        </w:tblCellMar>
        <w:tblLook w:val="04A0" w:firstRow="1" w:lastRow="0" w:firstColumn="1" w:lastColumn="0" w:noHBand="0" w:noVBand="1"/>
      </w:tblPr>
      <w:tblGrid>
        <w:gridCol w:w="3250"/>
        <w:gridCol w:w="3251"/>
        <w:gridCol w:w="3251"/>
      </w:tblGrid>
      <w:tr w:rsidR="00D15344" w:rsidRPr="00F046F3" w:rsidTr="004F1417">
        <w:trPr>
          <w:jc w:val="center"/>
        </w:trPr>
        <w:tc>
          <w:tcPr>
            <w:tcW w:w="9752" w:type="dxa"/>
            <w:gridSpan w:val="3"/>
          </w:tcPr>
          <w:p w:rsidR="00D15344" w:rsidRPr="00F046F3" w:rsidRDefault="00D15344" w:rsidP="004F1417">
            <w:pPr>
              <w:keepNext/>
            </w:pPr>
          </w:p>
        </w:tc>
      </w:tr>
      <w:tr w:rsidR="00D15344" w:rsidRPr="00F046F3" w:rsidTr="004F1417">
        <w:trPr>
          <w:jc w:val="center"/>
        </w:trPr>
        <w:tc>
          <w:tcPr>
            <w:tcW w:w="9752" w:type="dxa"/>
            <w:gridSpan w:val="3"/>
            <w:hideMark/>
          </w:tcPr>
          <w:p w:rsidR="00D15344" w:rsidRPr="00F046F3" w:rsidRDefault="00D15344" w:rsidP="004F1417">
            <w:pPr>
              <w:pStyle w:val="AmColumnHeading"/>
              <w:keepNext/>
            </w:pPr>
            <w:r w:rsidRPr="00F046F3">
              <w:t>Door de Commissie voorgestelde tekst</w:t>
            </w:r>
          </w:p>
        </w:tc>
      </w:tr>
      <w:tr w:rsidR="00D15344" w:rsidRPr="00F046F3" w:rsidTr="004F1417">
        <w:trPr>
          <w:jc w:val="center"/>
        </w:trPr>
        <w:tc>
          <w:tcPr>
            <w:tcW w:w="3250" w:type="dxa"/>
          </w:tcPr>
          <w:p w:rsidR="00D15344" w:rsidRPr="00F046F3" w:rsidRDefault="00D15344" w:rsidP="004F1417">
            <w:pPr>
              <w:pStyle w:val="Normal6"/>
              <w:rPr>
                <w:szCs w:val="24"/>
              </w:rPr>
            </w:pPr>
          </w:p>
        </w:tc>
        <w:tc>
          <w:tcPr>
            <w:tcW w:w="3251" w:type="dxa"/>
          </w:tcPr>
          <w:p w:rsidR="00D15344" w:rsidRPr="00F046F3" w:rsidRDefault="00D15344" w:rsidP="004F1417">
            <w:pPr>
              <w:pStyle w:val="Normal6"/>
              <w:rPr>
                <w:szCs w:val="24"/>
              </w:rPr>
            </w:pPr>
          </w:p>
        </w:tc>
        <w:tc>
          <w:tcPr>
            <w:tcW w:w="3251" w:type="dxa"/>
          </w:tcPr>
          <w:p w:rsidR="00D15344" w:rsidRPr="00F046F3" w:rsidRDefault="00D15344" w:rsidP="004F1417">
            <w:pPr>
              <w:pStyle w:val="Normal6"/>
              <w:rPr>
                <w:szCs w:val="24"/>
              </w:rPr>
            </w:pPr>
          </w:p>
        </w:tc>
      </w:tr>
      <w:tr w:rsidR="00D15344" w:rsidRPr="00F046F3" w:rsidTr="004F1417">
        <w:trPr>
          <w:jc w:val="center"/>
        </w:trPr>
        <w:tc>
          <w:tcPr>
            <w:tcW w:w="9752" w:type="dxa"/>
            <w:gridSpan w:val="3"/>
            <w:tcBorders>
              <w:top w:val="nil"/>
              <w:left w:val="nil"/>
              <w:bottom w:val="single" w:sz="4" w:space="0" w:color="auto"/>
              <w:right w:val="nil"/>
            </w:tcBorders>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3250"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
              <w:rPr>
                <w:b/>
                <w:i/>
              </w:rPr>
            </w:pPr>
            <w:r w:rsidRPr="00F046F3">
              <w:rPr>
                <w:b/>
                <w:i/>
              </w:rPr>
              <w:t>7 bis</w:t>
            </w:r>
            <w:r w:rsidRPr="00F046F3">
              <w:rPr>
                <w:b/>
                <w:i/>
              </w:rPr>
              <w:tab/>
            </w:r>
          </w:p>
        </w:tc>
        <w:tc>
          <w:tcPr>
            <w:tcW w:w="3251"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
              <w:rPr>
                <w:b/>
                <w:i/>
              </w:rPr>
            </w:pPr>
            <w:r w:rsidRPr="00F046F3">
              <w:rPr>
                <w:b/>
                <w:i/>
              </w:rPr>
              <w:t>Orgaan of organen waaraan taken en financiële middelen uit de reserve werden gedelegeerd, in voorkomend geval</w:t>
            </w:r>
          </w:p>
        </w:tc>
        <w:tc>
          <w:tcPr>
            <w:tcW w:w="3251" w:type="dxa"/>
            <w:tcBorders>
              <w:top w:val="single" w:sz="4" w:space="0" w:color="auto"/>
              <w:left w:val="single" w:sz="4" w:space="0" w:color="auto"/>
              <w:bottom w:val="single" w:sz="4" w:space="0" w:color="auto"/>
              <w:right w:val="single" w:sz="4" w:space="0" w:color="auto"/>
            </w:tcBorders>
          </w:tcPr>
          <w:p w:rsidR="00D15344" w:rsidRPr="00F046F3" w:rsidRDefault="00D15344" w:rsidP="004F1417">
            <w:pPr>
              <w:pStyle w:val="Normal6"/>
              <w:rPr>
                <w:b/>
                <w:i/>
              </w:rPr>
            </w:pP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94</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8 – kolom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a"/>
            </w:pPr>
            <w:r w:rsidRPr="00F046F3">
              <w:rPr>
                <w:b/>
                <w:i/>
              </w:rPr>
              <w:t xml:space="preserve">Korte </w:t>
            </w:r>
            <w:r w:rsidRPr="00F046F3">
              <w:t>beschrijving van de getroffen gebieden en sectoren en de genomen responsmaatregelen</w:t>
            </w:r>
          </w:p>
        </w:tc>
        <w:tc>
          <w:tcPr>
            <w:tcW w:w="4876" w:type="dxa"/>
            <w:hideMark/>
          </w:tcPr>
          <w:p w:rsidR="00D15344" w:rsidRPr="00F046F3" w:rsidRDefault="00D15344" w:rsidP="004F1417">
            <w:pPr>
              <w:pStyle w:val="Normal6a"/>
            </w:pPr>
            <w:r w:rsidRPr="00F046F3">
              <w:t>Beschrijving van de getroffen gebieden en sectoren en de genomen responsmaatregelen</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95</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8 bis (nieuw)</w:t>
      </w:r>
    </w:p>
    <w:tbl>
      <w:tblPr>
        <w:tblW w:w="0" w:type="dxa"/>
        <w:jc w:val="center"/>
        <w:tblLayout w:type="fixed"/>
        <w:tblCellMar>
          <w:left w:w="340" w:type="dxa"/>
          <w:right w:w="340" w:type="dxa"/>
        </w:tblCellMar>
        <w:tblLook w:val="04A0" w:firstRow="1" w:lastRow="0" w:firstColumn="1" w:lastColumn="0" w:noHBand="0" w:noVBand="1"/>
      </w:tblPr>
      <w:tblGrid>
        <w:gridCol w:w="3250"/>
        <w:gridCol w:w="3251"/>
        <w:gridCol w:w="3251"/>
      </w:tblGrid>
      <w:tr w:rsidR="00D15344" w:rsidRPr="00F046F3" w:rsidTr="004F1417">
        <w:trPr>
          <w:jc w:val="center"/>
        </w:trPr>
        <w:tc>
          <w:tcPr>
            <w:tcW w:w="9752" w:type="dxa"/>
            <w:gridSpan w:val="3"/>
          </w:tcPr>
          <w:p w:rsidR="00D15344" w:rsidRPr="00F046F3" w:rsidRDefault="00D15344" w:rsidP="004F1417">
            <w:pPr>
              <w:keepNext/>
            </w:pPr>
          </w:p>
        </w:tc>
      </w:tr>
      <w:tr w:rsidR="00D15344" w:rsidRPr="00F046F3" w:rsidTr="004F1417">
        <w:trPr>
          <w:jc w:val="center"/>
        </w:trPr>
        <w:tc>
          <w:tcPr>
            <w:tcW w:w="9752" w:type="dxa"/>
            <w:gridSpan w:val="3"/>
            <w:hideMark/>
          </w:tcPr>
          <w:p w:rsidR="00D15344" w:rsidRPr="00F046F3" w:rsidRDefault="00D15344" w:rsidP="004F1417">
            <w:pPr>
              <w:pStyle w:val="AmColumnHeading"/>
              <w:keepNext/>
            </w:pPr>
            <w:r w:rsidRPr="00F046F3">
              <w:t>Door de Commissie voorgestelde tekst</w:t>
            </w:r>
          </w:p>
        </w:tc>
      </w:tr>
      <w:tr w:rsidR="00D15344" w:rsidRPr="00F046F3" w:rsidTr="004F1417">
        <w:trPr>
          <w:jc w:val="center"/>
        </w:trPr>
        <w:tc>
          <w:tcPr>
            <w:tcW w:w="3250" w:type="dxa"/>
          </w:tcPr>
          <w:p w:rsidR="00D15344" w:rsidRPr="00F046F3" w:rsidRDefault="00D15344" w:rsidP="004F1417">
            <w:pPr>
              <w:pStyle w:val="Normal6a"/>
              <w:rPr>
                <w:b/>
                <w:i/>
              </w:rPr>
            </w:pPr>
          </w:p>
        </w:tc>
        <w:tc>
          <w:tcPr>
            <w:tcW w:w="3251" w:type="dxa"/>
          </w:tcPr>
          <w:p w:rsidR="00D15344" w:rsidRPr="00F046F3" w:rsidRDefault="00D15344" w:rsidP="004F1417">
            <w:pPr>
              <w:pStyle w:val="Normal6a"/>
              <w:rPr>
                <w:b/>
                <w:i/>
              </w:rPr>
            </w:pPr>
          </w:p>
        </w:tc>
        <w:tc>
          <w:tcPr>
            <w:tcW w:w="3251" w:type="dxa"/>
          </w:tcPr>
          <w:p w:rsidR="00D15344" w:rsidRPr="00F046F3" w:rsidRDefault="00D15344" w:rsidP="004F1417">
            <w:pPr>
              <w:pStyle w:val="Normal6a"/>
              <w:rPr>
                <w:b/>
                <w:i/>
              </w:rPr>
            </w:pPr>
          </w:p>
        </w:tc>
      </w:tr>
      <w:tr w:rsidR="00D15344" w:rsidRPr="00F046F3" w:rsidTr="004F1417">
        <w:trPr>
          <w:jc w:val="center"/>
        </w:trPr>
        <w:tc>
          <w:tcPr>
            <w:tcW w:w="9752" w:type="dxa"/>
            <w:gridSpan w:val="3"/>
            <w:tcBorders>
              <w:top w:val="nil"/>
              <w:left w:val="nil"/>
              <w:bottom w:val="single" w:sz="4" w:space="0" w:color="auto"/>
              <w:right w:val="nil"/>
            </w:tcBorders>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3250"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a"/>
              <w:rPr>
                <w:b/>
                <w:i/>
              </w:rPr>
            </w:pPr>
            <w:r w:rsidRPr="00F046F3">
              <w:rPr>
                <w:b/>
                <w:i/>
              </w:rPr>
              <w:t>8 bis</w:t>
            </w:r>
            <w:r w:rsidRPr="00F046F3">
              <w:rPr>
                <w:b/>
                <w:i/>
              </w:rPr>
              <w:tab/>
            </w:r>
          </w:p>
        </w:tc>
        <w:tc>
          <w:tcPr>
            <w:tcW w:w="3251"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a"/>
              <w:rPr>
                <w:b/>
                <w:i/>
              </w:rPr>
            </w:pPr>
            <w:r w:rsidRPr="00F046F3">
              <w:rPr>
                <w:b/>
                <w:i/>
              </w:rPr>
              <w:t>Beschrijving van de dialoog op verschillende niveaus en van het monitoringmechanisme</w:t>
            </w:r>
          </w:p>
        </w:tc>
        <w:tc>
          <w:tcPr>
            <w:tcW w:w="3251" w:type="dxa"/>
            <w:tcBorders>
              <w:top w:val="single" w:sz="4" w:space="0" w:color="auto"/>
              <w:left w:val="single" w:sz="4" w:space="0" w:color="auto"/>
              <w:bottom w:val="single" w:sz="4" w:space="0" w:color="auto"/>
              <w:right w:val="single" w:sz="4" w:space="0" w:color="auto"/>
            </w:tcBorders>
          </w:tcPr>
          <w:p w:rsidR="00D15344" w:rsidRPr="00F046F3" w:rsidRDefault="00D15344" w:rsidP="004F1417">
            <w:pPr>
              <w:pStyle w:val="Normal6a"/>
              <w:rPr>
                <w:b/>
                <w:i/>
              </w:rPr>
            </w:pP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96</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9 – kolom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a"/>
            </w:pPr>
            <w:r w:rsidRPr="00F046F3">
              <w:t xml:space="preserve">Totale </w:t>
            </w:r>
            <w:r w:rsidRPr="00F046F3">
              <w:rPr>
                <w:b/>
                <w:i/>
              </w:rPr>
              <w:t>overheidsuitgaven</w:t>
            </w:r>
            <w:r w:rsidRPr="00F046F3">
              <w:t xml:space="preserve"> die vóór inhoudingen zijn gedaan en betaald</w:t>
            </w:r>
          </w:p>
        </w:tc>
        <w:tc>
          <w:tcPr>
            <w:tcW w:w="4876" w:type="dxa"/>
            <w:hideMark/>
          </w:tcPr>
          <w:p w:rsidR="00D15344" w:rsidRPr="00F046F3" w:rsidRDefault="00D15344" w:rsidP="004F1417">
            <w:pPr>
              <w:pStyle w:val="Normal6a"/>
              <w:rPr>
                <w:szCs w:val="24"/>
              </w:rPr>
            </w:pPr>
            <w:r w:rsidRPr="00F046F3">
              <w:t xml:space="preserve">Totale </w:t>
            </w:r>
            <w:r w:rsidRPr="00F046F3">
              <w:rPr>
                <w:b/>
                <w:i/>
              </w:rPr>
              <w:t>uitgaven</w:t>
            </w:r>
            <w:r w:rsidRPr="00F046F3">
              <w:t xml:space="preserve"> die vóór inhoudingen zijn gedaan en betaald</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97</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14 bis (nieuw)</w:t>
      </w:r>
    </w:p>
    <w:tbl>
      <w:tblPr>
        <w:tblW w:w="0" w:type="dxa"/>
        <w:jc w:val="center"/>
        <w:tblLayout w:type="fixed"/>
        <w:tblCellMar>
          <w:left w:w="340" w:type="dxa"/>
          <w:right w:w="340" w:type="dxa"/>
        </w:tblCellMar>
        <w:tblLook w:val="04A0" w:firstRow="1" w:lastRow="0" w:firstColumn="1" w:lastColumn="0" w:noHBand="0" w:noVBand="1"/>
      </w:tblPr>
      <w:tblGrid>
        <w:gridCol w:w="3250"/>
        <w:gridCol w:w="3251"/>
        <w:gridCol w:w="3251"/>
      </w:tblGrid>
      <w:tr w:rsidR="00D15344" w:rsidRPr="00F046F3" w:rsidTr="004F1417">
        <w:trPr>
          <w:jc w:val="center"/>
        </w:trPr>
        <w:tc>
          <w:tcPr>
            <w:tcW w:w="9752" w:type="dxa"/>
            <w:gridSpan w:val="3"/>
          </w:tcPr>
          <w:p w:rsidR="00D15344" w:rsidRPr="00F046F3" w:rsidRDefault="00D15344" w:rsidP="004F1417">
            <w:pPr>
              <w:keepNext/>
            </w:pPr>
          </w:p>
        </w:tc>
      </w:tr>
      <w:tr w:rsidR="00D15344" w:rsidRPr="00F046F3" w:rsidTr="004F1417">
        <w:trPr>
          <w:jc w:val="center"/>
        </w:trPr>
        <w:tc>
          <w:tcPr>
            <w:tcW w:w="9752" w:type="dxa"/>
            <w:gridSpan w:val="3"/>
            <w:hideMark/>
          </w:tcPr>
          <w:p w:rsidR="00D15344" w:rsidRPr="00F046F3" w:rsidRDefault="00D15344" w:rsidP="004F1417">
            <w:pPr>
              <w:pStyle w:val="AmColumnHeading"/>
              <w:keepNext/>
            </w:pPr>
            <w:r w:rsidRPr="00F046F3">
              <w:t>Door de Commissie voorgestelde tekst</w:t>
            </w:r>
          </w:p>
        </w:tc>
      </w:tr>
      <w:tr w:rsidR="00D15344" w:rsidRPr="00F046F3" w:rsidTr="004F1417">
        <w:trPr>
          <w:jc w:val="center"/>
        </w:trPr>
        <w:tc>
          <w:tcPr>
            <w:tcW w:w="3250" w:type="dxa"/>
          </w:tcPr>
          <w:p w:rsidR="00D15344" w:rsidRPr="00F046F3" w:rsidRDefault="00D15344" w:rsidP="004F1417">
            <w:pPr>
              <w:pStyle w:val="Normal6a"/>
              <w:rPr>
                <w:szCs w:val="24"/>
              </w:rPr>
            </w:pPr>
          </w:p>
        </w:tc>
        <w:tc>
          <w:tcPr>
            <w:tcW w:w="3251" w:type="dxa"/>
          </w:tcPr>
          <w:p w:rsidR="00D15344" w:rsidRPr="00F046F3" w:rsidRDefault="00D15344" w:rsidP="004F1417">
            <w:pPr>
              <w:pStyle w:val="Normal6a"/>
              <w:rPr>
                <w:szCs w:val="24"/>
              </w:rPr>
            </w:pPr>
          </w:p>
        </w:tc>
        <w:tc>
          <w:tcPr>
            <w:tcW w:w="3251" w:type="dxa"/>
          </w:tcPr>
          <w:p w:rsidR="00D15344" w:rsidRPr="00F046F3" w:rsidRDefault="00D15344" w:rsidP="004F1417">
            <w:pPr>
              <w:pStyle w:val="Normal6a"/>
              <w:rPr>
                <w:szCs w:val="24"/>
              </w:rPr>
            </w:pPr>
          </w:p>
        </w:tc>
      </w:tr>
      <w:tr w:rsidR="00D15344" w:rsidRPr="00F046F3" w:rsidTr="004F1417">
        <w:trPr>
          <w:jc w:val="center"/>
        </w:trPr>
        <w:tc>
          <w:tcPr>
            <w:tcW w:w="9752" w:type="dxa"/>
            <w:gridSpan w:val="3"/>
            <w:tcBorders>
              <w:top w:val="nil"/>
              <w:left w:val="nil"/>
              <w:bottom w:val="single" w:sz="4" w:space="0" w:color="auto"/>
              <w:right w:val="nil"/>
            </w:tcBorders>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3250"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a"/>
              <w:rPr>
                <w:b/>
                <w:i/>
              </w:rPr>
            </w:pPr>
            <w:r w:rsidRPr="00F046F3">
              <w:rPr>
                <w:b/>
                <w:i/>
              </w:rPr>
              <w:t>14 bis</w:t>
            </w:r>
            <w:r w:rsidRPr="00F046F3">
              <w:rPr>
                <w:b/>
                <w:i/>
              </w:rPr>
              <w:tab/>
            </w:r>
          </w:p>
        </w:tc>
        <w:tc>
          <w:tcPr>
            <w:tcW w:w="3251"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a"/>
              <w:rPr>
                <w:b/>
                <w:i/>
              </w:rPr>
            </w:pPr>
            <w:r w:rsidRPr="00F046F3">
              <w:rPr>
                <w:b/>
                <w:i/>
              </w:rPr>
              <w:t>Territoriale verdeling van de uitgaven op NUTS-niveau 2</w:t>
            </w:r>
          </w:p>
        </w:tc>
        <w:tc>
          <w:tcPr>
            <w:tcW w:w="3251" w:type="dxa"/>
            <w:tcBorders>
              <w:top w:val="single" w:sz="4" w:space="0" w:color="auto"/>
              <w:left w:val="single" w:sz="4" w:space="0" w:color="auto"/>
              <w:bottom w:val="single" w:sz="4" w:space="0" w:color="auto"/>
              <w:right w:val="single" w:sz="4" w:space="0" w:color="auto"/>
            </w:tcBorders>
          </w:tcPr>
          <w:p w:rsidR="00D15344" w:rsidRPr="00F046F3" w:rsidRDefault="00D15344" w:rsidP="004F1417">
            <w:pPr>
              <w:pStyle w:val="Normal6a"/>
              <w:rPr>
                <w:b/>
                <w:i/>
              </w:rPr>
            </w:pP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98</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15.1 – kolom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a"/>
            </w:pPr>
            <w:r w:rsidRPr="00F046F3">
              <w:t>Maatregelen om bedrijven</w:t>
            </w:r>
            <w:r w:rsidRPr="00F046F3">
              <w:rPr>
                <w:b/>
                <w:i/>
              </w:rPr>
              <w:t xml:space="preserve"> en</w:t>
            </w:r>
            <w:r w:rsidRPr="00F046F3">
              <w:t xml:space="preserve"> lokale gemeenschappen die nadeel ondervinden van de terugtrekking bij te staan</w:t>
            </w:r>
          </w:p>
        </w:tc>
        <w:tc>
          <w:tcPr>
            <w:tcW w:w="4876" w:type="dxa"/>
            <w:hideMark/>
          </w:tcPr>
          <w:p w:rsidR="00D15344" w:rsidRPr="00F046F3" w:rsidRDefault="00D15344" w:rsidP="004F1417">
            <w:pPr>
              <w:pStyle w:val="Normal6a"/>
              <w:rPr>
                <w:szCs w:val="24"/>
              </w:rPr>
            </w:pPr>
            <w:r w:rsidRPr="00F046F3">
              <w:rPr>
                <w:szCs w:val="24"/>
              </w:rPr>
              <w:t xml:space="preserve">Maatregelen om </w:t>
            </w:r>
            <w:r w:rsidRPr="00F046F3">
              <w:rPr>
                <w:b/>
                <w:i/>
                <w:szCs w:val="24"/>
              </w:rPr>
              <w:t xml:space="preserve">particuliere en openbare </w:t>
            </w:r>
            <w:r w:rsidRPr="00F046F3">
              <w:rPr>
                <w:szCs w:val="24"/>
              </w:rPr>
              <w:t>bedrijven</w:t>
            </w:r>
            <w:r w:rsidRPr="00F046F3">
              <w:rPr>
                <w:b/>
                <w:i/>
                <w:szCs w:val="24"/>
              </w:rPr>
              <w:t>, met name kmo’s, zelfstandigen,</w:t>
            </w:r>
            <w:r w:rsidRPr="00F046F3">
              <w:rPr>
                <w:szCs w:val="24"/>
              </w:rPr>
              <w:t xml:space="preserve"> lokale gemeenschappen</w:t>
            </w:r>
            <w:r w:rsidRPr="00F046F3">
              <w:rPr>
                <w:b/>
                <w:i/>
                <w:szCs w:val="24"/>
              </w:rPr>
              <w:t xml:space="preserve"> en organisaties</w:t>
            </w:r>
            <w:r w:rsidRPr="00F046F3">
              <w:rPr>
                <w:szCs w:val="24"/>
              </w:rPr>
              <w:t xml:space="preserve"> die nadeel ondervinden van de terugtrekking bij te staan</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99</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15.2 – kolom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a"/>
            </w:pPr>
            <w:r w:rsidRPr="00F046F3">
              <w:t xml:space="preserve">Maatregelen ter ondersteuning van de </w:t>
            </w:r>
            <w:r w:rsidRPr="00F046F3">
              <w:rPr>
                <w:b/>
                <w:i/>
              </w:rPr>
              <w:t>zwaarst getroffen economische sectoren</w:t>
            </w:r>
          </w:p>
        </w:tc>
        <w:tc>
          <w:tcPr>
            <w:tcW w:w="4876" w:type="dxa"/>
            <w:hideMark/>
          </w:tcPr>
          <w:p w:rsidR="00D15344" w:rsidRPr="00F046F3" w:rsidRDefault="00D15344" w:rsidP="004F1417">
            <w:pPr>
              <w:pStyle w:val="Normal6a"/>
            </w:pPr>
            <w:r w:rsidRPr="00F046F3">
              <w:t xml:space="preserve">Maatregelen ter ondersteuning van de </w:t>
            </w:r>
            <w:r w:rsidRPr="00F046F3">
              <w:rPr>
                <w:b/>
                <w:i/>
              </w:rPr>
              <w:t>economische sectoren die de nadeligste gevolgen ondervinden</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100</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15.3 – kolom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a"/>
              <w:rPr>
                <w:szCs w:val="24"/>
              </w:rPr>
            </w:pPr>
            <w:r w:rsidRPr="00F046F3">
              <w:rPr>
                <w:szCs w:val="24"/>
              </w:rPr>
              <w:t xml:space="preserve">Maatregelen ter ondersteuning van </w:t>
            </w:r>
            <w:r w:rsidRPr="00F046F3">
              <w:rPr>
                <w:b/>
                <w:i/>
                <w:szCs w:val="24"/>
              </w:rPr>
              <w:t>bedrijven</w:t>
            </w:r>
            <w:r w:rsidRPr="00F046F3">
              <w:rPr>
                <w:szCs w:val="24"/>
              </w:rPr>
              <w:t xml:space="preserve"> en lokale gemeenschappen die afhankelijk zijn van visserijactiviteiten in de wateren van het Verenigd Koninkrijk</w:t>
            </w:r>
          </w:p>
        </w:tc>
        <w:tc>
          <w:tcPr>
            <w:tcW w:w="4876" w:type="dxa"/>
            <w:hideMark/>
          </w:tcPr>
          <w:p w:rsidR="00D15344" w:rsidRPr="00F046F3" w:rsidRDefault="00D15344" w:rsidP="004F1417">
            <w:pPr>
              <w:pStyle w:val="Normal6a"/>
              <w:rPr>
                <w:szCs w:val="24"/>
              </w:rPr>
            </w:pPr>
            <w:r w:rsidRPr="00F046F3">
              <w:rPr>
                <w:szCs w:val="24"/>
              </w:rPr>
              <w:t xml:space="preserve">Maatregelen ter ondersteuning van </w:t>
            </w:r>
            <w:r w:rsidRPr="00F046F3">
              <w:rPr>
                <w:b/>
                <w:i/>
                <w:szCs w:val="24"/>
              </w:rPr>
              <w:t>regionale</w:t>
            </w:r>
            <w:r w:rsidRPr="00F046F3">
              <w:rPr>
                <w:szCs w:val="24"/>
              </w:rPr>
              <w:t xml:space="preserve"> en lokale gemeenschappen </w:t>
            </w:r>
            <w:r w:rsidRPr="00F046F3">
              <w:rPr>
                <w:b/>
                <w:i/>
                <w:szCs w:val="24"/>
              </w:rPr>
              <w:t xml:space="preserve">en organisaties, met name de kleinschalige visserij, </w:t>
            </w:r>
            <w:r w:rsidRPr="00F046F3">
              <w:rPr>
                <w:szCs w:val="24"/>
              </w:rPr>
              <w:t>die afhankelijk zijn van visserijactiviteiten in de wateren van het Verenigd Koninkrijk</w:t>
            </w:r>
            <w:r w:rsidRPr="00F046F3">
              <w:rPr>
                <w:b/>
                <w:i/>
                <w:szCs w:val="24"/>
              </w:rPr>
              <w:t>, de wateren van zijn gebieden met een bijzondere status en de wateren die onder met kuststaten gesloten visserijovereenkomsten vallen waar de vangstmogelijkheden voor de EU-vissersvloot als gevolg van de terugtrekking van het Verenigd Koninkrijk uit de Europese Unie kleiner zijn geworden</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101</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15.4 – kolom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a"/>
              <w:rPr>
                <w:szCs w:val="24"/>
              </w:rPr>
            </w:pPr>
            <w:r w:rsidRPr="00F046F3">
              <w:rPr>
                <w:szCs w:val="24"/>
              </w:rPr>
              <w:t xml:space="preserve">Maatregelen ter ondersteuning van </w:t>
            </w:r>
            <w:r w:rsidRPr="00F046F3">
              <w:rPr>
                <w:b/>
                <w:i/>
                <w:szCs w:val="24"/>
              </w:rPr>
              <w:t>de</w:t>
            </w:r>
            <w:r w:rsidRPr="00F046F3">
              <w:rPr>
                <w:szCs w:val="24"/>
              </w:rPr>
              <w:t xml:space="preserve"> werkgelegenheid</w:t>
            </w:r>
            <w:r w:rsidRPr="00F046F3">
              <w:rPr>
                <w:b/>
                <w:i/>
                <w:szCs w:val="24"/>
              </w:rPr>
              <w:t xml:space="preserve"> door middel van</w:t>
            </w:r>
            <w:r w:rsidRPr="00F046F3">
              <w:rPr>
                <w:szCs w:val="24"/>
              </w:rPr>
              <w:t xml:space="preserve"> arbeidstijdverkortingsregelingen, omscholing en opleiding in de getroffen sectoren</w:t>
            </w:r>
          </w:p>
        </w:tc>
        <w:tc>
          <w:tcPr>
            <w:tcW w:w="4876" w:type="dxa"/>
            <w:hideMark/>
          </w:tcPr>
          <w:p w:rsidR="00D15344" w:rsidRPr="00F046F3" w:rsidRDefault="00D15344" w:rsidP="004F1417">
            <w:pPr>
              <w:pStyle w:val="Normal6a"/>
              <w:rPr>
                <w:szCs w:val="24"/>
              </w:rPr>
            </w:pPr>
            <w:r w:rsidRPr="00F046F3">
              <w:rPr>
                <w:szCs w:val="24"/>
              </w:rPr>
              <w:t xml:space="preserve">Maatregelen ter ondersteuning van </w:t>
            </w:r>
            <w:r w:rsidRPr="00F046F3">
              <w:rPr>
                <w:b/>
                <w:i/>
                <w:szCs w:val="24"/>
              </w:rPr>
              <w:t>het scheppen van banen en</w:t>
            </w:r>
            <w:r w:rsidRPr="00F046F3">
              <w:rPr>
                <w:szCs w:val="24"/>
              </w:rPr>
              <w:t xml:space="preserve"> werkgelegenheid</w:t>
            </w:r>
            <w:r w:rsidRPr="00F046F3">
              <w:rPr>
                <w:b/>
                <w:i/>
                <w:szCs w:val="24"/>
              </w:rPr>
              <w:t>, waaronder groene banen,</w:t>
            </w:r>
            <w:r w:rsidRPr="00F046F3">
              <w:rPr>
                <w:szCs w:val="24"/>
              </w:rPr>
              <w:t xml:space="preserve"> arbeidstijdverkortingsregelingen, omscholing en opleiding in de getroffen sectoren</w:t>
            </w:r>
            <w:r w:rsidRPr="00F046F3">
              <w:rPr>
                <w:b/>
                <w:i/>
                <w:szCs w:val="24"/>
              </w:rPr>
              <w:t>, en passende maatregelen ter facilitering van de re-integratie van burgers van de Unie en personen die het recht hebben op het grondgebied van de Unie of van een lidstaat te verblijven en die het Verenigd Koninkrijk als gevolg van de terugtrekking hebben verlaten</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102</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15.4 bis (nieuw)</w:t>
      </w:r>
    </w:p>
    <w:tbl>
      <w:tblPr>
        <w:tblW w:w="0" w:type="dxa"/>
        <w:jc w:val="center"/>
        <w:tblLayout w:type="fixed"/>
        <w:tblCellMar>
          <w:left w:w="340" w:type="dxa"/>
          <w:right w:w="340" w:type="dxa"/>
        </w:tblCellMar>
        <w:tblLook w:val="04A0" w:firstRow="1" w:lastRow="0" w:firstColumn="1" w:lastColumn="0" w:noHBand="0" w:noVBand="1"/>
      </w:tblPr>
      <w:tblGrid>
        <w:gridCol w:w="1418"/>
        <w:gridCol w:w="4678"/>
        <w:gridCol w:w="1275"/>
        <w:gridCol w:w="1276"/>
        <w:gridCol w:w="1105"/>
      </w:tblGrid>
      <w:tr w:rsidR="00D15344" w:rsidRPr="00F046F3" w:rsidTr="004F1417">
        <w:trPr>
          <w:jc w:val="center"/>
        </w:trPr>
        <w:tc>
          <w:tcPr>
            <w:tcW w:w="9752" w:type="dxa"/>
            <w:gridSpan w:val="5"/>
          </w:tcPr>
          <w:p w:rsidR="00D15344" w:rsidRPr="00F046F3" w:rsidRDefault="00D15344" w:rsidP="004F1417">
            <w:pPr>
              <w:keepNext/>
            </w:pPr>
          </w:p>
        </w:tc>
      </w:tr>
      <w:tr w:rsidR="00D15344" w:rsidRPr="00F046F3" w:rsidTr="004F1417">
        <w:trPr>
          <w:jc w:val="center"/>
        </w:trPr>
        <w:tc>
          <w:tcPr>
            <w:tcW w:w="9752" w:type="dxa"/>
            <w:gridSpan w:val="5"/>
            <w:hideMark/>
          </w:tcPr>
          <w:p w:rsidR="00D15344" w:rsidRPr="00F046F3" w:rsidRDefault="00D15344" w:rsidP="004F1417">
            <w:pPr>
              <w:pStyle w:val="AmColumnHeading"/>
              <w:keepNext/>
            </w:pPr>
            <w:r w:rsidRPr="00F046F3">
              <w:t>Door de Commissie voorgestelde tekst</w:t>
            </w:r>
          </w:p>
        </w:tc>
      </w:tr>
      <w:tr w:rsidR="00D15344" w:rsidRPr="00F046F3" w:rsidTr="004F1417">
        <w:trPr>
          <w:jc w:val="center"/>
        </w:trPr>
        <w:tc>
          <w:tcPr>
            <w:tcW w:w="1418" w:type="dxa"/>
          </w:tcPr>
          <w:p w:rsidR="00D15344" w:rsidRPr="00F046F3" w:rsidRDefault="00D15344" w:rsidP="004F1417">
            <w:pPr>
              <w:pStyle w:val="Normal6a"/>
              <w:rPr>
                <w:szCs w:val="24"/>
              </w:rPr>
            </w:pPr>
          </w:p>
        </w:tc>
        <w:tc>
          <w:tcPr>
            <w:tcW w:w="4678" w:type="dxa"/>
          </w:tcPr>
          <w:p w:rsidR="00D15344" w:rsidRPr="00F046F3" w:rsidRDefault="00D15344" w:rsidP="004F1417">
            <w:pPr>
              <w:pStyle w:val="Normal6a"/>
              <w:rPr>
                <w:szCs w:val="24"/>
              </w:rPr>
            </w:pPr>
          </w:p>
        </w:tc>
        <w:tc>
          <w:tcPr>
            <w:tcW w:w="1275" w:type="dxa"/>
          </w:tcPr>
          <w:p w:rsidR="00D15344" w:rsidRPr="00F046F3" w:rsidRDefault="00D15344" w:rsidP="004F1417">
            <w:pPr>
              <w:pStyle w:val="Normal6a"/>
              <w:rPr>
                <w:szCs w:val="24"/>
              </w:rPr>
            </w:pPr>
          </w:p>
        </w:tc>
        <w:tc>
          <w:tcPr>
            <w:tcW w:w="1276" w:type="dxa"/>
          </w:tcPr>
          <w:p w:rsidR="00D15344" w:rsidRPr="00F046F3" w:rsidRDefault="00D15344" w:rsidP="004F1417">
            <w:pPr>
              <w:pStyle w:val="Normal6a"/>
              <w:rPr>
                <w:szCs w:val="24"/>
              </w:rPr>
            </w:pPr>
          </w:p>
        </w:tc>
        <w:tc>
          <w:tcPr>
            <w:tcW w:w="1105" w:type="dxa"/>
          </w:tcPr>
          <w:p w:rsidR="00D15344" w:rsidRPr="00F046F3" w:rsidRDefault="00D15344" w:rsidP="004F1417">
            <w:pPr>
              <w:pStyle w:val="Normal6a"/>
              <w:rPr>
                <w:szCs w:val="24"/>
              </w:rPr>
            </w:pPr>
          </w:p>
        </w:tc>
      </w:tr>
      <w:tr w:rsidR="00D15344" w:rsidRPr="00F046F3" w:rsidTr="004F1417">
        <w:trPr>
          <w:jc w:val="center"/>
        </w:trPr>
        <w:tc>
          <w:tcPr>
            <w:tcW w:w="9752" w:type="dxa"/>
            <w:gridSpan w:val="5"/>
            <w:tcBorders>
              <w:top w:val="nil"/>
              <w:left w:val="nil"/>
              <w:bottom w:val="single" w:sz="4" w:space="0" w:color="auto"/>
              <w:right w:val="nil"/>
            </w:tcBorders>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1418"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a"/>
              <w:rPr>
                <w:szCs w:val="24"/>
              </w:rPr>
            </w:pPr>
            <w:r w:rsidRPr="00F046F3">
              <w:rPr>
                <w:b/>
                <w:i/>
              </w:rPr>
              <w:t>15.4 bis</w:t>
            </w:r>
            <w:r w:rsidRPr="00F046F3">
              <w:rPr>
                <w:b/>
                <w:i/>
              </w:rPr>
              <w:tab/>
            </w:r>
          </w:p>
        </w:tc>
        <w:tc>
          <w:tcPr>
            <w:tcW w:w="4678" w:type="dxa"/>
            <w:tcBorders>
              <w:top w:val="single" w:sz="4" w:space="0" w:color="auto"/>
              <w:left w:val="single" w:sz="4" w:space="0" w:color="auto"/>
              <w:bottom w:val="single" w:sz="4" w:space="0" w:color="auto"/>
              <w:right w:val="single" w:sz="4" w:space="0" w:color="auto"/>
            </w:tcBorders>
            <w:hideMark/>
          </w:tcPr>
          <w:p w:rsidR="00D15344" w:rsidRPr="00F046F3" w:rsidRDefault="00D15344" w:rsidP="004F1417">
            <w:pPr>
              <w:pStyle w:val="Normal6a"/>
              <w:rPr>
                <w:szCs w:val="24"/>
              </w:rPr>
            </w:pPr>
            <w:r w:rsidRPr="00F046F3">
              <w:rPr>
                <w:b/>
                <w:i/>
                <w:szCs w:val="24"/>
              </w:rPr>
              <w:t>Maatregelen ter beperking van door de terugtrekking van het Verenigd Koninkrijk veroorzaakte verstoringen voor lokale en regionale grensoverschrijdende samenwerkings- en uitwisselingsprogramma’s</w:t>
            </w:r>
          </w:p>
        </w:tc>
        <w:tc>
          <w:tcPr>
            <w:tcW w:w="1275" w:type="dxa"/>
            <w:tcBorders>
              <w:top w:val="single" w:sz="4" w:space="0" w:color="auto"/>
              <w:left w:val="single" w:sz="4" w:space="0" w:color="auto"/>
              <w:bottom w:val="single" w:sz="4" w:space="0" w:color="auto"/>
              <w:right w:val="single" w:sz="4" w:space="0" w:color="auto"/>
            </w:tcBorders>
          </w:tcPr>
          <w:p w:rsidR="00D15344" w:rsidRPr="00F046F3" w:rsidRDefault="00D15344" w:rsidP="004F1417">
            <w:pPr>
              <w:pStyle w:val="Normal6a"/>
              <w:rPr>
                <w:szCs w:val="24"/>
              </w:rPr>
            </w:pPr>
          </w:p>
        </w:tc>
        <w:tc>
          <w:tcPr>
            <w:tcW w:w="1276" w:type="dxa"/>
            <w:tcBorders>
              <w:top w:val="single" w:sz="4" w:space="0" w:color="auto"/>
              <w:left w:val="single" w:sz="4" w:space="0" w:color="auto"/>
              <w:bottom w:val="single" w:sz="4" w:space="0" w:color="auto"/>
              <w:right w:val="single" w:sz="4" w:space="0" w:color="auto"/>
            </w:tcBorders>
          </w:tcPr>
          <w:p w:rsidR="00D15344" w:rsidRPr="00F046F3" w:rsidRDefault="00D15344" w:rsidP="004F1417">
            <w:pPr>
              <w:pStyle w:val="Normal6a"/>
              <w:rPr>
                <w:szCs w:val="24"/>
              </w:rPr>
            </w:pPr>
          </w:p>
        </w:tc>
        <w:tc>
          <w:tcPr>
            <w:tcW w:w="1105" w:type="dxa"/>
            <w:tcBorders>
              <w:top w:val="single" w:sz="4" w:space="0" w:color="auto"/>
              <w:left w:val="single" w:sz="4" w:space="0" w:color="auto"/>
              <w:bottom w:val="single" w:sz="4" w:space="0" w:color="auto"/>
              <w:right w:val="single" w:sz="4" w:space="0" w:color="auto"/>
            </w:tcBorders>
          </w:tcPr>
          <w:p w:rsidR="00D15344" w:rsidRPr="00F046F3" w:rsidRDefault="00D15344" w:rsidP="004F1417">
            <w:pPr>
              <w:pStyle w:val="Normal6a"/>
              <w:rPr>
                <w:szCs w:val="24"/>
              </w:rPr>
            </w:pP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103</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15.5 – kolom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4F1417">
        <w:trPr>
          <w:jc w:val="center"/>
        </w:trPr>
        <w:tc>
          <w:tcPr>
            <w:tcW w:w="4876" w:type="dxa"/>
            <w:hideMark/>
          </w:tcPr>
          <w:p w:rsidR="00D15344" w:rsidRPr="00F046F3" w:rsidRDefault="00D15344" w:rsidP="004F1417">
            <w:pPr>
              <w:pStyle w:val="Normal6a"/>
              <w:rPr>
                <w:szCs w:val="24"/>
              </w:rPr>
            </w:pPr>
            <w:r w:rsidRPr="00F046F3">
              <w:rPr>
                <w:szCs w:val="24"/>
              </w:rPr>
              <w:t>Maatregelen om het functioneren van de grens- en veiligheidscontroles te waarborgen, met inbegrip van extra personeel en infrastructuur</w:t>
            </w:r>
          </w:p>
        </w:tc>
        <w:tc>
          <w:tcPr>
            <w:tcW w:w="4876" w:type="dxa"/>
            <w:hideMark/>
          </w:tcPr>
          <w:p w:rsidR="00D15344" w:rsidRPr="00F046F3" w:rsidRDefault="00D15344" w:rsidP="004F1417">
            <w:pPr>
              <w:pStyle w:val="Normal6a"/>
              <w:rPr>
                <w:szCs w:val="24"/>
              </w:rPr>
            </w:pPr>
            <w:r w:rsidRPr="00F046F3">
              <w:rPr>
                <w:szCs w:val="24"/>
              </w:rPr>
              <w:t>Maatregelen om het functioneren van de grens- en veiligheidscontroles te waarborgen, met inbegrip van extra personeel</w:t>
            </w:r>
            <w:r w:rsidRPr="00F046F3">
              <w:rPr>
                <w:b/>
                <w:i/>
                <w:szCs w:val="24"/>
              </w:rPr>
              <w:t>, opleiding</w:t>
            </w:r>
            <w:r w:rsidRPr="00F046F3">
              <w:rPr>
                <w:szCs w:val="24"/>
              </w:rPr>
              <w:t xml:space="preserve"> en infrastructuur</w:t>
            </w:r>
          </w:p>
        </w:tc>
      </w:tr>
    </w:tbl>
    <w:p w:rsidR="00D15344" w:rsidRPr="00F046F3" w:rsidRDefault="00D15344" w:rsidP="00D15344"/>
    <w:p w:rsidR="00D15344" w:rsidRPr="00F046F3" w:rsidRDefault="00D15344" w:rsidP="00D15344">
      <w:pPr>
        <w:pStyle w:val="AmNumberTabs"/>
        <w:keepNext/>
      </w:pPr>
      <w:r w:rsidRPr="00F046F3">
        <w:t>Amendement</w:t>
      </w:r>
      <w:r w:rsidRPr="00F046F3">
        <w:tab/>
      </w:r>
      <w:r w:rsidRPr="00F046F3">
        <w:tab/>
        <w:t>104</w:t>
      </w:r>
    </w:p>
    <w:p w:rsidR="00D15344" w:rsidRPr="00F046F3" w:rsidRDefault="00D15344" w:rsidP="00D15344">
      <w:pPr>
        <w:pStyle w:val="NormalBold12b"/>
      </w:pPr>
      <w:r w:rsidRPr="00F046F3">
        <w:t>Voorstel voor een verordening</w:t>
      </w:r>
    </w:p>
    <w:p w:rsidR="00D15344" w:rsidRPr="00F046F3" w:rsidRDefault="00D15344" w:rsidP="00D15344">
      <w:pPr>
        <w:pStyle w:val="NormalBold"/>
        <w:keepNext/>
      </w:pPr>
      <w:r w:rsidRPr="00F046F3">
        <w:t>Bijlage II – tabel – rij 16 – kolom 2 – alinea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D837C6">
        <w:trPr>
          <w:jc w:val="center"/>
        </w:trPr>
        <w:tc>
          <w:tcPr>
            <w:tcW w:w="9752" w:type="dxa"/>
            <w:gridSpan w:val="2"/>
          </w:tcPr>
          <w:p w:rsidR="00D15344" w:rsidRPr="00F046F3" w:rsidRDefault="00D15344" w:rsidP="004F1417">
            <w:pPr>
              <w:keepNext/>
            </w:pPr>
          </w:p>
        </w:tc>
      </w:tr>
      <w:tr w:rsidR="00D15344" w:rsidRPr="00F046F3" w:rsidTr="00D837C6">
        <w:trPr>
          <w:jc w:val="center"/>
        </w:trPr>
        <w:tc>
          <w:tcPr>
            <w:tcW w:w="4876" w:type="dxa"/>
            <w:hideMark/>
          </w:tcPr>
          <w:p w:rsidR="00D15344" w:rsidRPr="00F046F3" w:rsidRDefault="00D15344" w:rsidP="004F1417">
            <w:pPr>
              <w:pStyle w:val="AmColumnHeading"/>
              <w:keepNext/>
            </w:pPr>
            <w:r w:rsidRPr="00F046F3">
              <w:t>Door de Commissie voorgestelde tekst</w:t>
            </w:r>
          </w:p>
        </w:tc>
        <w:tc>
          <w:tcPr>
            <w:tcW w:w="4876" w:type="dxa"/>
            <w:hideMark/>
          </w:tcPr>
          <w:p w:rsidR="00D15344" w:rsidRPr="00F046F3" w:rsidRDefault="00D15344" w:rsidP="004F1417">
            <w:pPr>
              <w:pStyle w:val="AmColumnHeading"/>
              <w:keepNext/>
            </w:pPr>
            <w:r w:rsidRPr="00F046F3">
              <w:t>Amendement</w:t>
            </w:r>
          </w:p>
        </w:tc>
      </w:tr>
      <w:tr w:rsidR="00D15344" w:rsidRPr="00F046F3" w:rsidTr="00D837C6">
        <w:trPr>
          <w:jc w:val="center"/>
        </w:trPr>
        <w:tc>
          <w:tcPr>
            <w:tcW w:w="4876" w:type="dxa"/>
            <w:hideMark/>
          </w:tcPr>
          <w:p w:rsidR="00D15344" w:rsidRPr="00F046F3" w:rsidRDefault="00D15344" w:rsidP="004F1417">
            <w:pPr>
              <w:pStyle w:val="Normal6a"/>
            </w:pPr>
            <w:r w:rsidRPr="00F046F3">
              <w:rPr>
                <w:b/>
                <w:i/>
              </w:rPr>
              <w:t xml:space="preserve">Korte </w:t>
            </w:r>
            <w:r w:rsidRPr="00F046F3">
              <w:t>beschrijving/bedrag</w:t>
            </w:r>
            <w:r w:rsidRPr="00F046F3">
              <w:br/>
              <w:t>(bv. gebruik van financiering in het kader van het cohesiebeleid/React-EU/JTF/faciliteit voor herstel en veerkracht/andere – graag specificeren)</w:t>
            </w:r>
          </w:p>
        </w:tc>
        <w:tc>
          <w:tcPr>
            <w:tcW w:w="4876" w:type="dxa"/>
            <w:hideMark/>
          </w:tcPr>
          <w:p w:rsidR="00D15344" w:rsidRPr="00F046F3" w:rsidRDefault="00D15344" w:rsidP="004F1417">
            <w:pPr>
              <w:pStyle w:val="Normal6a"/>
              <w:rPr>
                <w:szCs w:val="24"/>
              </w:rPr>
            </w:pPr>
            <w:r w:rsidRPr="00F046F3">
              <w:rPr>
                <w:szCs w:val="24"/>
              </w:rPr>
              <w:t>Beschrijving/bedrag</w:t>
            </w:r>
            <w:r w:rsidRPr="00F046F3">
              <w:rPr>
                <w:szCs w:val="24"/>
              </w:rPr>
              <w:br/>
              <w:t>(bv. gebruik van financiering in het kader van het cohesiebeleid/React-EU/JTF/faciliteit voor herstel en veerkracht/andere – graag specificeren)</w:t>
            </w:r>
          </w:p>
        </w:tc>
      </w:tr>
    </w:tbl>
    <w:p w:rsidR="00D837C6" w:rsidRPr="00F046F3" w:rsidRDefault="00D837C6" w:rsidP="00D837C6"/>
    <w:p w:rsidR="00D837C6" w:rsidRPr="00F046F3" w:rsidRDefault="00D837C6" w:rsidP="00D837C6">
      <w:pPr>
        <w:pStyle w:val="AmNumberTabs"/>
        <w:keepNext/>
      </w:pPr>
      <w:r w:rsidRPr="00F046F3">
        <w:t>Amendement</w:t>
      </w:r>
      <w:r w:rsidRPr="00F046F3">
        <w:tab/>
      </w:r>
      <w:r w:rsidRPr="00F046F3">
        <w:tab/>
        <w:t>105</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II – alinea 1 – letter b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b bis)</w:t>
            </w:r>
            <w:r w:rsidRPr="00F046F3">
              <w:rPr>
                <w:b/>
                <w:i/>
              </w:rPr>
              <w:tab/>
              <w:t>de ingevoerde controlesystemen de wettigheid en regelmatigheid van de onderliggende verrichtingen waarborgen.</w:t>
            </w:r>
          </w:p>
        </w:tc>
      </w:tr>
    </w:tbl>
    <w:p w:rsidR="00D15344" w:rsidRPr="00F046F3" w:rsidRDefault="00D15344" w:rsidP="00D15344"/>
    <w:p w:rsidR="00D15344" w:rsidRPr="00F046F3" w:rsidRDefault="00D15344" w:rsidP="00D15344">
      <w:pPr>
        <w:pStyle w:val="AmNumberTabs"/>
      </w:pPr>
      <w:r w:rsidRPr="00F046F3">
        <w:t>Amendement</w:t>
      </w:r>
      <w:r w:rsidRPr="00F046F3">
        <w:tab/>
      </w:r>
      <w:r w:rsidRPr="00F046F3">
        <w:tab/>
        <w:t>106</w:t>
      </w:r>
    </w:p>
    <w:p w:rsidR="00D15344" w:rsidRPr="00F046F3" w:rsidRDefault="00D15344" w:rsidP="00D15344"/>
    <w:p w:rsidR="00D15344" w:rsidRPr="00F046F3" w:rsidRDefault="00D15344" w:rsidP="00D15344">
      <w:pPr>
        <w:pStyle w:val="NormalBold"/>
        <w:keepNext/>
      </w:pPr>
      <w:r w:rsidRPr="00F046F3">
        <w:t>Voorstel voor een verordening</w:t>
      </w:r>
    </w:p>
    <w:p w:rsidR="00D15344" w:rsidRPr="00F046F3" w:rsidRDefault="00D15344" w:rsidP="00D15344">
      <w:pPr>
        <w:pStyle w:val="NormalBold"/>
      </w:pPr>
      <w:r w:rsidRPr="00F046F3">
        <w:t>Bijlage III – punt 1 – punt 1.3 – letter a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5344" w:rsidRPr="00F046F3" w:rsidTr="004F1417">
        <w:trPr>
          <w:jc w:val="center"/>
        </w:trPr>
        <w:tc>
          <w:tcPr>
            <w:tcW w:w="9752" w:type="dxa"/>
            <w:gridSpan w:val="2"/>
          </w:tcPr>
          <w:p w:rsidR="00D15344" w:rsidRPr="00F046F3" w:rsidRDefault="00D15344" w:rsidP="004F1417">
            <w:pPr>
              <w:keepNext/>
            </w:pPr>
          </w:p>
        </w:tc>
      </w:tr>
      <w:tr w:rsidR="00D15344" w:rsidRPr="00F046F3" w:rsidTr="004F1417">
        <w:trPr>
          <w:jc w:val="center"/>
        </w:trPr>
        <w:tc>
          <w:tcPr>
            <w:tcW w:w="4876" w:type="dxa"/>
            <w:hideMark/>
          </w:tcPr>
          <w:p w:rsidR="00D15344" w:rsidRPr="00F046F3" w:rsidRDefault="00D15344" w:rsidP="004F1417">
            <w:pPr>
              <w:pStyle w:val="ColumnHeading"/>
              <w:keepNext/>
            </w:pPr>
            <w:r w:rsidRPr="00F046F3">
              <w:t>Door de Commissie voorgestelde tekst</w:t>
            </w:r>
          </w:p>
        </w:tc>
        <w:tc>
          <w:tcPr>
            <w:tcW w:w="4876" w:type="dxa"/>
            <w:hideMark/>
          </w:tcPr>
          <w:p w:rsidR="00D15344" w:rsidRPr="00F046F3" w:rsidRDefault="00D15344" w:rsidP="004F1417">
            <w:pPr>
              <w:pStyle w:val="ColumnHeading"/>
              <w:keepNext/>
            </w:pPr>
            <w:r w:rsidRPr="00F046F3">
              <w:t>Amendement</w:t>
            </w:r>
          </w:p>
        </w:tc>
      </w:tr>
      <w:tr w:rsidR="00D15344" w:rsidRPr="00F046F3" w:rsidTr="004F1417">
        <w:trPr>
          <w:jc w:val="center"/>
        </w:trPr>
        <w:tc>
          <w:tcPr>
            <w:tcW w:w="4876" w:type="dxa"/>
          </w:tcPr>
          <w:p w:rsidR="00D15344" w:rsidRPr="00F046F3" w:rsidRDefault="00D15344" w:rsidP="004F1417">
            <w:pPr>
              <w:pStyle w:val="Normal6"/>
            </w:pPr>
          </w:p>
        </w:tc>
        <w:tc>
          <w:tcPr>
            <w:tcW w:w="4876" w:type="dxa"/>
            <w:hideMark/>
          </w:tcPr>
          <w:p w:rsidR="00D15344" w:rsidRPr="00F046F3" w:rsidRDefault="00D15344" w:rsidP="004F1417">
            <w:pPr>
              <w:pStyle w:val="Normal6"/>
              <w:rPr>
                <w:szCs w:val="24"/>
              </w:rPr>
            </w:pPr>
            <w:r w:rsidRPr="00F046F3">
              <w:rPr>
                <w:b/>
                <w:i/>
              </w:rPr>
              <w:t>a bis)</w:t>
            </w:r>
            <w:r w:rsidRPr="00F046F3">
              <w:rPr>
                <w:b/>
                <w:i/>
              </w:rPr>
              <w:tab/>
              <w:t>In voorkomend geval, het orgaan of de organen waaraan taken en financiële middelen uit de reserve werden gedelegeerd (naam, adres en contactpunt in het orgaan):</w:t>
            </w:r>
          </w:p>
        </w:tc>
      </w:tr>
    </w:tbl>
    <w:p w:rsidR="00D15344" w:rsidRPr="00F046F3" w:rsidRDefault="00D15344" w:rsidP="00D15344"/>
    <w:sectPr w:rsidR="00D15344" w:rsidRPr="00F046F3" w:rsidSect="003574B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17" w:rsidRPr="003574B1" w:rsidRDefault="004F1417">
      <w:r w:rsidRPr="003574B1">
        <w:separator/>
      </w:r>
    </w:p>
  </w:endnote>
  <w:endnote w:type="continuationSeparator" w:id="0">
    <w:p w:rsidR="004F1417" w:rsidRPr="003574B1" w:rsidRDefault="004F1417">
      <w:r w:rsidRPr="003574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8" w:rsidRDefault="00155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17" w:rsidRDefault="004F1417" w:rsidP="00F046F3">
    <w:pPr>
      <w:pStyle w:val="Footer"/>
      <w:tabs>
        <w:tab w:val="clear" w:pos="4513"/>
        <w:tab w:val="clear" w:pos="9026"/>
        <w:tab w:val="right" w:pos="9184"/>
      </w:tabs>
    </w:pPr>
  </w:p>
  <w:p w:rsidR="00F046F3" w:rsidRDefault="00F046F3" w:rsidP="00F046F3">
    <w:pPr>
      <w:pStyle w:val="Footer"/>
      <w:pBdr>
        <w:top w:val="single" w:sz="2" w:space="1" w:color="000000"/>
      </w:pBdr>
      <w:tabs>
        <w:tab w:val="clear" w:pos="4513"/>
        <w:tab w:val="clear" w:pos="9026"/>
        <w:tab w:val="right" w:pos="9184"/>
      </w:tabs>
    </w:pPr>
    <w:r>
      <w:tab/>
    </w:r>
    <w:r w:rsidRPr="00F046F3">
      <w:rPr>
        <w:rStyle w:val="HideTWBExt"/>
      </w:rPr>
      <w:t>&lt;NuPE&gt;</w:t>
    </w:r>
    <w:r>
      <w:t>PE696.008</w:t>
    </w:r>
    <w:r w:rsidRPr="00F046F3">
      <w:rPr>
        <w:rStyle w:val="HideTWBExt"/>
      </w:rPr>
      <w:t>&lt;/NuPE&gt;</w:t>
    </w:r>
    <w:r>
      <w:t xml:space="preserve">/ </w:t>
    </w:r>
    <w:r>
      <w:fldChar w:fldCharType="begin"/>
    </w:r>
    <w:r>
      <w:instrText xml:space="preserve"> PAGE  \* MERGEFORMAT </w:instrText>
    </w:r>
    <w:r>
      <w:fldChar w:fldCharType="separate"/>
    </w:r>
    <w:r w:rsidR="00FB7712">
      <w:rPr>
        <w:noProof/>
      </w:rPr>
      <w:t>1</w:t>
    </w:r>
    <w:r>
      <w:fldChar w:fldCharType="end"/>
    </w:r>
  </w:p>
  <w:p w:rsidR="00F046F3" w:rsidRPr="00F046F3" w:rsidRDefault="00F046F3" w:rsidP="00F046F3">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8" w:rsidRDefault="00155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17" w:rsidRPr="003574B1" w:rsidRDefault="004F1417">
      <w:r w:rsidRPr="003574B1">
        <w:separator/>
      </w:r>
    </w:p>
  </w:footnote>
  <w:footnote w:type="continuationSeparator" w:id="0">
    <w:p w:rsidR="004F1417" w:rsidRPr="003574B1" w:rsidRDefault="004F1417">
      <w:r w:rsidRPr="003574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8" w:rsidRDefault="00155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8" w:rsidRDefault="00155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8" w:rsidRDefault="00155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77566762"/>
    <w:multiLevelType w:val="hybridMultilevel"/>
    <w:tmpl w:val="E5E2D4BC"/>
    <w:lvl w:ilvl="0" w:tplc="A37EAACA">
      <w:start w:val="1"/>
      <w:numFmt w:val="decimal"/>
      <w:lvlText w:val="%1."/>
      <w:lvlJc w:val="left"/>
      <w:pPr>
        <w:ind w:left="360" w:hanging="360"/>
      </w:pPr>
    </w:lvl>
    <w:lvl w:ilvl="1" w:tplc="74F669B6">
      <w:start w:val="1"/>
      <w:numFmt w:val="lowerLetter"/>
      <w:lvlText w:val="%2."/>
      <w:lvlJc w:val="left"/>
      <w:pPr>
        <w:ind w:left="1080" w:hanging="360"/>
      </w:pPr>
    </w:lvl>
    <w:lvl w:ilvl="2" w:tplc="E9504A7A">
      <w:start w:val="1"/>
      <w:numFmt w:val="lowerRoman"/>
      <w:lvlText w:val="%3."/>
      <w:lvlJc w:val="right"/>
      <w:pPr>
        <w:ind w:left="1800" w:hanging="180"/>
      </w:pPr>
    </w:lvl>
    <w:lvl w:ilvl="3" w:tplc="B178D70C">
      <w:start w:val="1"/>
      <w:numFmt w:val="decimal"/>
      <w:lvlText w:val="%4."/>
      <w:lvlJc w:val="left"/>
      <w:pPr>
        <w:ind w:left="2520" w:hanging="360"/>
      </w:pPr>
    </w:lvl>
    <w:lvl w:ilvl="4" w:tplc="75ACC82E">
      <w:start w:val="1"/>
      <w:numFmt w:val="lowerLetter"/>
      <w:lvlText w:val="%5."/>
      <w:lvlJc w:val="left"/>
      <w:pPr>
        <w:ind w:left="3240" w:hanging="360"/>
      </w:pPr>
    </w:lvl>
    <w:lvl w:ilvl="5" w:tplc="33BC113C">
      <w:start w:val="1"/>
      <w:numFmt w:val="lowerRoman"/>
      <w:lvlText w:val="%6."/>
      <w:lvlJc w:val="right"/>
      <w:pPr>
        <w:ind w:left="3960" w:hanging="180"/>
      </w:pPr>
    </w:lvl>
    <w:lvl w:ilvl="6" w:tplc="B1DCC33E">
      <w:start w:val="1"/>
      <w:numFmt w:val="decimal"/>
      <w:lvlText w:val="%7."/>
      <w:lvlJc w:val="left"/>
      <w:pPr>
        <w:ind w:left="4680" w:hanging="360"/>
      </w:pPr>
    </w:lvl>
    <w:lvl w:ilvl="7" w:tplc="ADD4399A">
      <w:start w:val="1"/>
      <w:numFmt w:val="lowerLetter"/>
      <w:lvlText w:val="%8."/>
      <w:lvlJc w:val="left"/>
      <w:pPr>
        <w:ind w:left="5400" w:hanging="360"/>
      </w:pPr>
    </w:lvl>
    <w:lvl w:ilvl="8" w:tplc="51546652">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78/2021"/>
    <w:docVar w:name="dvlangue" w:val="NL"/>
    <w:docVar w:name="dvnumam" w:val="215"/>
    <w:docVar w:name="dvpe" w:val="680.711"/>
    <w:docVar w:name="dvrapporteur" w:val="Rapporteur: "/>
    <w:docVar w:name="dvtitre" w:val="Wetgevingsresolutie van het Europees Parlement van xxx september 2021 over het voorstel voor een verordening van het Europees Parlement en de Raad tot oprichting van de reserve voor aanpassing aan de brexit(COM(2020)0854 – C9-0433/2020 – 2020/0380(COD))"/>
    <w:docVar w:name="TA_Comm_A5Nr" w:val="A9-0178/2021"/>
    <w:docVar w:name="TA_Comm_Langue" w:val="NL"/>
    <w:docVar w:name="TA_Comm_NrAM" w:val="001-106"/>
    <w:docVar w:name="TA_Type" w:val="TA_COMM"/>
  </w:docVars>
  <w:rsids>
    <w:rsidRoot w:val="00A5709B"/>
    <w:rsid w:val="00002272"/>
    <w:rsid w:val="00064002"/>
    <w:rsid w:val="000677B9"/>
    <w:rsid w:val="000831BA"/>
    <w:rsid w:val="000A42CC"/>
    <w:rsid w:val="000E7DD9"/>
    <w:rsid w:val="0010095E"/>
    <w:rsid w:val="00125B37"/>
    <w:rsid w:val="00155B88"/>
    <w:rsid w:val="00187494"/>
    <w:rsid w:val="001F32AE"/>
    <w:rsid w:val="002767FF"/>
    <w:rsid w:val="002B18FE"/>
    <w:rsid w:val="002B5493"/>
    <w:rsid w:val="00321C65"/>
    <w:rsid w:val="00343214"/>
    <w:rsid w:val="003574B1"/>
    <w:rsid w:val="00361C00"/>
    <w:rsid w:val="00395FA1"/>
    <w:rsid w:val="003E15D4"/>
    <w:rsid w:val="00411CCE"/>
    <w:rsid w:val="0041666E"/>
    <w:rsid w:val="00421060"/>
    <w:rsid w:val="00465C26"/>
    <w:rsid w:val="00471C19"/>
    <w:rsid w:val="004867E3"/>
    <w:rsid w:val="00494A28"/>
    <w:rsid w:val="004C0004"/>
    <w:rsid w:val="004C5D52"/>
    <w:rsid w:val="004F1417"/>
    <w:rsid w:val="0050519A"/>
    <w:rsid w:val="005072A1"/>
    <w:rsid w:val="00514517"/>
    <w:rsid w:val="00545827"/>
    <w:rsid w:val="00560270"/>
    <w:rsid w:val="005C2568"/>
    <w:rsid w:val="006037C0"/>
    <w:rsid w:val="006631B6"/>
    <w:rsid w:val="00680577"/>
    <w:rsid w:val="006B76D1"/>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5709B"/>
    <w:rsid w:val="00A778C7"/>
    <w:rsid w:val="00AB441E"/>
    <w:rsid w:val="00AB6293"/>
    <w:rsid w:val="00AC6C7C"/>
    <w:rsid w:val="00AD3CD7"/>
    <w:rsid w:val="00AE0928"/>
    <w:rsid w:val="00AF3B82"/>
    <w:rsid w:val="00AF7938"/>
    <w:rsid w:val="00B12E95"/>
    <w:rsid w:val="00B22876"/>
    <w:rsid w:val="00B558F0"/>
    <w:rsid w:val="00BD48FE"/>
    <w:rsid w:val="00BD7BD8"/>
    <w:rsid w:val="00BE25E9"/>
    <w:rsid w:val="00BE6ADC"/>
    <w:rsid w:val="00C05BFE"/>
    <w:rsid w:val="00C23CD4"/>
    <w:rsid w:val="00C61C0C"/>
    <w:rsid w:val="00C941CB"/>
    <w:rsid w:val="00CC2357"/>
    <w:rsid w:val="00CF071A"/>
    <w:rsid w:val="00D058B8"/>
    <w:rsid w:val="00D15344"/>
    <w:rsid w:val="00D56C11"/>
    <w:rsid w:val="00D834A0"/>
    <w:rsid w:val="00D837C6"/>
    <w:rsid w:val="00D872DF"/>
    <w:rsid w:val="00D91E21"/>
    <w:rsid w:val="00DA7FCD"/>
    <w:rsid w:val="00E365E1"/>
    <w:rsid w:val="00E763DF"/>
    <w:rsid w:val="00E820A4"/>
    <w:rsid w:val="00EB006A"/>
    <w:rsid w:val="00EB4772"/>
    <w:rsid w:val="00ED169E"/>
    <w:rsid w:val="00ED4235"/>
    <w:rsid w:val="00F04346"/>
    <w:rsid w:val="00F046F3"/>
    <w:rsid w:val="00F075DC"/>
    <w:rsid w:val="00F149E9"/>
    <w:rsid w:val="00F5134D"/>
    <w:rsid w:val="00F74202"/>
    <w:rsid w:val="00F87713"/>
    <w:rsid w:val="00FB4360"/>
    <w:rsid w:val="00FB7712"/>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7CBE6-35F9-4398-8BB3-B7D9A413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footnote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nl-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uiPriority w:val="99"/>
    <w:semiHidden/>
    <w:qFormat/>
    <w:pPr>
      <w:spacing w:before="240" w:after="60"/>
      <w:outlineLvl w:val="6"/>
    </w:pPr>
    <w:rPr>
      <w:rFonts w:ascii="Arial" w:hAnsi="Arial"/>
    </w:rPr>
  </w:style>
  <w:style w:type="paragraph" w:styleId="Heading8">
    <w:name w:val="heading 8"/>
    <w:basedOn w:val="Normal"/>
    <w:next w:val="Normal"/>
    <w:link w:val="Heading8Char"/>
    <w:uiPriority w:val="99"/>
    <w:semiHidden/>
    <w:qFormat/>
    <w:pPr>
      <w:spacing w:before="240" w:after="60"/>
      <w:outlineLvl w:val="7"/>
    </w:pPr>
    <w:rPr>
      <w:rFonts w:ascii="Arial" w:hAnsi="Arial"/>
      <w:i/>
    </w:rPr>
  </w:style>
  <w:style w:type="paragraph" w:styleId="Heading9">
    <w:name w:val="heading 9"/>
    <w:basedOn w:val="Normal"/>
    <w:next w:val="Normal"/>
    <w:link w:val="Heading9Char"/>
    <w:uiPriority w:val="99"/>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1Char">
    <w:name w:val="Heading 1 Char"/>
    <w:basedOn w:val="DefaultParagraphFont"/>
    <w:link w:val="Heading1"/>
    <w:rsid w:val="00D15344"/>
    <w:rPr>
      <w:b/>
      <w:kern w:val="28"/>
      <w:sz w:val="28"/>
      <w:lang w:val="fr-FR" w:eastAsia="fr-FR"/>
    </w:rPr>
  </w:style>
  <w:style w:type="character" w:customStyle="1" w:styleId="Heading2Char">
    <w:name w:val="Heading 2 Char"/>
    <w:basedOn w:val="DefaultParagraphFont"/>
    <w:link w:val="Heading2"/>
    <w:semiHidden/>
    <w:rsid w:val="00D15344"/>
    <w:rPr>
      <w:sz w:val="24"/>
      <w:lang w:val="fr-FR" w:eastAsia="fr-FR"/>
    </w:rPr>
  </w:style>
  <w:style w:type="character" w:customStyle="1" w:styleId="Heading3Char">
    <w:name w:val="Heading 3 Char"/>
    <w:basedOn w:val="DefaultParagraphFont"/>
    <w:link w:val="Heading3"/>
    <w:semiHidden/>
    <w:rsid w:val="00D15344"/>
    <w:rPr>
      <w:rFonts w:ascii="Arial" w:hAnsi="Arial"/>
      <w:sz w:val="24"/>
      <w:lang w:val="fr-FR" w:eastAsia="fr-FR"/>
    </w:rPr>
  </w:style>
  <w:style w:type="character" w:customStyle="1" w:styleId="Heading4Char">
    <w:name w:val="Heading 4 Char"/>
    <w:basedOn w:val="DefaultParagraphFont"/>
    <w:link w:val="Heading4"/>
    <w:semiHidden/>
    <w:rsid w:val="00D15344"/>
    <w:rPr>
      <w:sz w:val="24"/>
      <w:lang w:val="en-US" w:eastAsia="fr-FR"/>
    </w:rPr>
  </w:style>
  <w:style w:type="character" w:customStyle="1" w:styleId="Heading5Char">
    <w:name w:val="Heading 5 Char"/>
    <w:basedOn w:val="DefaultParagraphFont"/>
    <w:link w:val="Heading5"/>
    <w:semiHidden/>
    <w:rsid w:val="00D15344"/>
    <w:rPr>
      <w:sz w:val="24"/>
      <w:lang w:val="en-US" w:eastAsia="fr-FR"/>
    </w:rPr>
  </w:style>
  <w:style w:type="character" w:customStyle="1" w:styleId="Heading6Char">
    <w:name w:val="Heading 6 Char"/>
    <w:basedOn w:val="DefaultParagraphFont"/>
    <w:link w:val="Heading6"/>
    <w:semiHidden/>
    <w:rsid w:val="00D15344"/>
    <w:rPr>
      <w:i/>
      <w:sz w:val="22"/>
      <w:lang w:val="nl-NL"/>
    </w:rPr>
  </w:style>
  <w:style w:type="character" w:customStyle="1" w:styleId="Heading7Char">
    <w:name w:val="Heading 7 Char"/>
    <w:basedOn w:val="DefaultParagraphFont"/>
    <w:link w:val="Heading7"/>
    <w:uiPriority w:val="99"/>
    <w:semiHidden/>
    <w:rsid w:val="00D15344"/>
    <w:rPr>
      <w:rFonts w:ascii="Arial" w:hAnsi="Arial"/>
      <w:sz w:val="24"/>
      <w:lang w:val="nl-NL"/>
    </w:rPr>
  </w:style>
  <w:style w:type="character" w:customStyle="1" w:styleId="Heading8Char">
    <w:name w:val="Heading 8 Char"/>
    <w:basedOn w:val="DefaultParagraphFont"/>
    <w:link w:val="Heading8"/>
    <w:uiPriority w:val="99"/>
    <w:semiHidden/>
    <w:rsid w:val="00D15344"/>
    <w:rPr>
      <w:rFonts w:ascii="Arial" w:hAnsi="Arial"/>
      <w:i/>
      <w:sz w:val="24"/>
      <w:lang w:val="nl-NL"/>
    </w:rPr>
  </w:style>
  <w:style w:type="character" w:customStyle="1" w:styleId="Heading9Char">
    <w:name w:val="Heading 9 Char"/>
    <w:basedOn w:val="DefaultParagraphFont"/>
    <w:link w:val="Heading9"/>
    <w:uiPriority w:val="99"/>
    <w:semiHidden/>
    <w:rsid w:val="00D15344"/>
    <w:rPr>
      <w:rFonts w:ascii="Arial" w:hAnsi="Arial"/>
      <w:b/>
      <w:i/>
      <w:sz w:val="18"/>
      <w:lang w:val="nl-NL"/>
    </w:rPr>
  </w:style>
  <w:style w:type="paragraph" w:styleId="TOCHeading">
    <w:name w:val="TOC Heading"/>
    <w:basedOn w:val="Normal"/>
    <w:next w:val="Normal"/>
    <w:uiPriority w:val="39"/>
    <w:unhideWhenUsed/>
    <w:qFormat/>
    <w:rsid w:val="00D15344"/>
    <w:pPr>
      <w:widowControl/>
      <w:spacing w:after="240"/>
    </w:pPr>
    <w:rPr>
      <w:lang w:val="en-GB"/>
    </w:rPr>
  </w:style>
  <w:style w:type="paragraph" w:customStyle="1" w:styleId="EPFooter2">
    <w:name w:val="EPFooter2"/>
    <w:basedOn w:val="Normal"/>
    <w:next w:val="Normal"/>
    <w:rsid w:val="00D15344"/>
    <w:pPr>
      <w:widowControl/>
      <w:tabs>
        <w:tab w:val="center" w:pos="4535"/>
        <w:tab w:val="right" w:pos="9921"/>
      </w:tabs>
      <w:ind w:left="-850" w:right="-850"/>
    </w:pPr>
    <w:rPr>
      <w:rFonts w:ascii="Arial" w:hAnsi="Arial" w:cs="Arial"/>
      <w:b/>
      <w:sz w:val="48"/>
    </w:rPr>
  </w:style>
  <w:style w:type="paragraph" w:customStyle="1" w:styleId="TOCPage">
    <w:name w:val="TOC Page"/>
    <w:basedOn w:val="Normal"/>
    <w:next w:val="TOC1"/>
    <w:uiPriority w:val="99"/>
    <w:rsid w:val="00D15344"/>
    <w:pPr>
      <w:keepNext/>
      <w:spacing w:after="240"/>
      <w:jc w:val="right"/>
    </w:pPr>
    <w:rPr>
      <w:rFonts w:ascii="Arial" w:hAnsi="Arial"/>
      <w:b/>
    </w:rPr>
  </w:style>
  <w:style w:type="paragraph" w:customStyle="1" w:styleId="Normal6a">
    <w:name w:val="Normal6a"/>
    <w:basedOn w:val="Normal"/>
    <w:rsid w:val="00D15344"/>
    <w:pPr>
      <w:spacing w:after="120"/>
    </w:pPr>
  </w:style>
  <w:style w:type="paragraph" w:customStyle="1" w:styleId="PageHeading">
    <w:name w:val="PageHeading"/>
    <w:basedOn w:val="Normal"/>
    <w:uiPriority w:val="99"/>
    <w:rsid w:val="00D15344"/>
    <w:pPr>
      <w:keepNext/>
      <w:spacing w:after="480"/>
      <w:jc w:val="center"/>
    </w:pPr>
    <w:rPr>
      <w:rFonts w:ascii="Arial" w:hAnsi="Arial" w:cs="Arial"/>
      <w:b/>
    </w:rPr>
  </w:style>
  <w:style w:type="paragraph" w:customStyle="1" w:styleId="NormalBold">
    <w:name w:val="NormalBold"/>
    <w:basedOn w:val="Normal"/>
    <w:link w:val="NormalBoldChar"/>
    <w:rsid w:val="00D15344"/>
    <w:rPr>
      <w:b/>
    </w:rPr>
  </w:style>
  <w:style w:type="character" w:customStyle="1" w:styleId="NormalBoldChar">
    <w:name w:val="NormalBold Char"/>
    <w:basedOn w:val="DefaultParagraphFont"/>
    <w:link w:val="NormalBold"/>
    <w:locked/>
    <w:rsid w:val="00D15344"/>
    <w:rPr>
      <w:b/>
      <w:sz w:val="24"/>
      <w:lang w:val="nl-NL"/>
    </w:rPr>
  </w:style>
  <w:style w:type="paragraph" w:customStyle="1" w:styleId="NormalBold12a">
    <w:name w:val="NormalBold12a"/>
    <w:basedOn w:val="Normal"/>
    <w:uiPriority w:val="99"/>
    <w:rsid w:val="00D15344"/>
    <w:pPr>
      <w:spacing w:after="240"/>
    </w:pPr>
    <w:rPr>
      <w:b/>
    </w:rPr>
  </w:style>
  <w:style w:type="paragraph" w:customStyle="1" w:styleId="AmJustText">
    <w:name w:val="AmJustText"/>
    <w:basedOn w:val="Normal"/>
    <w:rsid w:val="00D15344"/>
    <w:pPr>
      <w:spacing w:after="240"/>
    </w:pPr>
    <w:rPr>
      <w:i/>
    </w:rPr>
  </w:style>
  <w:style w:type="paragraph" w:customStyle="1" w:styleId="NormalHanging12a">
    <w:name w:val="NormalHanging12a"/>
    <w:basedOn w:val="Normal"/>
    <w:link w:val="NormalHanging12aChar"/>
    <w:rsid w:val="00D15344"/>
    <w:pPr>
      <w:spacing w:after="240"/>
      <w:ind w:left="567" w:hanging="567"/>
    </w:pPr>
  </w:style>
  <w:style w:type="paragraph" w:customStyle="1" w:styleId="CoverNormal24a">
    <w:name w:val="CoverNormal24a"/>
    <w:basedOn w:val="Normal"/>
    <w:rsid w:val="00D15344"/>
    <w:pPr>
      <w:spacing w:after="480"/>
      <w:ind w:left="1417"/>
    </w:pPr>
  </w:style>
  <w:style w:type="paragraph" w:customStyle="1" w:styleId="CoverNormal">
    <w:name w:val="CoverNormal"/>
    <w:basedOn w:val="Normal"/>
    <w:rsid w:val="00D15344"/>
    <w:pPr>
      <w:ind w:left="1418"/>
    </w:pPr>
  </w:style>
  <w:style w:type="paragraph" w:customStyle="1" w:styleId="AmCrossRef">
    <w:name w:val="AmCrossRef"/>
    <w:basedOn w:val="Normal"/>
    <w:rsid w:val="00D15344"/>
    <w:pPr>
      <w:spacing w:before="240" w:after="240"/>
      <w:jc w:val="center"/>
    </w:pPr>
    <w:rPr>
      <w:i/>
    </w:rPr>
  </w:style>
  <w:style w:type="paragraph" w:customStyle="1" w:styleId="AmJustTitle">
    <w:name w:val="AmJustTitle"/>
    <w:basedOn w:val="Normal"/>
    <w:next w:val="AmJustText"/>
    <w:rsid w:val="00D15344"/>
    <w:pPr>
      <w:keepNext/>
      <w:spacing w:before="240" w:after="240"/>
      <w:jc w:val="center"/>
    </w:pPr>
    <w:rPr>
      <w:i/>
    </w:rPr>
  </w:style>
  <w:style w:type="paragraph" w:customStyle="1" w:styleId="CoverReference">
    <w:name w:val="CoverReference"/>
    <w:basedOn w:val="Normal"/>
    <w:rsid w:val="00D15344"/>
    <w:pPr>
      <w:spacing w:before="1080"/>
      <w:jc w:val="right"/>
    </w:pPr>
    <w:rPr>
      <w:rFonts w:ascii="Arial" w:hAnsi="Arial" w:cs="Arial"/>
      <w:b/>
    </w:rPr>
  </w:style>
  <w:style w:type="paragraph" w:customStyle="1" w:styleId="CoverDocType">
    <w:name w:val="CoverDocType"/>
    <w:basedOn w:val="Normal"/>
    <w:uiPriority w:val="99"/>
    <w:rsid w:val="00D15344"/>
    <w:pPr>
      <w:ind w:left="1418"/>
    </w:pPr>
    <w:rPr>
      <w:rFonts w:ascii="Arial" w:hAnsi="Arial"/>
      <w:b/>
      <w:sz w:val="48"/>
    </w:rPr>
  </w:style>
  <w:style w:type="paragraph" w:customStyle="1" w:styleId="CoverDocType24a">
    <w:name w:val="CoverDocType24a"/>
    <w:basedOn w:val="Normal"/>
    <w:rsid w:val="00D15344"/>
    <w:pPr>
      <w:spacing w:after="480"/>
      <w:ind w:left="1418"/>
    </w:pPr>
    <w:rPr>
      <w:rFonts w:ascii="Arial" w:hAnsi="Arial"/>
      <w:b/>
      <w:sz w:val="48"/>
    </w:rPr>
  </w:style>
  <w:style w:type="paragraph" w:customStyle="1" w:styleId="CoverDate">
    <w:name w:val="CoverDate"/>
    <w:basedOn w:val="Normal"/>
    <w:rsid w:val="00D15344"/>
    <w:pPr>
      <w:spacing w:before="240" w:after="1200"/>
    </w:pPr>
  </w:style>
  <w:style w:type="paragraph" w:styleId="Header">
    <w:name w:val="header"/>
    <w:basedOn w:val="Normal"/>
    <w:link w:val="HeaderChar"/>
    <w:rsid w:val="00D15344"/>
    <w:pPr>
      <w:tabs>
        <w:tab w:val="center" w:pos="4513"/>
        <w:tab w:val="right" w:pos="9026"/>
      </w:tabs>
    </w:pPr>
  </w:style>
  <w:style w:type="character" w:customStyle="1" w:styleId="HeaderChar">
    <w:name w:val="Header Char"/>
    <w:basedOn w:val="DefaultParagraphFont"/>
    <w:link w:val="Header"/>
    <w:rsid w:val="00D15344"/>
    <w:rPr>
      <w:sz w:val="24"/>
      <w:lang w:val="nl-NL"/>
    </w:rPr>
  </w:style>
  <w:style w:type="paragraph" w:customStyle="1" w:styleId="AmOrLang">
    <w:name w:val="AmOrLang"/>
    <w:basedOn w:val="Normal"/>
    <w:rsid w:val="00D15344"/>
    <w:pPr>
      <w:spacing w:before="240" w:after="240"/>
      <w:jc w:val="right"/>
    </w:pPr>
  </w:style>
  <w:style w:type="paragraph" w:customStyle="1" w:styleId="AmColumnHeading">
    <w:name w:val="AmColumnHeading"/>
    <w:basedOn w:val="Normal"/>
    <w:rsid w:val="00D15344"/>
    <w:pPr>
      <w:spacing w:after="240"/>
      <w:jc w:val="center"/>
    </w:pPr>
    <w:rPr>
      <w:i/>
    </w:rPr>
  </w:style>
  <w:style w:type="paragraph" w:customStyle="1" w:styleId="AmNumberTabs">
    <w:name w:val="AmNumberTabs"/>
    <w:basedOn w:val="Normal"/>
    <w:next w:val="AMNumberTabs0"/>
    <w:rsid w:val="00D1534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15344"/>
    <w:pPr>
      <w:spacing w:before="240"/>
    </w:pPr>
    <w:rPr>
      <w:b/>
    </w:rPr>
  </w:style>
  <w:style w:type="paragraph" w:customStyle="1" w:styleId="EPBody">
    <w:name w:val="EPBody"/>
    <w:basedOn w:val="Normal"/>
    <w:rsid w:val="00D15344"/>
    <w:pPr>
      <w:jc w:val="center"/>
    </w:pPr>
    <w:rPr>
      <w:rFonts w:ascii="Arial" w:hAnsi="Arial" w:cs="Arial"/>
      <w:i/>
      <w:sz w:val="22"/>
      <w:szCs w:val="22"/>
    </w:rPr>
  </w:style>
  <w:style w:type="paragraph" w:customStyle="1" w:styleId="EPFooter">
    <w:name w:val="EPFooter"/>
    <w:basedOn w:val="Normal"/>
    <w:rsid w:val="00D15344"/>
    <w:pPr>
      <w:tabs>
        <w:tab w:val="center" w:pos="4535"/>
        <w:tab w:val="right" w:pos="9071"/>
      </w:tabs>
      <w:spacing w:before="240" w:after="240"/>
    </w:pPr>
    <w:rPr>
      <w:color w:val="010000"/>
      <w:sz w:val="22"/>
    </w:rPr>
  </w:style>
  <w:style w:type="paragraph" w:customStyle="1" w:styleId="EPComma">
    <w:name w:val="EPComma"/>
    <w:basedOn w:val="Normal"/>
    <w:uiPriority w:val="99"/>
    <w:rsid w:val="00D15344"/>
    <w:pPr>
      <w:spacing w:before="480" w:after="240"/>
    </w:pPr>
  </w:style>
  <w:style w:type="paragraph" w:customStyle="1" w:styleId="Lgendesigne">
    <w:name w:val="Légende signe"/>
    <w:basedOn w:val="Normal"/>
    <w:uiPriority w:val="99"/>
    <w:rsid w:val="00D15344"/>
    <w:pPr>
      <w:tabs>
        <w:tab w:val="right" w:pos="454"/>
        <w:tab w:val="left" w:pos="737"/>
      </w:tabs>
      <w:ind w:left="737" w:hanging="737"/>
    </w:pPr>
    <w:rPr>
      <w:snapToGrid w:val="0"/>
      <w:sz w:val="18"/>
      <w:lang w:eastAsia="en-US"/>
    </w:rPr>
  </w:style>
  <w:style w:type="paragraph" w:customStyle="1" w:styleId="Lgendetitre">
    <w:name w:val="Légende titre"/>
    <w:basedOn w:val="Normal"/>
    <w:uiPriority w:val="99"/>
    <w:rsid w:val="00D15344"/>
    <w:pPr>
      <w:spacing w:before="240" w:after="240"/>
    </w:pPr>
    <w:rPr>
      <w:b/>
      <w:i/>
      <w:snapToGrid w:val="0"/>
      <w:lang w:eastAsia="en-US"/>
    </w:rPr>
  </w:style>
  <w:style w:type="paragraph" w:customStyle="1" w:styleId="Lgendestandard">
    <w:name w:val="Légende standard"/>
    <w:basedOn w:val="Normal"/>
    <w:uiPriority w:val="99"/>
    <w:rsid w:val="00D15344"/>
    <w:rPr>
      <w:sz w:val="18"/>
    </w:rPr>
  </w:style>
  <w:style w:type="paragraph" w:styleId="ListParagraph">
    <w:name w:val="List Paragraph"/>
    <w:basedOn w:val="Normal"/>
    <w:uiPriority w:val="34"/>
    <w:qFormat/>
    <w:rsid w:val="00D15344"/>
    <w:pPr>
      <w:widowControl/>
      <w:ind w:left="720"/>
      <w:contextualSpacing/>
      <w:jc w:val="both"/>
    </w:pPr>
    <w:rPr>
      <w:rFonts w:eastAsiaTheme="minorHAnsi"/>
      <w:szCs w:val="24"/>
      <w:lang w:eastAsia="en-US"/>
    </w:rPr>
  </w:style>
  <w:style w:type="character" w:customStyle="1" w:styleId="Normal12Char">
    <w:name w:val="Normal12 Char"/>
    <w:basedOn w:val="DefaultParagraphFont"/>
    <w:link w:val="Normal12"/>
    <w:locked/>
    <w:rsid w:val="00D15344"/>
    <w:rPr>
      <w:noProof/>
      <w:sz w:val="24"/>
    </w:rPr>
  </w:style>
  <w:style w:type="paragraph" w:customStyle="1" w:styleId="Normal12">
    <w:name w:val="Normal12"/>
    <w:basedOn w:val="Normal"/>
    <w:link w:val="Normal12Char"/>
    <w:rsid w:val="00D15344"/>
    <w:pPr>
      <w:spacing w:after="240"/>
    </w:pPr>
    <w:rPr>
      <w:noProof/>
      <w:lang w:val="en-GB"/>
    </w:rPr>
  </w:style>
  <w:style w:type="character" w:customStyle="1" w:styleId="Normal6Char">
    <w:name w:val="Normal6 Char"/>
    <w:basedOn w:val="DefaultParagraphFont"/>
    <w:link w:val="Normal6"/>
    <w:locked/>
    <w:rsid w:val="00D15344"/>
    <w:rPr>
      <w:sz w:val="24"/>
      <w:lang w:val="nl-NL"/>
    </w:rPr>
  </w:style>
  <w:style w:type="paragraph" w:customStyle="1" w:styleId="Normal6">
    <w:name w:val="Normal6"/>
    <w:basedOn w:val="Normal"/>
    <w:link w:val="Normal6Char"/>
    <w:rsid w:val="00D15344"/>
    <w:pPr>
      <w:spacing w:after="120"/>
    </w:pPr>
  </w:style>
  <w:style w:type="paragraph" w:customStyle="1" w:styleId="Normal12Italic">
    <w:name w:val="Normal12Italic"/>
    <w:basedOn w:val="Normal12"/>
    <w:rsid w:val="00D15344"/>
    <w:rPr>
      <w:i/>
    </w:rPr>
  </w:style>
  <w:style w:type="character" w:customStyle="1" w:styleId="SupBoldItalic">
    <w:name w:val="SupBoldItalic"/>
    <w:uiPriority w:val="1"/>
    <w:qFormat/>
    <w:rsid w:val="00D15344"/>
    <w:rPr>
      <w:b/>
      <w:bCs w:val="0"/>
      <w:i/>
      <w:iCs w:val="0"/>
      <w:vertAlign w:val="superscript"/>
    </w:rPr>
  </w:style>
  <w:style w:type="paragraph" w:customStyle="1" w:styleId="EntPE">
    <w:name w:val="EntPE"/>
    <w:basedOn w:val="Normal12"/>
    <w:rsid w:val="00D15344"/>
    <w:pPr>
      <w:jc w:val="center"/>
    </w:pPr>
    <w:rPr>
      <w:noProof w:val="0"/>
      <w:sz w:val="56"/>
    </w:rPr>
  </w:style>
  <w:style w:type="paragraph" w:customStyle="1" w:styleId="AMNumberTabs0">
    <w:name w:val="AMNumberTabs"/>
    <w:basedOn w:val="Normal"/>
    <w:rsid w:val="00D1534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
    <w:rsid w:val="00D15344"/>
    <w:pPr>
      <w:spacing w:after="240"/>
      <w:jc w:val="center"/>
    </w:pPr>
    <w:rPr>
      <w:i/>
    </w:rPr>
  </w:style>
  <w:style w:type="paragraph" w:customStyle="1" w:styleId="Olang">
    <w:name w:val="Olang"/>
    <w:basedOn w:val="Normal"/>
    <w:rsid w:val="00D15344"/>
    <w:pPr>
      <w:spacing w:before="240" w:after="240"/>
      <w:jc w:val="right"/>
    </w:pPr>
    <w:rPr>
      <w:noProof/>
      <w:szCs w:val="24"/>
    </w:rPr>
  </w:style>
  <w:style w:type="character" w:styleId="CommentReference">
    <w:name w:val="annotation reference"/>
    <w:basedOn w:val="DefaultParagraphFont"/>
    <w:rsid w:val="00D15344"/>
    <w:rPr>
      <w:sz w:val="16"/>
      <w:szCs w:val="16"/>
    </w:rPr>
  </w:style>
  <w:style w:type="paragraph" w:styleId="CommentText">
    <w:name w:val="annotation text"/>
    <w:basedOn w:val="Normal"/>
    <w:link w:val="CommentTextChar"/>
    <w:rsid w:val="00D15344"/>
    <w:rPr>
      <w:sz w:val="20"/>
    </w:rPr>
  </w:style>
  <w:style w:type="character" w:customStyle="1" w:styleId="CommentTextChar">
    <w:name w:val="Comment Text Char"/>
    <w:basedOn w:val="DefaultParagraphFont"/>
    <w:link w:val="CommentText"/>
    <w:rsid w:val="00D15344"/>
    <w:rPr>
      <w:lang w:val="nl-NL"/>
    </w:rPr>
  </w:style>
  <w:style w:type="paragraph" w:styleId="CommentSubject">
    <w:name w:val="annotation subject"/>
    <w:basedOn w:val="CommentText"/>
    <w:next w:val="CommentText"/>
    <w:link w:val="CommentSubjectChar"/>
    <w:unhideWhenUsed/>
    <w:rsid w:val="00D15344"/>
    <w:rPr>
      <w:b/>
      <w:bCs/>
    </w:rPr>
  </w:style>
  <w:style w:type="character" w:customStyle="1" w:styleId="CommentSubjectChar">
    <w:name w:val="Comment Subject Char"/>
    <w:basedOn w:val="CommentTextChar"/>
    <w:link w:val="CommentSubject"/>
    <w:rsid w:val="00D15344"/>
    <w:rPr>
      <w:b/>
      <w:bCs/>
      <w:lang w:val="nl-NL"/>
    </w:rPr>
  </w:style>
  <w:style w:type="paragraph" w:styleId="Revision">
    <w:name w:val="Revision"/>
    <w:hidden/>
    <w:uiPriority w:val="99"/>
    <w:semiHidden/>
    <w:rsid w:val="00D15344"/>
    <w:rPr>
      <w:sz w:val="24"/>
      <w:lang w:val="nl-NL"/>
    </w:rPr>
  </w:style>
  <w:style w:type="paragraph" w:styleId="BalloonText">
    <w:name w:val="Balloon Text"/>
    <w:basedOn w:val="Normal"/>
    <w:link w:val="BalloonTextChar"/>
    <w:unhideWhenUsed/>
    <w:rsid w:val="00D15344"/>
    <w:rPr>
      <w:rFonts w:ascii="Segoe UI" w:hAnsi="Segoe UI" w:cs="Segoe UI"/>
      <w:sz w:val="18"/>
      <w:szCs w:val="18"/>
    </w:rPr>
  </w:style>
  <w:style w:type="character" w:customStyle="1" w:styleId="BalloonTextChar">
    <w:name w:val="Balloon Text Char"/>
    <w:basedOn w:val="DefaultParagraphFont"/>
    <w:link w:val="BalloonText"/>
    <w:rsid w:val="00D15344"/>
    <w:rPr>
      <w:rFonts w:ascii="Segoe UI" w:hAnsi="Segoe UI" w:cs="Segoe UI"/>
      <w:sz w:val="18"/>
      <w:szCs w:val="18"/>
      <w:lang w:val="nl-NL"/>
    </w:rPr>
  </w:style>
  <w:style w:type="paragraph" w:customStyle="1" w:styleId="Normal12a">
    <w:name w:val="Normal12a"/>
    <w:basedOn w:val="Normal"/>
    <w:rsid w:val="00D15344"/>
    <w:pPr>
      <w:spacing w:after="240"/>
    </w:pPr>
  </w:style>
  <w:style w:type="paragraph" w:customStyle="1" w:styleId="PageHeadingNotTOC">
    <w:name w:val="PageHeadingNotTOC"/>
    <w:basedOn w:val="Normal"/>
    <w:rsid w:val="00D15344"/>
    <w:pPr>
      <w:keepNext/>
      <w:spacing w:after="480"/>
      <w:jc w:val="center"/>
    </w:pPr>
    <w:rPr>
      <w:rFonts w:ascii="Arial" w:hAnsi="Arial" w:cs="Arial"/>
      <w:b/>
    </w:rPr>
  </w:style>
  <w:style w:type="paragraph" w:customStyle="1" w:styleId="AmHeadingPA">
    <w:name w:val="AmHeadingPA"/>
    <w:basedOn w:val="Normal"/>
    <w:next w:val="Normal"/>
    <w:rsid w:val="00D15344"/>
    <w:pPr>
      <w:spacing w:before="480" w:after="240"/>
      <w:jc w:val="center"/>
    </w:pPr>
    <w:rPr>
      <w:rFonts w:ascii="Arial" w:hAnsi="Arial"/>
      <w:b/>
      <w:caps/>
      <w:snapToGrid w:val="0"/>
      <w:szCs w:val="24"/>
      <w:lang w:eastAsia="en-US"/>
    </w:rPr>
  </w:style>
  <w:style w:type="paragraph" w:customStyle="1" w:styleId="JustificationTitle">
    <w:name w:val="JustificationTitle"/>
    <w:basedOn w:val="Normal"/>
    <w:next w:val="Normal"/>
    <w:rsid w:val="00D15344"/>
    <w:pPr>
      <w:keepNext/>
      <w:spacing w:before="240" w:after="240"/>
      <w:jc w:val="center"/>
    </w:pPr>
    <w:rPr>
      <w:i/>
      <w:noProof/>
    </w:rPr>
  </w:style>
  <w:style w:type="paragraph" w:customStyle="1" w:styleId="msonormal0">
    <w:name w:val="msonormal"/>
    <w:basedOn w:val="Normal"/>
    <w:rsid w:val="00D15344"/>
    <w:pPr>
      <w:widowControl/>
      <w:spacing w:before="100" w:beforeAutospacing="1" w:after="100" w:afterAutospacing="1"/>
    </w:pPr>
    <w:rPr>
      <w:szCs w:val="24"/>
    </w:rPr>
  </w:style>
  <w:style w:type="paragraph" w:customStyle="1" w:styleId="CommitteeAM">
    <w:name w:val="CommitteeAM"/>
    <w:basedOn w:val="Normal"/>
    <w:rsid w:val="00D15344"/>
    <w:pPr>
      <w:spacing w:before="240" w:after="600"/>
      <w:jc w:val="center"/>
    </w:pPr>
    <w:rPr>
      <w:i/>
    </w:rPr>
  </w:style>
  <w:style w:type="paragraph" w:customStyle="1" w:styleId="ZDateAM">
    <w:name w:val="ZDateAM"/>
    <w:basedOn w:val="Normal"/>
    <w:rsid w:val="00D15344"/>
    <w:pPr>
      <w:tabs>
        <w:tab w:val="right" w:pos="9356"/>
      </w:tabs>
      <w:spacing w:after="480"/>
    </w:pPr>
    <w:rPr>
      <w:noProof/>
    </w:rPr>
  </w:style>
  <w:style w:type="paragraph" w:customStyle="1" w:styleId="ProjRap">
    <w:name w:val="ProjRap"/>
    <w:basedOn w:val="Normal"/>
    <w:rsid w:val="00D15344"/>
    <w:pPr>
      <w:tabs>
        <w:tab w:val="right" w:pos="9356"/>
      </w:tabs>
    </w:pPr>
    <w:rPr>
      <w:b/>
      <w:noProof/>
    </w:rPr>
  </w:style>
  <w:style w:type="paragraph" w:customStyle="1" w:styleId="PELeft">
    <w:name w:val="PELeft"/>
    <w:basedOn w:val="Normal"/>
    <w:rsid w:val="00D15344"/>
    <w:pPr>
      <w:spacing w:before="40" w:after="40"/>
    </w:pPr>
    <w:rPr>
      <w:rFonts w:ascii="Arial" w:hAnsi="Arial" w:cs="Arial"/>
      <w:sz w:val="22"/>
      <w:szCs w:val="22"/>
    </w:rPr>
  </w:style>
  <w:style w:type="paragraph" w:customStyle="1" w:styleId="PERight">
    <w:name w:val="PERight"/>
    <w:basedOn w:val="Normal"/>
    <w:next w:val="Normal"/>
    <w:rsid w:val="00D15344"/>
    <w:pPr>
      <w:jc w:val="right"/>
    </w:pPr>
    <w:rPr>
      <w:rFonts w:ascii="Arial" w:hAnsi="Arial" w:cs="Arial"/>
      <w:sz w:val="22"/>
      <w:szCs w:val="22"/>
    </w:rPr>
  </w:style>
  <w:style w:type="paragraph" w:customStyle="1" w:styleId="CrossRef">
    <w:name w:val="CrossRef"/>
    <w:basedOn w:val="Normal"/>
    <w:rsid w:val="00D15344"/>
    <w:pPr>
      <w:spacing w:before="240"/>
      <w:jc w:val="center"/>
    </w:pPr>
    <w:rPr>
      <w:i/>
    </w:rPr>
  </w:style>
  <w:style w:type="character" w:customStyle="1" w:styleId="Footer2Middle">
    <w:name w:val="Footer2Middle"/>
    <w:rsid w:val="00D15344"/>
    <w:rPr>
      <w:rFonts w:ascii="Arial" w:hAnsi="Arial" w:cs="Arial" w:hint="default"/>
      <w:b w:val="0"/>
      <w:bCs w:val="0"/>
      <w:i/>
      <w:iCs w:val="0"/>
      <w:color w:val="C0C0C0"/>
      <w:sz w:val="22"/>
    </w:rPr>
  </w:style>
  <w:style w:type="character" w:customStyle="1" w:styleId="Sup">
    <w:name w:val="Sup"/>
    <w:uiPriority w:val="1"/>
    <w:qFormat/>
    <w:rsid w:val="00D15344"/>
    <w:rPr>
      <w:vertAlign w:val="superscript"/>
    </w:rPr>
  </w:style>
  <w:style w:type="paragraph" w:customStyle="1" w:styleId="Point0">
    <w:name w:val="Point 0"/>
    <w:basedOn w:val="Normal"/>
    <w:rsid w:val="00D15344"/>
    <w:pPr>
      <w:widowControl/>
      <w:spacing w:before="120" w:after="120"/>
      <w:ind w:left="850" w:hanging="850"/>
      <w:jc w:val="both"/>
    </w:pPr>
    <w:rPr>
      <w:rFonts w:eastAsiaTheme="minorHAnsi"/>
      <w:szCs w:val="22"/>
      <w:lang w:eastAsia="en-US"/>
    </w:rPr>
  </w:style>
  <w:style w:type="paragraph" w:customStyle="1" w:styleId="ManualNumPar1">
    <w:name w:val="Manual NumPar 1"/>
    <w:basedOn w:val="Normal"/>
    <w:next w:val="Normal"/>
    <w:rsid w:val="00D15344"/>
    <w:pPr>
      <w:widowControl/>
      <w:spacing w:before="120" w:after="120"/>
      <w:ind w:left="850" w:hanging="850"/>
      <w:jc w:val="both"/>
    </w:pPr>
    <w:rPr>
      <w:rFonts w:eastAsiaTheme="minorHAnsi"/>
      <w:szCs w:val="22"/>
      <w:lang w:eastAsia="en-US"/>
    </w:rPr>
  </w:style>
  <w:style w:type="paragraph" w:customStyle="1" w:styleId="Point1">
    <w:name w:val="Point 1"/>
    <w:basedOn w:val="Normal"/>
    <w:rsid w:val="00D15344"/>
    <w:pPr>
      <w:widowControl/>
      <w:spacing w:before="120" w:after="120"/>
      <w:ind w:left="1417" w:hanging="567"/>
      <w:jc w:val="both"/>
    </w:pPr>
    <w:rPr>
      <w:rFonts w:eastAsiaTheme="minorHAnsi"/>
      <w:szCs w:val="22"/>
      <w:lang w:eastAsia="en-US"/>
    </w:rPr>
  </w:style>
  <w:style w:type="paragraph" w:customStyle="1" w:styleId="Point0number">
    <w:name w:val="Point 0 (number)"/>
    <w:basedOn w:val="Normal"/>
    <w:rsid w:val="00D15344"/>
    <w:pPr>
      <w:widowControl/>
      <w:numPr>
        <w:numId w:val="4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15344"/>
    <w:pPr>
      <w:widowControl/>
      <w:numPr>
        <w:ilvl w:val="2"/>
        <w:numId w:val="4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15344"/>
    <w:pPr>
      <w:widowControl/>
      <w:numPr>
        <w:ilvl w:val="4"/>
        <w:numId w:val="4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15344"/>
    <w:pPr>
      <w:widowControl/>
      <w:numPr>
        <w:ilvl w:val="6"/>
        <w:numId w:val="4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15344"/>
    <w:pPr>
      <w:widowControl/>
      <w:numPr>
        <w:ilvl w:val="1"/>
        <w:numId w:val="4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15344"/>
    <w:pPr>
      <w:widowControl/>
      <w:numPr>
        <w:ilvl w:val="3"/>
        <w:numId w:val="4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15344"/>
    <w:pPr>
      <w:widowControl/>
      <w:numPr>
        <w:ilvl w:val="5"/>
        <w:numId w:val="4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15344"/>
    <w:pPr>
      <w:widowControl/>
      <w:numPr>
        <w:ilvl w:val="7"/>
        <w:numId w:val="4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15344"/>
    <w:pPr>
      <w:widowControl/>
      <w:numPr>
        <w:ilvl w:val="8"/>
        <w:numId w:val="46"/>
      </w:numPr>
      <w:tabs>
        <w:tab w:val="clear" w:pos="3118"/>
        <w:tab w:val="num" w:pos="360"/>
      </w:tabs>
      <w:spacing w:before="120" w:after="120"/>
      <w:ind w:left="0" w:firstLine="0"/>
      <w:jc w:val="both"/>
    </w:pPr>
    <w:rPr>
      <w:rFonts w:eastAsia="Calibri"/>
      <w:szCs w:val="22"/>
      <w:lang w:eastAsia="en-US"/>
    </w:rPr>
  </w:style>
  <w:style w:type="character" w:styleId="Hyperlink">
    <w:name w:val="Hyperlink"/>
    <w:rsid w:val="00D15344"/>
    <w:rPr>
      <w:color w:val="0000FF"/>
      <w:u w:val="single"/>
    </w:rPr>
  </w:style>
  <w:style w:type="paragraph" w:customStyle="1" w:styleId="RollCallSymbols14pt">
    <w:name w:val="RollCallSymbols14pt"/>
    <w:basedOn w:val="Normal"/>
    <w:rsid w:val="00D15344"/>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15344"/>
    <w:pPr>
      <w:tabs>
        <w:tab w:val="center" w:pos="284"/>
        <w:tab w:val="left" w:pos="426"/>
      </w:tabs>
    </w:pPr>
    <w:rPr>
      <w:snapToGrid w:val="0"/>
      <w:lang w:eastAsia="en-US"/>
    </w:rPr>
  </w:style>
  <w:style w:type="paragraph" w:customStyle="1" w:styleId="RollCallVotes">
    <w:name w:val="RollCallVotes"/>
    <w:basedOn w:val="Normal"/>
    <w:rsid w:val="00D15344"/>
    <w:pPr>
      <w:spacing w:before="120" w:after="120"/>
      <w:jc w:val="center"/>
    </w:pPr>
    <w:rPr>
      <w:b/>
      <w:bCs/>
      <w:snapToGrid w:val="0"/>
      <w:sz w:val="16"/>
      <w:lang w:eastAsia="en-US"/>
    </w:rPr>
  </w:style>
  <w:style w:type="paragraph" w:customStyle="1" w:styleId="RollCallTable">
    <w:name w:val="RollCallTable"/>
    <w:basedOn w:val="Normal"/>
    <w:rsid w:val="00D15344"/>
    <w:pPr>
      <w:spacing w:before="120" w:after="120"/>
    </w:pPr>
    <w:rPr>
      <w:snapToGrid w:val="0"/>
      <w:sz w:val="16"/>
      <w:lang w:eastAsia="en-US"/>
    </w:rPr>
  </w:style>
  <w:style w:type="paragraph" w:customStyle="1" w:styleId="Normal24a">
    <w:name w:val="Normal24a"/>
    <w:basedOn w:val="Normal"/>
    <w:link w:val="Normal24aChar"/>
    <w:rsid w:val="00D15344"/>
    <w:pPr>
      <w:spacing w:after="480"/>
    </w:pPr>
  </w:style>
  <w:style w:type="character" w:customStyle="1" w:styleId="Normal24aChar">
    <w:name w:val="Normal24a Char"/>
    <w:basedOn w:val="DefaultParagraphFont"/>
    <w:link w:val="Normal24a"/>
    <w:rsid w:val="00D15344"/>
    <w:rPr>
      <w:sz w:val="24"/>
      <w:lang w:val="nl-NL"/>
    </w:rPr>
  </w:style>
  <w:style w:type="paragraph" w:customStyle="1" w:styleId="NormalBoldItalicCenter6a">
    <w:name w:val="NormalBoldItalicCenter6a"/>
    <w:basedOn w:val="Normal6a"/>
    <w:qFormat/>
    <w:rsid w:val="00D15344"/>
    <w:pPr>
      <w:jc w:val="center"/>
    </w:pPr>
    <w:rPr>
      <w:b/>
      <w:i/>
    </w:rPr>
  </w:style>
  <w:style w:type="paragraph" w:styleId="NormalWeb">
    <w:name w:val="Normal (Web)"/>
    <w:basedOn w:val="Normal"/>
    <w:uiPriority w:val="99"/>
    <w:unhideWhenUsed/>
    <w:rsid w:val="00D15344"/>
    <w:pPr>
      <w:widowControl/>
      <w:spacing w:before="100" w:beforeAutospacing="1" w:after="100" w:afterAutospacing="1"/>
    </w:pPr>
    <w:rPr>
      <w:rFonts w:eastAsiaTheme="minorEastAsia"/>
      <w:szCs w:val="24"/>
    </w:rPr>
  </w:style>
  <w:style w:type="character" w:styleId="FollowedHyperlink">
    <w:name w:val="FollowedHyperlink"/>
    <w:basedOn w:val="DefaultParagraphFont"/>
    <w:uiPriority w:val="99"/>
    <w:unhideWhenUsed/>
    <w:rsid w:val="00D15344"/>
    <w:rPr>
      <w:color w:val="954F72" w:themeColor="followedHyperlink"/>
      <w:u w:val="single"/>
    </w:rPr>
  </w:style>
  <w:style w:type="paragraph" w:styleId="Footer">
    <w:name w:val="footer"/>
    <w:basedOn w:val="Normal"/>
    <w:link w:val="FooterChar"/>
    <w:rsid w:val="00D15344"/>
    <w:pPr>
      <w:tabs>
        <w:tab w:val="center" w:pos="4513"/>
        <w:tab w:val="right" w:pos="9026"/>
      </w:tabs>
    </w:pPr>
  </w:style>
  <w:style w:type="character" w:customStyle="1" w:styleId="FooterChar">
    <w:name w:val="Footer Char"/>
    <w:basedOn w:val="DefaultParagraphFont"/>
    <w:link w:val="Footer"/>
    <w:rsid w:val="00D15344"/>
    <w:rPr>
      <w:sz w:val="24"/>
      <w:lang w:val="nl-NL"/>
    </w:rPr>
  </w:style>
  <w:style w:type="character" w:customStyle="1" w:styleId="NormalHanging12aChar">
    <w:name w:val="NormalHanging12a Char"/>
    <w:basedOn w:val="DefaultParagraphFont"/>
    <w:link w:val="NormalHanging12a"/>
    <w:locked/>
    <w:rsid w:val="00D15344"/>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0FCF-37C5-4428-8CAB-67479B14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12803</Words>
  <Characters>72980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85612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DE VESTELE Ilona</cp:lastModifiedBy>
  <cp:revision>2</cp:revision>
  <cp:lastPrinted>2004-11-19T15:42:00Z</cp:lastPrinted>
  <dcterms:created xsi:type="dcterms:W3CDTF">2021-09-10T07:25:00Z</dcterms:created>
  <dcterms:modified xsi:type="dcterms:W3CDTF">2021-09-10T07:25:00Z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A9-0178/2021</vt:lpwstr>
  </property>
  <property fmtid="{D5CDD505-2E9C-101B-9397-08002B2CF9AE}" pid="4" name="&lt;Type&gt;">
    <vt:lpwstr>RR</vt:lpwstr>
  </property>
</Properties>
</file>