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05DD8" w:rsidRPr="00B363E7" w14:paraId="1813FE9C" w14:textId="77777777" w:rsidTr="00C85D0F">
        <w:trPr>
          <w:trHeight w:hRule="exact" w:val="1418"/>
        </w:trPr>
        <w:tc>
          <w:tcPr>
            <w:tcW w:w="6804" w:type="dxa"/>
            <w:shd w:val="clear" w:color="auto" w:fill="auto"/>
            <w:vAlign w:val="center"/>
          </w:tcPr>
          <w:p w14:paraId="2A084119" w14:textId="77777777" w:rsidR="00C05DD8" w:rsidRPr="00B363E7" w:rsidRDefault="0095779A" w:rsidP="00C85D0F">
            <w:pPr>
              <w:pStyle w:val="EPName"/>
            </w:pPr>
            <w:bookmarkStart w:id="0" w:name="_GoBack"/>
            <w:bookmarkEnd w:id="0"/>
            <w:r>
              <w:t>Parlament Europejski</w:t>
            </w:r>
          </w:p>
          <w:p w14:paraId="19B630D4" w14:textId="77777777" w:rsidR="00C05DD8" w:rsidRPr="00B363E7" w:rsidRDefault="00D44364" w:rsidP="00D44364">
            <w:pPr>
              <w:pStyle w:val="EPTerm"/>
            </w:pPr>
            <w:r>
              <w:t>2019-2024</w:t>
            </w:r>
          </w:p>
        </w:tc>
        <w:tc>
          <w:tcPr>
            <w:tcW w:w="2268" w:type="dxa"/>
            <w:shd w:val="clear" w:color="auto" w:fill="auto"/>
          </w:tcPr>
          <w:p w14:paraId="7D7BF932" w14:textId="77777777" w:rsidR="00C05DD8" w:rsidRPr="00B363E7" w:rsidRDefault="00C05DD8" w:rsidP="00C85D0F">
            <w:pPr>
              <w:pStyle w:val="EPLogo"/>
            </w:pPr>
            <w:r w:rsidRPr="00B363E7">
              <w:rPr>
                <w:lang w:val="en-GB"/>
              </w:rPr>
              <w:drawing>
                <wp:inline distT="0" distB="0" distL="0" distR="0" wp14:anchorId="78BC150D" wp14:editId="628095DF">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21B5B7F" w14:textId="77777777" w:rsidR="009612AA" w:rsidRPr="00B363E7" w:rsidRDefault="009612AA" w:rsidP="009612AA">
      <w:pPr>
        <w:pStyle w:val="LineTop"/>
      </w:pPr>
    </w:p>
    <w:p w14:paraId="7E91F325" w14:textId="77777777" w:rsidR="009612AA" w:rsidRPr="00B363E7" w:rsidRDefault="00BC4090" w:rsidP="009612AA">
      <w:pPr>
        <w:pStyle w:val="EPBody"/>
      </w:pPr>
      <w:r>
        <w:t>Dokument z posiedzenia</w:t>
      </w:r>
    </w:p>
    <w:p w14:paraId="4029D4BE" w14:textId="77777777" w:rsidR="009612AA" w:rsidRPr="00B363E7" w:rsidRDefault="009612AA" w:rsidP="009612AA">
      <w:pPr>
        <w:pStyle w:val="LineBottom"/>
      </w:pPr>
    </w:p>
    <w:p w14:paraId="1FD35212" w14:textId="76F71C0E" w:rsidR="00363B94" w:rsidRPr="00B363E7" w:rsidRDefault="00BC4090">
      <w:pPr>
        <w:pStyle w:val="CoverReference"/>
      </w:pPr>
      <w:r>
        <w:rPr>
          <w:rStyle w:val="HideTWBExt"/>
          <w:noProof w:val="0"/>
        </w:rPr>
        <w:t>&lt;NoDocSe&gt;</w:t>
      </w:r>
      <w:r>
        <w:t>A9-0180/2021</w:t>
      </w:r>
      <w:r>
        <w:rPr>
          <w:rStyle w:val="HideTWBExt"/>
          <w:noProof w:val="0"/>
        </w:rPr>
        <w:t>&lt;/NoDocSe&gt;</w:t>
      </w:r>
    </w:p>
    <w:p w14:paraId="0900363D" w14:textId="14C28680" w:rsidR="00363B94" w:rsidRPr="00B363E7" w:rsidRDefault="00363B94">
      <w:pPr>
        <w:pStyle w:val="CoverDate"/>
      </w:pPr>
      <w:r>
        <w:rPr>
          <w:rStyle w:val="HideTWBExt"/>
          <w:noProof w:val="0"/>
        </w:rPr>
        <w:t>&lt;Date&gt;</w:t>
      </w:r>
      <w:r>
        <w:rPr>
          <w:rStyle w:val="HideTWBInt"/>
        </w:rPr>
        <w:t>{31/05/2021}</w:t>
      </w:r>
      <w:r>
        <w:t>31.5.2021</w:t>
      </w:r>
      <w:r>
        <w:rPr>
          <w:rStyle w:val="HideTWBExt"/>
          <w:noProof w:val="0"/>
        </w:rPr>
        <w:t>&lt;/Date&gt;</w:t>
      </w:r>
    </w:p>
    <w:p w14:paraId="682D7064" w14:textId="77777777" w:rsidR="00363B94" w:rsidRPr="00B363E7" w:rsidRDefault="00363B94">
      <w:pPr>
        <w:pStyle w:val="CoverDocType"/>
      </w:pPr>
      <w:r>
        <w:rPr>
          <w:rStyle w:val="HideTWBExt"/>
          <w:b w:val="0"/>
          <w:noProof w:val="0"/>
        </w:rPr>
        <w:t>&lt;RefProcLect&gt;</w:t>
      </w:r>
      <w:r>
        <w:t>***</w:t>
      </w:r>
      <w:r>
        <w:rPr>
          <w:rStyle w:val="HideTWBExt"/>
          <w:b w:val="0"/>
          <w:noProof w:val="0"/>
        </w:rPr>
        <w:t>&lt;/RefProcLect&gt;</w:t>
      </w:r>
    </w:p>
    <w:p w14:paraId="323D88F1" w14:textId="77777777" w:rsidR="00363B94" w:rsidRPr="00B363E7" w:rsidRDefault="00363B94">
      <w:pPr>
        <w:pStyle w:val="CoverDocType24a"/>
      </w:pPr>
      <w:r>
        <w:rPr>
          <w:rStyle w:val="HideTWBExt"/>
          <w:b w:val="0"/>
          <w:noProof w:val="0"/>
        </w:rPr>
        <w:t>&lt;TitreType&gt;</w:t>
      </w:r>
      <w:r>
        <w:t>ZALECENIE</w:t>
      </w:r>
      <w:r>
        <w:rPr>
          <w:rStyle w:val="HideTWBExt"/>
          <w:b w:val="0"/>
          <w:noProof w:val="0"/>
        </w:rPr>
        <w:t>&lt;/TitreType&gt;</w:t>
      </w:r>
    </w:p>
    <w:p w14:paraId="7DBB4C81" w14:textId="0B594240" w:rsidR="00363B94" w:rsidRPr="00B363E7" w:rsidRDefault="00363B94">
      <w:pPr>
        <w:pStyle w:val="CoverNormal"/>
      </w:pPr>
      <w:r>
        <w:rPr>
          <w:rStyle w:val="HideTWBExt"/>
          <w:noProof w:val="0"/>
        </w:rPr>
        <w:t>&lt;Titre&gt;</w:t>
      </w:r>
      <w:r>
        <w:t>w sprawie projektu decyzji Rady w sprawie zawarcia Porozumienia między Unią Europejską a Królestwem Tajlandii na mocy art. XXVIII Układu ogólnego w sprawie taryf celnych i handlu (GATT) 1994 w sprawie zmiany koncesji dotyczących wszystkich kontyngentów taryfowych znajdujących się na liście koncesyjnej UE CLXXV w następstwie wystąpienia Zjednoczonego Królestwa z Unii Europejskiej</w:t>
      </w:r>
      <w:r>
        <w:rPr>
          <w:rStyle w:val="HideTWBExt"/>
          <w:noProof w:val="0"/>
        </w:rPr>
        <w:t>&lt;/Titre&gt;</w:t>
      </w:r>
    </w:p>
    <w:p w14:paraId="1572F198" w14:textId="4FF6038D" w:rsidR="00363B94" w:rsidRPr="00B363E7" w:rsidRDefault="00363B94">
      <w:pPr>
        <w:pStyle w:val="CoverNormal24a"/>
      </w:pPr>
      <w:r>
        <w:rPr>
          <w:rStyle w:val="HideTWBExt"/>
          <w:noProof w:val="0"/>
        </w:rPr>
        <w:t>&lt;DocRef&gt;</w:t>
      </w:r>
      <w:r>
        <w:t>(05444/2021 – C9-0171/2021 – 2021/0003(NLE))</w:t>
      </w:r>
      <w:r>
        <w:rPr>
          <w:rStyle w:val="HideTWBExt"/>
          <w:noProof w:val="0"/>
        </w:rPr>
        <w:t>&lt;/DocRef&gt;</w:t>
      </w:r>
    </w:p>
    <w:p w14:paraId="75AB0A17" w14:textId="77777777" w:rsidR="00363B94" w:rsidRPr="00B363E7" w:rsidRDefault="00363B94">
      <w:pPr>
        <w:pStyle w:val="CoverNormal24a"/>
      </w:pPr>
      <w:r>
        <w:rPr>
          <w:rStyle w:val="HideTWBExt"/>
          <w:noProof w:val="0"/>
        </w:rPr>
        <w:t>&lt;Commission&gt;</w:t>
      </w:r>
      <w:r>
        <w:rPr>
          <w:rStyle w:val="HideTWBInt"/>
        </w:rPr>
        <w:t>{INTA}</w:t>
      </w:r>
      <w:r>
        <w:t>Komisja Handlu Międzynarodowego</w:t>
      </w:r>
      <w:r>
        <w:rPr>
          <w:rStyle w:val="HideTWBExt"/>
          <w:noProof w:val="0"/>
        </w:rPr>
        <w:t>&lt;/Commission&gt;</w:t>
      </w:r>
    </w:p>
    <w:p w14:paraId="3DAF0533" w14:textId="77777777" w:rsidR="00363B94" w:rsidRPr="00B363E7" w:rsidRDefault="0095779A">
      <w:pPr>
        <w:pStyle w:val="CoverNormal24a"/>
      </w:pPr>
      <w:r>
        <w:t xml:space="preserve">Sprawozdawczyni: </w:t>
      </w:r>
      <w:r>
        <w:rPr>
          <w:rStyle w:val="HideTWBExt"/>
          <w:noProof w:val="0"/>
        </w:rPr>
        <w:t>&lt;Depute&gt;</w:t>
      </w:r>
      <w:r>
        <w:t>Heidi Hautala</w:t>
      </w:r>
      <w:r>
        <w:rPr>
          <w:rStyle w:val="HideTWBExt"/>
          <w:noProof w:val="0"/>
        </w:rPr>
        <w:t>&lt;/Depute&gt;</w:t>
      </w:r>
    </w:p>
    <w:p w14:paraId="59CD384E" w14:textId="03740C74" w:rsidR="00D44364" w:rsidRPr="00B363E7" w:rsidRDefault="00363B94" w:rsidP="00016E55">
      <w:r>
        <w:br w:type="page"/>
      </w:r>
      <w:fldSimple w:instr=" TITLE  \* MERGEFORMAT ">
        <w:r w:rsidR="00EC62A4">
          <w:t>PR_NLE-AP_Agreement</w:t>
        </w:r>
      </w:fldSimple>
    </w:p>
    <w:p w14:paraId="30F5F4C2" w14:textId="77777777" w:rsidR="00D44364" w:rsidRPr="00B363E7" w:rsidRDefault="00D44364" w:rsidP="00016E55"/>
    <w:p w14:paraId="66BB89F2" w14:textId="77777777" w:rsidR="00D44364" w:rsidRPr="00B363E7" w:rsidRDefault="00D44364" w:rsidP="00016E5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E45908" w:rsidRPr="00B363E7" w14:paraId="1CB280C5" w14:textId="77777777" w:rsidTr="00E20EBE">
        <w:tc>
          <w:tcPr>
            <w:tcW w:w="5811" w:type="dxa"/>
            <w:tcBorders>
              <w:top w:val="single" w:sz="4" w:space="0" w:color="auto"/>
            </w:tcBorders>
          </w:tcPr>
          <w:p w14:paraId="43A7F017" w14:textId="15DF9CEC" w:rsidR="00E45908" w:rsidRPr="00B363E7" w:rsidRDefault="00E45908" w:rsidP="00E45908">
            <w:pPr>
              <w:pStyle w:val="Lgendetitre"/>
            </w:pPr>
            <w:r>
              <w:t>Objaśnienie używanych znaków</w:t>
            </w:r>
          </w:p>
        </w:tc>
      </w:tr>
      <w:tr w:rsidR="00E45908" w:rsidRPr="00B363E7" w14:paraId="54086217" w14:textId="77777777" w:rsidTr="004247A2">
        <w:trPr>
          <w:cantSplit/>
          <w:trHeight w:val="1807"/>
        </w:trPr>
        <w:tc>
          <w:tcPr>
            <w:tcW w:w="5811" w:type="dxa"/>
            <w:tcBorders>
              <w:bottom w:val="single" w:sz="4" w:space="0" w:color="auto"/>
            </w:tcBorders>
          </w:tcPr>
          <w:p w14:paraId="3E93BAF6" w14:textId="77777777" w:rsidR="00E45908" w:rsidRPr="00100F31" w:rsidRDefault="00E45908" w:rsidP="00E45908">
            <w:pPr>
              <w:pStyle w:val="Lgendesigne"/>
              <w:rPr>
                <w:szCs w:val="24"/>
              </w:rPr>
            </w:pPr>
            <w:r>
              <w:tab/>
              <w:t>*</w:t>
            </w:r>
            <w:r>
              <w:tab/>
              <w:t>Procedura konsultacji</w:t>
            </w:r>
          </w:p>
          <w:p w14:paraId="4478562B" w14:textId="77777777" w:rsidR="00E45908" w:rsidRPr="00100F31" w:rsidRDefault="00E45908" w:rsidP="00E45908">
            <w:pPr>
              <w:pStyle w:val="Lgendesigne"/>
              <w:rPr>
                <w:szCs w:val="24"/>
              </w:rPr>
            </w:pPr>
            <w:r>
              <w:tab/>
              <w:t>***</w:t>
            </w:r>
            <w:r>
              <w:tab/>
              <w:t>Procedura zgody</w:t>
            </w:r>
          </w:p>
          <w:p w14:paraId="578E918D" w14:textId="77777777" w:rsidR="00E45908" w:rsidRPr="00100F31" w:rsidRDefault="00E45908" w:rsidP="00E45908">
            <w:pPr>
              <w:pStyle w:val="Lgendesigne"/>
              <w:rPr>
                <w:szCs w:val="24"/>
              </w:rPr>
            </w:pPr>
            <w:r>
              <w:tab/>
              <w:t>***I</w:t>
            </w:r>
            <w:r>
              <w:tab/>
              <w:t>Zwykła procedura ustawodawcza (pierwsze czytanie)</w:t>
            </w:r>
          </w:p>
          <w:p w14:paraId="1372B793" w14:textId="77777777" w:rsidR="00E45908" w:rsidRPr="00100F31" w:rsidRDefault="00E45908" w:rsidP="00E45908">
            <w:pPr>
              <w:pStyle w:val="Lgendesigne"/>
              <w:rPr>
                <w:szCs w:val="24"/>
              </w:rPr>
            </w:pPr>
            <w:r>
              <w:tab/>
              <w:t>***II</w:t>
            </w:r>
            <w:r>
              <w:tab/>
              <w:t>Zwykła procedura ustawodawcza (drugie czytanie)</w:t>
            </w:r>
          </w:p>
          <w:p w14:paraId="32F944B7" w14:textId="77777777" w:rsidR="00E45908" w:rsidRPr="00100F31" w:rsidRDefault="00E45908" w:rsidP="00E45908">
            <w:pPr>
              <w:pStyle w:val="Lgendesigne"/>
              <w:rPr>
                <w:szCs w:val="24"/>
              </w:rPr>
            </w:pPr>
            <w:r>
              <w:tab/>
              <w:t>***III</w:t>
            </w:r>
            <w:r>
              <w:tab/>
              <w:t>Zwykła procedura ustawodawcza (trzecie czytanie)</w:t>
            </w:r>
            <w:r>
              <w:br/>
            </w:r>
          </w:p>
          <w:p w14:paraId="1FCDF0CE" w14:textId="77777777" w:rsidR="00E45908" w:rsidRPr="00100F31" w:rsidRDefault="00E45908" w:rsidP="00E45908">
            <w:pPr>
              <w:pStyle w:val="Lgendestandard"/>
              <w:rPr>
                <w:szCs w:val="24"/>
              </w:rPr>
            </w:pPr>
            <w:r>
              <w:t>(Wskazana procedura opiera się na podstawie prawnej zaproponowanej w projekcie aktu)</w:t>
            </w:r>
          </w:p>
          <w:p w14:paraId="1C99D18A" w14:textId="77777777" w:rsidR="00E45908" w:rsidRPr="00B363E7" w:rsidRDefault="00E45908" w:rsidP="00E45908">
            <w:pPr>
              <w:pStyle w:val="Lgendestandard"/>
            </w:pPr>
          </w:p>
        </w:tc>
      </w:tr>
    </w:tbl>
    <w:p w14:paraId="60A7E6B8" w14:textId="77777777" w:rsidR="00D44364" w:rsidRPr="00B363E7" w:rsidRDefault="00D44364" w:rsidP="00016E55"/>
    <w:p w14:paraId="244AFCEF" w14:textId="77777777" w:rsidR="00363B94" w:rsidRPr="00B363E7" w:rsidRDefault="00363B94" w:rsidP="00613F2E">
      <w:pPr>
        <w:widowControl/>
        <w:tabs>
          <w:tab w:val="center" w:pos="4677"/>
        </w:tabs>
      </w:pPr>
    </w:p>
    <w:p w14:paraId="6BD6195D" w14:textId="77777777" w:rsidR="00363B94" w:rsidRPr="00B363E7" w:rsidRDefault="00363B94">
      <w:pPr>
        <w:pStyle w:val="TOCHeading"/>
      </w:pPr>
      <w:r>
        <w:br w:type="page"/>
      </w:r>
      <w:r>
        <w:lastRenderedPageBreak/>
        <w:t>SPIS TREŚCI</w:t>
      </w:r>
    </w:p>
    <w:p w14:paraId="0F97FC00" w14:textId="77777777" w:rsidR="00363B94" w:rsidRPr="00B363E7" w:rsidRDefault="0095779A">
      <w:pPr>
        <w:pStyle w:val="TOCPage"/>
      </w:pPr>
      <w:r>
        <w:t>Strona</w:t>
      </w:r>
    </w:p>
    <w:p w14:paraId="77A98442" w14:textId="76C2F8CA" w:rsidR="00EC62A4" w:rsidRDefault="00EF48F2">
      <w:pPr>
        <w:pStyle w:val="TOC1"/>
        <w:tabs>
          <w:tab w:val="right" w:leader="dot" w:pos="9060"/>
        </w:tabs>
        <w:rPr>
          <w:rFonts w:asciiTheme="minorHAnsi" w:eastAsiaTheme="minorEastAsia" w:hAnsiTheme="minorHAnsi" w:cstheme="minorBidi"/>
          <w:noProof/>
          <w:sz w:val="22"/>
          <w:szCs w:val="22"/>
          <w:lang w:val="en-GB"/>
        </w:rPr>
      </w:pPr>
      <w:r w:rsidRPr="00B363E7">
        <w:fldChar w:fldCharType="begin"/>
      </w:r>
      <w:r w:rsidRPr="00B363E7">
        <w:instrText xml:space="preserve"> TOC \t "PageHeading</w:instrText>
      </w:r>
      <w:r w:rsidR="00EC62A4">
        <w:instrText>;</w:instrText>
      </w:r>
      <w:r w:rsidRPr="00B363E7">
        <w:instrText xml:space="preserve">1" </w:instrText>
      </w:r>
      <w:r w:rsidRPr="00B363E7">
        <w:fldChar w:fldCharType="separate"/>
      </w:r>
      <w:r w:rsidR="00EC62A4">
        <w:rPr>
          <w:noProof/>
        </w:rPr>
        <w:t>PROJEKT REZOLUCJI USTAWODAWCZEJ PARLAMENTU EUROPEJSKIEGO</w:t>
      </w:r>
      <w:r w:rsidR="00EC62A4">
        <w:rPr>
          <w:noProof/>
        </w:rPr>
        <w:tab/>
      </w:r>
      <w:r w:rsidR="00EC62A4">
        <w:rPr>
          <w:noProof/>
        </w:rPr>
        <w:fldChar w:fldCharType="begin"/>
      </w:r>
      <w:r w:rsidR="00EC62A4">
        <w:rPr>
          <w:noProof/>
        </w:rPr>
        <w:instrText xml:space="preserve"> PAGEREF _Toc74581778 \h </w:instrText>
      </w:r>
      <w:r w:rsidR="00EC62A4">
        <w:rPr>
          <w:noProof/>
        </w:rPr>
      </w:r>
      <w:r w:rsidR="00EC62A4">
        <w:rPr>
          <w:noProof/>
        </w:rPr>
        <w:fldChar w:fldCharType="separate"/>
      </w:r>
      <w:r w:rsidR="00EC62A4">
        <w:rPr>
          <w:noProof/>
        </w:rPr>
        <w:t>5</w:t>
      </w:r>
      <w:r w:rsidR="00EC62A4">
        <w:rPr>
          <w:noProof/>
        </w:rPr>
        <w:fldChar w:fldCharType="end"/>
      </w:r>
    </w:p>
    <w:p w14:paraId="3D43D170" w14:textId="1DAADC3A" w:rsidR="00EC62A4" w:rsidRDefault="00EC62A4">
      <w:pPr>
        <w:pStyle w:val="TOC1"/>
        <w:tabs>
          <w:tab w:val="right" w:leader="dot" w:pos="9060"/>
        </w:tabs>
        <w:rPr>
          <w:rFonts w:asciiTheme="minorHAnsi" w:eastAsiaTheme="minorEastAsia" w:hAnsiTheme="minorHAnsi" w:cstheme="minorBidi"/>
          <w:noProof/>
          <w:sz w:val="22"/>
          <w:szCs w:val="22"/>
          <w:lang w:val="en-GB"/>
        </w:rPr>
      </w:pPr>
      <w:r>
        <w:rPr>
          <w:noProof/>
        </w:rPr>
        <w:t>UZASADNIENIE</w:t>
      </w:r>
      <w:r>
        <w:rPr>
          <w:noProof/>
        </w:rPr>
        <w:tab/>
      </w:r>
      <w:r>
        <w:rPr>
          <w:noProof/>
        </w:rPr>
        <w:fldChar w:fldCharType="begin"/>
      </w:r>
      <w:r>
        <w:rPr>
          <w:noProof/>
        </w:rPr>
        <w:instrText xml:space="preserve"> PAGEREF _Toc74581779 \h </w:instrText>
      </w:r>
      <w:r>
        <w:rPr>
          <w:noProof/>
        </w:rPr>
      </w:r>
      <w:r>
        <w:rPr>
          <w:noProof/>
        </w:rPr>
        <w:fldChar w:fldCharType="separate"/>
      </w:r>
      <w:r>
        <w:rPr>
          <w:noProof/>
        </w:rPr>
        <w:t>6</w:t>
      </w:r>
      <w:r>
        <w:rPr>
          <w:noProof/>
        </w:rPr>
        <w:fldChar w:fldCharType="end"/>
      </w:r>
    </w:p>
    <w:p w14:paraId="6DC67A18" w14:textId="3226BE79" w:rsidR="00EC62A4" w:rsidRDefault="00EC62A4">
      <w:pPr>
        <w:pStyle w:val="TOC1"/>
        <w:tabs>
          <w:tab w:val="right" w:leader="dot" w:pos="9060"/>
        </w:tabs>
        <w:rPr>
          <w:rFonts w:asciiTheme="minorHAnsi" w:eastAsiaTheme="minorEastAsia" w:hAnsiTheme="minorHAnsi" w:cstheme="minorBidi"/>
          <w:noProof/>
          <w:sz w:val="22"/>
          <w:szCs w:val="22"/>
          <w:lang w:val="en-GB"/>
        </w:rPr>
      </w:pPr>
      <w:r>
        <w:rPr>
          <w:noProof/>
        </w:rPr>
        <w:t>PROCEDURA W KOMISJI PRZEDMIOTOWO WŁAŚCIWEJ</w:t>
      </w:r>
      <w:r>
        <w:rPr>
          <w:noProof/>
        </w:rPr>
        <w:tab/>
      </w:r>
      <w:r>
        <w:rPr>
          <w:noProof/>
        </w:rPr>
        <w:fldChar w:fldCharType="begin"/>
      </w:r>
      <w:r>
        <w:rPr>
          <w:noProof/>
        </w:rPr>
        <w:instrText xml:space="preserve"> PAGEREF _Toc74581780 \h </w:instrText>
      </w:r>
      <w:r>
        <w:rPr>
          <w:noProof/>
        </w:rPr>
      </w:r>
      <w:r>
        <w:rPr>
          <w:noProof/>
        </w:rPr>
        <w:fldChar w:fldCharType="separate"/>
      </w:r>
      <w:r>
        <w:rPr>
          <w:noProof/>
        </w:rPr>
        <w:t>8</w:t>
      </w:r>
      <w:r>
        <w:rPr>
          <w:noProof/>
        </w:rPr>
        <w:fldChar w:fldCharType="end"/>
      </w:r>
    </w:p>
    <w:p w14:paraId="7246E4B3" w14:textId="49127B4B" w:rsidR="00EC62A4" w:rsidRDefault="00EC62A4">
      <w:pPr>
        <w:pStyle w:val="TOC1"/>
        <w:tabs>
          <w:tab w:val="right" w:leader="dot" w:pos="9060"/>
        </w:tabs>
        <w:rPr>
          <w:rFonts w:asciiTheme="minorHAnsi" w:eastAsiaTheme="minorEastAsia" w:hAnsiTheme="minorHAnsi" w:cstheme="minorBidi"/>
          <w:noProof/>
          <w:sz w:val="22"/>
          <w:szCs w:val="22"/>
          <w:lang w:val="en-GB"/>
        </w:rPr>
      </w:pPr>
      <w:r>
        <w:rPr>
          <w:noProof/>
        </w:rPr>
        <w:t>GŁOSOWANIE KOŃCOWE W FORMIE GŁOSOWANIA IMIENNEGO W KOMISJI PRZEDMIOTOWO WŁAŚCIWEJ</w:t>
      </w:r>
      <w:r>
        <w:rPr>
          <w:noProof/>
        </w:rPr>
        <w:tab/>
      </w:r>
      <w:r>
        <w:rPr>
          <w:noProof/>
        </w:rPr>
        <w:fldChar w:fldCharType="begin"/>
      </w:r>
      <w:r>
        <w:rPr>
          <w:noProof/>
        </w:rPr>
        <w:instrText xml:space="preserve"> PAGEREF _Toc74581781 \h </w:instrText>
      </w:r>
      <w:r>
        <w:rPr>
          <w:noProof/>
        </w:rPr>
      </w:r>
      <w:r>
        <w:rPr>
          <w:noProof/>
        </w:rPr>
        <w:fldChar w:fldCharType="separate"/>
      </w:r>
      <w:r>
        <w:rPr>
          <w:noProof/>
        </w:rPr>
        <w:t>9</w:t>
      </w:r>
      <w:r>
        <w:rPr>
          <w:noProof/>
        </w:rPr>
        <w:fldChar w:fldCharType="end"/>
      </w:r>
    </w:p>
    <w:p w14:paraId="2869D9D3" w14:textId="4A173719" w:rsidR="004E1650" w:rsidRPr="00B363E7" w:rsidRDefault="00EF48F2" w:rsidP="00F04010">
      <w:r w:rsidRPr="00B363E7">
        <w:fldChar w:fldCharType="end"/>
      </w:r>
    </w:p>
    <w:p w14:paraId="7FD64552" w14:textId="77777777" w:rsidR="00363B94" w:rsidRPr="00B363E7" w:rsidRDefault="00363B94" w:rsidP="0006167F">
      <w:pPr>
        <w:pStyle w:val="PageHeading"/>
      </w:pPr>
      <w:r>
        <w:br w:type="page"/>
      </w:r>
      <w:r>
        <w:lastRenderedPageBreak/>
        <w:br w:type="page"/>
      </w:r>
      <w:bookmarkStart w:id="1" w:name="_Toc74581778"/>
      <w:r>
        <w:lastRenderedPageBreak/>
        <w:t>PROJEKT REZOLUCJI USTAWODAWCZEJ PARLAMENTU EUROPEJSKIEGO</w:t>
      </w:r>
      <w:bookmarkEnd w:id="1"/>
    </w:p>
    <w:p w14:paraId="5A2E5A8A" w14:textId="43A75602" w:rsidR="00363B94" w:rsidRPr="00B363E7" w:rsidRDefault="0095779A">
      <w:pPr>
        <w:pStyle w:val="NormalBold"/>
      </w:pPr>
      <w:r>
        <w:t>w sprawie projektu decyzji Rady w sprawie zawarcia Porozumienia między Unią Europejską a Królestwem Tajlandii na mocy art. XXVIII Układu ogólnego w sprawie taryf celnych i handlu (GATT) 1994 w sprawie zmiany koncesji dotyczących wszystkich kontyngentów taryfowych znajdujących się na liście koncesyjnej UE CLXXV w następstwie wystąpienia Zjednoczonego Królestwa z Unii Europejskiej</w:t>
      </w:r>
    </w:p>
    <w:p w14:paraId="3F5454CC" w14:textId="2A13BE70" w:rsidR="00363B94" w:rsidRPr="00B363E7" w:rsidRDefault="0095779A">
      <w:pPr>
        <w:pStyle w:val="NormalBold12a"/>
      </w:pPr>
      <w:r>
        <w:t>(05444/2021 – C9-0171/2021 – 2021/0003(NLE))</w:t>
      </w:r>
    </w:p>
    <w:p w14:paraId="2145E8D5" w14:textId="77777777" w:rsidR="00363B94" w:rsidRPr="00B363E7" w:rsidRDefault="0095779A" w:rsidP="00893FBD">
      <w:pPr>
        <w:pStyle w:val="NormalBold"/>
      </w:pPr>
      <w:r>
        <w:t>(Zgoda)</w:t>
      </w:r>
    </w:p>
    <w:p w14:paraId="1201FB3D" w14:textId="77777777" w:rsidR="0074445B" w:rsidRPr="00B363E7" w:rsidRDefault="0074445B" w:rsidP="0074445B">
      <w:pPr>
        <w:spacing w:before="480" w:after="240"/>
      </w:pPr>
      <w:r>
        <w:rPr>
          <w:i/>
        </w:rPr>
        <w:t>Parlament Europejski</w:t>
      </w:r>
      <w:r>
        <w:t>,</w:t>
      </w:r>
    </w:p>
    <w:p w14:paraId="71100E0D" w14:textId="095E9451" w:rsidR="0074445B" w:rsidRPr="00B363E7" w:rsidRDefault="0074445B" w:rsidP="0074445B">
      <w:pPr>
        <w:spacing w:after="240"/>
        <w:ind w:left="567" w:hanging="567"/>
      </w:pPr>
      <w:r>
        <w:t>–</w:t>
      </w:r>
      <w:r>
        <w:tab/>
        <w:t>uwzględniając projekt decyzji Rady (05444/2021),</w:t>
      </w:r>
    </w:p>
    <w:p w14:paraId="0FF80016" w14:textId="3F53EC83" w:rsidR="0074445B" w:rsidRPr="00B363E7" w:rsidRDefault="0074445B" w:rsidP="0074445B">
      <w:pPr>
        <w:spacing w:after="240"/>
        <w:ind w:left="567" w:hanging="567"/>
      </w:pPr>
      <w:r>
        <w:t>–</w:t>
      </w:r>
      <w:r>
        <w:tab/>
        <w:t>uwzględniając projekt Porozumienia między Unią Europejską a Królestwem Tajlandii na podstawie art. XXVIII Układu ogólnego w sprawie taryf celnych i handlu (GATT) 1994 w sprawie zmiany koncesji dotyczących wszystkich kontyngentów taryfowych znajdujących się na liście koncesyjnej UE CLXXV w następstwie wystąpienia Zjednoczonego Królestwa z Unii Europejskiej (05445/2021),</w:t>
      </w:r>
    </w:p>
    <w:p w14:paraId="38280D1B" w14:textId="11A5236D" w:rsidR="0074445B" w:rsidRPr="00B363E7" w:rsidRDefault="0074445B" w:rsidP="0074445B">
      <w:pPr>
        <w:spacing w:after="240"/>
        <w:ind w:left="567" w:hanging="567"/>
      </w:pPr>
      <w:r>
        <w:t>–</w:t>
      </w:r>
      <w:r>
        <w:tab/>
        <w:t>uwzględniając wniosek o wyrażenie zgody przedstawiony przez Radę na mocy art. 207 ust. 4 akapit pierwszy i art. 218 ust. 6 akapit drugi lit. a) ppkt (v) Traktatu o funkcjonowaniu Unii Europejskiej (C9-0171/2021),</w:t>
      </w:r>
    </w:p>
    <w:p w14:paraId="738B98BA" w14:textId="77777777" w:rsidR="0074445B" w:rsidRPr="00B363E7" w:rsidRDefault="0074445B" w:rsidP="0074445B">
      <w:pPr>
        <w:spacing w:after="240"/>
        <w:ind w:left="567" w:hanging="567"/>
      </w:pPr>
      <w:r>
        <w:t>–</w:t>
      </w:r>
      <w:r>
        <w:tab/>
        <w:t>uwzględniając art. 105 ust. 1 i 4 oraz art. 114 ust. 7 Regulaminu,</w:t>
      </w:r>
    </w:p>
    <w:p w14:paraId="4D6F0231" w14:textId="02100094" w:rsidR="0074445B" w:rsidRPr="00B363E7" w:rsidRDefault="0074445B" w:rsidP="0074445B">
      <w:pPr>
        <w:spacing w:after="240"/>
        <w:ind w:left="567" w:hanging="567"/>
      </w:pPr>
      <w:r>
        <w:t>–</w:t>
      </w:r>
      <w:r>
        <w:tab/>
        <w:t>uwzględniając zalecenie Komisji Handlu Międzynarodowego (A9-0180/2021),</w:t>
      </w:r>
    </w:p>
    <w:p w14:paraId="36B3FDEC" w14:textId="77777777" w:rsidR="0074445B" w:rsidRPr="00B363E7" w:rsidRDefault="0074445B" w:rsidP="0074445B">
      <w:pPr>
        <w:spacing w:after="240"/>
        <w:ind w:left="567" w:hanging="567"/>
        <w:rPr>
          <w:color w:val="000000"/>
          <w:szCs w:val="24"/>
        </w:rPr>
      </w:pPr>
      <w:r>
        <w:rPr>
          <w:color w:val="000000"/>
          <w:szCs w:val="24"/>
        </w:rPr>
        <w:t>1.</w:t>
      </w:r>
      <w:r>
        <w:rPr>
          <w:color w:val="000000"/>
          <w:szCs w:val="24"/>
        </w:rPr>
        <w:tab/>
        <w:t>wyraża zgodę na zawarcie porozumienia;</w:t>
      </w:r>
    </w:p>
    <w:p w14:paraId="322124B2" w14:textId="77777777" w:rsidR="0074445B" w:rsidRPr="00B363E7" w:rsidRDefault="0074445B" w:rsidP="0074445B">
      <w:pPr>
        <w:spacing w:after="240"/>
        <w:ind w:left="567" w:hanging="567"/>
        <w:rPr>
          <w:color w:val="000000"/>
          <w:szCs w:val="24"/>
        </w:rPr>
      </w:pPr>
      <w:r>
        <w:rPr>
          <w:color w:val="000000"/>
          <w:szCs w:val="24"/>
        </w:rPr>
        <w:t xml:space="preserve">2. </w:t>
      </w:r>
      <w:r>
        <w:rPr>
          <w:color w:val="000000"/>
          <w:szCs w:val="24"/>
        </w:rPr>
        <w:tab/>
        <w:t>zobowiązuje swojego przewodniczącego do przekazania stanowiska Parlamentu Radzie i Komisji, jak również rządom i parlamentom państw członkowskich oraz Królestwa Tajlandii.</w:t>
      </w:r>
    </w:p>
    <w:p w14:paraId="3C8991F6" w14:textId="77777777" w:rsidR="0074445B" w:rsidRPr="00B363E7" w:rsidRDefault="0074445B" w:rsidP="0074445B">
      <w:pPr>
        <w:widowControl/>
      </w:pPr>
      <w:r>
        <w:br w:type="page"/>
      </w:r>
    </w:p>
    <w:p w14:paraId="04B16748" w14:textId="77777777" w:rsidR="0074445B" w:rsidRPr="00B363E7" w:rsidRDefault="0074445B" w:rsidP="0074445B">
      <w:pPr>
        <w:pStyle w:val="PageHeading"/>
      </w:pPr>
      <w:bookmarkStart w:id="2" w:name="_Toc54189612"/>
      <w:bookmarkStart w:id="3" w:name="_Toc74581779"/>
      <w:r>
        <w:lastRenderedPageBreak/>
        <w:t>UZASADNIENIE</w:t>
      </w:r>
      <w:bookmarkEnd w:id="2"/>
      <w:bookmarkEnd w:id="3"/>
    </w:p>
    <w:p w14:paraId="24D3F1A0" w14:textId="77777777" w:rsidR="0074445B" w:rsidRPr="00B363E7" w:rsidRDefault="0074445B" w:rsidP="0074445B">
      <w:pPr>
        <w:widowControl/>
        <w:jc w:val="both"/>
        <w:rPr>
          <w:rFonts w:eastAsia="Calibri"/>
          <w:szCs w:val="24"/>
        </w:rPr>
      </w:pPr>
      <w:r>
        <w:t xml:space="preserve">W październiku 2018 r. UE formalnie rozpoczęła w Genewie proces negocjacji (na mocy art. XXVIII Układu ogólnego w sprawie taryf celnych i handlu (GATT) 1994) z szeregiem członków WTO. Podstawową zasadą negocjacji jest „wspólne podejście” opracowane przez UE i Zjednoczone Królestwo w 2017 r., dotyczące sposobu podziału zobowiązań ilościowych znajdujących się na obowiązującej UE28 liście koncesyjnej WTO odnoszącej się do 143 unijnych kontyngentów taryfowych WTO dotyczących rolnictwa, rybołówstwa i przemysłu. Podejście to opiera się na założeniu, że obecna wielkość każdego kontyngentu taryfowego zostanie w przyszłości w pełni utrzymana, lecz zostanie podzielona między dwa odrębne obszary celne: UE27 i Zjednoczone Królestwo. </w:t>
      </w:r>
    </w:p>
    <w:p w14:paraId="71E95100" w14:textId="77777777" w:rsidR="0074445B" w:rsidRPr="00B363E7" w:rsidRDefault="0074445B" w:rsidP="0074445B">
      <w:pPr>
        <w:widowControl/>
        <w:jc w:val="both"/>
        <w:rPr>
          <w:rFonts w:eastAsia="Calibri"/>
          <w:szCs w:val="24"/>
          <w:lang w:eastAsia="en-US"/>
        </w:rPr>
      </w:pPr>
    </w:p>
    <w:p w14:paraId="1ED570F3" w14:textId="77777777" w:rsidR="0074445B" w:rsidRPr="00B363E7" w:rsidRDefault="0074445B" w:rsidP="0074445B">
      <w:pPr>
        <w:widowControl/>
        <w:jc w:val="both"/>
        <w:rPr>
          <w:rFonts w:eastAsia="Calibri"/>
          <w:szCs w:val="24"/>
        </w:rPr>
      </w:pPr>
      <w:r>
        <w:t>Zasada leżąca u podstaw zastosowanej metody opiera się na przepływach handlowych do UE27 i Zjednoczonego Królestwa w reprezentatywnym okresie odniesienia (trzyletnim, od 2013 do 2015 r.) dla wszystkich kontyngentów taryfowych WTO.</w:t>
      </w:r>
    </w:p>
    <w:p w14:paraId="7D5AEF2B" w14:textId="77777777" w:rsidR="0074445B" w:rsidRPr="00B363E7" w:rsidRDefault="0074445B" w:rsidP="0074445B">
      <w:pPr>
        <w:widowControl/>
        <w:jc w:val="both"/>
        <w:rPr>
          <w:rFonts w:eastAsia="Calibri"/>
          <w:szCs w:val="24"/>
        </w:rPr>
      </w:pPr>
      <w:r>
        <w:t xml:space="preserve">15 czerwca 2018 r. Rada upoważniła Komisję do rozpoczęcia negocjacji na podstawie art. XXVIII GATT z odpowiednimi członkami WTO w celu podziału koncesji Unii w ramach WTO dotyczących kontyngentów taryfowych. </w:t>
      </w:r>
    </w:p>
    <w:p w14:paraId="24963D1C" w14:textId="77777777" w:rsidR="0074445B" w:rsidRPr="00B363E7" w:rsidRDefault="0074445B" w:rsidP="0074445B">
      <w:pPr>
        <w:widowControl/>
        <w:jc w:val="both"/>
        <w:rPr>
          <w:rFonts w:eastAsia="Calibri"/>
          <w:szCs w:val="24"/>
          <w:lang w:eastAsia="en-US"/>
        </w:rPr>
      </w:pPr>
    </w:p>
    <w:p w14:paraId="32B311A5" w14:textId="77777777" w:rsidR="0074445B" w:rsidRPr="00B363E7" w:rsidRDefault="0074445B" w:rsidP="0074445B">
      <w:pPr>
        <w:widowControl/>
        <w:jc w:val="both"/>
        <w:rPr>
          <w:rFonts w:eastAsia="Calibri"/>
          <w:szCs w:val="24"/>
        </w:rPr>
      </w:pPr>
      <w:r>
        <w:t>Uzgodniona metoda podziału została szczegółowo opisana w rozporządzeniu Rady i PE (UE) 2019/216. Dokładniej rzecz ujmując, w art. 2 lit. b) tego rozporządzenia przyznano Komisji prawo do zmiany podziału w celu uwzględnienia istotnych informacji, które może ona otrzymać w kontekście negocjacji na podstawie art. XXVIII GATT 1994 lub z innych źródeł mających interes w danym kontyngencie taryfowym.</w:t>
      </w:r>
    </w:p>
    <w:p w14:paraId="1AB8C2CE" w14:textId="77777777" w:rsidR="0074445B" w:rsidRPr="00B363E7" w:rsidRDefault="0074445B" w:rsidP="0074445B">
      <w:pPr>
        <w:widowControl/>
        <w:jc w:val="both"/>
        <w:rPr>
          <w:rFonts w:eastAsia="Calibri"/>
          <w:szCs w:val="24"/>
          <w:lang w:eastAsia="en-US"/>
        </w:rPr>
      </w:pPr>
    </w:p>
    <w:p w14:paraId="3D1626D6" w14:textId="77777777" w:rsidR="0074445B" w:rsidRPr="00B363E7" w:rsidRDefault="0074445B" w:rsidP="0074445B">
      <w:pPr>
        <w:widowControl/>
        <w:jc w:val="both"/>
        <w:rPr>
          <w:rFonts w:eastAsia="Calibri"/>
          <w:szCs w:val="24"/>
        </w:rPr>
      </w:pPr>
      <w:r>
        <w:t>W sprawie treści i postępów negocjacji regularnie konsultowano się z Radą (Komitetem ds. Polityki Handlowej). Negocjacje z Królestwem Tajlandii zakończyły się zawarciem porozumienia, które zostało parafowane 7 stycznia 2021 r. w Genewie („porozumienie”).</w:t>
      </w:r>
    </w:p>
    <w:p w14:paraId="15DCBCF5" w14:textId="77777777" w:rsidR="0074445B" w:rsidRPr="00B363E7" w:rsidRDefault="0074445B" w:rsidP="0074445B">
      <w:pPr>
        <w:widowControl/>
        <w:jc w:val="both"/>
        <w:rPr>
          <w:rFonts w:eastAsia="Calibri"/>
          <w:szCs w:val="24"/>
          <w:lang w:eastAsia="en-US"/>
        </w:rPr>
      </w:pPr>
    </w:p>
    <w:p w14:paraId="5049B4FB" w14:textId="77777777" w:rsidR="0074445B" w:rsidRPr="00B363E7" w:rsidRDefault="0074445B" w:rsidP="0074445B">
      <w:pPr>
        <w:widowControl/>
        <w:jc w:val="both"/>
        <w:rPr>
          <w:rFonts w:eastAsia="Calibri"/>
          <w:szCs w:val="24"/>
        </w:rPr>
      </w:pPr>
      <w:r>
        <w:t>W związku z tym Komisja Europejska wnioskuje do Rady o zgodę na podpisanie tego porozumienia.</w:t>
      </w:r>
    </w:p>
    <w:p w14:paraId="36B0E0F1" w14:textId="77777777" w:rsidR="0074445B" w:rsidRPr="00B363E7" w:rsidRDefault="0074445B" w:rsidP="0074445B"/>
    <w:p w14:paraId="3AB25CA3" w14:textId="77777777" w:rsidR="0074445B" w:rsidRPr="00B363E7" w:rsidRDefault="0074445B" w:rsidP="0074445B">
      <w:pPr>
        <w:widowControl/>
        <w:spacing w:after="240"/>
        <w:jc w:val="both"/>
        <w:rPr>
          <w:color w:val="000000"/>
          <w:szCs w:val="24"/>
        </w:rPr>
      </w:pPr>
      <w:r>
        <w:rPr>
          <w:color w:val="000000"/>
          <w:szCs w:val="24"/>
        </w:rPr>
        <w:t xml:space="preserve">Zgodnie z art. 218 ust. 6 TFUE aby Rada mogła przyjąć decyzję o zawarciu porozumienia, konieczna jest zgoda Parlamentu Europejskiego. </w:t>
      </w:r>
    </w:p>
    <w:p w14:paraId="67989FF2" w14:textId="77777777" w:rsidR="0074445B" w:rsidRPr="00B363E7" w:rsidRDefault="0074445B" w:rsidP="0074445B">
      <w:r>
        <w:rPr>
          <w:color w:val="000000"/>
          <w:szCs w:val="24"/>
        </w:rPr>
        <w:t>W świetle powyższego sprawozdawczyni zaleca Parlamentowi wyrażenie zgody na zawarcie porozumienia.</w:t>
      </w:r>
    </w:p>
    <w:p w14:paraId="653CF2BC" w14:textId="77777777" w:rsidR="0074445B" w:rsidRPr="00B363E7" w:rsidRDefault="0074445B" w:rsidP="0074445B"/>
    <w:p w14:paraId="6E38FEBF" w14:textId="77777777" w:rsidR="00BC4090" w:rsidRPr="00B363E7" w:rsidRDefault="00BC4090" w:rsidP="00BC4090">
      <w:r>
        <w:br w:type="page"/>
      </w:r>
    </w:p>
    <w:p w14:paraId="3F104EA2" w14:textId="77777777" w:rsidR="00E45908" w:rsidRDefault="00E45908">
      <w:pPr>
        <w:widowControl/>
        <w:rPr>
          <w:rFonts w:ascii="Arial" w:hAnsi="Arial" w:cs="Arial"/>
          <w:b/>
        </w:rPr>
      </w:pPr>
      <w:bookmarkStart w:id="4" w:name="ProcPageRR"/>
      <w:r>
        <w:lastRenderedPageBreak/>
        <w:br w:type="page"/>
      </w:r>
    </w:p>
    <w:p w14:paraId="27A12D95" w14:textId="106CF56F" w:rsidR="00E45908" w:rsidRDefault="00E45908" w:rsidP="00E45908">
      <w:pPr>
        <w:pStyle w:val="PageHeading"/>
      </w:pPr>
      <w:bookmarkStart w:id="5" w:name="_Toc74581780"/>
      <w:r>
        <w:lastRenderedPageBreak/>
        <w:t>PROCEDURA W KOMISJI PRZEDMIOTOWO WŁAŚCIWEJ</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E45908" w14:paraId="4961BD2B"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D5E6D44" w14:textId="77777777" w:rsidR="00E45908" w:rsidRDefault="00E45908">
            <w:pPr>
              <w:autoSpaceDE w:val="0"/>
              <w:autoSpaceDN w:val="0"/>
              <w:adjustRightInd w:val="0"/>
              <w:rPr>
                <w:b/>
                <w:bCs/>
                <w:color w:val="000000"/>
                <w:sz w:val="20"/>
              </w:rPr>
            </w:pPr>
            <w:r>
              <w:rPr>
                <w:b/>
                <w:bCs/>
                <w:color w:val="000000"/>
                <w:sz w:val="20"/>
              </w:rPr>
              <w:t>Tytuł</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A92B620" w14:textId="77777777" w:rsidR="00E45908" w:rsidRDefault="00E45908">
            <w:pPr>
              <w:autoSpaceDE w:val="0"/>
              <w:autoSpaceDN w:val="0"/>
              <w:adjustRightInd w:val="0"/>
              <w:rPr>
                <w:color w:val="000000"/>
                <w:sz w:val="20"/>
              </w:rPr>
            </w:pPr>
            <w:r>
              <w:rPr>
                <w:color w:val="000000"/>
                <w:sz w:val="20"/>
              </w:rPr>
              <w:t>Porozumienie między Unią a Królestwem Tajlandii w sprawie zmiany koncesji dotyczących wszystkich kontyngentów taryfowych znajdujących się na liście koncesyjnej UE CLXXV w następstwie wystąpienia Zjednoczonego Królestwa z Unii Europejskiej</w:t>
            </w:r>
          </w:p>
        </w:tc>
      </w:tr>
      <w:tr w:rsidR="00E45908" w14:paraId="3FD5B3E4"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A308C4" w14:textId="77777777" w:rsidR="00E45908" w:rsidRDefault="00E45908">
            <w:pPr>
              <w:autoSpaceDE w:val="0"/>
              <w:autoSpaceDN w:val="0"/>
              <w:adjustRightInd w:val="0"/>
              <w:rPr>
                <w:b/>
                <w:bCs/>
                <w:color w:val="000000"/>
                <w:sz w:val="20"/>
              </w:rPr>
            </w:pPr>
            <w:r>
              <w:rPr>
                <w:b/>
                <w:bCs/>
                <w:color w:val="000000"/>
                <w:sz w:val="20"/>
              </w:rPr>
              <w:t>Odsyłacze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A94217F" w14:textId="77777777" w:rsidR="00E45908" w:rsidRDefault="00E45908">
            <w:pPr>
              <w:autoSpaceDE w:val="0"/>
              <w:autoSpaceDN w:val="0"/>
              <w:adjustRightInd w:val="0"/>
              <w:rPr>
                <w:color w:val="000000"/>
                <w:sz w:val="20"/>
              </w:rPr>
            </w:pPr>
            <w:r>
              <w:rPr>
                <w:color w:val="000000"/>
                <w:sz w:val="20"/>
              </w:rPr>
              <w:t>05444/2021 – C9-0171/2021 – 2021/0003(NLE)</w:t>
            </w:r>
          </w:p>
        </w:tc>
      </w:tr>
      <w:tr w:rsidR="00E45908" w14:paraId="492755D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6318DC" w14:textId="77777777" w:rsidR="00E45908" w:rsidRDefault="00E45908">
            <w:pPr>
              <w:autoSpaceDE w:val="0"/>
              <w:autoSpaceDN w:val="0"/>
              <w:adjustRightInd w:val="0"/>
              <w:rPr>
                <w:b/>
                <w:bCs/>
                <w:color w:val="000000"/>
                <w:sz w:val="20"/>
              </w:rPr>
            </w:pPr>
            <w:r>
              <w:rPr>
                <w:b/>
                <w:bCs/>
                <w:color w:val="000000"/>
                <w:sz w:val="20"/>
              </w:rPr>
              <w:t>Data skonsultowania się / zwrócenia się o wyrażenie zgody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8BD5A08" w14:textId="77777777" w:rsidR="00E45908" w:rsidRDefault="00E45908">
            <w:pPr>
              <w:autoSpaceDE w:val="0"/>
              <w:autoSpaceDN w:val="0"/>
              <w:adjustRightInd w:val="0"/>
              <w:rPr>
                <w:color w:val="000000"/>
                <w:sz w:val="20"/>
              </w:rPr>
            </w:pPr>
            <w:r>
              <w:rPr>
                <w:color w:val="000000"/>
                <w:sz w:val="20"/>
              </w:rPr>
              <w:t>10.5.2021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333C1E4" w14:textId="77777777" w:rsidR="00E45908" w:rsidRDefault="00E459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A231A1" w14:textId="77777777" w:rsidR="00E45908" w:rsidRDefault="00E459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056B33E" w14:textId="77777777" w:rsidR="00E45908" w:rsidRDefault="00E45908">
            <w:pPr>
              <w:autoSpaceDE w:val="0"/>
              <w:autoSpaceDN w:val="0"/>
              <w:adjustRightInd w:val="0"/>
              <w:rPr>
                <w:rFonts w:ascii="sans-serif" w:hAnsi="sans-serif" w:cs="sans-serif"/>
                <w:color w:val="000000"/>
                <w:szCs w:val="24"/>
              </w:rPr>
            </w:pPr>
          </w:p>
        </w:tc>
      </w:tr>
      <w:tr w:rsidR="00E45908" w14:paraId="5E78D33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5153748" w14:textId="77777777" w:rsidR="00E45908" w:rsidRDefault="00E45908">
            <w:pPr>
              <w:autoSpaceDE w:val="0"/>
              <w:autoSpaceDN w:val="0"/>
              <w:adjustRightInd w:val="0"/>
              <w:rPr>
                <w:b/>
                <w:bCs/>
                <w:color w:val="000000"/>
                <w:sz w:val="20"/>
              </w:rPr>
            </w:pPr>
            <w:r>
              <w:rPr>
                <w:b/>
                <w:bCs/>
                <w:color w:val="000000"/>
                <w:sz w:val="20"/>
              </w:rPr>
              <w:t>Komisja przedmiotowo właściwa</w:t>
            </w:r>
          </w:p>
          <w:p w14:paraId="19F689A5" w14:textId="77777777" w:rsidR="00E45908" w:rsidRDefault="00E45908">
            <w:pPr>
              <w:autoSpaceDE w:val="0"/>
              <w:autoSpaceDN w:val="0"/>
              <w:adjustRightInd w:val="0"/>
              <w:rPr>
                <w:color w:val="000000"/>
                <w:sz w:val="20"/>
              </w:rPr>
            </w:pPr>
            <w:r>
              <w:rPr>
                <w:color w:val="000000"/>
                <w:sz w:val="20"/>
              </w:rPr>
              <w:t>       Data ogłoszenia na posiedzeniu</w:t>
            </w:r>
          </w:p>
        </w:tc>
        <w:tc>
          <w:tcPr>
            <w:tcW w:w="1530" w:type="dxa"/>
            <w:tcBorders>
              <w:top w:val="nil"/>
              <w:left w:val="nil"/>
              <w:bottom w:val="single" w:sz="8" w:space="0" w:color="000000"/>
              <w:right w:val="nil"/>
            </w:tcBorders>
            <w:tcMar>
              <w:top w:w="79" w:type="dxa"/>
              <w:left w:w="79" w:type="dxa"/>
              <w:bottom w:w="79" w:type="dxa"/>
              <w:right w:w="79" w:type="dxa"/>
            </w:tcMar>
          </w:tcPr>
          <w:p w14:paraId="220B332B" w14:textId="77777777" w:rsidR="00E45908" w:rsidRDefault="00E45908">
            <w:pPr>
              <w:autoSpaceDE w:val="0"/>
              <w:autoSpaceDN w:val="0"/>
              <w:adjustRightInd w:val="0"/>
              <w:rPr>
                <w:color w:val="000000"/>
                <w:sz w:val="20"/>
              </w:rPr>
            </w:pPr>
            <w:r>
              <w:rPr>
                <w:color w:val="000000"/>
                <w:sz w:val="20"/>
              </w:rPr>
              <w:t>INTA</w:t>
            </w:r>
          </w:p>
          <w:p w14:paraId="22B6C340" w14:textId="77777777" w:rsidR="00E45908" w:rsidRDefault="00E45908">
            <w:pPr>
              <w:autoSpaceDE w:val="0"/>
              <w:autoSpaceDN w:val="0"/>
              <w:adjustRightInd w:val="0"/>
              <w:rPr>
                <w:color w:val="000000"/>
                <w:sz w:val="20"/>
              </w:rPr>
            </w:pPr>
            <w:r>
              <w:rPr>
                <w:color w:val="000000"/>
                <w:sz w:val="20"/>
              </w:rPr>
              <w:t>17.5.2021</w:t>
            </w:r>
          </w:p>
        </w:tc>
        <w:tc>
          <w:tcPr>
            <w:tcW w:w="1474" w:type="dxa"/>
            <w:tcBorders>
              <w:top w:val="nil"/>
              <w:left w:val="nil"/>
              <w:bottom w:val="single" w:sz="8" w:space="0" w:color="000000"/>
              <w:right w:val="nil"/>
            </w:tcBorders>
            <w:tcMar>
              <w:top w:w="79" w:type="dxa"/>
              <w:left w:w="79" w:type="dxa"/>
              <w:bottom w:w="79" w:type="dxa"/>
              <w:right w:w="79" w:type="dxa"/>
            </w:tcMar>
          </w:tcPr>
          <w:p w14:paraId="586D44CA" w14:textId="77777777" w:rsidR="00E45908" w:rsidRDefault="00E4590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2F4F1B7" w14:textId="77777777" w:rsidR="00E45908" w:rsidRDefault="00E45908">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9E9EEBE" w14:textId="77777777" w:rsidR="00E45908" w:rsidRDefault="00E45908">
            <w:pPr>
              <w:autoSpaceDE w:val="0"/>
              <w:autoSpaceDN w:val="0"/>
              <w:adjustRightInd w:val="0"/>
              <w:rPr>
                <w:rFonts w:ascii="sans-serif" w:hAnsi="sans-serif" w:cs="sans-serif"/>
                <w:color w:val="000000"/>
                <w:szCs w:val="24"/>
              </w:rPr>
            </w:pPr>
          </w:p>
        </w:tc>
      </w:tr>
      <w:tr w:rsidR="00E45908" w14:paraId="22BD6F55"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C4B461C" w14:textId="77777777" w:rsidR="00E45908" w:rsidRDefault="00E45908">
            <w:pPr>
              <w:autoSpaceDE w:val="0"/>
              <w:autoSpaceDN w:val="0"/>
              <w:adjustRightInd w:val="0"/>
              <w:rPr>
                <w:b/>
                <w:bCs/>
                <w:color w:val="000000"/>
                <w:sz w:val="20"/>
              </w:rPr>
            </w:pPr>
            <w:r>
              <w:rPr>
                <w:b/>
                <w:bCs/>
                <w:color w:val="000000"/>
                <w:sz w:val="20"/>
              </w:rPr>
              <w:t>Komisje wyznaczone do wydania opinii</w:t>
            </w:r>
          </w:p>
          <w:p w14:paraId="4ECD804E" w14:textId="77777777" w:rsidR="00E45908" w:rsidRDefault="00E45908">
            <w:pPr>
              <w:autoSpaceDE w:val="0"/>
              <w:autoSpaceDN w:val="0"/>
              <w:adjustRightInd w:val="0"/>
              <w:rPr>
                <w:color w:val="000000"/>
                <w:sz w:val="20"/>
              </w:rPr>
            </w:pPr>
            <w:r>
              <w:rPr>
                <w:color w:val="000000"/>
                <w:sz w:val="20"/>
              </w:rPr>
              <w:t>       Data ogłoszenia na posiedzeniu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CC00BE6" w14:textId="77777777" w:rsidR="00E45908" w:rsidRDefault="00E45908">
            <w:pPr>
              <w:autoSpaceDE w:val="0"/>
              <w:autoSpaceDN w:val="0"/>
              <w:adjustRightInd w:val="0"/>
              <w:rPr>
                <w:color w:val="000000"/>
                <w:sz w:val="20"/>
              </w:rPr>
            </w:pPr>
            <w:r>
              <w:rPr>
                <w:color w:val="000000"/>
                <w:sz w:val="20"/>
              </w:rPr>
              <w:t>ITRE</w:t>
            </w:r>
          </w:p>
          <w:p w14:paraId="2E954F0C" w14:textId="77777777" w:rsidR="00E45908" w:rsidRDefault="00E45908">
            <w:pPr>
              <w:autoSpaceDE w:val="0"/>
              <w:autoSpaceDN w:val="0"/>
              <w:adjustRightInd w:val="0"/>
              <w:rPr>
                <w:color w:val="000000"/>
                <w:sz w:val="20"/>
              </w:rPr>
            </w:pPr>
            <w:r>
              <w:rPr>
                <w:color w:val="000000"/>
                <w:sz w:val="20"/>
              </w:rPr>
              <w:t>17.5.2021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10646B1" w14:textId="77777777" w:rsidR="00E45908" w:rsidRDefault="00E45908">
            <w:pPr>
              <w:autoSpaceDE w:val="0"/>
              <w:autoSpaceDN w:val="0"/>
              <w:adjustRightInd w:val="0"/>
              <w:rPr>
                <w:color w:val="000000"/>
                <w:sz w:val="20"/>
              </w:rPr>
            </w:pPr>
            <w:r>
              <w:rPr>
                <w:color w:val="000000"/>
                <w:sz w:val="20"/>
              </w:rPr>
              <w:t>AGRI</w:t>
            </w:r>
          </w:p>
          <w:p w14:paraId="58D2CB24" w14:textId="77777777" w:rsidR="00E45908" w:rsidRDefault="00E45908">
            <w:pPr>
              <w:autoSpaceDE w:val="0"/>
              <w:autoSpaceDN w:val="0"/>
              <w:adjustRightInd w:val="0"/>
              <w:rPr>
                <w:color w:val="000000"/>
                <w:sz w:val="20"/>
              </w:rPr>
            </w:pPr>
            <w:r>
              <w:rPr>
                <w:color w:val="000000"/>
                <w:sz w:val="20"/>
              </w:rPr>
              <w:t>17.5.2021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C811ED" w14:textId="77777777" w:rsidR="00E45908" w:rsidRDefault="00E45908">
            <w:pPr>
              <w:autoSpaceDE w:val="0"/>
              <w:autoSpaceDN w:val="0"/>
              <w:adjustRightInd w:val="0"/>
              <w:rPr>
                <w:color w:val="000000"/>
                <w:sz w:val="20"/>
              </w:rPr>
            </w:pPr>
            <w:r>
              <w:rPr>
                <w:color w:val="000000"/>
                <w:sz w:val="20"/>
              </w:rPr>
              <w:t>PECH</w:t>
            </w:r>
          </w:p>
          <w:p w14:paraId="7B646F82" w14:textId="77777777" w:rsidR="00E45908" w:rsidRDefault="00E45908">
            <w:pPr>
              <w:autoSpaceDE w:val="0"/>
              <w:autoSpaceDN w:val="0"/>
              <w:adjustRightInd w:val="0"/>
              <w:rPr>
                <w:color w:val="000000"/>
                <w:sz w:val="20"/>
              </w:rPr>
            </w:pPr>
            <w:r>
              <w:rPr>
                <w:color w:val="000000"/>
                <w:sz w:val="20"/>
              </w:rPr>
              <w:t>17.5.2021</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716DA31" w14:textId="77777777" w:rsidR="00E45908" w:rsidRDefault="00E45908">
            <w:pPr>
              <w:autoSpaceDE w:val="0"/>
              <w:autoSpaceDN w:val="0"/>
              <w:adjustRightInd w:val="0"/>
              <w:rPr>
                <w:rFonts w:ascii="sans-serif" w:hAnsi="sans-serif" w:cs="sans-serif"/>
                <w:color w:val="000000"/>
                <w:szCs w:val="24"/>
              </w:rPr>
            </w:pPr>
          </w:p>
        </w:tc>
      </w:tr>
      <w:tr w:rsidR="00E45908" w14:paraId="2A92F202"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64C813" w14:textId="77777777" w:rsidR="00E45908" w:rsidRDefault="00E45908">
            <w:pPr>
              <w:autoSpaceDE w:val="0"/>
              <w:autoSpaceDN w:val="0"/>
              <w:adjustRightInd w:val="0"/>
              <w:rPr>
                <w:b/>
                <w:bCs/>
                <w:color w:val="000000"/>
                <w:sz w:val="20"/>
              </w:rPr>
            </w:pPr>
            <w:r>
              <w:rPr>
                <w:b/>
                <w:bCs/>
                <w:color w:val="000000"/>
                <w:sz w:val="20"/>
              </w:rPr>
              <w:t>Opinia niewydana</w:t>
            </w:r>
          </w:p>
          <w:p w14:paraId="2D5C6396" w14:textId="77777777" w:rsidR="00E45908" w:rsidRDefault="00E45908">
            <w:pPr>
              <w:autoSpaceDE w:val="0"/>
              <w:autoSpaceDN w:val="0"/>
              <w:adjustRightInd w:val="0"/>
              <w:rPr>
                <w:color w:val="000000"/>
                <w:sz w:val="20"/>
              </w:rPr>
            </w:pPr>
            <w:r>
              <w:rPr>
                <w:color w:val="000000"/>
                <w:sz w:val="20"/>
              </w:rPr>
              <w:t>       Data decyzji</w:t>
            </w:r>
          </w:p>
        </w:tc>
        <w:tc>
          <w:tcPr>
            <w:tcW w:w="1530" w:type="dxa"/>
            <w:tcBorders>
              <w:top w:val="nil"/>
              <w:left w:val="nil"/>
              <w:bottom w:val="single" w:sz="8" w:space="0" w:color="000000"/>
              <w:right w:val="nil"/>
            </w:tcBorders>
            <w:tcMar>
              <w:top w:w="79" w:type="dxa"/>
              <w:left w:w="79" w:type="dxa"/>
              <w:bottom w:w="79" w:type="dxa"/>
              <w:right w:w="79" w:type="dxa"/>
            </w:tcMar>
          </w:tcPr>
          <w:p w14:paraId="4C652D6F" w14:textId="77777777" w:rsidR="00E45908" w:rsidRDefault="00E45908">
            <w:pPr>
              <w:autoSpaceDE w:val="0"/>
              <w:autoSpaceDN w:val="0"/>
              <w:adjustRightInd w:val="0"/>
              <w:rPr>
                <w:color w:val="000000"/>
                <w:sz w:val="20"/>
              </w:rPr>
            </w:pPr>
            <w:r>
              <w:rPr>
                <w:color w:val="000000"/>
                <w:sz w:val="20"/>
              </w:rPr>
              <w:t>ITRE</w:t>
            </w:r>
          </w:p>
          <w:p w14:paraId="608CE126" w14:textId="77777777" w:rsidR="00E45908" w:rsidRDefault="00E45908">
            <w:pPr>
              <w:autoSpaceDE w:val="0"/>
              <w:autoSpaceDN w:val="0"/>
              <w:adjustRightInd w:val="0"/>
              <w:rPr>
                <w:color w:val="000000"/>
                <w:sz w:val="20"/>
              </w:rPr>
            </w:pPr>
            <w:r>
              <w:rPr>
                <w:color w:val="000000"/>
                <w:sz w:val="20"/>
              </w:rPr>
              <w:t>28.1.2021</w:t>
            </w:r>
          </w:p>
        </w:tc>
        <w:tc>
          <w:tcPr>
            <w:tcW w:w="1474" w:type="dxa"/>
            <w:tcBorders>
              <w:top w:val="nil"/>
              <w:left w:val="nil"/>
              <w:bottom w:val="single" w:sz="8" w:space="0" w:color="000000"/>
              <w:right w:val="nil"/>
            </w:tcBorders>
            <w:tcMar>
              <w:top w:w="79" w:type="dxa"/>
              <w:left w:w="79" w:type="dxa"/>
              <w:bottom w:w="79" w:type="dxa"/>
              <w:right w:w="79" w:type="dxa"/>
            </w:tcMar>
          </w:tcPr>
          <w:p w14:paraId="17A6693E" w14:textId="77777777" w:rsidR="00E45908" w:rsidRDefault="00E45908">
            <w:pPr>
              <w:autoSpaceDE w:val="0"/>
              <w:autoSpaceDN w:val="0"/>
              <w:adjustRightInd w:val="0"/>
              <w:rPr>
                <w:color w:val="000000"/>
                <w:sz w:val="20"/>
              </w:rPr>
            </w:pPr>
            <w:r>
              <w:rPr>
                <w:color w:val="000000"/>
                <w:sz w:val="20"/>
              </w:rPr>
              <w:t>AGRI</w:t>
            </w:r>
          </w:p>
          <w:p w14:paraId="66201B5B" w14:textId="77777777" w:rsidR="00E45908" w:rsidRDefault="00E45908">
            <w:pPr>
              <w:autoSpaceDE w:val="0"/>
              <w:autoSpaceDN w:val="0"/>
              <w:adjustRightInd w:val="0"/>
              <w:rPr>
                <w:color w:val="000000"/>
                <w:sz w:val="20"/>
              </w:rPr>
            </w:pPr>
            <w:r>
              <w:rPr>
                <w:color w:val="000000"/>
                <w:sz w:val="20"/>
              </w:rPr>
              <w:t>23.3.2021</w:t>
            </w:r>
          </w:p>
        </w:tc>
        <w:tc>
          <w:tcPr>
            <w:tcW w:w="1474" w:type="dxa"/>
            <w:tcBorders>
              <w:top w:val="nil"/>
              <w:left w:val="nil"/>
              <w:bottom w:val="single" w:sz="8" w:space="0" w:color="000000"/>
              <w:right w:val="nil"/>
            </w:tcBorders>
            <w:tcMar>
              <w:top w:w="79" w:type="dxa"/>
              <w:left w:w="79" w:type="dxa"/>
              <w:bottom w:w="79" w:type="dxa"/>
              <w:right w:w="79" w:type="dxa"/>
            </w:tcMar>
          </w:tcPr>
          <w:p w14:paraId="78C655DC" w14:textId="77777777" w:rsidR="00E45908" w:rsidRDefault="00E45908">
            <w:pPr>
              <w:autoSpaceDE w:val="0"/>
              <w:autoSpaceDN w:val="0"/>
              <w:adjustRightInd w:val="0"/>
              <w:rPr>
                <w:color w:val="000000"/>
                <w:sz w:val="20"/>
              </w:rPr>
            </w:pPr>
            <w:r>
              <w:rPr>
                <w:color w:val="000000"/>
                <w:sz w:val="20"/>
              </w:rPr>
              <w:t>PECH</w:t>
            </w:r>
          </w:p>
          <w:p w14:paraId="6BD8D706" w14:textId="77777777" w:rsidR="00E45908" w:rsidRDefault="00E45908">
            <w:pPr>
              <w:autoSpaceDE w:val="0"/>
              <w:autoSpaceDN w:val="0"/>
              <w:adjustRightInd w:val="0"/>
              <w:rPr>
                <w:color w:val="000000"/>
                <w:sz w:val="20"/>
              </w:rPr>
            </w:pPr>
            <w:r>
              <w:rPr>
                <w:color w:val="000000"/>
                <w:sz w:val="20"/>
              </w:rPr>
              <w:t>22.3.2021</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78BDF5FD" w14:textId="77777777" w:rsidR="00E45908" w:rsidRDefault="00E45908">
            <w:pPr>
              <w:autoSpaceDE w:val="0"/>
              <w:autoSpaceDN w:val="0"/>
              <w:adjustRightInd w:val="0"/>
              <w:rPr>
                <w:rFonts w:ascii="sans-serif" w:hAnsi="sans-serif" w:cs="sans-serif"/>
                <w:color w:val="000000"/>
                <w:szCs w:val="24"/>
              </w:rPr>
            </w:pPr>
          </w:p>
        </w:tc>
      </w:tr>
      <w:tr w:rsidR="00E45908" w14:paraId="77585C0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5AFD62" w14:textId="77777777" w:rsidR="00E45908" w:rsidRDefault="00E45908">
            <w:pPr>
              <w:autoSpaceDE w:val="0"/>
              <w:autoSpaceDN w:val="0"/>
              <w:adjustRightInd w:val="0"/>
              <w:rPr>
                <w:b/>
                <w:bCs/>
                <w:color w:val="000000"/>
                <w:sz w:val="20"/>
              </w:rPr>
            </w:pPr>
            <w:r>
              <w:rPr>
                <w:b/>
                <w:bCs/>
                <w:color w:val="000000"/>
                <w:sz w:val="20"/>
              </w:rPr>
              <w:t>Sprawozdawcy</w:t>
            </w:r>
          </w:p>
          <w:p w14:paraId="57B77D74" w14:textId="77777777" w:rsidR="00E45908" w:rsidRDefault="00E45908">
            <w:pPr>
              <w:autoSpaceDE w:val="0"/>
              <w:autoSpaceDN w:val="0"/>
              <w:adjustRightInd w:val="0"/>
              <w:rPr>
                <w:color w:val="000000"/>
                <w:sz w:val="20"/>
              </w:rPr>
            </w:pPr>
            <w:r>
              <w:rPr>
                <w:color w:val="000000"/>
                <w:sz w:val="20"/>
              </w:rPr>
              <w:t>       Data powołania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554B7B6" w14:textId="77777777" w:rsidR="00E45908" w:rsidRDefault="00E45908">
            <w:pPr>
              <w:autoSpaceDE w:val="0"/>
              <w:autoSpaceDN w:val="0"/>
              <w:adjustRightInd w:val="0"/>
              <w:rPr>
                <w:color w:val="000000"/>
                <w:sz w:val="20"/>
              </w:rPr>
            </w:pPr>
            <w:r>
              <w:rPr>
                <w:color w:val="000000"/>
                <w:sz w:val="20"/>
              </w:rPr>
              <w:t>Heidi Hautala</w:t>
            </w:r>
          </w:p>
          <w:p w14:paraId="0E18A287" w14:textId="77777777" w:rsidR="00E45908" w:rsidRDefault="00E45908">
            <w:pPr>
              <w:autoSpaceDE w:val="0"/>
              <w:autoSpaceDN w:val="0"/>
              <w:adjustRightInd w:val="0"/>
              <w:rPr>
                <w:color w:val="000000"/>
                <w:sz w:val="20"/>
              </w:rPr>
            </w:pPr>
            <w:r>
              <w:rPr>
                <w:color w:val="000000"/>
                <w:sz w:val="20"/>
              </w:rPr>
              <w:t>28.1.2021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21FCD9D" w14:textId="77777777" w:rsidR="00E45908" w:rsidRDefault="00E459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91FDF31" w14:textId="77777777" w:rsidR="00E45908" w:rsidRDefault="00E459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6C24EDD" w14:textId="77777777" w:rsidR="00E45908" w:rsidRDefault="00E45908">
            <w:pPr>
              <w:autoSpaceDE w:val="0"/>
              <w:autoSpaceDN w:val="0"/>
              <w:adjustRightInd w:val="0"/>
              <w:rPr>
                <w:rFonts w:ascii="sans-serif" w:hAnsi="sans-serif" w:cs="sans-serif"/>
                <w:color w:val="000000"/>
                <w:szCs w:val="24"/>
              </w:rPr>
            </w:pPr>
          </w:p>
        </w:tc>
      </w:tr>
      <w:tr w:rsidR="00E45908" w14:paraId="16A325F9"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3D09B3F" w14:textId="77777777" w:rsidR="00E45908" w:rsidRDefault="00E45908">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4E073AA" w14:textId="77777777" w:rsidR="00E45908" w:rsidRDefault="00E45908">
            <w:pPr>
              <w:autoSpaceDE w:val="0"/>
              <w:autoSpaceDN w:val="0"/>
              <w:adjustRightInd w:val="0"/>
              <w:rPr>
                <w:color w:val="000000"/>
                <w:sz w:val="20"/>
              </w:rPr>
            </w:pPr>
            <w:r>
              <w:rPr>
                <w:color w:val="000000"/>
                <w:sz w:val="20"/>
              </w:rPr>
              <w:t>25.5.2021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1C207F0" w14:textId="77777777" w:rsidR="00E45908" w:rsidRDefault="00E459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BB77175" w14:textId="77777777" w:rsidR="00E45908" w:rsidRDefault="00E45908">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788654E" w14:textId="77777777" w:rsidR="00E45908" w:rsidRDefault="00E45908">
            <w:pPr>
              <w:autoSpaceDE w:val="0"/>
              <w:autoSpaceDN w:val="0"/>
              <w:adjustRightInd w:val="0"/>
              <w:rPr>
                <w:rFonts w:ascii="sans-serif" w:hAnsi="sans-serif" w:cs="sans-serif"/>
                <w:color w:val="000000"/>
                <w:szCs w:val="24"/>
              </w:rPr>
            </w:pPr>
          </w:p>
        </w:tc>
      </w:tr>
      <w:tr w:rsidR="00E45908" w14:paraId="7B93EAF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BF4839F" w14:textId="77777777" w:rsidR="00E45908" w:rsidRDefault="00E45908">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6A2D26" w14:textId="77777777" w:rsidR="00E45908" w:rsidRDefault="00E45908">
            <w:pPr>
              <w:autoSpaceDE w:val="0"/>
              <w:autoSpaceDN w:val="0"/>
              <w:adjustRightInd w:val="0"/>
              <w:rPr>
                <w:color w:val="000000"/>
                <w:sz w:val="20"/>
              </w:rPr>
            </w:pPr>
            <w:r>
              <w:rPr>
                <w:color w:val="000000"/>
                <w:sz w:val="20"/>
              </w:rPr>
              <w:t>+:</w:t>
            </w:r>
          </w:p>
          <w:p w14:paraId="0A52E21A" w14:textId="77777777" w:rsidR="00E45908" w:rsidRDefault="00E45908">
            <w:pPr>
              <w:autoSpaceDE w:val="0"/>
              <w:autoSpaceDN w:val="0"/>
              <w:adjustRightInd w:val="0"/>
              <w:rPr>
                <w:color w:val="000000"/>
                <w:sz w:val="20"/>
              </w:rPr>
            </w:pPr>
            <w:r>
              <w:rPr>
                <w:color w:val="000000"/>
                <w:sz w:val="20"/>
              </w:rPr>
              <w:t>–:</w:t>
            </w:r>
          </w:p>
          <w:p w14:paraId="28B8A403" w14:textId="77777777" w:rsidR="00E45908" w:rsidRDefault="00E45908">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E78D324" w14:textId="77777777" w:rsidR="00E45908" w:rsidRDefault="00E45908">
            <w:pPr>
              <w:autoSpaceDE w:val="0"/>
              <w:autoSpaceDN w:val="0"/>
              <w:adjustRightInd w:val="0"/>
              <w:rPr>
                <w:color w:val="000000"/>
                <w:sz w:val="20"/>
              </w:rPr>
            </w:pPr>
            <w:r>
              <w:rPr>
                <w:color w:val="000000"/>
                <w:sz w:val="20"/>
              </w:rPr>
              <w:t>37</w:t>
            </w:r>
          </w:p>
          <w:p w14:paraId="0C48F3EF" w14:textId="77777777" w:rsidR="00E45908" w:rsidRDefault="00E45908">
            <w:pPr>
              <w:autoSpaceDE w:val="0"/>
              <w:autoSpaceDN w:val="0"/>
              <w:adjustRightInd w:val="0"/>
              <w:rPr>
                <w:color w:val="000000"/>
                <w:sz w:val="20"/>
              </w:rPr>
            </w:pPr>
            <w:r>
              <w:rPr>
                <w:color w:val="000000"/>
                <w:sz w:val="20"/>
              </w:rPr>
              <w:t>1</w:t>
            </w:r>
          </w:p>
          <w:p w14:paraId="65C2C1DB" w14:textId="77777777" w:rsidR="00E45908" w:rsidRDefault="00E45908">
            <w:pPr>
              <w:autoSpaceDE w:val="0"/>
              <w:autoSpaceDN w:val="0"/>
              <w:adjustRightInd w:val="0"/>
              <w:rPr>
                <w:color w:val="000000"/>
                <w:sz w:val="20"/>
              </w:rPr>
            </w:pPr>
            <w:r>
              <w:rPr>
                <w:color w:val="000000"/>
                <w:sz w:val="20"/>
              </w:rPr>
              <w:t>3</w:t>
            </w:r>
          </w:p>
        </w:tc>
      </w:tr>
      <w:tr w:rsidR="00E45908" w14:paraId="1921230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A8E71B" w14:textId="77777777" w:rsidR="00E45908" w:rsidRDefault="00E45908">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B6E2A2" w14:textId="77777777" w:rsidR="00E45908" w:rsidRDefault="00E45908">
            <w:pPr>
              <w:autoSpaceDE w:val="0"/>
              <w:autoSpaceDN w:val="0"/>
              <w:adjustRightInd w:val="0"/>
              <w:rPr>
                <w:color w:val="000000"/>
                <w:sz w:val="20"/>
              </w:rPr>
            </w:pPr>
            <w:r>
              <w:rPr>
                <w:color w:val="000000"/>
                <w:sz w:val="20"/>
              </w:rPr>
              <w:t>Barry Andrews, Anna-Michelle Asimakopoulou, Tiziana Beghin, Geert Bourgeois, Jordi Cañas, Daniel Caspary, Miroslav Číž, Arnaud Danjean, Paolo De Castro, Emmanouil Fragkos, Raphaël Glucksmann, Markéta Gregorová, Roman Haider, Christophe Hansen, Heidi Hautala, Danuta Maria Hübner, Herve Juvin, Karin Karlsbro, Maximilian Krah, Danilo Oscar Lancini, Bernd Lange, Margarida Marques, Gabriel Mato, Sara Matthieu, Emmanuel Maurel, Carles Puigdemont i Casamajó, Samira Rafaela, Inma Rodríguez-Piñero, Massimiliano Salini, Helmut Scholz, Sven Simon, Dominik Tarczyński, Mihai Tudose, Kathleen Van Brempt, Marie-Pierre Vedrenne, Jörgen Warborn, Iuliu Winkler, Jan Zahradil, Juan Ignacio Zoido Álvarez</w:t>
            </w:r>
          </w:p>
        </w:tc>
      </w:tr>
      <w:tr w:rsidR="00E45908" w14:paraId="635DA8FB"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74912D7" w14:textId="77777777" w:rsidR="00E45908" w:rsidRDefault="00E45908">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649966" w14:textId="77777777" w:rsidR="00E45908" w:rsidRDefault="00E45908">
            <w:pPr>
              <w:autoSpaceDE w:val="0"/>
              <w:autoSpaceDN w:val="0"/>
              <w:adjustRightInd w:val="0"/>
              <w:rPr>
                <w:color w:val="000000"/>
                <w:sz w:val="20"/>
              </w:rPr>
            </w:pPr>
            <w:r>
              <w:rPr>
                <w:color w:val="000000"/>
                <w:sz w:val="20"/>
              </w:rPr>
              <w:t>Jean-Lin Lacapelle, Morten Løkkegaard</w:t>
            </w:r>
          </w:p>
        </w:tc>
      </w:tr>
      <w:tr w:rsidR="00E45908" w14:paraId="3C1962B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B28979A" w14:textId="77777777" w:rsidR="00E45908" w:rsidRDefault="00E45908">
            <w:pPr>
              <w:autoSpaceDE w:val="0"/>
              <w:autoSpaceDN w:val="0"/>
              <w:adjustRightInd w:val="0"/>
              <w:rPr>
                <w:b/>
                <w:bCs/>
                <w:color w:val="000000"/>
                <w:sz w:val="20"/>
              </w:rPr>
            </w:pPr>
            <w:r>
              <w:rPr>
                <w:b/>
                <w:bCs/>
                <w:color w:val="000000"/>
                <w:sz w:val="20"/>
              </w:rPr>
              <w:t>Data złożenia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F4CB06E" w14:textId="77777777" w:rsidR="00E45908" w:rsidRDefault="00E45908">
            <w:pPr>
              <w:autoSpaceDE w:val="0"/>
              <w:autoSpaceDN w:val="0"/>
              <w:adjustRightInd w:val="0"/>
              <w:rPr>
                <w:color w:val="000000"/>
                <w:sz w:val="20"/>
              </w:rPr>
            </w:pPr>
            <w:r>
              <w:rPr>
                <w:color w:val="000000"/>
                <w:sz w:val="20"/>
              </w:rPr>
              <w:t>31.5.2021</w:t>
            </w:r>
          </w:p>
        </w:tc>
      </w:tr>
    </w:tbl>
    <w:p w14:paraId="34ED294D" w14:textId="77777777" w:rsidR="00E45908" w:rsidRDefault="00E45908"/>
    <w:bookmarkEnd w:id="4"/>
    <w:p w14:paraId="644AB17E" w14:textId="4C8218C3" w:rsidR="004101CD" w:rsidRPr="00E45908" w:rsidRDefault="004101CD" w:rsidP="00E45908">
      <w:pPr>
        <w:sectPr w:rsidR="004101CD" w:rsidRPr="00E45908" w:rsidSect="00B5476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20881640" w14:textId="77777777" w:rsidR="004101CD" w:rsidRPr="00B363E7" w:rsidRDefault="004101CD" w:rsidP="00E45908">
      <w:pPr>
        <w:pStyle w:val="PageHeading"/>
      </w:pPr>
      <w:bookmarkStart w:id="6" w:name="RollCallPageRR"/>
      <w:bookmarkStart w:id="7" w:name="_Toc74581781"/>
      <w:r>
        <w:lastRenderedPageBreak/>
        <w:t>GŁOSOWANIE KOŃCOWE W FORMIE GŁOSOWANIA IMIENNEGO W KOMISJI PRZEDMIOTOWO WŁAŚCIWEJ</w:t>
      </w:r>
      <w:bookmarkEnd w:id="7"/>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F95A1E" w:rsidRPr="00B363E7" w14:paraId="0D381393" w14:textId="77777777" w:rsidTr="00CE7F1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FCA692C" w14:textId="77777777" w:rsidR="00F95A1E" w:rsidRPr="00B363E7" w:rsidRDefault="00F95A1E" w:rsidP="00CE7F11">
            <w:pPr>
              <w:jc w:val="center"/>
              <w:rPr>
                <w:b/>
                <w:bCs/>
              </w:rPr>
            </w:pPr>
            <w:r>
              <w:rPr>
                <w:b/>
                <w:bCs/>
              </w:rPr>
              <w:t>37</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3331813F" w14:textId="77777777" w:rsidR="00F95A1E" w:rsidRPr="00B363E7" w:rsidRDefault="00F95A1E" w:rsidP="00CE7F11">
            <w:pPr>
              <w:jc w:val="center"/>
              <w:rPr>
                <w:b/>
                <w:bCs/>
              </w:rPr>
            </w:pPr>
            <w:r>
              <w:rPr>
                <w:b/>
                <w:bCs/>
              </w:rPr>
              <w:t>+</w:t>
            </w:r>
          </w:p>
        </w:tc>
      </w:tr>
      <w:tr w:rsidR="00F95A1E" w:rsidRPr="00B363E7" w14:paraId="766D0BB0"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3B539F08" w14:textId="77777777" w:rsidR="00F95A1E" w:rsidRPr="00B363E7" w:rsidRDefault="00F95A1E" w:rsidP="00CE7F11">
            <w:r>
              <w:t>ECR</w:t>
            </w:r>
          </w:p>
        </w:tc>
        <w:tc>
          <w:tcPr>
            <w:tcW w:w="0" w:type="auto"/>
            <w:tcBorders>
              <w:top w:val="single" w:sz="6" w:space="0" w:color="000000"/>
              <w:left w:val="single" w:sz="6" w:space="0" w:color="000000"/>
              <w:bottom w:val="single" w:sz="6" w:space="0" w:color="000000"/>
              <w:right w:val="single" w:sz="6" w:space="0" w:color="000000"/>
            </w:tcBorders>
            <w:hideMark/>
          </w:tcPr>
          <w:p w14:paraId="1208CB54" w14:textId="77777777" w:rsidR="00F95A1E" w:rsidRPr="00B363E7" w:rsidRDefault="00F95A1E" w:rsidP="00CE7F11">
            <w:r>
              <w:t>Sergio Berlato, Geert Bourgeois, Emmanouil Fragkos, Dominik Tarczyński</w:t>
            </w:r>
          </w:p>
        </w:tc>
      </w:tr>
      <w:tr w:rsidR="00F95A1E" w:rsidRPr="00B363E7" w14:paraId="1D6FDF9B"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5066454A" w14:textId="77777777" w:rsidR="00F95A1E" w:rsidRPr="00B363E7" w:rsidRDefault="00F95A1E" w:rsidP="00CE7F11">
            <w:r>
              <w:t>ID</w:t>
            </w:r>
          </w:p>
        </w:tc>
        <w:tc>
          <w:tcPr>
            <w:tcW w:w="0" w:type="auto"/>
            <w:tcBorders>
              <w:top w:val="single" w:sz="6" w:space="0" w:color="000000"/>
              <w:left w:val="single" w:sz="6" w:space="0" w:color="000000"/>
              <w:bottom w:val="single" w:sz="6" w:space="0" w:color="000000"/>
              <w:right w:val="single" w:sz="6" w:space="0" w:color="000000"/>
            </w:tcBorders>
            <w:hideMark/>
          </w:tcPr>
          <w:p w14:paraId="7E7D0684" w14:textId="77777777" w:rsidR="00F95A1E" w:rsidRPr="00B363E7" w:rsidRDefault="00F95A1E" w:rsidP="00CE7F11">
            <w:r>
              <w:t>Roman Haider, Maximilian Krah</w:t>
            </w:r>
          </w:p>
        </w:tc>
      </w:tr>
      <w:tr w:rsidR="00F95A1E" w:rsidRPr="00B363E7" w14:paraId="2076D122"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67E1F547" w14:textId="77777777" w:rsidR="00F95A1E" w:rsidRPr="00B363E7" w:rsidRDefault="00F95A1E" w:rsidP="00CE7F11">
            <w:r>
              <w:t>NI</w:t>
            </w:r>
          </w:p>
        </w:tc>
        <w:tc>
          <w:tcPr>
            <w:tcW w:w="0" w:type="auto"/>
            <w:tcBorders>
              <w:top w:val="single" w:sz="6" w:space="0" w:color="000000"/>
              <w:left w:val="single" w:sz="6" w:space="0" w:color="000000"/>
              <w:bottom w:val="single" w:sz="6" w:space="0" w:color="000000"/>
              <w:right w:val="single" w:sz="6" w:space="0" w:color="000000"/>
            </w:tcBorders>
            <w:hideMark/>
          </w:tcPr>
          <w:p w14:paraId="628B98EE" w14:textId="77777777" w:rsidR="00F95A1E" w:rsidRPr="00B363E7" w:rsidRDefault="00F95A1E" w:rsidP="00CE7F11">
            <w:r>
              <w:t>Tiziana Beghin, Carles Puigdemont i Casamajó</w:t>
            </w:r>
          </w:p>
        </w:tc>
      </w:tr>
      <w:tr w:rsidR="00F95A1E" w:rsidRPr="00B363E7" w14:paraId="1FF1297A"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0941C3B2" w14:textId="77777777" w:rsidR="00F95A1E" w:rsidRPr="00B363E7" w:rsidRDefault="00F95A1E" w:rsidP="00CE7F11">
            <w:r>
              <w:t>PPE</w:t>
            </w:r>
          </w:p>
        </w:tc>
        <w:tc>
          <w:tcPr>
            <w:tcW w:w="0" w:type="auto"/>
            <w:tcBorders>
              <w:top w:val="single" w:sz="6" w:space="0" w:color="000000"/>
              <w:left w:val="single" w:sz="6" w:space="0" w:color="000000"/>
              <w:bottom w:val="single" w:sz="6" w:space="0" w:color="000000"/>
              <w:right w:val="single" w:sz="6" w:space="0" w:color="000000"/>
            </w:tcBorders>
            <w:hideMark/>
          </w:tcPr>
          <w:p w14:paraId="3AFD3BF0" w14:textId="77777777" w:rsidR="00F95A1E" w:rsidRPr="00B363E7" w:rsidRDefault="00F95A1E" w:rsidP="00CE7F11">
            <w:r>
              <w:t>Anna-Michelle Asimakopoulou, Daniel Caspary, Arnaud Danjean, Christophe Hansen, Danuta Maria Hübner, Gabriel Mato, Massimiliano Salini, Sven Simon, Jörgen Warborn, Iuliu Winkler, Juan Ignacio Zoido Álvarez</w:t>
            </w:r>
          </w:p>
        </w:tc>
      </w:tr>
      <w:tr w:rsidR="00F95A1E" w:rsidRPr="00B363E7" w14:paraId="28F3A6B5"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01D0E525" w14:textId="77777777" w:rsidR="00F95A1E" w:rsidRPr="00B363E7" w:rsidRDefault="00F95A1E" w:rsidP="00CE7F11">
            <w:r>
              <w:t>Renew</w:t>
            </w:r>
          </w:p>
        </w:tc>
        <w:tc>
          <w:tcPr>
            <w:tcW w:w="0" w:type="auto"/>
            <w:tcBorders>
              <w:top w:val="single" w:sz="6" w:space="0" w:color="000000"/>
              <w:left w:val="single" w:sz="6" w:space="0" w:color="000000"/>
              <w:bottom w:val="single" w:sz="6" w:space="0" w:color="000000"/>
              <w:right w:val="single" w:sz="6" w:space="0" w:color="000000"/>
            </w:tcBorders>
            <w:hideMark/>
          </w:tcPr>
          <w:p w14:paraId="45F37C48" w14:textId="77777777" w:rsidR="00F95A1E" w:rsidRPr="00B363E7" w:rsidRDefault="00F95A1E" w:rsidP="00CE7F11">
            <w:r>
              <w:t>Barry Andrews, Jordi Cañas, Karin Karlsbro, Morten Løkkegaard, Samira Rafaela, Marie-Pierre Vedrenne</w:t>
            </w:r>
          </w:p>
        </w:tc>
      </w:tr>
      <w:tr w:rsidR="00F95A1E" w:rsidRPr="00B363E7" w14:paraId="2D1606DF"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264F425A" w14:textId="77777777" w:rsidR="00F95A1E" w:rsidRPr="00B363E7" w:rsidRDefault="00F95A1E" w:rsidP="00CE7F11">
            <w:r>
              <w:t>S&amp;D</w:t>
            </w:r>
          </w:p>
        </w:tc>
        <w:tc>
          <w:tcPr>
            <w:tcW w:w="0" w:type="auto"/>
            <w:tcBorders>
              <w:top w:val="single" w:sz="6" w:space="0" w:color="000000"/>
              <w:left w:val="single" w:sz="6" w:space="0" w:color="000000"/>
              <w:bottom w:val="single" w:sz="6" w:space="0" w:color="000000"/>
              <w:right w:val="single" w:sz="6" w:space="0" w:color="000000"/>
            </w:tcBorders>
            <w:hideMark/>
          </w:tcPr>
          <w:p w14:paraId="49B12CF1" w14:textId="77777777" w:rsidR="00F95A1E" w:rsidRPr="00B363E7" w:rsidRDefault="00F95A1E" w:rsidP="00CE7F11">
            <w:r>
              <w:t>Miroslav Číž, Paolo De Castro, Raphaël Glucksmann, Bernd Lange, Margarida Marques, Inma Rodríguez-Piñero, Mihai Tudose, Kathleen Van Brempt</w:t>
            </w:r>
          </w:p>
        </w:tc>
      </w:tr>
      <w:tr w:rsidR="00F95A1E" w:rsidRPr="00B363E7" w14:paraId="02AE9147"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41127360" w14:textId="77777777" w:rsidR="00F95A1E" w:rsidRPr="00B363E7" w:rsidRDefault="00F95A1E" w:rsidP="00CE7F11">
            <w:r>
              <w:t>The Left</w:t>
            </w:r>
          </w:p>
        </w:tc>
        <w:tc>
          <w:tcPr>
            <w:tcW w:w="0" w:type="auto"/>
            <w:tcBorders>
              <w:top w:val="single" w:sz="6" w:space="0" w:color="000000"/>
              <w:left w:val="single" w:sz="6" w:space="0" w:color="000000"/>
              <w:bottom w:val="single" w:sz="6" w:space="0" w:color="000000"/>
              <w:right w:val="single" w:sz="6" w:space="0" w:color="000000"/>
            </w:tcBorders>
            <w:hideMark/>
          </w:tcPr>
          <w:p w14:paraId="7BE105F5" w14:textId="77777777" w:rsidR="00F95A1E" w:rsidRPr="00B363E7" w:rsidRDefault="00F95A1E" w:rsidP="00CE7F11">
            <w:r>
              <w:t>Emmanuel Maurel</w:t>
            </w:r>
          </w:p>
        </w:tc>
      </w:tr>
      <w:tr w:rsidR="00F95A1E" w:rsidRPr="00B363E7" w14:paraId="0CC04C40"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7E07FB46" w14:textId="77777777" w:rsidR="00F95A1E" w:rsidRPr="00B363E7" w:rsidRDefault="00F95A1E" w:rsidP="00CE7F11">
            <w:r>
              <w:t>Verts/ALE</w:t>
            </w:r>
          </w:p>
        </w:tc>
        <w:tc>
          <w:tcPr>
            <w:tcW w:w="0" w:type="auto"/>
            <w:tcBorders>
              <w:top w:val="single" w:sz="6" w:space="0" w:color="000000"/>
              <w:left w:val="single" w:sz="6" w:space="0" w:color="000000"/>
              <w:bottom w:val="single" w:sz="6" w:space="0" w:color="000000"/>
              <w:right w:val="single" w:sz="6" w:space="0" w:color="000000"/>
            </w:tcBorders>
            <w:hideMark/>
          </w:tcPr>
          <w:p w14:paraId="133FAC43" w14:textId="77777777" w:rsidR="00F95A1E" w:rsidRPr="00B363E7" w:rsidRDefault="00F95A1E" w:rsidP="00CE7F11">
            <w:r>
              <w:t>Markéta Gregorová, Heidi Hautala, Sara Matthieu</w:t>
            </w:r>
          </w:p>
        </w:tc>
      </w:tr>
    </w:tbl>
    <w:p w14:paraId="4839F8C9" w14:textId="77777777" w:rsidR="00F95A1E" w:rsidRPr="00B363E7" w:rsidRDefault="00F95A1E" w:rsidP="00F95A1E"/>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F95A1E" w:rsidRPr="00B363E7" w14:paraId="79B58E3F" w14:textId="77777777" w:rsidTr="00CE7F1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30A0012" w14:textId="77777777" w:rsidR="00F95A1E" w:rsidRPr="00B363E7" w:rsidRDefault="00F95A1E" w:rsidP="00CE7F11">
            <w:pPr>
              <w:jc w:val="center"/>
              <w:rPr>
                <w:b/>
                <w:bCs/>
              </w:rPr>
            </w:pPr>
            <w:r>
              <w:rPr>
                <w:b/>
                <w:bCs/>
              </w:rPr>
              <w:t>1</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61B1B690" w14:textId="77777777" w:rsidR="00F95A1E" w:rsidRPr="00B363E7" w:rsidRDefault="00F95A1E" w:rsidP="00CE7F11">
            <w:pPr>
              <w:jc w:val="center"/>
              <w:rPr>
                <w:b/>
                <w:bCs/>
              </w:rPr>
            </w:pPr>
            <w:r>
              <w:rPr>
                <w:b/>
                <w:bCs/>
              </w:rPr>
              <w:t>-</w:t>
            </w:r>
          </w:p>
        </w:tc>
      </w:tr>
      <w:tr w:rsidR="00F95A1E" w:rsidRPr="00B363E7" w14:paraId="40BAF5C8"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451F0238" w14:textId="77777777" w:rsidR="00F95A1E" w:rsidRPr="00B363E7" w:rsidRDefault="00F95A1E" w:rsidP="00CE7F11">
            <w:r>
              <w:t>ID</w:t>
            </w:r>
          </w:p>
        </w:tc>
        <w:tc>
          <w:tcPr>
            <w:tcW w:w="0" w:type="auto"/>
            <w:tcBorders>
              <w:top w:val="single" w:sz="6" w:space="0" w:color="000000"/>
              <w:left w:val="single" w:sz="6" w:space="0" w:color="000000"/>
              <w:bottom w:val="single" w:sz="6" w:space="0" w:color="000000"/>
              <w:right w:val="single" w:sz="6" w:space="0" w:color="000000"/>
            </w:tcBorders>
            <w:hideMark/>
          </w:tcPr>
          <w:p w14:paraId="51A4F795" w14:textId="77777777" w:rsidR="00F95A1E" w:rsidRPr="00B363E7" w:rsidRDefault="00F95A1E" w:rsidP="00CE7F11">
            <w:r>
              <w:t>Danilo Oscar Lancini</w:t>
            </w:r>
          </w:p>
        </w:tc>
      </w:tr>
    </w:tbl>
    <w:p w14:paraId="5F73CDA6" w14:textId="77777777" w:rsidR="00F95A1E" w:rsidRPr="00B363E7" w:rsidRDefault="00F95A1E" w:rsidP="00F95A1E"/>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F95A1E" w:rsidRPr="00B363E7" w14:paraId="75182556" w14:textId="77777777" w:rsidTr="00CE7F1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78A54AE5" w14:textId="77777777" w:rsidR="00F95A1E" w:rsidRPr="00B363E7" w:rsidRDefault="00F95A1E" w:rsidP="00CE7F11">
            <w:pPr>
              <w:jc w:val="center"/>
              <w:rPr>
                <w:b/>
                <w:bCs/>
              </w:rPr>
            </w:pPr>
            <w:r>
              <w:rPr>
                <w:b/>
                <w:bCs/>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8371B1D" w14:textId="77777777" w:rsidR="00F95A1E" w:rsidRPr="00B363E7" w:rsidRDefault="00F95A1E" w:rsidP="00CE7F11">
            <w:pPr>
              <w:jc w:val="center"/>
              <w:rPr>
                <w:b/>
                <w:bCs/>
              </w:rPr>
            </w:pPr>
            <w:r>
              <w:rPr>
                <w:b/>
                <w:bCs/>
              </w:rPr>
              <w:t>0</w:t>
            </w:r>
          </w:p>
        </w:tc>
      </w:tr>
      <w:tr w:rsidR="00F95A1E" w:rsidRPr="00B363E7" w14:paraId="2037ED91"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3A5D538C" w14:textId="77777777" w:rsidR="00F95A1E" w:rsidRPr="00B363E7" w:rsidRDefault="00F95A1E" w:rsidP="00CE7F11">
            <w:r>
              <w:t>ID</w:t>
            </w:r>
          </w:p>
        </w:tc>
        <w:tc>
          <w:tcPr>
            <w:tcW w:w="0" w:type="auto"/>
            <w:tcBorders>
              <w:top w:val="single" w:sz="6" w:space="0" w:color="000000"/>
              <w:left w:val="single" w:sz="6" w:space="0" w:color="000000"/>
              <w:bottom w:val="single" w:sz="6" w:space="0" w:color="000000"/>
              <w:right w:val="single" w:sz="6" w:space="0" w:color="000000"/>
            </w:tcBorders>
            <w:hideMark/>
          </w:tcPr>
          <w:p w14:paraId="295AECB7" w14:textId="77777777" w:rsidR="00F95A1E" w:rsidRPr="00B363E7" w:rsidRDefault="00F95A1E" w:rsidP="00CE7F11">
            <w:r>
              <w:t>Herve Juvin, Jean-Lin Lacapelle</w:t>
            </w:r>
          </w:p>
        </w:tc>
      </w:tr>
      <w:tr w:rsidR="00F95A1E" w:rsidRPr="00B363E7" w14:paraId="69188F09" w14:textId="77777777" w:rsidTr="00CE7F11">
        <w:tc>
          <w:tcPr>
            <w:tcW w:w="0" w:type="auto"/>
            <w:tcBorders>
              <w:top w:val="single" w:sz="6" w:space="0" w:color="000000"/>
              <w:left w:val="single" w:sz="6" w:space="0" w:color="000000"/>
              <w:bottom w:val="single" w:sz="6" w:space="0" w:color="000000"/>
              <w:right w:val="single" w:sz="6" w:space="0" w:color="000000"/>
            </w:tcBorders>
            <w:hideMark/>
          </w:tcPr>
          <w:p w14:paraId="1CA19949" w14:textId="77777777" w:rsidR="00F95A1E" w:rsidRPr="00B363E7" w:rsidRDefault="00F95A1E" w:rsidP="00CE7F11">
            <w:r>
              <w:t>The Left</w:t>
            </w:r>
          </w:p>
        </w:tc>
        <w:tc>
          <w:tcPr>
            <w:tcW w:w="0" w:type="auto"/>
            <w:tcBorders>
              <w:top w:val="single" w:sz="6" w:space="0" w:color="000000"/>
              <w:left w:val="single" w:sz="6" w:space="0" w:color="000000"/>
              <w:bottom w:val="single" w:sz="6" w:space="0" w:color="000000"/>
              <w:right w:val="single" w:sz="6" w:space="0" w:color="000000"/>
            </w:tcBorders>
            <w:hideMark/>
          </w:tcPr>
          <w:p w14:paraId="7E82558A" w14:textId="77777777" w:rsidR="00F95A1E" w:rsidRPr="00B363E7" w:rsidRDefault="00F95A1E" w:rsidP="00CE7F11">
            <w:r>
              <w:t>Helmut Scholz</w:t>
            </w:r>
          </w:p>
        </w:tc>
      </w:tr>
    </w:tbl>
    <w:p w14:paraId="6E342881" w14:textId="77777777" w:rsidR="004101CD" w:rsidRPr="00B363E7" w:rsidRDefault="004101CD" w:rsidP="00147FBF">
      <w:pPr>
        <w:pStyle w:val="Normal12a"/>
      </w:pPr>
    </w:p>
    <w:p w14:paraId="6202CDB4" w14:textId="77777777" w:rsidR="004101CD" w:rsidRPr="00B363E7" w:rsidRDefault="004101CD" w:rsidP="00B735E3">
      <w:r>
        <w:t>Objaśnienie używanych znaków</w:t>
      </w:r>
    </w:p>
    <w:p w14:paraId="209A6183" w14:textId="77777777" w:rsidR="004101CD" w:rsidRPr="00B363E7" w:rsidRDefault="004101CD" w:rsidP="001C6342">
      <w:pPr>
        <w:pStyle w:val="RollCallTabs"/>
      </w:pPr>
      <w:r>
        <w:t>+</w:t>
      </w:r>
      <w:r>
        <w:tab/>
        <w:t>:</w:t>
      </w:r>
      <w:r>
        <w:tab/>
        <w:t>za</w:t>
      </w:r>
    </w:p>
    <w:p w14:paraId="5D9BA060" w14:textId="77777777" w:rsidR="004101CD" w:rsidRPr="00B363E7" w:rsidRDefault="004101CD" w:rsidP="001C6342">
      <w:pPr>
        <w:pStyle w:val="RollCallTabs"/>
      </w:pPr>
      <w:r>
        <w:t>-</w:t>
      </w:r>
      <w:r>
        <w:tab/>
        <w:t>:</w:t>
      </w:r>
      <w:r>
        <w:tab/>
        <w:t>przeciw</w:t>
      </w:r>
    </w:p>
    <w:p w14:paraId="36646F26" w14:textId="77777777" w:rsidR="004101CD" w:rsidRPr="00B363E7" w:rsidRDefault="004101CD" w:rsidP="001C6342">
      <w:pPr>
        <w:pStyle w:val="RollCallTabs"/>
      </w:pPr>
      <w:r>
        <w:t>0</w:t>
      </w:r>
      <w:r>
        <w:tab/>
        <w:t>:</w:t>
      </w:r>
      <w:r>
        <w:tab/>
        <w:t>wstrzymało się</w:t>
      </w:r>
    </w:p>
    <w:p w14:paraId="4608CA57" w14:textId="77777777" w:rsidR="004101CD" w:rsidRPr="00B363E7" w:rsidRDefault="004101CD" w:rsidP="00AD5932"/>
    <w:bookmarkEnd w:id="6"/>
    <w:p w14:paraId="5A4734A9" w14:textId="77777777" w:rsidR="009C117B" w:rsidRPr="00B363E7" w:rsidRDefault="009C117B" w:rsidP="004101CD"/>
    <w:sectPr w:rsidR="009C117B" w:rsidRPr="00B363E7" w:rsidSect="004101CD">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C5DB9" w14:textId="77777777" w:rsidR="0095779A" w:rsidRPr="00B363E7" w:rsidRDefault="0095779A">
      <w:r w:rsidRPr="00B363E7">
        <w:separator/>
      </w:r>
    </w:p>
  </w:endnote>
  <w:endnote w:type="continuationSeparator" w:id="0">
    <w:p w14:paraId="5EE6718C" w14:textId="77777777" w:rsidR="0095779A" w:rsidRPr="00B363E7" w:rsidRDefault="0095779A">
      <w:r w:rsidRPr="00B363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C748" w14:textId="6452906D" w:rsidR="00B54765" w:rsidRPr="00B363E7" w:rsidRDefault="00B54765" w:rsidP="00B54765">
    <w:pPr>
      <w:pStyle w:val="EPFooter"/>
    </w:pPr>
    <w:r w:rsidRPr="00B363E7">
      <w:t>PE</w:t>
    </w:r>
    <w:r w:rsidRPr="00B363E7">
      <w:rPr>
        <w:rStyle w:val="HideTWBExt"/>
        <w:noProof w:val="0"/>
      </w:rPr>
      <w:t>&lt;NoPE&gt;</w:t>
    </w:r>
    <w:r w:rsidRPr="00B363E7">
      <w:t>689.590</w:t>
    </w:r>
    <w:r w:rsidRPr="00B363E7">
      <w:rPr>
        <w:rStyle w:val="HideTWBExt"/>
        <w:noProof w:val="0"/>
      </w:rPr>
      <w:t>&lt;/NoPE&gt;&lt;Version&gt;</w:t>
    </w:r>
    <w:r w:rsidRPr="00B363E7">
      <w:t>v02-00</w:t>
    </w:r>
    <w:r w:rsidRPr="00B363E7">
      <w:rPr>
        <w:rStyle w:val="HideTWBExt"/>
        <w:noProof w:val="0"/>
      </w:rPr>
      <w:t>&lt;/Version&gt;</w:t>
    </w:r>
    <w:r w:rsidRPr="00B363E7">
      <w:tab/>
    </w:r>
    <w:r w:rsidRPr="00B363E7">
      <w:fldChar w:fldCharType="begin"/>
    </w:r>
    <w:r w:rsidRPr="00B363E7">
      <w:instrText xml:space="preserve"> PAGE  \* MERGEFORMAT </w:instrText>
    </w:r>
    <w:r w:rsidRPr="00B363E7">
      <w:fldChar w:fldCharType="separate"/>
    </w:r>
    <w:r w:rsidR="00EC62A4">
      <w:rPr>
        <w:noProof/>
      </w:rPr>
      <w:t>2</w:t>
    </w:r>
    <w:r w:rsidRPr="00B363E7">
      <w:fldChar w:fldCharType="end"/>
    </w:r>
    <w:r w:rsidRPr="00B363E7">
      <w:t>/</w:t>
    </w:r>
    <w:fldSimple w:instr=" NUMPAGES  \* MERGEFORMAT ">
      <w:r w:rsidR="00EC62A4">
        <w:rPr>
          <w:noProof/>
        </w:rPr>
        <w:t>9</w:t>
      </w:r>
    </w:fldSimple>
    <w:r w:rsidRPr="00B363E7">
      <w:tab/>
    </w:r>
    <w:r w:rsidRPr="00B363E7">
      <w:rPr>
        <w:rStyle w:val="HideTWBExt"/>
        <w:noProof w:val="0"/>
      </w:rPr>
      <w:t>&lt;PathFdR&gt;</w:t>
    </w:r>
    <w:r w:rsidRPr="00B363E7">
      <w:t>RR\1232907PL.docx</w:t>
    </w:r>
    <w:r w:rsidRPr="00B363E7">
      <w:rPr>
        <w:rStyle w:val="HideTWBExt"/>
        <w:noProof w:val="0"/>
      </w:rPr>
      <w:t>&lt;/PathFdR&gt;</w:t>
    </w:r>
  </w:p>
  <w:p w14:paraId="039B022E" w14:textId="02377F81" w:rsidR="0085501C" w:rsidRPr="00B363E7" w:rsidRDefault="00B54765" w:rsidP="00B54765">
    <w:pPr>
      <w:pStyle w:val="EPFooter2"/>
    </w:pPr>
    <w:r w:rsidRPr="00B363E7">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9D18" w14:textId="564FA9EF" w:rsidR="00B54765" w:rsidRPr="00B363E7" w:rsidRDefault="00B54765" w:rsidP="00B54765">
    <w:pPr>
      <w:pStyle w:val="EPFooter"/>
    </w:pPr>
    <w:r w:rsidRPr="00B363E7">
      <w:rPr>
        <w:rStyle w:val="HideTWBExt"/>
        <w:noProof w:val="0"/>
      </w:rPr>
      <w:t>&lt;PathFdR&gt;</w:t>
    </w:r>
    <w:r w:rsidRPr="00B363E7">
      <w:t>RR\1232907PL.docx</w:t>
    </w:r>
    <w:r w:rsidRPr="00B363E7">
      <w:rPr>
        <w:rStyle w:val="HideTWBExt"/>
        <w:noProof w:val="0"/>
      </w:rPr>
      <w:t>&lt;/PathFdR&gt;</w:t>
    </w:r>
    <w:r w:rsidRPr="00B363E7">
      <w:tab/>
    </w:r>
    <w:r w:rsidRPr="00B363E7">
      <w:fldChar w:fldCharType="begin"/>
    </w:r>
    <w:r w:rsidRPr="00B363E7">
      <w:instrText xml:space="preserve"> PAGE  \* MERGEFORMAT </w:instrText>
    </w:r>
    <w:r w:rsidRPr="00B363E7">
      <w:fldChar w:fldCharType="separate"/>
    </w:r>
    <w:r w:rsidR="00EC62A4">
      <w:rPr>
        <w:noProof/>
      </w:rPr>
      <w:t>9</w:t>
    </w:r>
    <w:r w:rsidRPr="00B363E7">
      <w:fldChar w:fldCharType="end"/>
    </w:r>
    <w:r w:rsidRPr="00B363E7">
      <w:t>/</w:t>
    </w:r>
    <w:fldSimple w:instr=" NUMPAGES  \* MERGEFORMAT ">
      <w:r w:rsidR="00EC62A4">
        <w:rPr>
          <w:noProof/>
        </w:rPr>
        <w:t>9</w:t>
      </w:r>
    </w:fldSimple>
    <w:r w:rsidRPr="00B363E7">
      <w:tab/>
      <w:t>PE</w:t>
    </w:r>
    <w:r w:rsidRPr="00B363E7">
      <w:rPr>
        <w:rStyle w:val="HideTWBExt"/>
        <w:noProof w:val="0"/>
      </w:rPr>
      <w:t>&lt;NoPE&gt;</w:t>
    </w:r>
    <w:r w:rsidRPr="00B363E7">
      <w:t>689.590</w:t>
    </w:r>
    <w:r w:rsidRPr="00B363E7">
      <w:rPr>
        <w:rStyle w:val="HideTWBExt"/>
        <w:noProof w:val="0"/>
      </w:rPr>
      <w:t>&lt;/NoPE&gt;&lt;Version&gt;</w:t>
    </w:r>
    <w:r w:rsidRPr="00B363E7">
      <w:t>v02-00</w:t>
    </w:r>
    <w:r w:rsidRPr="00B363E7">
      <w:rPr>
        <w:rStyle w:val="HideTWBExt"/>
        <w:noProof w:val="0"/>
      </w:rPr>
      <w:t>&lt;/Version&gt;</w:t>
    </w:r>
  </w:p>
  <w:p w14:paraId="6862DD18" w14:textId="718AF274" w:rsidR="0085501C" w:rsidRPr="00B363E7" w:rsidRDefault="00B54765" w:rsidP="00B54765">
    <w:pPr>
      <w:pStyle w:val="EPFooter2"/>
    </w:pPr>
    <w:r w:rsidRPr="00B363E7">
      <w:tab/>
    </w:r>
    <w:r w:rsidRPr="00B363E7">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4EA9" w14:textId="77777777" w:rsidR="00B54765" w:rsidRPr="00B363E7" w:rsidRDefault="00B54765" w:rsidP="00B54765">
    <w:pPr>
      <w:pStyle w:val="EPFooter"/>
    </w:pPr>
    <w:r w:rsidRPr="00B363E7">
      <w:rPr>
        <w:rStyle w:val="HideTWBExt"/>
        <w:noProof w:val="0"/>
      </w:rPr>
      <w:t>&lt;PathFdR&gt;</w:t>
    </w:r>
    <w:r w:rsidRPr="00B363E7">
      <w:t>RR\1232907PL.docx</w:t>
    </w:r>
    <w:r w:rsidRPr="00B363E7">
      <w:rPr>
        <w:rStyle w:val="HideTWBExt"/>
        <w:noProof w:val="0"/>
      </w:rPr>
      <w:t>&lt;/PathFdR&gt;</w:t>
    </w:r>
    <w:r w:rsidRPr="00B363E7">
      <w:tab/>
    </w:r>
    <w:r w:rsidRPr="00B363E7">
      <w:tab/>
      <w:t>PE</w:t>
    </w:r>
    <w:r w:rsidRPr="00B363E7">
      <w:rPr>
        <w:rStyle w:val="HideTWBExt"/>
        <w:noProof w:val="0"/>
      </w:rPr>
      <w:t>&lt;NoPE&gt;</w:t>
    </w:r>
    <w:r w:rsidRPr="00B363E7">
      <w:t>689.590</w:t>
    </w:r>
    <w:r w:rsidRPr="00B363E7">
      <w:rPr>
        <w:rStyle w:val="HideTWBExt"/>
        <w:noProof w:val="0"/>
      </w:rPr>
      <w:t>&lt;/NoPE&gt;&lt;Version&gt;</w:t>
    </w:r>
    <w:r w:rsidRPr="00B363E7">
      <w:t>v02-00</w:t>
    </w:r>
    <w:r w:rsidRPr="00B363E7">
      <w:rPr>
        <w:rStyle w:val="HideTWBExt"/>
        <w:noProof w:val="0"/>
      </w:rPr>
      <w:t>&lt;/Version&gt;</w:t>
    </w:r>
  </w:p>
  <w:p w14:paraId="0CB5288D" w14:textId="18D99C2D" w:rsidR="0085501C" w:rsidRPr="00B363E7" w:rsidRDefault="00B54765" w:rsidP="00B54765">
    <w:pPr>
      <w:pStyle w:val="EPFooter2"/>
    </w:pPr>
    <w:r w:rsidRPr="00B363E7">
      <w:t>PL</w:t>
    </w:r>
    <w:r w:rsidRPr="00B363E7">
      <w:tab/>
    </w:r>
    <w:r w:rsidRPr="00B363E7">
      <w:rPr>
        <w:b w:val="0"/>
        <w:i/>
        <w:color w:val="C0C0C0"/>
        <w:sz w:val="22"/>
      </w:rPr>
      <w:t>Zjednoczona w różnorodności</w:t>
    </w:r>
    <w:r w:rsidRPr="00B363E7">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972DB" w14:textId="77777777" w:rsidR="0095779A" w:rsidRPr="00B363E7" w:rsidRDefault="0095779A">
      <w:r w:rsidRPr="00B363E7">
        <w:separator/>
      </w:r>
    </w:p>
  </w:footnote>
  <w:footnote w:type="continuationSeparator" w:id="0">
    <w:p w14:paraId="124DD4C0" w14:textId="77777777" w:rsidR="0095779A" w:rsidRPr="00B363E7" w:rsidRDefault="0095779A">
      <w:r w:rsidRPr="00B363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3DCB" w14:textId="77777777" w:rsidR="00EC62A4" w:rsidRDefault="00EC6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644F" w14:textId="77777777" w:rsidR="00EC62A4" w:rsidRDefault="00EC6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DEFF" w14:textId="77777777" w:rsidR="00EC62A4" w:rsidRDefault="00EC6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NTA"/>
    <w:docVar w:name="CopyToNetwork" w:val="-1"/>
    <w:docVar w:name="DOCDT" w:val="31/05/2021"/>
    <w:docVar w:name="LastEditedSection" w:val=" 1"/>
    <w:docVar w:name="strDocTypeID" w:val="PR_NLE-AP_Agreement"/>
    <w:docVar w:name="strSubDir" w:val="1232"/>
    <w:docVar w:name="TITLEMNU" w:val=" 2"/>
    <w:docVar w:name="TXTAUTHOR" w:val="Heidi Hautala"/>
    <w:docVar w:name="TXTLANGUE" w:val="PL"/>
    <w:docVar w:name="TXTLANGUEMIN" w:val="pl"/>
    <w:docVar w:name="TXTNRC" w:val="xxxx/2021"/>
    <w:docVar w:name="TXTNRCOUNC" w:val="xxxxx/2021"/>
    <w:docVar w:name="TXTNRNLE" w:val="2021-0003"/>
    <w:docVar w:name="TXTNRPE" w:val="689.590"/>
    <w:docVar w:name="TXTPEorAP" w:val="PE"/>
    <w:docVar w:name="TXTROUTE" w:val="RR\1232907PL.docx"/>
    <w:docVar w:name="TXTTITLE" w:val="Agreement between the Union and the Kingdom of Thailand relating to the modification of concessions on all the tariff-rate quotas included in the EU Schedule CLXXV as a consequence of the United Kingdom's withdrawal from the European Union"/>
    <w:docVar w:name="TXTVERSION" w:val="02-00"/>
  </w:docVars>
  <w:rsids>
    <w:rsidRoot w:val="0095779A"/>
    <w:rsid w:val="00001D52"/>
    <w:rsid w:val="0000443F"/>
    <w:rsid w:val="000053E3"/>
    <w:rsid w:val="00032C27"/>
    <w:rsid w:val="0005481D"/>
    <w:rsid w:val="0006167F"/>
    <w:rsid w:val="00061EFE"/>
    <w:rsid w:val="00095D8B"/>
    <w:rsid w:val="000A2F73"/>
    <w:rsid w:val="000C123D"/>
    <w:rsid w:val="000D78AF"/>
    <w:rsid w:val="00180664"/>
    <w:rsid w:val="001874D8"/>
    <w:rsid w:val="001D02E3"/>
    <w:rsid w:val="001D7794"/>
    <w:rsid w:val="001F7BBE"/>
    <w:rsid w:val="0021049A"/>
    <w:rsid w:val="00225412"/>
    <w:rsid w:val="0022685A"/>
    <w:rsid w:val="0026391A"/>
    <w:rsid w:val="0029041B"/>
    <w:rsid w:val="002A2721"/>
    <w:rsid w:val="002C5E53"/>
    <w:rsid w:val="002E2E20"/>
    <w:rsid w:val="002F5A83"/>
    <w:rsid w:val="003072BE"/>
    <w:rsid w:val="00317660"/>
    <w:rsid w:val="00333FFC"/>
    <w:rsid w:val="00337C92"/>
    <w:rsid w:val="003460D2"/>
    <w:rsid w:val="00363B94"/>
    <w:rsid w:val="00393BB5"/>
    <w:rsid w:val="003A3A48"/>
    <w:rsid w:val="003B598C"/>
    <w:rsid w:val="00407D62"/>
    <w:rsid w:val="004101CD"/>
    <w:rsid w:val="004174FC"/>
    <w:rsid w:val="00460BD6"/>
    <w:rsid w:val="00480FE3"/>
    <w:rsid w:val="004859B3"/>
    <w:rsid w:val="004B3483"/>
    <w:rsid w:val="004C083C"/>
    <w:rsid w:val="004E1650"/>
    <w:rsid w:val="004F30A2"/>
    <w:rsid w:val="004F36D1"/>
    <w:rsid w:val="00532371"/>
    <w:rsid w:val="0053367A"/>
    <w:rsid w:val="00544D48"/>
    <w:rsid w:val="00572784"/>
    <w:rsid w:val="00586325"/>
    <w:rsid w:val="005877C0"/>
    <w:rsid w:val="00593B9A"/>
    <w:rsid w:val="005A6B14"/>
    <w:rsid w:val="005D08B5"/>
    <w:rsid w:val="005D0B97"/>
    <w:rsid w:val="005F5D6C"/>
    <w:rsid w:val="006132CE"/>
    <w:rsid w:val="00613F2E"/>
    <w:rsid w:val="006A1A75"/>
    <w:rsid w:val="006A2CF5"/>
    <w:rsid w:val="006F1B6F"/>
    <w:rsid w:val="007215B1"/>
    <w:rsid w:val="0074445B"/>
    <w:rsid w:val="00775473"/>
    <w:rsid w:val="00791637"/>
    <w:rsid w:val="0080122F"/>
    <w:rsid w:val="00822206"/>
    <w:rsid w:val="008368CB"/>
    <w:rsid w:val="0085501C"/>
    <w:rsid w:val="00893FBD"/>
    <w:rsid w:val="008B75A4"/>
    <w:rsid w:val="008D23C6"/>
    <w:rsid w:val="008D3030"/>
    <w:rsid w:val="008E3848"/>
    <w:rsid w:val="00924EE0"/>
    <w:rsid w:val="0095779A"/>
    <w:rsid w:val="009612AA"/>
    <w:rsid w:val="009C117B"/>
    <w:rsid w:val="009E39A7"/>
    <w:rsid w:val="00A415B7"/>
    <w:rsid w:val="00A7310E"/>
    <w:rsid w:val="00A91FBD"/>
    <w:rsid w:val="00AD5D0C"/>
    <w:rsid w:val="00B04EC5"/>
    <w:rsid w:val="00B273A1"/>
    <w:rsid w:val="00B31D18"/>
    <w:rsid w:val="00B363E7"/>
    <w:rsid w:val="00B42885"/>
    <w:rsid w:val="00B50C20"/>
    <w:rsid w:val="00B54765"/>
    <w:rsid w:val="00B6769C"/>
    <w:rsid w:val="00B70222"/>
    <w:rsid w:val="00BB22CC"/>
    <w:rsid w:val="00BB41C8"/>
    <w:rsid w:val="00BC4090"/>
    <w:rsid w:val="00BE5E72"/>
    <w:rsid w:val="00BF0A0F"/>
    <w:rsid w:val="00BF2E15"/>
    <w:rsid w:val="00BF7F55"/>
    <w:rsid w:val="00C0291B"/>
    <w:rsid w:val="00C05DD8"/>
    <w:rsid w:val="00C15447"/>
    <w:rsid w:val="00C31028"/>
    <w:rsid w:val="00C35D01"/>
    <w:rsid w:val="00C42095"/>
    <w:rsid w:val="00CB5651"/>
    <w:rsid w:val="00CC20CB"/>
    <w:rsid w:val="00CF44DF"/>
    <w:rsid w:val="00D04E0B"/>
    <w:rsid w:val="00D44364"/>
    <w:rsid w:val="00D62DA0"/>
    <w:rsid w:val="00D6543C"/>
    <w:rsid w:val="00DB51A4"/>
    <w:rsid w:val="00DF594D"/>
    <w:rsid w:val="00DF77C6"/>
    <w:rsid w:val="00E14FEE"/>
    <w:rsid w:val="00E45908"/>
    <w:rsid w:val="00E71368"/>
    <w:rsid w:val="00E93816"/>
    <w:rsid w:val="00EA59ED"/>
    <w:rsid w:val="00EC62A4"/>
    <w:rsid w:val="00EF48F2"/>
    <w:rsid w:val="00F04010"/>
    <w:rsid w:val="00F3762B"/>
    <w:rsid w:val="00F4086B"/>
    <w:rsid w:val="00F55448"/>
    <w:rsid w:val="00F83354"/>
    <w:rsid w:val="00F85A7A"/>
    <w:rsid w:val="00F95A1E"/>
    <w:rsid w:val="00F96B8B"/>
    <w:rsid w:val="00FC699E"/>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56E6B"/>
  <w15:chartTrackingRefBased/>
  <w15:docId w15:val="{8AF64677-F582-40CA-B2B8-7B8B5B2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7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893FBD"/>
    <w:pPr>
      <w:spacing w:before="480" w:after="240"/>
    </w:pPr>
  </w:style>
  <w:style w:type="paragraph" w:styleId="TOC1">
    <w:name w:val="toc 1"/>
    <w:basedOn w:val="Normal"/>
    <w:next w:val="Normal"/>
    <w:autoRedefine/>
    <w:uiPriority w:val="39"/>
    <w:rsid w:val="0006167F"/>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13F2E"/>
    <w:pPr>
      <w:spacing w:before="80" w:after="80"/>
    </w:pPr>
    <w:rPr>
      <w:rFonts w:ascii="Arial Narrow" w:hAnsi="Arial Narrow" w:cs="Arial"/>
      <w:b/>
      <w:sz w:val="32"/>
      <w:szCs w:val="22"/>
    </w:rPr>
  </w:style>
  <w:style w:type="paragraph" w:customStyle="1" w:styleId="CoverNormal24a">
    <w:name w:val="CoverNormal24a"/>
    <w:basedOn w:val="Normal"/>
    <w:rsid w:val="00B6769C"/>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8E3848"/>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B6769C"/>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22685A"/>
    <w:pPr>
      <w:tabs>
        <w:tab w:val="center" w:pos="4513"/>
        <w:tab w:val="right" w:pos="9026"/>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612AA"/>
    <w:pPr>
      <w:jc w:val="center"/>
    </w:pPr>
    <w:rPr>
      <w:rFonts w:ascii="Arial" w:hAnsi="Arial" w:cs="Arial"/>
      <w:i/>
      <w:sz w:val="22"/>
      <w:szCs w:val="22"/>
    </w:rPr>
  </w:style>
  <w:style w:type="paragraph" w:customStyle="1" w:styleId="LineTop">
    <w:name w:val="LineTop"/>
    <w:basedOn w:val="Normal"/>
    <w:next w:val="Normal"/>
    <w:rsid w:val="009612AA"/>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9612AA"/>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EPFooter">
    <w:name w:val="EPFooter"/>
    <w:basedOn w:val="Normal"/>
    <w:rsid w:val="00B6769C"/>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22685A"/>
    <w:rPr>
      <w:sz w:val="24"/>
    </w:rPr>
  </w:style>
  <w:style w:type="paragraph" w:customStyle="1" w:styleId="Lgendesigne">
    <w:name w:val="Légende signe"/>
    <w:basedOn w:val="Normal"/>
    <w:rsid w:val="00D44364"/>
    <w:pPr>
      <w:tabs>
        <w:tab w:val="right" w:pos="454"/>
        <w:tab w:val="left" w:pos="737"/>
      </w:tabs>
      <w:ind w:left="737" w:hanging="737"/>
    </w:pPr>
    <w:rPr>
      <w:snapToGrid w:val="0"/>
      <w:sz w:val="18"/>
      <w:lang w:eastAsia="en-US"/>
    </w:rPr>
  </w:style>
  <w:style w:type="paragraph" w:customStyle="1" w:styleId="Lgendetitre">
    <w:name w:val="Légende titre"/>
    <w:basedOn w:val="Normal"/>
    <w:rsid w:val="00D44364"/>
    <w:pPr>
      <w:spacing w:before="240" w:after="240"/>
    </w:pPr>
    <w:rPr>
      <w:b/>
      <w:i/>
      <w:snapToGrid w:val="0"/>
      <w:lang w:eastAsia="en-US"/>
    </w:rPr>
  </w:style>
  <w:style w:type="paragraph" w:customStyle="1" w:styleId="Lgendestandard">
    <w:name w:val="Légende standard"/>
    <w:basedOn w:val="Normal"/>
    <w:rsid w:val="00D44364"/>
    <w:rPr>
      <w:sz w:val="18"/>
    </w:rPr>
  </w:style>
  <w:style w:type="paragraph" w:styleId="Footer">
    <w:name w:val="footer"/>
    <w:basedOn w:val="Normal"/>
    <w:link w:val="FooterChar"/>
    <w:semiHidden/>
    <w:rsid w:val="00B70222"/>
    <w:pPr>
      <w:tabs>
        <w:tab w:val="center" w:pos="4513"/>
        <w:tab w:val="right" w:pos="9026"/>
      </w:tabs>
    </w:pPr>
  </w:style>
  <w:style w:type="character" w:customStyle="1" w:styleId="FooterChar">
    <w:name w:val="Footer Char"/>
    <w:basedOn w:val="DefaultParagraphFont"/>
    <w:link w:val="Footer"/>
    <w:semiHidden/>
    <w:rsid w:val="00B70222"/>
    <w:rPr>
      <w:sz w:val="24"/>
    </w:rPr>
  </w:style>
  <w:style w:type="paragraph" w:styleId="BalloonText">
    <w:name w:val="Balloon Text"/>
    <w:basedOn w:val="Normal"/>
    <w:link w:val="BalloonTextChar"/>
    <w:semiHidden/>
    <w:unhideWhenUsed/>
    <w:rsid w:val="003A3A48"/>
    <w:rPr>
      <w:rFonts w:ascii="Segoe UI" w:hAnsi="Segoe UI" w:cs="Segoe UI"/>
      <w:sz w:val="18"/>
      <w:szCs w:val="18"/>
    </w:rPr>
  </w:style>
  <w:style w:type="character" w:customStyle="1" w:styleId="BalloonTextChar">
    <w:name w:val="Balloon Text Char"/>
    <w:basedOn w:val="DefaultParagraphFont"/>
    <w:link w:val="BalloonText"/>
    <w:semiHidden/>
    <w:rsid w:val="003A3A48"/>
    <w:rPr>
      <w:rFonts w:ascii="Segoe UI" w:hAnsi="Segoe UI" w:cs="Segoe UI"/>
      <w:sz w:val="18"/>
      <w:szCs w:val="18"/>
    </w:rPr>
  </w:style>
  <w:style w:type="paragraph" w:styleId="NormalWeb">
    <w:name w:val="Normal (Web)"/>
    <w:basedOn w:val="Normal"/>
    <w:uiPriority w:val="99"/>
    <w:unhideWhenUsed/>
    <w:rsid w:val="004101CD"/>
    <w:pPr>
      <w:widowControl/>
      <w:spacing w:before="100" w:beforeAutospacing="1" w:after="100" w:afterAutospacing="1"/>
    </w:pPr>
    <w:rPr>
      <w:rFonts w:eastAsiaTheme="minorEastAsia"/>
      <w:szCs w:val="24"/>
    </w:rPr>
  </w:style>
  <w:style w:type="paragraph" w:customStyle="1" w:styleId="Normal12a">
    <w:name w:val="Normal12a"/>
    <w:basedOn w:val="Normal"/>
    <w:rsid w:val="004101CD"/>
    <w:pPr>
      <w:spacing w:after="240"/>
    </w:pPr>
  </w:style>
  <w:style w:type="paragraph" w:customStyle="1" w:styleId="RollCallVotes">
    <w:name w:val="RollCallVotes"/>
    <w:basedOn w:val="Normal"/>
    <w:rsid w:val="004101CD"/>
    <w:pPr>
      <w:spacing w:before="120" w:after="120"/>
      <w:jc w:val="center"/>
    </w:pPr>
    <w:rPr>
      <w:b/>
      <w:bCs/>
      <w:snapToGrid w:val="0"/>
      <w:sz w:val="16"/>
      <w:lang w:eastAsia="en-US"/>
    </w:rPr>
  </w:style>
  <w:style w:type="paragraph" w:customStyle="1" w:styleId="RollCallTabs">
    <w:name w:val="RollCallTabs"/>
    <w:basedOn w:val="Normal"/>
    <w:qFormat/>
    <w:rsid w:val="004101CD"/>
    <w:pPr>
      <w:tabs>
        <w:tab w:val="center" w:pos="284"/>
        <w:tab w:val="left" w:pos="426"/>
      </w:tabs>
    </w:pPr>
    <w:rPr>
      <w:snapToGrid w:val="0"/>
      <w:lang w:eastAsia="en-US"/>
    </w:rPr>
  </w:style>
  <w:style w:type="paragraph" w:customStyle="1" w:styleId="RollCallSymbols14pt">
    <w:name w:val="RollCallSymbols14pt"/>
    <w:basedOn w:val="Normal"/>
    <w:rsid w:val="004101CD"/>
    <w:pPr>
      <w:spacing w:before="120" w:after="120"/>
      <w:jc w:val="center"/>
    </w:pPr>
    <w:rPr>
      <w:rFonts w:ascii="Arial" w:hAnsi="Arial"/>
      <w:b/>
      <w:bCs/>
      <w:snapToGrid w:val="0"/>
      <w:sz w:val="28"/>
      <w:lang w:eastAsia="en-US"/>
    </w:rPr>
  </w:style>
  <w:style w:type="paragraph" w:customStyle="1" w:styleId="RollCallTable">
    <w:name w:val="RollCallTable"/>
    <w:basedOn w:val="Normal"/>
    <w:rsid w:val="004101CD"/>
    <w:pPr>
      <w:spacing w:before="120" w:after="120"/>
    </w:pPr>
    <w:rPr>
      <w:snapToGrid w:val="0"/>
      <w:sz w:val="16"/>
      <w:lang w:eastAsia="en-US"/>
    </w:rPr>
  </w:style>
  <w:style w:type="character" w:styleId="CommentReference">
    <w:name w:val="annotation reference"/>
    <w:basedOn w:val="DefaultParagraphFont"/>
    <w:rsid w:val="0005481D"/>
    <w:rPr>
      <w:sz w:val="16"/>
      <w:szCs w:val="16"/>
    </w:rPr>
  </w:style>
  <w:style w:type="paragraph" w:styleId="CommentText">
    <w:name w:val="annotation text"/>
    <w:basedOn w:val="Normal"/>
    <w:link w:val="CommentTextChar"/>
    <w:rsid w:val="0005481D"/>
    <w:rPr>
      <w:sz w:val="20"/>
    </w:rPr>
  </w:style>
  <w:style w:type="character" w:customStyle="1" w:styleId="CommentTextChar">
    <w:name w:val="Comment Text Char"/>
    <w:basedOn w:val="DefaultParagraphFont"/>
    <w:link w:val="CommentText"/>
    <w:rsid w:val="0005481D"/>
  </w:style>
  <w:style w:type="paragraph" w:styleId="CommentSubject">
    <w:name w:val="annotation subject"/>
    <w:basedOn w:val="CommentText"/>
    <w:next w:val="CommentText"/>
    <w:link w:val="CommentSubjectChar"/>
    <w:semiHidden/>
    <w:unhideWhenUsed/>
    <w:rsid w:val="0005481D"/>
    <w:rPr>
      <w:b/>
      <w:bCs/>
    </w:rPr>
  </w:style>
  <w:style w:type="character" w:customStyle="1" w:styleId="CommentSubjectChar">
    <w:name w:val="Comment Subject Char"/>
    <w:basedOn w:val="CommentTextChar"/>
    <w:link w:val="CommentSubject"/>
    <w:semiHidden/>
    <w:rsid w:val="0005481D"/>
    <w:rPr>
      <w:b/>
      <w:bCs/>
    </w:rPr>
  </w:style>
  <w:style w:type="paragraph" w:styleId="Revision">
    <w:name w:val="Revision"/>
    <w:hidden/>
    <w:uiPriority w:val="99"/>
    <w:semiHidden/>
    <w:rsid w:val="000548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2314">
      <w:bodyDiv w:val="1"/>
      <w:marLeft w:val="0"/>
      <w:marRight w:val="0"/>
      <w:marTop w:val="0"/>
      <w:marBottom w:val="0"/>
      <w:divBdr>
        <w:top w:val="none" w:sz="0" w:space="0" w:color="auto"/>
        <w:left w:val="none" w:sz="0" w:space="0" w:color="auto"/>
        <w:bottom w:val="none" w:sz="0" w:space="0" w:color="auto"/>
        <w:right w:val="none" w:sz="0" w:space="0" w:color="auto"/>
      </w:divBdr>
    </w:div>
    <w:div w:id="1148328234">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SAG~1\AppData\Local\Temp\PR_NLE-AP_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E5BB-FB55-4242-A8D5-D949FB03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PR_NLE-AP_Agreement.dotx</Template>
  <TotalTime>0</TotalTime>
  <Pages>9</Pages>
  <Words>1027</Words>
  <Characters>6835</Characters>
  <Application>Microsoft Office Word</Application>
  <DocSecurity>0</DocSecurity>
  <Lines>253</Lines>
  <Paragraphs>151</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ORSAGOVA Miriam</dc:creator>
  <cp:keywords/>
  <cp:lastModifiedBy>WIERTLEWSKA Maria</cp:lastModifiedBy>
  <cp:revision>2</cp:revision>
  <cp:lastPrinted>2002-12-11T09:25:00Z</cp:lastPrinted>
  <dcterms:created xsi:type="dcterms:W3CDTF">2021-06-14T14:49:00Z</dcterms:created>
  <dcterms:modified xsi:type="dcterms:W3CDTF">2021-06-14T14:49:00Z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1232907</vt:lpwstr>
  </property>
  <property fmtid="{D5CDD505-2E9C-101B-9397-08002B2CF9AE}" pid="5" name="&lt;Type&gt;">
    <vt:lpwstr>RR</vt:lpwstr>
  </property>
  <property fmtid="{D5CDD505-2E9C-101B-9397-08002B2CF9AE}" pid="6" name="&lt;ModelCod&gt;">
    <vt:lpwstr>\\eiciBRUpr1\pdocep$\DocEP\DOCS\General\PR\PR_Leg\NLE\PR_NLE-AP_Agreement.dotx(17/04/2020 18:28:04)</vt:lpwstr>
  </property>
  <property fmtid="{D5CDD505-2E9C-101B-9397-08002B2CF9AE}" pid="7" name="&lt;ModelTra&gt;">
    <vt:lpwstr>\\eiciBRUpr1\pdocep$\DocEP\TRANSFIL\EN\PR_NLE-AP_Agreement.EN(16/10/2020 20:22:06)</vt:lpwstr>
  </property>
  <property fmtid="{D5CDD505-2E9C-101B-9397-08002B2CF9AE}" pid="8" name="&lt;Model&gt;">
    <vt:lpwstr>PR_NLE-AP_Agreement</vt:lpwstr>
  </property>
  <property fmtid="{D5CDD505-2E9C-101B-9397-08002B2CF9AE}" pid="9" name="FooterPath">
    <vt:lpwstr>RR\1232907PL.docx</vt:lpwstr>
  </property>
  <property fmtid="{D5CDD505-2E9C-101B-9397-08002B2CF9AE}" pid="10" name="PE number">
    <vt:lpwstr>689.590</vt:lpwstr>
  </property>
  <property fmtid="{D5CDD505-2E9C-101B-9397-08002B2CF9AE}" pid="11" name="SendToEpades">
    <vt:lpwstr/>
  </property>
  <property fmtid="{D5CDD505-2E9C-101B-9397-08002B2CF9AE}" pid="12" name="SDLStudio">
    <vt:lpwstr/>
  </property>
  <property fmtid="{D5CDD505-2E9C-101B-9397-08002B2CF9AE}" pid="13" name="&lt;Extension&gt;">
    <vt:lpwstr>PL</vt:lpwstr>
  </property>
  <property fmtid="{D5CDD505-2E9C-101B-9397-08002B2CF9AE}" pid="14" name="Bookout">
    <vt:lpwstr>OK - 2021/06/14 16:49</vt:lpwstr>
  </property>
</Properties>
</file>