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2A3F62" w:rsidRDefault="006959AA" w:rsidP="00580701">
      <w:pPr>
        <w:pStyle w:val="AmDateTab"/>
      </w:pPr>
      <w:r w:rsidRPr="002A3F62">
        <w:rPr>
          <w:rStyle w:val="HideTWBExt"/>
          <w:noProof w:val="0"/>
        </w:rPr>
        <w:t>&lt;RepeatBlock-Amend&gt;</w:t>
      </w:r>
      <w:bookmarkStart w:id="0" w:name="restart"/>
      <w:r w:rsidRPr="002A3F62">
        <w:rPr>
          <w:rStyle w:val="HideTWBExt"/>
          <w:noProof w:val="0"/>
        </w:rPr>
        <w:t>&lt;Amend&gt;&lt;Date&gt;</w:t>
      </w:r>
      <w:r w:rsidR="000C3A36" w:rsidRPr="002A3F62">
        <w:rPr>
          <w:rStyle w:val="HideTWBInt"/>
        </w:rPr>
        <w:t>{09/02/2022}</w:t>
      </w:r>
      <w:r w:rsidR="000C3A36" w:rsidRPr="002A3F62">
        <w:t>9.2.2022</w:t>
      </w:r>
      <w:r w:rsidRPr="002A3F62">
        <w:rPr>
          <w:rStyle w:val="HideTWBExt"/>
          <w:noProof w:val="0"/>
        </w:rPr>
        <w:t>&lt;/Date&gt;</w:t>
      </w:r>
      <w:r w:rsidRPr="002A3F62">
        <w:tab/>
      </w:r>
      <w:r w:rsidRPr="002A3F62">
        <w:rPr>
          <w:rStyle w:val="HideTWBExt"/>
          <w:noProof w:val="0"/>
        </w:rPr>
        <w:t>&lt;ANo&gt;</w:t>
      </w:r>
      <w:r w:rsidR="000C3A36" w:rsidRPr="002A3F62">
        <w:t>A9-0354</w:t>
      </w:r>
      <w:r w:rsidRPr="002A3F62">
        <w:rPr>
          <w:rStyle w:val="HideTWBExt"/>
          <w:noProof w:val="0"/>
        </w:rPr>
        <w:t>&lt;/ANo&gt;</w:t>
      </w:r>
      <w:r w:rsidRPr="002A3F62">
        <w:t>/</w:t>
      </w:r>
      <w:r w:rsidRPr="002A3F62">
        <w:rPr>
          <w:rStyle w:val="HideTWBExt"/>
          <w:noProof w:val="0"/>
        </w:rPr>
        <w:t>&lt;NumAm&gt;</w:t>
      </w:r>
      <w:r w:rsidR="000C3A36" w:rsidRPr="002A3F62">
        <w:t>11</w:t>
      </w:r>
      <w:r w:rsidRPr="002A3F62">
        <w:rPr>
          <w:rStyle w:val="HideTWBExt"/>
          <w:noProof w:val="0"/>
        </w:rPr>
        <w:t>&lt;/NumAm&gt;</w:t>
      </w:r>
    </w:p>
    <w:p w:rsidR="00016E4D" w:rsidRPr="002A3F62" w:rsidRDefault="004F3476" w:rsidP="00016E4D">
      <w:pPr>
        <w:pStyle w:val="AmNumberTabs"/>
      </w:pPr>
      <w:r w:rsidRPr="002A3F62">
        <w:t>Amendment</w:t>
      </w:r>
      <w:r w:rsidR="00016E4D" w:rsidRPr="002A3F62">
        <w:tab/>
      </w:r>
      <w:r w:rsidR="00016E4D" w:rsidRPr="002A3F62">
        <w:tab/>
      </w:r>
      <w:r w:rsidR="00016E4D" w:rsidRPr="002A3F62">
        <w:rPr>
          <w:rStyle w:val="HideTWBExt"/>
          <w:b w:val="0"/>
          <w:noProof w:val="0"/>
        </w:rPr>
        <w:t>&lt;NumAm&gt;</w:t>
      </w:r>
      <w:r w:rsidR="000C3A36" w:rsidRPr="002A3F62">
        <w:t>11</w:t>
      </w:r>
      <w:r w:rsidR="00016E4D" w:rsidRPr="002A3F62">
        <w:rPr>
          <w:rStyle w:val="HideTWBExt"/>
          <w:b w:val="0"/>
          <w:noProof w:val="0"/>
        </w:rPr>
        <w:t>&lt;/NumAm&gt;</w:t>
      </w:r>
    </w:p>
    <w:p w:rsidR="006959AA" w:rsidRPr="002A3F62" w:rsidRDefault="006959AA" w:rsidP="006959AA">
      <w:pPr>
        <w:pStyle w:val="NormalBold"/>
      </w:pPr>
      <w:r w:rsidRPr="002A3F62">
        <w:rPr>
          <w:rStyle w:val="HideTWBExt"/>
          <w:b w:val="0"/>
          <w:noProof w:val="0"/>
        </w:rPr>
        <w:t>&lt;RepeatBlock-By&gt;</w:t>
      </w:r>
      <w:bookmarkStart w:id="1" w:name="By"/>
      <w:r w:rsidRPr="002A3F62">
        <w:rPr>
          <w:rStyle w:val="HideTWBExt"/>
          <w:b w:val="0"/>
          <w:noProof w:val="0"/>
        </w:rPr>
        <w:t>&lt;</w:t>
      </w:r>
      <w:r w:rsidR="005C6207" w:rsidRPr="002A3F62">
        <w:rPr>
          <w:rStyle w:val="HideTWBExt"/>
          <w:b w:val="0"/>
          <w:noProof w:val="0"/>
        </w:rPr>
        <w:t>By&gt;&lt;</w:t>
      </w:r>
      <w:r w:rsidRPr="002A3F62">
        <w:rPr>
          <w:rStyle w:val="HideTWBExt"/>
          <w:b w:val="0"/>
          <w:noProof w:val="0"/>
        </w:rPr>
        <w:t>Members&gt;</w:t>
      </w:r>
      <w:r w:rsidR="000C3A36" w:rsidRPr="002A3F62">
        <w:t>Pedro Marques, Tonino Picula, Thijs Reuten</w:t>
      </w:r>
      <w:r w:rsidRPr="002A3F62">
        <w:rPr>
          <w:rStyle w:val="HideTWBExt"/>
          <w:b w:val="0"/>
          <w:noProof w:val="0"/>
        </w:rPr>
        <w:t>&lt;/Members&gt;</w:t>
      </w:r>
    </w:p>
    <w:p w:rsidR="006959AA" w:rsidRPr="002A3F62" w:rsidRDefault="006959AA" w:rsidP="006959AA">
      <w:r w:rsidRPr="002A3F62">
        <w:rPr>
          <w:rStyle w:val="HideTWBExt"/>
          <w:noProof w:val="0"/>
        </w:rPr>
        <w:t>&lt;AuNomDe&gt;</w:t>
      </w:r>
      <w:r w:rsidR="000C3A36" w:rsidRPr="002A3F62">
        <w:rPr>
          <w:rStyle w:val="HideTWBInt"/>
        </w:rPr>
        <w:t>{S&amp;D}</w:t>
      </w:r>
      <w:r w:rsidR="000C3A36" w:rsidRPr="002A3F62">
        <w:t>on behalf of the S&amp;D Group</w:t>
      </w:r>
      <w:r w:rsidRPr="002A3F62">
        <w:rPr>
          <w:rStyle w:val="HideTWBExt"/>
          <w:noProof w:val="0"/>
        </w:rPr>
        <w:t>&lt;/AuNomDe&gt;</w:t>
      </w:r>
    </w:p>
    <w:p w:rsidR="006959AA" w:rsidRPr="002A3F62" w:rsidRDefault="005C6207" w:rsidP="006959AA">
      <w:r w:rsidRPr="002A3F62">
        <w:rPr>
          <w:rStyle w:val="HideTWBExt"/>
          <w:bCs/>
          <w:noProof w:val="0"/>
        </w:rPr>
        <w:t>&lt;/By&gt;</w:t>
      </w:r>
      <w:bookmarkEnd w:id="1"/>
      <w:r w:rsidR="006959AA" w:rsidRPr="002A3F62">
        <w:rPr>
          <w:rStyle w:val="HideTWBExt"/>
          <w:noProof w:val="0"/>
        </w:rPr>
        <w:t>&lt;/RepeatBlock-By&gt;</w:t>
      </w:r>
    </w:p>
    <w:p w:rsidR="006959AA" w:rsidRPr="002A3F62" w:rsidRDefault="006959AA" w:rsidP="006959AA">
      <w:pPr>
        <w:pStyle w:val="AmDocTypeTab"/>
      </w:pPr>
      <w:r w:rsidRPr="002A3F62">
        <w:rPr>
          <w:rStyle w:val="HideTWBExt"/>
          <w:b w:val="0"/>
          <w:noProof w:val="0"/>
        </w:rPr>
        <w:t>&lt;TitreType&gt;</w:t>
      </w:r>
      <w:r w:rsidR="004F3476" w:rsidRPr="002A3F62">
        <w:t>Report</w:t>
      </w:r>
      <w:r w:rsidRPr="002A3F62">
        <w:rPr>
          <w:rStyle w:val="HideTWBExt"/>
          <w:b w:val="0"/>
          <w:noProof w:val="0"/>
        </w:rPr>
        <w:t>&lt;/TitreType&gt;</w:t>
      </w:r>
      <w:r w:rsidRPr="002A3F62">
        <w:tab/>
      </w:r>
      <w:r w:rsidR="000C3A36" w:rsidRPr="002A3F62">
        <w:t>A9-0354</w:t>
      </w:r>
      <w:r w:rsidRPr="002A3F62">
        <w:t>/</w:t>
      </w:r>
      <w:r w:rsidR="000C3A36" w:rsidRPr="002A3F62">
        <w:t>2021</w:t>
      </w:r>
    </w:p>
    <w:p w:rsidR="006959AA" w:rsidRPr="002A3F62" w:rsidRDefault="006959AA" w:rsidP="006959AA">
      <w:pPr>
        <w:pStyle w:val="NormalBold"/>
      </w:pPr>
      <w:r w:rsidRPr="002A3F62">
        <w:rPr>
          <w:rStyle w:val="HideTWBExt"/>
          <w:b w:val="0"/>
          <w:noProof w:val="0"/>
        </w:rPr>
        <w:t>&lt;Rapporteur&gt;</w:t>
      </w:r>
      <w:r w:rsidR="000C3A36" w:rsidRPr="002A3F62">
        <w:t>David McAllister</w:t>
      </w:r>
      <w:r w:rsidRPr="002A3F62">
        <w:rPr>
          <w:rStyle w:val="HideTWBExt"/>
          <w:b w:val="0"/>
          <w:noProof w:val="0"/>
        </w:rPr>
        <w:t>&lt;/Rapporteur&gt;</w:t>
      </w:r>
    </w:p>
    <w:p w:rsidR="006959AA" w:rsidRPr="002A3F62" w:rsidRDefault="006959AA" w:rsidP="006959AA">
      <w:r w:rsidRPr="002A3F62">
        <w:rPr>
          <w:rStyle w:val="HideTWBExt"/>
          <w:noProof w:val="0"/>
        </w:rPr>
        <w:t>&lt;Titre&gt;</w:t>
      </w:r>
      <w:r w:rsidR="000C3A36" w:rsidRPr="002A3F62">
        <w:t>Implementation of the common foreign and security policy – annual report 2021</w:t>
      </w:r>
      <w:r w:rsidRPr="002A3F62">
        <w:rPr>
          <w:rStyle w:val="HideTWBExt"/>
          <w:noProof w:val="0"/>
        </w:rPr>
        <w:t>&lt;/Titre&gt;</w:t>
      </w:r>
    </w:p>
    <w:p w:rsidR="006959AA" w:rsidRPr="002A3F62" w:rsidRDefault="006959AA" w:rsidP="006959AA">
      <w:pPr>
        <w:pStyle w:val="Normal12a"/>
      </w:pPr>
      <w:r w:rsidRPr="002A3F62">
        <w:rPr>
          <w:rStyle w:val="HideTWBExt"/>
          <w:noProof w:val="0"/>
        </w:rPr>
        <w:t>&lt;DocRef&gt;</w:t>
      </w:r>
      <w:r w:rsidR="004F3476" w:rsidRPr="002A3F62">
        <w:t>(</w:t>
      </w:r>
      <w:r w:rsidR="000C3A36" w:rsidRPr="002A3F62">
        <w:t>2021/2182(INI)</w:t>
      </w:r>
      <w:r w:rsidR="004F3476" w:rsidRPr="002A3F62">
        <w:t>)</w:t>
      </w:r>
      <w:r w:rsidRPr="002A3F62">
        <w:rPr>
          <w:rStyle w:val="HideTWBExt"/>
          <w:noProof w:val="0"/>
        </w:rPr>
        <w:t>&lt;/DocRef&gt;</w:t>
      </w:r>
    </w:p>
    <w:p w:rsidR="006959AA" w:rsidRPr="002A3F62" w:rsidRDefault="006959AA" w:rsidP="006959AA">
      <w:pPr>
        <w:pStyle w:val="NormalBold"/>
      </w:pPr>
      <w:r w:rsidRPr="002A3F62">
        <w:rPr>
          <w:rStyle w:val="HideTWBExt"/>
          <w:b w:val="0"/>
          <w:noProof w:val="0"/>
        </w:rPr>
        <w:t>&lt;DocAmend&gt;</w:t>
      </w:r>
      <w:r w:rsidR="000C3A36" w:rsidRPr="002A3F62">
        <w:t>Motion for a resolution</w:t>
      </w:r>
      <w:r w:rsidRPr="002A3F62">
        <w:rPr>
          <w:rStyle w:val="HideTWBExt"/>
          <w:b w:val="0"/>
          <w:noProof w:val="0"/>
        </w:rPr>
        <w:t>&lt;/DocAmend&gt;</w:t>
      </w:r>
    </w:p>
    <w:p w:rsidR="006959AA" w:rsidRPr="002A3F62" w:rsidRDefault="006959AA" w:rsidP="006959AA">
      <w:pPr>
        <w:pStyle w:val="NormalBold"/>
      </w:pPr>
      <w:r w:rsidRPr="002A3F62">
        <w:rPr>
          <w:rStyle w:val="HideTWBExt"/>
          <w:b w:val="0"/>
          <w:noProof w:val="0"/>
        </w:rPr>
        <w:t>&lt;Article&gt;</w:t>
      </w:r>
      <w:r w:rsidR="000C3A36" w:rsidRPr="002A3F62">
        <w:t>Paragraph 21</w:t>
      </w:r>
      <w:r w:rsidRPr="002A3F6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A3F62" w:rsidTr="006959AA">
        <w:trPr>
          <w:jc w:val="center"/>
        </w:trPr>
        <w:tc>
          <w:tcPr>
            <w:tcW w:w="9752" w:type="dxa"/>
            <w:gridSpan w:val="2"/>
          </w:tcPr>
          <w:p w:rsidR="006959AA" w:rsidRPr="002A3F62" w:rsidRDefault="006959AA" w:rsidP="00EE4A94">
            <w:pPr>
              <w:keepNext/>
            </w:pPr>
          </w:p>
        </w:tc>
      </w:tr>
      <w:tr w:rsidR="006959AA" w:rsidRPr="002A3F62" w:rsidTr="006959AA">
        <w:trPr>
          <w:jc w:val="center"/>
        </w:trPr>
        <w:tc>
          <w:tcPr>
            <w:tcW w:w="4876" w:type="dxa"/>
          </w:tcPr>
          <w:p w:rsidR="006959AA" w:rsidRPr="002A3F62" w:rsidRDefault="000C3A36" w:rsidP="00EE4A94">
            <w:pPr>
              <w:pStyle w:val="AmColumnHeading"/>
              <w:keepNext/>
            </w:pPr>
            <w:r w:rsidRPr="002A3F62">
              <w:t>Motion for a resolution</w:t>
            </w:r>
          </w:p>
        </w:tc>
        <w:tc>
          <w:tcPr>
            <w:tcW w:w="4876" w:type="dxa"/>
          </w:tcPr>
          <w:p w:rsidR="006959AA" w:rsidRPr="002A3F62" w:rsidRDefault="004F3476" w:rsidP="00EE4A94">
            <w:pPr>
              <w:pStyle w:val="AmColumnHeading"/>
              <w:keepNext/>
            </w:pPr>
            <w:r w:rsidRPr="002A3F62">
              <w:t>Amendment</w:t>
            </w:r>
          </w:p>
        </w:tc>
      </w:tr>
      <w:tr w:rsidR="006959AA" w:rsidRPr="002A3F62" w:rsidTr="006959AA">
        <w:trPr>
          <w:jc w:val="center"/>
        </w:trPr>
        <w:tc>
          <w:tcPr>
            <w:tcW w:w="4876" w:type="dxa"/>
          </w:tcPr>
          <w:p w:rsidR="006959AA" w:rsidRPr="002A3F62" w:rsidRDefault="000C3A36" w:rsidP="00BE2400">
            <w:pPr>
              <w:pStyle w:val="Normal6a"/>
              <w:rPr>
                <w:b/>
                <w:i/>
              </w:rPr>
            </w:pPr>
            <w:r w:rsidRPr="002A3F62">
              <w:t>21.</w:t>
            </w:r>
            <w:r w:rsidRPr="002A3F62">
              <w:rPr>
                <w:b/>
                <w:i/>
              </w:rPr>
              <w:tab/>
            </w:r>
            <w:r w:rsidRPr="002A3F62">
              <w:t>Further stresses that, upon</w:t>
            </w:r>
            <w:r w:rsidRPr="002A3F62">
              <w:rPr>
                <w:b/>
                <w:i/>
              </w:rPr>
              <w:t xml:space="preserve"> completion</w:t>
            </w:r>
            <w:r w:rsidRPr="002A3F62">
              <w:t>, the Strategic Compass</w:t>
            </w:r>
            <w:r w:rsidRPr="002A3F62">
              <w:rPr>
                <w:b/>
                <w:i/>
              </w:rPr>
              <w:t xml:space="preserve"> must</w:t>
            </w:r>
            <w:r w:rsidRPr="002A3F62">
              <w:t xml:space="preserve"> have significant added value for the EU</w:t>
            </w:r>
            <w:r w:rsidR="00B17D50">
              <w:t>’</w:t>
            </w:r>
            <w:r w:rsidRPr="002A3F62">
              <w:t>s CFSP and</w:t>
            </w:r>
            <w:r w:rsidRPr="002A3F62">
              <w:rPr>
                <w:b/>
                <w:i/>
              </w:rPr>
              <w:t xml:space="preserve"> the</w:t>
            </w:r>
            <w:r w:rsidRPr="002A3F62">
              <w:t xml:space="preserve"> solidarity among Member States</w:t>
            </w:r>
            <w:r w:rsidRPr="002A3F62">
              <w:rPr>
                <w:b/>
                <w:i/>
              </w:rPr>
              <w:t>, and should not be a mere listing</w:t>
            </w:r>
            <w:r w:rsidRPr="002A3F62">
              <w:t xml:space="preserve"> of threats and challenges facing our EU and its Member States</w:t>
            </w:r>
            <w:r w:rsidRPr="002A3F62">
              <w:rPr>
                <w:b/>
                <w:i/>
              </w:rPr>
              <w:t>; insists that the final draft of the Strategic Compass should identify</w:t>
            </w:r>
            <w:r w:rsidRPr="002A3F62">
              <w:t xml:space="preserve"> present and future capability gaps – both institutional and assets-wise – and</w:t>
            </w:r>
            <w:r w:rsidRPr="002A3F62">
              <w:rPr>
                <w:b/>
                <w:i/>
              </w:rPr>
              <w:t xml:space="preserve"> provide</w:t>
            </w:r>
            <w:r w:rsidRPr="002A3F62">
              <w:t xml:space="preserve"> a clear roadmap to fill in those gaps; reiterates Parliament</w:t>
            </w:r>
            <w:r w:rsidR="00B17D50">
              <w:t>’</w:t>
            </w:r>
            <w:r w:rsidRPr="002A3F62">
              <w:t>s intention to be involved in the process; expects the final draft of the Strategic Compass and the NATO Strategic Concept to be coherent with one another</w:t>
            </w:r>
            <w:r w:rsidRPr="002A3F62">
              <w:rPr>
                <w:b/>
                <w:i/>
              </w:rPr>
              <w:t>, reflecting a clearer division of tasks between the EU and NATO</w:t>
            </w:r>
            <w:r w:rsidRPr="002A3F62">
              <w:t xml:space="preserve"> to ensure</w:t>
            </w:r>
            <w:r w:rsidRPr="002A3F62">
              <w:rPr>
                <w:b/>
                <w:i/>
              </w:rPr>
              <w:t xml:space="preserve"> better</w:t>
            </w:r>
            <w:r w:rsidRPr="002A3F62">
              <w:t xml:space="preserve"> collaboration and burden sharing, and to identify ways to reinforce EU-NATO cooperation;</w:t>
            </w:r>
            <w:r w:rsidRPr="002A3F62">
              <w:rPr>
                <w:b/>
                <w:i/>
              </w:rPr>
              <w:t xml:space="preserve"> encourages those Member States to utilise to the full extent the capabilities afforded to them via NATO membership</w:t>
            </w:r>
            <w:r w:rsidRPr="002A3F62">
              <w:t>; compels the Member States to reach, upon completion of the Strategic Compass, an ambitious common understanding of Article 42(7) TEU and Article 222 TFEU and their relation to Article 5 of the North Atlantic Treaty;</w:t>
            </w:r>
          </w:p>
        </w:tc>
        <w:tc>
          <w:tcPr>
            <w:tcW w:w="4876" w:type="dxa"/>
          </w:tcPr>
          <w:p w:rsidR="006959AA" w:rsidRPr="002A3F62" w:rsidRDefault="000C3A36" w:rsidP="00EB54C1">
            <w:pPr>
              <w:pStyle w:val="Normal6a"/>
              <w:rPr>
                <w:b/>
                <w:i/>
                <w:szCs w:val="24"/>
              </w:rPr>
            </w:pPr>
            <w:r w:rsidRPr="002A3F62">
              <w:t>21.</w:t>
            </w:r>
            <w:r w:rsidRPr="002A3F62">
              <w:rPr>
                <w:b/>
                <w:i/>
              </w:rPr>
              <w:tab/>
            </w:r>
            <w:r w:rsidRPr="002A3F62">
              <w:t>Further stresses that, upon</w:t>
            </w:r>
            <w:r w:rsidRPr="002A3F62">
              <w:rPr>
                <w:b/>
                <w:i/>
              </w:rPr>
              <w:t xml:space="preserve"> adoption by the Council</w:t>
            </w:r>
            <w:r w:rsidRPr="002A3F62">
              <w:t>, the Strategic Compass</w:t>
            </w:r>
            <w:r w:rsidRPr="002A3F62">
              <w:rPr>
                <w:b/>
                <w:i/>
              </w:rPr>
              <w:t xml:space="preserve"> should</w:t>
            </w:r>
            <w:r w:rsidRPr="002A3F62">
              <w:t xml:space="preserve"> have significant added value for the EU</w:t>
            </w:r>
            <w:r w:rsidR="00B17D50">
              <w:t>’</w:t>
            </w:r>
            <w:r w:rsidRPr="002A3F62">
              <w:t>s CFSP and</w:t>
            </w:r>
            <w:r w:rsidRPr="002A3F62">
              <w:rPr>
                <w:b/>
                <w:i/>
              </w:rPr>
              <w:t xml:space="preserve"> </w:t>
            </w:r>
            <w:r w:rsidR="00107DC0">
              <w:rPr>
                <w:b/>
                <w:i/>
              </w:rPr>
              <w:t>common security and defence policy (</w:t>
            </w:r>
            <w:r w:rsidRPr="002A3F62">
              <w:rPr>
                <w:b/>
                <w:i/>
              </w:rPr>
              <w:t>CSDP</w:t>
            </w:r>
            <w:r w:rsidR="00107DC0">
              <w:rPr>
                <w:b/>
                <w:i/>
              </w:rPr>
              <w:t>)</w:t>
            </w:r>
            <w:r w:rsidRPr="002A3F62">
              <w:rPr>
                <w:b/>
                <w:i/>
              </w:rPr>
              <w:t xml:space="preserve"> and should further enhance</w:t>
            </w:r>
            <w:r w:rsidRPr="002A3F62">
              <w:t xml:space="preserve"> solidarity among Member States</w:t>
            </w:r>
            <w:r w:rsidRPr="002A3F62">
              <w:rPr>
                <w:b/>
                <w:i/>
              </w:rPr>
              <w:t xml:space="preserve">; welcomes </w:t>
            </w:r>
            <w:r w:rsidR="00107DC0">
              <w:rPr>
                <w:b/>
                <w:i/>
              </w:rPr>
              <w:t xml:space="preserve">the fact </w:t>
            </w:r>
            <w:r w:rsidRPr="002A3F62">
              <w:rPr>
                <w:b/>
                <w:i/>
              </w:rPr>
              <w:t xml:space="preserve">that the </w:t>
            </w:r>
            <w:r w:rsidR="00107DC0">
              <w:rPr>
                <w:b/>
                <w:i/>
              </w:rPr>
              <w:t xml:space="preserve">Strategic </w:t>
            </w:r>
            <w:r w:rsidRPr="002A3F62">
              <w:rPr>
                <w:b/>
                <w:i/>
              </w:rPr>
              <w:t>Compass builds upon a common analysis</w:t>
            </w:r>
            <w:r w:rsidRPr="002A3F62">
              <w:t xml:space="preserve"> of threats and challenges facing our EU and its Member States</w:t>
            </w:r>
            <w:r w:rsidRPr="002A3F62">
              <w:rPr>
                <w:b/>
                <w:i/>
              </w:rPr>
              <w:t>, identifies</w:t>
            </w:r>
            <w:r w:rsidRPr="002A3F62">
              <w:t xml:space="preserve"> present and future capability gaps – both institutional and assets-wise – and</w:t>
            </w:r>
            <w:r w:rsidRPr="002A3F62">
              <w:rPr>
                <w:b/>
                <w:i/>
              </w:rPr>
              <w:t xml:space="preserve"> provides</w:t>
            </w:r>
            <w:r w:rsidRPr="002A3F62">
              <w:t xml:space="preserve"> a clear roadmap to fill in those gaps; reiterates Parliament</w:t>
            </w:r>
            <w:r w:rsidR="00B17D50">
              <w:t>’</w:t>
            </w:r>
            <w:r w:rsidRPr="002A3F62">
              <w:t>s intention to be involved in the process</w:t>
            </w:r>
            <w:r w:rsidR="00107DC0" w:rsidRPr="00B17D50">
              <w:rPr>
                <w:b/>
                <w:i/>
              </w:rPr>
              <w:t>,</w:t>
            </w:r>
            <w:r w:rsidRPr="00EB54C1">
              <w:rPr>
                <w:b/>
                <w:i/>
              </w:rPr>
              <w:t xml:space="preserve"> </w:t>
            </w:r>
            <w:r w:rsidRPr="002A3F62">
              <w:rPr>
                <w:b/>
                <w:i/>
              </w:rPr>
              <w:t xml:space="preserve">notably by exercising its right to scrutiny and the establishment of a regular review </w:t>
            </w:r>
            <w:r w:rsidR="00EB54C1">
              <w:rPr>
                <w:b/>
                <w:i/>
              </w:rPr>
              <w:t>procedure</w:t>
            </w:r>
            <w:r w:rsidRPr="00B17D50">
              <w:t>;</w:t>
            </w:r>
            <w:r w:rsidRPr="00EB54C1">
              <w:t xml:space="preserve"> </w:t>
            </w:r>
            <w:r w:rsidRPr="002A3F62">
              <w:t>expects the final draft of the Strategic Compass and the NATO Strategic Concept to be coherent with one another to ensure</w:t>
            </w:r>
            <w:r w:rsidRPr="002A3F62">
              <w:rPr>
                <w:b/>
                <w:i/>
              </w:rPr>
              <w:t xml:space="preserve"> streng</w:t>
            </w:r>
            <w:r w:rsidR="00EB54C1">
              <w:rPr>
                <w:b/>
                <w:i/>
              </w:rPr>
              <w:t>t</w:t>
            </w:r>
            <w:r w:rsidRPr="002A3F62">
              <w:rPr>
                <w:b/>
                <w:i/>
              </w:rPr>
              <w:t>hened</w:t>
            </w:r>
            <w:r w:rsidRPr="002A3F62">
              <w:t xml:space="preserve"> collaboration and burden sharing, and to identify ways to reinforce EU-NATO cooperation;</w:t>
            </w:r>
            <w:r w:rsidRPr="002A3F62">
              <w:rPr>
                <w:b/>
                <w:i/>
              </w:rPr>
              <w:t xml:space="preserve"> reiterates the single-set-of-forces principle</w:t>
            </w:r>
            <w:r w:rsidRPr="002A3F62">
              <w:t>; compels the Member States to reach, upon completion of the Strategic Compass,</w:t>
            </w:r>
            <w:r w:rsidRPr="002A3F62">
              <w:rPr>
                <w:b/>
                <w:i/>
              </w:rPr>
              <w:t xml:space="preserve"> a common strategic culture, as well as</w:t>
            </w:r>
            <w:r w:rsidRPr="002A3F62">
              <w:t xml:space="preserve"> an ambitious common understanding of Article 42(7) TEU and Article 222 TFEU and their relation to Article 5 of the North Atlantic Treaty;</w:t>
            </w:r>
          </w:p>
        </w:tc>
      </w:tr>
    </w:tbl>
    <w:p w:rsidR="00926656" w:rsidRPr="002A3F62" w:rsidRDefault="006959AA" w:rsidP="00EA08DF">
      <w:pPr>
        <w:pStyle w:val="AmOrLang"/>
      </w:pPr>
      <w:r w:rsidRPr="002A3F62">
        <w:t xml:space="preserve">Or. </w:t>
      </w:r>
      <w:r w:rsidRPr="002A3F62">
        <w:rPr>
          <w:rStyle w:val="HideTWBExt"/>
          <w:noProof w:val="0"/>
        </w:rPr>
        <w:t>&lt;Original&gt;</w:t>
      </w:r>
      <w:r w:rsidR="001410F2" w:rsidRPr="002A3F62">
        <w:rPr>
          <w:rStyle w:val="HideTWBInt"/>
        </w:rPr>
        <w:t>{EN}</w:t>
      </w:r>
      <w:r w:rsidR="001410F2" w:rsidRPr="002A3F62">
        <w:t>en</w:t>
      </w:r>
      <w:r w:rsidRPr="002A3F62">
        <w:rPr>
          <w:rStyle w:val="HideTWBExt"/>
          <w:noProof w:val="0"/>
        </w:rPr>
        <w:t>&lt;/Original&gt;</w:t>
      </w:r>
    </w:p>
    <w:p w:rsidR="006959AA" w:rsidRPr="002A3F62" w:rsidRDefault="006959AA" w:rsidP="00926656">
      <w:pPr>
        <w:sectPr w:rsidR="006959AA" w:rsidRPr="002A3F62"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2A3F62" w:rsidRDefault="006959AA" w:rsidP="006959AA">
      <w:r w:rsidRPr="002A3F62">
        <w:rPr>
          <w:rStyle w:val="HideTWBExt"/>
          <w:noProof w:val="0"/>
        </w:rPr>
        <w:lastRenderedPageBreak/>
        <w:t>&lt;/Amend&gt;</w:t>
      </w:r>
      <w:bookmarkEnd w:id="0"/>
    </w:p>
    <w:p w:rsidR="000C3A36" w:rsidRPr="002A3F62" w:rsidRDefault="000C3A36" w:rsidP="00F8242B">
      <w:pPr>
        <w:pStyle w:val="AmDateTab"/>
      </w:pPr>
      <w:r w:rsidRPr="002A3F62">
        <w:rPr>
          <w:rStyle w:val="HideTWBExt"/>
          <w:rFonts w:eastAsiaTheme="majorEastAsia"/>
          <w:noProof w:val="0"/>
        </w:rPr>
        <w:t>&lt;Amend&gt;&lt;Date&gt;</w:t>
      </w:r>
      <w:r w:rsidR="001410F2" w:rsidRPr="002A3F62">
        <w:rPr>
          <w:rStyle w:val="HideTWBInt"/>
        </w:rPr>
        <w:t>{09/02/2022}</w:t>
      </w:r>
      <w:r w:rsidR="001410F2" w:rsidRPr="002A3F62">
        <w:t>9.2.2022</w:t>
      </w:r>
      <w:r w:rsidRPr="002A3F62">
        <w:rPr>
          <w:rStyle w:val="HideTWBExt"/>
          <w:rFonts w:eastAsiaTheme="majorEastAsia"/>
          <w:noProof w:val="0"/>
        </w:rPr>
        <w:t>&lt;/Date&gt;</w:t>
      </w:r>
      <w:r w:rsidRPr="002A3F62">
        <w:tab/>
      </w:r>
      <w:r w:rsidRPr="002A3F62">
        <w:rPr>
          <w:rStyle w:val="HideTWBExt"/>
          <w:rFonts w:eastAsiaTheme="majorEastAsia"/>
          <w:noProof w:val="0"/>
        </w:rPr>
        <w:t>&lt;ANo&gt;</w:t>
      </w:r>
      <w:r w:rsidR="001410F2" w:rsidRPr="002A3F62">
        <w:t>A9-0354</w:t>
      </w:r>
      <w:r w:rsidRPr="002A3F62">
        <w:rPr>
          <w:rStyle w:val="HideTWBExt"/>
          <w:rFonts w:eastAsiaTheme="majorEastAsia"/>
          <w:noProof w:val="0"/>
        </w:rPr>
        <w:t>&lt;/ANo&gt;</w:t>
      </w:r>
      <w:r w:rsidRPr="002A3F62">
        <w:t>/</w:t>
      </w:r>
      <w:r w:rsidRPr="002A3F62">
        <w:rPr>
          <w:rStyle w:val="HideTWBExt"/>
          <w:rFonts w:eastAsiaTheme="majorEastAsia"/>
          <w:noProof w:val="0"/>
        </w:rPr>
        <w:t>&lt;NumAm&gt;</w:t>
      </w:r>
      <w:r w:rsidRPr="002A3F62">
        <w:t>12</w:t>
      </w:r>
      <w:r w:rsidRPr="002A3F62">
        <w:rPr>
          <w:rStyle w:val="HideTWBExt"/>
          <w:rFonts w:eastAsiaTheme="majorEastAsia"/>
          <w:noProof w:val="0"/>
        </w:rPr>
        <w:t>&lt;/NumAm&gt;</w:t>
      </w:r>
    </w:p>
    <w:p w:rsidR="000C3A36" w:rsidRPr="002A3F62" w:rsidRDefault="000C3A36" w:rsidP="00F8242B">
      <w:pPr>
        <w:pStyle w:val="AmNumberTabs"/>
      </w:pPr>
      <w:r w:rsidRPr="002A3F62">
        <w:t>Amendment</w:t>
      </w:r>
      <w:r w:rsidRPr="002A3F62">
        <w:tab/>
      </w:r>
      <w:r w:rsidRPr="002A3F62">
        <w:tab/>
      </w:r>
      <w:r w:rsidRPr="002A3F62">
        <w:rPr>
          <w:rStyle w:val="HideTWBExt"/>
          <w:rFonts w:eastAsiaTheme="majorEastAsia"/>
          <w:b w:val="0"/>
          <w:noProof w:val="0"/>
        </w:rPr>
        <w:t>&lt;NumAm&gt;</w:t>
      </w:r>
      <w:r w:rsidRPr="002A3F62">
        <w:t>12</w:t>
      </w:r>
      <w:r w:rsidRPr="002A3F62">
        <w:rPr>
          <w:rStyle w:val="HideTWBExt"/>
          <w:rFonts w:eastAsiaTheme="majorEastAsia"/>
          <w:b w:val="0"/>
          <w:noProof w:val="0"/>
        </w:rPr>
        <w:t>&lt;/NumAm&gt;</w:t>
      </w:r>
    </w:p>
    <w:p w:rsidR="000C3A36" w:rsidRPr="002A3F62" w:rsidRDefault="000C3A36" w:rsidP="00F8242B">
      <w:pPr>
        <w:pStyle w:val="NormalBold"/>
      </w:pPr>
      <w:r w:rsidRPr="002A3F62">
        <w:rPr>
          <w:rStyle w:val="HideTWBExt"/>
          <w:rFonts w:eastAsiaTheme="majorEastAsia"/>
          <w:b w:val="0"/>
          <w:noProof w:val="0"/>
        </w:rPr>
        <w:t>&lt;RepeatBlock-By&gt;&lt;By&gt;&lt;Members&gt;</w:t>
      </w:r>
      <w:r w:rsidR="001410F2" w:rsidRPr="002A3F62">
        <w:t>Pedro Marques, Tonino Picula, Thijs Reuten</w:t>
      </w:r>
      <w:r w:rsidRPr="002A3F62">
        <w:rPr>
          <w:rStyle w:val="HideTWBExt"/>
          <w:rFonts w:eastAsiaTheme="majorEastAsia"/>
          <w:b w:val="0"/>
          <w:noProof w:val="0"/>
        </w:rPr>
        <w:t>&lt;/Members&gt;</w:t>
      </w:r>
    </w:p>
    <w:p w:rsidR="000C3A36" w:rsidRPr="002A3F62" w:rsidRDefault="000C3A36" w:rsidP="00F8242B">
      <w:r w:rsidRPr="002A3F62">
        <w:rPr>
          <w:rStyle w:val="HideTWBExt"/>
          <w:rFonts w:eastAsiaTheme="majorEastAsia"/>
          <w:noProof w:val="0"/>
        </w:rPr>
        <w:t>&lt;AuNomDe&gt;</w:t>
      </w:r>
      <w:r w:rsidR="001410F2" w:rsidRPr="002A3F62">
        <w:rPr>
          <w:rStyle w:val="HideTWBInt"/>
        </w:rPr>
        <w:t>{S&amp;D}</w:t>
      </w:r>
      <w:r w:rsidR="001410F2" w:rsidRPr="002A3F62">
        <w:t>on behalf of the S&amp;D Group</w:t>
      </w:r>
      <w:r w:rsidRPr="002A3F62">
        <w:rPr>
          <w:rStyle w:val="HideTWBExt"/>
          <w:rFonts w:eastAsiaTheme="majorEastAsia"/>
          <w:noProof w:val="0"/>
        </w:rPr>
        <w:t>&lt;/AuNomDe&gt;</w:t>
      </w:r>
    </w:p>
    <w:p w:rsidR="000C3A36" w:rsidRPr="002A3F62" w:rsidRDefault="000C3A36" w:rsidP="00F8242B">
      <w:r w:rsidRPr="002A3F62">
        <w:rPr>
          <w:rStyle w:val="HideTWBExt"/>
          <w:rFonts w:eastAsiaTheme="majorEastAsia"/>
          <w:bCs/>
          <w:noProof w:val="0"/>
        </w:rPr>
        <w:t>&lt;/By&gt;</w:t>
      </w:r>
      <w:r w:rsidRPr="002A3F62">
        <w:rPr>
          <w:rStyle w:val="HideTWBExt"/>
          <w:rFonts w:eastAsiaTheme="majorEastAsia"/>
          <w:noProof w:val="0"/>
        </w:rPr>
        <w:t>&lt;/RepeatBlock-By&gt;</w:t>
      </w:r>
    </w:p>
    <w:p w:rsidR="000C3A36" w:rsidRPr="002A3F62" w:rsidRDefault="000C3A36" w:rsidP="00F8242B">
      <w:pPr>
        <w:pStyle w:val="AmDocTypeTab"/>
      </w:pPr>
      <w:r w:rsidRPr="002A3F62">
        <w:rPr>
          <w:rStyle w:val="HideTWBExt"/>
          <w:rFonts w:eastAsiaTheme="majorEastAsia"/>
          <w:b w:val="0"/>
          <w:noProof w:val="0"/>
        </w:rPr>
        <w:t>&lt;TitreType&gt;</w:t>
      </w:r>
      <w:r w:rsidRPr="002A3F62">
        <w:t>Report</w:t>
      </w:r>
      <w:r w:rsidRPr="002A3F62">
        <w:rPr>
          <w:rStyle w:val="HideTWBExt"/>
          <w:rFonts w:eastAsiaTheme="majorEastAsia"/>
          <w:b w:val="0"/>
          <w:noProof w:val="0"/>
        </w:rPr>
        <w:t>&lt;/TitreType&gt;</w:t>
      </w:r>
      <w:r w:rsidRPr="002A3F62">
        <w:tab/>
      </w:r>
      <w:r w:rsidR="001410F2" w:rsidRPr="002A3F62">
        <w:t>A9-0354</w:t>
      </w:r>
      <w:r w:rsidRPr="002A3F62">
        <w:t>/</w:t>
      </w:r>
      <w:r w:rsidR="001410F2" w:rsidRPr="002A3F62">
        <w:t>2021</w:t>
      </w:r>
    </w:p>
    <w:p w:rsidR="000C3A36" w:rsidRPr="002A3F62" w:rsidRDefault="000C3A36" w:rsidP="00F8242B">
      <w:pPr>
        <w:pStyle w:val="NormalBold"/>
      </w:pPr>
      <w:r w:rsidRPr="002A3F62">
        <w:rPr>
          <w:rStyle w:val="HideTWBExt"/>
          <w:rFonts w:eastAsiaTheme="majorEastAsia"/>
          <w:b w:val="0"/>
          <w:noProof w:val="0"/>
        </w:rPr>
        <w:t>&lt;Rapporteur&gt;</w:t>
      </w:r>
      <w:r w:rsidR="001410F2" w:rsidRPr="002A3F62">
        <w:t>David McAllister</w:t>
      </w:r>
      <w:r w:rsidRPr="002A3F62">
        <w:rPr>
          <w:rStyle w:val="HideTWBExt"/>
          <w:rFonts w:eastAsiaTheme="majorEastAsia"/>
          <w:b w:val="0"/>
          <w:noProof w:val="0"/>
        </w:rPr>
        <w:t>&lt;/Rapporteur&gt;</w:t>
      </w:r>
    </w:p>
    <w:p w:rsidR="000C3A36" w:rsidRPr="002A3F62" w:rsidRDefault="000C3A36" w:rsidP="00F8242B">
      <w:r w:rsidRPr="002A3F62">
        <w:rPr>
          <w:rStyle w:val="HideTWBExt"/>
          <w:rFonts w:eastAsiaTheme="majorEastAsia"/>
          <w:noProof w:val="0"/>
        </w:rPr>
        <w:t>&lt;Titre&gt;</w:t>
      </w:r>
      <w:r w:rsidR="001410F2" w:rsidRPr="002A3F62">
        <w:t>Implementation of the common foreign and security policy – annual report 2021</w:t>
      </w:r>
      <w:r w:rsidRPr="002A3F62">
        <w:rPr>
          <w:rStyle w:val="HideTWBExt"/>
          <w:rFonts w:eastAsiaTheme="majorEastAsia"/>
          <w:noProof w:val="0"/>
        </w:rPr>
        <w:t>&lt;/Titre&gt;</w:t>
      </w:r>
    </w:p>
    <w:p w:rsidR="000C3A36" w:rsidRPr="002A3F62" w:rsidRDefault="000C3A36" w:rsidP="00F8242B">
      <w:pPr>
        <w:pStyle w:val="Normal12a"/>
      </w:pPr>
      <w:r w:rsidRPr="002A3F62">
        <w:rPr>
          <w:rStyle w:val="HideTWBExt"/>
          <w:rFonts w:eastAsiaTheme="majorEastAsia"/>
          <w:noProof w:val="0"/>
        </w:rPr>
        <w:t>&lt;DocRef&gt;</w:t>
      </w:r>
      <w:r w:rsidRPr="002A3F62">
        <w:t>(</w:t>
      </w:r>
      <w:r w:rsidR="001410F2" w:rsidRPr="002A3F62">
        <w:t>2021/2182(INI)</w:t>
      </w:r>
      <w:r w:rsidRPr="002A3F62">
        <w:t>)</w:t>
      </w:r>
      <w:r w:rsidRPr="002A3F62">
        <w:rPr>
          <w:rStyle w:val="HideTWBExt"/>
          <w:rFonts w:eastAsiaTheme="majorEastAsia"/>
          <w:noProof w:val="0"/>
        </w:rPr>
        <w:t>&lt;/DocRef&gt;</w:t>
      </w:r>
    </w:p>
    <w:p w:rsidR="000C3A36" w:rsidRPr="002A3F62" w:rsidRDefault="000C3A36" w:rsidP="00F8242B">
      <w:pPr>
        <w:pStyle w:val="NormalBold"/>
      </w:pPr>
      <w:r w:rsidRPr="002A3F62">
        <w:rPr>
          <w:rStyle w:val="HideTWBExt"/>
          <w:rFonts w:eastAsiaTheme="majorEastAsia"/>
          <w:b w:val="0"/>
          <w:noProof w:val="0"/>
        </w:rPr>
        <w:t>&lt;DocAmend&gt;</w:t>
      </w:r>
      <w:r w:rsidR="001410F2" w:rsidRPr="002A3F62">
        <w:t>Motion for a resolution</w:t>
      </w:r>
      <w:r w:rsidRPr="002A3F62">
        <w:rPr>
          <w:rStyle w:val="HideTWBExt"/>
          <w:rFonts w:eastAsiaTheme="majorEastAsia"/>
          <w:b w:val="0"/>
          <w:noProof w:val="0"/>
        </w:rPr>
        <w:t>&lt;/DocAmend&gt;</w:t>
      </w:r>
    </w:p>
    <w:p w:rsidR="000C3A36" w:rsidRPr="002A3F62" w:rsidRDefault="000C3A36" w:rsidP="00F8242B">
      <w:pPr>
        <w:pStyle w:val="NormalBold"/>
      </w:pPr>
      <w:r w:rsidRPr="002A3F62">
        <w:rPr>
          <w:rStyle w:val="HideTWBExt"/>
          <w:rFonts w:eastAsiaTheme="majorEastAsia"/>
          <w:b w:val="0"/>
          <w:noProof w:val="0"/>
        </w:rPr>
        <w:t>&lt;Article&gt;</w:t>
      </w:r>
      <w:r w:rsidR="001410F2" w:rsidRPr="002A3F62">
        <w:t>Paragraph 37</w:t>
      </w:r>
      <w:r w:rsidRPr="002A3F62">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3A36" w:rsidRPr="002A3F62" w:rsidTr="006959AA">
        <w:trPr>
          <w:jc w:val="center"/>
        </w:trPr>
        <w:tc>
          <w:tcPr>
            <w:tcW w:w="9752" w:type="dxa"/>
            <w:gridSpan w:val="2"/>
          </w:tcPr>
          <w:p w:rsidR="000C3A36" w:rsidRPr="002A3F62" w:rsidRDefault="000C3A36" w:rsidP="00EE4A94">
            <w:pPr>
              <w:keepNext/>
            </w:pPr>
          </w:p>
        </w:tc>
      </w:tr>
      <w:tr w:rsidR="000C3A36" w:rsidRPr="002A3F62" w:rsidTr="006959AA">
        <w:trPr>
          <w:jc w:val="center"/>
        </w:trPr>
        <w:tc>
          <w:tcPr>
            <w:tcW w:w="4876" w:type="dxa"/>
          </w:tcPr>
          <w:p w:rsidR="000C3A36" w:rsidRPr="002A3F62" w:rsidRDefault="001410F2" w:rsidP="00EE4A94">
            <w:pPr>
              <w:pStyle w:val="AmColumnHeading"/>
              <w:keepNext/>
            </w:pPr>
            <w:r w:rsidRPr="002A3F62">
              <w:t>Motion for a resolution</w:t>
            </w:r>
          </w:p>
        </w:tc>
        <w:tc>
          <w:tcPr>
            <w:tcW w:w="4876" w:type="dxa"/>
          </w:tcPr>
          <w:p w:rsidR="000C3A36" w:rsidRPr="002A3F62" w:rsidRDefault="000C3A36" w:rsidP="00EE4A94">
            <w:pPr>
              <w:pStyle w:val="AmColumnHeading"/>
              <w:keepNext/>
            </w:pPr>
            <w:r w:rsidRPr="002A3F62">
              <w:t>Amendment</w:t>
            </w:r>
          </w:p>
        </w:tc>
      </w:tr>
      <w:tr w:rsidR="000C3A36" w:rsidRPr="002A3F62" w:rsidTr="006959AA">
        <w:trPr>
          <w:jc w:val="center"/>
        </w:trPr>
        <w:tc>
          <w:tcPr>
            <w:tcW w:w="4876" w:type="dxa"/>
          </w:tcPr>
          <w:p w:rsidR="000C3A36" w:rsidRPr="002A3F62" w:rsidRDefault="001410F2" w:rsidP="00BE2400">
            <w:pPr>
              <w:pStyle w:val="Normal6a"/>
            </w:pPr>
            <w:r w:rsidRPr="002A3F62">
              <w:t>37.</w:t>
            </w:r>
            <w:r w:rsidRPr="002A3F62">
              <w:tab/>
              <w:t>Welcomes the conclusions of the Western Balkans Summit held in Brdo pri Kranju under the Slovenian Presidency of the Council; reiterates its support for the European perspective of the countries of the Western Balkans and reiterates accordingly its call for accelerating the enlargement process and providing a clear pathway for countries seeking to join the EU; urges the Member States to finally deliver on their promises and stresses the urgency of immediately holding the first intergovernmental conferences with Albania and North Macedonia and granting visa liberalisation to Kosovo; emphasises that the enlargement process remains firmly based on the fulfilment of all relevant criteria by candidate countries as defined by the European Council with a strong focus on strengthening democracy, the rule of law, and human and minority rights, as well as fostering reconciliation and economic progress in the Western Balkans, as prerequisites for durable peace, stability and prosperity; emphasises the need for enhanced cooperation in tackling common challenges; stresses the need for a lessons-learned exercise on the enlargement policy as well as increased visibility and further investments in the region to boost public awareness and thus the EU</w:t>
            </w:r>
            <w:r w:rsidR="00B17D50">
              <w:t>’</w:t>
            </w:r>
            <w:r w:rsidRPr="002A3F62">
              <w:t xml:space="preserve">s credibility and engagement; calls </w:t>
            </w:r>
            <w:r w:rsidRPr="002A3F62">
              <w:lastRenderedPageBreak/>
              <w:t>for EU engagement with the countries in the Western Balkans to find solutions to the problems impeding further reforms, including the implementation of the 14 key priorities in Bosnia and Herzegovina ensuring the implementation of the Dayton Peace Agreement; underlines the importance of European integration of these partner states for the stability and security of the continent as a whole; calls for the EU to support civil society in the Western Balkans in promoting and disseminating European values; commends the work of EUFOR</w:t>
            </w:r>
            <w:r w:rsidR="00B17D50">
              <w:t>’</w:t>
            </w:r>
            <w:r w:rsidRPr="002A3F62">
              <w:t xml:space="preserve">s Operation Althea, which contributes to peace, stabilisation and the European integration of Bosnia and Herzegovina; reiterates the fact that this </w:t>
            </w:r>
            <w:r w:rsidRPr="00B17D50">
              <w:rPr>
                <w:b/>
                <w:i/>
              </w:rPr>
              <w:t>mission</w:t>
            </w:r>
            <w:r w:rsidRPr="002A3F62">
              <w:t xml:space="preserve"> continues to play a pivotal role for the security and stability of Bosnia and Herzegovina and the region; highlights, in the light of a possible future enlargement, the need for more efficient decision-making at EU level;</w:t>
            </w:r>
          </w:p>
        </w:tc>
        <w:tc>
          <w:tcPr>
            <w:tcW w:w="4876" w:type="dxa"/>
          </w:tcPr>
          <w:p w:rsidR="000C3A36" w:rsidRPr="002A3F62" w:rsidRDefault="001410F2" w:rsidP="00EB54C1">
            <w:pPr>
              <w:pStyle w:val="Normal6a"/>
              <w:rPr>
                <w:szCs w:val="24"/>
              </w:rPr>
            </w:pPr>
            <w:r w:rsidRPr="002A3F62">
              <w:lastRenderedPageBreak/>
              <w:t>37.</w:t>
            </w:r>
            <w:r w:rsidRPr="002A3F62">
              <w:tab/>
              <w:t>Welcomes the conclusions of the Western Balkans Summit held in Brdo pri Kranju under the Slovenian Presidency of the Council; reiterates its support for the European perspective of the countries of the Western Balkans and reiterates accordingly its call for accelerating the enlargement process and providing a clear pathway for countries seeking to join the EU; urges the Member States to finally deliver on their promises and stresses the urgency of immediately holding the first intergovernmental conferences with Albania and North Macedonia and granting visa liberalisation to Kosovo; emphasises that the enlargement process remains firmly based on the fulfilment of all relevant criteria by candidate countries as defined by the European Council with a strong focus on strengthening democracy, the rule of law, and human and minority rights, as well as fostering reconciliation and economic progress in the Western Balkans, as prerequisites for durable peace, stability and prosperity; emphasises the need for enhanced cooperation in tackling common challenges; stresses the need for a lessons-learned exercise on the enlargement policy as well as increased visibility and further investments in the region to boost public awareness and thus the EU</w:t>
            </w:r>
            <w:r w:rsidR="00B17D50">
              <w:t>’</w:t>
            </w:r>
            <w:r w:rsidRPr="002A3F62">
              <w:t xml:space="preserve">s credibility and engagement; calls </w:t>
            </w:r>
            <w:r w:rsidRPr="002A3F62">
              <w:lastRenderedPageBreak/>
              <w:t xml:space="preserve">for EU engagement with the countries in the Western Balkans to find solutions to the problems impeding further reforms, including the implementation of the 14 key priorities in Bosnia and Herzegovina </w:t>
            </w:r>
            <w:r w:rsidRPr="002A3F62">
              <w:rPr>
                <w:b/>
                <w:i/>
              </w:rPr>
              <w:t xml:space="preserve">and </w:t>
            </w:r>
            <w:r w:rsidRPr="002A3F62">
              <w:t>ensuring the implementation of the Dayton Peace Agreement; underlines the importance of European integration of these partner states for the stability and security of the continent as a whole; calls for the EU to support civil society in the Western Balkans in promoting and disseminating European values; commends the work of EUFOR</w:t>
            </w:r>
            <w:r w:rsidR="00B17D50">
              <w:t>’</w:t>
            </w:r>
            <w:r w:rsidRPr="002A3F62">
              <w:t xml:space="preserve">s Operation Althea, which contributes to peace, stabilisation and the European integration of Bosnia and Herzegovina; reiterates the fact that this </w:t>
            </w:r>
            <w:r w:rsidR="00107DC0">
              <w:rPr>
                <w:b/>
                <w:i/>
              </w:rPr>
              <w:t xml:space="preserve">operation </w:t>
            </w:r>
            <w:r w:rsidRPr="002A3F62">
              <w:t>continues to play a pivotal role for the security and stability of Bosnia and Herzegovina and the region; highlights, in the light of a possible future enlargement, the need for more efficient decision-making at EU level;</w:t>
            </w:r>
            <w:r w:rsidRPr="002A3F62">
              <w:rPr>
                <w:b/>
                <w:i/>
              </w:rPr>
              <w:t xml:space="preserve"> strongly condemns the unconstitutional secessionist moves </w:t>
            </w:r>
            <w:r w:rsidR="00107DC0">
              <w:rPr>
                <w:b/>
                <w:i/>
              </w:rPr>
              <w:t xml:space="preserve">by </w:t>
            </w:r>
            <w:r w:rsidRPr="002A3F62">
              <w:rPr>
                <w:b/>
                <w:i/>
              </w:rPr>
              <w:t xml:space="preserve">the Republika Srpska authorities aimed at creating parallel institutions in medicine and medical devices, justice, defence, security and taxation, thereby undermining </w:t>
            </w:r>
            <w:r w:rsidR="00107DC0">
              <w:rPr>
                <w:b/>
                <w:i/>
              </w:rPr>
              <w:t xml:space="preserve">the </w:t>
            </w:r>
            <w:r w:rsidRPr="002A3F62">
              <w:rPr>
                <w:b/>
                <w:i/>
              </w:rPr>
              <w:t>state structures of Bosnia and Herzegovina and posing an existential threat to its unity and territorial integrity; denounces the detrimental role played by regional actors and Russian foreign interference; calls on the Council to impose targeted sanctions on Milorad Dodik and his allies for his corrupt activities, continued destabilisation of the country, and undermining of Bosnia and Herzegovina</w:t>
            </w:r>
            <w:r w:rsidR="00B17D50">
              <w:rPr>
                <w:b/>
                <w:i/>
              </w:rPr>
              <w:t>’</w:t>
            </w:r>
            <w:r w:rsidRPr="002A3F62">
              <w:rPr>
                <w:b/>
                <w:i/>
              </w:rPr>
              <w:t>s sovereignty and territorial integrity;</w:t>
            </w:r>
          </w:p>
        </w:tc>
      </w:tr>
    </w:tbl>
    <w:p w:rsidR="000C3A36" w:rsidRPr="002A3F62" w:rsidRDefault="000C3A36" w:rsidP="00F8242B">
      <w:pPr>
        <w:pStyle w:val="AmOrLang"/>
      </w:pPr>
      <w:r w:rsidRPr="002A3F62">
        <w:lastRenderedPageBreak/>
        <w:t xml:space="preserve">Or. </w:t>
      </w:r>
      <w:r w:rsidRPr="002A3F62">
        <w:rPr>
          <w:rStyle w:val="HideTWBExt"/>
          <w:rFonts w:eastAsiaTheme="majorEastAsia"/>
          <w:noProof w:val="0"/>
        </w:rPr>
        <w:t>&lt;Original&gt;</w:t>
      </w:r>
      <w:r w:rsidR="001410F2" w:rsidRPr="002A3F62">
        <w:rPr>
          <w:rStyle w:val="HideTWBInt"/>
        </w:rPr>
        <w:t>{EN}</w:t>
      </w:r>
      <w:r w:rsidR="001410F2" w:rsidRPr="002A3F62">
        <w:t>en</w:t>
      </w:r>
      <w:r w:rsidRPr="002A3F62">
        <w:rPr>
          <w:rStyle w:val="HideTWBExt"/>
          <w:rFonts w:eastAsiaTheme="majorEastAsia"/>
          <w:noProof w:val="0"/>
        </w:rPr>
        <w:t>&lt;/Original&gt;</w:t>
      </w:r>
    </w:p>
    <w:p w:rsidR="000C3A36" w:rsidRPr="002A3F62" w:rsidRDefault="000C3A36" w:rsidP="00F8242B">
      <w:pPr>
        <w:sectPr w:rsidR="000C3A36" w:rsidRPr="002A3F62" w:rsidSect="00F61E28">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0C3A36" w:rsidRPr="002A3F62" w:rsidRDefault="000C3A36" w:rsidP="00F8242B">
      <w:r w:rsidRPr="002A3F62">
        <w:rPr>
          <w:rStyle w:val="HideTWBExt"/>
          <w:rFonts w:eastAsiaTheme="majorEastAsia"/>
          <w:noProof w:val="0"/>
        </w:rPr>
        <w:t>&lt;/Amend&gt;</w:t>
      </w:r>
    </w:p>
    <w:p w:rsidR="000C3A36" w:rsidRPr="002A3F62" w:rsidRDefault="000C3A36" w:rsidP="000C3A36">
      <w:pPr>
        <w:pStyle w:val="AmDateTab"/>
      </w:pPr>
      <w:r w:rsidRPr="002A3F62">
        <w:rPr>
          <w:rStyle w:val="HideTWBExt"/>
          <w:rFonts w:eastAsiaTheme="majorEastAsia"/>
          <w:noProof w:val="0"/>
        </w:rPr>
        <w:t>&lt;Amend&gt;&lt;Date&gt;</w:t>
      </w:r>
      <w:r w:rsidR="001410F2" w:rsidRPr="002A3F62">
        <w:rPr>
          <w:rStyle w:val="HideTWBInt"/>
        </w:rPr>
        <w:t>{09/02/2022}</w:t>
      </w:r>
      <w:r w:rsidR="001410F2" w:rsidRPr="002A3F62">
        <w:t>9.2.2022</w:t>
      </w:r>
      <w:r w:rsidRPr="002A3F62">
        <w:rPr>
          <w:rStyle w:val="HideTWBExt"/>
          <w:rFonts w:eastAsiaTheme="majorEastAsia"/>
          <w:noProof w:val="0"/>
        </w:rPr>
        <w:t>&lt;/Date&gt;</w:t>
      </w:r>
      <w:r w:rsidRPr="002A3F62">
        <w:tab/>
      </w:r>
      <w:r w:rsidRPr="002A3F62">
        <w:rPr>
          <w:rStyle w:val="HideTWBExt"/>
          <w:rFonts w:eastAsiaTheme="majorEastAsia"/>
          <w:noProof w:val="0"/>
        </w:rPr>
        <w:t>&lt;ANo&gt;</w:t>
      </w:r>
      <w:r w:rsidR="001410F2" w:rsidRPr="002A3F62">
        <w:t>A9-0354</w:t>
      </w:r>
      <w:r w:rsidRPr="002A3F62">
        <w:rPr>
          <w:rStyle w:val="HideTWBExt"/>
          <w:rFonts w:eastAsiaTheme="majorEastAsia"/>
          <w:noProof w:val="0"/>
        </w:rPr>
        <w:t>&lt;/ANo&gt;</w:t>
      </w:r>
      <w:r w:rsidRPr="002A3F62">
        <w:t>/</w:t>
      </w:r>
      <w:r w:rsidRPr="002A3F62">
        <w:rPr>
          <w:rStyle w:val="HideTWBExt"/>
          <w:rFonts w:eastAsiaTheme="majorEastAsia"/>
          <w:noProof w:val="0"/>
        </w:rPr>
        <w:t>&lt;NumAm&gt;</w:t>
      </w:r>
      <w:r w:rsidRPr="002A3F62">
        <w:t>13</w:t>
      </w:r>
      <w:r w:rsidRPr="002A3F62">
        <w:rPr>
          <w:rStyle w:val="HideTWBExt"/>
          <w:rFonts w:eastAsiaTheme="majorEastAsia"/>
          <w:noProof w:val="0"/>
        </w:rPr>
        <w:t>&lt;/NumAm&gt;</w:t>
      </w:r>
    </w:p>
    <w:p w:rsidR="000C3A36" w:rsidRPr="002A3F62" w:rsidRDefault="000C3A36" w:rsidP="000C3A36">
      <w:pPr>
        <w:pStyle w:val="AmNumberTabs"/>
      </w:pPr>
      <w:r w:rsidRPr="002A3F62">
        <w:t>Amendment</w:t>
      </w:r>
      <w:r w:rsidRPr="002A3F62">
        <w:tab/>
      </w:r>
      <w:r w:rsidRPr="002A3F62">
        <w:tab/>
      </w:r>
      <w:r w:rsidRPr="002A3F62">
        <w:rPr>
          <w:rStyle w:val="HideTWBExt"/>
          <w:rFonts w:eastAsiaTheme="majorEastAsia"/>
          <w:b w:val="0"/>
          <w:noProof w:val="0"/>
        </w:rPr>
        <w:t>&lt;NumAm&gt;</w:t>
      </w:r>
      <w:r w:rsidRPr="002A3F62">
        <w:t>13</w:t>
      </w:r>
      <w:r w:rsidRPr="002A3F62">
        <w:rPr>
          <w:rStyle w:val="HideTWBExt"/>
          <w:rFonts w:eastAsiaTheme="majorEastAsia"/>
          <w:b w:val="0"/>
          <w:noProof w:val="0"/>
        </w:rPr>
        <w:t>&lt;/NumAm&gt;</w:t>
      </w:r>
    </w:p>
    <w:p w:rsidR="000C3A36" w:rsidRPr="002A3F62" w:rsidRDefault="000C3A36" w:rsidP="000C3A36">
      <w:pPr>
        <w:pStyle w:val="NormalBold"/>
      </w:pPr>
      <w:r w:rsidRPr="002A3F62">
        <w:rPr>
          <w:rStyle w:val="HideTWBExt"/>
          <w:rFonts w:eastAsiaTheme="majorEastAsia"/>
          <w:b w:val="0"/>
          <w:noProof w:val="0"/>
        </w:rPr>
        <w:t>&lt;RepeatBlock-By&gt;&lt;By&gt;&lt;Members&gt;</w:t>
      </w:r>
      <w:r w:rsidR="001410F2" w:rsidRPr="002A3F62">
        <w:t>Pedro Marques, Tonino Picula, Thijs Reuten</w:t>
      </w:r>
      <w:r w:rsidRPr="002A3F62">
        <w:rPr>
          <w:rStyle w:val="HideTWBExt"/>
          <w:rFonts w:eastAsiaTheme="majorEastAsia"/>
          <w:b w:val="0"/>
          <w:noProof w:val="0"/>
        </w:rPr>
        <w:t>&lt;/Members&gt;</w:t>
      </w:r>
    </w:p>
    <w:p w:rsidR="000C3A36" w:rsidRPr="002A3F62" w:rsidRDefault="000C3A36" w:rsidP="000C3A36">
      <w:r w:rsidRPr="002A3F62">
        <w:rPr>
          <w:rStyle w:val="HideTWBExt"/>
          <w:rFonts w:eastAsiaTheme="majorEastAsia"/>
          <w:noProof w:val="0"/>
        </w:rPr>
        <w:t>&lt;AuNomDe&gt;</w:t>
      </w:r>
      <w:r w:rsidR="001410F2" w:rsidRPr="002A3F62">
        <w:rPr>
          <w:rStyle w:val="HideTWBInt"/>
        </w:rPr>
        <w:t>{S&amp;D}</w:t>
      </w:r>
      <w:r w:rsidR="001410F2" w:rsidRPr="002A3F62">
        <w:t>on behalf of the S&amp;D Group</w:t>
      </w:r>
      <w:r w:rsidRPr="002A3F62">
        <w:rPr>
          <w:rStyle w:val="HideTWBExt"/>
          <w:rFonts w:eastAsiaTheme="majorEastAsia"/>
          <w:noProof w:val="0"/>
        </w:rPr>
        <w:t>&lt;/AuNomDe&gt;</w:t>
      </w:r>
    </w:p>
    <w:p w:rsidR="000C3A36" w:rsidRPr="002A3F62" w:rsidRDefault="000C3A36" w:rsidP="000C3A36">
      <w:r w:rsidRPr="002A3F62">
        <w:rPr>
          <w:rStyle w:val="HideTWBExt"/>
          <w:rFonts w:eastAsiaTheme="majorEastAsia"/>
          <w:bCs/>
          <w:noProof w:val="0"/>
        </w:rPr>
        <w:t>&lt;/By&gt;</w:t>
      </w:r>
      <w:r w:rsidRPr="002A3F62">
        <w:rPr>
          <w:rStyle w:val="HideTWBExt"/>
          <w:rFonts w:eastAsiaTheme="majorEastAsia"/>
          <w:noProof w:val="0"/>
        </w:rPr>
        <w:t>&lt;/RepeatBlock-By&gt;</w:t>
      </w:r>
    </w:p>
    <w:p w:rsidR="000C3A36" w:rsidRPr="002A3F62" w:rsidRDefault="000C3A36" w:rsidP="000C3A36">
      <w:pPr>
        <w:pStyle w:val="AmDocTypeTab"/>
      </w:pPr>
      <w:r w:rsidRPr="002A3F62">
        <w:rPr>
          <w:rStyle w:val="HideTWBExt"/>
          <w:rFonts w:eastAsiaTheme="majorEastAsia"/>
          <w:b w:val="0"/>
          <w:noProof w:val="0"/>
        </w:rPr>
        <w:t>&lt;TitreType&gt;</w:t>
      </w:r>
      <w:r w:rsidRPr="002A3F62">
        <w:t>Report</w:t>
      </w:r>
      <w:r w:rsidRPr="002A3F62">
        <w:rPr>
          <w:rStyle w:val="HideTWBExt"/>
          <w:rFonts w:eastAsiaTheme="majorEastAsia"/>
          <w:b w:val="0"/>
          <w:noProof w:val="0"/>
        </w:rPr>
        <w:t>&lt;/TitreType&gt;</w:t>
      </w:r>
      <w:r w:rsidRPr="002A3F62">
        <w:tab/>
      </w:r>
      <w:r w:rsidR="001410F2" w:rsidRPr="002A3F62">
        <w:t>A9-0354</w:t>
      </w:r>
      <w:r w:rsidRPr="002A3F62">
        <w:t>/</w:t>
      </w:r>
      <w:r w:rsidR="001410F2" w:rsidRPr="002A3F62">
        <w:t>2021</w:t>
      </w:r>
    </w:p>
    <w:p w:rsidR="000C3A36" w:rsidRPr="002A3F62" w:rsidRDefault="000C3A36" w:rsidP="000C3A36">
      <w:pPr>
        <w:pStyle w:val="NormalBold"/>
      </w:pPr>
      <w:r w:rsidRPr="002A3F62">
        <w:rPr>
          <w:rStyle w:val="HideTWBExt"/>
          <w:rFonts w:eastAsiaTheme="majorEastAsia"/>
          <w:b w:val="0"/>
          <w:noProof w:val="0"/>
        </w:rPr>
        <w:t>&lt;Rapporteur&gt;</w:t>
      </w:r>
      <w:r w:rsidR="001410F2" w:rsidRPr="002A3F62">
        <w:t>David McAllister</w:t>
      </w:r>
      <w:r w:rsidRPr="002A3F62">
        <w:rPr>
          <w:rStyle w:val="HideTWBExt"/>
          <w:rFonts w:eastAsiaTheme="majorEastAsia"/>
          <w:b w:val="0"/>
          <w:noProof w:val="0"/>
        </w:rPr>
        <w:t>&lt;/Rapporteur&gt;</w:t>
      </w:r>
    </w:p>
    <w:p w:rsidR="000C3A36" w:rsidRPr="002A3F62" w:rsidRDefault="000C3A36" w:rsidP="000C3A36">
      <w:r w:rsidRPr="002A3F62">
        <w:rPr>
          <w:rStyle w:val="HideTWBExt"/>
          <w:rFonts w:eastAsiaTheme="majorEastAsia"/>
          <w:noProof w:val="0"/>
        </w:rPr>
        <w:t>&lt;Titre&gt;</w:t>
      </w:r>
      <w:r w:rsidR="001410F2" w:rsidRPr="002A3F62">
        <w:t>Implementation of the common foreign and security policy – annual report 2021</w:t>
      </w:r>
      <w:r w:rsidRPr="002A3F62">
        <w:rPr>
          <w:rStyle w:val="HideTWBExt"/>
          <w:rFonts w:eastAsiaTheme="majorEastAsia"/>
          <w:noProof w:val="0"/>
        </w:rPr>
        <w:t>&lt;/Titre&gt;</w:t>
      </w:r>
    </w:p>
    <w:p w:rsidR="000C3A36" w:rsidRPr="002A3F62" w:rsidRDefault="000C3A36" w:rsidP="000C3A36">
      <w:pPr>
        <w:pStyle w:val="Normal12a"/>
      </w:pPr>
      <w:r w:rsidRPr="002A3F62">
        <w:rPr>
          <w:rStyle w:val="HideTWBExt"/>
          <w:rFonts w:eastAsiaTheme="majorEastAsia"/>
          <w:noProof w:val="0"/>
        </w:rPr>
        <w:t>&lt;DocRef&gt;</w:t>
      </w:r>
      <w:r w:rsidRPr="002A3F62">
        <w:t>(</w:t>
      </w:r>
      <w:r w:rsidR="001410F2" w:rsidRPr="002A3F62">
        <w:t>2021/2182(INI)</w:t>
      </w:r>
      <w:r w:rsidRPr="002A3F62">
        <w:t>)</w:t>
      </w:r>
      <w:r w:rsidRPr="002A3F62">
        <w:rPr>
          <w:rStyle w:val="HideTWBExt"/>
          <w:rFonts w:eastAsiaTheme="majorEastAsia"/>
          <w:noProof w:val="0"/>
        </w:rPr>
        <w:t>&lt;/DocRef&gt;</w:t>
      </w:r>
    </w:p>
    <w:p w:rsidR="000C3A36" w:rsidRPr="002A3F62" w:rsidRDefault="000C3A36" w:rsidP="000C3A36">
      <w:pPr>
        <w:pStyle w:val="NormalBold"/>
      </w:pPr>
      <w:r w:rsidRPr="002A3F62">
        <w:rPr>
          <w:rStyle w:val="HideTWBExt"/>
          <w:rFonts w:eastAsiaTheme="majorEastAsia"/>
          <w:b w:val="0"/>
          <w:noProof w:val="0"/>
        </w:rPr>
        <w:t>&lt;DocAmend&gt;</w:t>
      </w:r>
      <w:r w:rsidR="001410F2" w:rsidRPr="002A3F62">
        <w:t>Motion for a resolution</w:t>
      </w:r>
      <w:r w:rsidRPr="002A3F62">
        <w:rPr>
          <w:rStyle w:val="HideTWBExt"/>
          <w:rFonts w:eastAsiaTheme="majorEastAsia"/>
          <w:b w:val="0"/>
          <w:noProof w:val="0"/>
        </w:rPr>
        <w:t>&lt;/DocAmend&gt;</w:t>
      </w:r>
    </w:p>
    <w:p w:rsidR="000C3A36" w:rsidRPr="002A3F62" w:rsidRDefault="000C3A36" w:rsidP="000C3A36">
      <w:pPr>
        <w:pStyle w:val="NormalBold"/>
      </w:pPr>
      <w:r w:rsidRPr="002A3F62">
        <w:rPr>
          <w:rStyle w:val="HideTWBExt"/>
          <w:rFonts w:eastAsiaTheme="majorEastAsia"/>
          <w:b w:val="0"/>
          <w:noProof w:val="0"/>
        </w:rPr>
        <w:t>&lt;Article&gt;</w:t>
      </w:r>
      <w:r w:rsidR="001410F2" w:rsidRPr="002A3F62">
        <w:t>Paragraph 39</w:t>
      </w:r>
      <w:r w:rsidRPr="002A3F62">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3A36" w:rsidRPr="002A3F62" w:rsidTr="00381E31">
        <w:trPr>
          <w:jc w:val="center"/>
        </w:trPr>
        <w:tc>
          <w:tcPr>
            <w:tcW w:w="9752" w:type="dxa"/>
            <w:gridSpan w:val="2"/>
          </w:tcPr>
          <w:p w:rsidR="000C3A36" w:rsidRPr="002A3F62" w:rsidRDefault="000C3A36" w:rsidP="00381E31">
            <w:pPr>
              <w:keepNext/>
            </w:pPr>
          </w:p>
        </w:tc>
      </w:tr>
      <w:tr w:rsidR="000C3A36" w:rsidRPr="002A3F62" w:rsidTr="00381E31">
        <w:trPr>
          <w:jc w:val="center"/>
        </w:trPr>
        <w:tc>
          <w:tcPr>
            <w:tcW w:w="4876" w:type="dxa"/>
          </w:tcPr>
          <w:p w:rsidR="000C3A36" w:rsidRPr="002A3F62" w:rsidRDefault="001410F2" w:rsidP="00381E31">
            <w:pPr>
              <w:pStyle w:val="AmColumnHeading"/>
              <w:keepNext/>
            </w:pPr>
            <w:r w:rsidRPr="002A3F62">
              <w:t>Motion for a resolution</w:t>
            </w:r>
          </w:p>
        </w:tc>
        <w:tc>
          <w:tcPr>
            <w:tcW w:w="4876" w:type="dxa"/>
          </w:tcPr>
          <w:p w:rsidR="000C3A36" w:rsidRPr="002A3F62" w:rsidRDefault="000C3A36" w:rsidP="00381E31">
            <w:pPr>
              <w:pStyle w:val="AmColumnHeading"/>
              <w:keepNext/>
            </w:pPr>
            <w:r w:rsidRPr="002A3F62">
              <w:t>Amendment</w:t>
            </w:r>
          </w:p>
        </w:tc>
      </w:tr>
      <w:tr w:rsidR="000C3A36" w:rsidRPr="002A3F62" w:rsidTr="00381E31">
        <w:trPr>
          <w:jc w:val="center"/>
        </w:trPr>
        <w:tc>
          <w:tcPr>
            <w:tcW w:w="4876" w:type="dxa"/>
          </w:tcPr>
          <w:p w:rsidR="000C3A36" w:rsidRPr="002A3F62" w:rsidRDefault="001410F2" w:rsidP="00381E31">
            <w:pPr>
              <w:pStyle w:val="Normal6a"/>
            </w:pPr>
            <w:r w:rsidRPr="002A3F62">
              <w:t>39.</w:t>
            </w:r>
            <w:r w:rsidRPr="002A3F62">
              <w:tab/>
              <w:t>Reaffirms its unwavering support to the Eastern Partnership (EaP) countries, and in particular as regards their independence, sovereignty and territorial integrity within their internationally recognised borders as well as the respect for the will of the people; calls for the full implementation of the Association Agreements with Georgia, Moldova and Ukraine and the Comprehensive and Enhanced Partnership Agreement with Armenia; underlines the need to continue negotiations on the Comprehensive and Enhanced Partnership Agreement between the EU and Azerbaijan; urges the EaP countries, and in particular those that have chosen to pursue the path of democracy and European integration, to ensure that fundamental freedoms, human rights and rule of law are upheld and to continue implementing the necessary social, economic and political reforms; welcomes the Commission</w:t>
            </w:r>
            <w:r w:rsidR="00B17D50">
              <w:t>’</w:t>
            </w:r>
            <w:r w:rsidRPr="002A3F62">
              <w:t xml:space="preserve">s joint communication of 18 March 2020 entitled </w:t>
            </w:r>
            <w:r w:rsidR="00B17D50">
              <w:t>‘</w:t>
            </w:r>
            <w:r w:rsidRPr="002A3F62">
              <w:t>Eastern Partnership policy beyond 2020 – Reinforcing Resilience – an Eastern Partnership that delivers for all</w:t>
            </w:r>
            <w:r w:rsidR="00B17D50">
              <w:t>’</w:t>
            </w:r>
            <w:r w:rsidRPr="002A3F62">
              <w:t xml:space="preserve"> (JOIN(2020)0007); reiterates that the EU</w:t>
            </w:r>
            <w:r w:rsidR="00B17D50">
              <w:t>’</w:t>
            </w:r>
            <w:r w:rsidRPr="002A3F62">
              <w:t>s support for further integration is conditional upon concrete progress on those reforms; supports the EU</w:t>
            </w:r>
            <w:r w:rsidR="00B17D50">
              <w:t>’</w:t>
            </w:r>
            <w:r w:rsidRPr="002A3F62">
              <w:t>s principle of conditionality and differentiation, including incentives; stresses that the success of the EaP countries can be demonstrated and consolidated only through the EU integration process, and can also show the Russian people what kind of socioeconomic benefits European-type reforms can bring; calls on the Commission and the Council to use the upcoming EaP summit to send a strong message of support to our partners; calls on EU leaders to ensure that the five long-term goals and the 10 new targets for 2025, with funding provided under the economic and investment plan proposed in June 2021, will make a real contribution to the social and economic recovery from the COVID-19 pandemic, strengthen economic ties and establish trade routes between the EU and partner countries;</w:t>
            </w:r>
          </w:p>
        </w:tc>
        <w:tc>
          <w:tcPr>
            <w:tcW w:w="4876" w:type="dxa"/>
          </w:tcPr>
          <w:p w:rsidR="000C3A36" w:rsidRDefault="001410F2" w:rsidP="00455769">
            <w:pPr>
              <w:pStyle w:val="Normal6a"/>
            </w:pPr>
            <w:r w:rsidRPr="002A3F62">
              <w:t>39.</w:t>
            </w:r>
            <w:r w:rsidRPr="002A3F62">
              <w:tab/>
              <w:t>Reaffirms its unwavering support to the Eastern Partnership (EaP) countries, and in particular as regards their independence, sovereignty and territorial integrity within their internationally recognised borders as well as the respect for the will of the people; calls for the full implementation of the Association Agreements with Georgia, Moldova and Ukraine and the Comprehensive and Enhanced Partnership Agreement with Armenia; underlines the need to continue negotiations on the Comprehensive and Enhanced Partnership Agreement between the EU and Azerbaijan</w:t>
            </w:r>
            <w:r w:rsidRPr="002A3F62">
              <w:rPr>
                <w:b/>
                <w:i/>
              </w:rPr>
              <w:t xml:space="preserve"> in accordance with the conditions set out </w:t>
            </w:r>
            <w:r w:rsidR="00455769">
              <w:rPr>
                <w:b/>
                <w:i/>
              </w:rPr>
              <w:t xml:space="preserve">by </w:t>
            </w:r>
            <w:r w:rsidRPr="002A3F62">
              <w:rPr>
                <w:b/>
                <w:i/>
              </w:rPr>
              <w:t xml:space="preserve">the </w:t>
            </w:r>
            <w:r w:rsidR="00455769">
              <w:rPr>
                <w:b/>
                <w:i/>
              </w:rPr>
              <w:t xml:space="preserve">European Parliament in its </w:t>
            </w:r>
            <w:r w:rsidRPr="002A3F62">
              <w:rPr>
                <w:b/>
                <w:i/>
              </w:rPr>
              <w:t>recommendation</w:t>
            </w:r>
            <w:r w:rsidR="00455769">
              <w:rPr>
                <w:b/>
                <w:i/>
              </w:rPr>
              <w:t xml:space="preserve"> of 4 July 2018</w:t>
            </w:r>
            <w:r w:rsidRPr="002A3F62">
              <w:rPr>
                <w:b/>
                <w:i/>
              </w:rPr>
              <w:t xml:space="preserve"> on the negotiations on the EU-Azerbaijan Comprehensive Agreement</w:t>
            </w:r>
            <w:r w:rsidR="00455769" w:rsidRPr="000E6E3D">
              <w:rPr>
                <w:b/>
                <w:i/>
                <w:vertAlign w:val="superscript"/>
              </w:rPr>
              <w:t>1a</w:t>
            </w:r>
            <w:r w:rsidRPr="002A3F62">
              <w:t>; urges the EaP countries, and in particular those that have chosen to pursue the path of democracy and European integration, to ensure that fundamental freedoms, human rights and rule of law are upheld and to continue implementing the necessary social, economic and political reforms; welcomes the Commission</w:t>
            </w:r>
            <w:r w:rsidR="00B17D50">
              <w:t>’</w:t>
            </w:r>
            <w:r w:rsidRPr="002A3F62">
              <w:t xml:space="preserve">s joint communication of 18 March 2020 entitled </w:t>
            </w:r>
            <w:r w:rsidR="00B17D50">
              <w:t>‘</w:t>
            </w:r>
            <w:r w:rsidRPr="002A3F62">
              <w:t>Eastern Partnership policy beyond 2020 – Reinforcing Resilience – an Eastern Partnership that delivers for all</w:t>
            </w:r>
            <w:r w:rsidR="00B17D50">
              <w:t>’</w:t>
            </w:r>
            <w:r w:rsidRPr="002A3F62">
              <w:t xml:space="preserve"> (JOIN(2020)0007); reiterates that the EU</w:t>
            </w:r>
            <w:r w:rsidR="00B17D50">
              <w:t>’</w:t>
            </w:r>
            <w:r w:rsidRPr="002A3F62">
              <w:t>s support for further integration is conditional upon concrete progress on those reforms; supports the EU</w:t>
            </w:r>
            <w:r w:rsidR="00B17D50">
              <w:t>’</w:t>
            </w:r>
            <w:r w:rsidRPr="002A3F62">
              <w:t>s principle of conditionality and differentiation, including incentives; stresses that the success of the EaP countries can be demonstrated and consolidated only through the EU integration process, and can also show the Russian people what kind of socioeconomic benefits European-type reforms can bring; calls on the Commission and the Council to use the upcoming EaP summit to send a strong message of support to our partners; calls on EU leaders to ensure that the five long-term goals and the 10 new targets for 2025, with funding provided under the economic and investment plan proposed in June 2021, will make a real contribution to the social and economic recovery from the COVID-19 pandemic, strengthen economic ties and establish trade routes between the EU and partner countries;</w:t>
            </w:r>
          </w:p>
          <w:p w:rsidR="00455769" w:rsidRPr="00861CC7" w:rsidRDefault="00455769" w:rsidP="00455769">
            <w:pPr>
              <w:pStyle w:val="Normal6a"/>
              <w:rPr>
                <w:b/>
                <w:i/>
                <w:szCs w:val="24"/>
              </w:rPr>
            </w:pPr>
            <w:r w:rsidRPr="00861CC7">
              <w:rPr>
                <w:b/>
                <w:i/>
                <w:szCs w:val="24"/>
              </w:rPr>
              <w:t>___________________</w:t>
            </w:r>
          </w:p>
          <w:p w:rsidR="00455769" w:rsidRPr="00EB54C1" w:rsidRDefault="00455769" w:rsidP="00EB54C1">
            <w:pPr>
              <w:pStyle w:val="Normal6a"/>
              <w:rPr>
                <w:szCs w:val="24"/>
              </w:rPr>
            </w:pPr>
            <w:r w:rsidRPr="00EB54C1">
              <w:rPr>
                <w:b/>
                <w:i/>
                <w:szCs w:val="24"/>
                <w:vertAlign w:val="superscript"/>
              </w:rPr>
              <w:t>1a</w:t>
            </w:r>
            <w:r w:rsidRPr="00B17D50">
              <w:rPr>
                <w:b/>
                <w:i/>
                <w:szCs w:val="24"/>
              </w:rPr>
              <w:t xml:space="preserve"> OJ C 118, 8.4.2020, p. 158</w:t>
            </w:r>
            <w:r w:rsidRPr="00B17D50">
              <w:rPr>
                <w:b/>
                <w:szCs w:val="24"/>
              </w:rPr>
              <w:t>.</w:t>
            </w:r>
          </w:p>
        </w:tc>
      </w:tr>
    </w:tbl>
    <w:p w:rsidR="000C3A36" w:rsidRPr="002A3F62" w:rsidRDefault="000C3A36" w:rsidP="000C3A36">
      <w:pPr>
        <w:pStyle w:val="AmOrLang"/>
      </w:pPr>
      <w:r w:rsidRPr="002A3F62">
        <w:t xml:space="preserve">Or. </w:t>
      </w:r>
      <w:r w:rsidRPr="002A3F62">
        <w:rPr>
          <w:rStyle w:val="HideTWBExt"/>
          <w:rFonts w:eastAsiaTheme="majorEastAsia"/>
          <w:noProof w:val="0"/>
        </w:rPr>
        <w:t>&lt;Original&gt;</w:t>
      </w:r>
      <w:r w:rsidR="001410F2" w:rsidRPr="002A3F62">
        <w:rPr>
          <w:rStyle w:val="HideTWBInt"/>
        </w:rPr>
        <w:t>{EN}</w:t>
      </w:r>
      <w:r w:rsidR="001410F2" w:rsidRPr="002A3F62">
        <w:t>en</w:t>
      </w:r>
      <w:r w:rsidRPr="002A3F62">
        <w:rPr>
          <w:rStyle w:val="HideTWBExt"/>
          <w:rFonts w:eastAsiaTheme="majorEastAsia"/>
          <w:noProof w:val="0"/>
        </w:rPr>
        <w:t>&lt;/Original&gt;</w:t>
      </w:r>
    </w:p>
    <w:p w:rsidR="000C3A36" w:rsidRPr="002A3F62" w:rsidRDefault="000C3A36" w:rsidP="000C3A36">
      <w:pPr>
        <w:sectPr w:rsidR="000C3A36" w:rsidRPr="002A3F62" w:rsidSect="00F61E28">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0C3A36" w:rsidRPr="002A3F62" w:rsidRDefault="000C3A36" w:rsidP="000C3A36">
      <w:r w:rsidRPr="002A3F62">
        <w:rPr>
          <w:rStyle w:val="HideTWBExt"/>
          <w:rFonts w:eastAsiaTheme="majorEastAsia"/>
          <w:noProof w:val="0"/>
        </w:rPr>
        <w:t>&lt;/Amend&gt;</w:t>
      </w:r>
    </w:p>
    <w:p w:rsidR="000C3A36" w:rsidRPr="002A3F62" w:rsidRDefault="000C3A36" w:rsidP="000C3A36">
      <w:pPr>
        <w:pStyle w:val="AmDateTab"/>
      </w:pPr>
      <w:r w:rsidRPr="002A3F62">
        <w:rPr>
          <w:rStyle w:val="HideTWBExt"/>
          <w:rFonts w:eastAsiaTheme="majorEastAsia"/>
          <w:noProof w:val="0"/>
        </w:rPr>
        <w:t>&lt;Amend&gt;&lt;Date&gt;</w:t>
      </w:r>
      <w:r w:rsidR="001410F2" w:rsidRPr="002A3F62">
        <w:rPr>
          <w:rStyle w:val="HideTWBInt"/>
        </w:rPr>
        <w:t>{09/02/2022}</w:t>
      </w:r>
      <w:r w:rsidR="001410F2" w:rsidRPr="002A3F62">
        <w:t>9.2.2022</w:t>
      </w:r>
      <w:r w:rsidRPr="002A3F62">
        <w:rPr>
          <w:rStyle w:val="HideTWBExt"/>
          <w:rFonts w:eastAsiaTheme="majorEastAsia"/>
          <w:noProof w:val="0"/>
        </w:rPr>
        <w:t>&lt;/Date&gt;</w:t>
      </w:r>
      <w:r w:rsidRPr="002A3F62">
        <w:tab/>
      </w:r>
      <w:r w:rsidRPr="002A3F62">
        <w:rPr>
          <w:rStyle w:val="HideTWBExt"/>
          <w:rFonts w:eastAsiaTheme="majorEastAsia"/>
          <w:noProof w:val="0"/>
        </w:rPr>
        <w:t>&lt;ANo&gt;</w:t>
      </w:r>
      <w:r w:rsidR="001410F2" w:rsidRPr="002A3F62">
        <w:t>A9-0354</w:t>
      </w:r>
      <w:r w:rsidRPr="002A3F62">
        <w:rPr>
          <w:rStyle w:val="HideTWBExt"/>
          <w:rFonts w:eastAsiaTheme="majorEastAsia"/>
          <w:noProof w:val="0"/>
        </w:rPr>
        <w:t>&lt;/ANo&gt;</w:t>
      </w:r>
      <w:r w:rsidRPr="002A3F62">
        <w:t>/</w:t>
      </w:r>
      <w:r w:rsidRPr="002A3F62">
        <w:rPr>
          <w:rStyle w:val="HideTWBExt"/>
          <w:rFonts w:eastAsiaTheme="majorEastAsia"/>
          <w:noProof w:val="0"/>
        </w:rPr>
        <w:t>&lt;NumAm&gt;</w:t>
      </w:r>
      <w:r w:rsidRPr="002A3F62">
        <w:t>14</w:t>
      </w:r>
      <w:r w:rsidRPr="002A3F62">
        <w:rPr>
          <w:rStyle w:val="HideTWBExt"/>
          <w:rFonts w:eastAsiaTheme="majorEastAsia"/>
          <w:noProof w:val="0"/>
        </w:rPr>
        <w:t>&lt;/NumAm&gt;</w:t>
      </w:r>
    </w:p>
    <w:p w:rsidR="000C3A36" w:rsidRPr="002A3F62" w:rsidRDefault="000C3A36" w:rsidP="000C3A36">
      <w:pPr>
        <w:pStyle w:val="AmNumberTabs"/>
      </w:pPr>
      <w:r w:rsidRPr="002A3F62">
        <w:t>Amendment</w:t>
      </w:r>
      <w:r w:rsidRPr="002A3F62">
        <w:tab/>
      </w:r>
      <w:r w:rsidRPr="002A3F62">
        <w:tab/>
      </w:r>
      <w:r w:rsidRPr="002A3F62">
        <w:rPr>
          <w:rStyle w:val="HideTWBExt"/>
          <w:rFonts w:eastAsiaTheme="majorEastAsia"/>
          <w:b w:val="0"/>
          <w:noProof w:val="0"/>
        </w:rPr>
        <w:t>&lt;NumAm&gt;</w:t>
      </w:r>
      <w:r w:rsidRPr="002A3F62">
        <w:t>14</w:t>
      </w:r>
      <w:r w:rsidRPr="002A3F62">
        <w:rPr>
          <w:rStyle w:val="HideTWBExt"/>
          <w:rFonts w:eastAsiaTheme="majorEastAsia"/>
          <w:b w:val="0"/>
          <w:noProof w:val="0"/>
        </w:rPr>
        <w:t>&lt;/NumAm&gt;</w:t>
      </w:r>
    </w:p>
    <w:p w:rsidR="000C3A36" w:rsidRPr="002A3F62" w:rsidRDefault="000C3A36" w:rsidP="000C3A36">
      <w:pPr>
        <w:pStyle w:val="NormalBold"/>
      </w:pPr>
      <w:r w:rsidRPr="002A3F62">
        <w:rPr>
          <w:rStyle w:val="HideTWBExt"/>
          <w:rFonts w:eastAsiaTheme="majorEastAsia"/>
          <w:b w:val="0"/>
          <w:noProof w:val="0"/>
        </w:rPr>
        <w:t>&lt;RepeatBlock-By&gt;&lt;By&gt;&lt;Members&gt;</w:t>
      </w:r>
      <w:r w:rsidR="001410F2" w:rsidRPr="002A3F62">
        <w:t>Pedro Marques, Tonino Picula, Thijs Reuten</w:t>
      </w:r>
      <w:r w:rsidRPr="002A3F62">
        <w:rPr>
          <w:rStyle w:val="HideTWBExt"/>
          <w:rFonts w:eastAsiaTheme="majorEastAsia"/>
          <w:b w:val="0"/>
          <w:noProof w:val="0"/>
        </w:rPr>
        <w:t>&lt;/Members&gt;</w:t>
      </w:r>
    </w:p>
    <w:p w:rsidR="000C3A36" w:rsidRPr="002A3F62" w:rsidRDefault="000C3A36" w:rsidP="000C3A36">
      <w:r w:rsidRPr="002A3F62">
        <w:rPr>
          <w:rStyle w:val="HideTWBExt"/>
          <w:rFonts w:eastAsiaTheme="majorEastAsia"/>
          <w:noProof w:val="0"/>
        </w:rPr>
        <w:t>&lt;AuNomDe&gt;</w:t>
      </w:r>
      <w:r w:rsidR="001410F2" w:rsidRPr="002A3F62">
        <w:rPr>
          <w:rStyle w:val="HideTWBInt"/>
        </w:rPr>
        <w:t>{S&amp;D}</w:t>
      </w:r>
      <w:r w:rsidR="001410F2" w:rsidRPr="002A3F62">
        <w:t>on behalf of the S&amp;D Group</w:t>
      </w:r>
      <w:r w:rsidRPr="002A3F62">
        <w:rPr>
          <w:rStyle w:val="HideTWBExt"/>
          <w:rFonts w:eastAsiaTheme="majorEastAsia"/>
          <w:noProof w:val="0"/>
        </w:rPr>
        <w:t>&lt;/AuNomDe&gt;</w:t>
      </w:r>
    </w:p>
    <w:p w:rsidR="000C3A36" w:rsidRPr="002A3F62" w:rsidRDefault="000C3A36" w:rsidP="000C3A36">
      <w:r w:rsidRPr="002A3F62">
        <w:rPr>
          <w:rStyle w:val="HideTWBExt"/>
          <w:rFonts w:eastAsiaTheme="majorEastAsia"/>
          <w:bCs/>
          <w:noProof w:val="0"/>
        </w:rPr>
        <w:t>&lt;/By&gt;</w:t>
      </w:r>
      <w:r w:rsidRPr="002A3F62">
        <w:rPr>
          <w:rStyle w:val="HideTWBExt"/>
          <w:rFonts w:eastAsiaTheme="majorEastAsia"/>
          <w:noProof w:val="0"/>
        </w:rPr>
        <w:t>&lt;/RepeatBlock-By&gt;</w:t>
      </w:r>
    </w:p>
    <w:p w:rsidR="000C3A36" w:rsidRPr="002A3F62" w:rsidRDefault="000C3A36" w:rsidP="000C3A36">
      <w:pPr>
        <w:pStyle w:val="AmDocTypeTab"/>
      </w:pPr>
      <w:r w:rsidRPr="002A3F62">
        <w:rPr>
          <w:rStyle w:val="HideTWBExt"/>
          <w:rFonts w:eastAsiaTheme="majorEastAsia"/>
          <w:b w:val="0"/>
          <w:noProof w:val="0"/>
        </w:rPr>
        <w:t>&lt;TitreType&gt;</w:t>
      </w:r>
      <w:r w:rsidRPr="002A3F62">
        <w:t>Report</w:t>
      </w:r>
      <w:r w:rsidRPr="002A3F62">
        <w:rPr>
          <w:rStyle w:val="HideTWBExt"/>
          <w:rFonts w:eastAsiaTheme="majorEastAsia"/>
          <w:b w:val="0"/>
          <w:noProof w:val="0"/>
        </w:rPr>
        <w:t>&lt;/TitreType&gt;</w:t>
      </w:r>
      <w:r w:rsidRPr="002A3F62">
        <w:tab/>
      </w:r>
      <w:r w:rsidR="001410F2" w:rsidRPr="002A3F62">
        <w:t>A9-0354</w:t>
      </w:r>
      <w:r w:rsidRPr="002A3F62">
        <w:t>/</w:t>
      </w:r>
      <w:r w:rsidR="001410F2" w:rsidRPr="002A3F62">
        <w:t>2021</w:t>
      </w:r>
    </w:p>
    <w:p w:rsidR="000C3A36" w:rsidRPr="002A3F62" w:rsidRDefault="000C3A36" w:rsidP="000C3A36">
      <w:pPr>
        <w:pStyle w:val="NormalBold"/>
      </w:pPr>
      <w:r w:rsidRPr="002A3F62">
        <w:rPr>
          <w:rStyle w:val="HideTWBExt"/>
          <w:rFonts w:eastAsiaTheme="majorEastAsia"/>
          <w:b w:val="0"/>
          <w:noProof w:val="0"/>
        </w:rPr>
        <w:t>&lt;Rapporteur&gt;</w:t>
      </w:r>
      <w:r w:rsidR="001410F2" w:rsidRPr="002A3F62">
        <w:t>David McAllister</w:t>
      </w:r>
      <w:r w:rsidRPr="002A3F62">
        <w:rPr>
          <w:rStyle w:val="HideTWBExt"/>
          <w:rFonts w:eastAsiaTheme="majorEastAsia"/>
          <w:b w:val="0"/>
          <w:noProof w:val="0"/>
        </w:rPr>
        <w:t>&lt;/Rapporteur&gt;</w:t>
      </w:r>
    </w:p>
    <w:p w:rsidR="000C3A36" w:rsidRPr="002A3F62" w:rsidRDefault="000C3A36" w:rsidP="000C3A36">
      <w:r w:rsidRPr="002A3F62">
        <w:rPr>
          <w:rStyle w:val="HideTWBExt"/>
          <w:rFonts w:eastAsiaTheme="majorEastAsia"/>
          <w:noProof w:val="0"/>
        </w:rPr>
        <w:t>&lt;Titre&gt;</w:t>
      </w:r>
      <w:r w:rsidR="001410F2" w:rsidRPr="002A3F62">
        <w:t>Implementation of the common foreign and security policy – annual report 2021</w:t>
      </w:r>
      <w:r w:rsidRPr="002A3F62">
        <w:rPr>
          <w:rStyle w:val="HideTWBExt"/>
          <w:rFonts w:eastAsiaTheme="majorEastAsia"/>
          <w:noProof w:val="0"/>
        </w:rPr>
        <w:t>&lt;/Titre&gt;</w:t>
      </w:r>
    </w:p>
    <w:p w:rsidR="000C3A36" w:rsidRPr="002A3F62" w:rsidRDefault="000C3A36" w:rsidP="000C3A36">
      <w:pPr>
        <w:pStyle w:val="Normal12a"/>
      </w:pPr>
      <w:r w:rsidRPr="002A3F62">
        <w:rPr>
          <w:rStyle w:val="HideTWBExt"/>
          <w:rFonts w:eastAsiaTheme="majorEastAsia"/>
          <w:noProof w:val="0"/>
        </w:rPr>
        <w:t>&lt;DocRef&gt;</w:t>
      </w:r>
      <w:r w:rsidRPr="002A3F62">
        <w:t>(</w:t>
      </w:r>
      <w:r w:rsidR="001410F2" w:rsidRPr="002A3F62">
        <w:t>2021/2182(INI)</w:t>
      </w:r>
      <w:r w:rsidRPr="002A3F62">
        <w:t>)</w:t>
      </w:r>
      <w:r w:rsidRPr="002A3F62">
        <w:rPr>
          <w:rStyle w:val="HideTWBExt"/>
          <w:rFonts w:eastAsiaTheme="majorEastAsia"/>
          <w:noProof w:val="0"/>
        </w:rPr>
        <w:t>&lt;/DocRef&gt;</w:t>
      </w:r>
    </w:p>
    <w:p w:rsidR="000C3A36" w:rsidRPr="002A3F62" w:rsidRDefault="000C3A36" w:rsidP="000C3A36">
      <w:pPr>
        <w:pStyle w:val="NormalBold"/>
      </w:pPr>
      <w:r w:rsidRPr="002A3F62">
        <w:rPr>
          <w:rStyle w:val="HideTWBExt"/>
          <w:rFonts w:eastAsiaTheme="majorEastAsia"/>
          <w:b w:val="0"/>
          <w:noProof w:val="0"/>
        </w:rPr>
        <w:t>&lt;DocAmend&gt;</w:t>
      </w:r>
      <w:r w:rsidR="001410F2" w:rsidRPr="002A3F62">
        <w:t>Motion for a resolution</w:t>
      </w:r>
      <w:r w:rsidRPr="002A3F62">
        <w:rPr>
          <w:rStyle w:val="HideTWBExt"/>
          <w:rFonts w:eastAsiaTheme="majorEastAsia"/>
          <w:b w:val="0"/>
          <w:noProof w:val="0"/>
        </w:rPr>
        <w:t>&lt;/DocAmend&gt;</w:t>
      </w:r>
    </w:p>
    <w:p w:rsidR="000C3A36" w:rsidRPr="002A3F62" w:rsidRDefault="000C3A36" w:rsidP="000C3A36">
      <w:pPr>
        <w:pStyle w:val="NormalBold"/>
      </w:pPr>
      <w:r w:rsidRPr="002A3F62">
        <w:rPr>
          <w:rStyle w:val="HideTWBExt"/>
          <w:rFonts w:eastAsiaTheme="majorEastAsia"/>
          <w:b w:val="0"/>
          <w:noProof w:val="0"/>
        </w:rPr>
        <w:t>&lt;Article&gt;</w:t>
      </w:r>
      <w:r w:rsidR="001410F2" w:rsidRPr="002A3F62">
        <w:t>Paragraph 43</w:t>
      </w:r>
      <w:r w:rsidRPr="002A3F62">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3A36" w:rsidRPr="002A3F62" w:rsidTr="00381E31">
        <w:trPr>
          <w:jc w:val="center"/>
        </w:trPr>
        <w:tc>
          <w:tcPr>
            <w:tcW w:w="9752" w:type="dxa"/>
            <w:gridSpan w:val="2"/>
          </w:tcPr>
          <w:p w:rsidR="000C3A36" w:rsidRPr="002A3F62" w:rsidRDefault="000C3A36" w:rsidP="00381E31">
            <w:pPr>
              <w:keepNext/>
            </w:pPr>
          </w:p>
        </w:tc>
      </w:tr>
      <w:tr w:rsidR="000C3A36" w:rsidRPr="002A3F62" w:rsidTr="00381E31">
        <w:trPr>
          <w:jc w:val="center"/>
        </w:trPr>
        <w:tc>
          <w:tcPr>
            <w:tcW w:w="4876" w:type="dxa"/>
          </w:tcPr>
          <w:p w:rsidR="000C3A36" w:rsidRPr="002A3F62" w:rsidRDefault="001410F2" w:rsidP="00381E31">
            <w:pPr>
              <w:pStyle w:val="AmColumnHeading"/>
              <w:keepNext/>
            </w:pPr>
            <w:r w:rsidRPr="002A3F62">
              <w:t>Motion for a resolution</w:t>
            </w:r>
          </w:p>
        </w:tc>
        <w:tc>
          <w:tcPr>
            <w:tcW w:w="4876" w:type="dxa"/>
          </w:tcPr>
          <w:p w:rsidR="000C3A36" w:rsidRPr="002A3F62" w:rsidRDefault="000C3A36" w:rsidP="00381E31">
            <w:pPr>
              <w:pStyle w:val="AmColumnHeading"/>
              <w:keepNext/>
            </w:pPr>
            <w:r w:rsidRPr="002A3F62">
              <w:t>Amendment</w:t>
            </w:r>
          </w:p>
        </w:tc>
      </w:tr>
      <w:tr w:rsidR="000C3A36" w:rsidRPr="002A3F62" w:rsidTr="00381E31">
        <w:trPr>
          <w:jc w:val="center"/>
        </w:trPr>
        <w:tc>
          <w:tcPr>
            <w:tcW w:w="4876" w:type="dxa"/>
          </w:tcPr>
          <w:p w:rsidR="000C3A36" w:rsidRPr="002A3F62" w:rsidRDefault="001410F2" w:rsidP="00381E31">
            <w:pPr>
              <w:pStyle w:val="Normal6a"/>
              <w:rPr>
                <w:b/>
                <w:i/>
              </w:rPr>
            </w:pPr>
            <w:r w:rsidRPr="002A3F62">
              <w:t>43.</w:t>
            </w:r>
            <w:r w:rsidRPr="002A3F62">
              <w:rPr>
                <w:b/>
                <w:i/>
              </w:rPr>
              <w:tab/>
            </w:r>
            <w:r w:rsidRPr="002A3F62">
              <w:t>Reiterates its condemnation of Russia</w:t>
            </w:r>
            <w:r w:rsidR="00B17D50">
              <w:t>’</w:t>
            </w:r>
            <w:r w:rsidRPr="002A3F62">
              <w:t>s aggressive policies vis-à-vis Ukraine, notably the continuous financial and military support for armed formations in Donbas, the illegal occupation of the Autonomous Republic of Crimea and the city of Sevastopol, the blockade of the Azov Sea and the military build-up at the eastern border of Ukraine and on the Crimean peninsula; welcomes the establishment of the International Crimean Platform and calls for the EU institutions, Member States and all like-minded partners to actively engage in this initiative aimed at the restoration of the territorial integrity of Ukraine; reiterates its support to the Mejlis of the Crimean Tatar People as the only internationally recognised representative body of the Crimean Tatars and commends the indomitable stance of the Ukrainian citizens in occupied Crimea, in particular the Crimean Tatars; calls for</w:t>
            </w:r>
            <w:r w:rsidRPr="002A3F62">
              <w:rPr>
                <w:b/>
                <w:i/>
              </w:rPr>
              <w:t xml:space="preserve"> a revival of the Minsk Process</w:t>
            </w:r>
            <w:r w:rsidRPr="002A3F62">
              <w:t xml:space="preserve"> to end the military conflict in Eastern Ukraine; supports continuous assistance to Ukraine in its security sector and military reforms, and is considering providing military training to Ukrainian officers; acknowledges the first meeting of the EU-Ukraine Cyber Dialogue; welcomes the discussion on an EU Military Advisory and Training Mission in Ukraine and expresses its support;</w:t>
            </w:r>
          </w:p>
        </w:tc>
        <w:tc>
          <w:tcPr>
            <w:tcW w:w="4876" w:type="dxa"/>
          </w:tcPr>
          <w:p w:rsidR="000C3A36" w:rsidRPr="002A3F62" w:rsidRDefault="001410F2" w:rsidP="00EB54C1">
            <w:pPr>
              <w:pStyle w:val="Normal6a"/>
              <w:rPr>
                <w:b/>
                <w:i/>
                <w:szCs w:val="24"/>
              </w:rPr>
            </w:pPr>
            <w:r w:rsidRPr="002A3F62">
              <w:t>43.</w:t>
            </w:r>
            <w:r w:rsidRPr="002A3F62">
              <w:rPr>
                <w:b/>
                <w:i/>
              </w:rPr>
              <w:tab/>
            </w:r>
            <w:r w:rsidRPr="002A3F62">
              <w:t>Reiterates its condemnation of Russia</w:t>
            </w:r>
            <w:r w:rsidR="00B17D50">
              <w:t>’</w:t>
            </w:r>
            <w:r w:rsidRPr="002A3F62">
              <w:t>s aggressive policies vis-à-vis Ukraine, notably</w:t>
            </w:r>
            <w:r w:rsidRPr="002A3F62">
              <w:rPr>
                <w:b/>
                <w:i/>
              </w:rPr>
              <w:t xml:space="preserve"> its massive </w:t>
            </w:r>
            <w:r w:rsidR="00455769">
              <w:rPr>
                <w:b/>
                <w:i/>
              </w:rPr>
              <w:t xml:space="preserve">ongoing </w:t>
            </w:r>
            <w:r w:rsidRPr="002A3F62">
              <w:rPr>
                <w:b/>
                <w:i/>
              </w:rPr>
              <w:t xml:space="preserve">military build-up </w:t>
            </w:r>
            <w:r w:rsidR="00455769">
              <w:rPr>
                <w:b/>
                <w:i/>
              </w:rPr>
              <w:t xml:space="preserve">at </w:t>
            </w:r>
            <w:r w:rsidRPr="00B17D50">
              <w:rPr>
                <w:b/>
                <w:i/>
              </w:rPr>
              <w:t>the</w:t>
            </w:r>
            <w:r w:rsidRPr="002A3F62">
              <w:rPr>
                <w:b/>
                <w:i/>
              </w:rPr>
              <w:t xml:space="preserve"> Russian border with Ukraine and </w:t>
            </w:r>
            <w:r w:rsidR="00455769">
              <w:rPr>
                <w:b/>
                <w:i/>
              </w:rPr>
              <w:t xml:space="preserve">at </w:t>
            </w:r>
            <w:r w:rsidRPr="002A3F62">
              <w:rPr>
                <w:b/>
                <w:i/>
              </w:rPr>
              <w:t xml:space="preserve">the Ukrainian-Belarusian border, its cyberattacks on Ukrainian </w:t>
            </w:r>
            <w:r w:rsidR="00455769">
              <w:rPr>
                <w:b/>
                <w:i/>
              </w:rPr>
              <w:t>G</w:t>
            </w:r>
            <w:r w:rsidRPr="002A3F62">
              <w:rPr>
                <w:b/>
                <w:i/>
              </w:rPr>
              <w:t xml:space="preserve">overnment institutions, </w:t>
            </w:r>
            <w:r w:rsidRPr="00B17D50">
              <w:t>the</w:t>
            </w:r>
            <w:r w:rsidRPr="00EB54C1">
              <w:t xml:space="preserve"> </w:t>
            </w:r>
            <w:r w:rsidRPr="002A3F62">
              <w:t>continuous financial and military support for armed formations in Donbas, the illegal occupation of the Autonomous Republic of Crimea and the city of Sevastopol, the blockade of the Azov Sea and the military build-up at the eastern border of Ukraine and on the Crimean peninsula</w:t>
            </w:r>
            <w:r w:rsidRPr="002A3F62">
              <w:rPr>
                <w:b/>
                <w:i/>
              </w:rPr>
              <w:t>, as well as its continued attempts at political, economic and social destabilisation and hybrid attacks on Ukraine</w:t>
            </w:r>
            <w:r w:rsidRPr="002A3F62">
              <w:t>; welcomes the establishment of the International Crimean Platform and calls for the EU institutions, Member States and all like-minded partners to actively engage in this initiative aimed at the restoration of the territorial integrity of Ukraine; reiterates its support to the Mejlis of the Crimean Tatar People as the only internationally recognised representative body of the Crimean Tatars and commends the indomitable stance of the Ukrainian citizens in occupied Crimea, in particular the Crimean Tatars; calls for</w:t>
            </w:r>
            <w:r w:rsidRPr="002A3F62">
              <w:rPr>
                <w:b/>
                <w:i/>
              </w:rPr>
              <w:t xml:space="preserve"> renewed efforts in the Normandy Format and Trilateral Contact Group</w:t>
            </w:r>
            <w:r w:rsidRPr="002A3F62">
              <w:t xml:space="preserve"> to end the military conflict in Eastern Ukraine; supports continuous assistance to Ukraine in its security sector and military reforms, and is considering providing military training to Ukrainian officers; acknowledges the first meeting of the EU-Ukraine Cyber Dialogue; welcomes the discussion on an EU Military Advisory and Training Mission in Ukraine and expresses its support;</w:t>
            </w:r>
          </w:p>
        </w:tc>
      </w:tr>
    </w:tbl>
    <w:p w:rsidR="000C3A36" w:rsidRPr="002A3F62" w:rsidRDefault="000C3A36" w:rsidP="000C3A36">
      <w:pPr>
        <w:pStyle w:val="AmOrLang"/>
      </w:pPr>
      <w:r w:rsidRPr="002A3F62">
        <w:t xml:space="preserve">Or. </w:t>
      </w:r>
      <w:r w:rsidRPr="002A3F62">
        <w:rPr>
          <w:rStyle w:val="HideTWBExt"/>
          <w:rFonts w:eastAsiaTheme="majorEastAsia"/>
          <w:noProof w:val="0"/>
        </w:rPr>
        <w:t>&lt;Original&gt;</w:t>
      </w:r>
      <w:r w:rsidR="001410F2" w:rsidRPr="002A3F62">
        <w:rPr>
          <w:rStyle w:val="HideTWBInt"/>
        </w:rPr>
        <w:t>{EN}</w:t>
      </w:r>
      <w:r w:rsidR="001410F2" w:rsidRPr="002A3F62">
        <w:t>en</w:t>
      </w:r>
      <w:r w:rsidRPr="002A3F62">
        <w:rPr>
          <w:rStyle w:val="HideTWBExt"/>
          <w:rFonts w:eastAsiaTheme="majorEastAsia"/>
          <w:noProof w:val="0"/>
        </w:rPr>
        <w:t>&lt;/Original&gt;</w:t>
      </w:r>
    </w:p>
    <w:p w:rsidR="000C3A36" w:rsidRPr="002A3F62" w:rsidRDefault="000C3A36" w:rsidP="000C3A36">
      <w:pPr>
        <w:sectPr w:rsidR="000C3A36" w:rsidRPr="002A3F62" w:rsidSect="00F61E28">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0C3A36" w:rsidRPr="002A3F62" w:rsidRDefault="000C3A36" w:rsidP="000C3A36">
      <w:r w:rsidRPr="002A3F62">
        <w:rPr>
          <w:rStyle w:val="HideTWBExt"/>
          <w:rFonts w:eastAsiaTheme="majorEastAsia"/>
          <w:noProof w:val="0"/>
        </w:rPr>
        <w:t>&lt;/Amend&gt;</w:t>
      </w:r>
    </w:p>
    <w:p w:rsidR="000C3A36" w:rsidRPr="002A3F62" w:rsidRDefault="000C3A36" w:rsidP="000C3A36">
      <w:pPr>
        <w:pStyle w:val="AmDateTab"/>
      </w:pPr>
      <w:r w:rsidRPr="002A3F62">
        <w:rPr>
          <w:rStyle w:val="HideTWBExt"/>
          <w:rFonts w:eastAsiaTheme="majorEastAsia"/>
          <w:noProof w:val="0"/>
        </w:rPr>
        <w:t>&lt;Amend&gt;&lt;Date&gt;</w:t>
      </w:r>
      <w:r w:rsidR="001410F2" w:rsidRPr="002A3F62">
        <w:rPr>
          <w:rStyle w:val="HideTWBInt"/>
        </w:rPr>
        <w:t>{09/02/2022}</w:t>
      </w:r>
      <w:r w:rsidR="001410F2" w:rsidRPr="002A3F62">
        <w:t>9.2.2022</w:t>
      </w:r>
      <w:r w:rsidRPr="002A3F62">
        <w:rPr>
          <w:rStyle w:val="HideTWBExt"/>
          <w:rFonts w:eastAsiaTheme="majorEastAsia"/>
          <w:noProof w:val="0"/>
        </w:rPr>
        <w:t>&lt;/Date&gt;</w:t>
      </w:r>
      <w:r w:rsidRPr="002A3F62">
        <w:tab/>
      </w:r>
      <w:r w:rsidRPr="002A3F62">
        <w:rPr>
          <w:rStyle w:val="HideTWBExt"/>
          <w:rFonts w:eastAsiaTheme="majorEastAsia"/>
          <w:noProof w:val="0"/>
        </w:rPr>
        <w:t>&lt;ANo&gt;</w:t>
      </w:r>
      <w:r w:rsidR="001410F2" w:rsidRPr="002A3F62">
        <w:t>A9-0354</w:t>
      </w:r>
      <w:r w:rsidRPr="002A3F62">
        <w:rPr>
          <w:rStyle w:val="HideTWBExt"/>
          <w:rFonts w:eastAsiaTheme="majorEastAsia"/>
          <w:noProof w:val="0"/>
        </w:rPr>
        <w:t>&lt;/ANo&gt;</w:t>
      </w:r>
      <w:r w:rsidRPr="002A3F62">
        <w:t>/</w:t>
      </w:r>
      <w:r w:rsidRPr="002A3F62">
        <w:rPr>
          <w:rStyle w:val="HideTWBExt"/>
          <w:rFonts w:eastAsiaTheme="majorEastAsia"/>
          <w:noProof w:val="0"/>
        </w:rPr>
        <w:t>&lt;NumAm&gt;</w:t>
      </w:r>
      <w:r w:rsidRPr="002A3F62">
        <w:t>15</w:t>
      </w:r>
      <w:r w:rsidRPr="002A3F62">
        <w:rPr>
          <w:rStyle w:val="HideTWBExt"/>
          <w:rFonts w:eastAsiaTheme="majorEastAsia"/>
          <w:noProof w:val="0"/>
        </w:rPr>
        <w:t>&lt;/NumAm&gt;</w:t>
      </w:r>
    </w:p>
    <w:p w:rsidR="000C3A36" w:rsidRPr="002A3F62" w:rsidRDefault="000C3A36" w:rsidP="000C3A36">
      <w:pPr>
        <w:pStyle w:val="AmNumberTabs"/>
      </w:pPr>
      <w:r w:rsidRPr="002A3F62">
        <w:t>Amendment</w:t>
      </w:r>
      <w:r w:rsidRPr="002A3F62">
        <w:tab/>
      </w:r>
      <w:r w:rsidRPr="002A3F62">
        <w:tab/>
      </w:r>
      <w:r w:rsidRPr="002A3F62">
        <w:rPr>
          <w:rStyle w:val="HideTWBExt"/>
          <w:rFonts w:eastAsiaTheme="majorEastAsia"/>
          <w:b w:val="0"/>
          <w:noProof w:val="0"/>
        </w:rPr>
        <w:t>&lt;NumAm&gt;</w:t>
      </w:r>
      <w:r w:rsidRPr="002A3F62">
        <w:t>15</w:t>
      </w:r>
      <w:r w:rsidRPr="002A3F62">
        <w:rPr>
          <w:rStyle w:val="HideTWBExt"/>
          <w:rFonts w:eastAsiaTheme="majorEastAsia"/>
          <w:b w:val="0"/>
          <w:noProof w:val="0"/>
        </w:rPr>
        <w:t>&lt;/NumAm&gt;</w:t>
      </w:r>
    </w:p>
    <w:p w:rsidR="000C3A36" w:rsidRPr="002A3F62" w:rsidRDefault="000C3A36" w:rsidP="000C3A36">
      <w:pPr>
        <w:pStyle w:val="NormalBold"/>
      </w:pPr>
      <w:r w:rsidRPr="002A3F62">
        <w:rPr>
          <w:rStyle w:val="HideTWBExt"/>
          <w:rFonts w:eastAsiaTheme="majorEastAsia"/>
          <w:b w:val="0"/>
          <w:noProof w:val="0"/>
        </w:rPr>
        <w:t>&lt;RepeatBlock-By&gt;&lt;By&gt;&lt;Members&gt;</w:t>
      </w:r>
      <w:r w:rsidR="001410F2" w:rsidRPr="002A3F62">
        <w:t>Pedro Marques, Tonino Picula, Thijs Reuten</w:t>
      </w:r>
      <w:r w:rsidRPr="002A3F62">
        <w:rPr>
          <w:rStyle w:val="HideTWBExt"/>
          <w:rFonts w:eastAsiaTheme="majorEastAsia"/>
          <w:b w:val="0"/>
          <w:noProof w:val="0"/>
        </w:rPr>
        <w:t>&lt;/Members&gt;</w:t>
      </w:r>
    </w:p>
    <w:p w:rsidR="000C3A36" w:rsidRPr="002A3F62" w:rsidRDefault="000C3A36" w:rsidP="000C3A36">
      <w:r w:rsidRPr="002A3F62">
        <w:rPr>
          <w:rStyle w:val="HideTWBExt"/>
          <w:rFonts w:eastAsiaTheme="majorEastAsia"/>
          <w:noProof w:val="0"/>
        </w:rPr>
        <w:t>&lt;AuNomDe&gt;</w:t>
      </w:r>
      <w:r w:rsidR="001410F2" w:rsidRPr="002A3F62">
        <w:rPr>
          <w:rStyle w:val="HideTWBInt"/>
        </w:rPr>
        <w:t>{S&amp;D}</w:t>
      </w:r>
      <w:r w:rsidR="001410F2" w:rsidRPr="002A3F62">
        <w:t>on behalf of the S&amp;D Group</w:t>
      </w:r>
      <w:r w:rsidRPr="002A3F62">
        <w:rPr>
          <w:rStyle w:val="HideTWBExt"/>
          <w:rFonts w:eastAsiaTheme="majorEastAsia"/>
          <w:noProof w:val="0"/>
        </w:rPr>
        <w:t>&lt;/AuNomDe&gt;</w:t>
      </w:r>
    </w:p>
    <w:p w:rsidR="000C3A36" w:rsidRPr="002A3F62" w:rsidRDefault="000C3A36" w:rsidP="000C3A36">
      <w:r w:rsidRPr="002A3F62">
        <w:rPr>
          <w:rStyle w:val="HideTWBExt"/>
          <w:rFonts w:eastAsiaTheme="majorEastAsia"/>
          <w:bCs/>
          <w:noProof w:val="0"/>
        </w:rPr>
        <w:t>&lt;/By&gt;</w:t>
      </w:r>
      <w:r w:rsidRPr="002A3F62">
        <w:rPr>
          <w:rStyle w:val="HideTWBExt"/>
          <w:rFonts w:eastAsiaTheme="majorEastAsia"/>
          <w:noProof w:val="0"/>
        </w:rPr>
        <w:t>&lt;/RepeatBlock-By&gt;</w:t>
      </w:r>
    </w:p>
    <w:p w:rsidR="000C3A36" w:rsidRPr="002A3F62" w:rsidRDefault="000C3A36" w:rsidP="000C3A36">
      <w:pPr>
        <w:pStyle w:val="AmDocTypeTab"/>
      </w:pPr>
      <w:r w:rsidRPr="002A3F62">
        <w:rPr>
          <w:rStyle w:val="HideTWBExt"/>
          <w:rFonts w:eastAsiaTheme="majorEastAsia"/>
          <w:b w:val="0"/>
          <w:noProof w:val="0"/>
        </w:rPr>
        <w:t>&lt;TitreType&gt;</w:t>
      </w:r>
      <w:r w:rsidRPr="002A3F62">
        <w:t>Report</w:t>
      </w:r>
      <w:r w:rsidRPr="002A3F62">
        <w:rPr>
          <w:rStyle w:val="HideTWBExt"/>
          <w:rFonts w:eastAsiaTheme="majorEastAsia"/>
          <w:b w:val="0"/>
          <w:noProof w:val="0"/>
        </w:rPr>
        <w:t>&lt;/TitreType&gt;</w:t>
      </w:r>
      <w:r w:rsidRPr="002A3F62">
        <w:tab/>
      </w:r>
      <w:r w:rsidR="001410F2" w:rsidRPr="002A3F62">
        <w:t>A9-0354</w:t>
      </w:r>
      <w:r w:rsidRPr="002A3F62">
        <w:t>/</w:t>
      </w:r>
      <w:r w:rsidR="001410F2" w:rsidRPr="002A3F62">
        <w:t>2021</w:t>
      </w:r>
    </w:p>
    <w:p w:rsidR="000C3A36" w:rsidRPr="002A3F62" w:rsidRDefault="000C3A36" w:rsidP="000C3A36">
      <w:pPr>
        <w:pStyle w:val="NormalBold"/>
      </w:pPr>
      <w:r w:rsidRPr="002A3F62">
        <w:rPr>
          <w:rStyle w:val="HideTWBExt"/>
          <w:rFonts w:eastAsiaTheme="majorEastAsia"/>
          <w:b w:val="0"/>
          <w:noProof w:val="0"/>
        </w:rPr>
        <w:t>&lt;Rapporteur&gt;</w:t>
      </w:r>
      <w:r w:rsidR="001410F2" w:rsidRPr="002A3F62">
        <w:t>David McAllister</w:t>
      </w:r>
      <w:r w:rsidRPr="002A3F62">
        <w:rPr>
          <w:rStyle w:val="HideTWBExt"/>
          <w:rFonts w:eastAsiaTheme="majorEastAsia"/>
          <w:b w:val="0"/>
          <w:noProof w:val="0"/>
        </w:rPr>
        <w:t>&lt;/Rapporteur&gt;</w:t>
      </w:r>
    </w:p>
    <w:p w:rsidR="000C3A36" w:rsidRPr="002A3F62" w:rsidRDefault="000C3A36" w:rsidP="000C3A36">
      <w:r w:rsidRPr="002A3F62">
        <w:rPr>
          <w:rStyle w:val="HideTWBExt"/>
          <w:rFonts w:eastAsiaTheme="majorEastAsia"/>
          <w:noProof w:val="0"/>
        </w:rPr>
        <w:t>&lt;Titre&gt;</w:t>
      </w:r>
      <w:r w:rsidR="001410F2" w:rsidRPr="002A3F62">
        <w:t>Implementation of the common foreign and security policy – annual report 2021</w:t>
      </w:r>
      <w:r w:rsidRPr="002A3F62">
        <w:rPr>
          <w:rStyle w:val="HideTWBExt"/>
          <w:rFonts w:eastAsiaTheme="majorEastAsia"/>
          <w:noProof w:val="0"/>
        </w:rPr>
        <w:t>&lt;/Titre&gt;</w:t>
      </w:r>
    </w:p>
    <w:p w:rsidR="000C3A36" w:rsidRPr="002A3F62" w:rsidRDefault="000C3A36" w:rsidP="000C3A36">
      <w:pPr>
        <w:pStyle w:val="Normal12a"/>
      </w:pPr>
      <w:r w:rsidRPr="002A3F62">
        <w:rPr>
          <w:rStyle w:val="HideTWBExt"/>
          <w:rFonts w:eastAsiaTheme="majorEastAsia"/>
          <w:noProof w:val="0"/>
        </w:rPr>
        <w:t>&lt;DocRef&gt;</w:t>
      </w:r>
      <w:r w:rsidRPr="002A3F62">
        <w:t>(</w:t>
      </w:r>
      <w:r w:rsidR="001410F2" w:rsidRPr="002A3F62">
        <w:t>2021/2182(INI)</w:t>
      </w:r>
      <w:r w:rsidRPr="002A3F62">
        <w:t>)</w:t>
      </w:r>
      <w:r w:rsidRPr="002A3F62">
        <w:rPr>
          <w:rStyle w:val="HideTWBExt"/>
          <w:rFonts w:eastAsiaTheme="majorEastAsia"/>
          <w:noProof w:val="0"/>
        </w:rPr>
        <w:t>&lt;/DocRef&gt;</w:t>
      </w:r>
    </w:p>
    <w:p w:rsidR="000C3A36" w:rsidRPr="002A3F62" w:rsidRDefault="000C3A36" w:rsidP="000C3A36">
      <w:pPr>
        <w:pStyle w:val="NormalBold"/>
      </w:pPr>
      <w:r w:rsidRPr="002A3F62">
        <w:rPr>
          <w:rStyle w:val="HideTWBExt"/>
          <w:rFonts w:eastAsiaTheme="majorEastAsia"/>
          <w:b w:val="0"/>
          <w:noProof w:val="0"/>
        </w:rPr>
        <w:t>&lt;DocAmend&gt;</w:t>
      </w:r>
      <w:r w:rsidR="001410F2" w:rsidRPr="002A3F62">
        <w:t>Motion for a resolution</w:t>
      </w:r>
      <w:r w:rsidRPr="002A3F62">
        <w:rPr>
          <w:rStyle w:val="HideTWBExt"/>
          <w:rFonts w:eastAsiaTheme="majorEastAsia"/>
          <w:b w:val="0"/>
          <w:noProof w:val="0"/>
        </w:rPr>
        <w:t>&lt;/DocAmend&gt;</w:t>
      </w:r>
    </w:p>
    <w:p w:rsidR="000C3A36" w:rsidRPr="002A3F62" w:rsidRDefault="000C3A36" w:rsidP="000C3A36">
      <w:pPr>
        <w:pStyle w:val="NormalBold"/>
      </w:pPr>
      <w:r w:rsidRPr="002A3F62">
        <w:rPr>
          <w:rStyle w:val="HideTWBExt"/>
          <w:rFonts w:eastAsiaTheme="majorEastAsia"/>
          <w:b w:val="0"/>
          <w:noProof w:val="0"/>
        </w:rPr>
        <w:t>&lt;Article&gt;</w:t>
      </w:r>
      <w:r w:rsidR="001410F2" w:rsidRPr="002A3F62">
        <w:t>Paragraph 43 a (new)</w:t>
      </w:r>
      <w:r w:rsidRPr="002A3F62">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3A36" w:rsidRPr="002A3F62" w:rsidTr="00381E31">
        <w:trPr>
          <w:jc w:val="center"/>
        </w:trPr>
        <w:tc>
          <w:tcPr>
            <w:tcW w:w="9752" w:type="dxa"/>
            <w:gridSpan w:val="2"/>
          </w:tcPr>
          <w:p w:rsidR="000C3A36" w:rsidRPr="002A3F62" w:rsidRDefault="000C3A36" w:rsidP="00381E31">
            <w:pPr>
              <w:keepNext/>
            </w:pPr>
          </w:p>
        </w:tc>
      </w:tr>
      <w:tr w:rsidR="000C3A36" w:rsidRPr="002A3F62" w:rsidTr="00381E31">
        <w:trPr>
          <w:jc w:val="center"/>
        </w:trPr>
        <w:tc>
          <w:tcPr>
            <w:tcW w:w="4876" w:type="dxa"/>
          </w:tcPr>
          <w:p w:rsidR="000C3A36" w:rsidRPr="002A3F62" w:rsidRDefault="001410F2" w:rsidP="00381E31">
            <w:pPr>
              <w:pStyle w:val="AmColumnHeading"/>
              <w:keepNext/>
            </w:pPr>
            <w:r w:rsidRPr="002A3F62">
              <w:t>Motion for a resolution</w:t>
            </w:r>
          </w:p>
        </w:tc>
        <w:tc>
          <w:tcPr>
            <w:tcW w:w="4876" w:type="dxa"/>
          </w:tcPr>
          <w:p w:rsidR="000C3A36" w:rsidRPr="002A3F62" w:rsidRDefault="000C3A36" w:rsidP="00381E31">
            <w:pPr>
              <w:pStyle w:val="AmColumnHeading"/>
              <w:keepNext/>
            </w:pPr>
            <w:r w:rsidRPr="002A3F62">
              <w:t>Amendment</w:t>
            </w:r>
          </w:p>
        </w:tc>
      </w:tr>
      <w:tr w:rsidR="000C3A36" w:rsidRPr="002A3F62" w:rsidTr="00381E31">
        <w:trPr>
          <w:jc w:val="center"/>
        </w:trPr>
        <w:tc>
          <w:tcPr>
            <w:tcW w:w="4876" w:type="dxa"/>
          </w:tcPr>
          <w:p w:rsidR="000C3A36" w:rsidRPr="002A3F62" w:rsidRDefault="000C3A36" w:rsidP="00381E31">
            <w:pPr>
              <w:pStyle w:val="Normal6a"/>
            </w:pPr>
          </w:p>
        </w:tc>
        <w:tc>
          <w:tcPr>
            <w:tcW w:w="4876" w:type="dxa"/>
          </w:tcPr>
          <w:p w:rsidR="000C3A36" w:rsidRPr="002A3F62" w:rsidRDefault="001410F2" w:rsidP="00C85D2E">
            <w:pPr>
              <w:pStyle w:val="Normal6a"/>
              <w:rPr>
                <w:b/>
                <w:i/>
                <w:szCs w:val="24"/>
              </w:rPr>
            </w:pPr>
            <w:r w:rsidRPr="002A3F62">
              <w:rPr>
                <w:b/>
                <w:i/>
              </w:rPr>
              <w:t>43a.</w:t>
            </w:r>
            <w:r w:rsidRPr="002A3F62">
              <w:rPr>
                <w:b/>
                <w:i/>
              </w:rPr>
              <w:tab/>
              <w:t xml:space="preserve">Emphasises the urgency of the ongoing dialogue on security in Europe between the United States, its European allies and Russia; insists that the EU must be an integral partner </w:t>
            </w:r>
            <w:r w:rsidR="00C85D2E">
              <w:rPr>
                <w:b/>
                <w:i/>
              </w:rPr>
              <w:t xml:space="preserve">of </w:t>
            </w:r>
            <w:r w:rsidRPr="002A3F62">
              <w:rPr>
                <w:b/>
                <w:i/>
              </w:rPr>
              <w:t xml:space="preserve">these discussions </w:t>
            </w:r>
            <w:r w:rsidR="00455769">
              <w:rPr>
                <w:b/>
                <w:i/>
              </w:rPr>
              <w:t xml:space="preserve">in order </w:t>
            </w:r>
            <w:r w:rsidRPr="002A3F62">
              <w:rPr>
                <w:b/>
                <w:i/>
              </w:rPr>
              <w:t>to maintain the independence, sovereignty and territorial integrity of all European states, foster confidence-building measures and de-escalate tensions on the European continent; emphasises, at the same time, that should the Russian Federation invade Ukraine, the EU must be prepared, in concert with the United States and other allies and close partners, to impose far-reaching sanctions against Russia;</w:t>
            </w:r>
          </w:p>
        </w:tc>
      </w:tr>
    </w:tbl>
    <w:p w:rsidR="000C3A36" w:rsidRPr="002A3F62" w:rsidRDefault="000C3A36" w:rsidP="000C3A36">
      <w:pPr>
        <w:pStyle w:val="AmOrLang"/>
      </w:pPr>
      <w:r w:rsidRPr="002A3F62">
        <w:t xml:space="preserve">Or. </w:t>
      </w:r>
      <w:r w:rsidRPr="002A3F62">
        <w:rPr>
          <w:rStyle w:val="HideTWBExt"/>
          <w:rFonts w:eastAsiaTheme="majorEastAsia"/>
          <w:noProof w:val="0"/>
        </w:rPr>
        <w:t>&lt;Original&gt;</w:t>
      </w:r>
      <w:r w:rsidR="001410F2" w:rsidRPr="002A3F62">
        <w:rPr>
          <w:rStyle w:val="HideTWBInt"/>
        </w:rPr>
        <w:t>{EN}</w:t>
      </w:r>
      <w:r w:rsidR="001410F2" w:rsidRPr="002A3F62">
        <w:t>en</w:t>
      </w:r>
      <w:r w:rsidRPr="002A3F62">
        <w:rPr>
          <w:rStyle w:val="HideTWBExt"/>
          <w:rFonts w:eastAsiaTheme="majorEastAsia"/>
          <w:noProof w:val="0"/>
        </w:rPr>
        <w:t>&lt;/Original&gt;</w:t>
      </w:r>
    </w:p>
    <w:p w:rsidR="000C3A36" w:rsidRPr="002A3F62" w:rsidRDefault="000C3A36" w:rsidP="000C3A36">
      <w:pPr>
        <w:sectPr w:rsidR="000C3A36" w:rsidRPr="002A3F62" w:rsidSect="00F61E28">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0C3A36" w:rsidRPr="002A3F62" w:rsidRDefault="000C3A36" w:rsidP="000C3A36">
      <w:r w:rsidRPr="002A3F62">
        <w:rPr>
          <w:rStyle w:val="HideTWBExt"/>
          <w:rFonts w:eastAsiaTheme="majorEastAsia"/>
          <w:noProof w:val="0"/>
        </w:rPr>
        <w:t>&lt;/Amend&gt;</w:t>
      </w:r>
    </w:p>
    <w:p w:rsidR="000C3A36" w:rsidRPr="002A3F62" w:rsidRDefault="000C3A36" w:rsidP="000C3A36">
      <w:pPr>
        <w:pStyle w:val="AmDateTab"/>
      </w:pPr>
      <w:r w:rsidRPr="002A3F62">
        <w:rPr>
          <w:rStyle w:val="HideTWBExt"/>
          <w:rFonts w:eastAsiaTheme="majorEastAsia"/>
          <w:noProof w:val="0"/>
        </w:rPr>
        <w:t>&lt;Amend&gt;&lt;Date&gt;</w:t>
      </w:r>
      <w:r w:rsidR="001410F2" w:rsidRPr="002A3F62">
        <w:rPr>
          <w:rStyle w:val="HideTWBInt"/>
        </w:rPr>
        <w:t>{09/02/2022}</w:t>
      </w:r>
      <w:r w:rsidR="001410F2" w:rsidRPr="002A3F62">
        <w:t>9.2.2022</w:t>
      </w:r>
      <w:r w:rsidRPr="002A3F62">
        <w:rPr>
          <w:rStyle w:val="HideTWBExt"/>
          <w:rFonts w:eastAsiaTheme="majorEastAsia"/>
          <w:noProof w:val="0"/>
        </w:rPr>
        <w:t>&lt;/Date&gt;</w:t>
      </w:r>
      <w:r w:rsidRPr="002A3F62">
        <w:tab/>
      </w:r>
      <w:r w:rsidRPr="002A3F62">
        <w:rPr>
          <w:rStyle w:val="HideTWBExt"/>
          <w:rFonts w:eastAsiaTheme="majorEastAsia"/>
          <w:noProof w:val="0"/>
        </w:rPr>
        <w:t>&lt;ANo&gt;</w:t>
      </w:r>
      <w:r w:rsidR="001410F2" w:rsidRPr="002A3F62">
        <w:t>A9-0354</w:t>
      </w:r>
      <w:r w:rsidRPr="002A3F62">
        <w:rPr>
          <w:rStyle w:val="HideTWBExt"/>
          <w:rFonts w:eastAsiaTheme="majorEastAsia"/>
          <w:noProof w:val="0"/>
        </w:rPr>
        <w:t>&lt;/ANo&gt;</w:t>
      </w:r>
      <w:r w:rsidRPr="002A3F62">
        <w:t>/</w:t>
      </w:r>
      <w:r w:rsidRPr="002A3F62">
        <w:rPr>
          <w:rStyle w:val="HideTWBExt"/>
          <w:rFonts w:eastAsiaTheme="majorEastAsia"/>
          <w:noProof w:val="0"/>
        </w:rPr>
        <w:t>&lt;NumAm&gt;</w:t>
      </w:r>
      <w:r w:rsidRPr="002A3F62">
        <w:t>16</w:t>
      </w:r>
      <w:r w:rsidRPr="002A3F62">
        <w:rPr>
          <w:rStyle w:val="HideTWBExt"/>
          <w:rFonts w:eastAsiaTheme="majorEastAsia"/>
          <w:noProof w:val="0"/>
        </w:rPr>
        <w:t>&lt;/NumAm&gt;</w:t>
      </w:r>
    </w:p>
    <w:p w:rsidR="000C3A36" w:rsidRPr="002A3F62" w:rsidRDefault="000C3A36" w:rsidP="000C3A36">
      <w:pPr>
        <w:pStyle w:val="AmNumberTabs"/>
      </w:pPr>
      <w:r w:rsidRPr="002A3F62">
        <w:t>Amendment</w:t>
      </w:r>
      <w:r w:rsidRPr="002A3F62">
        <w:tab/>
      </w:r>
      <w:r w:rsidRPr="002A3F62">
        <w:tab/>
      </w:r>
      <w:r w:rsidRPr="002A3F62">
        <w:rPr>
          <w:rStyle w:val="HideTWBExt"/>
          <w:rFonts w:eastAsiaTheme="majorEastAsia"/>
          <w:b w:val="0"/>
          <w:noProof w:val="0"/>
        </w:rPr>
        <w:t>&lt;NumAm&gt;</w:t>
      </w:r>
      <w:r w:rsidRPr="002A3F62">
        <w:t>16</w:t>
      </w:r>
      <w:r w:rsidRPr="002A3F62">
        <w:rPr>
          <w:rStyle w:val="HideTWBExt"/>
          <w:rFonts w:eastAsiaTheme="majorEastAsia"/>
          <w:b w:val="0"/>
          <w:noProof w:val="0"/>
        </w:rPr>
        <w:t>&lt;/NumAm&gt;</w:t>
      </w:r>
    </w:p>
    <w:p w:rsidR="000C3A36" w:rsidRPr="002A3F62" w:rsidRDefault="000C3A36" w:rsidP="000C3A36">
      <w:pPr>
        <w:pStyle w:val="NormalBold"/>
      </w:pPr>
      <w:r w:rsidRPr="002A3F62">
        <w:rPr>
          <w:rStyle w:val="HideTWBExt"/>
          <w:rFonts w:eastAsiaTheme="majorEastAsia"/>
          <w:b w:val="0"/>
          <w:noProof w:val="0"/>
        </w:rPr>
        <w:t>&lt;RepeatBlock-By&gt;&lt;By&gt;&lt;Members&gt;</w:t>
      </w:r>
      <w:r w:rsidR="001410F2" w:rsidRPr="002A3F62">
        <w:t>Pedro Marques, Tonino Picula, Thijs Reuten</w:t>
      </w:r>
      <w:r w:rsidRPr="002A3F62">
        <w:rPr>
          <w:rStyle w:val="HideTWBExt"/>
          <w:rFonts w:eastAsiaTheme="majorEastAsia"/>
          <w:b w:val="0"/>
          <w:noProof w:val="0"/>
        </w:rPr>
        <w:t>&lt;/Members&gt;</w:t>
      </w:r>
    </w:p>
    <w:p w:rsidR="000C3A36" w:rsidRPr="002A3F62" w:rsidRDefault="000C3A36" w:rsidP="000C3A36">
      <w:r w:rsidRPr="002A3F62">
        <w:rPr>
          <w:rStyle w:val="HideTWBExt"/>
          <w:rFonts w:eastAsiaTheme="majorEastAsia"/>
          <w:noProof w:val="0"/>
        </w:rPr>
        <w:t>&lt;AuNomDe&gt;</w:t>
      </w:r>
      <w:r w:rsidR="001410F2" w:rsidRPr="002A3F62">
        <w:rPr>
          <w:rStyle w:val="HideTWBInt"/>
        </w:rPr>
        <w:t>{S&amp;D}</w:t>
      </w:r>
      <w:r w:rsidR="001410F2" w:rsidRPr="002A3F62">
        <w:t>on behalf of the S&amp;D Group</w:t>
      </w:r>
      <w:r w:rsidRPr="002A3F62">
        <w:rPr>
          <w:rStyle w:val="HideTWBExt"/>
          <w:rFonts w:eastAsiaTheme="majorEastAsia"/>
          <w:noProof w:val="0"/>
        </w:rPr>
        <w:t>&lt;/AuNomDe&gt;</w:t>
      </w:r>
    </w:p>
    <w:p w:rsidR="000C3A36" w:rsidRPr="002A3F62" w:rsidRDefault="000C3A36" w:rsidP="000C3A36">
      <w:r w:rsidRPr="002A3F62">
        <w:rPr>
          <w:rStyle w:val="HideTWBExt"/>
          <w:rFonts w:eastAsiaTheme="majorEastAsia"/>
          <w:bCs/>
          <w:noProof w:val="0"/>
        </w:rPr>
        <w:t>&lt;/By&gt;</w:t>
      </w:r>
      <w:r w:rsidRPr="002A3F62">
        <w:rPr>
          <w:rStyle w:val="HideTWBExt"/>
          <w:rFonts w:eastAsiaTheme="majorEastAsia"/>
          <w:noProof w:val="0"/>
        </w:rPr>
        <w:t>&lt;/RepeatBlock-By&gt;</w:t>
      </w:r>
    </w:p>
    <w:p w:rsidR="000C3A36" w:rsidRPr="002A3F62" w:rsidRDefault="000C3A36" w:rsidP="000C3A36">
      <w:pPr>
        <w:pStyle w:val="AmDocTypeTab"/>
      </w:pPr>
      <w:r w:rsidRPr="002A3F62">
        <w:rPr>
          <w:rStyle w:val="HideTWBExt"/>
          <w:rFonts w:eastAsiaTheme="majorEastAsia"/>
          <w:b w:val="0"/>
          <w:noProof w:val="0"/>
        </w:rPr>
        <w:t>&lt;TitreType&gt;</w:t>
      </w:r>
      <w:r w:rsidRPr="002A3F62">
        <w:t>Report</w:t>
      </w:r>
      <w:r w:rsidRPr="002A3F62">
        <w:rPr>
          <w:rStyle w:val="HideTWBExt"/>
          <w:rFonts w:eastAsiaTheme="majorEastAsia"/>
          <w:b w:val="0"/>
          <w:noProof w:val="0"/>
        </w:rPr>
        <w:t>&lt;/TitreType&gt;</w:t>
      </w:r>
      <w:r w:rsidRPr="002A3F62">
        <w:tab/>
      </w:r>
      <w:r w:rsidR="001410F2" w:rsidRPr="002A3F62">
        <w:t>A9-0354</w:t>
      </w:r>
      <w:r w:rsidRPr="002A3F62">
        <w:t>/</w:t>
      </w:r>
      <w:r w:rsidR="001410F2" w:rsidRPr="002A3F62">
        <w:t>2021</w:t>
      </w:r>
    </w:p>
    <w:p w:rsidR="000C3A36" w:rsidRPr="002A3F62" w:rsidRDefault="000C3A36" w:rsidP="000C3A36">
      <w:pPr>
        <w:pStyle w:val="NormalBold"/>
      </w:pPr>
      <w:r w:rsidRPr="002A3F62">
        <w:rPr>
          <w:rStyle w:val="HideTWBExt"/>
          <w:rFonts w:eastAsiaTheme="majorEastAsia"/>
          <w:b w:val="0"/>
          <w:noProof w:val="0"/>
        </w:rPr>
        <w:t>&lt;Rapporteur&gt;</w:t>
      </w:r>
      <w:r w:rsidR="001410F2" w:rsidRPr="002A3F62">
        <w:t>David McAllister</w:t>
      </w:r>
      <w:r w:rsidRPr="002A3F62">
        <w:rPr>
          <w:rStyle w:val="HideTWBExt"/>
          <w:rFonts w:eastAsiaTheme="majorEastAsia"/>
          <w:b w:val="0"/>
          <w:noProof w:val="0"/>
        </w:rPr>
        <w:t>&lt;/Rapporteur&gt;</w:t>
      </w:r>
    </w:p>
    <w:p w:rsidR="000C3A36" w:rsidRPr="002A3F62" w:rsidRDefault="000C3A36" w:rsidP="000C3A36">
      <w:r w:rsidRPr="002A3F62">
        <w:rPr>
          <w:rStyle w:val="HideTWBExt"/>
          <w:rFonts w:eastAsiaTheme="majorEastAsia"/>
          <w:noProof w:val="0"/>
        </w:rPr>
        <w:t>&lt;Titre&gt;</w:t>
      </w:r>
      <w:r w:rsidR="001410F2" w:rsidRPr="002A3F62">
        <w:t>Implementation of the common foreign and security policy – annual report 2021</w:t>
      </w:r>
      <w:r w:rsidRPr="002A3F62">
        <w:rPr>
          <w:rStyle w:val="HideTWBExt"/>
          <w:rFonts w:eastAsiaTheme="majorEastAsia"/>
          <w:noProof w:val="0"/>
        </w:rPr>
        <w:t>&lt;/Titre&gt;</w:t>
      </w:r>
    </w:p>
    <w:p w:rsidR="000C3A36" w:rsidRPr="002A3F62" w:rsidRDefault="000C3A36" w:rsidP="000C3A36">
      <w:pPr>
        <w:pStyle w:val="Normal12a"/>
      </w:pPr>
      <w:r w:rsidRPr="002A3F62">
        <w:rPr>
          <w:rStyle w:val="HideTWBExt"/>
          <w:rFonts w:eastAsiaTheme="majorEastAsia"/>
          <w:noProof w:val="0"/>
        </w:rPr>
        <w:t>&lt;DocRef&gt;</w:t>
      </w:r>
      <w:r w:rsidRPr="002A3F62">
        <w:t>(</w:t>
      </w:r>
      <w:r w:rsidR="001410F2" w:rsidRPr="002A3F62">
        <w:t>2021/2182(INI)</w:t>
      </w:r>
      <w:r w:rsidRPr="002A3F62">
        <w:t>)</w:t>
      </w:r>
      <w:r w:rsidRPr="002A3F62">
        <w:rPr>
          <w:rStyle w:val="HideTWBExt"/>
          <w:rFonts w:eastAsiaTheme="majorEastAsia"/>
          <w:noProof w:val="0"/>
        </w:rPr>
        <w:t>&lt;/DocRef&gt;</w:t>
      </w:r>
    </w:p>
    <w:p w:rsidR="000C3A36" w:rsidRPr="002A3F62" w:rsidRDefault="000C3A36" w:rsidP="000C3A36">
      <w:pPr>
        <w:pStyle w:val="NormalBold"/>
      </w:pPr>
      <w:r w:rsidRPr="002A3F62">
        <w:rPr>
          <w:rStyle w:val="HideTWBExt"/>
          <w:rFonts w:eastAsiaTheme="majorEastAsia"/>
          <w:b w:val="0"/>
          <w:noProof w:val="0"/>
        </w:rPr>
        <w:t>&lt;DocAmend&gt;</w:t>
      </w:r>
      <w:r w:rsidR="001410F2" w:rsidRPr="002A3F62">
        <w:t>Motion for a resolution</w:t>
      </w:r>
      <w:r w:rsidRPr="002A3F62">
        <w:rPr>
          <w:rStyle w:val="HideTWBExt"/>
          <w:rFonts w:eastAsiaTheme="majorEastAsia"/>
          <w:b w:val="0"/>
          <w:noProof w:val="0"/>
        </w:rPr>
        <w:t>&lt;/DocAmend&gt;</w:t>
      </w:r>
    </w:p>
    <w:p w:rsidR="000C3A36" w:rsidRPr="002A3F62" w:rsidRDefault="000C3A36" w:rsidP="000C3A36">
      <w:pPr>
        <w:pStyle w:val="NormalBold"/>
      </w:pPr>
      <w:r w:rsidRPr="002A3F62">
        <w:rPr>
          <w:rStyle w:val="HideTWBExt"/>
          <w:rFonts w:eastAsiaTheme="majorEastAsia"/>
          <w:b w:val="0"/>
          <w:noProof w:val="0"/>
        </w:rPr>
        <w:t>&lt;Article&gt;</w:t>
      </w:r>
      <w:r w:rsidR="001410F2" w:rsidRPr="002A3F62">
        <w:t>Paragraph 45</w:t>
      </w:r>
      <w:r w:rsidRPr="002A3F62">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3A36" w:rsidRPr="002A3F62" w:rsidTr="00381E31">
        <w:trPr>
          <w:jc w:val="center"/>
        </w:trPr>
        <w:tc>
          <w:tcPr>
            <w:tcW w:w="9752" w:type="dxa"/>
            <w:gridSpan w:val="2"/>
          </w:tcPr>
          <w:p w:rsidR="000C3A36" w:rsidRPr="002A3F62" w:rsidRDefault="000C3A36" w:rsidP="00381E31">
            <w:pPr>
              <w:keepNext/>
            </w:pPr>
          </w:p>
        </w:tc>
      </w:tr>
      <w:tr w:rsidR="000C3A36" w:rsidRPr="002A3F62" w:rsidTr="00381E31">
        <w:trPr>
          <w:jc w:val="center"/>
        </w:trPr>
        <w:tc>
          <w:tcPr>
            <w:tcW w:w="4876" w:type="dxa"/>
          </w:tcPr>
          <w:p w:rsidR="000C3A36" w:rsidRPr="002A3F62" w:rsidRDefault="001410F2" w:rsidP="00381E31">
            <w:pPr>
              <w:pStyle w:val="AmColumnHeading"/>
              <w:keepNext/>
            </w:pPr>
            <w:r w:rsidRPr="002A3F62">
              <w:t>Motion for a resolution</w:t>
            </w:r>
          </w:p>
        </w:tc>
        <w:tc>
          <w:tcPr>
            <w:tcW w:w="4876" w:type="dxa"/>
          </w:tcPr>
          <w:p w:rsidR="000C3A36" w:rsidRPr="002A3F62" w:rsidRDefault="000C3A36" w:rsidP="00381E31">
            <w:pPr>
              <w:pStyle w:val="AmColumnHeading"/>
              <w:keepNext/>
            </w:pPr>
            <w:r w:rsidRPr="002A3F62">
              <w:t>Amendment</w:t>
            </w:r>
          </w:p>
        </w:tc>
      </w:tr>
      <w:tr w:rsidR="000C3A36" w:rsidRPr="002A3F62" w:rsidTr="00381E31">
        <w:trPr>
          <w:jc w:val="center"/>
        </w:trPr>
        <w:tc>
          <w:tcPr>
            <w:tcW w:w="4876" w:type="dxa"/>
          </w:tcPr>
          <w:p w:rsidR="000C3A36" w:rsidRPr="002A3F62" w:rsidRDefault="001410F2" w:rsidP="00381E31">
            <w:pPr>
              <w:pStyle w:val="Normal6a"/>
            </w:pPr>
            <w:r w:rsidRPr="002A3F62">
              <w:t>45.</w:t>
            </w:r>
            <w:r w:rsidRPr="002A3F62">
              <w:tab/>
              <w:t>Recalls the EU</w:t>
            </w:r>
            <w:r w:rsidR="00B17D50">
              <w:t>’</w:t>
            </w:r>
            <w:r w:rsidRPr="002A3F62">
              <w:t>s commitment regarding the Middle East Peace Process and the conclusion of an agreement between the two parties, including on final status agreement issues, looking in particular at the need to preserve the conditions on the ground for a peaceful two-state solution, on the basis of the 1967 lines, with Jerusalem as the capital of both states, and with a secure State of Israel and an independent, democratic, contiguous and viable Palestinian State, living side-by-side in peace and security, on the basis of the right of self-determination and full respect for international law; calls, in this spirit, for the resumption of genuine peace efforts aimed at achieving tangible results between both sides with the support of the international community; calls for the EU to increase its engagement to revive the peace process between Israelis and Palestinians, including through confidence-building measures, regional dialogue and increased transatlantic cooperation in the region as well as by making better use of its leverage towards both parties;</w:t>
            </w:r>
          </w:p>
        </w:tc>
        <w:tc>
          <w:tcPr>
            <w:tcW w:w="4876" w:type="dxa"/>
          </w:tcPr>
          <w:p w:rsidR="000C3A36" w:rsidRPr="002A3F62" w:rsidRDefault="001410F2" w:rsidP="00C85D2E">
            <w:pPr>
              <w:pStyle w:val="Normal6a"/>
              <w:rPr>
                <w:szCs w:val="24"/>
              </w:rPr>
            </w:pPr>
            <w:r w:rsidRPr="002A3F62">
              <w:t>45.</w:t>
            </w:r>
            <w:r w:rsidRPr="002A3F62">
              <w:tab/>
              <w:t>Recalls the EU</w:t>
            </w:r>
            <w:r w:rsidR="00B17D50">
              <w:t>’</w:t>
            </w:r>
            <w:r w:rsidRPr="002A3F62">
              <w:t>s commitment regarding the Middle East Peace Process and the conclusion of an agreement between the two parties, including on final status agreement issues, looking in particular at the need to preserve the conditions on the ground for a peaceful two-state solution, on the basis of the 1967 lines, with Jerusalem as the capital of both states, and with a secure State of Israel and an independent, democratic, contiguous and viable Palestinian State, living side-by-side in peace and security, on the basis of the right of self-determination and full respect for international law; calls, in this spirit, for the resumption of genuine peace efforts aimed at achieving tangible results between both sides with the support of the international community; calls for the EU to increase its engagement to revive the peace process between Israelis and Palestinians, including through confidence-building measures, regional dialogue and increased transatlantic cooperation in the region as well as by making better use of its leverage towards both parties;</w:t>
            </w:r>
            <w:r w:rsidRPr="002A3F62">
              <w:rPr>
                <w:b/>
                <w:i/>
              </w:rPr>
              <w:t xml:space="preserve"> stresses the continued need to support the provision of vital services to the millions of Palestinian refugees across the Middle East; calls</w:t>
            </w:r>
            <w:r w:rsidR="00455769">
              <w:rPr>
                <w:b/>
                <w:i/>
              </w:rPr>
              <w:t>,</w:t>
            </w:r>
            <w:r w:rsidRPr="002A3F62">
              <w:rPr>
                <w:b/>
                <w:i/>
              </w:rPr>
              <w:t xml:space="preserve"> therefore</w:t>
            </w:r>
            <w:r w:rsidR="00455769">
              <w:rPr>
                <w:b/>
                <w:i/>
              </w:rPr>
              <w:t>,</w:t>
            </w:r>
            <w:r w:rsidRPr="002A3F62">
              <w:rPr>
                <w:b/>
                <w:i/>
              </w:rPr>
              <w:t xml:space="preserve"> for continued EU and international </w:t>
            </w:r>
            <w:r w:rsidR="00C85D2E">
              <w:rPr>
                <w:b/>
                <w:i/>
              </w:rPr>
              <w:t xml:space="preserve">support – both </w:t>
            </w:r>
            <w:r w:rsidRPr="002A3F62">
              <w:rPr>
                <w:b/>
                <w:i/>
              </w:rPr>
              <w:t xml:space="preserve">political and financial </w:t>
            </w:r>
            <w:r w:rsidR="00C85D2E">
              <w:rPr>
                <w:b/>
                <w:i/>
              </w:rPr>
              <w:t xml:space="preserve">– </w:t>
            </w:r>
            <w:r w:rsidRPr="002A3F62">
              <w:rPr>
                <w:b/>
                <w:i/>
              </w:rPr>
              <w:t xml:space="preserve">for the </w:t>
            </w:r>
            <w:r w:rsidR="00455769">
              <w:rPr>
                <w:b/>
                <w:i/>
              </w:rPr>
              <w:t xml:space="preserve">UN </w:t>
            </w:r>
            <w:r w:rsidRPr="002A3F62">
              <w:rPr>
                <w:b/>
                <w:i/>
              </w:rPr>
              <w:t>Relief and Works Agency for Palestine Refugees in the Near East (UNRWA);</w:t>
            </w:r>
          </w:p>
        </w:tc>
      </w:tr>
    </w:tbl>
    <w:p w:rsidR="000C3A36" w:rsidRPr="002A3F62" w:rsidRDefault="000C3A36" w:rsidP="000C3A36">
      <w:pPr>
        <w:pStyle w:val="AmOrLang"/>
      </w:pPr>
      <w:r w:rsidRPr="002A3F62">
        <w:t xml:space="preserve">Or. </w:t>
      </w:r>
      <w:r w:rsidRPr="002A3F62">
        <w:rPr>
          <w:rStyle w:val="HideTWBExt"/>
          <w:rFonts w:eastAsiaTheme="majorEastAsia"/>
          <w:noProof w:val="0"/>
        </w:rPr>
        <w:t>&lt;Original&gt;</w:t>
      </w:r>
      <w:r w:rsidR="001410F2" w:rsidRPr="002A3F62">
        <w:rPr>
          <w:rStyle w:val="HideTWBInt"/>
        </w:rPr>
        <w:t>{EN}</w:t>
      </w:r>
      <w:r w:rsidR="001410F2" w:rsidRPr="002A3F62">
        <w:t>en</w:t>
      </w:r>
      <w:r w:rsidRPr="002A3F62">
        <w:rPr>
          <w:rStyle w:val="HideTWBExt"/>
          <w:rFonts w:eastAsiaTheme="majorEastAsia"/>
          <w:noProof w:val="0"/>
        </w:rPr>
        <w:t>&lt;/Original&gt;</w:t>
      </w:r>
    </w:p>
    <w:p w:rsidR="000C3A36" w:rsidRPr="002A3F62" w:rsidRDefault="000C3A36" w:rsidP="000C3A36">
      <w:pPr>
        <w:sectPr w:rsidR="000C3A36" w:rsidRPr="002A3F62" w:rsidSect="00F61E28">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0C3A36" w:rsidRPr="002A3F62" w:rsidRDefault="000C3A36" w:rsidP="000C3A36">
      <w:r w:rsidRPr="002A3F62">
        <w:rPr>
          <w:rStyle w:val="HideTWBExt"/>
          <w:rFonts w:eastAsiaTheme="majorEastAsia"/>
          <w:noProof w:val="0"/>
        </w:rPr>
        <w:t>&lt;/Amend&gt;</w:t>
      </w:r>
    </w:p>
    <w:p w:rsidR="000C3A36" w:rsidRPr="002A3F62" w:rsidRDefault="000C3A36" w:rsidP="000C3A36">
      <w:pPr>
        <w:pStyle w:val="AmDateTab"/>
      </w:pPr>
      <w:r w:rsidRPr="002A3F62">
        <w:rPr>
          <w:rStyle w:val="HideTWBExt"/>
          <w:rFonts w:eastAsiaTheme="majorEastAsia"/>
          <w:noProof w:val="0"/>
        </w:rPr>
        <w:t>&lt;Amend&gt;&lt;Date&gt;</w:t>
      </w:r>
      <w:r w:rsidR="001410F2" w:rsidRPr="002A3F62">
        <w:rPr>
          <w:rStyle w:val="HideTWBInt"/>
        </w:rPr>
        <w:t>{09/02/2022}</w:t>
      </w:r>
      <w:r w:rsidR="001410F2" w:rsidRPr="002A3F62">
        <w:t>9.2.2022</w:t>
      </w:r>
      <w:r w:rsidRPr="002A3F62">
        <w:rPr>
          <w:rStyle w:val="HideTWBExt"/>
          <w:rFonts w:eastAsiaTheme="majorEastAsia"/>
          <w:noProof w:val="0"/>
        </w:rPr>
        <w:t>&lt;/Date&gt;</w:t>
      </w:r>
      <w:r w:rsidRPr="002A3F62">
        <w:tab/>
      </w:r>
      <w:r w:rsidRPr="002A3F62">
        <w:rPr>
          <w:rStyle w:val="HideTWBExt"/>
          <w:rFonts w:eastAsiaTheme="majorEastAsia"/>
          <w:noProof w:val="0"/>
        </w:rPr>
        <w:t>&lt;ANo&gt;</w:t>
      </w:r>
      <w:r w:rsidR="001410F2" w:rsidRPr="002A3F62">
        <w:t>A9-0354</w:t>
      </w:r>
      <w:r w:rsidRPr="002A3F62">
        <w:rPr>
          <w:rStyle w:val="HideTWBExt"/>
          <w:rFonts w:eastAsiaTheme="majorEastAsia"/>
          <w:noProof w:val="0"/>
        </w:rPr>
        <w:t>&lt;/ANo&gt;</w:t>
      </w:r>
      <w:r w:rsidRPr="002A3F62">
        <w:t>/</w:t>
      </w:r>
      <w:r w:rsidRPr="002A3F62">
        <w:rPr>
          <w:rStyle w:val="HideTWBExt"/>
          <w:rFonts w:eastAsiaTheme="majorEastAsia"/>
          <w:noProof w:val="0"/>
        </w:rPr>
        <w:t>&lt;NumAm&gt;</w:t>
      </w:r>
      <w:r w:rsidRPr="002A3F62">
        <w:t>17</w:t>
      </w:r>
      <w:r w:rsidRPr="002A3F62">
        <w:rPr>
          <w:rStyle w:val="HideTWBExt"/>
          <w:rFonts w:eastAsiaTheme="majorEastAsia"/>
          <w:noProof w:val="0"/>
        </w:rPr>
        <w:t>&lt;/NumAm&gt;</w:t>
      </w:r>
    </w:p>
    <w:p w:rsidR="000C3A36" w:rsidRPr="002A3F62" w:rsidRDefault="000C3A36" w:rsidP="000C3A36">
      <w:pPr>
        <w:pStyle w:val="AmNumberTabs"/>
      </w:pPr>
      <w:r w:rsidRPr="002A3F62">
        <w:t>Amendment</w:t>
      </w:r>
      <w:r w:rsidRPr="002A3F62">
        <w:tab/>
      </w:r>
      <w:r w:rsidRPr="002A3F62">
        <w:tab/>
      </w:r>
      <w:r w:rsidRPr="002A3F62">
        <w:rPr>
          <w:rStyle w:val="HideTWBExt"/>
          <w:rFonts w:eastAsiaTheme="majorEastAsia"/>
          <w:b w:val="0"/>
          <w:noProof w:val="0"/>
        </w:rPr>
        <w:t>&lt;NumAm&gt;</w:t>
      </w:r>
      <w:r w:rsidRPr="002A3F62">
        <w:t>17</w:t>
      </w:r>
      <w:r w:rsidRPr="002A3F62">
        <w:rPr>
          <w:rStyle w:val="HideTWBExt"/>
          <w:rFonts w:eastAsiaTheme="majorEastAsia"/>
          <w:b w:val="0"/>
          <w:noProof w:val="0"/>
        </w:rPr>
        <w:t>&lt;/NumAm&gt;</w:t>
      </w:r>
    </w:p>
    <w:p w:rsidR="000C3A36" w:rsidRPr="002A3F62" w:rsidRDefault="000C3A36" w:rsidP="000C3A36">
      <w:pPr>
        <w:pStyle w:val="NormalBold"/>
      </w:pPr>
      <w:r w:rsidRPr="002A3F62">
        <w:rPr>
          <w:rStyle w:val="HideTWBExt"/>
          <w:rFonts w:eastAsiaTheme="majorEastAsia"/>
          <w:b w:val="0"/>
          <w:noProof w:val="0"/>
        </w:rPr>
        <w:t>&lt;RepeatBlock-By&gt;&lt;By&gt;&lt;Members&gt;</w:t>
      </w:r>
      <w:r w:rsidR="001410F2" w:rsidRPr="002A3F62">
        <w:t>Pedro Marques, Tonino Picula, Thijs Reuten</w:t>
      </w:r>
      <w:r w:rsidRPr="002A3F62">
        <w:rPr>
          <w:rStyle w:val="HideTWBExt"/>
          <w:rFonts w:eastAsiaTheme="majorEastAsia"/>
          <w:b w:val="0"/>
          <w:noProof w:val="0"/>
        </w:rPr>
        <w:t>&lt;/Members&gt;</w:t>
      </w:r>
    </w:p>
    <w:p w:rsidR="000C3A36" w:rsidRPr="002A3F62" w:rsidRDefault="000C3A36" w:rsidP="000C3A36">
      <w:r w:rsidRPr="002A3F62">
        <w:rPr>
          <w:rStyle w:val="HideTWBExt"/>
          <w:rFonts w:eastAsiaTheme="majorEastAsia"/>
          <w:noProof w:val="0"/>
        </w:rPr>
        <w:t>&lt;AuNomDe&gt;</w:t>
      </w:r>
      <w:r w:rsidR="001410F2" w:rsidRPr="002A3F62">
        <w:rPr>
          <w:rStyle w:val="HideTWBInt"/>
        </w:rPr>
        <w:t>{S&amp;D}</w:t>
      </w:r>
      <w:r w:rsidR="001410F2" w:rsidRPr="002A3F62">
        <w:t>on behalf of the S&amp;D Group</w:t>
      </w:r>
      <w:r w:rsidRPr="002A3F62">
        <w:rPr>
          <w:rStyle w:val="HideTWBExt"/>
          <w:rFonts w:eastAsiaTheme="majorEastAsia"/>
          <w:noProof w:val="0"/>
        </w:rPr>
        <w:t>&lt;/AuNomDe&gt;</w:t>
      </w:r>
    </w:p>
    <w:p w:rsidR="000C3A36" w:rsidRPr="002A3F62" w:rsidRDefault="000C3A36" w:rsidP="000C3A36">
      <w:r w:rsidRPr="002A3F62">
        <w:rPr>
          <w:rStyle w:val="HideTWBExt"/>
          <w:rFonts w:eastAsiaTheme="majorEastAsia"/>
          <w:bCs/>
          <w:noProof w:val="0"/>
        </w:rPr>
        <w:t>&lt;/By&gt;</w:t>
      </w:r>
      <w:r w:rsidRPr="002A3F62">
        <w:rPr>
          <w:rStyle w:val="HideTWBExt"/>
          <w:rFonts w:eastAsiaTheme="majorEastAsia"/>
          <w:noProof w:val="0"/>
        </w:rPr>
        <w:t>&lt;/RepeatBlock-By&gt;</w:t>
      </w:r>
    </w:p>
    <w:p w:rsidR="000C3A36" w:rsidRPr="002A3F62" w:rsidRDefault="000C3A36" w:rsidP="000C3A36">
      <w:pPr>
        <w:pStyle w:val="AmDocTypeTab"/>
      </w:pPr>
      <w:r w:rsidRPr="002A3F62">
        <w:rPr>
          <w:rStyle w:val="HideTWBExt"/>
          <w:rFonts w:eastAsiaTheme="majorEastAsia"/>
          <w:b w:val="0"/>
          <w:noProof w:val="0"/>
        </w:rPr>
        <w:t>&lt;TitreType&gt;</w:t>
      </w:r>
      <w:r w:rsidRPr="002A3F62">
        <w:t>Report</w:t>
      </w:r>
      <w:r w:rsidRPr="002A3F62">
        <w:rPr>
          <w:rStyle w:val="HideTWBExt"/>
          <w:rFonts w:eastAsiaTheme="majorEastAsia"/>
          <w:b w:val="0"/>
          <w:noProof w:val="0"/>
        </w:rPr>
        <w:t>&lt;/TitreType&gt;</w:t>
      </w:r>
      <w:r w:rsidRPr="002A3F62">
        <w:tab/>
      </w:r>
      <w:r w:rsidR="001410F2" w:rsidRPr="002A3F62">
        <w:t>A9-0354</w:t>
      </w:r>
      <w:r w:rsidRPr="002A3F62">
        <w:t>/</w:t>
      </w:r>
      <w:r w:rsidR="001410F2" w:rsidRPr="002A3F62">
        <w:t>2021</w:t>
      </w:r>
    </w:p>
    <w:p w:rsidR="000C3A36" w:rsidRPr="002A3F62" w:rsidRDefault="000C3A36" w:rsidP="000C3A36">
      <w:pPr>
        <w:pStyle w:val="NormalBold"/>
      </w:pPr>
      <w:r w:rsidRPr="002A3F62">
        <w:rPr>
          <w:rStyle w:val="HideTWBExt"/>
          <w:rFonts w:eastAsiaTheme="majorEastAsia"/>
          <w:b w:val="0"/>
          <w:noProof w:val="0"/>
        </w:rPr>
        <w:t>&lt;Rapporteur&gt;</w:t>
      </w:r>
      <w:r w:rsidR="001410F2" w:rsidRPr="002A3F62">
        <w:t>David McAllister</w:t>
      </w:r>
      <w:r w:rsidRPr="002A3F62">
        <w:rPr>
          <w:rStyle w:val="HideTWBExt"/>
          <w:rFonts w:eastAsiaTheme="majorEastAsia"/>
          <w:b w:val="0"/>
          <w:noProof w:val="0"/>
        </w:rPr>
        <w:t>&lt;/Rapporteur&gt;</w:t>
      </w:r>
    </w:p>
    <w:p w:rsidR="000C3A36" w:rsidRPr="002A3F62" w:rsidRDefault="000C3A36" w:rsidP="000C3A36">
      <w:r w:rsidRPr="002A3F62">
        <w:rPr>
          <w:rStyle w:val="HideTWBExt"/>
          <w:rFonts w:eastAsiaTheme="majorEastAsia"/>
          <w:noProof w:val="0"/>
        </w:rPr>
        <w:t>&lt;Titre&gt;</w:t>
      </w:r>
      <w:r w:rsidR="001410F2" w:rsidRPr="002A3F62">
        <w:t>Implementation of the common foreign and security policy – annual report 2021</w:t>
      </w:r>
      <w:r w:rsidRPr="002A3F62">
        <w:rPr>
          <w:rStyle w:val="HideTWBExt"/>
          <w:rFonts w:eastAsiaTheme="majorEastAsia"/>
          <w:noProof w:val="0"/>
        </w:rPr>
        <w:t>&lt;/Titre&gt;</w:t>
      </w:r>
    </w:p>
    <w:p w:rsidR="000C3A36" w:rsidRPr="002A3F62" w:rsidRDefault="000C3A36" w:rsidP="000C3A36">
      <w:pPr>
        <w:pStyle w:val="Normal12a"/>
      </w:pPr>
      <w:r w:rsidRPr="002A3F62">
        <w:rPr>
          <w:rStyle w:val="HideTWBExt"/>
          <w:rFonts w:eastAsiaTheme="majorEastAsia"/>
          <w:noProof w:val="0"/>
        </w:rPr>
        <w:t>&lt;DocRef&gt;</w:t>
      </w:r>
      <w:r w:rsidRPr="002A3F62">
        <w:t>(</w:t>
      </w:r>
      <w:r w:rsidR="001410F2" w:rsidRPr="002A3F62">
        <w:t>2021/2182(INI)</w:t>
      </w:r>
      <w:r w:rsidRPr="002A3F62">
        <w:t>)</w:t>
      </w:r>
      <w:r w:rsidRPr="002A3F62">
        <w:rPr>
          <w:rStyle w:val="HideTWBExt"/>
          <w:rFonts w:eastAsiaTheme="majorEastAsia"/>
          <w:noProof w:val="0"/>
        </w:rPr>
        <w:t>&lt;/DocRef&gt;</w:t>
      </w:r>
    </w:p>
    <w:p w:rsidR="000C3A36" w:rsidRPr="002A3F62" w:rsidRDefault="000C3A36" w:rsidP="000C3A36">
      <w:pPr>
        <w:pStyle w:val="NormalBold"/>
      </w:pPr>
      <w:r w:rsidRPr="002A3F62">
        <w:rPr>
          <w:rStyle w:val="HideTWBExt"/>
          <w:rFonts w:eastAsiaTheme="majorEastAsia"/>
          <w:b w:val="0"/>
          <w:noProof w:val="0"/>
        </w:rPr>
        <w:t>&lt;DocAmend&gt;</w:t>
      </w:r>
      <w:r w:rsidR="001410F2" w:rsidRPr="002A3F62">
        <w:t>Motion for a resolution</w:t>
      </w:r>
      <w:r w:rsidRPr="002A3F62">
        <w:rPr>
          <w:rStyle w:val="HideTWBExt"/>
          <w:rFonts w:eastAsiaTheme="majorEastAsia"/>
          <w:b w:val="0"/>
          <w:noProof w:val="0"/>
        </w:rPr>
        <w:t>&lt;/DocAmend&gt;</w:t>
      </w:r>
    </w:p>
    <w:p w:rsidR="000C3A36" w:rsidRPr="002A3F62" w:rsidRDefault="000C3A36" w:rsidP="000C3A36">
      <w:pPr>
        <w:pStyle w:val="NormalBold"/>
      </w:pPr>
      <w:r w:rsidRPr="002A3F62">
        <w:rPr>
          <w:rStyle w:val="HideTWBExt"/>
          <w:rFonts w:eastAsiaTheme="majorEastAsia"/>
          <w:b w:val="0"/>
          <w:noProof w:val="0"/>
        </w:rPr>
        <w:t>&lt;Article&gt;</w:t>
      </w:r>
      <w:r w:rsidR="001410F2" w:rsidRPr="002A3F62">
        <w:t>Paragraph 48</w:t>
      </w:r>
      <w:r w:rsidRPr="002A3F62">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3A36" w:rsidRPr="002A3F62" w:rsidTr="00381E31">
        <w:trPr>
          <w:jc w:val="center"/>
        </w:trPr>
        <w:tc>
          <w:tcPr>
            <w:tcW w:w="9752" w:type="dxa"/>
            <w:gridSpan w:val="2"/>
          </w:tcPr>
          <w:p w:rsidR="000C3A36" w:rsidRPr="002A3F62" w:rsidRDefault="000C3A36" w:rsidP="00381E31">
            <w:pPr>
              <w:keepNext/>
            </w:pPr>
          </w:p>
        </w:tc>
      </w:tr>
      <w:tr w:rsidR="000C3A36" w:rsidRPr="002A3F62" w:rsidTr="00381E31">
        <w:trPr>
          <w:jc w:val="center"/>
        </w:trPr>
        <w:tc>
          <w:tcPr>
            <w:tcW w:w="4876" w:type="dxa"/>
          </w:tcPr>
          <w:p w:rsidR="000C3A36" w:rsidRPr="002A3F62" w:rsidRDefault="001410F2" w:rsidP="00381E31">
            <w:pPr>
              <w:pStyle w:val="AmColumnHeading"/>
              <w:keepNext/>
            </w:pPr>
            <w:r w:rsidRPr="002A3F62">
              <w:t>Motion for a resolution</w:t>
            </w:r>
          </w:p>
        </w:tc>
        <w:tc>
          <w:tcPr>
            <w:tcW w:w="4876" w:type="dxa"/>
          </w:tcPr>
          <w:p w:rsidR="000C3A36" w:rsidRPr="002A3F62" w:rsidRDefault="000C3A36" w:rsidP="00381E31">
            <w:pPr>
              <w:pStyle w:val="AmColumnHeading"/>
              <w:keepNext/>
            </w:pPr>
            <w:r w:rsidRPr="002A3F62">
              <w:t>Amendment</w:t>
            </w:r>
          </w:p>
        </w:tc>
      </w:tr>
      <w:tr w:rsidR="000C3A36" w:rsidRPr="002A3F62" w:rsidTr="00381E31">
        <w:trPr>
          <w:jc w:val="center"/>
        </w:trPr>
        <w:tc>
          <w:tcPr>
            <w:tcW w:w="4876" w:type="dxa"/>
          </w:tcPr>
          <w:p w:rsidR="000C3A36" w:rsidRPr="002A3F62" w:rsidRDefault="001410F2" w:rsidP="00381E31">
            <w:pPr>
              <w:pStyle w:val="Normal6a"/>
            </w:pPr>
            <w:r w:rsidRPr="002A3F62">
              <w:t>48.</w:t>
            </w:r>
            <w:r w:rsidRPr="002A3F62">
              <w:tab/>
              <w:t>Expresses grave concern about the situation in Lebanon and deeply urges the Lebanese Government to operate in a mission-driven, credible and accountable manner that is free from foreign interference; stresses the particular responsibility of Hezbollah and other factions in repressing Lebanon</w:t>
            </w:r>
            <w:r w:rsidR="00B17D50">
              <w:t>’</w:t>
            </w:r>
            <w:r w:rsidRPr="002A3F62">
              <w:t>s 2019 popular movement and in Lebanon</w:t>
            </w:r>
            <w:r w:rsidR="00B17D50">
              <w:t>’</w:t>
            </w:r>
            <w:r w:rsidRPr="002A3F62">
              <w:t xml:space="preserve">s political and economic crisis; calls on </w:t>
            </w:r>
            <w:r w:rsidRPr="002A3F62">
              <w:rPr>
                <w:b/>
                <w:i/>
              </w:rPr>
              <w:t>Iran</w:t>
            </w:r>
            <w:r w:rsidRPr="002A3F62">
              <w:t xml:space="preserve"> to refrain from meddling in Lebanon</w:t>
            </w:r>
            <w:r w:rsidR="00B17D50">
              <w:t>’</w:t>
            </w:r>
            <w:r w:rsidRPr="002A3F62">
              <w:t>s internal affairs and calls for Lebanon</w:t>
            </w:r>
            <w:r w:rsidR="00B17D50">
              <w:t>’</w:t>
            </w:r>
            <w:r w:rsidRPr="002A3F62">
              <w:t>s sovereignty and political independence to be respected; strongly condemns the firing of rockets by Hezbollah from southern Lebanon towards civilian areas in Israel; rejects any role for President Bashar al-Assad in post-conflict Syria with reference to UN Security Council Resolution 2254 (2015); welcomes and supports criminal inquiries that target al-Assad and his associates over the use of chemical weapons and hold them accountable for numerous war crimes; recommends that the Member States expand the list of those subject to targeted sanctions to include civilian and military officials within the Assad regime who are credibly implicated in war crimes, crimes against humanity and other serious violations; reiterates its call to the Commission to present an EU action plan on impunity, with a specific chapter on Syria; stresses that this action plan should seek to better coordinate and harmonise Member States</w:t>
            </w:r>
            <w:r w:rsidR="00B17D50">
              <w:t>’</w:t>
            </w:r>
            <w:r w:rsidRPr="002A3F62">
              <w:t xml:space="preserve"> resources and efforts to prosecute war criminals in the EU;</w:t>
            </w:r>
          </w:p>
        </w:tc>
        <w:tc>
          <w:tcPr>
            <w:tcW w:w="4876" w:type="dxa"/>
          </w:tcPr>
          <w:p w:rsidR="000C3A36" w:rsidRPr="002A3F62" w:rsidRDefault="002A3F62" w:rsidP="002A3F62">
            <w:pPr>
              <w:pStyle w:val="Normal6a"/>
              <w:rPr>
                <w:szCs w:val="24"/>
              </w:rPr>
            </w:pPr>
            <w:r w:rsidRPr="002A3F62">
              <w:t>48.</w:t>
            </w:r>
            <w:r w:rsidRPr="002A3F62">
              <w:tab/>
              <w:t>Expresses grave concern about the situation in Lebanon and deeply urges the Lebanese Government to operate in a mission-driven, credible and accountable manner that is free from foreign interference; stresses the particular responsibility of Hezbollah and other factions in repressing Lebanon</w:t>
            </w:r>
            <w:r w:rsidR="00B17D50">
              <w:t>’</w:t>
            </w:r>
            <w:r w:rsidRPr="002A3F62">
              <w:t>s 2019 popular movement and in Lebanon</w:t>
            </w:r>
            <w:r w:rsidR="00B17D50">
              <w:t>’</w:t>
            </w:r>
            <w:r w:rsidRPr="002A3F62">
              <w:t xml:space="preserve">s political and economic crisis; calls on </w:t>
            </w:r>
            <w:r w:rsidRPr="002A3F62">
              <w:rPr>
                <w:b/>
                <w:i/>
              </w:rPr>
              <w:t xml:space="preserve">all </w:t>
            </w:r>
            <w:r w:rsidR="00455769">
              <w:rPr>
                <w:b/>
                <w:i/>
              </w:rPr>
              <w:t xml:space="preserve">the </w:t>
            </w:r>
            <w:r w:rsidRPr="002A3F62">
              <w:rPr>
                <w:b/>
                <w:i/>
              </w:rPr>
              <w:t>relevant regional players, including Saudi Arabia and Iran,</w:t>
            </w:r>
            <w:r w:rsidRPr="002A3F62">
              <w:t xml:space="preserve"> to refrain from meddling in Lebanon</w:t>
            </w:r>
            <w:r w:rsidR="00B17D50">
              <w:t>’</w:t>
            </w:r>
            <w:r w:rsidRPr="002A3F62">
              <w:t>s internal affairs and calls for Lebanon</w:t>
            </w:r>
            <w:r w:rsidR="00B17D50">
              <w:t>’</w:t>
            </w:r>
            <w:r w:rsidRPr="002A3F62">
              <w:t>s sovereignty and political independence to be respected; strongly condemns the firing of rockets by Hezbollah from southern Lebanon towards civilian areas in Israel; rejects any role for President Bashar al-Assad in post-conflict Syria with reference to UN Security Council Resolution 2254 (2015); welcomes and supports criminal inquiries that target al-Assad and his associates over the use of chemical weapons and hold them accountable for numerous war crimes; recommends that the Member States expand the list of those subject to targeted sanctions to include civilian and military officials within the Assad regime who are credibly implicated in war crimes, crimes against humanity and other serious violations; reiterates its call to the Commission to present an EU action plan on impunity, with a specific chapter on Syria; stresses that this action plan should seek to better coordinate and harmonise Member States</w:t>
            </w:r>
            <w:r w:rsidR="00B17D50">
              <w:t>’</w:t>
            </w:r>
            <w:r w:rsidRPr="002A3F62">
              <w:t xml:space="preserve"> resources and efforts to prosecute war criminals in the EU;</w:t>
            </w:r>
          </w:p>
        </w:tc>
      </w:tr>
    </w:tbl>
    <w:p w:rsidR="000C3A36" w:rsidRPr="002A3F62" w:rsidRDefault="000C3A36" w:rsidP="000C3A36">
      <w:pPr>
        <w:pStyle w:val="AmOrLang"/>
      </w:pPr>
      <w:r w:rsidRPr="002A3F62">
        <w:t xml:space="preserve">Or. </w:t>
      </w:r>
      <w:r w:rsidRPr="002A3F62">
        <w:rPr>
          <w:rStyle w:val="HideTWBExt"/>
          <w:rFonts w:eastAsiaTheme="majorEastAsia"/>
          <w:noProof w:val="0"/>
        </w:rPr>
        <w:t>&lt;Original&gt;</w:t>
      </w:r>
      <w:r w:rsidR="002A3F62" w:rsidRPr="002A3F62">
        <w:rPr>
          <w:rStyle w:val="HideTWBInt"/>
        </w:rPr>
        <w:t>{EN}</w:t>
      </w:r>
      <w:r w:rsidR="002A3F62" w:rsidRPr="002A3F62">
        <w:t>en</w:t>
      </w:r>
      <w:r w:rsidRPr="002A3F62">
        <w:rPr>
          <w:rStyle w:val="HideTWBExt"/>
          <w:rFonts w:eastAsiaTheme="majorEastAsia"/>
          <w:noProof w:val="0"/>
        </w:rPr>
        <w:t>&lt;/Original&gt;</w:t>
      </w:r>
    </w:p>
    <w:p w:rsidR="000C3A36" w:rsidRPr="002A3F62" w:rsidRDefault="000C3A36" w:rsidP="000C3A36">
      <w:pPr>
        <w:sectPr w:rsidR="000C3A36" w:rsidRPr="002A3F62" w:rsidSect="00F61E28">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0C3A36" w:rsidRPr="002A3F62" w:rsidRDefault="000C3A36" w:rsidP="000C3A36">
      <w:r w:rsidRPr="002A3F62">
        <w:rPr>
          <w:rStyle w:val="HideTWBExt"/>
          <w:rFonts w:eastAsiaTheme="majorEastAsia"/>
          <w:noProof w:val="0"/>
        </w:rPr>
        <w:t>&lt;/Amend&gt;</w:t>
      </w:r>
    </w:p>
    <w:p w:rsidR="000C3A36" w:rsidRPr="002A3F62" w:rsidRDefault="000C3A36" w:rsidP="000C3A36">
      <w:pPr>
        <w:pStyle w:val="AmDateTab"/>
      </w:pPr>
      <w:r w:rsidRPr="002A3F62">
        <w:rPr>
          <w:rStyle w:val="HideTWBExt"/>
          <w:rFonts w:eastAsiaTheme="majorEastAsia"/>
          <w:noProof w:val="0"/>
        </w:rPr>
        <w:t>&lt;Amend&gt;&lt;Date&gt;</w:t>
      </w:r>
      <w:r w:rsidR="002A3F62" w:rsidRPr="002A3F62">
        <w:rPr>
          <w:rStyle w:val="HideTWBInt"/>
        </w:rPr>
        <w:t>{09/02/2022}</w:t>
      </w:r>
      <w:r w:rsidR="002A3F62" w:rsidRPr="002A3F62">
        <w:t>9.2.2022</w:t>
      </w:r>
      <w:r w:rsidRPr="002A3F62">
        <w:rPr>
          <w:rStyle w:val="HideTWBExt"/>
          <w:rFonts w:eastAsiaTheme="majorEastAsia"/>
          <w:noProof w:val="0"/>
        </w:rPr>
        <w:t>&lt;/Date&gt;</w:t>
      </w:r>
      <w:r w:rsidRPr="002A3F62">
        <w:tab/>
      </w:r>
      <w:r w:rsidRPr="002A3F62">
        <w:rPr>
          <w:rStyle w:val="HideTWBExt"/>
          <w:rFonts w:eastAsiaTheme="majorEastAsia"/>
          <w:noProof w:val="0"/>
        </w:rPr>
        <w:t>&lt;ANo&gt;</w:t>
      </w:r>
      <w:r w:rsidR="002A3F62" w:rsidRPr="002A3F62">
        <w:t>A9-0354</w:t>
      </w:r>
      <w:r w:rsidRPr="002A3F62">
        <w:rPr>
          <w:rStyle w:val="HideTWBExt"/>
          <w:rFonts w:eastAsiaTheme="majorEastAsia"/>
          <w:noProof w:val="0"/>
        </w:rPr>
        <w:t>&lt;/ANo&gt;</w:t>
      </w:r>
      <w:r w:rsidRPr="002A3F62">
        <w:t>/</w:t>
      </w:r>
      <w:r w:rsidRPr="002A3F62">
        <w:rPr>
          <w:rStyle w:val="HideTWBExt"/>
          <w:rFonts w:eastAsiaTheme="majorEastAsia"/>
          <w:noProof w:val="0"/>
        </w:rPr>
        <w:t>&lt;NumAm&gt;</w:t>
      </w:r>
      <w:r w:rsidRPr="002A3F62">
        <w:t>18</w:t>
      </w:r>
      <w:r w:rsidRPr="002A3F62">
        <w:rPr>
          <w:rStyle w:val="HideTWBExt"/>
          <w:rFonts w:eastAsiaTheme="majorEastAsia"/>
          <w:noProof w:val="0"/>
        </w:rPr>
        <w:t>&lt;/NumAm&gt;</w:t>
      </w:r>
    </w:p>
    <w:p w:rsidR="000C3A36" w:rsidRPr="002A3F62" w:rsidRDefault="000C3A36" w:rsidP="000C3A36">
      <w:pPr>
        <w:pStyle w:val="AmNumberTabs"/>
      </w:pPr>
      <w:r w:rsidRPr="002A3F62">
        <w:t>Amendment</w:t>
      </w:r>
      <w:r w:rsidRPr="002A3F62">
        <w:tab/>
      </w:r>
      <w:r w:rsidRPr="002A3F62">
        <w:tab/>
      </w:r>
      <w:r w:rsidRPr="002A3F62">
        <w:rPr>
          <w:rStyle w:val="HideTWBExt"/>
          <w:rFonts w:eastAsiaTheme="majorEastAsia"/>
          <w:b w:val="0"/>
          <w:noProof w:val="0"/>
        </w:rPr>
        <w:t>&lt;NumAm&gt;</w:t>
      </w:r>
      <w:r w:rsidRPr="002A3F62">
        <w:t>18</w:t>
      </w:r>
      <w:r w:rsidRPr="002A3F62">
        <w:rPr>
          <w:rStyle w:val="HideTWBExt"/>
          <w:rFonts w:eastAsiaTheme="majorEastAsia"/>
          <w:b w:val="0"/>
          <w:noProof w:val="0"/>
        </w:rPr>
        <w:t>&lt;/NumAm&gt;</w:t>
      </w:r>
    </w:p>
    <w:p w:rsidR="000C3A36" w:rsidRPr="002A3F62" w:rsidRDefault="000C3A36" w:rsidP="000C3A36">
      <w:pPr>
        <w:pStyle w:val="NormalBold"/>
      </w:pPr>
      <w:r w:rsidRPr="002A3F62">
        <w:rPr>
          <w:rStyle w:val="HideTWBExt"/>
          <w:rFonts w:eastAsiaTheme="majorEastAsia"/>
          <w:b w:val="0"/>
          <w:noProof w:val="0"/>
        </w:rPr>
        <w:t>&lt;RepeatBlock-By&gt;&lt;By&gt;&lt;Members&gt;</w:t>
      </w:r>
      <w:r w:rsidR="002A3F62" w:rsidRPr="002A3F62">
        <w:t>Pedro Marques, Tonino Picula, Thijs Reuten</w:t>
      </w:r>
      <w:r w:rsidRPr="002A3F62">
        <w:rPr>
          <w:rStyle w:val="HideTWBExt"/>
          <w:rFonts w:eastAsiaTheme="majorEastAsia"/>
          <w:b w:val="0"/>
          <w:noProof w:val="0"/>
        </w:rPr>
        <w:t>&lt;/Members&gt;</w:t>
      </w:r>
    </w:p>
    <w:p w:rsidR="000C3A36" w:rsidRPr="002A3F62" w:rsidRDefault="000C3A36" w:rsidP="000C3A36">
      <w:r w:rsidRPr="002A3F62">
        <w:rPr>
          <w:rStyle w:val="HideTWBExt"/>
          <w:rFonts w:eastAsiaTheme="majorEastAsia"/>
          <w:noProof w:val="0"/>
        </w:rPr>
        <w:t>&lt;AuNomDe&gt;</w:t>
      </w:r>
      <w:r w:rsidR="002A3F62" w:rsidRPr="002A3F62">
        <w:rPr>
          <w:rStyle w:val="HideTWBInt"/>
        </w:rPr>
        <w:t>{S&amp;D}</w:t>
      </w:r>
      <w:r w:rsidR="002A3F62" w:rsidRPr="002A3F62">
        <w:t>on behalf of the S&amp;D Group</w:t>
      </w:r>
      <w:r w:rsidRPr="002A3F62">
        <w:rPr>
          <w:rStyle w:val="HideTWBExt"/>
          <w:rFonts w:eastAsiaTheme="majorEastAsia"/>
          <w:noProof w:val="0"/>
        </w:rPr>
        <w:t>&lt;/AuNomDe&gt;</w:t>
      </w:r>
    </w:p>
    <w:p w:rsidR="000C3A36" w:rsidRPr="002A3F62" w:rsidRDefault="000C3A36" w:rsidP="000C3A36">
      <w:r w:rsidRPr="002A3F62">
        <w:rPr>
          <w:rStyle w:val="HideTWBExt"/>
          <w:rFonts w:eastAsiaTheme="majorEastAsia"/>
          <w:bCs/>
          <w:noProof w:val="0"/>
        </w:rPr>
        <w:t>&lt;/By&gt;</w:t>
      </w:r>
      <w:r w:rsidRPr="002A3F62">
        <w:rPr>
          <w:rStyle w:val="HideTWBExt"/>
          <w:rFonts w:eastAsiaTheme="majorEastAsia"/>
          <w:noProof w:val="0"/>
        </w:rPr>
        <w:t>&lt;/RepeatBlock-By&gt;</w:t>
      </w:r>
    </w:p>
    <w:p w:rsidR="000C3A36" w:rsidRPr="002A3F62" w:rsidRDefault="000C3A36" w:rsidP="000C3A36">
      <w:pPr>
        <w:pStyle w:val="AmDocTypeTab"/>
      </w:pPr>
      <w:r w:rsidRPr="002A3F62">
        <w:rPr>
          <w:rStyle w:val="HideTWBExt"/>
          <w:rFonts w:eastAsiaTheme="majorEastAsia"/>
          <w:b w:val="0"/>
          <w:noProof w:val="0"/>
        </w:rPr>
        <w:t>&lt;TitreType&gt;</w:t>
      </w:r>
      <w:r w:rsidRPr="002A3F62">
        <w:t>Report</w:t>
      </w:r>
      <w:r w:rsidRPr="002A3F62">
        <w:rPr>
          <w:rStyle w:val="HideTWBExt"/>
          <w:rFonts w:eastAsiaTheme="majorEastAsia"/>
          <w:b w:val="0"/>
          <w:noProof w:val="0"/>
        </w:rPr>
        <w:t>&lt;/TitreType&gt;</w:t>
      </w:r>
      <w:r w:rsidRPr="002A3F62">
        <w:tab/>
      </w:r>
      <w:r w:rsidR="002A3F62" w:rsidRPr="002A3F62">
        <w:t>A9-0354</w:t>
      </w:r>
      <w:r w:rsidRPr="002A3F62">
        <w:t>/</w:t>
      </w:r>
      <w:r w:rsidR="002A3F62" w:rsidRPr="002A3F62">
        <w:t>2021</w:t>
      </w:r>
    </w:p>
    <w:p w:rsidR="000C3A36" w:rsidRPr="002A3F62" w:rsidRDefault="000C3A36" w:rsidP="000C3A36">
      <w:pPr>
        <w:pStyle w:val="NormalBold"/>
      </w:pPr>
      <w:r w:rsidRPr="002A3F62">
        <w:rPr>
          <w:rStyle w:val="HideTWBExt"/>
          <w:rFonts w:eastAsiaTheme="majorEastAsia"/>
          <w:b w:val="0"/>
          <w:noProof w:val="0"/>
        </w:rPr>
        <w:t>&lt;Rapporteur&gt;</w:t>
      </w:r>
      <w:r w:rsidR="002A3F62" w:rsidRPr="002A3F62">
        <w:t>David McAllister</w:t>
      </w:r>
      <w:r w:rsidRPr="002A3F62">
        <w:rPr>
          <w:rStyle w:val="HideTWBExt"/>
          <w:rFonts w:eastAsiaTheme="majorEastAsia"/>
          <w:b w:val="0"/>
          <w:noProof w:val="0"/>
        </w:rPr>
        <w:t>&lt;/Rapporteur&gt;</w:t>
      </w:r>
    </w:p>
    <w:p w:rsidR="000C3A36" w:rsidRPr="002A3F62" w:rsidRDefault="000C3A36" w:rsidP="000C3A36">
      <w:r w:rsidRPr="002A3F62">
        <w:rPr>
          <w:rStyle w:val="HideTWBExt"/>
          <w:rFonts w:eastAsiaTheme="majorEastAsia"/>
          <w:noProof w:val="0"/>
        </w:rPr>
        <w:t>&lt;Titre&gt;</w:t>
      </w:r>
      <w:r w:rsidR="002A3F62" w:rsidRPr="002A3F62">
        <w:t>Implementation of the common foreign and security policy – annual report 2021</w:t>
      </w:r>
      <w:r w:rsidRPr="002A3F62">
        <w:rPr>
          <w:rStyle w:val="HideTWBExt"/>
          <w:rFonts w:eastAsiaTheme="majorEastAsia"/>
          <w:noProof w:val="0"/>
        </w:rPr>
        <w:t>&lt;/Titre&gt;</w:t>
      </w:r>
    </w:p>
    <w:p w:rsidR="000C3A36" w:rsidRPr="002A3F62" w:rsidRDefault="000C3A36" w:rsidP="000C3A36">
      <w:pPr>
        <w:pStyle w:val="Normal12a"/>
      </w:pPr>
      <w:r w:rsidRPr="002A3F62">
        <w:rPr>
          <w:rStyle w:val="HideTWBExt"/>
          <w:rFonts w:eastAsiaTheme="majorEastAsia"/>
          <w:noProof w:val="0"/>
        </w:rPr>
        <w:t>&lt;DocRef&gt;</w:t>
      </w:r>
      <w:r w:rsidRPr="002A3F62">
        <w:t>(</w:t>
      </w:r>
      <w:r w:rsidR="002A3F62" w:rsidRPr="002A3F62">
        <w:t>2021/2182(INI)</w:t>
      </w:r>
      <w:r w:rsidRPr="002A3F62">
        <w:t>)</w:t>
      </w:r>
      <w:r w:rsidRPr="002A3F62">
        <w:rPr>
          <w:rStyle w:val="HideTWBExt"/>
          <w:rFonts w:eastAsiaTheme="majorEastAsia"/>
          <w:noProof w:val="0"/>
        </w:rPr>
        <w:t>&lt;/DocRef&gt;</w:t>
      </w:r>
    </w:p>
    <w:p w:rsidR="000C3A36" w:rsidRPr="002A3F62" w:rsidRDefault="000C3A36" w:rsidP="000C3A36">
      <w:pPr>
        <w:pStyle w:val="NormalBold"/>
      </w:pPr>
      <w:r w:rsidRPr="002A3F62">
        <w:rPr>
          <w:rStyle w:val="HideTWBExt"/>
          <w:rFonts w:eastAsiaTheme="majorEastAsia"/>
          <w:b w:val="0"/>
          <w:noProof w:val="0"/>
        </w:rPr>
        <w:t>&lt;DocAmend&gt;</w:t>
      </w:r>
      <w:r w:rsidR="002A3F62" w:rsidRPr="002A3F62">
        <w:t>Motion for a resolution</w:t>
      </w:r>
      <w:r w:rsidRPr="002A3F62">
        <w:rPr>
          <w:rStyle w:val="HideTWBExt"/>
          <w:rFonts w:eastAsiaTheme="majorEastAsia"/>
          <w:b w:val="0"/>
          <w:noProof w:val="0"/>
        </w:rPr>
        <w:t>&lt;/DocAmend&gt;</w:t>
      </w:r>
    </w:p>
    <w:p w:rsidR="000C3A36" w:rsidRPr="002A3F62" w:rsidRDefault="000C3A36" w:rsidP="000C3A36">
      <w:pPr>
        <w:pStyle w:val="NormalBold"/>
      </w:pPr>
      <w:r w:rsidRPr="002A3F62">
        <w:rPr>
          <w:rStyle w:val="HideTWBExt"/>
          <w:rFonts w:eastAsiaTheme="majorEastAsia"/>
          <w:b w:val="0"/>
          <w:noProof w:val="0"/>
        </w:rPr>
        <w:t>&lt;Article&gt;</w:t>
      </w:r>
      <w:r w:rsidR="002A3F62" w:rsidRPr="002A3F62">
        <w:t>Paragraph 63</w:t>
      </w:r>
      <w:r w:rsidRPr="002A3F62">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C3A36" w:rsidRPr="002A3F62" w:rsidTr="00381E31">
        <w:trPr>
          <w:jc w:val="center"/>
        </w:trPr>
        <w:tc>
          <w:tcPr>
            <w:tcW w:w="9752" w:type="dxa"/>
            <w:gridSpan w:val="2"/>
          </w:tcPr>
          <w:p w:rsidR="000C3A36" w:rsidRPr="002A3F62" w:rsidRDefault="000C3A36" w:rsidP="00381E31">
            <w:pPr>
              <w:keepNext/>
            </w:pPr>
          </w:p>
        </w:tc>
      </w:tr>
      <w:tr w:rsidR="000C3A36" w:rsidRPr="002A3F62" w:rsidTr="00381E31">
        <w:trPr>
          <w:jc w:val="center"/>
        </w:trPr>
        <w:tc>
          <w:tcPr>
            <w:tcW w:w="4876" w:type="dxa"/>
          </w:tcPr>
          <w:p w:rsidR="000C3A36" w:rsidRPr="002A3F62" w:rsidRDefault="002A3F62" w:rsidP="00381E31">
            <w:pPr>
              <w:pStyle w:val="AmColumnHeading"/>
              <w:keepNext/>
            </w:pPr>
            <w:r w:rsidRPr="002A3F62">
              <w:t>Motion for a resolution</w:t>
            </w:r>
          </w:p>
        </w:tc>
        <w:tc>
          <w:tcPr>
            <w:tcW w:w="4876" w:type="dxa"/>
          </w:tcPr>
          <w:p w:rsidR="000C3A36" w:rsidRPr="002A3F62" w:rsidRDefault="000C3A36" w:rsidP="00381E31">
            <w:pPr>
              <w:pStyle w:val="AmColumnHeading"/>
              <w:keepNext/>
            </w:pPr>
            <w:r w:rsidRPr="002A3F62">
              <w:t>Amendment</w:t>
            </w:r>
          </w:p>
        </w:tc>
      </w:tr>
      <w:tr w:rsidR="000C3A36" w:rsidRPr="002A3F62" w:rsidTr="00381E31">
        <w:trPr>
          <w:jc w:val="center"/>
        </w:trPr>
        <w:tc>
          <w:tcPr>
            <w:tcW w:w="4876" w:type="dxa"/>
          </w:tcPr>
          <w:p w:rsidR="000C3A36" w:rsidRPr="002A3F62" w:rsidRDefault="002A3F62" w:rsidP="00381E31">
            <w:pPr>
              <w:pStyle w:val="Normal6a"/>
              <w:rPr>
                <w:b/>
                <w:i/>
              </w:rPr>
            </w:pPr>
            <w:r w:rsidRPr="002A3F62">
              <w:t>63.</w:t>
            </w:r>
            <w:r w:rsidRPr="002A3F62">
              <w:rPr>
                <w:b/>
                <w:i/>
              </w:rPr>
              <w:tab/>
            </w:r>
            <w:r w:rsidRPr="002A3F62">
              <w:t>Welcomes the Commission President</w:t>
            </w:r>
            <w:r w:rsidR="00B17D50">
              <w:t>’</w:t>
            </w:r>
            <w:r w:rsidRPr="002A3F62">
              <w:t>s announcement of plans to present a new joint communication on a partnership with the Gulf region; calls for the EU to present a coherent strategy for balanced EU engagement in the region, with the promotion of regional security and cooperation as a key strategic objective; notes that such engagement should strive to build synergies with regional players, such as through the Baghdad Conference for Cooperation and Partnership and through increased EU support for Track II dialogue initiatives involving academics, civil society, religious leaders and other actors; is encouraged by the de-escalation of tensions between Iran and Saudi Arabia and calls on both countries to swiftly conclude the process of re-establishing full diplomatic relations; reiterates that the EU</w:t>
            </w:r>
            <w:r w:rsidR="00B17D50">
              <w:t>’</w:t>
            </w:r>
            <w:r w:rsidRPr="002A3F62">
              <w:t>s priority is to revive the Joint Comprehensive Plan of Action</w:t>
            </w:r>
            <w:r w:rsidRPr="002A3F62">
              <w:rPr>
                <w:b/>
                <w:i/>
              </w:rPr>
              <w:t xml:space="preserve"> </w:t>
            </w:r>
            <w:r w:rsidRPr="002A3F62">
              <w:t>(JCPOA) as a matter of security for Europe and the region; recalls that the JCPOA remains the only way to stop Iran</w:t>
            </w:r>
            <w:r w:rsidR="00B17D50">
              <w:t>’</w:t>
            </w:r>
            <w:r w:rsidRPr="002A3F62">
              <w:t>s worrying nuclear activities; commends the role of the VP/HR and the EEAS in mediating between the US and Iran in efforts to revive the JCPOA; calls on the US and Iran to</w:t>
            </w:r>
            <w:r w:rsidRPr="002A3F62">
              <w:rPr>
                <w:b/>
                <w:i/>
              </w:rPr>
              <w:t xml:space="preserve"> pursue meaningful</w:t>
            </w:r>
            <w:r w:rsidRPr="002A3F62">
              <w:t xml:space="preserve"> negotiations with a view to returning to</w:t>
            </w:r>
            <w:r w:rsidRPr="002A3F62">
              <w:rPr>
                <w:b/>
                <w:i/>
              </w:rPr>
              <w:t xml:space="preserve"> compliance with</w:t>
            </w:r>
            <w:r w:rsidRPr="002A3F62">
              <w:t xml:space="preserve"> the JCPOA; insists that the path towards the revival of the JCPOA combine Iran</w:t>
            </w:r>
            <w:r w:rsidR="00B17D50">
              <w:t>’</w:t>
            </w:r>
            <w:r w:rsidRPr="002A3F62">
              <w:t>s full return to its obligations under the JCPOA with the lifting of all JCPOA-related US sanctions; notes the need to address and counter</w:t>
            </w:r>
            <w:r w:rsidRPr="002A3F62">
              <w:rPr>
                <w:b/>
                <w:i/>
              </w:rPr>
              <w:t xml:space="preserve"> Iran</w:t>
            </w:r>
            <w:r w:rsidR="00B17D50">
              <w:rPr>
                <w:b/>
                <w:i/>
              </w:rPr>
              <w:t>’</w:t>
            </w:r>
            <w:r w:rsidRPr="002A3F62">
              <w:rPr>
                <w:b/>
                <w:i/>
              </w:rPr>
              <w:t>s</w:t>
            </w:r>
            <w:r w:rsidRPr="002A3F62">
              <w:t xml:space="preserve"> wider</w:t>
            </w:r>
            <w:r w:rsidRPr="002A3F62">
              <w:rPr>
                <w:b/>
                <w:i/>
              </w:rPr>
              <w:t xml:space="preserve"> malign and destabilising</w:t>
            </w:r>
            <w:r w:rsidRPr="002A3F62">
              <w:t xml:space="preserve"> activities across the Middle East and beyond, including on the territory of the Member States; stresses that any agreement with Iran needs to include sufficient safeguards so that Iran will not be able to acquire nuclear weapons;</w:t>
            </w:r>
            <w:r w:rsidRPr="002A3F62">
              <w:rPr>
                <w:b/>
                <w:i/>
              </w:rPr>
              <w:t xml:space="preserve"> expresses grave concern about</w:t>
            </w:r>
            <w:r w:rsidRPr="002A3F62">
              <w:t xml:space="preserve"> the International Atomic Energy </w:t>
            </w:r>
            <w:r w:rsidRPr="00B17D50">
              <w:rPr>
                <w:b/>
                <w:i/>
              </w:rPr>
              <w:t>Agency</w:t>
            </w:r>
            <w:r w:rsidR="00B17D50">
              <w:rPr>
                <w:b/>
                <w:i/>
              </w:rPr>
              <w:t>’</w:t>
            </w:r>
            <w:r w:rsidRPr="00EB54C1">
              <w:rPr>
                <w:b/>
                <w:i/>
              </w:rPr>
              <w:t xml:space="preserve">s </w:t>
            </w:r>
            <w:r w:rsidRPr="002A3F62">
              <w:t>(IAEA)</w:t>
            </w:r>
            <w:r w:rsidRPr="002A3F62">
              <w:rPr>
                <w:b/>
                <w:i/>
              </w:rPr>
              <w:t xml:space="preserve"> reported lack of</w:t>
            </w:r>
            <w:r w:rsidRPr="002A3F62">
              <w:t xml:space="preserve"> access to its monitoring and surveillance equipment at nuclear facilities and locations in Iran,</w:t>
            </w:r>
            <w:r w:rsidRPr="002A3F62">
              <w:rPr>
                <w:b/>
                <w:i/>
              </w:rPr>
              <w:t xml:space="preserve"> which greatly hampers</w:t>
            </w:r>
            <w:r w:rsidRPr="002A3F62">
              <w:t xml:space="preserve"> the IAEA</w:t>
            </w:r>
            <w:r w:rsidR="00B17D50">
              <w:t>’</w:t>
            </w:r>
            <w:r w:rsidRPr="002A3F62">
              <w:t>s ability to verify and monitor Iran</w:t>
            </w:r>
            <w:r w:rsidR="00B17D50">
              <w:t>’</w:t>
            </w:r>
            <w:r w:rsidRPr="002A3F62">
              <w:t>s nuclear activities</w:t>
            </w:r>
            <w:r w:rsidRPr="002A3F62">
              <w:rPr>
                <w:b/>
                <w:i/>
              </w:rPr>
              <w:t>, and about the fact that safeguard issues remain unresolved over the last two years</w:t>
            </w:r>
            <w:r w:rsidRPr="002A3F62">
              <w:t>; condemns Iran</w:t>
            </w:r>
            <w:r w:rsidR="00B17D50">
              <w:t>’</w:t>
            </w:r>
            <w:r w:rsidRPr="002A3F62">
              <w:t>s human rights violations against its own people, the ballistic missile programme and</w:t>
            </w:r>
            <w:r w:rsidRPr="002A3F62">
              <w:rPr>
                <w:b/>
                <w:i/>
              </w:rPr>
              <w:t xml:space="preserve"> the terror</w:t>
            </w:r>
            <w:r w:rsidRPr="002A3F62">
              <w:t xml:space="preserve"> activities in the region;</w:t>
            </w:r>
          </w:p>
        </w:tc>
        <w:tc>
          <w:tcPr>
            <w:tcW w:w="4876" w:type="dxa"/>
          </w:tcPr>
          <w:p w:rsidR="000C3A36" w:rsidRPr="002A3F62" w:rsidRDefault="002A3F62" w:rsidP="002A3F62">
            <w:pPr>
              <w:pStyle w:val="Normal6a"/>
              <w:rPr>
                <w:b/>
                <w:i/>
                <w:szCs w:val="24"/>
              </w:rPr>
            </w:pPr>
            <w:r w:rsidRPr="002A3F62">
              <w:t>63.</w:t>
            </w:r>
            <w:r w:rsidRPr="002A3F62">
              <w:rPr>
                <w:b/>
                <w:i/>
              </w:rPr>
              <w:tab/>
            </w:r>
            <w:r w:rsidRPr="002A3F62">
              <w:t>Welcomes the Commission President</w:t>
            </w:r>
            <w:r w:rsidR="00B17D50">
              <w:t>’</w:t>
            </w:r>
            <w:r w:rsidRPr="002A3F62">
              <w:t>s announcement of plans to present a new joint communication on a partnership with the Gulf region; calls for the EU to present a coherent strategy for balanced EU engagement in the region, with the promotion of regional security and cooperation as a key strategic objective; notes that such engagement should strive to build synergies with regional players, such as through the Baghdad Conference for Cooperation and Partnership and through increased EU support for Track II dialogue initiatives involving academics, civil society, religious leaders and other actors; is encouraged by the de-escalation of tensions between Iran and Saudi Arabia and calls on both countries to swiftly conclude the process of re-establishing full diplomatic relations</w:t>
            </w:r>
            <w:r w:rsidRPr="002A3F62">
              <w:rPr>
                <w:b/>
                <w:i/>
              </w:rPr>
              <w:t>, which should lead, inter alia, to a swift conclusion of the war in Yemen</w:t>
            </w:r>
            <w:r w:rsidRPr="002A3F62">
              <w:t>; reiterates that the EU</w:t>
            </w:r>
            <w:r w:rsidR="00B17D50">
              <w:t>’</w:t>
            </w:r>
            <w:r w:rsidRPr="002A3F62">
              <w:t>s priority is to revive the Joint Comprehensive Plan of Action</w:t>
            </w:r>
            <w:r w:rsidRPr="002A3F62">
              <w:rPr>
                <w:b/>
                <w:i/>
              </w:rPr>
              <w:t xml:space="preserve"> </w:t>
            </w:r>
            <w:r w:rsidRPr="002A3F62">
              <w:t>(JCPOA) as a matter of security for Europe and the region; recalls that the JCPOA remains the only way to stop Iran</w:t>
            </w:r>
            <w:r w:rsidR="00B17D50">
              <w:t>’</w:t>
            </w:r>
            <w:r w:rsidRPr="002A3F62">
              <w:t>s worrying nuclear activities; commends the role of the VP/HR and the EEAS in mediating between the US and Iran in efforts to revive the JCPOA; calls on the US and Iran to</w:t>
            </w:r>
            <w:r w:rsidRPr="002A3F62">
              <w:rPr>
                <w:b/>
                <w:i/>
              </w:rPr>
              <w:t xml:space="preserve"> finalise</w:t>
            </w:r>
            <w:r w:rsidRPr="002A3F62">
              <w:t xml:space="preserve"> negotiations with a view to returning to the JCPOA</w:t>
            </w:r>
            <w:r w:rsidRPr="002A3F62">
              <w:rPr>
                <w:b/>
                <w:i/>
              </w:rPr>
              <w:t xml:space="preserve"> and ensuring its full and meaningful implementation by all sides</w:t>
            </w:r>
            <w:r w:rsidRPr="002A3F62">
              <w:t>; insists that the path towards the revival of the JCPOA combine Iran</w:t>
            </w:r>
            <w:r w:rsidR="00B17D50">
              <w:t>’</w:t>
            </w:r>
            <w:r w:rsidRPr="002A3F62">
              <w:t>s full return to its obligations under the JCPOA with the lifting of all JCPOA-related US sanctions; notes the need to address and counter</w:t>
            </w:r>
            <w:r w:rsidRPr="002A3F62">
              <w:rPr>
                <w:b/>
                <w:i/>
              </w:rPr>
              <w:t xml:space="preserve"> the</w:t>
            </w:r>
            <w:r w:rsidRPr="002A3F62">
              <w:t xml:space="preserve"> wider</w:t>
            </w:r>
            <w:r w:rsidRPr="002A3F62">
              <w:rPr>
                <w:b/>
                <w:i/>
              </w:rPr>
              <w:t xml:space="preserve"> damaging</w:t>
            </w:r>
            <w:r w:rsidRPr="002A3F62">
              <w:t xml:space="preserve"> activities across the Middle East and beyond</w:t>
            </w:r>
            <w:r w:rsidRPr="002A3F62">
              <w:rPr>
                <w:b/>
                <w:i/>
              </w:rPr>
              <w:t xml:space="preserve"> perpetrated by Iran and other regional actors</w:t>
            </w:r>
            <w:r w:rsidRPr="002A3F62">
              <w:t>, including on the territory of the Member States; stresses that any agreement with Iran needs to include sufficient safeguards so that Iran will not be able to acquire nuclear weapons;</w:t>
            </w:r>
            <w:r w:rsidRPr="002A3F62">
              <w:rPr>
                <w:b/>
                <w:i/>
              </w:rPr>
              <w:t xml:space="preserve"> calls on Iran to cooperate fully with</w:t>
            </w:r>
            <w:r w:rsidRPr="002A3F62">
              <w:t xml:space="preserve"> the International Atomic Energy </w:t>
            </w:r>
            <w:r w:rsidRPr="00B17D50">
              <w:rPr>
                <w:b/>
                <w:i/>
              </w:rPr>
              <w:t>Agency</w:t>
            </w:r>
            <w:r w:rsidRPr="002A3F62">
              <w:rPr>
                <w:b/>
                <w:i/>
              </w:rPr>
              <w:t xml:space="preserve"> </w:t>
            </w:r>
            <w:r w:rsidRPr="002A3F62">
              <w:t>(IAEA)</w:t>
            </w:r>
            <w:r w:rsidRPr="002A3F62">
              <w:rPr>
                <w:b/>
                <w:i/>
              </w:rPr>
              <w:t xml:space="preserve"> and ensure unhindered</w:t>
            </w:r>
            <w:r w:rsidRPr="002A3F62">
              <w:t xml:space="preserve"> access to its monitoring and surveillance equipment at nuclear facilities and locations in Iran,</w:t>
            </w:r>
            <w:r w:rsidRPr="002A3F62">
              <w:rPr>
                <w:b/>
                <w:i/>
              </w:rPr>
              <w:t xml:space="preserve"> in </w:t>
            </w:r>
            <w:bookmarkStart w:id="2" w:name="_GoBack"/>
            <w:bookmarkEnd w:id="2"/>
            <w:r w:rsidRPr="002A3F62">
              <w:rPr>
                <w:b/>
                <w:i/>
              </w:rPr>
              <w:t>or</w:t>
            </w:r>
            <w:r w:rsidR="00EB54C1">
              <w:rPr>
                <w:b/>
                <w:i/>
              </w:rPr>
              <w:t>d</w:t>
            </w:r>
            <w:r w:rsidRPr="002A3F62">
              <w:rPr>
                <w:b/>
                <w:i/>
              </w:rPr>
              <w:t>er to enhance</w:t>
            </w:r>
            <w:r w:rsidRPr="002A3F62">
              <w:t xml:space="preserve"> the IAEA</w:t>
            </w:r>
            <w:r w:rsidR="00B17D50">
              <w:t>’</w:t>
            </w:r>
            <w:r w:rsidRPr="002A3F62">
              <w:t>s ability to verify and monitor Iran</w:t>
            </w:r>
            <w:r w:rsidR="00B17D50">
              <w:t>’</w:t>
            </w:r>
            <w:r w:rsidRPr="002A3F62">
              <w:t>s nuclear activities; condemns Iran</w:t>
            </w:r>
            <w:r w:rsidR="00B17D50">
              <w:t>’</w:t>
            </w:r>
            <w:r w:rsidRPr="002A3F62">
              <w:t>s human rights violations against its own people, the ballistic missile programme and</w:t>
            </w:r>
            <w:r w:rsidRPr="002A3F62">
              <w:rPr>
                <w:b/>
                <w:i/>
              </w:rPr>
              <w:t xml:space="preserve"> its destabilising</w:t>
            </w:r>
            <w:r w:rsidRPr="002A3F62">
              <w:t xml:space="preserve"> activities in the region;</w:t>
            </w:r>
          </w:p>
        </w:tc>
      </w:tr>
    </w:tbl>
    <w:p w:rsidR="000C3A36" w:rsidRPr="002A3F62" w:rsidRDefault="000C3A36" w:rsidP="000C3A36">
      <w:pPr>
        <w:pStyle w:val="AmOrLang"/>
      </w:pPr>
      <w:r w:rsidRPr="002A3F62">
        <w:t xml:space="preserve">Or. </w:t>
      </w:r>
      <w:r w:rsidRPr="002A3F62">
        <w:rPr>
          <w:rStyle w:val="HideTWBExt"/>
          <w:rFonts w:eastAsiaTheme="majorEastAsia"/>
          <w:noProof w:val="0"/>
        </w:rPr>
        <w:t>&lt;Original&gt;</w:t>
      </w:r>
      <w:r w:rsidR="002A3F62" w:rsidRPr="002A3F62">
        <w:rPr>
          <w:rStyle w:val="HideTWBInt"/>
        </w:rPr>
        <w:t>{EN}</w:t>
      </w:r>
      <w:r w:rsidR="002A3F62" w:rsidRPr="002A3F62">
        <w:t>en</w:t>
      </w:r>
      <w:r w:rsidRPr="002A3F62">
        <w:rPr>
          <w:rStyle w:val="HideTWBExt"/>
          <w:rFonts w:eastAsiaTheme="majorEastAsia"/>
          <w:noProof w:val="0"/>
        </w:rPr>
        <w:t>&lt;/Original&gt;</w:t>
      </w:r>
    </w:p>
    <w:p w:rsidR="000C3A36" w:rsidRPr="002A3F62" w:rsidRDefault="000C3A36" w:rsidP="000C3A36">
      <w:r w:rsidRPr="002A3F62">
        <w:rPr>
          <w:rStyle w:val="HideTWBExt"/>
          <w:rFonts w:eastAsiaTheme="majorEastAsia"/>
          <w:noProof w:val="0"/>
        </w:rPr>
        <w:t>&lt;/Amend&gt;</w:t>
      </w:r>
    </w:p>
    <w:p w:rsidR="006959AA" w:rsidRPr="002A3F62" w:rsidRDefault="006959AA" w:rsidP="006959AA">
      <w:r w:rsidRPr="002A3F62">
        <w:rPr>
          <w:rStyle w:val="HideTWBExt"/>
          <w:noProof w:val="0"/>
        </w:rPr>
        <w:t>&lt;/RepeatBlock-Amend&gt;</w:t>
      </w:r>
    </w:p>
    <w:sectPr w:rsidR="006959AA" w:rsidRPr="002A3F62" w:rsidSect="001B6913">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76" w:rsidRPr="002A3F62" w:rsidRDefault="004F3476">
      <w:r w:rsidRPr="002A3F62">
        <w:separator/>
      </w:r>
    </w:p>
  </w:endnote>
  <w:endnote w:type="continuationSeparator" w:id="0">
    <w:p w:rsidR="004F3476" w:rsidRPr="002A3F62" w:rsidRDefault="004F3476">
      <w:r w:rsidRPr="002A3F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62" w:rsidRDefault="002A3F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62" w:rsidRPr="00B17D50" w:rsidRDefault="002A3F62" w:rsidP="002A2773">
    <w:pPr>
      <w:pStyle w:val="EPFooter"/>
      <w:rPr>
        <w:lang w:val="de-DE"/>
      </w:rPr>
    </w:pPr>
    <w:r w:rsidRPr="00B17D50">
      <w:rPr>
        <w:rStyle w:val="HideTWBExt"/>
        <w:rFonts w:eastAsiaTheme="majorEastAsia"/>
        <w:noProof w:val="0"/>
        <w:lang w:val="de-DE"/>
      </w:rPr>
      <w:t>&lt;PathFdR&gt;</w:t>
    </w:r>
    <w:r w:rsidRPr="00B17D50">
      <w:rPr>
        <w:lang w:val="de-DE"/>
      </w:rPr>
      <w:t>AM\1249186EN.docx</w:t>
    </w:r>
    <w:r w:rsidRPr="00B17D50">
      <w:rPr>
        <w:rStyle w:val="HideTWBExt"/>
        <w:rFonts w:eastAsiaTheme="majorEastAsia"/>
        <w:noProof w:val="0"/>
        <w:lang w:val="de-DE"/>
      </w:rPr>
      <w:t>&lt;/PathFdR&gt;</w:t>
    </w:r>
    <w:r w:rsidRPr="00B17D50">
      <w:rPr>
        <w:lang w:val="de-DE"/>
      </w:rPr>
      <w:tab/>
    </w:r>
    <w:r w:rsidRPr="00B17D50">
      <w:rPr>
        <w:lang w:val="de-DE"/>
      </w:rPr>
      <w:tab/>
      <w:t>PE</w:t>
    </w:r>
    <w:r w:rsidRPr="00B17D50">
      <w:rPr>
        <w:rStyle w:val="HideTWBExt"/>
        <w:rFonts w:eastAsiaTheme="majorEastAsia"/>
        <w:noProof w:val="0"/>
        <w:lang w:val="de-DE"/>
      </w:rPr>
      <w:t>&lt;NoPE&gt;</w:t>
    </w:r>
    <w:r w:rsidRPr="00B17D50">
      <w:rPr>
        <w:lang w:val="de-DE"/>
      </w:rPr>
      <w:t>702.874</w:t>
    </w:r>
    <w:r w:rsidRPr="00B17D50">
      <w:rPr>
        <w:rStyle w:val="HideTWBExt"/>
        <w:rFonts w:eastAsiaTheme="majorEastAsia"/>
        <w:noProof w:val="0"/>
        <w:lang w:val="de-DE"/>
      </w:rPr>
      <w:t>&lt;/NoPE&gt;&lt;Version&gt;</w:t>
    </w:r>
    <w:r w:rsidRPr="00B17D50">
      <w:rPr>
        <w:lang w:val="de-DE"/>
      </w:rPr>
      <w:t>v01-00</w:t>
    </w:r>
    <w:r w:rsidRPr="00B17D50">
      <w:rPr>
        <w:rStyle w:val="HideTWBExt"/>
        <w:rFonts w:eastAsiaTheme="majorEastAsia"/>
        <w:noProof w:val="0"/>
        <w:lang w:val="de-DE"/>
      </w:rPr>
      <w:t>&lt;/Version&gt;</w:t>
    </w:r>
  </w:p>
  <w:p w:rsidR="002A3F62" w:rsidRPr="002A3F62" w:rsidRDefault="002A3F62" w:rsidP="00C14A2B">
    <w:pPr>
      <w:pStyle w:val="EPFooter2"/>
    </w:pPr>
    <w:fldSimple w:instr=" DOCPROPERTY &quot;&lt;Extension&gt;&quot; ">
      <w:r w:rsidR="004425D4">
        <w:t>EN</w:t>
      </w:r>
    </w:fldSimple>
    <w:r w:rsidRPr="002A3F62">
      <w:tab/>
    </w:r>
    <w:r w:rsidRPr="002A3F62">
      <w:rPr>
        <w:b w:val="0"/>
        <w:i/>
        <w:color w:val="C0C0C0"/>
        <w:sz w:val="22"/>
        <w:szCs w:val="22"/>
      </w:rPr>
      <w:t>United in diversity</w:t>
    </w:r>
    <w:r w:rsidRPr="002A3F62">
      <w:tab/>
    </w:r>
    <w:fldSimple w:instr=" DOCPROPERTY &quot;&lt;Extension&gt;&quot; ">
      <w:r w:rsidR="004425D4">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B17D50" w:rsidRDefault="00EE4A94" w:rsidP="002A2773">
    <w:pPr>
      <w:pStyle w:val="EPFooter"/>
      <w:rPr>
        <w:lang w:val="de-DE"/>
      </w:rPr>
    </w:pPr>
    <w:r w:rsidRPr="00B17D50">
      <w:rPr>
        <w:rStyle w:val="HideTWBExt"/>
        <w:noProof w:val="0"/>
        <w:lang w:val="de-DE"/>
      </w:rPr>
      <w:t>&lt;PathFdR&gt;</w:t>
    </w:r>
    <w:r w:rsidR="000C3A36" w:rsidRPr="00B17D50">
      <w:rPr>
        <w:lang w:val="de-DE"/>
      </w:rPr>
      <w:t>AM\1249186EN.docx</w:t>
    </w:r>
    <w:r w:rsidRPr="00B17D50">
      <w:rPr>
        <w:rStyle w:val="HideTWBExt"/>
        <w:noProof w:val="0"/>
        <w:lang w:val="de-DE"/>
      </w:rPr>
      <w:t>&lt;/PathFdR&gt;</w:t>
    </w:r>
    <w:r w:rsidRPr="00B17D50">
      <w:rPr>
        <w:lang w:val="de-DE"/>
      </w:rPr>
      <w:tab/>
    </w:r>
    <w:r w:rsidRPr="00B17D50">
      <w:rPr>
        <w:lang w:val="de-DE"/>
      </w:rPr>
      <w:tab/>
      <w:t>PE</w:t>
    </w:r>
    <w:r w:rsidRPr="00B17D50">
      <w:rPr>
        <w:rStyle w:val="HideTWBExt"/>
        <w:noProof w:val="0"/>
        <w:lang w:val="de-DE"/>
      </w:rPr>
      <w:t>&lt;NoPE&gt;</w:t>
    </w:r>
    <w:r w:rsidR="000C3A36" w:rsidRPr="00B17D50">
      <w:rPr>
        <w:lang w:val="de-DE"/>
      </w:rPr>
      <w:t>702.874</w:t>
    </w:r>
    <w:r w:rsidRPr="00B17D50">
      <w:rPr>
        <w:rStyle w:val="HideTWBExt"/>
        <w:noProof w:val="0"/>
        <w:lang w:val="de-DE"/>
      </w:rPr>
      <w:t>&lt;/NoPE&gt;&lt;Version&gt;</w:t>
    </w:r>
    <w:r w:rsidR="004F3476" w:rsidRPr="00B17D50">
      <w:rPr>
        <w:lang w:val="de-DE"/>
      </w:rPr>
      <w:t>v</w:t>
    </w:r>
    <w:r w:rsidR="000C3A36" w:rsidRPr="00B17D50">
      <w:rPr>
        <w:lang w:val="de-DE"/>
      </w:rPr>
      <w:t>01-00</w:t>
    </w:r>
    <w:r w:rsidRPr="00B17D50">
      <w:rPr>
        <w:rStyle w:val="HideTWBExt"/>
        <w:noProof w:val="0"/>
        <w:lang w:val="de-DE"/>
      </w:rPr>
      <w:t>&lt;/Version&gt;</w:t>
    </w:r>
  </w:p>
  <w:p w:rsidR="00EE4A94" w:rsidRPr="002A3F62" w:rsidRDefault="00601E80" w:rsidP="00C14A2B">
    <w:pPr>
      <w:pStyle w:val="EPFooter2"/>
    </w:pPr>
    <w:fldSimple w:instr=" DOCPROPERTY &quot;&lt;Extension&gt;&quot; ">
      <w:r w:rsidR="004425D4">
        <w:t>EN</w:t>
      </w:r>
    </w:fldSimple>
    <w:r w:rsidR="00FE71A4" w:rsidRPr="002A3F62">
      <w:tab/>
    </w:r>
    <w:r w:rsidR="000C3A36" w:rsidRPr="002A3F62">
      <w:rPr>
        <w:b w:val="0"/>
        <w:i/>
        <w:color w:val="C0C0C0"/>
        <w:sz w:val="22"/>
        <w:szCs w:val="22"/>
      </w:rPr>
      <w:t>United in diversity</w:t>
    </w:r>
    <w:r w:rsidR="00FE71A4" w:rsidRPr="002A3F62">
      <w:tab/>
    </w:r>
    <w:fldSimple w:instr=" DOCPROPERTY &quot;&lt;Extension&gt;&quot; ">
      <w:r w:rsidR="004425D4">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62" w:rsidRDefault="002A3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36" w:rsidRPr="00B17D50" w:rsidRDefault="000C3A36" w:rsidP="002A2773">
    <w:pPr>
      <w:pStyle w:val="EPFooter"/>
      <w:rPr>
        <w:lang w:val="de-DE"/>
      </w:rPr>
    </w:pPr>
    <w:r w:rsidRPr="00B17D50">
      <w:rPr>
        <w:rStyle w:val="HideTWBExt"/>
        <w:rFonts w:eastAsiaTheme="majorEastAsia"/>
        <w:noProof w:val="0"/>
        <w:lang w:val="de-DE"/>
      </w:rPr>
      <w:t>&lt;PathFdR&gt;</w:t>
    </w:r>
    <w:r w:rsidR="001410F2" w:rsidRPr="00B17D50">
      <w:rPr>
        <w:lang w:val="de-DE"/>
      </w:rPr>
      <w:t>AM\1249186EN.docx</w:t>
    </w:r>
    <w:r w:rsidRPr="00B17D50">
      <w:rPr>
        <w:rStyle w:val="HideTWBExt"/>
        <w:rFonts w:eastAsiaTheme="majorEastAsia"/>
        <w:noProof w:val="0"/>
        <w:lang w:val="de-DE"/>
      </w:rPr>
      <w:t>&lt;/PathFdR&gt;</w:t>
    </w:r>
    <w:r w:rsidRPr="00B17D50">
      <w:rPr>
        <w:lang w:val="de-DE"/>
      </w:rPr>
      <w:tab/>
    </w:r>
    <w:r w:rsidRPr="00B17D50">
      <w:rPr>
        <w:lang w:val="de-DE"/>
      </w:rPr>
      <w:tab/>
      <w:t>PE</w:t>
    </w:r>
    <w:r w:rsidRPr="00B17D50">
      <w:rPr>
        <w:rStyle w:val="HideTWBExt"/>
        <w:rFonts w:eastAsiaTheme="majorEastAsia"/>
        <w:noProof w:val="0"/>
        <w:lang w:val="de-DE"/>
      </w:rPr>
      <w:t>&lt;NoPE&gt;</w:t>
    </w:r>
    <w:r w:rsidR="001410F2" w:rsidRPr="00B17D50">
      <w:rPr>
        <w:lang w:val="de-DE"/>
      </w:rPr>
      <w:t>702.874</w:t>
    </w:r>
    <w:r w:rsidRPr="00B17D50">
      <w:rPr>
        <w:rStyle w:val="HideTWBExt"/>
        <w:rFonts w:eastAsiaTheme="majorEastAsia"/>
        <w:noProof w:val="0"/>
        <w:lang w:val="de-DE"/>
      </w:rPr>
      <w:t>&lt;/NoPE&gt;&lt;Version&gt;</w:t>
    </w:r>
    <w:r w:rsidRPr="00B17D50">
      <w:rPr>
        <w:lang w:val="de-DE"/>
      </w:rPr>
      <w:t>v</w:t>
    </w:r>
    <w:r w:rsidR="001410F2" w:rsidRPr="00B17D50">
      <w:rPr>
        <w:lang w:val="de-DE"/>
      </w:rPr>
      <w:t>01-00</w:t>
    </w:r>
    <w:r w:rsidRPr="00B17D50">
      <w:rPr>
        <w:rStyle w:val="HideTWBExt"/>
        <w:rFonts w:eastAsiaTheme="majorEastAsia"/>
        <w:noProof w:val="0"/>
        <w:lang w:val="de-DE"/>
      </w:rPr>
      <w:t>&lt;/Version&gt;</w:t>
    </w:r>
  </w:p>
  <w:p w:rsidR="000C3A36" w:rsidRPr="002A3F62" w:rsidRDefault="000C3A36" w:rsidP="00C14A2B">
    <w:pPr>
      <w:pStyle w:val="EPFooter2"/>
    </w:pPr>
    <w:fldSimple w:instr=" DOCPROPERTY &quot;&lt;Extension&gt;&quot; ">
      <w:r w:rsidR="004425D4">
        <w:t>EN</w:t>
      </w:r>
    </w:fldSimple>
    <w:r w:rsidRPr="002A3F62">
      <w:tab/>
    </w:r>
    <w:r w:rsidR="001410F2" w:rsidRPr="002A3F62">
      <w:rPr>
        <w:b w:val="0"/>
        <w:i/>
        <w:color w:val="C0C0C0"/>
        <w:sz w:val="22"/>
        <w:szCs w:val="22"/>
      </w:rPr>
      <w:t>United in diversity</w:t>
    </w:r>
    <w:r w:rsidRPr="002A3F62">
      <w:tab/>
    </w:r>
    <w:fldSimple w:instr=" DOCPROPERTY &quot;&lt;Extension&gt;&quot; ">
      <w:r w:rsidR="004425D4">
        <w:t>EN</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36" w:rsidRPr="00B17D50" w:rsidRDefault="000C3A36" w:rsidP="002A2773">
    <w:pPr>
      <w:pStyle w:val="EPFooter"/>
      <w:rPr>
        <w:lang w:val="de-DE"/>
      </w:rPr>
    </w:pPr>
    <w:r w:rsidRPr="00B17D50">
      <w:rPr>
        <w:rStyle w:val="HideTWBExt"/>
        <w:rFonts w:eastAsiaTheme="majorEastAsia"/>
        <w:noProof w:val="0"/>
        <w:lang w:val="de-DE"/>
      </w:rPr>
      <w:t>&lt;PathFdR&gt;</w:t>
    </w:r>
    <w:r w:rsidR="001410F2" w:rsidRPr="00B17D50">
      <w:rPr>
        <w:lang w:val="de-DE"/>
      </w:rPr>
      <w:t>AM\1249186EN.docx</w:t>
    </w:r>
    <w:r w:rsidRPr="00B17D50">
      <w:rPr>
        <w:rStyle w:val="HideTWBExt"/>
        <w:rFonts w:eastAsiaTheme="majorEastAsia"/>
        <w:noProof w:val="0"/>
        <w:lang w:val="de-DE"/>
      </w:rPr>
      <w:t>&lt;/PathFdR&gt;</w:t>
    </w:r>
    <w:r w:rsidRPr="00B17D50">
      <w:rPr>
        <w:lang w:val="de-DE"/>
      </w:rPr>
      <w:tab/>
    </w:r>
    <w:r w:rsidRPr="00B17D50">
      <w:rPr>
        <w:lang w:val="de-DE"/>
      </w:rPr>
      <w:tab/>
      <w:t>PE</w:t>
    </w:r>
    <w:r w:rsidRPr="00B17D50">
      <w:rPr>
        <w:rStyle w:val="HideTWBExt"/>
        <w:rFonts w:eastAsiaTheme="majorEastAsia"/>
        <w:noProof w:val="0"/>
        <w:lang w:val="de-DE"/>
      </w:rPr>
      <w:t>&lt;NoPE&gt;</w:t>
    </w:r>
    <w:r w:rsidR="001410F2" w:rsidRPr="00B17D50">
      <w:rPr>
        <w:lang w:val="de-DE"/>
      </w:rPr>
      <w:t>702.874</w:t>
    </w:r>
    <w:r w:rsidRPr="00B17D50">
      <w:rPr>
        <w:rStyle w:val="HideTWBExt"/>
        <w:rFonts w:eastAsiaTheme="majorEastAsia"/>
        <w:noProof w:val="0"/>
        <w:lang w:val="de-DE"/>
      </w:rPr>
      <w:t>&lt;/NoPE&gt;&lt;Version&gt;</w:t>
    </w:r>
    <w:r w:rsidRPr="00B17D50">
      <w:rPr>
        <w:lang w:val="de-DE"/>
      </w:rPr>
      <w:t>v</w:t>
    </w:r>
    <w:r w:rsidR="001410F2" w:rsidRPr="00B17D50">
      <w:rPr>
        <w:lang w:val="de-DE"/>
      </w:rPr>
      <w:t>01-00</w:t>
    </w:r>
    <w:r w:rsidRPr="00B17D50">
      <w:rPr>
        <w:rStyle w:val="HideTWBExt"/>
        <w:rFonts w:eastAsiaTheme="majorEastAsia"/>
        <w:noProof w:val="0"/>
        <w:lang w:val="de-DE"/>
      </w:rPr>
      <w:t>&lt;/Version&gt;</w:t>
    </w:r>
  </w:p>
  <w:p w:rsidR="000C3A36" w:rsidRPr="002A3F62" w:rsidRDefault="000C3A36" w:rsidP="00C14A2B">
    <w:pPr>
      <w:pStyle w:val="EPFooter2"/>
    </w:pPr>
    <w:fldSimple w:instr=" DOCPROPERTY &quot;&lt;Extension&gt;&quot; ">
      <w:r w:rsidR="004425D4">
        <w:t>EN</w:t>
      </w:r>
    </w:fldSimple>
    <w:r w:rsidRPr="002A3F62">
      <w:tab/>
    </w:r>
    <w:r w:rsidR="001410F2" w:rsidRPr="002A3F62">
      <w:rPr>
        <w:b w:val="0"/>
        <w:i/>
        <w:color w:val="C0C0C0"/>
        <w:sz w:val="22"/>
        <w:szCs w:val="22"/>
      </w:rPr>
      <w:t>United in diversity</w:t>
    </w:r>
    <w:r w:rsidRPr="002A3F62">
      <w:tab/>
    </w:r>
    <w:fldSimple w:instr=" DOCPROPERTY &quot;&lt;Extension&gt;&quot; ">
      <w:r w:rsidR="004425D4">
        <w:t>EN</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36" w:rsidRPr="00B17D50" w:rsidRDefault="000C3A36" w:rsidP="002A2773">
    <w:pPr>
      <w:pStyle w:val="EPFooter"/>
      <w:rPr>
        <w:lang w:val="de-DE"/>
      </w:rPr>
    </w:pPr>
    <w:r w:rsidRPr="00B17D50">
      <w:rPr>
        <w:rStyle w:val="HideTWBExt"/>
        <w:rFonts w:eastAsiaTheme="majorEastAsia"/>
        <w:noProof w:val="0"/>
        <w:lang w:val="de-DE"/>
      </w:rPr>
      <w:t>&lt;PathFdR&gt;</w:t>
    </w:r>
    <w:r w:rsidR="001410F2" w:rsidRPr="00B17D50">
      <w:rPr>
        <w:lang w:val="de-DE"/>
      </w:rPr>
      <w:t>AM\1249186EN.docx</w:t>
    </w:r>
    <w:r w:rsidRPr="00B17D50">
      <w:rPr>
        <w:rStyle w:val="HideTWBExt"/>
        <w:rFonts w:eastAsiaTheme="majorEastAsia"/>
        <w:noProof w:val="0"/>
        <w:lang w:val="de-DE"/>
      </w:rPr>
      <w:t>&lt;/PathFdR&gt;</w:t>
    </w:r>
    <w:r w:rsidRPr="00B17D50">
      <w:rPr>
        <w:lang w:val="de-DE"/>
      </w:rPr>
      <w:tab/>
    </w:r>
    <w:r w:rsidRPr="00B17D50">
      <w:rPr>
        <w:lang w:val="de-DE"/>
      </w:rPr>
      <w:tab/>
      <w:t>PE</w:t>
    </w:r>
    <w:r w:rsidRPr="00B17D50">
      <w:rPr>
        <w:rStyle w:val="HideTWBExt"/>
        <w:rFonts w:eastAsiaTheme="majorEastAsia"/>
        <w:noProof w:val="0"/>
        <w:lang w:val="de-DE"/>
      </w:rPr>
      <w:t>&lt;NoPE&gt;</w:t>
    </w:r>
    <w:r w:rsidR="001410F2" w:rsidRPr="00B17D50">
      <w:rPr>
        <w:lang w:val="de-DE"/>
      </w:rPr>
      <w:t>702.874</w:t>
    </w:r>
    <w:r w:rsidRPr="00B17D50">
      <w:rPr>
        <w:rStyle w:val="HideTWBExt"/>
        <w:rFonts w:eastAsiaTheme="majorEastAsia"/>
        <w:noProof w:val="0"/>
        <w:lang w:val="de-DE"/>
      </w:rPr>
      <w:t>&lt;/NoPE&gt;&lt;Version&gt;</w:t>
    </w:r>
    <w:r w:rsidRPr="00B17D50">
      <w:rPr>
        <w:lang w:val="de-DE"/>
      </w:rPr>
      <w:t>v</w:t>
    </w:r>
    <w:r w:rsidR="001410F2" w:rsidRPr="00B17D50">
      <w:rPr>
        <w:lang w:val="de-DE"/>
      </w:rPr>
      <w:t>01-00</w:t>
    </w:r>
    <w:r w:rsidRPr="00B17D50">
      <w:rPr>
        <w:rStyle w:val="HideTWBExt"/>
        <w:rFonts w:eastAsiaTheme="majorEastAsia"/>
        <w:noProof w:val="0"/>
        <w:lang w:val="de-DE"/>
      </w:rPr>
      <w:t>&lt;/Version&gt;</w:t>
    </w:r>
  </w:p>
  <w:p w:rsidR="000C3A36" w:rsidRPr="002A3F62" w:rsidRDefault="000C3A36" w:rsidP="00C14A2B">
    <w:pPr>
      <w:pStyle w:val="EPFooter2"/>
    </w:pPr>
    <w:fldSimple w:instr=" DOCPROPERTY &quot;&lt;Extension&gt;&quot; ">
      <w:r w:rsidR="004425D4">
        <w:t>EN</w:t>
      </w:r>
    </w:fldSimple>
    <w:r w:rsidRPr="002A3F62">
      <w:tab/>
    </w:r>
    <w:r w:rsidR="001410F2" w:rsidRPr="002A3F62">
      <w:rPr>
        <w:b w:val="0"/>
        <w:i/>
        <w:color w:val="C0C0C0"/>
        <w:sz w:val="22"/>
        <w:szCs w:val="22"/>
      </w:rPr>
      <w:t>United in diversity</w:t>
    </w:r>
    <w:r w:rsidRPr="002A3F62">
      <w:tab/>
    </w:r>
    <w:fldSimple w:instr=" DOCPROPERTY &quot;&lt;Extension&gt;&quot; ">
      <w:r w:rsidR="004425D4">
        <w:t>EN</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36" w:rsidRPr="00B17D50" w:rsidRDefault="000C3A36" w:rsidP="002A2773">
    <w:pPr>
      <w:pStyle w:val="EPFooter"/>
      <w:rPr>
        <w:lang w:val="de-DE"/>
      </w:rPr>
    </w:pPr>
    <w:r w:rsidRPr="00B17D50">
      <w:rPr>
        <w:rStyle w:val="HideTWBExt"/>
        <w:rFonts w:eastAsiaTheme="majorEastAsia"/>
        <w:noProof w:val="0"/>
        <w:lang w:val="de-DE"/>
      </w:rPr>
      <w:t>&lt;PathFdR&gt;</w:t>
    </w:r>
    <w:r w:rsidR="001410F2" w:rsidRPr="00B17D50">
      <w:rPr>
        <w:lang w:val="de-DE"/>
      </w:rPr>
      <w:t>AM\1249186EN.docx</w:t>
    </w:r>
    <w:r w:rsidRPr="00B17D50">
      <w:rPr>
        <w:rStyle w:val="HideTWBExt"/>
        <w:rFonts w:eastAsiaTheme="majorEastAsia"/>
        <w:noProof w:val="0"/>
        <w:lang w:val="de-DE"/>
      </w:rPr>
      <w:t>&lt;/PathFdR&gt;</w:t>
    </w:r>
    <w:r w:rsidRPr="00B17D50">
      <w:rPr>
        <w:lang w:val="de-DE"/>
      </w:rPr>
      <w:tab/>
    </w:r>
    <w:r w:rsidRPr="00B17D50">
      <w:rPr>
        <w:lang w:val="de-DE"/>
      </w:rPr>
      <w:tab/>
      <w:t>PE</w:t>
    </w:r>
    <w:r w:rsidRPr="00B17D50">
      <w:rPr>
        <w:rStyle w:val="HideTWBExt"/>
        <w:rFonts w:eastAsiaTheme="majorEastAsia"/>
        <w:noProof w:val="0"/>
        <w:lang w:val="de-DE"/>
      </w:rPr>
      <w:t>&lt;NoPE&gt;</w:t>
    </w:r>
    <w:r w:rsidR="001410F2" w:rsidRPr="00B17D50">
      <w:rPr>
        <w:lang w:val="de-DE"/>
      </w:rPr>
      <w:t>702.874</w:t>
    </w:r>
    <w:r w:rsidRPr="00B17D50">
      <w:rPr>
        <w:rStyle w:val="HideTWBExt"/>
        <w:rFonts w:eastAsiaTheme="majorEastAsia"/>
        <w:noProof w:val="0"/>
        <w:lang w:val="de-DE"/>
      </w:rPr>
      <w:t>&lt;/NoPE&gt;&lt;Version&gt;</w:t>
    </w:r>
    <w:r w:rsidRPr="00B17D50">
      <w:rPr>
        <w:lang w:val="de-DE"/>
      </w:rPr>
      <w:t>v</w:t>
    </w:r>
    <w:r w:rsidR="001410F2" w:rsidRPr="00B17D50">
      <w:rPr>
        <w:lang w:val="de-DE"/>
      </w:rPr>
      <w:t>01-00</w:t>
    </w:r>
    <w:r w:rsidRPr="00B17D50">
      <w:rPr>
        <w:rStyle w:val="HideTWBExt"/>
        <w:rFonts w:eastAsiaTheme="majorEastAsia"/>
        <w:noProof w:val="0"/>
        <w:lang w:val="de-DE"/>
      </w:rPr>
      <w:t>&lt;/Version&gt;</w:t>
    </w:r>
  </w:p>
  <w:p w:rsidR="000C3A36" w:rsidRPr="002A3F62" w:rsidRDefault="000C3A36" w:rsidP="00C14A2B">
    <w:pPr>
      <w:pStyle w:val="EPFooter2"/>
    </w:pPr>
    <w:fldSimple w:instr=" DOCPROPERTY &quot;&lt;Extension&gt;&quot; ">
      <w:r w:rsidR="004425D4">
        <w:t>EN</w:t>
      </w:r>
    </w:fldSimple>
    <w:r w:rsidRPr="002A3F62">
      <w:tab/>
    </w:r>
    <w:r w:rsidR="001410F2" w:rsidRPr="002A3F62">
      <w:rPr>
        <w:b w:val="0"/>
        <w:i/>
        <w:color w:val="C0C0C0"/>
        <w:sz w:val="22"/>
        <w:szCs w:val="22"/>
      </w:rPr>
      <w:t>United in diversity</w:t>
    </w:r>
    <w:r w:rsidRPr="002A3F62">
      <w:tab/>
    </w:r>
    <w:fldSimple w:instr=" DOCPROPERTY &quot;&lt;Extension&gt;&quot; ">
      <w:r w:rsidR="004425D4">
        <w:t>EN</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36" w:rsidRPr="00B17D50" w:rsidRDefault="000C3A36" w:rsidP="002A2773">
    <w:pPr>
      <w:pStyle w:val="EPFooter"/>
      <w:rPr>
        <w:lang w:val="de-DE"/>
      </w:rPr>
    </w:pPr>
    <w:r w:rsidRPr="00B17D50">
      <w:rPr>
        <w:rStyle w:val="HideTWBExt"/>
        <w:rFonts w:eastAsiaTheme="majorEastAsia"/>
        <w:noProof w:val="0"/>
        <w:lang w:val="de-DE"/>
      </w:rPr>
      <w:t>&lt;PathFdR&gt;</w:t>
    </w:r>
    <w:r w:rsidR="001410F2" w:rsidRPr="00B17D50">
      <w:rPr>
        <w:lang w:val="de-DE"/>
      </w:rPr>
      <w:t>AM\1249186EN.docx</w:t>
    </w:r>
    <w:r w:rsidRPr="00B17D50">
      <w:rPr>
        <w:rStyle w:val="HideTWBExt"/>
        <w:rFonts w:eastAsiaTheme="majorEastAsia"/>
        <w:noProof w:val="0"/>
        <w:lang w:val="de-DE"/>
      </w:rPr>
      <w:t>&lt;/PathFdR&gt;</w:t>
    </w:r>
    <w:r w:rsidRPr="00B17D50">
      <w:rPr>
        <w:lang w:val="de-DE"/>
      </w:rPr>
      <w:tab/>
    </w:r>
    <w:r w:rsidRPr="00B17D50">
      <w:rPr>
        <w:lang w:val="de-DE"/>
      </w:rPr>
      <w:tab/>
      <w:t>PE</w:t>
    </w:r>
    <w:r w:rsidRPr="00B17D50">
      <w:rPr>
        <w:rStyle w:val="HideTWBExt"/>
        <w:rFonts w:eastAsiaTheme="majorEastAsia"/>
        <w:noProof w:val="0"/>
        <w:lang w:val="de-DE"/>
      </w:rPr>
      <w:t>&lt;NoPE&gt;</w:t>
    </w:r>
    <w:r w:rsidR="001410F2" w:rsidRPr="00B17D50">
      <w:rPr>
        <w:lang w:val="de-DE"/>
      </w:rPr>
      <w:t>702.874</w:t>
    </w:r>
    <w:r w:rsidRPr="00B17D50">
      <w:rPr>
        <w:rStyle w:val="HideTWBExt"/>
        <w:rFonts w:eastAsiaTheme="majorEastAsia"/>
        <w:noProof w:val="0"/>
        <w:lang w:val="de-DE"/>
      </w:rPr>
      <w:t>&lt;/NoPE&gt;&lt;Version&gt;</w:t>
    </w:r>
    <w:r w:rsidRPr="00B17D50">
      <w:rPr>
        <w:lang w:val="de-DE"/>
      </w:rPr>
      <w:t>v</w:t>
    </w:r>
    <w:r w:rsidR="001410F2" w:rsidRPr="00B17D50">
      <w:rPr>
        <w:lang w:val="de-DE"/>
      </w:rPr>
      <w:t>01-00</w:t>
    </w:r>
    <w:r w:rsidRPr="00B17D50">
      <w:rPr>
        <w:rStyle w:val="HideTWBExt"/>
        <w:rFonts w:eastAsiaTheme="majorEastAsia"/>
        <w:noProof w:val="0"/>
        <w:lang w:val="de-DE"/>
      </w:rPr>
      <w:t>&lt;/Version&gt;</w:t>
    </w:r>
  </w:p>
  <w:p w:rsidR="000C3A36" w:rsidRPr="002A3F62" w:rsidRDefault="000C3A36" w:rsidP="00C14A2B">
    <w:pPr>
      <w:pStyle w:val="EPFooter2"/>
    </w:pPr>
    <w:fldSimple w:instr=" DOCPROPERTY &quot;&lt;Extension&gt;&quot; ">
      <w:r w:rsidR="004425D4">
        <w:t>EN</w:t>
      </w:r>
    </w:fldSimple>
    <w:r w:rsidRPr="002A3F62">
      <w:tab/>
    </w:r>
    <w:r w:rsidR="001410F2" w:rsidRPr="002A3F62">
      <w:rPr>
        <w:b w:val="0"/>
        <w:i/>
        <w:color w:val="C0C0C0"/>
        <w:sz w:val="22"/>
        <w:szCs w:val="22"/>
      </w:rPr>
      <w:t>United in diversity</w:t>
    </w:r>
    <w:r w:rsidRPr="002A3F62">
      <w:tab/>
    </w:r>
    <w:fldSimple w:instr=" DOCPROPERTY &quot;&lt;Extension&gt;&quot; ">
      <w:r w:rsidR="004425D4">
        <w:t>EN</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36" w:rsidRPr="00B17D50" w:rsidRDefault="000C3A36" w:rsidP="002A2773">
    <w:pPr>
      <w:pStyle w:val="EPFooter"/>
      <w:rPr>
        <w:lang w:val="de-DE"/>
      </w:rPr>
    </w:pPr>
    <w:r w:rsidRPr="00B17D50">
      <w:rPr>
        <w:rStyle w:val="HideTWBExt"/>
        <w:rFonts w:eastAsiaTheme="majorEastAsia"/>
        <w:noProof w:val="0"/>
        <w:lang w:val="de-DE"/>
      </w:rPr>
      <w:t>&lt;PathFdR&gt;</w:t>
    </w:r>
    <w:r w:rsidR="001410F2" w:rsidRPr="00B17D50">
      <w:rPr>
        <w:lang w:val="de-DE"/>
      </w:rPr>
      <w:t>AM\1249186EN.docx</w:t>
    </w:r>
    <w:r w:rsidRPr="00B17D50">
      <w:rPr>
        <w:rStyle w:val="HideTWBExt"/>
        <w:rFonts w:eastAsiaTheme="majorEastAsia"/>
        <w:noProof w:val="0"/>
        <w:lang w:val="de-DE"/>
      </w:rPr>
      <w:t>&lt;/PathFdR&gt;</w:t>
    </w:r>
    <w:r w:rsidRPr="00B17D50">
      <w:rPr>
        <w:lang w:val="de-DE"/>
      </w:rPr>
      <w:tab/>
    </w:r>
    <w:r w:rsidRPr="00B17D50">
      <w:rPr>
        <w:lang w:val="de-DE"/>
      </w:rPr>
      <w:tab/>
      <w:t>PE</w:t>
    </w:r>
    <w:r w:rsidRPr="00B17D50">
      <w:rPr>
        <w:rStyle w:val="HideTWBExt"/>
        <w:rFonts w:eastAsiaTheme="majorEastAsia"/>
        <w:noProof w:val="0"/>
        <w:lang w:val="de-DE"/>
      </w:rPr>
      <w:t>&lt;NoPE&gt;</w:t>
    </w:r>
    <w:r w:rsidR="001410F2" w:rsidRPr="00B17D50">
      <w:rPr>
        <w:lang w:val="de-DE"/>
      </w:rPr>
      <w:t>702.874</w:t>
    </w:r>
    <w:r w:rsidRPr="00B17D50">
      <w:rPr>
        <w:rStyle w:val="HideTWBExt"/>
        <w:rFonts w:eastAsiaTheme="majorEastAsia"/>
        <w:noProof w:val="0"/>
        <w:lang w:val="de-DE"/>
      </w:rPr>
      <w:t>&lt;/NoPE&gt;&lt;Version&gt;</w:t>
    </w:r>
    <w:r w:rsidRPr="00B17D50">
      <w:rPr>
        <w:lang w:val="de-DE"/>
      </w:rPr>
      <w:t>v</w:t>
    </w:r>
    <w:r w:rsidR="001410F2" w:rsidRPr="00B17D50">
      <w:rPr>
        <w:lang w:val="de-DE"/>
      </w:rPr>
      <w:t>01-00</w:t>
    </w:r>
    <w:r w:rsidRPr="00B17D50">
      <w:rPr>
        <w:rStyle w:val="HideTWBExt"/>
        <w:rFonts w:eastAsiaTheme="majorEastAsia"/>
        <w:noProof w:val="0"/>
        <w:lang w:val="de-DE"/>
      </w:rPr>
      <w:t>&lt;/Version&gt;</w:t>
    </w:r>
  </w:p>
  <w:p w:rsidR="000C3A36" w:rsidRPr="002A3F62" w:rsidRDefault="000C3A36" w:rsidP="00C14A2B">
    <w:pPr>
      <w:pStyle w:val="EPFooter2"/>
    </w:pPr>
    <w:fldSimple w:instr=" DOCPROPERTY &quot;&lt;Extension&gt;&quot; ">
      <w:r w:rsidR="004425D4">
        <w:t>EN</w:t>
      </w:r>
    </w:fldSimple>
    <w:r w:rsidRPr="002A3F62">
      <w:tab/>
    </w:r>
    <w:r w:rsidR="001410F2" w:rsidRPr="002A3F62">
      <w:rPr>
        <w:b w:val="0"/>
        <w:i/>
        <w:color w:val="C0C0C0"/>
        <w:sz w:val="22"/>
        <w:szCs w:val="22"/>
      </w:rPr>
      <w:t>United in diversity</w:t>
    </w:r>
    <w:r w:rsidRPr="002A3F62">
      <w:tab/>
    </w:r>
    <w:fldSimple w:instr=" DOCPROPERTY &quot;&lt;Extension&gt;&quot; ">
      <w:r w:rsidR="004425D4">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76" w:rsidRPr="002A3F62" w:rsidRDefault="004F3476">
      <w:r w:rsidRPr="002A3F62">
        <w:separator/>
      </w:r>
    </w:p>
  </w:footnote>
  <w:footnote w:type="continuationSeparator" w:id="0">
    <w:p w:rsidR="004F3476" w:rsidRPr="002A3F62" w:rsidRDefault="004F3476">
      <w:r w:rsidRPr="002A3F6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62" w:rsidRDefault="002A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62" w:rsidRDefault="002A3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62" w:rsidRDefault="002A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8"/>
    <w:docVar w:name="DOCDT" w:val="09/02/2022"/>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7\fbidi \froman\fcharset238\fprq2 Times New Roman CE;}_x000d__x000a_{\f308\fbidi \froman\fcharset204\fprq2 Times New Roman Cyr;}{\f310\fbidi \froman\fcharset161\fprq2 Times New Roman Greek;}{\f311\fbidi \froman\fcharset162\fprq2 Times New Roman Tur;}{\f312\fbidi \froman\fcharset177\fprq2 Times New Roman (Hebrew);}_x000d__x000a_{\f313\fbidi \froman\fcharset178\fprq2 Times New Roman (Arabic);}{\f314\fbidi \froman\fcharset186\fprq2 Times New Roman Baltic;}{\f315\fbidi \froman\fcharset163\fprq2 Times New Roman (Vietnamese);}{\f317\fbidi \fswiss\fcharset238\fprq2 Arial CE;}_x000d__x000a_{\f318\fbidi \fswiss\fcharset204\fprq2 Arial Cyr;}{\f320\fbidi \fswiss\fcharset161\fprq2 Arial Greek;}{\f321\fbidi \fswiss\fcharset162\fprq2 Arial Tur;}{\f322\fbidi \fswiss\fcharset177\fprq2 Arial (Hebrew);}_x000d__x000a_{\f323\fbidi \fswiss\fcharset178\fprq2 Arial (Arabic);}{\f324\fbidi \fswiss\fcharset186\fprq2 Arial Baltic;}{\f325\fbidi \fswiss\fcharset163\fprq2 Arial (Vietnamese);}{\f647\fbidi \froman\fcharset238\fprq2 Cambria Math CE;}_x000d__x000a_{\f648\fbidi \froman\fcharset204\fprq2 Cambria Math Cyr;}{\f650\fbidi \froman\fcharset161\fprq2 Cambria Math Greek;}{\f651\fbidi \froman\fcharset162\fprq2 Cambria Math Tur;}{\f654\fbidi \froman\fcharset186\fprq2 Cambria Math Baltic;}_x000d__x000a_{\f65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845454 HideTWBExt;}{\s18\ql \li-850\ri-850\widctlpar_x000d__x000a_\tqc\tx4535\tqr\tx9921\wrapdefault\aspalpha\aspnum\faauto\adjustright\rin-850\lin-850\itap0 \rtlch\fcs1 \af1\afs20\alang1025 \ltrch\fcs0 \b\f1\fs48\lang2057\langfe2057\cgrid\langnp2057\langfenp2057 \sbasedon0 \snext0 \spriority0 \styrsid9845454 _x000d__x000a_EPFooter2;}{\s19\ql \li0\ri0\sb240\sa240\nowidctlpar\tqc\tx4535\tqr\tx9071\wrapdefault\aspalpha\aspnum\faauto\adjustright\rin0\lin0\itap0 \rtlch\fcs1 \af0\afs20\alang1025 \ltrch\fcs0 \fs22\lang2057\langfe2057\cgrid\langnp2057\langfenp2057 _x000d__x000a_\sbasedon0 \snext19 \spriority0 \styrsid9845454 EPFooter;}}{\*\rsidtbl \rsid24658\rsid223860\rsid735077\rsid1718133\rsid2892074\rsid3565327\rsid4666813\rsid6055213\rsid6641733\rsid7823322\rsid9636012\rsid9845454\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 }{\operator BROCCA Monica }{\creatim\yr2022\mo2\dy9\hr12\min7}{\revtim\yr2022\mo2\dy9\hr12\min7}{\version1}{\edmins0}{\nofpages2}{\nofwords0}{\nofchars1}{\nofcharsws1}{\vern105}}{\*\xmlnstbl {\xmlns1 http://schemas.microsoft.com/off_x000d__x000a_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845454\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6055213 \chftnsep _x000d__x000a_\par }}{\*\ftnsepc \ltrpar \pard\plain \ltrpar\ql \li0\ri0\widctlpar\wrapdefault\aspalpha\aspnum\faauto\adjustright\rin0\lin0\itap0 \rtlch\fcs1 \af0\afs20\alang1025 \ltrch\fcs0 \fs24\lang2057\langfe2057\cgrid\langnp2057\langfenp2057 {\rtlch\fcs1 \af0 _x000d__x000a_\ltrch\fcs0 \insrsid6055213 \chftnsepc _x000d__x000a_\par }}{\*\aftnsep \ltrpar \pard\plain \ltrpar\ql \li0\ri0\widctlpar\wrapdefault\aspalpha\aspnum\faauto\adjustright\rin0\lin0\itap0 \rtlch\fcs1 \af0\afs20\alang1025 \ltrch\fcs0 \fs24\lang2057\langfe2057\cgrid\langnp2057\langfenp2057 {\rtlch\fcs1 \af0 _x000d__x000a_\ltrch\fcs0 \insrsid6055213 \chftnsep _x000d__x000a_\par }}{\*\aftnsepc \ltrpar \pard\plain \ltrpar\ql \li0\ri0\widctlpar\wrapdefault\aspalpha\aspnum\faauto\adjustright\rin0\lin0\itap0 \rtlch\fcs1 \af0\afs20\alang1025 \ltrch\fcs0 \fs24\lang2057\langfe2057\cgrid\langnp2057\langfenp2057 {\rtlch\fcs1 \af0 _x000d__x000a_\ltrch\fcs0 \insrsid6055213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9845454\charrsid13179069 \hich\af1\dbch\af31501\loch\f1 &lt;PathFdR&gt;}{\rtlch\fcs1 \af0 \ltrch\fcs0 \insrsid9845454\charrsid9389231 AM\\1249110EN.docx}{\rtlch\fcs1 \af0 \ltrch\fcs0 _x000d__x000a_\cs17\v\fs20\cf9\loch\af1\hich\af1\dbch\af31501\insrsid9845454\charrsid13179069 \hich\af1\dbch\af31501\loch\f1 &lt;/PathFdR&gt;}{\rtlch\fcs1 \af0 \ltrch\fcs0 \insrsid9845454\charrsid13179069 \tab \tab PE}{\rtlch\fcs1 \af0 \ltrch\fcs0 _x000d__x000a_\cs17\v\fs20\cf9\loch\af1\hich\af1\dbch\af31501\insrsid9845454\charrsid13179069 \hich\af1\dbch\af31501\loch\f1 &lt;NoPE&gt;}{\rtlch\fcs1 \af0 \ltrch\fcs0 \insrsid9845454\charrsid9389231 702.878}{\rtlch\fcs1 \af0 \ltrch\fcs0 _x000d__x000a_\cs17\v\fs20\cf9\loch\af1\hich\af1\dbch\af31501\insrsid9845454\charrsid13179069 \hich\af1\dbch\af31501\loch\f1 &lt;/NoPE&gt;&lt;Version&gt;}{\rtlch\fcs1 \af0 \ltrch\fcs0 \insrsid9845454\charrsid13179069 v}{\rtlch\fcs1 \af0 \ltrch\fcs0 \insrsid9845454\charrsid9389231 _x000d__x000a_01-00}{\rtlch\fcs1 \af0 \ltrch\fcs0 \cs17\v\fs20\cf9\loch\af1\hich\af1\dbch\af31501\insrsid9845454\charrsid13179069 \hich\af1\dbch\af31501\loch\f1 &lt;/Version&gt;}{\rtlch\fcs1 \af0 \ltrch\fcs0 \insrsid9845454\charrsid13179069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9845454\charrsid13179069  DOCPROPERTY &quot;&lt;Extension&gt;&quot; }}{\fldrslt {\rtlch\fcs1 \af1 \ltrch\fcs0 \insrsid9845454 EN}}}\sectd \ltrsect_x000d__x000a_\linex0\endnhere\sectdefaultcl\sftnbj {\rtlch\fcs1 \af1 \ltrch\fcs0 \insrsid9845454\charrsid13179069 \tab }{\rtlch\fcs1 \af1\afs22 \ltrch\fcs0 \b0\i\fs22\cf16\insrsid9845454 United in diversity}{\rtlch\fcs1 \af1 \ltrch\fcs0 _x000d__x000a_\insrsid9845454\charrsid13179069 \tab }{\field{\*\fldinst {\rtlch\fcs1 \af1 \ltrch\fcs0 \insrsid9845454\charrsid13179069  DOCPROPERTY &quot;&lt;Extension&gt;&quot; }}{\fldrslt {\rtlch\fcs1 \af1 \ltrch\fcs0 \insrsid9845454 EN}}}\sectd \ltrsect_x000d__x000a_\linex0\endnhere\sectdefaultcl\sftnbj {\rtlch\fcs1 \af1 \ltrch\fcs0 \insrsid9845454\charrsid1317906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45454 _x000d__x000a_\rtlch\fcs1 \af0\afs20\alang1025 \ltrch\fcs0 \fs24\lang2057\langfe2057\cgrid\langnp2057\langfenp2057 {\rtlch\fcs1 \af0 \ltrch\fcs0 \insrsid9845454\charrsid13179069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2_x000d__x000a_aa38a51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8"/>
    <w:docVar w:name="InsideLoop" w:val="1"/>
    <w:docVar w:name="LastEditedSection" w:val=" 1"/>
    <w:docVar w:name="NRAKEY" w:val="0354"/>
    <w:docVar w:name="ONBEHALFKEY1" w:val="S&amp;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7\fbidi \froman\fcharset238\fprq2 Times New Roman CE;}_x000d__x000a_{\f308\fbidi \froman\fcharset204\fprq2 Times New Roman Cyr;}{\f310\fbidi \froman\fcharset161\fprq2 Times New Roman Greek;}{\f311\fbidi \froman\fcharset162\fprq2 Times New Roman Tur;}{\f312\fbidi \froman\fcharset177\fprq2 Times New Roman (Hebrew);}_x000d__x000a_{\f313\fbidi \froman\fcharset178\fprq2 Times New Roman (Arabic);}{\f314\fbidi \froman\fcharset186\fprq2 Times New Roman Baltic;}{\f315\fbidi \froman\fcharset163\fprq2 Times New Roman (Vietnamese);}{\f317\fbidi \fswiss\fcharset238\fprq2 Arial CE;}_x000d__x000a_{\f318\fbidi \fswiss\fcharset204\fprq2 Arial Cyr;}{\f320\fbidi \fswiss\fcharset161\fprq2 Arial Greek;}{\f321\fbidi \fswiss\fcharset162\fprq2 Arial Tur;}{\f322\fbidi \fswiss\fcharset177\fprq2 Arial (Hebrew);}_x000d__x000a_{\f323\fbidi \fswiss\fcharset178\fprq2 Arial (Arabic);}{\f324\fbidi \fswiss\fcharset186\fprq2 Arial Baltic;}{\f325\fbidi \fswiss\fcharset163\fprq2 Arial (Vietnamese);}{\f647\fbidi \froman\fcharset238\fprq2 Cambria Math CE;}_x000d__x000a_{\f648\fbidi \froman\fcharset204\fprq2 Cambria Math Cyr;}{\f650\fbidi \froman\fcharset161\fprq2 Cambria Math Greek;}{\f651\fbidi \froman\fcharset162\fprq2 Cambria Math Tur;}{\f654\fbidi \froman\fcharset186\fprq2 Cambria Math Baltic;}_x000d__x000a_{\f65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262187 HideTWBExt;}{\s18\ql \li0\ri0\nowidctlpar_x000d__x000a_\tqr\tx9071\wrapdefault\aspalpha\aspnum\faauto\adjustright\rin0\lin0\itap0 \rtlch\fcs1 \af0\afs20\alang1025 \ltrch\fcs0 \b\fs24\lang2057\langfe2057\cgrid\langnp2057\langfenp2057 \sbasedon0 \snext18 \spriority0 \styrsid16262187 AmDocTypeTab;}{_x000d__x000a_\s19\ql \li0\ri0\sa240\nowidctlpar\wrapdefault\aspalpha\aspnum\faauto\adjustright\rin0\lin0\itap0 \rtlch\fcs1 \af0\afs20\alang1025 \ltrch\fcs0 \fs24\lang2057\langfe2057\cgrid\langnp2057\langfenp2057 \sbasedon0 \snext19 \spriority0 \styrsid16262187 _x000d__x000a_Normal12a;}{\s20\ql \li-850\ri-850\widctlpar\tqc\tx4535\tqr\tx9921\wrapdefault\aspalpha\aspnum\faauto\adjustright\rin-850\lin-850\itap0 \rtlch\fcs1 \af1\afs20\alang1025 \ltrch\fcs0 \b\f1\fs48\lang2057\langfe2057\cgrid\langnp2057\langfenp2057 _x000d__x000a_\sbasedon0 \snext0 \spriority0 \styrsid16262187 EPFooter2;}{\*\cs21 \additive \v\f1\fs20\cf15 \spriority0 \styrsid16262187 HideTWBInt;}{\s22\ql \li0\ri0\nowidctlpar\wrapdefault\aspalpha\aspnum\faauto\adjustright\rin0\lin0\itap0 \rtlch\fcs1 _x000d__x000a_\af0\afs20\alang1025 \ltrch\fcs0 \b\fs24\lang2057\langfe2057\cgrid\langnp2057\langfenp2057 \sbasedon0 \snext22 \spriority0 \styrsid16262187 NormalBold;}{_x000d__x000a_\s23\qr \li0\ri0\sb240\sa240\nowidctlpar\wrapdefault\aspalpha\aspnum\faauto\adjustright\rin0\lin0\itap0 \rtlch\fcs1 \af0\afs20\alang1025 \ltrch\fcs0 \fs24\lang2057\langfe2057\cgrid\langnp2057\langfenp2057 \sbasedon0 \snext23 \spriority0 \styrsid16262187 _x000d__x000a_AmOrLang;}{\s24\ql \li0\ri0\sa120\nowidctlpar\wrapdefault\aspalpha\aspnum\faauto\adjustright\rin0\lin0\itap0 \rtlch\fcs1 \af0\afs20\alang1025 \ltrch\fcs0 \fs24\lang2057\langfe2057\cgrid\langnp2057\langfenp2057 _x000d__x000a_\sbasedon0 \snext24 \spriority0 \styrsid16262187 Normal6a;}{\s25\ql \li0\ri0\nowidctlpar\tqr\tx9071\wrapdefault\aspalpha\aspnum\faauto\adjustright\rin0\lin0\itap0 \rtlch\fcs1 \af0\afs20\alang1025 \ltrch\fcs0 _x000d__x000a_\fs24\lang2057\langfe2057\cgrid\langnp2057\langfenp2057 \sbasedon0 \snext25 \spriority0 \styrsid16262187 AmDateTab;}{\s26\qc \li0\ri0\sa240\nowidctlpar\wrapdefault\aspalpha\aspnum\faauto\adjustright\rin0\lin0\itap0 \rtlch\fcs1 \af0\afs20\alang1025 _x000d__x000a_\ltrch\fcs0 \i\fs24\lang2057\langfe2057\cgrid\langnp2057\langfenp2057 \sbasedon0 \snext26 \spriority0 \styrsid1626218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262187 AmNumberTabs;}{\s28\ql \li0\ri0\sb240\sa240\nowidctlpar_x000d__x000a_\tqc\tx4535\tqr\tx9071\wrapdefault\aspalpha\aspnum\faauto\adjustright\rin0\lin0\itap0 \rtlch\fcs1 \af0\afs20\alang1025 \ltrch\fcs0 \fs22\lang2057\langfe2057\cgrid\langnp2057\langfenp2057 \sbasedon0 \snext28 \spriority0 \styrsid16262187 EPFooter;}}_x000d__x000a_{\*\rsidtbl \rsid24658\rsid223860\rsid735077\rsid1718133\rsid2892074\rsid3565327\rsid4606206\rsid4666813\rsid6641733\rsid7823322\rsid9636012\rsid10377208\rsid11215221\rsid11549030\rsid12154954\rsid14382809\rsid14424199\rsid15204470\rsid15285974_x000d__x000a_\rsid15950462\rsid16262187\rsid16324206\rsid16662270}{\mmathPr\mmathFont34\mbrkBin0\mbrkBinSub0\msmallFrac0\mdispDef1\mlMargin0\mrMargin0\mdefJc1\mwrapIndent1440\mintLim0\mnaryLim1}{\info{\author BROCCA Monica }{\operator BROCCA Monica }_x000d__x000a_{\creatim\yr2022\mo2\dy9\hr11\min45}{\revtim\yr2022\mo2\dy9\hr11\min45}{\version1}{\edmins0}{\nofpages2}{\nofwords162}{\nofchars845}{\nofcharsws1003}{\vern105}}{\*\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262187\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4606206 \chftnsep _x000d__x000a_\par }}{\*\ftnsepc \ltrpar \pard\plain \ltrpar\ql \li0\ri0\widctlpar\wrapdefault\aspalpha\aspnum\faauto\adjustright\rin0\lin0\itap0 \rtlch\fcs1 \af0\afs20\alang1025 \ltrch\fcs0 \fs24\lang2057\langfe2057\cgrid\langnp2057\langfenp2057 {\rtlch\fcs1 \af0 _x000d__x000a_\ltrch\fcs0 \insrsid4606206 \chftnsepc _x000d__x000a_\par }}{\*\aftnsep \ltrpar \pard\plain \ltrpar\ql \li0\ri0\widctlpar\wrapdefault\aspalpha\aspnum\faauto\adjustright\rin0\lin0\itap0 \rtlch\fcs1 \af0\afs20\alang1025 \ltrch\fcs0 \fs24\lang2057\langfe2057\cgrid\langnp2057\langfenp2057 {\rtlch\fcs1 \af0 _x000d__x000a_\ltrch\fcs0 \insrsid4606206 \chftnsep _x000d__x000a_\par }}{\*\aftnsepc \ltrpar \pard\plain \ltrpar\ql \li0\ri0\widctlpar\wrapdefault\aspalpha\aspnum\faauto\adjustright\rin0\lin0\itap0 \rtlch\fcs1 \af0\afs20\alang1025 \ltrch\fcs0 \fs24\lang2057\langfe2057\cgrid\langnp2057\langfenp2057 {\rtlch\fcs1 \af0 _x000d__x000a_\ltrch\fcs0 \insrsid4606206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6262187\charrsid13179069 \hich\af1\dbch\af31501\loch\f1 &lt;PathFdR&gt;}{\rtlch\fcs1 \af0 \ltrch\fcs0 \cf10\insrsid16262187\charrsid13179069 \uc1\u9668\'3f}{\rtlch\fcs1 \af0 \ltrch\fcs0 _x000d__x000a_\insrsid16262187\charrsid13179069 #}{\rtlch\fcs1 \af1 \ltrch\fcs0 \cs21\v\f1\fs20\cf15\insrsid16262187\charrsid13179069 TXTROUTE@@}{\rtlch\fcs1 \af0 \ltrch\fcs0 \insrsid16262187\charrsid13179069 #}{\rtlch\fcs1 \af0 \ltrch\fcs0 _x000d__x000a_\cf10\insrsid16262187\charrsid13179069 \uc1\u9658\'3f}{\rtlch\fcs1 \af0 \ltrch\fcs0 \cs17\v\fs20\cf9\loch\af1\hich\af1\dbch\af31501\insrsid16262187\charrsid13179069 \hich\af1\dbch\af31501\loch\f1 &lt;/PathFdR&gt;}{\rtlch\fcs1 \af0 \ltrch\fcs0 _x000d__x000a_\insrsid16262187\charrsid13179069 \tab \tab PE}{\rtlch\fcs1 \af0 \ltrch\fcs0 \cs17\v\fs20\cf9\loch\af1\hich\af1\dbch\af31501\insrsid16262187\charrsid13179069 \hich\af1\dbch\af31501\loch\f1 &lt;NoPE&gt;}{\rtlch\fcs1 \af0 \ltrch\fcs0 _x000d__x000a_\cf10\insrsid16262187\charrsid13179069 \uc1\u9668\'3f}{\rtlch\fcs1 \af0 \ltrch\fcs0 \insrsid16262187\charrsid13179069 #}{\rtlch\fcs1 \af1 \ltrch\fcs0 \cs21\v\f1\fs20\cf15\insrsid16262187\charrsid13179069 TXTNRPE@NRPE@}{\rtlch\fcs1 \af0 \ltrch\fcs0 _x000d__x000a_\insrsid16262187\charrsid13179069 #}{\rtlch\fcs1 \af0 \ltrch\fcs0 \cf10\insrsid16262187\charrsid13179069 \uc1\u9658\'3f}{\rtlch\fcs1 \af0 \ltrch\fcs0 \cs17\v\fs20\cf9\loch\af1\hich\af1\dbch\af31501\insrsid16262187\charrsid13179069 _x000d__x000a_\hich\af1\dbch\af31501\loch\f1 &lt;/NoPE&gt;&lt;Version&gt;}{\rtlch\fcs1 \af0 \ltrch\fcs0 \insrsid16262187\charrsid13179069 v}{\rtlch\fcs1 \af0 \ltrch\fcs0 \cf10\insrsid16262187\charrsid13179069 \uc1\u9668\'3f}{\rtlch\fcs1 \af0 \ltrch\fcs0 _x000d__x000a_\insrsid16262187\charrsid13179069 #}{\rtlch\fcs1 \af1 \ltrch\fcs0 \cs21\v\f1\fs20\cf15\insrsid16262187\charrsid13179069 TXTVERSION@NRV@}{\rtlch\fcs1 \af0 \ltrch\fcs0 \insrsid16262187\charrsid13179069 #}{\rtlch\fcs1 \af0 \ltrch\fcs0 _x000d__x000a_\cf10\insrsid16262187\charrsid13179069 \uc1\u9658\'3f}{\rtlch\fcs1 \af0 \ltrch\fcs0 \cs17\v\fs20\cf9\loch\af1\hich\af1\dbch\af31501\insrsid16262187\charrsid13179069 \hich\af1\dbch\af31501\loch\f1 &lt;/Version&gt;}{\rtlch\fcs1 \af0 \ltrch\fcs0 _x000d__x000a_\insrsid16262187\charrsid13179069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16262187\charrsid13179069  DOCPROPERTY &quot;&lt;Extension&gt;&quot; }}{\fldrslt {\rtlch\fcs1 \af1 \ltrch\fcs0 _x000d__x000a_\insrsid16262187\charrsid13179069 XX}}}\sectd \ltrsect\linex0\endnhere\sectdefaultcl\sftnbj {\rtlch\fcs1 \af1 \ltrch\fcs0 \insrsid16262187\charrsid13179069 \tab }{\rtlch\fcs1 \af1\afs22 \ltrch\fcs0 \b0\i\fs22\cf16\insrsid16262187\charrsid13179069 #}{_x000d__x000a_\rtlch\fcs1 \af1 \ltrch\fcs0 \cs21\v\fs20\cf15\insrsid16262187\charrsid13179069 (STD@_Motto}{\rtlch\fcs1 \af1\afs22 \ltrch\fcs0 \b0\i\fs22\cf16\insrsid16262187\charrsid13179069 #}{\rtlch\fcs1 \af1 \ltrch\fcs0 \insrsid16262187\charrsid13179069 \tab }_x000d__x000a_{\field\flddirty{\*\fldinst {\rtlch\fcs1 \af1 \ltrch\fcs0 \insrsid16262187\charrsid13179069  DOCPROPERTY &quot;&lt;Extension&gt;&quot; }}{\fldrslt {\rtlch\fcs1 \af1 \ltrch\fcs0 \insrsid16262187\charrsid13179069 XX}}}\sectd \ltrsect\linex0\endnhere\sectdefaultcl\sftnbj {_x000d__x000a_\rtlch\fcs1 \af1 \ltrch\fcs0 \insrsid16262187\charrsid1317906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6262187 \rtlch\fcs1 \af0\afs20\alang1025 \ltrch\fcs0 \fs24\lang2057\langfe2057\cgrid\langnp2057\langfenp2057 {\rtlch\fcs1 \af0 \ltrch\fcs0 _x000d__x000a_\cs17\v\fs20\cf9\loch\af1\hich\af1\dbch\af31501\insrsid16262187\charrsid13179069 {\*\bkmkstart restart}\hich\af1\dbch\af31501\loch\f1 &lt;Amend&gt;&lt;Date&gt;}{\rtlch\fcs1 \af0 \ltrch\fcs0 \insrsid16262187\charrsid13179069 #}{\rtlch\fcs1 \af1 \ltrch\fcs0 _x000d__x000a_\cs21\v\f1\fs20\cf15\insrsid16262187\charrsid13179069 DT(d.m.yyyy)sh@DATEMSG@DOCDT}{\rtlch\fcs1 \af0 \ltrch\fcs0 \insrsid16262187\charrsid13179069 #}{\rtlch\fcs1 \af0 \ltrch\fcs0 _x000d__x000a_\cs17\v\fs20\cf9\loch\af1\hich\af1\dbch\af31501\insrsid16262187\charrsid13179069 \hich\af1\dbch\af31501\loch\f1 &lt;/Date&gt;}{\rtlch\fcs1 \af0 \ltrch\fcs0 \insrsid16262187\charrsid13179069 \tab }{\rtlch\fcs1 \af0 \ltrch\fcs0 _x000d__x000a_\cs17\v\fs20\cf9\loch\af1\hich\af1\dbch\af31501\insrsid16262187\charrsid13179069 \hich\af1\dbch\af31501\loch\f1 &lt;ANo&gt;}{\rtlch\fcs1 \af0 \ltrch\fcs0 \insrsid16262187\charrsid13179069 #}{\rtlch\fcs1 \af1 \ltrch\fcs0 _x000d__x000a_\cs21\v\f1\fs20\cf15\insrsid16262187\charrsid13179069 KEY(PLENARY/ANUMBER)@NRAMSG@NRAKEY}{\rtlch\fcs1 \af0 \ltrch\fcs0 \insrsid16262187\charrsid13179069 #}{\rtlch\fcs1 \af0 \ltrch\fcs0 _x000d__x000a_\cs17\v\fs20\cf9\loch\af1\hich\af1\dbch\af31501\insrsid16262187\charrsid13179069 \hich\af1\dbch\af31501\loch\f1 &lt;/ANo&gt;}{\rtlch\fcs1 \af0 \ltrch\fcs0 \insrsid16262187\charrsid13179069 /}{\rtlch\fcs1 \af0 \ltrch\fcs0 _x000d__x000a_\cs17\v\fs20\cf9\loch\af1\hich\af1\dbch\af31501\insrsid16262187\charrsid13179069 \hich\af1\dbch\af31501\loch\f1 &lt;NumAm&gt;}{\rtlch\fcs1 \af0 \ltrch\fcs0 \insrsid16262187\charrsid13179069 #}{\rtlch\fcs1 \af1 \ltrch\fcs0 _x000d__x000a_\cs21\v\f1\fs20\cf15\insrsid16262187\charrsid13179069 ENMIENDA@NRAM@}{\rtlch\fcs1 \af0 \ltrch\fcs0 \insrsid16262187\charrsid13179069 #}{\rtlch\fcs1 \af0 \ltrch\fcs0 \cs17\v\fs20\cf9\loch\af1\hich\af1\dbch\af31501\insrsid16262187\charrsid13179069 _x000d__x000a_\hich\af1\dbch\af31501\loch\f1 &lt;/NumAm&gt;}{\rtlch\fcs1 \af0 \ltrch\fcs0 \insrsid16262187\charrsid13179069 _x000d__x000a_\par }\pard\plain \ltrpar\s27\ql \li0\ri0\sb240\nowidctlpar_x000d__x000a_\tx879\tx936\tx1021\tx1077\tx1134\tx1191\tx1247\tx1304\tx1361\tx1418\tx1474\tx1531\tx1588\tx1644\tx1701\tx1758\tx1814\tx1871\tx2070\tx2126\tx3374\tx3430\wrapdefault\aspalpha\aspnum\faauto\adjustright\rin0\lin0\itap0\pararsid16262187 \rtlch\fcs1 _x000d__x000a_\af0\afs20\alang1025 \ltrch\fcs0 \b\fs24\lang2057\langfe2057\cgrid\langnp2057\langfenp2057 {\rtlch\fcs1 \af0 \ltrch\fcs0 \insrsid16262187\charrsid13179069 Amendment\tab \tab }{\rtlch\fcs1 \af0 \ltrch\fcs0 _x000d__x000a_\cs17\b0\v\fs20\cf9\loch\af1\hich\af1\dbch\af31501\insrsid16262187\charrsid13179069 \hich\af1\dbch\af31501\loch\f1 &lt;NumAm&gt;}{\rtlch\fcs1 \af0 \ltrch\fcs0 \insrsid16262187\charrsid13179069 #}{\rtlch\fcs1 \af1 \ltrch\fcs0 _x000d__x000a_\cs21\v\f1\fs20\cf15\insrsid16262187\charrsid13179069 ENMIENDA@NRAM@}{\rtlch\fcs1 \af0 \ltrch\fcs0 \insrsid16262187\charrsid13179069 #}{\rtlch\fcs1 \af0 \ltrch\fcs0 \cs17\b0\v\fs20\cf9\loch\af1\hich\af1\dbch\af31501\insrsid16262187\charrsid13179069 _x000d__x000a_\hich\af1\dbch\af31501\loch\f1 &lt;/NumAm&gt;}{\rtlch\fcs1 \af0 \ltrch\fcs0 \insrsid16262187\charrsid13179069 _x000d__x000a_\par }\pard\plain \ltrpar\s22\ql \li0\ri0\nowidctlpar\wrapdefault\aspalpha\aspnum\faauto\adjustright\rin0\lin0\itap0\pararsid16262187 \rtlch\fcs1 \af0\afs20\alang1025 \ltrch\fcs0 \b\fs24\lang2057\langfe2057\cgrid\langnp2057\langfenp2057 {\rtlch\fcs1 \af0 _x000d__x000a_\ltrch\fcs0 \cs17\b0\v\fs20\cf9\loch\af1\hich\af1\dbch\af31501\insrsid16262187\charrsid13179069 \hich\af1\dbch\af31501\loch\f1 &lt;RepeatBlock-By&gt;}{\rtlch\fcs1 \af0 \ltrch\fcs0 \insrsid16262187\charrsid13179069 {\*\bkmkstart By}#}{\rtlch\fcs1 \af1 _x000d__x000a_\ltrch\fcs0 \cs21\v\f1\fs20\cf15\insrsid16262187\charrsid13179069 (MOD@InsideLoop()}{\rtlch\fcs1 \af0 \ltrch\fcs0 \insrsid16262187\charrsid13179069 ##}{\rtlch\fcs1 \af1 \ltrch\fcs0 \cs21\v\f1\fs20\cf15\insrsid16262187\charrsid13179069 (MOD@ByVar()}{_x000d__x000a_\rtlch\fcs1 \af0 \ltrch\fcs0 \insrsid16262187\charrsid13179069 ##}{\rtlch\fcs1 \af1 \ltrch\fcs0 \cs21\v\f1\fs20\cf15\insrsid16262187\charrsid13179069 &gt;&gt;&gt;ByVar@[ZMEMBERSMSG]@By}{\rtlch\fcs1 \af0 \ltrch\fcs0 \insrsid16262187\charrsid13179069 #}{\rtlch\fcs1 _x000d__x000a_\af0 \ltrch\fcs0 \cs17\b0\v\fs20\cf9\loch\af1\hich\af1\dbch\af31501\insrsid16262187\charrsid13179069 \hich\af1\dbch\af31501\loch\f1 &lt;\hich\af1\dbch\af31501\loch\f1 By&gt;&lt;\hich\af1\dbch\af31501\loch\f1 Members&gt;}{\rtlch\fcs1 \af0 \ltrch\fcs0 _x000d__x000a_\insrsid16262187\charrsid13179069 #}{\rtlch\fcs1 \af1 \ltrch\fcs0 \cs21\v\f1\fs20\cf15\insrsid16262187\charrsid13179069 (MOD@InsideLoop(\'a7)}{\rtlch\fcs1 \af0 \ltrch\fcs0 \insrsid16262187\charrsid13179069 ##}{\rtlch\fcs1 \af1 \ltrch\fcs0 _x000d__x000a_\cs21\v\f1\fs20\cf15\insrsid16262187\charrsid13179069 IF(FromTORIS = 'True')THEN([PRESMEMBERS])ELSE([TRADMEMBERS])}{\rtlch\fcs1 \af0 \ltrch\fcs0 \insrsid16262187\charrsid13179069 #}{\rtlch\fcs1 \af0 \ltrch\fcs0 _x000d__x000a_\cs17\b0\v\fs20\cf9\loch\af1\hich\af1\dbch\af31501\insrsid16262187\charrsid13179069 \hich\af1\dbch\af31501\loch\f1 &lt;/Members&gt;}{\rtlch\fcs1 \af0 \ltrch\fcs0 \insrsid16262187\charrsid13179069 _x000d__x000a_\par }\pard\plain \ltrpar\ql \li0\ri0\widctlpar\wrapdefault\aspalpha\aspnum\faauto\adjustright\rin0\lin0\itap0\pararsid16262187 \rtlch\fcs1 \af0\afs20\alang1025 \ltrch\fcs0 \fs24\lang2057\langfe2057\cgrid\langnp2057\langfenp2057 {\rtlch\fcs1 \af0 \ltrch\fcs0 _x000d__x000a_\cs17\v\fs20\cf9\loch\af1\hich\af1\dbch\af31501\insrsid16262187\charrsid13179069 \hich\af1\dbch\af31501\loch\f1 &lt;AuNomDe&gt;\hich\af1\dbch\af31501\loch\f1 &lt;\hich\af1\dbch\af31501\loch\f1 OptDel\hich\af1\dbch\af31501\loch\f1 &gt;}{\rtlch\fcs1 \af0 \ltrch\fcs0 _x000d__x000a_\insrsid16262187\charrsid13179069 #}{\rtlch\fcs1 \af1 \ltrch\fcs0 \cs21\v\f1\fs20\cf15\insrsid16262187\charrsid13179069 IF(FromTORIS = 'True')THEN([PRESONBEHALF])ELSE([TRADONBEHALF])}{\rtlch\fcs1 \af0 \ltrch\fcs0 \insrsid16262187\charrsid13179069 #}{_x000d__x000a_\rtlch\fcs1 \af0 \ltrch\fcs0 \cs17\v\fs20\cf9\loch\af1\hich\af1\dbch\af31501\insrsid16262187\charrsid13179069 \hich\af1\dbch\af31501\loch\f1 &lt;\hich\af1\dbch\af31501\loch\f1 /OptDel\hich\af1\dbch\af31501\loch\f1 &gt;\hich\af1\dbch\af31501\loch\f1 &lt;/AuNomDe&gt;}{_x000d__x000a_\rtlch\fcs1 \af0 \ltrch\fcs0 \insrsid16262187\charrsid13179069 _x000d__x000a_\par }{\rtlch\fcs1 \ab\af0 \ltrch\fcs0 \cs17\v\fs20\cf9\loch\af1\hich\af1\dbch\af31501\insrsid16262187\charrsid13179069 \hich\af1\dbch\af31501\loch\f1 &lt;/By&gt;}{\rtlch\fcs1 \af0 \ltrch\fcs0 \insrsid16262187\charrsid13179069 {\*\bkmkend By}&lt;&lt;&lt;}{\rtlch\fcs1 \af0 _x000d__x000a_\ltrch\fcs0 \cs17\v\fs20\cf9\loch\af1\hich\af1\dbch\af31501\insrsid16262187\charrsid13179069 \hich\af1\dbch\af31501\loch\f1 &lt;\hich\af1\dbch\af31501\loch\f1 /\hich\af1\dbch\af31501\loch\f1 RepeatBlock-By&gt;}{\rtlch\fcs1 \af0 \ltrch\fcs0 _x000d__x000a_\insrsid16262187\charrsid13179069 _x000d__x000a_\par }\pard\plain \ltrpar\s18\ql \li0\ri0\nowidctlpar\tqr\tx9071\wrapdefault\aspalpha\aspnum\faauto\adjustright\rin0\lin0\itap0\pararsid16262187 \rtlch\fcs1 \af0\afs20\alang1025 \ltrch\fcs0 \b\fs24\lang2057\langfe2057\cgrid\langnp2057\langfenp2057 {_x000d__x000a_\rtlch\fcs1 \af0 \ltrch\fcs0 \cs17\b0\v\fs20\cf9\loch\af1\hich\af1\dbch\af31501\insrsid16262187\charrsid13179069 \hich\af1\dbch\af31501\loch\f1 &lt;TitreType&gt;}{\rtlch\fcs1 \af0 \ltrch\fcs0 \insrsid16262187\charrsid13179069 Report}{\rtlch\fcs1 \af0 _x000d__x000a_\ltrch\fcs0 \cs17\b0\v\fs20\cf9\loch\af1\hich\af1\dbch\af31501\insrsid16262187\charrsid13179069 \hich\af1\dbch\af31501\loch\f1 &lt;/TitreType&gt;}{\rtlch\fcs1 \af0 \ltrch\fcs0 \insrsid16262187\charrsid13179069 \tab #}{\rtlch\fcs1 \af1 \ltrch\fcs0 _x000d__x000a_\cs21\v\f1\fs20\cf15\insrsid16262187\charrsid13179069 KEY(PLENARY/ANUMBER)@NRAMSG@NRAKEY}{\rtlch\fcs1 \af0 \ltrch\fcs0 \insrsid16262187\charrsid13179069 #/#}{\rtlch\fcs1 \af1 \ltrch\fcs0 \cs21\v\f1\fs20\cf15\insrsid16262187\charrsid13179069 _x000d__x000a_KEY(PLENARY/DOCYEAR)@DOCYEARMSG@NRAKEY}{\rtlch\fcs1 \af0 \ltrch\fcs0 \insrsid16262187\charrsid13179069 #_x000d__x000a_\par }\pard\plain \ltrpar\s22\ql \li0\ri0\nowidctlpar\wrapdefault\aspalpha\aspnum\faauto\adjustright\rin0\lin0\itap0\pararsid16262187 \rtlch\fcs1 \af0\afs20\alang1025 \ltrch\fcs0 \b\fs24\lang2057\langfe2057\cgrid\langnp2057\langfenp2057 {\rtlch\fcs1 \af0 _x000d__x000a_\ltrch\fcs0 \cs17\b0\v\fs20\cf9\loch\af1\hich\af1\dbch\af31501\insrsid16262187\charrsid13179069 \hich\af1\dbch\af31501\loch\f1 &lt;Rapporteur&gt;}{\rtlch\fcs1 \af0 \ltrch\fcs0 \insrsid16262187\charrsid13179069 #}{\rtlch\fcs1 \af1 \ltrch\fcs0 _x000d__x000a_\cs21\v\f1\fs20\cf15\insrsid16262187\charrsid13179069 KEY(PLENARY/RAPPORTEURS)@AUTHORMSG@NRAKEY}{\rtlch\fcs1 \af0 \ltrch\fcs0 \insrsid16262187\charrsid13179069 #}{\rtlch\fcs1 \af0 \ltrch\fcs0 _x000d__x000a_\cs17\b0\v\fs20\cf9\loch\af1\hich\af1\dbch\af31501\insrsid16262187\charrsid13179069 \hich\af1\dbch\af31501\loch\f1 &lt;/Rapporteur&gt;}{\rtlch\fcs1 \af0 \ltrch\fcs0 \insrsid16262187\charrsid13179069 _x000d__x000a_\par }\pard\plain \ltrpar\ql \li0\ri0\widctlpar\wrapdefault\aspalpha\aspnum\faauto\adjustright\rin0\lin0\itap0\pararsid16262187 \rtlch\fcs1 \af0\afs20\alang1025 \ltrch\fcs0 \fs24\lang2057\langfe2057\cgrid\langnp2057\langfenp2057 {\rtlch\fcs1 \af0 \ltrch\fcs0 _x000d__x000a_\cs17\v\fs20\cf9\loch\af1\hich\af1\dbch\af31501\insrsid16262187\charrsid13179069 \hich\af1\dbch\af31501\loch\f1 &lt;Titre&gt;}{\rtlch\fcs1 \af0 \ltrch\fcs0 \insrsid16262187\charrsid13179069 #}{\rtlch\fcs1 \af1 \ltrch\fcs0 _x000d__x000a_\cs21\v\f1\fs20\cf15\insrsid16262187\charrsid13179069 KEY(PLENARY/TITLES)@TITLEMSG@NRAKEY}{\rtlch\fcs1 \af0 \ltrch\fcs0 \insrsid16262187\charrsid13179069 #}{\rtlch\fcs1 \af0 \ltrch\fcs0 _x000d__x000a_\cs17\v\fs20\cf9\loch\af1\hich\af1\dbch\af31501\insrsid16262187\charrsid13179069 \hich\af1\dbch\af31501\loch\f1 &lt;/Titre&gt;}{\rtlch\fcs1 \af0 \ltrch\fcs0 \insrsid16262187\charrsid13179069 _x000d__x000a_\par }\pard\plain \ltrpar\s19\ql \li0\ri0\sa240\nowidctlpar\wrapdefault\aspalpha\aspnum\faauto\adjustright\rin0\lin0\itap0\pararsid16262187 \rtlch\fcs1 \af0\afs20\alang1025 \ltrch\fcs0 \fs24\lang2057\langfe2057\cgrid\langnp2057\langfenp2057 {\rtlch\fcs1 \af0 _x000d__x000a_\ltrch\fcs0 \cs17\v\fs20\cf9\loch\af1\hich\af1\dbch\af31501\insrsid16262187\charrsid13179069 \hich\af1\dbch\af31501\loch\f1 &lt;DocRef&gt;}{\rtlch\fcs1 \af0 \ltrch\fcs0 \insrsid16262187\charrsid13179069 (#}{\rtlch\fcs1 \af1 \ltrch\fcs0 _x000d__x000a_\cs21\v\f1\fs20\cf15\insrsid16262187\charrsid13179069 KEY(PLENARY/REFERENCES)@REFMSG@NRAKEY}{\rtlch\fcs1 \af0 \ltrch\fcs0 \insrsid16262187\charrsid13179069 #)}{\rtlch\fcs1 \af0 \ltrch\fcs0 _x000d__x000a_\cs17\v\fs20\cf9\loch\af1\hich\af1\dbch\af31501\insrsid16262187\charrsid13179069 \hich\af1\dbch\af31501\loch\f1 &lt;/DocRef&gt;}{\rtlch\fcs1 \af0 \ltrch\fcs0 \insrsid16262187\charrsid13179069 _x000d__x000a_\par }\pard\plain \ltrpar\s22\ql \li0\ri0\nowidctlpar\wrapdefault\aspalpha\aspnum\faauto\adjustright\rin0\lin0\itap0\pararsid16262187 \rtlch\fcs1 \af0\afs20\alang1025 \ltrch\fcs0 \b\fs24\lang2057\langfe2057\cgrid\langnp2057\langfenp2057 {\rtlch\fcs1 \af0 _x000d__x000a_\ltrch\fcs0 \cs17\b0\v\fs20\cf9\loch\af1\hich\af1\dbch\af31501\insrsid16262187\charrsid13179069 \hich\af1\dbch\af31501\loch\f1 &lt;DocAmend&gt;}{\rtlch\fcs1 \af0 \ltrch\fcs0 \insrsid16262187\charrsid13179069 #}{\rtlch\fcs1 \af1 \ltrch\fcs0 _x000d__x000a_\cs21\v\f1\fs20\cf15\insrsid16262187\charrsid13179069 MNU[DOC1][DOC2][DOC3]@CHOICE@DOCMNU}{\rtlch\fcs1 \af0 \ltrch\fcs0 \insrsid16262187\charrsid13179069 #}{\rtlch\fcs1 \af0 \ltrch\fcs0 _x000d__x000a_\cs17\b0\v\fs20\cf9\loch\af1\hich\af1\dbch\af31501\insrsid16262187\charrsid13179069 \hich\af1\dbch\af31501\loch\f1 &lt;/DocAmend&gt;}{\rtlch\fcs1 \af0 \ltrch\fcs0 \insrsid16262187\charrsid13179069 _x000d__x000a_\par }{\rtlch\fcs1 \af0 \ltrch\fcs0 \cs17\b0\v\fs20\cf9\loch\af1\hich\af1\dbch\af31501\insrsid16262187\charrsid13179069 \hich\af1\dbch\af31501\loch\f1 &lt;Article&gt;}{\rtlch\fcs1 \af0 \ltrch\fcs0 \cf10\insrsid16262187\charrsid13179069 \u9668\'3f}{\rtlch\fcs1 \af0 _x000d__x000a_\ltrch\fcs0 \insrsid16262187\charrsid13179069 #}{\rtlch\fcs1 \af1 \ltrch\fcs0 \cs21\v\f1\fs20\cf15\insrsid16262187\charrsid13179069 TVTAMPART@AMPART@}{\rtlch\fcs1 \af0 \ltrch\fcs0 \insrsid16262187\charrsid13179069 #}{\rtlch\fcs1 \af0 \ltrch\fcs0 _x000d__x000a_\cf10\insrsid16262187\charrsid13179069 \u9658\'3f}{\rtlch\fcs1 \af0 \ltrch\fcs0 \cs17\b0\v\fs20\cf9\loch\af1\hich\af1\dbch\af31501\insrsid16262187\charrsid13179069 \hich\af1\dbch\af31501\loch\f1 &lt;/Article&gt;}{\rtlch\fcs1 \af0 \ltrch\fcs0 _x000d__x000a_\insrsid16262187\charrsid13179069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6262187\charrsid13179069 \cell }\pard\plain \ltrpar\ql \li0\ri0\widctlpar\intbl\wrapdefault\aspalpha\aspnum\faauto\adjustright\rin0\lin0 _x000d__x000a_\rtlch\fcs1 \af0\afs20\alang1025 \ltrch\fcs0 \fs24\lang2057\langfe2057\cgrid\langnp2057\langfenp2057 {\rtlch\fcs1 \af0 \ltrch\fcs0 \insrsid16262187\charrsid13179069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16262187\charrsid13179069 #}{\rtlch\fcs1 \af1 \ltrch\fcs0 \cs21\v\f1\fs20\cf15\insrsid16262187\charrsid13179069 MNU[DOC1][DOC2][DOC3]@CHOICE@DOCMNU}{\rtlch\fcs1 \af0 \ltrch\fcs0 \insrsid16262187\charrsid13179069 #\cell Amendment\cell _x000d__x000a_}\pard\plain \ltrpar\ql \li0\ri0\widctlpar\intbl\wrapdefault\aspalpha\aspnum\faauto\adjustright\rin0\lin0 \rtlch\fcs1 \af0\afs20\alang1025 \ltrch\fcs0 \fs24\lang2057\langfe2057\cgrid\langnp2057\langfenp2057 {\rtlch\fcs1 \af0 \ltrch\fcs0 _x000d__x000a_\insrsid16262187\charrsid13179069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16262187\charrsid13179069 ##\cell ##}{\rtlch\fcs1 \af0\afs24 \ltrch\fcs0 \insrsid16262187\charrsid13179069 \cell }\pard\plain \ltrpar_x000d__x000a_\ql \li0\ri0\widctlpar\intbl\wrapdefault\aspalpha\aspnum\faauto\adjustright\rin0\lin0 \rtlch\fcs1 \af0\afs20\alang1025 \ltrch\fcs0 \fs24\lang2057\langfe2057\cgrid\langnp2057\langfenp2057 {\rtlch\fcs1 \af0 \ltrch\fcs0 \insrsid16262187\charrsid13179069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262187 \rtlch\fcs1 \af0\afs20\alang1025 \ltrch\fcs0 \fs24\lang2057\langfe2057\cgrid\langnp2057\langfenp2057 {\rtlch\fcs1 \af0 \ltrch\fcs0 _x000d__x000a_\insrsid16262187\charrsid13179069 Or. }{\rtlch\fcs1 \af0 \ltrch\fcs0 \cs17\v\fs20\cf9\loch\af1\hich\af1\dbch\af31501\insrsid16262187\charrsid13179069 \hich\af1\dbch\af31501\loch\f1 &lt;Original&gt;}{\rtlch\fcs1 \af0 \ltrch\fcs0 _x000d__x000a_\insrsid16262187\charrsid13179069 #}{\rtlch\fcs1 \af1 \ltrch\fcs0 \cs21\v\f1\fs20\cf15\insrsid16262187\charrsid13179069 KEY(MAIN/LANGMIN)sh@ORLANGMSG@ORLANGKEY}{\rtlch\fcs1 \af0 \ltrch\fcs0 \insrsid16262187\charrsid13179069 #}{\rtlch\fcs1 \af0 _x000d__x000a_\ltrch\fcs0 \cs17\v\fs20\cf9\loch\af1\hich\af1\dbch\af31501\insrsid16262187\charrsid13179069 \hich\af1\dbch\af31501\loch\f1 &lt;/Original&gt;}{\rtlch\fcs1 \af0 \ltrch\fcs0 \insrsid16262187\charrsid13179069 _x000d__x000a_\par }\pard\plain \ltrpar\ql \li0\ri0\widctlpar\wrapdefault\aspalpha\aspnum\faauto\adjustright\rin0\lin0\itap0\pararsid16262187 \rtlch\fcs1 \af0\afs20\alang1025 \ltrch\fcs0 \fs24\lang2057\langfe2057\cgrid\langnp2057\langfenp2057 {\rtlch\fcs1 \af0 \ltrch\fcs0 _x000d__x000a_\insrsid16262187\charrsid13179069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262187 \rtlch\fcs1 \af0\afs20\alang1025 \ltrch\fcs0 \fs24\lang2057\langfe2057\cgrid\langnp2057\langfenp2057 {\rtlch\fcs1 \af0 \ltrch\fcs0 _x000d__x000a_\cs17\v\fs20\cf9\loch\af1\hich\af1\dbch\af31501\insrsid16262187\charrsid13179069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f_x000d__x000a_ba1da21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7\fbidi \froman\fcharset238\fprq2 Times New Roman CE;}_x000d__x000a_{\f308\fbidi \froman\fcharset204\fprq2 Times New Roman Cyr;}{\f310\fbidi \froman\fcharset161\fprq2 Times New Roman Greek;}{\f311\fbidi \froman\fcharset162\fprq2 Times New Roman Tur;}{\f312\fbidi \froman\fcharset177\fprq2 Times New Roman (Hebrew);}_x000d__x000a_{\f313\fbidi \froman\fcharset178\fprq2 Times New Roman (Arabic);}{\f314\fbidi \froman\fcharset186\fprq2 Times New Roman Baltic;}{\f315\fbidi \froman\fcharset163\fprq2 Times New Roman (Vietnamese);}{\f317\fbidi \fswiss\fcharset238\fprq2 Arial CE;}_x000d__x000a_{\f318\fbidi \fswiss\fcharset204\fprq2 Arial Cyr;}{\f320\fbidi \fswiss\fcharset161\fprq2 Arial Greek;}{\f321\fbidi \fswiss\fcharset162\fprq2 Arial Tur;}{\f322\fbidi \fswiss\fcharset177\fprq2 Arial (Hebrew);}_x000d__x000a_{\f323\fbidi \fswiss\fcharset178\fprq2 Arial (Arabic);}{\f324\fbidi \fswiss\fcharset186\fprq2 Arial Baltic;}{\f325\fbidi \fswiss\fcharset163\fprq2 Arial (Vietnamese);}{\f647\fbidi \froman\fcharset238\fprq2 Cambria Math CE;}_x000d__x000a_{\f648\fbidi \froman\fcharset204\fprq2 Cambria Math Cyr;}{\f650\fbidi \froman\fcharset161\fprq2 Cambria Math Greek;}{\f651\fbidi \froman\fcharset162\fprq2 Cambria Math Tur;}{\f654\fbidi \froman\fcharset186\fprq2 Cambria Math Baltic;}_x000d__x000a_{\f65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361292 HideTWBExt;}{\*\cs18 \additive \v\f1\fs20\cf15 _x000d__x000a_\spriority0 \styrsid15361292 HideTWBInt;}{\s19\ql \li0\ri0\nowidctlpar\wrapdefault\aspalpha\aspnum\faauto\adjustright\rin0\lin0\itap0 \rtlch\fcs1 \af0\afs20\alang1025 \ltrch\fcs0 \b\fs24\lang2057\langfe2057\cgrid\langnp2057\langfenp2057 _x000d__x000a_\sbasedon0 \snext19 \spriority0 \styrsid15361292 NormalBold;}}{\*\rsidtbl \rsid24658\rsid223860\rsid735077\rsid1718133\rsid2892074\rsid3565327\rsid4666813\rsid6641733\rsid6968344\rsid7823322\rsid9636012\rsid10377208\rsid11215221\rsid11549030\rsid12154954_x000d__x000a_\rsid14382809\rsid14424199\rsid15204470\rsid15285974\rsid15361292\rsid15950462\rsid16324206\rsid16662270}{\mmathPr\mmathFont34\mbrkBin0\mbrkBinSub0\msmallFrac0\mdispDef1\mlMargin0\mrMargin0\mdefJc1\mwrapIndent1440\mintLim0\mnaryLim1}{\info_x000d__x000a_{\author BROCCA Monica }{\operator BROCCA Monica }{\creatim\yr2022\mo2\dy9\hr11\min46}{\revtim\yr2022\mo2\dy9\hr11\min46}{\version1}{\edmins0}{\nofpages1}{\nofwords34}{\nofchars179}{\nofcharsws212}{\vern105}}{\*\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361292\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6968344 \chftnsep _x000d__x000a_\par }}{\*\ftnsepc \ltrpar \pard\plain \ltrpar\ql \li0\ri0\widctlpar\wrapdefault\aspalpha\aspnum\faauto\adjustright\rin0\lin0\itap0 \rtlch\fcs1 \af0\afs20\alang1025 \ltrch\fcs0 \fs24\lang2057\langfe2057\cgrid\langnp2057\langfenp2057 {\rtlch\fcs1 \af0 _x000d__x000a_\ltrch\fcs0 \insrsid6968344 \chftnsepc _x000d__x000a_\par }}{\*\aftnsep \ltrpar \pard\plain \ltrpar\ql \li0\ri0\widctlpar\wrapdefault\aspalpha\aspnum\faauto\adjustright\rin0\lin0\itap0 \rtlch\fcs1 \af0\afs20\alang1025 \ltrch\fcs0 \fs24\lang2057\langfe2057\cgrid\langnp2057\langfenp2057 {\rtlch\fcs1 \af0 _x000d__x000a_\ltrch\fcs0 \insrsid6968344 \chftnsep _x000d__x000a_\par }}{\*\aftnsepc \ltrpar \pard\plain \ltrpar\ql \li0\ri0\widctlpar\wrapdefault\aspalpha\aspnum\faauto\adjustright\rin0\lin0\itap0 \rtlch\fcs1 \af0\afs20\alang1025 \ltrch\fcs0 \fs24\lang2057\langfe2057\cgrid\langnp2057\langfenp2057 {\rtlch\fcs1 \af0 _x000d__x000a_\ltrch\fcs0 \insrsid696834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15361292 \rtlch\fcs1 \af0\afs20\alang1025 \ltrch\fcs0 \b\fs24\lang2057\langfe2057\cgrid\langnp2057\langfenp2057 {\rtlch\fcs1 \af0 \ltrch\fcs0 _x000d__x000a_\cs17\b0\v\fs20\cf9\loch\af1\hich\af1\dbch\af31501\insrsid15361292\charrsid13179069 {\*\bkmkstart By}\hich\af1\dbch\af31501\loch\f1 &lt;\hich\af1\dbch\af31501\loch\f1 By&gt;&lt;\hich\af1\dbch\af31501\loch\f1 Members&gt;}{\rtlch\fcs1 \af0 \ltrch\fcs0 _x000d__x000a_\insrsid15361292\charrsid13179069 #}{\rtlch\fcs1 \af1 \ltrch\fcs0 \cs18\v\f1\fs20\cf15\insrsid15361292\charrsid13179069 (MOD@InsideLoop(\'a7)}{\rtlch\fcs1 \af0 \ltrch\fcs0 \insrsid15361292\charrsid13179069 ##}{\rtlch\fcs1 \af1 \ltrch\fcs0 _x000d__x000a_\cs18\v\f1\fs20\cf15\insrsid15361292\charrsid13179069 IF(FromTORIS = 'True')THEN([PRESMEMBERS])ELSE([TRADMEMBERS])}{\rtlch\fcs1 \af0 \ltrch\fcs0 \insrsid15361292\charrsid13179069 #}{\rtlch\fcs1 \af0 \ltrch\fcs0 _x000d__x000a_\cs17\b0\v\fs20\cf9\loch\af1\hich\af1\dbch\af31501\insrsid15361292\charrsid13179069 \hich\af1\dbch\af31501\loch\f1 &lt;/Members&gt;}{\rtlch\fcs1 \af0 \ltrch\fcs0 \insrsid15361292\charrsid13179069 _x000d__x000a_\par }\pard\plain \ltrpar\ql \li0\ri0\widctlpar\wrapdefault\aspalpha\aspnum\faauto\adjustright\rin0\lin0\itap0\pararsid15361292 \rtlch\fcs1 \af0\afs20\alang1025 \ltrch\fcs0 \fs24\lang2057\langfe2057\cgrid\langnp2057\langfenp2057 {\rtlch\fcs1 \af0 \ltrch\fcs0 _x000d__x000a_\cs17\v\fs20\cf9\loch\af1\hich\af1\dbch\af31501\insrsid15361292\charrsid13179069 \hich\af1\dbch\af31501\loch\f1 &lt;AuNomDe&gt;\hich\af1\dbch\af31501\loch\f1 &lt;\hich\af1\dbch\af31501\loch\f1 OptDel\hich\af1\dbch\af31501\loch\f1 &gt;}{\rtlch\fcs1 \af0 \ltrch\fcs0 _x000d__x000a_\insrsid15361292\charrsid13179069 #}{\rtlch\fcs1 \af1 \ltrch\fcs0 \cs18\v\f1\fs20\cf15\insrsid15361292\charrsid13179069 IF(FromTORIS = 'True')THEN([PRESONBEHALF])ELSE([TRADONBEHALF])}{\rtlch\fcs1 \af0 \ltrch\fcs0 \insrsid15361292\charrsid13179069 #}{_x000d__x000a_\rtlch\fcs1 \af0 \ltrch\fcs0 \cs17\v\fs20\cf9\loch\af1\hich\af1\dbch\af31501\insrsid15361292\charrsid13179069 \hich\af1\dbch\af31501\loch\f1 &lt;\hich\af1\dbch\af31501\loch\f1 /OptDel\hich\af1\dbch\af31501\loch\f1 &gt;\hich\af1\dbch\af31501\loch\f1 &lt;/AuNomDe&gt;}{_x000d__x000a_\rtlch\fcs1 \af0 \ltrch\fcs0 \insrsid15361292\charrsid13179069 _x000d__x000a_\par }{\rtlch\fcs1 \ab\af0 \ltrch\fcs0 \cs17\v\fs20\cf9\loch\af1\hich\af1\dbch\af31501\insrsid15361292\charrsid13179069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7_x000d__x000a_fb50a21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49"/>
    <w:docVar w:name="TVTAMPART" w:val="Paragraph 63"/>
    <w:docVar w:name="TVTMEMBERS1" w:val="Pedro Marques, Tonino Picula, Thijs Reuten"/>
    <w:docVar w:name="TXTLANGUE" w:val="EN"/>
    <w:docVar w:name="TXTLANGUEMIN" w:val="en"/>
    <w:docVar w:name="TXTNRFIRSTAM" w:val="11"/>
    <w:docVar w:name="TXTNRLASTAM" w:val="18"/>
    <w:docVar w:name="TXTNRPE" w:val="702.874"/>
    <w:docVar w:name="TXTPEorAP" w:val="PE"/>
    <w:docVar w:name="TXTROUTE" w:val="AM\1249186EN.docx"/>
    <w:docVar w:name="TXTVERSION" w:val="01-00"/>
  </w:docVars>
  <w:rsids>
    <w:rsidRoot w:val="004F3476"/>
    <w:rsid w:val="00016E4D"/>
    <w:rsid w:val="000554AB"/>
    <w:rsid w:val="000C3A36"/>
    <w:rsid w:val="000E01B6"/>
    <w:rsid w:val="000F261A"/>
    <w:rsid w:val="00107DC0"/>
    <w:rsid w:val="00124FE9"/>
    <w:rsid w:val="001337AF"/>
    <w:rsid w:val="001410F2"/>
    <w:rsid w:val="001959A7"/>
    <w:rsid w:val="001B6913"/>
    <w:rsid w:val="001E376E"/>
    <w:rsid w:val="00250122"/>
    <w:rsid w:val="00256216"/>
    <w:rsid w:val="00263472"/>
    <w:rsid w:val="0027539B"/>
    <w:rsid w:val="0029007A"/>
    <w:rsid w:val="002A2773"/>
    <w:rsid w:val="002A3F62"/>
    <w:rsid w:val="002C7968"/>
    <w:rsid w:val="003000AD"/>
    <w:rsid w:val="0037662A"/>
    <w:rsid w:val="003E430F"/>
    <w:rsid w:val="004300A3"/>
    <w:rsid w:val="00431305"/>
    <w:rsid w:val="004425D4"/>
    <w:rsid w:val="00452782"/>
    <w:rsid w:val="00455769"/>
    <w:rsid w:val="004D5682"/>
    <w:rsid w:val="004F3476"/>
    <w:rsid w:val="004F4B78"/>
    <w:rsid w:val="005460A7"/>
    <w:rsid w:val="00580701"/>
    <w:rsid w:val="005C6207"/>
    <w:rsid w:val="005C6D74"/>
    <w:rsid w:val="005E23D1"/>
    <w:rsid w:val="005F0730"/>
    <w:rsid w:val="00601E80"/>
    <w:rsid w:val="006158B0"/>
    <w:rsid w:val="00651D47"/>
    <w:rsid w:val="00690C00"/>
    <w:rsid w:val="006959AA"/>
    <w:rsid w:val="00766D4C"/>
    <w:rsid w:val="00926656"/>
    <w:rsid w:val="009352F6"/>
    <w:rsid w:val="009832D0"/>
    <w:rsid w:val="00996820"/>
    <w:rsid w:val="009A1B43"/>
    <w:rsid w:val="009B0B57"/>
    <w:rsid w:val="009E14DF"/>
    <w:rsid w:val="00A05DD2"/>
    <w:rsid w:val="00A114CA"/>
    <w:rsid w:val="00A11CA3"/>
    <w:rsid w:val="00A12366"/>
    <w:rsid w:val="00A23DC7"/>
    <w:rsid w:val="00A52518"/>
    <w:rsid w:val="00A61769"/>
    <w:rsid w:val="00B17D50"/>
    <w:rsid w:val="00BB76DD"/>
    <w:rsid w:val="00BC4047"/>
    <w:rsid w:val="00BE2400"/>
    <w:rsid w:val="00C14A2B"/>
    <w:rsid w:val="00C812FC"/>
    <w:rsid w:val="00C85D2E"/>
    <w:rsid w:val="00CA2A46"/>
    <w:rsid w:val="00CA76DA"/>
    <w:rsid w:val="00D01F25"/>
    <w:rsid w:val="00D825F7"/>
    <w:rsid w:val="00DA3CCC"/>
    <w:rsid w:val="00E5782E"/>
    <w:rsid w:val="00E96FC5"/>
    <w:rsid w:val="00EA08DF"/>
    <w:rsid w:val="00EB54C1"/>
    <w:rsid w:val="00EE4A94"/>
    <w:rsid w:val="00F15EE7"/>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FCAB6-F174-4610-B6E7-D7A70ECB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107DC0"/>
    <w:rPr>
      <w:rFonts w:ascii="Segoe UI" w:hAnsi="Segoe UI" w:cs="Segoe UI"/>
      <w:sz w:val="18"/>
      <w:szCs w:val="18"/>
    </w:rPr>
  </w:style>
  <w:style w:type="character" w:customStyle="1" w:styleId="BalloonTextChar">
    <w:name w:val="Balloon Text Char"/>
    <w:basedOn w:val="DefaultParagraphFont"/>
    <w:link w:val="BalloonText"/>
    <w:rsid w:val="00107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E462-9D55-4ABC-929E-14CE6539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4158</Words>
  <Characters>26017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BROCCA Monica </dc:creator>
  <cp:keywords/>
  <dc:description/>
  <cp:lastModifiedBy>FRIMSTON Edmund</cp:lastModifiedBy>
  <cp:revision>2</cp:revision>
  <cp:lastPrinted>2022-02-09T17:37:00Z</cp:lastPrinted>
  <dcterms:created xsi:type="dcterms:W3CDTF">2022-02-09T18:26:00Z</dcterms:created>
  <dcterms:modified xsi:type="dcterms:W3CDTF">2022-02-09T18:26:00Z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1249186</vt:lpwstr>
  </property>
  <property fmtid="{D5CDD505-2E9C-101B-9397-08002B2CF9AE}" pid="6" name="&lt;Type&gt;">
    <vt:lpwstr>AM</vt:lpwstr>
  </property>
  <property fmtid="{D5CDD505-2E9C-101B-9397-08002B2CF9AE}" pid="7" name="&lt;ModelCod&gt;">
    <vt:lpwstr>\\eiciBRUpr1\pdocep$\DocEP\DOCS\General\AM\AM_NonLeg\AM_Ple_NonLeg\AM_Ple_NonLegReport.dotx(15/10/2019 06:18:38)</vt:lpwstr>
  </property>
  <property fmtid="{D5CDD505-2E9C-101B-9397-08002B2CF9AE}" pid="8" name="&lt;ModelTra&gt;">
    <vt:lpwstr>\\eiciBRUpr1\pdocep$\DocEP\TRANSFIL\EN\AM_Ple_NonLegReport.EN(02/09/2019 11:27:01)</vt:lpwstr>
  </property>
  <property fmtid="{D5CDD505-2E9C-101B-9397-08002B2CF9AE}" pid="9" name="&lt;Model&gt;">
    <vt:lpwstr>AM_Ple_NonLegReport</vt:lpwstr>
  </property>
  <property fmtid="{D5CDD505-2E9C-101B-9397-08002B2CF9AE}" pid="10" name="FooterPath">
    <vt:lpwstr>AM\1249186EN.docx</vt:lpwstr>
  </property>
  <property fmtid="{D5CDD505-2E9C-101B-9397-08002B2CF9AE}" pid="11" name="PE number">
    <vt:lpwstr>702.874</vt:lpwstr>
  </property>
  <property fmtid="{D5CDD505-2E9C-101B-9397-08002B2CF9AE}" pid="12" name="Bookout">
    <vt:lpwstr>OK - 2022/02/09 19:23</vt:lpwstr>
  </property>
</Properties>
</file>