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F9" w:rsidRPr="00006121" w:rsidRDefault="00B36499">
      <w:pPr>
        <w:pStyle w:val="AmDateTab"/>
      </w:pPr>
      <w:r>
        <w:rPr>
          <w:rStyle w:val="HideTWBExt"/>
        </w:rPr>
        <w:t>&lt;RepeatBlock-Amend&gt;&lt;Amend&gt;&lt;Date&gt;</w:t>
      </w:r>
      <w:r>
        <w:rPr>
          <w:rStyle w:val="HideTWBInt"/>
          <w:color w:val="auto"/>
        </w:rPr>
        <w:t>{02/06/2022}</w:t>
      </w:r>
      <w:r>
        <w:t>2.6.2022</w:t>
      </w:r>
      <w:r>
        <w:rPr>
          <w:rStyle w:val="HideTWBExt"/>
        </w:rPr>
        <w:t>&lt;/Date&gt;</w:t>
      </w:r>
      <w:r>
        <w:tab/>
      </w:r>
      <w:r>
        <w:rPr>
          <w:rStyle w:val="HideTWBExt"/>
        </w:rPr>
        <w:t>&lt;ANo&gt;</w:t>
      </w:r>
      <w:r>
        <w:t>A9-0150</w:t>
      </w:r>
      <w:r>
        <w:rPr>
          <w:rStyle w:val="HideTWBExt"/>
        </w:rPr>
        <w:t>&lt;/ANo&gt;</w:t>
      </w:r>
      <w:r>
        <w:t>/</w:t>
      </w:r>
      <w:r>
        <w:rPr>
          <w:rStyle w:val="HideTWBExt"/>
        </w:rPr>
        <w:t>&lt;NumAm&gt;</w:t>
      </w:r>
      <w:r>
        <w:t>121</w:t>
      </w:r>
      <w:r>
        <w:rPr>
          <w:rStyle w:val="HideTWBExt"/>
        </w:rPr>
        <w:t>&lt;/NumAm&gt;</w:t>
      </w:r>
    </w:p>
    <w:p w:rsidR="00E51BF9" w:rsidRPr="00006121" w:rsidRDefault="00B36499">
      <w:pPr>
        <w:pStyle w:val="AmNumberTabs"/>
      </w:pPr>
      <w:r>
        <w:t>Änderungsantrag</w:t>
      </w:r>
      <w:r>
        <w:tab/>
      </w:r>
      <w:r>
        <w:tab/>
      </w:r>
      <w:r>
        <w:rPr>
          <w:rStyle w:val="HideTWBExt"/>
        </w:rPr>
        <w:t>&lt;NumAm&gt;</w:t>
      </w:r>
      <w:r>
        <w:t>121</w:t>
      </w:r>
      <w:r>
        <w:rPr>
          <w:rStyle w:val="HideTWBExt"/>
        </w:rPr>
        <w:t>&lt;/NumAm&gt;</w:t>
      </w:r>
    </w:p>
    <w:p w:rsidR="00E51BF9" w:rsidRPr="00006121" w:rsidRDefault="00B36499">
      <w:pPr>
        <w:pStyle w:val="NormalBold"/>
      </w:pPr>
      <w:r>
        <w:rPr>
          <w:rStyle w:val="HideTWBExt"/>
        </w:rPr>
        <w:t>&lt;RepeatBlock-By&gt;&lt;Members&gt;</w:t>
      </w:r>
      <w:r>
        <w:t xml:space="preserve">Massimiliano Salini, Pietro Fiocchi, Isabella Adinolfi, Mazaly Aguilar, Pablo Arias Echeverría, </w:t>
      </w:r>
      <w:r>
        <w:t xml:space="preserve">Pascal Arimont, Isabel Benjumea </w:t>
      </w:r>
      <w:proofErr w:type="spellStart"/>
      <w:r>
        <w:t>Benjumea</w:t>
      </w:r>
      <w:proofErr w:type="spellEnd"/>
      <w:r>
        <w:t>, Sergio Berlato, Alexander Bernhuber, Vasile Blaga, Paolo Borchia, Daniel Buda, Jorge Buxadé Villalba, Carlo Calenda, Andrea Caroppo, Maria da Graça Carvalho, Nicola Danti, Margarita de la Pisa Carrión, Salvatore De</w:t>
      </w:r>
      <w:r>
        <w:t xml:space="preserve"> Meo, Pilar del Castillo Vera, Angel Dzhambazki, Rosa Estaràs Ferragut, Gheorghe Falcă, Markus Ferber, Carlo Fidanza, Raffaele Fitto, José Manuel García-Margallo y Marfil, Jens Gieseke, Ladislav Ilčić, Radan Kanev, Antonio López-Istúriz White, Lukas Mandl,</w:t>
      </w:r>
      <w:r>
        <w:t xml:space="preserve"> Marian-Jean Marinescu, Fulvio Martusciello, Gabriel Mato, Liudas Mažylis, Giuseppe Milazzo, Francisco José Millán Mon, Cláudia Monteiro de Aguiar, Dolors Montserrat, Aldo Patriciello, Nicola Procaccini, Luisa Regimenti, Silvia Sardone, Simone Schmiedtbaue</w:t>
      </w:r>
      <w:r>
        <w:t>r, Andrey Slabakov, Vincenzo Sofo, Raffaele Stancanelli, Antonio Tajani, Hermann Tertsch, Barbara Thaler, Romana Tomc, Loránt Vincze, Lucia Vuolo, Iuliu Winkler, Angelika Winzig, Juan Ignacio Zoido Álvarez, Christian Sagartz, Leopoldo López Gil, Jessica St</w:t>
      </w:r>
      <w:r>
        <w:t>egrud, Simona Bonafè, Alessandra Moretti</w:t>
      </w:r>
      <w:r>
        <w:rPr>
          <w:rStyle w:val="HideTWBExt"/>
        </w:rPr>
        <w:t>&lt;/Members&gt;</w:t>
      </w:r>
    </w:p>
    <w:p w:rsidR="00E51BF9" w:rsidRPr="00006121" w:rsidRDefault="00B36499">
      <w:pPr>
        <w:pStyle w:val="NormalBold"/>
      </w:pPr>
      <w:r>
        <w:rPr>
          <w:rStyle w:val="HideTWBExt"/>
        </w:rPr>
        <w:t>&lt;/RepeatBlock-By&gt;</w:t>
      </w:r>
    </w:p>
    <w:p w:rsidR="00E51BF9" w:rsidRPr="00006121" w:rsidRDefault="00B36499">
      <w:pPr>
        <w:pStyle w:val="AmDocTypeTab"/>
      </w:pPr>
      <w:r>
        <w:rPr>
          <w:rStyle w:val="HideTWBExt"/>
        </w:rPr>
        <w:t>&lt;TitreType&gt;</w:t>
      </w:r>
      <w:r>
        <w:t>Bericht</w:t>
      </w:r>
      <w:r>
        <w:rPr>
          <w:rStyle w:val="HideTWBExt"/>
        </w:rPr>
        <w:t>&lt;/TitreType&gt;</w:t>
      </w:r>
      <w:r>
        <w:tab/>
        <w:t>A9-0150/2022</w:t>
      </w:r>
    </w:p>
    <w:p w:rsidR="00E51BF9" w:rsidRPr="00006121" w:rsidRDefault="00B36499">
      <w:pPr>
        <w:pStyle w:val="NormalBold"/>
      </w:pPr>
      <w:r>
        <w:rPr>
          <w:rStyle w:val="HideTWBExt"/>
        </w:rPr>
        <w:t>&lt;Rapporteur&gt;</w:t>
      </w:r>
      <w:r>
        <w:t>Jan Huitema</w:t>
      </w:r>
      <w:r>
        <w:rPr>
          <w:rStyle w:val="HideTWBExt"/>
        </w:rPr>
        <w:t>&lt;/Rapporteur&gt;</w:t>
      </w:r>
    </w:p>
    <w:p w:rsidR="00E51BF9" w:rsidRPr="00006121" w:rsidRDefault="00B36499">
      <w:r>
        <w:rPr>
          <w:rStyle w:val="HideTWBExt"/>
        </w:rPr>
        <w:t>&lt;Titre&gt;</w:t>
      </w:r>
      <w:r>
        <w:t>CO</w:t>
      </w:r>
      <w:r>
        <w:rPr>
          <w:vertAlign w:val="subscript"/>
        </w:rPr>
        <w:t>2</w:t>
      </w:r>
      <w:r>
        <w:t>-Emissionsnormen für Personenkraftwagen und leichte Nutzfahrzeuge</w:t>
      </w:r>
      <w:r>
        <w:rPr>
          <w:rStyle w:val="HideTWBExt"/>
        </w:rPr>
        <w:t>&lt;/Titre&gt;</w:t>
      </w:r>
    </w:p>
    <w:p w:rsidR="00E51BF9" w:rsidRPr="00006121" w:rsidRDefault="00B36499">
      <w:pPr>
        <w:pStyle w:val="Normal12a"/>
      </w:pPr>
      <w:r>
        <w:rPr>
          <w:rStyle w:val="HideTWBExt"/>
        </w:rPr>
        <w:t>&lt;DocRef&gt;</w:t>
      </w:r>
      <w:r>
        <w:t>(COM(2021)0556</w:t>
      </w:r>
      <w:r>
        <w:t xml:space="preserve"> – C9-0322/2021 – 2021/0197(COD))</w:t>
      </w:r>
      <w:r>
        <w:rPr>
          <w:rStyle w:val="HideTWBExt"/>
        </w:rPr>
        <w:t>&lt;/DocRef&gt;</w:t>
      </w:r>
    </w:p>
    <w:p w:rsidR="00E51BF9" w:rsidRPr="00006121" w:rsidRDefault="00B36499">
      <w:pPr>
        <w:pStyle w:val="NormalBold"/>
      </w:pPr>
      <w:r>
        <w:rPr>
          <w:rStyle w:val="HideTWBExt"/>
        </w:rPr>
        <w:t>&lt;DocAmend&gt;</w:t>
      </w:r>
      <w:r>
        <w:t>Vorschlag für eine Verordnung</w:t>
      </w:r>
      <w:r>
        <w:rPr>
          <w:rStyle w:val="HideTWBExt"/>
        </w:rPr>
        <w:t>&lt;/DocAmend&gt;</w:t>
      </w:r>
    </w:p>
    <w:p w:rsidR="00E51BF9" w:rsidRPr="00006121" w:rsidRDefault="00B36499">
      <w:pPr>
        <w:pStyle w:val="NormalBold"/>
      </w:pPr>
      <w:r>
        <w:rPr>
          <w:rStyle w:val="HideTWBExt"/>
        </w:rPr>
        <w:t>&lt;Article&gt;</w:t>
      </w:r>
      <w:r>
        <w:t>Erwägung 21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43B8">
        <w:trPr>
          <w:trHeight w:hRule="exact" w:val="240"/>
          <w:jc w:val="center"/>
        </w:trPr>
        <w:tc>
          <w:tcPr>
            <w:tcW w:w="9752" w:type="dxa"/>
            <w:gridSpan w:val="2"/>
          </w:tcPr>
          <w:p w:rsidR="00E51BF9" w:rsidRPr="00006121" w:rsidRDefault="00E51BF9"/>
        </w:tc>
      </w:tr>
      <w:tr w:rsidR="00E743B8">
        <w:trPr>
          <w:trHeight w:val="240"/>
          <w:jc w:val="center"/>
        </w:trPr>
        <w:tc>
          <w:tcPr>
            <w:tcW w:w="4876" w:type="dxa"/>
          </w:tcPr>
          <w:p w:rsidR="00E51BF9" w:rsidRPr="00006121" w:rsidRDefault="00B36499">
            <w:pPr>
              <w:pStyle w:val="AmColumnHeading"/>
            </w:pPr>
            <w:r>
              <w:t>Vorschlag der Kommission</w:t>
            </w:r>
          </w:p>
        </w:tc>
        <w:tc>
          <w:tcPr>
            <w:tcW w:w="4876" w:type="dxa"/>
          </w:tcPr>
          <w:p w:rsidR="00E51BF9" w:rsidRPr="00006121" w:rsidRDefault="00B36499">
            <w:pPr>
              <w:pStyle w:val="AmColumnHeading"/>
            </w:pPr>
            <w:r>
              <w:t>Geänderter Text</w:t>
            </w:r>
          </w:p>
        </w:tc>
      </w:tr>
      <w:tr w:rsidR="00E743B8">
        <w:trPr>
          <w:jc w:val="center"/>
        </w:trPr>
        <w:tc>
          <w:tcPr>
            <w:tcW w:w="4876" w:type="dxa"/>
          </w:tcPr>
          <w:p w:rsidR="00E51BF9" w:rsidRPr="00006121" w:rsidRDefault="00B36499">
            <w:pPr>
              <w:pStyle w:val="Normal6a"/>
            </w:pPr>
            <w:r>
              <w:t>(21)</w:t>
            </w:r>
            <w:r>
              <w:tab/>
              <w:t xml:space="preserve">Angesichts der strengeren Gesamtziele für die Senkung der Treibhausgasemissionen </w:t>
            </w:r>
            <w:r>
              <w:t>und um Marktverzerrungen zu vermeiden, sollten die Reduktionsauflagen für alle Hersteller auf dem Unionsmarkt mit Ausnahme der Hersteller, auf die in einem Kalenderjahr weniger als 1000</w:t>
            </w:r>
            <w:r>
              <w:rPr>
                <w:b/>
                <w:i/>
              </w:rPr>
              <w:t> </w:t>
            </w:r>
            <w:r>
              <w:t>Neuzulassungen für Fahrzeuge entfallen, angeglichen werden. Demzufolge</w:t>
            </w:r>
            <w:r>
              <w:t xml:space="preserve"> sollte die Möglichkeit, eine Ausnahme von ihren Zielvorgaben für die spezifischen Emissionen zu beantragen, für Hersteller, auf die in einem Kalenderjahr 1000 bis 10 000 Neuzulassungen von Personenkraftwagen oder 1000 bis 22 000 Neuzulassungen für leichte</w:t>
            </w:r>
            <w:r>
              <w:t xml:space="preserve"> Nutzfahrzeuge entfallen, ab </w:t>
            </w:r>
            <w:r>
              <w:rPr>
                <w:b/>
                <w:i/>
              </w:rPr>
              <w:t>2030</w:t>
            </w:r>
            <w:r>
              <w:t xml:space="preserve"> aufgehoben werden.</w:t>
            </w:r>
          </w:p>
        </w:tc>
        <w:tc>
          <w:tcPr>
            <w:tcW w:w="4876" w:type="dxa"/>
          </w:tcPr>
          <w:p w:rsidR="00E51BF9" w:rsidRPr="00006121" w:rsidRDefault="00B36499">
            <w:pPr>
              <w:pStyle w:val="Normal6a"/>
            </w:pPr>
            <w:r>
              <w:t>(21)</w:t>
            </w:r>
            <w:r>
              <w:tab/>
              <w:t>Angesichts der strengeren Gesamtziele für die Senkung der Treibhausgasemissionen und um Marktverzerrungen zu vermeiden, sollten die Reduktionsauflagen für alle Hersteller auf dem Unionsmarkt mit Aus</w:t>
            </w:r>
            <w:r>
              <w:t>nahme der Hersteller, auf die in einem Kalenderjahr weniger als 1000</w:t>
            </w:r>
            <w:r>
              <w:rPr>
                <w:b/>
                <w:i/>
              </w:rPr>
              <w:t xml:space="preserve"> </w:t>
            </w:r>
            <w:r>
              <w:t>Neuzulassungen für Fahrzeuge entfallen, angeglichen werden. Demzufolge sollte die Möglichkeit, eine Ausnahme von ihren Zielvorgaben für die spezifischen Emissionen zu beantragen, für Hers</w:t>
            </w:r>
            <w:r>
              <w:t xml:space="preserve">teller, auf die in einem Kalenderjahr 1000 bis 10 000 Neuzulassungen von Personenkraftwagen oder 1000 bis 22 000 Neuzulassungen für leichte Nutzfahrzeuge entfallen, ab </w:t>
            </w:r>
            <w:r>
              <w:rPr>
                <w:b/>
                <w:i/>
              </w:rPr>
              <w:t>2036</w:t>
            </w:r>
            <w:r>
              <w:t xml:space="preserve"> aufgehoben werden.</w:t>
            </w:r>
          </w:p>
        </w:tc>
      </w:tr>
    </w:tbl>
    <w:p w:rsidR="00E51BF9" w:rsidRPr="00006121" w:rsidRDefault="00B36499">
      <w:pPr>
        <w:pStyle w:val="AmOrLang"/>
      </w:pPr>
      <w:proofErr w:type="spellStart"/>
      <w:r w:rsidRPr="00006121">
        <w:t>Or</w:t>
      </w:r>
      <w:proofErr w:type="spellEnd"/>
      <w:r w:rsidRPr="00006121">
        <w:t xml:space="preserve">. </w:t>
      </w:r>
      <w:r w:rsidRPr="00006121">
        <w:rPr>
          <w:rStyle w:val="HideTWBExt"/>
          <w:noProof w:val="0"/>
        </w:rPr>
        <w:t>&lt;Original&gt;</w:t>
      </w:r>
      <w:r w:rsidRPr="00006121">
        <w:rPr>
          <w:rStyle w:val="HideTWBInt"/>
        </w:rPr>
        <w:t>{EN}</w:t>
      </w:r>
      <w:r w:rsidRPr="00006121">
        <w:t>en</w:t>
      </w:r>
      <w:r w:rsidRPr="00006121">
        <w:rPr>
          <w:rStyle w:val="HideTWBExt"/>
          <w:noProof w:val="0"/>
        </w:rPr>
        <w:t>&lt;/Original&gt;</w:t>
      </w:r>
    </w:p>
    <w:p w:rsidR="00E51BF9" w:rsidRPr="00006121" w:rsidRDefault="00B36499">
      <w:pPr>
        <w:sectPr w:rsidR="00E51BF9" w:rsidRPr="0000612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Pr>
          <w:rStyle w:val="HideTWBExt"/>
        </w:rPr>
        <w:t>&lt;/Amend&gt;</w:t>
      </w:r>
    </w:p>
    <w:p w:rsidR="00E51BF9" w:rsidRPr="00006121" w:rsidRDefault="00B36499">
      <w:pPr>
        <w:pStyle w:val="AmDateTab"/>
      </w:pPr>
      <w:r>
        <w:rPr>
          <w:rStyle w:val="HideTWBExt"/>
        </w:rPr>
        <w:lastRenderedPageBreak/>
        <w:t>&lt;Amend&gt;&lt;Date&gt;</w:t>
      </w:r>
      <w:r>
        <w:rPr>
          <w:rStyle w:val="HideTWBInt"/>
          <w:color w:val="auto"/>
        </w:rPr>
        <w:t>{02/06/2022}</w:t>
      </w:r>
      <w:r>
        <w:t>2.6.2022</w:t>
      </w:r>
      <w:r>
        <w:rPr>
          <w:rStyle w:val="HideTWBExt"/>
        </w:rPr>
        <w:t>&lt;/Date&gt;</w:t>
      </w:r>
      <w:r>
        <w:tab/>
      </w:r>
      <w:r>
        <w:rPr>
          <w:rStyle w:val="HideTWBExt"/>
        </w:rPr>
        <w:t>&lt;ANo&gt;</w:t>
      </w:r>
      <w:r>
        <w:t>A9-0150</w:t>
      </w:r>
      <w:r>
        <w:rPr>
          <w:rStyle w:val="HideTWBExt"/>
        </w:rPr>
        <w:t>&lt;/ANo&gt;</w:t>
      </w:r>
      <w:r>
        <w:t>/</w:t>
      </w:r>
      <w:r>
        <w:rPr>
          <w:rStyle w:val="HideTWBExt"/>
        </w:rPr>
        <w:t>&lt;NumAm&gt;</w:t>
      </w:r>
      <w:r>
        <w:t>122</w:t>
      </w:r>
      <w:r>
        <w:rPr>
          <w:rStyle w:val="HideTWBExt"/>
        </w:rPr>
        <w:t>&lt;/NumAm&gt;</w:t>
      </w:r>
    </w:p>
    <w:p w:rsidR="00E51BF9" w:rsidRPr="00006121" w:rsidRDefault="00B36499">
      <w:pPr>
        <w:pStyle w:val="AmNumberTabs"/>
      </w:pPr>
      <w:r>
        <w:t>Änderungsantrag</w:t>
      </w:r>
      <w:r>
        <w:tab/>
      </w:r>
      <w:r>
        <w:tab/>
      </w:r>
      <w:r>
        <w:rPr>
          <w:rStyle w:val="HideTWBExt"/>
        </w:rPr>
        <w:t>&lt;NumAm&gt;</w:t>
      </w:r>
      <w:r>
        <w:t>122</w:t>
      </w:r>
      <w:r>
        <w:rPr>
          <w:rStyle w:val="HideTWBExt"/>
        </w:rPr>
        <w:t>&lt;/NumAm&gt;</w:t>
      </w:r>
    </w:p>
    <w:p w:rsidR="00E51BF9" w:rsidRPr="00006121" w:rsidRDefault="00B36499">
      <w:pPr>
        <w:pStyle w:val="NormalBold"/>
      </w:pPr>
      <w:r>
        <w:rPr>
          <w:rStyle w:val="HideTWBExt"/>
        </w:rPr>
        <w:t>&lt;RepeatBlock-By&gt;&lt;Members&gt;</w:t>
      </w:r>
      <w:r>
        <w:t xml:space="preserve">Massimiliano Salini, Pietro Fiocchi, Isabella Adinolfi, Mazaly Aguilar, Pablo Arias Echeverría, Pascal Arimont, Isabel Benjumea </w:t>
      </w:r>
      <w:proofErr w:type="spellStart"/>
      <w:r>
        <w:t>Benjumea</w:t>
      </w:r>
      <w:proofErr w:type="spellEnd"/>
      <w:r>
        <w:t xml:space="preserve">, Sergio Berlato, </w:t>
      </w:r>
      <w:r>
        <w:t>Alexander Bernhuber, Vasile Blaga, Paolo Borchia, Daniel Buda, Jorge Buxadé Villalba, Carlo Calenda, Andrea Caroppo, Maria da Graça Carvalho, Nicola Danti, Margarita de la Pisa Carrión, Salvatore De Meo, Pilar del Castillo Vera, Angel Dzhambazki, Rosa Esta</w:t>
      </w:r>
      <w:r>
        <w:t>ràs Ferragut, Gheorghe Falcă, Markus Ferber, Carlo Fidanza, Raffaele Fitto, José Manuel García-Margallo y Marfil, Jens Gieseke, Ladislav Ilčić, Radan Kanev, Antonio López-Istúriz White, Lukas Mandl, Marian-Jean Marinescu, Fulvio Martusciello, Gabriel Mato,</w:t>
      </w:r>
      <w:r>
        <w:t xml:space="preserve"> Liudas Mažylis, Giuseppe Milazzo, Francisco José Millán Mon, Cláudia Monteiro de Aguiar, Dolors Montserrat, Aldo Patriciello, Nicola Procaccini, Luisa Regimenti, Silvia Sardone, Simone Schmiedtbauer, Andrey Slabakov, Vincenzo Sofo, Raffaele Stancanelli, A</w:t>
      </w:r>
      <w:r>
        <w:t>ntonio Tajani, Hermann Tertsch, Barbara Thaler, Romana Tomc, Loránt Vincze, Lucia Vuolo, Iuliu Winkler, Angelika Winzig, Juan Ignacio Zoido Álvarez, Christian Sagartz, Leopoldo López Gil, Jessica Stegrud, Simona Bonafè, Alessandra Moretti</w:t>
      </w:r>
      <w:r>
        <w:rPr>
          <w:rStyle w:val="HideTWBExt"/>
        </w:rPr>
        <w:t>&lt;/Members&gt;</w:t>
      </w:r>
    </w:p>
    <w:p w:rsidR="00E51BF9" w:rsidRPr="00006121" w:rsidRDefault="00B36499">
      <w:pPr>
        <w:pStyle w:val="NormalBold"/>
      </w:pPr>
      <w:r>
        <w:rPr>
          <w:rStyle w:val="HideTWBExt"/>
        </w:rPr>
        <w:t>&lt;/Repea</w:t>
      </w:r>
      <w:r>
        <w:rPr>
          <w:rStyle w:val="HideTWBExt"/>
        </w:rPr>
        <w:t>tBlock-By&gt;</w:t>
      </w:r>
    </w:p>
    <w:p w:rsidR="00E51BF9" w:rsidRPr="00006121" w:rsidRDefault="00B36499">
      <w:pPr>
        <w:pStyle w:val="AmDocTypeTab"/>
      </w:pPr>
      <w:r>
        <w:rPr>
          <w:rStyle w:val="HideTWBExt"/>
        </w:rPr>
        <w:t>&lt;TitreType&gt;</w:t>
      </w:r>
      <w:r>
        <w:t>Bericht</w:t>
      </w:r>
      <w:r>
        <w:rPr>
          <w:rStyle w:val="HideTWBExt"/>
        </w:rPr>
        <w:t>&lt;/TitreType&gt;</w:t>
      </w:r>
      <w:r>
        <w:tab/>
        <w:t>A9-0150/2022</w:t>
      </w:r>
    </w:p>
    <w:p w:rsidR="00E51BF9" w:rsidRPr="00006121" w:rsidRDefault="00B36499">
      <w:pPr>
        <w:pStyle w:val="NormalBold"/>
      </w:pPr>
      <w:r>
        <w:rPr>
          <w:rStyle w:val="HideTWBExt"/>
        </w:rPr>
        <w:t>&lt;Rapporteur&gt;</w:t>
      </w:r>
      <w:r>
        <w:t>Jan Huitema</w:t>
      </w:r>
      <w:r>
        <w:rPr>
          <w:rStyle w:val="HideTWBExt"/>
        </w:rPr>
        <w:t>&lt;/Rapporteur&gt;</w:t>
      </w:r>
    </w:p>
    <w:p w:rsidR="00E51BF9" w:rsidRPr="00006121" w:rsidRDefault="00B36499">
      <w:r>
        <w:rPr>
          <w:rStyle w:val="HideTWBExt"/>
        </w:rPr>
        <w:t>&lt;Titre&gt;</w:t>
      </w:r>
      <w:r>
        <w:t>CO</w:t>
      </w:r>
      <w:r>
        <w:rPr>
          <w:vertAlign w:val="subscript"/>
        </w:rPr>
        <w:t>2</w:t>
      </w:r>
      <w:r>
        <w:t>-Emissionsnormen für Personenkraftwagen und leichte Nutzfahrzeuge</w:t>
      </w:r>
      <w:r>
        <w:rPr>
          <w:rStyle w:val="HideTWBExt"/>
        </w:rPr>
        <w:t>&lt;/Titre&gt;</w:t>
      </w:r>
    </w:p>
    <w:p w:rsidR="00E51BF9" w:rsidRPr="00006121" w:rsidRDefault="00B36499">
      <w:pPr>
        <w:pStyle w:val="Normal12a"/>
      </w:pPr>
      <w:r>
        <w:rPr>
          <w:rStyle w:val="HideTWBExt"/>
        </w:rPr>
        <w:t>&lt;DocRef&gt;</w:t>
      </w:r>
      <w:r>
        <w:t>(COM(2021)0556 – C9-0322/2021 – 2021/0197(COD))</w:t>
      </w:r>
      <w:r>
        <w:rPr>
          <w:rStyle w:val="HideTWBExt"/>
        </w:rPr>
        <w:t>&lt;/DocRef&gt;</w:t>
      </w:r>
    </w:p>
    <w:p w:rsidR="00E51BF9" w:rsidRPr="00006121" w:rsidRDefault="00B36499">
      <w:pPr>
        <w:pStyle w:val="NormalBold"/>
      </w:pPr>
      <w:r>
        <w:rPr>
          <w:rStyle w:val="HideTWBExt"/>
        </w:rPr>
        <w:t>&lt;DocAmend&gt;</w:t>
      </w:r>
      <w:r>
        <w:t>Vorsc</w:t>
      </w:r>
      <w:r>
        <w:t>hlag für eine Verordnung</w:t>
      </w:r>
      <w:r>
        <w:rPr>
          <w:rStyle w:val="HideTWBExt"/>
        </w:rPr>
        <w:t>&lt;/DocAmend&gt;</w:t>
      </w:r>
    </w:p>
    <w:p w:rsidR="00E51BF9" w:rsidRPr="00006121" w:rsidRDefault="00B36499">
      <w:pPr>
        <w:pStyle w:val="NormalBold"/>
      </w:pPr>
      <w:r>
        <w:rPr>
          <w:rStyle w:val="HideTWBExt"/>
        </w:rPr>
        <w:t>&lt;Article&gt;</w:t>
      </w:r>
      <w:r>
        <w:t>Artikel 1 – Absatz 1 – Nummer 6</w:t>
      </w:r>
      <w:r>
        <w:rPr>
          <w:rStyle w:val="HideTWBExt"/>
        </w:rPr>
        <w:t>&lt;/Article&gt;</w:t>
      </w:r>
    </w:p>
    <w:p w:rsidR="00E51BF9" w:rsidRPr="00006121" w:rsidRDefault="00B36499">
      <w:r>
        <w:rPr>
          <w:rStyle w:val="HideTWBExt"/>
        </w:rPr>
        <w:t>&lt;DocAmend2&gt;</w:t>
      </w:r>
      <w:r>
        <w:t>Verordnung (EU) 2019/631</w:t>
      </w:r>
      <w:r>
        <w:rPr>
          <w:rStyle w:val="HideTWBExt"/>
        </w:rPr>
        <w:t>&lt;/DocAmend2&gt;</w:t>
      </w:r>
    </w:p>
    <w:p w:rsidR="00E51BF9" w:rsidRPr="00006121" w:rsidRDefault="00B36499">
      <w:r>
        <w:rPr>
          <w:rStyle w:val="HideTWBExt"/>
        </w:rPr>
        <w:t>&lt;Article2&gt;</w:t>
      </w:r>
      <w:r>
        <w:t>Artikel 10 – Absatz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43B8">
        <w:trPr>
          <w:trHeight w:hRule="exact" w:val="240"/>
          <w:jc w:val="center"/>
        </w:trPr>
        <w:tc>
          <w:tcPr>
            <w:tcW w:w="9752" w:type="dxa"/>
            <w:gridSpan w:val="2"/>
          </w:tcPr>
          <w:p w:rsidR="00E51BF9" w:rsidRPr="00006121" w:rsidRDefault="00E51BF9"/>
        </w:tc>
      </w:tr>
      <w:tr w:rsidR="00E743B8">
        <w:trPr>
          <w:trHeight w:val="240"/>
          <w:jc w:val="center"/>
        </w:trPr>
        <w:tc>
          <w:tcPr>
            <w:tcW w:w="4876" w:type="dxa"/>
          </w:tcPr>
          <w:p w:rsidR="0074513C" w:rsidRPr="0074513C" w:rsidRDefault="00B36499" w:rsidP="0074513C">
            <w:pPr>
              <w:pStyle w:val="AmColumnHeading"/>
              <w:rPr>
                <w:b/>
              </w:rPr>
            </w:pPr>
            <w:r>
              <w:t xml:space="preserve">Vorschlag der </w:t>
            </w:r>
            <w:bookmarkStart w:id="0" w:name="_GoBack"/>
            <w:bookmarkEnd w:id="0"/>
            <w:r>
              <w:t>Kommission</w:t>
            </w:r>
          </w:p>
        </w:tc>
        <w:tc>
          <w:tcPr>
            <w:tcW w:w="4876" w:type="dxa"/>
          </w:tcPr>
          <w:p w:rsidR="0074513C" w:rsidRPr="00006121" w:rsidRDefault="00B36499" w:rsidP="0074513C">
            <w:pPr>
              <w:pStyle w:val="AmColumnHeading"/>
            </w:pPr>
            <w:r>
              <w:t>Geänderter Text</w:t>
            </w:r>
          </w:p>
        </w:tc>
      </w:tr>
      <w:tr w:rsidR="00E743B8">
        <w:trPr>
          <w:jc w:val="center"/>
        </w:trPr>
        <w:tc>
          <w:tcPr>
            <w:tcW w:w="4876" w:type="dxa"/>
          </w:tcPr>
          <w:p w:rsidR="0074513C" w:rsidRPr="00006121" w:rsidRDefault="00B36499" w:rsidP="0074513C">
            <w:pPr>
              <w:pStyle w:val="Normal6a"/>
            </w:pPr>
            <w:r>
              <w:t xml:space="preserve">„Eine gemäß Absatz 1 beantragte Ausnahme kann für die bis einschließlich für das </w:t>
            </w:r>
            <w:r>
              <w:rPr>
                <w:b/>
                <w:i/>
              </w:rPr>
              <w:t>Kalender 2029</w:t>
            </w:r>
            <w:r>
              <w:t xml:space="preserve"> geltenden Zielvorgaben für die spezifischen Emissionen gewährt werden.“</w:t>
            </w:r>
          </w:p>
        </w:tc>
        <w:tc>
          <w:tcPr>
            <w:tcW w:w="4876" w:type="dxa"/>
          </w:tcPr>
          <w:p w:rsidR="0074513C" w:rsidRPr="00006121" w:rsidRDefault="00B36499" w:rsidP="0074513C">
            <w:pPr>
              <w:pStyle w:val="Normal6a"/>
            </w:pPr>
            <w:r>
              <w:t xml:space="preserve">„Eine gemäß Absatz 1 beantragte Ausnahme kann für die bis einschließlich für das </w:t>
            </w:r>
            <w:r>
              <w:rPr>
                <w:b/>
                <w:i/>
              </w:rPr>
              <w:t>Kalender</w:t>
            </w:r>
            <w:r>
              <w:rPr>
                <w:b/>
                <w:i/>
              </w:rPr>
              <w:t>jahr 2035</w:t>
            </w:r>
            <w:r>
              <w:t xml:space="preserve"> geltenden Zielvorgaben für die spezifischen Emissionen gewährt werden.“</w:t>
            </w:r>
          </w:p>
        </w:tc>
      </w:tr>
    </w:tbl>
    <w:p w:rsidR="00E51BF9" w:rsidRPr="00006121" w:rsidRDefault="00B36499">
      <w:pPr>
        <w:pStyle w:val="AmOrLang"/>
      </w:pPr>
      <w:proofErr w:type="spellStart"/>
      <w:r w:rsidRPr="00006121">
        <w:t>Or</w:t>
      </w:r>
      <w:proofErr w:type="spellEnd"/>
      <w:r w:rsidRPr="00006121">
        <w:t xml:space="preserve">. </w:t>
      </w:r>
      <w:r w:rsidRPr="00006121">
        <w:rPr>
          <w:rStyle w:val="HideTWBExt"/>
          <w:noProof w:val="0"/>
        </w:rPr>
        <w:t>&lt;Original&gt;</w:t>
      </w:r>
      <w:r w:rsidRPr="00006121">
        <w:rPr>
          <w:rStyle w:val="HideTWBInt"/>
        </w:rPr>
        <w:t>{EN}</w:t>
      </w:r>
      <w:r w:rsidRPr="00006121">
        <w:t>en</w:t>
      </w:r>
      <w:r w:rsidRPr="00006121">
        <w:rPr>
          <w:rStyle w:val="HideTWBExt"/>
          <w:noProof w:val="0"/>
        </w:rPr>
        <w:t>&lt;/Original&gt;</w:t>
      </w:r>
    </w:p>
    <w:p w:rsidR="00E51BF9" w:rsidRPr="00006121" w:rsidRDefault="00B36499">
      <w:r>
        <w:rPr>
          <w:rStyle w:val="HideTWBExt"/>
        </w:rPr>
        <w:t>&lt;/Amend&gt;</w:t>
      </w:r>
    </w:p>
    <w:p w:rsidR="00E51BF9" w:rsidRPr="00006121" w:rsidRDefault="00B36499">
      <w:r>
        <w:rPr>
          <w:rStyle w:val="HideTWBExt"/>
        </w:rPr>
        <w:t>&lt;/RepeatBlock-Amend&gt;</w:t>
      </w:r>
    </w:p>
    <w:sectPr w:rsidR="00E51BF9" w:rsidRPr="00006121">
      <w:footerReference w:type="default" r:id="rId1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6499">
      <w:r>
        <w:separator/>
      </w:r>
    </w:p>
  </w:endnote>
  <w:endnote w:type="continuationSeparator" w:id="0">
    <w:p w:rsidR="00000000" w:rsidRDefault="00B3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B1" w:rsidRPr="00006121" w:rsidRDefault="00B36499" w:rsidP="00DC60B1">
    <w:pPr>
      <w:pStyle w:val="EPFooter"/>
    </w:pPr>
    <w:r w:rsidRPr="00006121">
      <w:rPr>
        <w:rStyle w:val="HideTWBExt"/>
        <w:noProof w:val="0"/>
      </w:rPr>
      <w:t>&lt;PathFdR&gt;</w:t>
    </w:r>
    <w:r w:rsidRPr="00006121">
      <w:t>AM\1257457DE.docx</w:t>
    </w:r>
    <w:r w:rsidRPr="00006121">
      <w:rPr>
        <w:rStyle w:val="HideTWBExt"/>
        <w:noProof w:val="0"/>
      </w:rPr>
      <w:t>&lt;/PathFdR&gt;</w:t>
    </w:r>
    <w:r w:rsidRPr="00006121">
      <w:tab/>
    </w:r>
    <w:r w:rsidRPr="00006121">
      <w:tab/>
      <w:t>PE</w:t>
    </w:r>
    <w:r w:rsidRPr="00006121">
      <w:rPr>
        <w:rStyle w:val="HideTWBExt"/>
        <w:noProof w:val="0"/>
      </w:rPr>
      <w:t>&lt;NoPE&gt;</w:t>
    </w:r>
    <w:r w:rsidRPr="00006121">
      <w:t>732.329</w:t>
    </w:r>
    <w:r w:rsidRPr="00006121">
      <w:rPr>
        <w:rStyle w:val="HideTWBExt"/>
        <w:noProof w:val="0"/>
      </w:rPr>
      <w:t>&lt;/NoPE&gt;&lt;Version&gt;</w:t>
    </w:r>
    <w:r w:rsidRPr="00006121">
      <w:t>v01-00</w:t>
    </w:r>
    <w:r w:rsidRPr="00006121">
      <w:rPr>
        <w:rStyle w:val="HideTWBExt"/>
        <w:noProof w:val="0"/>
      </w:rPr>
      <w:t>&lt;/Version&gt;</w:t>
    </w:r>
  </w:p>
  <w:p w:rsidR="00E51BF9" w:rsidRPr="00006121" w:rsidRDefault="00B36499" w:rsidP="00DC60B1">
    <w:pPr>
      <w:pStyle w:val="EPFooter2"/>
    </w:pPr>
    <w:r w:rsidRPr="00006121">
      <w:t>DE</w:t>
    </w:r>
    <w:r w:rsidRPr="00006121">
      <w:tab/>
    </w:r>
    <w:r w:rsidRPr="00006121">
      <w:rPr>
        <w:b w:val="0"/>
        <w:i/>
        <w:color w:val="C0C0C0"/>
        <w:sz w:val="22"/>
      </w:rPr>
      <w:t>In Vielfalt geeint</w:t>
    </w:r>
    <w:r w:rsidRPr="00006121">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B1" w:rsidRPr="00006121" w:rsidRDefault="00B36499" w:rsidP="00DC60B1">
    <w:pPr>
      <w:pStyle w:val="EPFooter"/>
    </w:pPr>
    <w:r w:rsidRPr="00006121">
      <w:rPr>
        <w:rStyle w:val="HideTWBExt"/>
        <w:noProof w:val="0"/>
      </w:rPr>
      <w:t>&lt;PathFdR&gt;</w:t>
    </w:r>
    <w:r w:rsidRPr="00006121">
      <w:t>AM\1257457DE.docx</w:t>
    </w:r>
    <w:r w:rsidRPr="00006121">
      <w:rPr>
        <w:rStyle w:val="HideTWBExt"/>
        <w:noProof w:val="0"/>
      </w:rPr>
      <w:t>&lt;/PathFdR&gt;</w:t>
    </w:r>
    <w:r w:rsidRPr="00006121">
      <w:tab/>
    </w:r>
    <w:r w:rsidRPr="00006121">
      <w:tab/>
      <w:t>PE</w:t>
    </w:r>
    <w:r w:rsidRPr="00006121">
      <w:rPr>
        <w:rStyle w:val="HideTWBExt"/>
        <w:noProof w:val="0"/>
      </w:rPr>
      <w:t>&lt;NoPE&gt;</w:t>
    </w:r>
    <w:r w:rsidRPr="00006121">
      <w:t>732.329</w:t>
    </w:r>
    <w:r w:rsidRPr="00006121">
      <w:rPr>
        <w:rStyle w:val="HideTWBExt"/>
        <w:noProof w:val="0"/>
      </w:rPr>
      <w:t>&lt;/NoPE&gt;&lt;Version&gt;</w:t>
    </w:r>
    <w:r w:rsidRPr="00006121">
      <w:t>v01-00</w:t>
    </w:r>
    <w:r w:rsidRPr="00006121">
      <w:rPr>
        <w:rStyle w:val="HideTWBExt"/>
        <w:noProof w:val="0"/>
      </w:rPr>
      <w:t>&lt;/Version&gt;</w:t>
    </w:r>
  </w:p>
  <w:p w:rsidR="00E51BF9" w:rsidRPr="00006121" w:rsidRDefault="00B36499" w:rsidP="00DC60B1">
    <w:pPr>
      <w:pStyle w:val="EPFooter2"/>
    </w:pPr>
    <w:r w:rsidRPr="00006121">
      <w:t>DE</w:t>
    </w:r>
    <w:r w:rsidRPr="00006121">
      <w:tab/>
    </w:r>
    <w:r w:rsidRPr="00006121">
      <w:rPr>
        <w:b w:val="0"/>
        <w:i/>
        <w:color w:val="C0C0C0"/>
        <w:sz w:val="22"/>
      </w:rPr>
      <w:t>In Vielfalt geeint</w:t>
    </w:r>
    <w:r w:rsidRPr="00006121">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6499">
      <w:r>
        <w:separator/>
      </w:r>
    </w:p>
  </w:footnote>
  <w:footnote w:type="continuationSeparator" w:id="0">
    <w:p w:rsidR="00000000" w:rsidRDefault="00B3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314\fbidi \fswiss\fcharset238\fprq2 Arial CE;}_x000d__x000a_{\f315\fbidi \fswiss\fcharset204\fprq2 Arial Cyr;}{\f317\fbidi \fswiss\fcharset161\fprq2 Arial Greek;}{\f318\fbidi \fswiss\fcharset162\fprq2 Arial Tur;}{\f319\fbidi \fswiss\fcharset177\fprq2 Arial (Hebrew);}_x000d__x000a_{\f320\fbidi \fswiss\fcharset178\fprq2 Arial (Arabic);}{\f321\fbidi \fswiss\fcharset186\fprq2 Arial Baltic;}{\f322\fbidi \fswiss\fcharset163\fprq2 Arial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16063952 HideTWBExt;}}_x000d__x000a_{\*\rsidtbl \rsid24658\rsid223860\rsid735077\rsid1718133\rsid2892074\rsid3565327\rsid4666813\rsid6641733\rsid7823322\rsid9636012\rsid10377208\rsid11215221\rsid11549030\rsid12138680\rsid12154954\rsid14382809\rsid14424199\rsid15204470\rsid15285974_x000d__x000a_\rsid15950462\rsid16063952\rsid16324206\rsid16662270}{\mmathPr\mmathFont34\mbrkBin0\mbrkBinSub0\msmallFrac0\mdispDef1\mlMargin0\mrMargin0\mdefJc1\mwrapIndent1440\mintLim0\mnaryLim1}{\info{\author HOLBACH Jutta}{\operator HOLBACH Jutta}_x000d__x000a_{\creatim\yr2022\mo6\dy3\hr7\min49}{\revtim\yr2022\mo6\dy3\hr7\min49}{\version1}{\edmins0}{\nofpages1}{\nofwords1}{\nofchars7}{\nofcharsws7}{\vern10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063952\newtblstyruls\nogrowautofit\usenormstyforlist\noindnmbrts\felnbrelev\nocxsptable\indrlsweleven\noafcnsttbl\afelev\utinl\hwelev\spltpgpar\notcvasp\notbrkcnstfrctbl\notvatxbx\krnprsnet\cachedcolbal _x000d__x000a_\nouicompat \fet0{\*\wgrffmtfilter 013f}\nofeaturethrottle1\ilfomacatclnup0{\*\template C:\\Users\\jholbach\\AppData\\Local\\Temp\\Blank1.dotx}{\*\ftnsep \ltrpar \pard\plain \ltrpar_x000d__x000a_\ql \li0\ri0\widctlpar\wrapdefault\aspalpha\aspnum\faauto\adjustright\rin0\lin0\itap0 \rtlch\fcs1 \af0\afs20\alang1025 \ltrch\fcs0 \fs24\lang2057\langfe2057\cgrid\langnp2057\langfenp2057 {\rtlch\fcs1 \af0 \ltrch\fcs0 \insrsid12138680 \chftnsep _x000d__x000a_\par }}{\*\ftnsepc \ltrpar \pard\plain \ltrpar\ql \li0\ri0\widctlpar\wrapdefault\aspalpha\aspnum\faauto\adjustright\rin0\lin0\itap0 \rtlch\fcs1 \af0\afs20\alang1025 \ltrch\fcs0 \fs24\lang2057\langfe2057\cgrid\langnp2057\langfenp2057 {\rtlch\fcs1 \af0 _x000d__x000a_\ltrch\fcs0 \insrsid12138680 \chftnsepc _x000d__x000a_\par }}{\*\aftnsep \ltrpar \pard\plain \ltrpar\ql \li0\ri0\widctlpar\wrapdefault\aspalpha\aspnum\faauto\adjustright\rin0\lin0\itap0 \rtlch\fcs1 \af0\afs20\alang1025 \ltrch\fcs0 \fs24\lang2057\langfe2057\cgrid\langnp2057\langfenp2057 {\rtlch\fcs1 \af0 _x000d__x000a_\ltrch\fcs0 \insrsid12138680 \chftnsep _x000d__x000a_\par }}{\*\aftnsepc \ltrpar \pard\plain \ltrpar\ql \li0\ri0\widctlpar\wrapdefault\aspalpha\aspnum\faauto\adjustright\rin0\lin0\itap0 \rtlch\fcs1 \af0\afs20\alang1025 \ltrch\fcs0 \fs24\lang2057\langfe2057\cgrid\langnp2057\langfenp2057 {\rtlch\fcs1 \af0 _x000d__x000a_\ltrch\fcs0 \insrsid1213868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1 \ltrch\fcs0 \cs17\v\fs20\cf9\lang1024\langfe1024\loch\af1\hich\af1\dbch\af31501\noproof\insrsid16063952 \hich\af1\dbch\af31501\loch\f1 _x000d__x000a_&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9_x000d__x000a_aeb80d7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57"/>
    <w:docVar w:name="TXTLANGUE" w:val="DE"/>
    <w:docVar w:name="TXTLANGUEMIN" w:val="de"/>
    <w:docVar w:name="TXTNRPE" w:val="732.329"/>
    <w:docVar w:name="TXTPEorAP" w:val="PE"/>
    <w:docVar w:name="TXTROUTE" w:val="AM\1257457DE.docx"/>
    <w:docVar w:name="TXTVERSION" w:val="01-00"/>
  </w:docVars>
  <w:rsids>
    <w:rsidRoot w:val="00A77B3E"/>
    <w:rsid w:val="00006121"/>
    <w:rsid w:val="0074513C"/>
    <w:rsid w:val="00A77B3E"/>
    <w:rsid w:val="00B36499"/>
    <w:rsid w:val="00CA2A55"/>
    <w:rsid w:val="00DC60B1"/>
    <w:rsid w:val="00E51BF9"/>
    <w:rsid w:val="00E7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A2F2D0-E549-42DD-B1BD-746D8F6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7D055C"/>
    <w:rPr>
      <w:rFonts w:ascii="Arial" w:hAnsi="Arial"/>
      <w:b/>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4003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BERG-SENAUTKA Karin</cp:lastModifiedBy>
  <cp:revision>2</cp:revision>
  <dcterms:created xsi:type="dcterms:W3CDTF">2022-06-06T10:30:00Z</dcterms:created>
  <dcterms:modified xsi:type="dcterms:W3CDTF">2022-06-06T10:30:00Z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1257457</vt:lpwstr>
  </property>
  <property fmtid="{D5CDD505-2E9C-101B-9397-08002B2CF9AE}" pid="4" name="&lt;Model&gt;">
    <vt:lpwstr>AM_Ple_LegReport</vt:lpwstr>
  </property>
  <property fmtid="{D5CDD505-2E9C-101B-9397-08002B2CF9AE}" pid="5" name="&lt;Type&gt;">
    <vt:lpwstr>AM</vt:lpwstr>
  </property>
  <property fmtid="{D5CDD505-2E9C-101B-9397-08002B2CF9AE}" pid="6" name="Bookout">
    <vt:lpwstr>OK - 2022/06/06 12:30</vt:lpwstr>
  </property>
  <property fmtid="{D5CDD505-2E9C-101B-9397-08002B2CF9AE}" pid="7" name="DMXMLUID">
    <vt:lpwstr>20220602-180032-008240-673091</vt:lpwstr>
  </property>
  <property fmtid="{D5CDD505-2E9C-101B-9397-08002B2CF9AE}" pid="8" name="FooterPath">
    <vt:lpwstr>AM\1257457DE.docx</vt:lpwstr>
  </property>
  <property fmtid="{D5CDD505-2E9C-101B-9397-08002B2CF9AE}" pid="9" name="LastEdited with">
    <vt:lpwstr>9.11.0 Build [20211103]</vt:lpwstr>
  </property>
  <property fmtid="{D5CDD505-2E9C-101B-9397-08002B2CF9AE}" pid="10" name="PE Number">
    <vt:lpwstr>732.329</vt:lpwstr>
  </property>
  <property fmtid="{D5CDD505-2E9C-101B-9397-08002B2CF9AE}" pid="11" name="SDLStudio">
    <vt:lpwstr/>
  </property>
  <property fmtid="{D5CDD505-2E9C-101B-9397-08002B2CF9AE}" pid="12" name="UID">
    <vt:lpwstr>eu.europa.europarl-DIN1-2022-0000077465_01.00-en-01.00_text-xml</vt:lpwstr>
  </property>
</Properties>
</file>