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2.12.0 -->
  <w:body>
    <w:p>
      <w:pPr>
        <w:pStyle w:val="AmDateTab"/>
      </w:pPr>
      <w:r>
        <w:rPr>
          <w:rStyle w:val="HideTWBExt"/>
        </w:rPr>
        <w:t>&lt;RepeatBlock-Amend&gt;</w:t>
      </w:r>
      <w:r>
        <w:rPr>
          <w:rStyle w:val="HideTWBExt"/>
        </w:rPr>
        <w:t>&lt;Amend&gt;</w:t>
      </w:r>
      <w:r>
        <w:rPr>
          <w:rStyle w:val="HideTWBExt"/>
        </w:rPr>
        <w:t>&lt;Date&gt;</w:t>
      </w:r>
      <w:r>
        <w:rPr>
          <w:rStyle w:val="HideTWBInt"/>
        </w:rPr>
        <w:t>{08/03/2023}</w:t>
      </w:r>
      <w:r>
        <w:t>8.3.2023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A9-0033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11</w:t>
      </w:r>
      <w:r>
        <w:rPr>
          <w:rStyle w:val="HideTWBExt"/>
        </w:rPr>
        <w:t>&lt;/NumAm&gt;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&lt;NumAm&gt;</w:t>
      </w:r>
      <w:r>
        <w:t>11</w:t>
      </w:r>
      <w:r>
        <w:rPr>
          <w:rStyle w:val="HideTWBExt"/>
        </w:rPr>
        <w:t>&lt;/NumAm&gt;</w:t>
      </w:r>
    </w:p>
    <w:p>
      <w:pPr>
        <w:pStyle w:val="NormalBold"/>
      </w:pPr>
      <w:r>
        <w:rPr>
          <w:rStyle w:val="HideTWBExt"/>
        </w:rPr>
        <w:t>&lt;RepeatBlock-By&gt;</w:t>
      </w:r>
      <w:r>
        <w:rPr>
          <w:rStyle w:val="HideTWBExt"/>
        </w:rPr>
        <w:t>&lt;Members&gt;</w:t>
      </w:r>
      <w:r>
        <w:t>Paolo Borchia, Isabella Tovaglieri, Matteo Adinolfi, Thierry Mariani, Markus Buchheit, Elena Lizzi</w:t>
      </w:r>
      <w:r>
        <w:rPr>
          <w:rStyle w:val="HideTWBExt"/>
        </w:rPr>
        <w:t>&lt;/Members&gt;</w:t>
      </w:r>
    </w:p>
    <w:p>
      <w:r>
        <w:rPr>
          <w:rStyle w:val="HideTWBExt"/>
        </w:rPr>
        <w:t>&lt;AuNomDe&gt;</w:t>
      </w:r>
      <w:r>
        <w:rPr>
          <w:rStyle w:val="HideTWBInt"/>
        </w:rPr>
        <w:t>{ID}</w:t>
      </w:r>
      <w:r>
        <w:t>on behalf of the ID Group</w:t>
      </w:r>
      <w:r>
        <w:rPr>
          <w:rStyle w:val="HideTWBExt"/>
        </w:rPr>
        <w:t>&lt;/AuNomDe&gt;</w:t>
      </w:r>
    </w:p>
    <w:p>
      <w:pPr>
        <w:pStyle w:val="NormalBold"/>
      </w:pPr>
      <w:r>
        <w:rPr>
          <w:rStyle w:val="HideTWBExt"/>
        </w:rPr>
        <w:t>&lt;/RepeatBlock-By&gt;</w:t>
      </w:r>
    </w:p>
    <w:p>
      <w:pPr>
        <w:pStyle w:val="AmDocTypeTab"/>
      </w:pPr>
      <w:r>
        <w:rPr>
          <w:rStyle w:val="HideTWBExt"/>
        </w:rPr>
        <w:t>&lt;TitreType&gt;</w:t>
      </w:r>
      <w:r>
        <w:t>Report</w:t>
      </w:r>
      <w:r>
        <w:rPr>
          <w:rStyle w:val="HideTWBExt"/>
        </w:rPr>
        <w:t>&lt;/TitreType&gt;</w:t>
      </w:r>
      <w:r>
        <w:tab/>
      </w:r>
      <w:r>
        <w:t>A9-0033/2023</w:t>
      </w:r>
    </w:p>
    <w:p>
      <w:pPr>
        <w:pStyle w:val="NormalBold"/>
      </w:pPr>
      <w:r>
        <w:rPr>
          <w:rStyle w:val="HideTWBExt"/>
        </w:rPr>
        <w:t>&lt;Rapporteur&gt;</w:t>
      </w:r>
      <w:r>
        <w:t>Ciarán Cuffe</w:t>
      </w:r>
      <w:r>
        <w:rPr>
          <w:rStyle w:val="HideTWBExt"/>
        </w:rPr>
        <w:t>&lt;/Rapporteur&gt;</w:t>
      </w:r>
    </w:p>
    <w:p>
      <w:r>
        <w:rPr>
          <w:rStyle w:val="HideTWBExt"/>
        </w:rPr>
        <w:t>&lt;Titre&gt;</w:t>
      </w:r>
      <w:r>
        <w:t>Energy performance of buildings (recast)</w:t>
      </w:r>
      <w:r>
        <w:rPr>
          <w:rStyle w:val="HideTWBExt"/>
        </w:rPr>
        <w:t>&lt;/Titre&gt;</w:t>
      </w:r>
    </w:p>
    <w:p>
      <w:pPr>
        <w:pStyle w:val="Normal12a"/>
      </w:pPr>
      <w:r>
        <w:rPr>
          <w:rStyle w:val="HideTWBExt"/>
        </w:rPr>
        <w:t>&lt;DocRef&gt;</w:t>
      </w:r>
      <w:r>
        <w:t>(COM(2021)0802 – C9-0469/2021 – 2021/0426(COD))</w:t>
      </w:r>
      <w:r>
        <w:rPr>
          <w:rStyle w:val="HideTWBExt"/>
        </w:rPr>
        <w:t>&lt;/DocRef&gt;</w:t>
      </w:r>
    </w:p>
    <w:p>
      <w:pPr>
        <w:pStyle w:val="NormalBold"/>
      </w:pPr>
      <w:r>
        <w:rPr>
          <w:rStyle w:val="HideTWBExt"/>
        </w:rPr>
        <w:t>&lt;DocAmend&gt;</w:t>
      </w:r>
      <w:r>
        <w:t>Proposal for a directive</w:t>
      </w:r>
      <w:r>
        <w:rPr>
          <w:rStyle w:val="HideTWBExt"/>
        </w:rPr>
        <w:t>&lt;/DocAmend&gt;</w:t>
      </w:r>
    </w:p>
    <w:p>
      <w:pPr>
        <w:pStyle w:val="NormalBold"/>
      </w:pPr>
      <w:r>
        <w:rPr>
          <w:rStyle w:val="HideTWBExt"/>
        </w:rPr>
        <w:t>&lt;Article&gt;</w:t>
      </w:r>
      <w:r>
        <w:t>Article 2 – paragraph 1 – point 36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</w:tblPr>
      <w:tblGrid>
        <w:gridCol w:w="4876"/>
        <w:gridCol w:w="4876"/>
      </w:tblGrid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val="240"/>
          <w:jc w:val="center"/>
        </w:trPr>
        <w:tc>
          <w:tcPr>
            <w:tcW w:w="4876" w:type="dxa"/>
          </w:tcPr>
          <w:p>
            <w:pPr>
              <w:pStyle w:val="AmColumnHeading"/>
            </w:pPr>
            <w:r>
              <w:t>Text proposed by the Commission</w:t>
            </w:r>
          </w:p>
        </w:tc>
        <w:tc>
          <w:tcPr>
            <w:tcW w:w="4876" w:type="dxa"/>
          </w:tcPr>
          <w:p>
            <w:pPr>
              <w:pStyle w:val="AmColumnHeading"/>
            </w:pPr>
            <w:r>
              <w:t>Amendment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36.</w:t>
            </w:r>
            <w:r>
              <w:tab/>
            </w:r>
            <w:r>
              <w:t xml:space="preserve">'mortgage portfolio standards’ means mechanisms incentivising mortgage lenders to increase the median energy performance of the portfolio of buildings covered by their mortgages </w:t>
            </w:r>
            <w:r>
              <w:rPr>
                <w:b/>
                <w:i/>
              </w:rPr>
              <w:t>and to encourage potential</w:t>
            </w:r>
            <w:r>
              <w:t xml:space="preserve"> clients </w:t>
            </w:r>
            <w:r>
              <w:rPr>
                <w:b/>
                <w:i/>
              </w:rPr>
              <w:t>to make their property more energy-performant along</w:t>
            </w:r>
            <w:r>
              <w:t xml:space="preserve"> the Union’s decarbonisation ambition and relevant energy targets in the area of energy consumption in buildings, relying on the definition of sustainable economic activities in the EU Taxonomy;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36.</w:t>
            </w:r>
            <w:r>
              <w:tab/>
            </w:r>
            <w:r>
              <w:t>'mortgage portfolio standards’ means mechanisms incentivising mortgage lenders</w:t>
            </w:r>
            <w:r>
              <w:rPr>
                <w:b/>
                <w:i/>
              </w:rPr>
              <w:t>, including banks, investors, and any other relevant financial institutions, including final holders of mortgages housed in special purpose vehicles, securitisation companies and other intermediate bodies, to establish a path</w:t>
            </w:r>
            <w:r>
              <w:t xml:space="preserve"> to increase the median energy performance of the portfolio of buildings covered by their mortgages </w:t>
            </w:r>
            <w:r>
              <w:rPr>
                <w:b/>
                <w:i/>
              </w:rPr>
              <w:t>towards 2030 and 2050 with a view to ensure reliable, evidence-based and affordable solutions for their</w:t>
            </w:r>
            <w:r>
              <w:t xml:space="preserve"> clients</w:t>
            </w:r>
            <w:r>
              <w:rPr>
                <w:b/>
                <w:i/>
              </w:rPr>
              <w:t>, in line with</w:t>
            </w:r>
            <w:r>
              <w:t xml:space="preserve"> the Union’s decarbonisation ambition and </w:t>
            </w:r>
            <w:r>
              <w:rPr>
                <w:b/>
                <w:i/>
              </w:rPr>
              <w:t>Member States' national building renovation plans</w:t>
            </w:r>
            <w:r>
              <w:t xml:space="preserve"> relevant energy targets in the area of energy consumption in buildings, relying on the definition of sustainable economic activities in the EU Taxonomy </w:t>
            </w:r>
            <w:r>
              <w:rPr>
                <w:b/>
                <w:i/>
              </w:rPr>
              <w:t>consistently with EPCs and the life-cycle GWP in accordance with this Directive</w:t>
            </w:r>
            <w:r>
              <w:t>;</w:t>
            </w:r>
          </w:p>
        </w:tc>
      </w:tr>
    </w:tbl>
    <w:p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r>
        <w:t>en</w:t>
      </w:r>
      <w:r>
        <w:rPr>
          <w:rStyle w:val="HideTWBExt"/>
        </w:rPr>
        <w:t>&lt;/Original&gt;</w:t>
      </w:r>
    </w:p>
    <w:p>
      <w:pPr>
        <w:sectPr>
          <w:footerReference w:type="default" r:id="rId4"/>
          <w:pgSz w:w="11909" w:h="16834"/>
          <w:pgMar w:top="1134" w:right="1417" w:bottom="1417" w:left="1417" w:header="1134" w:footer="567"/>
          <w:cols w:space="720"/>
          <w:titlePg w:val="0"/>
        </w:sectPr>
      </w:pPr>
      <w:r>
        <w:rPr>
          <w:rStyle w:val="HideTWBExt"/>
        </w:rPr>
        <w:t>&lt;/Amend&gt;</w:t>
      </w:r>
    </w:p>
    <w:p>
      <w:pPr>
        <w:pStyle w:val="AmDateTab"/>
      </w:pPr>
      <w:r>
        <w:rPr>
          <w:rStyle w:val="HideTWBExt"/>
        </w:rPr>
        <w:t>&lt;Amend&gt;</w:t>
      </w:r>
      <w:r>
        <w:rPr>
          <w:rStyle w:val="HideTWBExt"/>
        </w:rPr>
        <w:t>&lt;Date&gt;</w:t>
      </w:r>
      <w:r>
        <w:rPr>
          <w:rStyle w:val="HideTWBInt"/>
        </w:rPr>
        <w:t>{08/03/2023}</w:t>
      </w:r>
      <w:r>
        <w:t>8.3.2023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A9-0033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12</w:t>
      </w:r>
      <w:r>
        <w:rPr>
          <w:rStyle w:val="HideTWBExt"/>
        </w:rPr>
        <w:t>&lt;/NumAm&gt;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&lt;NumAm&gt;</w:t>
      </w:r>
      <w:r>
        <w:t>12</w:t>
      </w:r>
      <w:r>
        <w:rPr>
          <w:rStyle w:val="HideTWBExt"/>
        </w:rPr>
        <w:t>&lt;/NumAm&gt;</w:t>
      </w:r>
    </w:p>
    <w:p>
      <w:pPr>
        <w:pStyle w:val="NormalBold"/>
      </w:pPr>
      <w:r>
        <w:rPr>
          <w:rStyle w:val="HideTWBExt"/>
        </w:rPr>
        <w:t>&lt;RepeatBlock-By&gt;</w:t>
      </w:r>
      <w:r>
        <w:rPr>
          <w:rStyle w:val="HideTWBExt"/>
        </w:rPr>
        <w:t>&lt;Members&gt;</w:t>
      </w:r>
      <w:r>
        <w:t>Paolo Borchia, Isabella Tovaglieri, Matteo Adinolfi, Thierry Mariani, Markus Buchheit, Elena Lizzi</w:t>
      </w:r>
      <w:r>
        <w:rPr>
          <w:rStyle w:val="HideTWBExt"/>
        </w:rPr>
        <w:t>&lt;/Members&gt;</w:t>
      </w:r>
    </w:p>
    <w:p>
      <w:r>
        <w:rPr>
          <w:rStyle w:val="HideTWBExt"/>
        </w:rPr>
        <w:t>&lt;AuNomDe&gt;</w:t>
      </w:r>
      <w:r>
        <w:rPr>
          <w:rStyle w:val="HideTWBInt"/>
        </w:rPr>
        <w:t>{ID}</w:t>
      </w:r>
      <w:r>
        <w:t>on behalf of the ID Group</w:t>
      </w:r>
      <w:r>
        <w:rPr>
          <w:rStyle w:val="HideTWBExt"/>
        </w:rPr>
        <w:t>&lt;/AuNomDe&gt;</w:t>
      </w:r>
    </w:p>
    <w:p>
      <w:pPr>
        <w:pStyle w:val="NormalBold"/>
      </w:pPr>
      <w:r>
        <w:rPr>
          <w:rStyle w:val="HideTWBExt"/>
        </w:rPr>
        <w:t>&lt;/RepeatBlock-By&gt;</w:t>
      </w:r>
    </w:p>
    <w:p>
      <w:pPr>
        <w:pStyle w:val="AmDocTypeTab"/>
      </w:pPr>
      <w:r>
        <w:rPr>
          <w:rStyle w:val="HideTWBExt"/>
        </w:rPr>
        <w:t>&lt;TitreType&gt;</w:t>
      </w:r>
      <w:r>
        <w:t>Report</w:t>
      </w:r>
      <w:r>
        <w:rPr>
          <w:rStyle w:val="HideTWBExt"/>
        </w:rPr>
        <w:t>&lt;/TitreType&gt;</w:t>
      </w:r>
      <w:r>
        <w:tab/>
      </w:r>
      <w:r>
        <w:t>A9-0033/2023</w:t>
      </w:r>
    </w:p>
    <w:p>
      <w:pPr>
        <w:pStyle w:val="NormalBold"/>
      </w:pPr>
      <w:r>
        <w:rPr>
          <w:rStyle w:val="HideTWBExt"/>
        </w:rPr>
        <w:t>&lt;Rapporteur&gt;</w:t>
      </w:r>
      <w:r>
        <w:t>Ciarán Cuffe</w:t>
      </w:r>
      <w:r>
        <w:rPr>
          <w:rStyle w:val="HideTWBExt"/>
        </w:rPr>
        <w:t>&lt;/Rapporteur&gt;</w:t>
      </w:r>
    </w:p>
    <w:p>
      <w:r>
        <w:rPr>
          <w:rStyle w:val="HideTWBExt"/>
        </w:rPr>
        <w:t>&lt;Titre&gt;</w:t>
      </w:r>
      <w:r>
        <w:t>Energy performance of buildings (recast)</w:t>
      </w:r>
      <w:r>
        <w:rPr>
          <w:rStyle w:val="HideTWBExt"/>
        </w:rPr>
        <w:t>&lt;/Titre&gt;</w:t>
      </w:r>
    </w:p>
    <w:p>
      <w:pPr>
        <w:pStyle w:val="Normal12a"/>
      </w:pPr>
      <w:r>
        <w:rPr>
          <w:rStyle w:val="HideTWBExt"/>
        </w:rPr>
        <w:t>&lt;DocRef&gt;</w:t>
      </w:r>
      <w:r>
        <w:t>(COM(2021)0802 – C9-0469/2021 – 2021/0426(COD))</w:t>
      </w:r>
      <w:r>
        <w:rPr>
          <w:rStyle w:val="HideTWBExt"/>
        </w:rPr>
        <w:t>&lt;/DocRef&gt;</w:t>
      </w:r>
    </w:p>
    <w:p>
      <w:pPr>
        <w:pStyle w:val="NormalBold"/>
      </w:pPr>
      <w:r>
        <w:rPr>
          <w:rStyle w:val="HideTWBExt"/>
        </w:rPr>
        <w:t>&lt;DocAmend&gt;</w:t>
      </w:r>
      <w:r>
        <w:t>Proposal for a directive</w:t>
      </w:r>
      <w:r>
        <w:rPr>
          <w:rStyle w:val="HideTWBExt"/>
        </w:rPr>
        <w:t>&lt;/DocAmend&gt;</w:t>
      </w:r>
    </w:p>
    <w:p>
      <w:pPr>
        <w:pStyle w:val="NormalBold"/>
      </w:pPr>
      <w:r>
        <w:rPr>
          <w:rStyle w:val="HideTWBExt"/>
        </w:rPr>
        <w:t>&lt;Article&gt;</w:t>
      </w:r>
      <w:r>
        <w:t xml:space="preserve">Article 3 – paragraph 1 – introductory part 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</w:tblPr>
      <w:tblGrid>
        <w:gridCol w:w="4876"/>
        <w:gridCol w:w="4876"/>
      </w:tblGrid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val="240"/>
          <w:jc w:val="center"/>
        </w:trPr>
        <w:tc>
          <w:tcPr>
            <w:tcW w:w="4876" w:type="dxa"/>
          </w:tcPr>
          <w:p>
            <w:pPr>
              <w:pStyle w:val="AmColumnHeading"/>
            </w:pPr>
            <w:r>
              <w:t>Text proposed by the Commission</w:t>
            </w:r>
          </w:p>
        </w:tc>
        <w:tc>
          <w:tcPr>
            <w:tcW w:w="4876" w:type="dxa"/>
          </w:tcPr>
          <w:p>
            <w:pPr>
              <w:pStyle w:val="AmColumnHeading"/>
            </w:pPr>
            <w:r>
              <w:t>Amendment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Each Member State shall establish a national building renovation plan to ensure the renovation of the national stock of residential and non-residential buildings, both public and private, into a highly energy efficient and decarbonised building stock by 2050, with the objective to </w:t>
            </w:r>
            <w:r>
              <w:rPr>
                <w:b/>
                <w:i/>
              </w:rPr>
              <w:t>transform</w:t>
            </w:r>
            <w:r>
              <w:t xml:space="preserve"> existing </w:t>
            </w:r>
            <w:r>
              <w:rPr>
                <w:b/>
                <w:i/>
              </w:rPr>
              <w:t>buildings</w:t>
            </w:r>
            <w:r>
              <w:t xml:space="preserve"> into zero-emission buildings.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Each Member State shall establish a national building renovation plan to ensure the renovation of the national stock of residential and non-residential buildings, both public and private, into a highly energy efficient and decarbonised building stock by 2050, with the objective to </w:t>
            </w:r>
            <w:r>
              <w:rPr>
                <w:b/>
                <w:i/>
              </w:rPr>
              <w:t>facilitate the cost-effective transformation of the overall</w:t>
            </w:r>
            <w:r>
              <w:t xml:space="preserve"> existing </w:t>
            </w:r>
            <w:r>
              <w:rPr>
                <w:b/>
                <w:i/>
              </w:rPr>
              <w:t>European building stock</w:t>
            </w:r>
            <w:r>
              <w:t xml:space="preserve"> into zero-emission buildings.</w:t>
            </w:r>
          </w:p>
        </w:tc>
      </w:tr>
    </w:tbl>
    <w:p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r>
        <w:t>en</w:t>
      </w:r>
      <w:r>
        <w:rPr>
          <w:rStyle w:val="HideTWBExt"/>
        </w:rPr>
        <w:t>&lt;/Original&gt;</w:t>
      </w:r>
    </w:p>
    <w:p>
      <w:pPr>
        <w:sectPr>
          <w:type w:val="nextPage"/>
          <w:pgSz w:w="11909" w:h="16834"/>
          <w:pgMar w:top="1134" w:right="1417" w:bottom="1417" w:left="1417" w:header="1134" w:footer="567"/>
          <w:cols w:space="720"/>
        </w:sectPr>
      </w:pPr>
      <w:r>
        <w:rPr>
          <w:rStyle w:val="HideTWBExt"/>
        </w:rPr>
        <w:t>&lt;/Amend&gt;</w:t>
      </w:r>
    </w:p>
    <w:p>
      <w:pPr>
        <w:pStyle w:val="AmDateTab"/>
      </w:pPr>
      <w:r>
        <w:rPr>
          <w:rStyle w:val="HideTWBExt"/>
        </w:rPr>
        <w:t>&lt;Amend&gt;</w:t>
      </w:r>
      <w:r>
        <w:rPr>
          <w:rStyle w:val="HideTWBExt"/>
        </w:rPr>
        <w:t>&lt;Date&gt;</w:t>
      </w:r>
      <w:r>
        <w:rPr>
          <w:rStyle w:val="HideTWBInt"/>
        </w:rPr>
        <w:t>{08/03/2023}</w:t>
      </w:r>
      <w:r>
        <w:t>8.3.2023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A9-0033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13</w:t>
      </w:r>
      <w:r>
        <w:rPr>
          <w:rStyle w:val="HideTWBExt"/>
        </w:rPr>
        <w:t>&lt;/NumAm&gt;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&lt;NumAm&gt;</w:t>
      </w:r>
      <w:r>
        <w:t>13</w:t>
      </w:r>
      <w:r>
        <w:rPr>
          <w:rStyle w:val="HideTWBExt"/>
        </w:rPr>
        <w:t>&lt;/NumAm&gt;</w:t>
      </w:r>
    </w:p>
    <w:p>
      <w:pPr>
        <w:pStyle w:val="NormalBold"/>
      </w:pPr>
      <w:r>
        <w:rPr>
          <w:rStyle w:val="HideTWBExt"/>
        </w:rPr>
        <w:t>&lt;RepeatBlock-By&gt;</w:t>
      </w:r>
      <w:r>
        <w:rPr>
          <w:rStyle w:val="HideTWBExt"/>
        </w:rPr>
        <w:t>&lt;Members&gt;</w:t>
      </w:r>
      <w:r>
        <w:t>Paolo Borchia, Isabella Tovaglieri, Matteo Adinolfi, Thierry Mariani, Markus Buchheit, Elena Lizzi</w:t>
      </w:r>
      <w:r>
        <w:rPr>
          <w:rStyle w:val="HideTWBExt"/>
        </w:rPr>
        <w:t>&lt;/Members&gt;</w:t>
      </w:r>
    </w:p>
    <w:p>
      <w:r>
        <w:rPr>
          <w:rStyle w:val="HideTWBExt"/>
        </w:rPr>
        <w:t>&lt;AuNomDe&gt;</w:t>
      </w:r>
      <w:r>
        <w:rPr>
          <w:rStyle w:val="HideTWBInt"/>
        </w:rPr>
        <w:t>{ID}</w:t>
      </w:r>
      <w:r>
        <w:t>on behalf of the ID Group</w:t>
      </w:r>
      <w:r>
        <w:rPr>
          <w:rStyle w:val="HideTWBExt"/>
        </w:rPr>
        <w:t>&lt;/AuNomDe&gt;</w:t>
      </w:r>
    </w:p>
    <w:p>
      <w:pPr>
        <w:pStyle w:val="NormalBold"/>
      </w:pPr>
      <w:r>
        <w:rPr>
          <w:rStyle w:val="HideTWBExt"/>
        </w:rPr>
        <w:t>&lt;/RepeatBlock-By&gt;</w:t>
      </w:r>
    </w:p>
    <w:p>
      <w:pPr>
        <w:pStyle w:val="AmDocTypeTab"/>
      </w:pPr>
      <w:r>
        <w:rPr>
          <w:rStyle w:val="HideTWBExt"/>
        </w:rPr>
        <w:t>&lt;TitreType&gt;</w:t>
      </w:r>
      <w:r>
        <w:t>Report</w:t>
      </w:r>
      <w:r>
        <w:rPr>
          <w:rStyle w:val="HideTWBExt"/>
        </w:rPr>
        <w:t>&lt;/TitreType&gt;</w:t>
      </w:r>
      <w:r>
        <w:tab/>
      </w:r>
      <w:r>
        <w:t>A9-0033/2023</w:t>
      </w:r>
    </w:p>
    <w:p>
      <w:pPr>
        <w:pStyle w:val="NormalBold"/>
      </w:pPr>
      <w:r>
        <w:rPr>
          <w:rStyle w:val="HideTWBExt"/>
        </w:rPr>
        <w:t>&lt;Rapporteur&gt;</w:t>
      </w:r>
      <w:r>
        <w:t>Ciarán Cuffe</w:t>
      </w:r>
      <w:r>
        <w:rPr>
          <w:rStyle w:val="HideTWBExt"/>
        </w:rPr>
        <w:t>&lt;/Rapporteur&gt;</w:t>
      </w:r>
    </w:p>
    <w:p>
      <w:r>
        <w:rPr>
          <w:rStyle w:val="HideTWBExt"/>
        </w:rPr>
        <w:t>&lt;Titre&gt;</w:t>
      </w:r>
      <w:r>
        <w:t>Energy performance of buildings (recast)</w:t>
      </w:r>
      <w:r>
        <w:rPr>
          <w:rStyle w:val="HideTWBExt"/>
        </w:rPr>
        <w:t>&lt;/Titre&gt;</w:t>
      </w:r>
    </w:p>
    <w:p>
      <w:pPr>
        <w:pStyle w:val="Normal12a"/>
      </w:pPr>
      <w:r>
        <w:rPr>
          <w:rStyle w:val="HideTWBExt"/>
        </w:rPr>
        <w:t>&lt;DocRef&gt;</w:t>
      </w:r>
      <w:r>
        <w:t>(COM(2021)0802 – C9-0469/2021 – 2021/0426(COD))</w:t>
      </w:r>
      <w:r>
        <w:rPr>
          <w:rStyle w:val="HideTWBExt"/>
        </w:rPr>
        <w:t>&lt;/DocRef&gt;</w:t>
      </w:r>
    </w:p>
    <w:p>
      <w:pPr>
        <w:pStyle w:val="NormalBold"/>
      </w:pPr>
      <w:r>
        <w:rPr>
          <w:rStyle w:val="HideTWBExt"/>
        </w:rPr>
        <w:t>&lt;DocAmend&gt;</w:t>
      </w:r>
      <w:r>
        <w:t>Proposal for a directive</w:t>
      </w:r>
      <w:r>
        <w:rPr>
          <w:rStyle w:val="HideTWBExt"/>
        </w:rPr>
        <w:t>&lt;/DocAmend&gt;</w:t>
      </w:r>
    </w:p>
    <w:p>
      <w:pPr>
        <w:pStyle w:val="NormalBold"/>
      </w:pPr>
      <w:r>
        <w:rPr>
          <w:rStyle w:val="HideTWBExt"/>
        </w:rPr>
        <w:t>&lt;Article&gt;</w:t>
      </w:r>
      <w:r>
        <w:t>Article 5 – paragraph 3 – point d a (new)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</w:tblPr>
      <w:tblGrid>
        <w:gridCol w:w="4876"/>
        <w:gridCol w:w="4876"/>
      </w:tblGrid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val="240"/>
          <w:jc w:val="center"/>
        </w:trPr>
        <w:tc>
          <w:tcPr>
            <w:tcW w:w="4876" w:type="dxa"/>
          </w:tcPr>
          <w:p>
            <w:pPr>
              <w:pStyle w:val="AmColumnHeading"/>
            </w:pPr>
            <w:r>
              <w:t>Text proposed by the Commission</w:t>
            </w:r>
          </w:p>
        </w:tc>
        <w:tc>
          <w:tcPr>
            <w:tcW w:w="4876" w:type="dxa"/>
          </w:tcPr>
          <w:p>
            <w:pPr>
              <w:pStyle w:val="AmColumnHeading"/>
            </w:pPr>
            <w:r>
              <w:t>Amendment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</w:p>
        </w:tc>
        <w:tc>
          <w:tcPr>
            <w:tcW w:w="4876" w:type="dxa"/>
          </w:tcPr>
          <w:p>
            <w:pPr>
              <w:pStyle w:val="Normal6a"/>
            </w:pPr>
            <w:r>
              <w:rPr>
                <w:b/>
                <w:i/>
              </w:rPr>
              <w:t>(d a)</w:t>
            </w:r>
            <w:r>
              <w:tab/>
            </w:r>
            <w:r>
              <w:rPr>
                <w:b/>
                <w:i/>
              </w:rPr>
              <w:t>(e) buildings for national security purposes.</w:t>
            </w:r>
          </w:p>
        </w:tc>
      </w:tr>
    </w:tbl>
    <w:p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r>
        <w:t>en</w:t>
      </w:r>
      <w:r>
        <w:rPr>
          <w:rStyle w:val="HideTWBExt"/>
        </w:rPr>
        <w:t>&lt;/Original&gt;</w:t>
      </w:r>
    </w:p>
    <w:p>
      <w:pPr>
        <w:sectPr>
          <w:type w:val="nextPage"/>
          <w:pgSz w:w="11909" w:h="16834"/>
          <w:pgMar w:top="1134" w:right="1417" w:bottom="1417" w:left="1417" w:header="1134" w:footer="567"/>
          <w:cols w:space="720"/>
        </w:sectPr>
      </w:pPr>
      <w:r>
        <w:rPr>
          <w:rStyle w:val="HideTWBExt"/>
        </w:rPr>
        <w:t>&lt;/Amend&gt;</w:t>
      </w:r>
    </w:p>
    <w:p>
      <w:pPr>
        <w:pStyle w:val="AmDateTab"/>
      </w:pPr>
      <w:r>
        <w:rPr>
          <w:rStyle w:val="HideTWBExt"/>
        </w:rPr>
        <w:t>&lt;Amend&gt;</w:t>
      </w:r>
      <w:r>
        <w:rPr>
          <w:rStyle w:val="HideTWBExt"/>
        </w:rPr>
        <w:t>&lt;Date&gt;</w:t>
      </w:r>
      <w:r>
        <w:rPr>
          <w:rStyle w:val="HideTWBInt"/>
        </w:rPr>
        <w:t>{08/03/2023}</w:t>
      </w:r>
      <w:r>
        <w:t>8.3.2023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A9-0033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14</w:t>
      </w:r>
      <w:r>
        <w:rPr>
          <w:rStyle w:val="HideTWBExt"/>
        </w:rPr>
        <w:t>&lt;/NumAm&gt;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&lt;NumAm&gt;</w:t>
      </w:r>
      <w:r>
        <w:t>14</w:t>
      </w:r>
      <w:r>
        <w:rPr>
          <w:rStyle w:val="HideTWBExt"/>
        </w:rPr>
        <w:t>&lt;/NumAm&gt;</w:t>
      </w:r>
    </w:p>
    <w:p>
      <w:pPr>
        <w:pStyle w:val="NormalBold"/>
      </w:pPr>
      <w:r>
        <w:rPr>
          <w:rStyle w:val="HideTWBExt"/>
        </w:rPr>
        <w:t>&lt;RepeatBlock-By&gt;</w:t>
      </w:r>
      <w:r>
        <w:rPr>
          <w:rStyle w:val="HideTWBExt"/>
        </w:rPr>
        <w:t>&lt;Members&gt;</w:t>
      </w:r>
      <w:r>
        <w:t>Paolo Borchia, Isabella Tovaglieri, Matteo Adinolfi, Thierry Mariani, Markus Buchheit, Elena Lizzi</w:t>
      </w:r>
      <w:r>
        <w:rPr>
          <w:rStyle w:val="HideTWBExt"/>
        </w:rPr>
        <w:t>&lt;/Members&gt;</w:t>
      </w:r>
    </w:p>
    <w:p>
      <w:r>
        <w:rPr>
          <w:rStyle w:val="HideTWBExt"/>
        </w:rPr>
        <w:t>&lt;AuNomDe&gt;</w:t>
      </w:r>
      <w:r>
        <w:rPr>
          <w:rStyle w:val="HideTWBInt"/>
        </w:rPr>
        <w:t>{ID}</w:t>
      </w:r>
      <w:r>
        <w:t>on behalf of the ID Group</w:t>
      </w:r>
      <w:r>
        <w:rPr>
          <w:rStyle w:val="HideTWBExt"/>
        </w:rPr>
        <w:t>&lt;/AuNomDe&gt;</w:t>
      </w:r>
    </w:p>
    <w:p>
      <w:pPr>
        <w:pStyle w:val="NormalBold"/>
      </w:pPr>
      <w:r>
        <w:rPr>
          <w:rStyle w:val="HideTWBExt"/>
        </w:rPr>
        <w:t>&lt;/RepeatBlock-By&gt;</w:t>
      </w:r>
    </w:p>
    <w:p>
      <w:pPr>
        <w:pStyle w:val="AmDocTypeTab"/>
      </w:pPr>
      <w:r>
        <w:rPr>
          <w:rStyle w:val="HideTWBExt"/>
        </w:rPr>
        <w:t>&lt;TitreType&gt;</w:t>
      </w:r>
      <w:r>
        <w:t>Report</w:t>
      </w:r>
      <w:r>
        <w:rPr>
          <w:rStyle w:val="HideTWBExt"/>
        </w:rPr>
        <w:t>&lt;/TitreType&gt;</w:t>
      </w:r>
      <w:r>
        <w:tab/>
      </w:r>
      <w:r>
        <w:t>A9-0033/2023</w:t>
      </w:r>
    </w:p>
    <w:p>
      <w:pPr>
        <w:pStyle w:val="NormalBold"/>
      </w:pPr>
      <w:r>
        <w:rPr>
          <w:rStyle w:val="HideTWBExt"/>
        </w:rPr>
        <w:t>&lt;Rapporteur&gt;</w:t>
      </w:r>
      <w:r>
        <w:t>Ciarán Cuffe</w:t>
      </w:r>
      <w:r>
        <w:rPr>
          <w:rStyle w:val="HideTWBExt"/>
        </w:rPr>
        <w:t>&lt;/Rapporteur&gt;</w:t>
      </w:r>
    </w:p>
    <w:p>
      <w:r>
        <w:rPr>
          <w:rStyle w:val="HideTWBExt"/>
        </w:rPr>
        <w:t>&lt;Titre&gt;</w:t>
      </w:r>
      <w:r>
        <w:t>Energy performance of buildings (recast)</w:t>
      </w:r>
      <w:r>
        <w:rPr>
          <w:rStyle w:val="HideTWBExt"/>
        </w:rPr>
        <w:t>&lt;/Titre&gt;</w:t>
      </w:r>
    </w:p>
    <w:p>
      <w:pPr>
        <w:pStyle w:val="Normal12a"/>
      </w:pPr>
      <w:r>
        <w:rPr>
          <w:rStyle w:val="HideTWBExt"/>
        </w:rPr>
        <w:t>&lt;DocRef&gt;</w:t>
      </w:r>
      <w:r>
        <w:t>(COM(2021)0802 – C9-0469/2021 – 2021/0426(COD))</w:t>
      </w:r>
      <w:r>
        <w:rPr>
          <w:rStyle w:val="HideTWBExt"/>
        </w:rPr>
        <w:t>&lt;/DocRef&gt;</w:t>
      </w:r>
    </w:p>
    <w:p>
      <w:pPr>
        <w:pStyle w:val="NormalBold"/>
      </w:pPr>
      <w:r>
        <w:rPr>
          <w:rStyle w:val="HideTWBExt"/>
        </w:rPr>
        <w:t>&lt;DocAmend&gt;</w:t>
      </w:r>
      <w:r>
        <w:t>Proposal for a directive</w:t>
      </w:r>
      <w:r>
        <w:rPr>
          <w:rStyle w:val="HideTWBExt"/>
        </w:rPr>
        <w:t>&lt;/DocAmend&gt;</w:t>
      </w:r>
    </w:p>
    <w:p>
      <w:pPr>
        <w:pStyle w:val="NormalBold"/>
      </w:pPr>
      <w:r>
        <w:rPr>
          <w:rStyle w:val="HideTWBExt"/>
        </w:rPr>
        <w:t>&lt;Article&gt;</w:t>
      </w:r>
      <w:r>
        <w:t>Article 7 – paragraph 1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</w:tblPr>
      <w:tblGrid>
        <w:gridCol w:w="4876"/>
        <w:gridCol w:w="4876"/>
      </w:tblGrid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val="240"/>
          <w:jc w:val="center"/>
        </w:trPr>
        <w:tc>
          <w:tcPr>
            <w:tcW w:w="4876" w:type="dxa"/>
          </w:tcPr>
          <w:p>
            <w:pPr>
              <w:pStyle w:val="AmColumnHeading"/>
            </w:pPr>
            <w:r>
              <w:t>Text proposed by the Commission</w:t>
            </w:r>
          </w:p>
        </w:tc>
        <w:tc>
          <w:tcPr>
            <w:tcW w:w="4876" w:type="dxa"/>
          </w:tcPr>
          <w:p>
            <w:pPr>
              <w:pStyle w:val="AmColumnHeading"/>
            </w:pPr>
            <w:r>
              <w:t>Amendment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>Member States shall ensure that from the following dates, new buildings are zero-emission buildings in accordance with Annex III: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>Member States shall ensure that from the following dates, new buildings are zero-emission buildings in accordance with Annex III: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(a)</w:t>
            </w:r>
            <w:r>
              <w:tab/>
            </w:r>
            <w:r>
              <w:rPr>
                <w:b/>
                <w:i/>
              </w:rPr>
              <w:t>as of</w:t>
            </w:r>
            <w:r>
              <w:t xml:space="preserve"> 1 January </w:t>
            </w:r>
            <w:r>
              <w:rPr>
                <w:b/>
                <w:i/>
              </w:rPr>
              <w:t>2027</w:t>
            </w:r>
            <w:r>
              <w:t>, new buildings occupied or owned by public authorities; and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(a)</w:t>
            </w:r>
            <w:r>
              <w:tab/>
            </w:r>
            <w:r>
              <w:rPr>
                <w:b/>
                <w:i/>
              </w:rPr>
              <w:t>from</w:t>
            </w:r>
            <w:r>
              <w:t xml:space="preserve"> 1 January </w:t>
            </w:r>
            <w:r>
              <w:rPr>
                <w:b/>
                <w:i/>
              </w:rPr>
              <w:t>2032</w:t>
            </w:r>
            <w:r>
              <w:t>, new buildings occupied</w:t>
            </w:r>
            <w:r>
              <w:rPr>
                <w:b/>
                <w:i/>
              </w:rPr>
              <w:t>, operated</w:t>
            </w:r>
            <w:r>
              <w:t xml:space="preserve"> or owned by public authorities; and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(b)</w:t>
            </w:r>
            <w:r>
              <w:tab/>
            </w:r>
            <w:r>
              <w:rPr>
                <w:b/>
                <w:i/>
              </w:rPr>
              <w:t>as of</w:t>
            </w:r>
            <w:r>
              <w:t xml:space="preserve"> 1 January </w:t>
            </w:r>
            <w:r>
              <w:rPr>
                <w:b/>
                <w:i/>
              </w:rPr>
              <w:t>2030</w:t>
            </w:r>
            <w:r>
              <w:t>, all new buildings;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(b)</w:t>
            </w:r>
            <w:r>
              <w:tab/>
            </w:r>
            <w:r>
              <w:rPr>
                <w:b/>
                <w:i/>
              </w:rPr>
              <w:t>from</w:t>
            </w:r>
            <w:r>
              <w:t xml:space="preserve"> 1 January </w:t>
            </w:r>
            <w:r>
              <w:rPr>
                <w:b/>
                <w:i/>
              </w:rPr>
              <w:t>2035</w:t>
            </w:r>
            <w:r>
              <w:t>, all new buildings;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Until the application of the requirements under the first subparagraph, Member States shall ensure that all new buildings are at least nearly zero-energy buildings and meet the minimum energy performance requirements laid down in accordance with Article 5.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Until the application of the requirements under the first subparagraph, Member States shall ensure that all new buildings are at least nearly zero-energy buildings and meet the minimum energy performance requirements laid down in accordance with Article 5.</w:t>
            </w:r>
          </w:p>
        </w:tc>
      </w:tr>
    </w:tbl>
    <w:p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r>
        <w:t>en</w:t>
      </w:r>
      <w:r>
        <w:rPr>
          <w:rStyle w:val="HideTWBExt"/>
        </w:rPr>
        <w:t>&lt;/Original&gt;</w:t>
      </w:r>
    </w:p>
    <w:p>
      <w:pPr>
        <w:sectPr>
          <w:type w:val="nextPage"/>
          <w:pgSz w:w="11909" w:h="16834"/>
          <w:pgMar w:top="1134" w:right="1417" w:bottom="1417" w:left="1417" w:header="1134" w:footer="567"/>
          <w:cols w:space="720"/>
        </w:sectPr>
      </w:pPr>
      <w:r>
        <w:rPr>
          <w:rStyle w:val="HideTWBExt"/>
        </w:rPr>
        <w:t>&lt;/Amend&gt;</w:t>
      </w:r>
    </w:p>
    <w:p>
      <w:pPr>
        <w:pStyle w:val="AmDateTab"/>
      </w:pPr>
      <w:r>
        <w:rPr>
          <w:rStyle w:val="HideTWBExt"/>
        </w:rPr>
        <w:t>&lt;Amend&gt;</w:t>
      </w:r>
      <w:r>
        <w:rPr>
          <w:rStyle w:val="HideTWBExt"/>
        </w:rPr>
        <w:t>&lt;Date&gt;</w:t>
      </w:r>
      <w:r>
        <w:rPr>
          <w:rStyle w:val="HideTWBInt"/>
        </w:rPr>
        <w:t>{08/03/2023}</w:t>
      </w:r>
      <w:r>
        <w:t>8.3.2023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A9-0033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15</w:t>
      </w:r>
      <w:r>
        <w:rPr>
          <w:rStyle w:val="HideTWBExt"/>
        </w:rPr>
        <w:t>&lt;/NumAm&gt;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&lt;NumAm&gt;</w:t>
      </w:r>
      <w:r>
        <w:t>15</w:t>
      </w:r>
      <w:r>
        <w:rPr>
          <w:rStyle w:val="HideTWBExt"/>
        </w:rPr>
        <w:t>&lt;/NumAm&gt;</w:t>
      </w:r>
    </w:p>
    <w:p>
      <w:pPr>
        <w:pStyle w:val="NormalBold"/>
      </w:pPr>
      <w:r>
        <w:rPr>
          <w:rStyle w:val="HideTWBExt"/>
        </w:rPr>
        <w:t>&lt;RepeatBlock-By&gt;</w:t>
      </w:r>
      <w:r>
        <w:rPr>
          <w:rStyle w:val="HideTWBExt"/>
        </w:rPr>
        <w:t>&lt;Members&gt;</w:t>
      </w:r>
      <w:r>
        <w:t>Paolo Borchia, Isabella Tovaglieri, Matteo Adinolfi, Thierry Mariani, Markus Buchheit, Elena Lizzi</w:t>
      </w:r>
      <w:r>
        <w:rPr>
          <w:rStyle w:val="HideTWBExt"/>
        </w:rPr>
        <w:t>&lt;/Members&gt;</w:t>
      </w:r>
    </w:p>
    <w:p>
      <w:r>
        <w:rPr>
          <w:rStyle w:val="HideTWBExt"/>
        </w:rPr>
        <w:t>&lt;AuNomDe&gt;</w:t>
      </w:r>
      <w:r>
        <w:rPr>
          <w:rStyle w:val="HideTWBInt"/>
        </w:rPr>
        <w:t>{ID}</w:t>
      </w:r>
      <w:r>
        <w:t>on behalf of the ID Group</w:t>
      </w:r>
      <w:r>
        <w:rPr>
          <w:rStyle w:val="HideTWBExt"/>
        </w:rPr>
        <w:t>&lt;/AuNomDe&gt;</w:t>
      </w:r>
    </w:p>
    <w:p>
      <w:pPr>
        <w:pStyle w:val="NormalBold"/>
      </w:pPr>
      <w:r>
        <w:rPr>
          <w:rStyle w:val="HideTWBExt"/>
        </w:rPr>
        <w:t>&lt;/RepeatBlock-By&gt;</w:t>
      </w:r>
    </w:p>
    <w:p>
      <w:pPr>
        <w:pStyle w:val="AmDocTypeTab"/>
      </w:pPr>
      <w:r>
        <w:rPr>
          <w:rStyle w:val="HideTWBExt"/>
        </w:rPr>
        <w:t>&lt;TitreType&gt;</w:t>
      </w:r>
      <w:r>
        <w:t>Report</w:t>
      </w:r>
      <w:r>
        <w:rPr>
          <w:rStyle w:val="HideTWBExt"/>
        </w:rPr>
        <w:t>&lt;/TitreType&gt;</w:t>
      </w:r>
      <w:r>
        <w:tab/>
      </w:r>
      <w:r>
        <w:t>A9-0033/2023</w:t>
      </w:r>
    </w:p>
    <w:p>
      <w:pPr>
        <w:pStyle w:val="NormalBold"/>
      </w:pPr>
      <w:r>
        <w:rPr>
          <w:rStyle w:val="HideTWBExt"/>
        </w:rPr>
        <w:t>&lt;Rapporteur&gt;</w:t>
      </w:r>
      <w:r>
        <w:t>Ciarán Cuffe</w:t>
      </w:r>
      <w:r>
        <w:rPr>
          <w:rStyle w:val="HideTWBExt"/>
        </w:rPr>
        <w:t>&lt;/Rapporteur&gt;</w:t>
      </w:r>
    </w:p>
    <w:p>
      <w:r>
        <w:rPr>
          <w:rStyle w:val="HideTWBExt"/>
        </w:rPr>
        <w:t>&lt;Titre&gt;</w:t>
      </w:r>
      <w:r>
        <w:t>Energy performance of buildings (recast)</w:t>
      </w:r>
      <w:r>
        <w:rPr>
          <w:rStyle w:val="HideTWBExt"/>
        </w:rPr>
        <w:t>&lt;/Titre&gt;</w:t>
      </w:r>
    </w:p>
    <w:p>
      <w:pPr>
        <w:pStyle w:val="Normal12a"/>
      </w:pPr>
      <w:r>
        <w:rPr>
          <w:rStyle w:val="HideTWBExt"/>
        </w:rPr>
        <w:t>&lt;DocRef&gt;</w:t>
      </w:r>
      <w:r>
        <w:t>(COM(2021)0802 – C9-0469/2021 – 2021/0426(COD))</w:t>
      </w:r>
      <w:r>
        <w:rPr>
          <w:rStyle w:val="HideTWBExt"/>
        </w:rPr>
        <w:t>&lt;/DocRef&gt;</w:t>
      </w:r>
    </w:p>
    <w:p>
      <w:pPr>
        <w:pStyle w:val="NormalBold"/>
      </w:pPr>
      <w:r>
        <w:rPr>
          <w:rStyle w:val="HideTWBExt"/>
        </w:rPr>
        <w:t>&lt;DocAmend&gt;</w:t>
      </w:r>
      <w:r>
        <w:t>Proposal for a directive</w:t>
      </w:r>
      <w:r>
        <w:rPr>
          <w:rStyle w:val="HideTWBExt"/>
        </w:rPr>
        <w:t>&lt;/DocAmend&gt;</w:t>
      </w:r>
    </w:p>
    <w:p>
      <w:pPr>
        <w:pStyle w:val="NormalBold"/>
      </w:pPr>
      <w:r>
        <w:rPr>
          <w:rStyle w:val="HideTWBExt"/>
        </w:rPr>
        <w:t>&lt;Article&gt;</w:t>
      </w:r>
      <w:r>
        <w:t>Article 7 – paragraph 2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</w:tblPr>
      <w:tblGrid>
        <w:gridCol w:w="4876"/>
        <w:gridCol w:w="4876"/>
      </w:tblGrid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val="240"/>
          <w:jc w:val="center"/>
        </w:trPr>
        <w:tc>
          <w:tcPr>
            <w:tcW w:w="4876" w:type="dxa"/>
          </w:tcPr>
          <w:p>
            <w:pPr>
              <w:pStyle w:val="AmColumnHeading"/>
            </w:pPr>
            <w:r>
              <w:t>Text proposed by the Commission</w:t>
            </w:r>
          </w:p>
        </w:tc>
        <w:tc>
          <w:tcPr>
            <w:tcW w:w="4876" w:type="dxa"/>
          </w:tcPr>
          <w:p>
            <w:pPr>
              <w:pStyle w:val="AmColumnHeading"/>
            </w:pPr>
            <w:r>
              <w:t>Amendment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Member States shall ensure that the life-cycle </w:t>
            </w:r>
            <w:r>
              <w:rPr>
                <w:b/>
                <w:i/>
              </w:rPr>
              <w:t>Global Warming Potential (GWP)</w:t>
            </w:r>
            <w:r>
              <w:t xml:space="preserve"> is calculated in accordance with Annex III and disclosed through the energy performance certificate of the building</w:t>
            </w:r>
            <w:r>
              <w:rPr>
                <w:b/>
                <w:i/>
              </w:rPr>
              <w:t>: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Member States shall ensure that the life-cycle </w:t>
            </w:r>
            <w:r>
              <w:rPr>
                <w:b/>
                <w:i/>
              </w:rPr>
              <w:t>GWP</w:t>
            </w:r>
            <w:r>
              <w:t xml:space="preserve"> is calculated in accordance with Annex III and disclosed through the energy performance certificate of the building </w:t>
            </w:r>
            <w:r>
              <w:rPr>
                <w:b/>
                <w:i/>
              </w:rPr>
              <w:t>as of 1 January 2032, for all new buildings.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rPr>
                <w:b/>
                <w:i/>
              </w:rPr>
              <w:t>(a)</w:t>
            </w:r>
            <w:r>
              <w:tab/>
            </w:r>
            <w:r>
              <w:rPr>
                <w:b/>
                <w:i/>
              </w:rPr>
              <w:t>as of 1 January 07, for all new buildings with a useful floor area larger than 000 square meters; and</w:t>
            </w:r>
          </w:p>
        </w:tc>
        <w:tc>
          <w:tcPr>
            <w:tcW w:w="4876" w:type="dxa"/>
          </w:tcPr>
          <w:p>
            <w:pPr>
              <w:pStyle w:val="Normal6a"/>
            </w:pP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rPr>
                <w:b/>
                <w:i/>
              </w:rPr>
              <w:t>(b)</w:t>
            </w:r>
            <w:r>
              <w:tab/>
            </w:r>
            <w:r>
              <w:rPr>
                <w:b/>
                <w:i/>
              </w:rPr>
              <w:t>as of 1 January 030, for all new buildings.</w:t>
            </w:r>
          </w:p>
        </w:tc>
        <w:tc>
          <w:tcPr>
            <w:tcW w:w="4876" w:type="dxa"/>
          </w:tcPr>
          <w:p>
            <w:pPr>
              <w:pStyle w:val="Normal6a"/>
            </w:pPr>
          </w:p>
        </w:tc>
      </w:tr>
    </w:tbl>
    <w:p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r>
        <w:t>en</w:t>
      </w:r>
      <w:r>
        <w:rPr>
          <w:rStyle w:val="HideTWBExt"/>
        </w:rPr>
        <w:t>&lt;/Original&gt;</w:t>
      </w:r>
    </w:p>
    <w:p>
      <w:pPr>
        <w:sectPr>
          <w:type w:val="nextPage"/>
          <w:pgSz w:w="11909" w:h="16834"/>
          <w:pgMar w:top="1134" w:right="1417" w:bottom="1417" w:left="1417" w:header="1134" w:footer="567"/>
          <w:cols w:space="720"/>
        </w:sectPr>
      </w:pPr>
      <w:r>
        <w:rPr>
          <w:rStyle w:val="HideTWBExt"/>
        </w:rPr>
        <w:t>&lt;/Amend&gt;</w:t>
      </w:r>
    </w:p>
    <w:p>
      <w:pPr>
        <w:pStyle w:val="AmDateTab"/>
      </w:pPr>
      <w:r>
        <w:rPr>
          <w:rStyle w:val="HideTWBExt"/>
        </w:rPr>
        <w:t>&lt;Amend&gt;</w:t>
      </w:r>
      <w:r>
        <w:rPr>
          <w:rStyle w:val="HideTWBExt"/>
        </w:rPr>
        <w:t>&lt;Date&gt;</w:t>
      </w:r>
      <w:r>
        <w:rPr>
          <w:rStyle w:val="HideTWBInt"/>
        </w:rPr>
        <w:t>{08/03/2023}</w:t>
      </w:r>
      <w:r>
        <w:t>8.3.2023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A9-0033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16</w:t>
      </w:r>
      <w:r>
        <w:rPr>
          <w:rStyle w:val="HideTWBExt"/>
        </w:rPr>
        <w:t>&lt;/NumAm&gt;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&lt;NumAm&gt;</w:t>
      </w:r>
      <w:r>
        <w:t>16</w:t>
      </w:r>
      <w:r>
        <w:rPr>
          <w:rStyle w:val="HideTWBExt"/>
        </w:rPr>
        <w:t>&lt;/NumAm&gt;</w:t>
      </w:r>
    </w:p>
    <w:p>
      <w:pPr>
        <w:pStyle w:val="NormalBold"/>
      </w:pPr>
      <w:r>
        <w:rPr>
          <w:rStyle w:val="HideTWBExt"/>
        </w:rPr>
        <w:t>&lt;RepeatBlock-By&gt;</w:t>
      </w:r>
      <w:r>
        <w:rPr>
          <w:rStyle w:val="HideTWBExt"/>
        </w:rPr>
        <w:t>&lt;Members&gt;</w:t>
      </w:r>
      <w:r>
        <w:t>Paolo Borchia, Isabella Tovaglieri, Matteo Adinolfi, Thierry Mariani, Elena Lizzi</w:t>
      </w:r>
      <w:r>
        <w:rPr>
          <w:rStyle w:val="HideTWBExt"/>
        </w:rPr>
        <w:t>&lt;/Members&gt;</w:t>
      </w:r>
    </w:p>
    <w:p>
      <w:r>
        <w:rPr>
          <w:rStyle w:val="HideTWBExt"/>
        </w:rPr>
        <w:t>&lt;AuNomDe&gt;</w:t>
      </w:r>
      <w:r>
        <w:rPr>
          <w:rStyle w:val="HideTWBInt"/>
        </w:rPr>
        <w:t>{ID}</w:t>
      </w:r>
      <w:r>
        <w:t>on behalf of the ID Group</w:t>
      </w:r>
      <w:r>
        <w:rPr>
          <w:rStyle w:val="HideTWBExt"/>
        </w:rPr>
        <w:t>&lt;/AuNomDe&gt;</w:t>
      </w:r>
    </w:p>
    <w:p>
      <w:pPr>
        <w:pStyle w:val="NormalBold"/>
      </w:pPr>
      <w:r>
        <w:rPr>
          <w:rStyle w:val="HideTWBExt"/>
        </w:rPr>
        <w:t>&lt;/RepeatBlock-By&gt;</w:t>
      </w:r>
    </w:p>
    <w:p>
      <w:pPr>
        <w:pStyle w:val="AmDocTypeTab"/>
      </w:pPr>
      <w:r>
        <w:rPr>
          <w:rStyle w:val="HideTWBExt"/>
        </w:rPr>
        <w:t>&lt;TitreType&gt;</w:t>
      </w:r>
      <w:r>
        <w:t>Report</w:t>
      </w:r>
      <w:r>
        <w:rPr>
          <w:rStyle w:val="HideTWBExt"/>
        </w:rPr>
        <w:t>&lt;/TitreType&gt;</w:t>
      </w:r>
      <w:r>
        <w:tab/>
      </w:r>
      <w:r>
        <w:t>A9-0033/2023</w:t>
      </w:r>
    </w:p>
    <w:p>
      <w:pPr>
        <w:pStyle w:val="NormalBold"/>
      </w:pPr>
      <w:r>
        <w:rPr>
          <w:rStyle w:val="HideTWBExt"/>
        </w:rPr>
        <w:t>&lt;Rapporteur&gt;</w:t>
      </w:r>
      <w:r>
        <w:t>Ciarán Cuffe</w:t>
      </w:r>
      <w:r>
        <w:rPr>
          <w:rStyle w:val="HideTWBExt"/>
        </w:rPr>
        <w:t>&lt;/Rapporteur&gt;</w:t>
      </w:r>
    </w:p>
    <w:p>
      <w:r>
        <w:rPr>
          <w:rStyle w:val="HideTWBExt"/>
        </w:rPr>
        <w:t>&lt;Titre&gt;</w:t>
      </w:r>
      <w:r>
        <w:t>Energy performance of buildings (recast)</w:t>
      </w:r>
      <w:r>
        <w:rPr>
          <w:rStyle w:val="HideTWBExt"/>
        </w:rPr>
        <w:t>&lt;/Titre&gt;</w:t>
      </w:r>
    </w:p>
    <w:p>
      <w:pPr>
        <w:pStyle w:val="Normal12a"/>
      </w:pPr>
      <w:r>
        <w:rPr>
          <w:rStyle w:val="HideTWBExt"/>
        </w:rPr>
        <w:t>&lt;DocRef&gt;</w:t>
      </w:r>
      <w:r>
        <w:t>(COM(2021)0802 – C9-0469/2021 – 2021/0426(COD))</w:t>
      </w:r>
      <w:r>
        <w:rPr>
          <w:rStyle w:val="HideTWBExt"/>
        </w:rPr>
        <w:t>&lt;/DocRef&gt;</w:t>
      </w:r>
    </w:p>
    <w:p>
      <w:pPr>
        <w:pStyle w:val="NormalBold"/>
      </w:pPr>
      <w:r>
        <w:rPr>
          <w:rStyle w:val="HideTWBExt"/>
        </w:rPr>
        <w:t>&lt;DocAmend&gt;</w:t>
      </w:r>
      <w:r>
        <w:t>Proposal for a directive</w:t>
      </w:r>
      <w:r>
        <w:rPr>
          <w:rStyle w:val="HideTWBExt"/>
        </w:rPr>
        <w:t>&lt;/DocAmend&gt;</w:t>
      </w:r>
    </w:p>
    <w:p>
      <w:pPr>
        <w:pStyle w:val="NormalBold"/>
      </w:pPr>
      <w:r>
        <w:rPr>
          <w:rStyle w:val="HideTWBExt"/>
        </w:rPr>
        <w:t>&lt;Article&gt;</w:t>
      </w:r>
      <w:r>
        <w:t>Article 7 – paragraph 3 a (new)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</w:tblPr>
      <w:tblGrid>
        <w:gridCol w:w="4876"/>
        <w:gridCol w:w="4876"/>
      </w:tblGrid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val="240"/>
          <w:jc w:val="center"/>
        </w:trPr>
        <w:tc>
          <w:tcPr>
            <w:tcW w:w="4876" w:type="dxa"/>
          </w:tcPr>
          <w:p>
            <w:pPr>
              <w:pStyle w:val="AmColumnHeading"/>
            </w:pPr>
            <w:r>
              <w:t>Text proposed by the Commission</w:t>
            </w:r>
          </w:p>
        </w:tc>
        <w:tc>
          <w:tcPr>
            <w:tcW w:w="4876" w:type="dxa"/>
          </w:tcPr>
          <w:p>
            <w:pPr>
              <w:pStyle w:val="AmColumnHeading"/>
            </w:pPr>
            <w:r>
              <w:t>Amendment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</w:p>
        </w:tc>
        <w:tc>
          <w:tcPr>
            <w:tcW w:w="4876" w:type="dxa"/>
          </w:tcPr>
          <w:p>
            <w:pPr>
              <w:pStyle w:val="Normal6a"/>
            </w:pPr>
            <w:r>
              <w:rPr>
                <w:b/>
                <w:i/>
              </w:rPr>
              <w:t>3 a.</w:t>
            </w:r>
            <w:r>
              <w:tab/>
            </w:r>
            <w:r>
              <w:rPr>
                <w:b/>
                <w:i/>
              </w:rPr>
              <w:t>By 1 January 2032, to ensure reductions in greenhouse gas emissions, Member States shall publish a roadmap detailing the introduction of limit values on the total cumulative life-cycle GWP of all new buildings and set targets for new buildings from 2035, considering a progressive downward trend, as well as maximum requirements, detailed for different climatic zones and building typologies.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</w:p>
        </w:tc>
        <w:tc>
          <w:tcPr>
            <w:tcW w:w="4876" w:type="dxa"/>
          </w:tcPr>
          <w:p>
            <w:pPr>
              <w:pStyle w:val="Normal6a"/>
            </w:pPr>
            <w:r>
              <w:rPr>
                <w:b/>
                <w:i/>
              </w:rPr>
              <w:t>In setting maximum limit values on the total cumulative life-cycle GWP, Member States shall determine appropriate benchmarks based on reported data for the relevant building types, as per the requirements set out in paragraph 2.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</w:p>
        </w:tc>
        <w:tc>
          <w:tcPr>
            <w:tcW w:w="4876" w:type="dxa"/>
          </w:tcPr>
          <w:p>
            <w:pPr>
              <w:pStyle w:val="Normal6a"/>
            </w:pPr>
            <w:r>
              <w:rPr>
                <w:b/>
                <w:i/>
              </w:rPr>
              <w:t>The Commission shall issue guidance, share evidence on existing national policies and offer technical support to Member States, at their request, for the purpose of determining appropriate national benchmark values.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</w:p>
        </w:tc>
        <w:tc>
          <w:tcPr>
            <w:tcW w:w="4876" w:type="dxa"/>
          </w:tcPr>
          <w:p>
            <w:pPr>
              <w:pStyle w:val="Normal6a"/>
            </w:pPr>
            <w:r>
              <w:rPr>
                <w:b/>
                <w:i/>
              </w:rPr>
              <w:t>Those maximum limit values shall be in line with the Union’s objectives to achieve climate neutrality.</w:t>
            </w:r>
          </w:p>
        </w:tc>
      </w:tr>
    </w:tbl>
    <w:p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r>
        <w:t>en</w:t>
      </w:r>
      <w:r>
        <w:rPr>
          <w:rStyle w:val="HideTWBExt"/>
        </w:rPr>
        <w:t>&lt;/Original&gt;</w:t>
      </w:r>
    </w:p>
    <w:p>
      <w:pPr>
        <w:sectPr>
          <w:type w:val="nextPage"/>
          <w:pgSz w:w="11909" w:h="16834"/>
          <w:pgMar w:top="1134" w:right="1417" w:bottom="1417" w:left="1417" w:header="1134" w:footer="567"/>
          <w:cols w:space="720"/>
        </w:sectPr>
      </w:pPr>
      <w:r>
        <w:rPr>
          <w:rStyle w:val="HideTWBExt"/>
        </w:rPr>
        <w:t>&lt;/Amend&gt;</w:t>
      </w:r>
    </w:p>
    <w:p>
      <w:pPr>
        <w:pStyle w:val="AmDateTab"/>
      </w:pPr>
      <w:r>
        <w:rPr>
          <w:rStyle w:val="HideTWBExt"/>
        </w:rPr>
        <w:t>&lt;Amend&gt;</w:t>
      </w:r>
      <w:r>
        <w:rPr>
          <w:rStyle w:val="HideTWBExt"/>
        </w:rPr>
        <w:t>&lt;Date&gt;</w:t>
      </w:r>
      <w:r>
        <w:rPr>
          <w:rStyle w:val="HideTWBInt"/>
        </w:rPr>
        <w:t>{08/03/2023}</w:t>
      </w:r>
      <w:r>
        <w:t>8.3.2023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A9-0033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17</w:t>
      </w:r>
      <w:r>
        <w:rPr>
          <w:rStyle w:val="HideTWBExt"/>
        </w:rPr>
        <w:t>&lt;/NumAm&gt;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&lt;NumAm&gt;</w:t>
      </w:r>
      <w:r>
        <w:t>17</w:t>
      </w:r>
      <w:r>
        <w:rPr>
          <w:rStyle w:val="HideTWBExt"/>
        </w:rPr>
        <w:t>&lt;/NumAm&gt;</w:t>
      </w:r>
    </w:p>
    <w:p>
      <w:pPr>
        <w:pStyle w:val="NormalBold"/>
      </w:pPr>
      <w:r>
        <w:rPr>
          <w:rStyle w:val="HideTWBExt"/>
        </w:rPr>
        <w:t>&lt;RepeatBlock-By&gt;</w:t>
      </w:r>
      <w:r>
        <w:rPr>
          <w:rStyle w:val="HideTWBExt"/>
        </w:rPr>
        <w:t>&lt;Members&gt;</w:t>
      </w:r>
      <w:r>
        <w:t>Paolo Borchia, Isabella Tovaglieri, Matteo Adinolfi, Thierry Mariani, Markus Buchheit, Elena Lizzi</w:t>
      </w:r>
      <w:r>
        <w:rPr>
          <w:rStyle w:val="HideTWBExt"/>
        </w:rPr>
        <w:t>&lt;/Members&gt;</w:t>
      </w:r>
    </w:p>
    <w:p>
      <w:r>
        <w:rPr>
          <w:rStyle w:val="HideTWBExt"/>
        </w:rPr>
        <w:t>&lt;AuNomDe&gt;</w:t>
      </w:r>
      <w:r>
        <w:rPr>
          <w:rStyle w:val="HideTWBInt"/>
        </w:rPr>
        <w:t>{ID}</w:t>
      </w:r>
      <w:r>
        <w:t>on behalf of the ID Group</w:t>
      </w:r>
      <w:r>
        <w:rPr>
          <w:rStyle w:val="HideTWBExt"/>
        </w:rPr>
        <w:t>&lt;/AuNomDe&gt;</w:t>
      </w:r>
    </w:p>
    <w:p>
      <w:pPr>
        <w:pStyle w:val="NormalBold"/>
      </w:pPr>
      <w:r>
        <w:rPr>
          <w:rStyle w:val="HideTWBExt"/>
        </w:rPr>
        <w:t>&lt;/RepeatBlock-By&gt;</w:t>
      </w:r>
    </w:p>
    <w:p>
      <w:pPr>
        <w:pStyle w:val="AmDocTypeTab"/>
      </w:pPr>
      <w:r>
        <w:rPr>
          <w:rStyle w:val="HideTWBExt"/>
        </w:rPr>
        <w:t>&lt;TitreType&gt;</w:t>
      </w:r>
      <w:r>
        <w:t>Report</w:t>
      </w:r>
      <w:r>
        <w:rPr>
          <w:rStyle w:val="HideTWBExt"/>
        </w:rPr>
        <w:t>&lt;/TitreType&gt;</w:t>
      </w:r>
      <w:r>
        <w:tab/>
      </w:r>
      <w:r>
        <w:t>A9-0033/2023</w:t>
      </w:r>
    </w:p>
    <w:p>
      <w:pPr>
        <w:pStyle w:val="NormalBold"/>
      </w:pPr>
      <w:r>
        <w:rPr>
          <w:rStyle w:val="HideTWBExt"/>
        </w:rPr>
        <w:t>&lt;Rapporteur&gt;</w:t>
      </w:r>
      <w:r>
        <w:t>Ciarán Cuffe</w:t>
      </w:r>
      <w:r>
        <w:rPr>
          <w:rStyle w:val="HideTWBExt"/>
        </w:rPr>
        <w:t>&lt;/Rapporteur&gt;</w:t>
      </w:r>
    </w:p>
    <w:p>
      <w:r>
        <w:rPr>
          <w:rStyle w:val="HideTWBExt"/>
        </w:rPr>
        <w:t>&lt;Titre&gt;</w:t>
      </w:r>
      <w:r>
        <w:t>Energy performance of buildings (recast)</w:t>
      </w:r>
      <w:r>
        <w:rPr>
          <w:rStyle w:val="HideTWBExt"/>
        </w:rPr>
        <w:t>&lt;/Titre&gt;</w:t>
      </w:r>
    </w:p>
    <w:p>
      <w:pPr>
        <w:pStyle w:val="Normal12a"/>
      </w:pPr>
      <w:r>
        <w:rPr>
          <w:rStyle w:val="HideTWBExt"/>
        </w:rPr>
        <w:t>&lt;DocRef&gt;</w:t>
      </w:r>
      <w:r>
        <w:t>(COM(2021)0802 – C9-0469/2021 – 2021/0426(COD))</w:t>
      </w:r>
      <w:r>
        <w:rPr>
          <w:rStyle w:val="HideTWBExt"/>
        </w:rPr>
        <w:t>&lt;/DocRef&gt;</w:t>
      </w:r>
    </w:p>
    <w:p>
      <w:pPr>
        <w:pStyle w:val="NormalBold"/>
      </w:pPr>
      <w:r>
        <w:rPr>
          <w:rStyle w:val="HideTWBExt"/>
        </w:rPr>
        <w:t>&lt;DocAmend&gt;</w:t>
      </w:r>
      <w:r>
        <w:t>Proposal for a directive</w:t>
      </w:r>
      <w:r>
        <w:rPr>
          <w:rStyle w:val="HideTWBExt"/>
        </w:rPr>
        <w:t>&lt;/DocAmend&gt;</w:t>
      </w:r>
    </w:p>
    <w:p>
      <w:pPr>
        <w:pStyle w:val="NormalBold"/>
      </w:pPr>
      <w:r>
        <w:rPr>
          <w:rStyle w:val="HideTWBExt"/>
        </w:rPr>
        <w:t>&lt;Article&gt;</w:t>
      </w:r>
      <w:r>
        <w:t>Article 8 – paragraph 3 a (new)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</w:tblPr>
      <w:tblGrid>
        <w:gridCol w:w="4876"/>
        <w:gridCol w:w="4876"/>
      </w:tblGrid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val="240"/>
          <w:jc w:val="center"/>
        </w:trPr>
        <w:tc>
          <w:tcPr>
            <w:tcW w:w="4876" w:type="dxa"/>
          </w:tcPr>
          <w:p>
            <w:pPr>
              <w:pStyle w:val="AmColumnHeading"/>
            </w:pPr>
            <w:r>
              <w:t>Text proposed by the Commission</w:t>
            </w:r>
          </w:p>
        </w:tc>
        <w:tc>
          <w:tcPr>
            <w:tcW w:w="4876" w:type="dxa"/>
          </w:tcPr>
          <w:p>
            <w:pPr>
              <w:pStyle w:val="AmColumnHeading"/>
            </w:pPr>
            <w:r>
              <w:t>Amendment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</w:p>
        </w:tc>
        <w:tc>
          <w:tcPr>
            <w:tcW w:w="4876" w:type="dxa"/>
          </w:tcPr>
          <w:p>
            <w:pPr>
              <w:pStyle w:val="Normal6a"/>
            </w:pPr>
            <w:r>
              <w:rPr>
                <w:b/>
                <w:i/>
              </w:rPr>
              <w:t>3 a.</w:t>
            </w:r>
            <w:r>
              <w:tab/>
            </w:r>
            <w:r>
              <w:rPr>
                <w:b/>
                <w:i/>
              </w:rPr>
              <w:t>3c. By 1 January 2032, Member States shall take special administrative and financial measures to encourage the deep worst performing buildings with multiple dwellings.</w:t>
            </w:r>
          </w:p>
        </w:tc>
      </w:tr>
    </w:tbl>
    <w:p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r>
        <w:t>en</w:t>
      </w:r>
      <w:r>
        <w:rPr>
          <w:rStyle w:val="HideTWBExt"/>
        </w:rPr>
        <w:t>&lt;/Original&gt;</w:t>
      </w:r>
    </w:p>
    <w:p>
      <w:pPr>
        <w:sectPr>
          <w:type w:val="nextPage"/>
          <w:pgSz w:w="11909" w:h="16834"/>
          <w:pgMar w:top="1134" w:right="1417" w:bottom="1417" w:left="1417" w:header="1134" w:footer="567"/>
          <w:cols w:space="720"/>
        </w:sectPr>
      </w:pPr>
      <w:r>
        <w:rPr>
          <w:rStyle w:val="HideTWBExt"/>
        </w:rPr>
        <w:t>&lt;/Amend&gt;</w:t>
      </w:r>
    </w:p>
    <w:p>
      <w:pPr>
        <w:pStyle w:val="AmDateTab"/>
      </w:pPr>
      <w:r>
        <w:rPr>
          <w:rStyle w:val="HideTWBExt"/>
        </w:rPr>
        <w:t>&lt;Amend&gt;</w:t>
      </w:r>
      <w:r>
        <w:rPr>
          <w:rStyle w:val="HideTWBExt"/>
        </w:rPr>
        <w:t>&lt;Date&gt;</w:t>
      </w:r>
      <w:r>
        <w:rPr>
          <w:rStyle w:val="HideTWBInt"/>
        </w:rPr>
        <w:t>{08/03/2023}</w:t>
      </w:r>
      <w:r>
        <w:t>8.3.2023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A9-0033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18</w:t>
      </w:r>
      <w:r>
        <w:rPr>
          <w:rStyle w:val="HideTWBExt"/>
        </w:rPr>
        <w:t>&lt;/NumAm&gt;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&lt;NumAm&gt;</w:t>
      </w:r>
      <w:r>
        <w:t>18</w:t>
      </w:r>
      <w:r>
        <w:rPr>
          <w:rStyle w:val="HideTWBExt"/>
        </w:rPr>
        <w:t>&lt;/NumAm&gt;</w:t>
      </w:r>
    </w:p>
    <w:p>
      <w:pPr>
        <w:pStyle w:val="NormalBold"/>
      </w:pPr>
      <w:r>
        <w:rPr>
          <w:rStyle w:val="HideTWBExt"/>
        </w:rPr>
        <w:t>&lt;RepeatBlock-By&gt;</w:t>
      </w:r>
      <w:r>
        <w:rPr>
          <w:rStyle w:val="HideTWBExt"/>
        </w:rPr>
        <w:t>&lt;Members&gt;</w:t>
      </w:r>
      <w:r>
        <w:t>Paolo Borchia, Isabella Tovaglieri, Matteo Adinolfi, Thierry Mariani, Markus Buchheit, Elena Lizzi</w:t>
      </w:r>
      <w:r>
        <w:rPr>
          <w:rStyle w:val="HideTWBExt"/>
        </w:rPr>
        <w:t>&lt;/Members&gt;</w:t>
      </w:r>
    </w:p>
    <w:p>
      <w:r>
        <w:rPr>
          <w:rStyle w:val="HideTWBExt"/>
        </w:rPr>
        <w:t>&lt;AuNomDe&gt;</w:t>
      </w:r>
      <w:r>
        <w:rPr>
          <w:rStyle w:val="HideTWBInt"/>
        </w:rPr>
        <w:t>{ID}</w:t>
      </w:r>
      <w:r>
        <w:t>on behalf of the ID Group</w:t>
      </w:r>
      <w:r>
        <w:rPr>
          <w:rStyle w:val="HideTWBExt"/>
        </w:rPr>
        <w:t>&lt;/AuNomDe&gt;</w:t>
      </w:r>
    </w:p>
    <w:p>
      <w:pPr>
        <w:pStyle w:val="NormalBold"/>
      </w:pPr>
      <w:r>
        <w:rPr>
          <w:rStyle w:val="HideTWBExt"/>
        </w:rPr>
        <w:t>&lt;/RepeatBlock-By&gt;</w:t>
      </w:r>
    </w:p>
    <w:p>
      <w:pPr>
        <w:pStyle w:val="AmDocTypeTab"/>
      </w:pPr>
      <w:r>
        <w:rPr>
          <w:rStyle w:val="HideTWBExt"/>
        </w:rPr>
        <w:t>&lt;TitreType&gt;</w:t>
      </w:r>
      <w:r>
        <w:t>Report</w:t>
      </w:r>
      <w:r>
        <w:rPr>
          <w:rStyle w:val="HideTWBExt"/>
        </w:rPr>
        <w:t>&lt;/TitreType&gt;</w:t>
      </w:r>
      <w:r>
        <w:tab/>
      </w:r>
      <w:r>
        <w:t>A9-0033/2023</w:t>
      </w:r>
    </w:p>
    <w:p>
      <w:pPr>
        <w:pStyle w:val="NormalBold"/>
      </w:pPr>
      <w:r>
        <w:rPr>
          <w:rStyle w:val="HideTWBExt"/>
        </w:rPr>
        <w:t>&lt;Rapporteur&gt;</w:t>
      </w:r>
      <w:r>
        <w:t>Ciarán Cuffe</w:t>
      </w:r>
      <w:r>
        <w:rPr>
          <w:rStyle w:val="HideTWBExt"/>
        </w:rPr>
        <w:t>&lt;/Rapporteur&gt;</w:t>
      </w:r>
    </w:p>
    <w:p>
      <w:r>
        <w:rPr>
          <w:rStyle w:val="HideTWBExt"/>
        </w:rPr>
        <w:t>&lt;Titre&gt;</w:t>
      </w:r>
      <w:r>
        <w:t>Energy performance of buildings (recast)</w:t>
      </w:r>
      <w:r>
        <w:rPr>
          <w:rStyle w:val="HideTWBExt"/>
        </w:rPr>
        <w:t>&lt;/Titre&gt;</w:t>
      </w:r>
    </w:p>
    <w:p>
      <w:pPr>
        <w:pStyle w:val="Normal12a"/>
      </w:pPr>
      <w:r>
        <w:rPr>
          <w:rStyle w:val="HideTWBExt"/>
        </w:rPr>
        <w:t>&lt;DocRef&gt;</w:t>
      </w:r>
      <w:r>
        <w:t>(COM(2021)0802 – C9-0469/2021 – 2021/0426(COD))</w:t>
      </w:r>
      <w:r>
        <w:rPr>
          <w:rStyle w:val="HideTWBExt"/>
        </w:rPr>
        <w:t>&lt;/DocRef&gt;</w:t>
      </w:r>
    </w:p>
    <w:p>
      <w:pPr>
        <w:pStyle w:val="NormalBold"/>
      </w:pPr>
      <w:r>
        <w:rPr>
          <w:rStyle w:val="HideTWBExt"/>
        </w:rPr>
        <w:t>&lt;DocAmend&gt;</w:t>
      </w:r>
      <w:r>
        <w:t>Proposal for a directive</w:t>
      </w:r>
      <w:r>
        <w:rPr>
          <w:rStyle w:val="HideTWBExt"/>
        </w:rPr>
        <w:t>&lt;/DocAmend&gt;</w:t>
      </w:r>
    </w:p>
    <w:p>
      <w:pPr>
        <w:pStyle w:val="NormalBold"/>
      </w:pPr>
      <w:r>
        <w:rPr>
          <w:rStyle w:val="HideTWBExt"/>
        </w:rPr>
        <w:t>&lt;Article&gt;</w:t>
      </w:r>
      <w:r>
        <w:t>Article 9 – paragraph 1 – point a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</w:tblPr>
      <w:tblGrid>
        <w:gridCol w:w="4876"/>
        <w:gridCol w:w="4876"/>
      </w:tblGrid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val="240"/>
          <w:jc w:val="center"/>
        </w:trPr>
        <w:tc>
          <w:tcPr>
            <w:tcW w:w="4876" w:type="dxa"/>
          </w:tcPr>
          <w:p>
            <w:pPr>
              <w:pStyle w:val="AmColumnHeading"/>
            </w:pPr>
            <w:r>
              <w:t>Text proposed by the Commission</w:t>
            </w:r>
          </w:p>
        </w:tc>
        <w:tc>
          <w:tcPr>
            <w:tcW w:w="4876" w:type="dxa"/>
          </w:tcPr>
          <w:p>
            <w:pPr>
              <w:pStyle w:val="AmColumnHeading"/>
            </w:pPr>
            <w:r>
              <w:t>Amendment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(a)</w:t>
            </w:r>
            <w:r>
              <w:tab/>
            </w:r>
            <w:r>
              <w:t>buildings and building units owned by public bodies achieve at the latest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(a)</w:t>
            </w:r>
            <w:r>
              <w:tab/>
            </w:r>
            <w:r>
              <w:t>buildings and building units owned by public bodies</w:t>
            </w:r>
            <w:r>
              <w:rPr>
                <w:b/>
                <w:i/>
              </w:rPr>
              <w:t>, including Union institutions, offices, bodies and agencies and those rented by such bodies after... [the date of entry into force of this Directive]</w:t>
            </w:r>
            <w:r>
              <w:t xml:space="preserve"> achieve at the latest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(i)</w:t>
            </w:r>
            <w:r>
              <w:tab/>
            </w:r>
            <w:r>
              <w:rPr>
                <w:b/>
                <w:i/>
              </w:rPr>
              <w:t>after</w:t>
            </w:r>
            <w:r>
              <w:t xml:space="preserve"> 1 January </w:t>
            </w:r>
            <w:r>
              <w:rPr>
                <w:b/>
                <w:i/>
              </w:rPr>
              <w:t>2027</w:t>
            </w:r>
            <w:r>
              <w:t xml:space="preserve">, at least energy performance class </w:t>
            </w:r>
            <w:r>
              <w:rPr>
                <w:b/>
                <w:i/>
              </w:rPr>
              <w:t>F</w:t>
            </w:r>
            <w:r>
              <w:t>; and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(i)</w:t>
            </w:r>
            <w:r>
              <w:tab/>
            </w:r>
            <w:r>
              <w:rPr>
                <w:b/>
                <w:i/>
              </w:rPr>
              <w:t>from</w:t>
            </w:r>
            <w:r>
              <w:t xml:space="preserve"> 1 January </w:t>
            </w:r>
            <w:r>
              <w:rPr>
                <w:b/>
                <w:i/>
              </w:rPr>
              <w:t>2032</w:t>
            </w:r>
            <w:r>
              <w:t xml:space="preserve">, at least energy performance class </w:t>
            </w:r>
            <w:r>
              <w:rPr>
                <w:b/>
                <w:i/>
              </w:rPr>
              <w:t>E</w:t>
            </w:r>
            <w:r>
              <w:t>; and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(ii)</w:t>
            </w:r>
            <w:r>
              <w:tab/>
            </w:r>
            <w:r>
              <w:rPr>
                <w:b/>
                <w:i/>
              </w:rPr>
              <w:t>after</w:t>
            </w:r>
            <w:r>
              <w:t xml:space="preserve"> 1 January </w:t>
            </w:r>
            <w:r>
              <w:rPr>
                <w:b/>
                <w:i/>
              </w:rPr>
              <w:t>2030</w:t>
            </w:r>
            <w:r>
              <w:t xml:space="preserve">, at least energy performance class </w:t>
            </w:r>
            <w:r>
              <w:rPr>
                <w:b/>
                <w:i/>
              </w:rPr>
              <w:t>E</w:t>
            </w:r>
            <w:r>
              <w:t>;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(ii)</w:t>
            </w:r>
            <w:r>
              <w:tab/>
            </w:r>
            <w:r>
              <w:rPr>
                <w:b/>
                <w:i/>
              </w:rPr>
              <w:t>from</w:t>
            </w:r>
            <w:r>
              <w:t xml:space="preserve"> 1 January </w:t>
            </w:r>
            <w:r>
              <w:rPr>
                <w:b/>
                <w:i/>
              </w:rPr>
              <w:t>2035</w:t>
            </w:r>
            <w:r>
              <w:t xml:space="preserve">, at least energy performance class </w:t>
            </w:r>
            <w:r>
              <w:rPr>
                <w:b/>
                <w:i/>
              </w:rPr>
              <w:t>D</w:t>
            </w:r>
            <w:r>
              <w:t>;</w:t>
            </w:r>
          </w:p>
        </w:tc>
      </w:tr>
    </w:tbl>
    <w:p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r>
        <w:t>en</w:t>
      </w:r>
      <w:r>
        <w:rPr>
          <w:rStyle w:val="HideTWBExt"/>
        </w:rPr>
        <w:t>&lt;/Original&gt;</w:t>
      </w:r>
    </w:p>
    <w:p>
      <w:pPr>
        <w:sectPr>
          <w:type w:val="nextPage"/>
          <w:pgSz w:w="11909" w:h="16834"/>
          <w:pgMar w:top="1134" w:right="1417" w:bottom="1417" w:left="1417" w:header="1134" w:footer="567"/>
          <w:cols w:space="720"/>
        </w:sectPr>
      </w:pPr>
      <w:r>
        <w:rPr>
          <w:rStyle w:val="HideTWBExt"/>
        </w:rPr>
        <w:t>&lt;/Amend&gt;</w:t>
      </w:r>
    </w:p>
    <w:p>
      <w:pPr>
        <w:pStyle w:val="AmDateTab"/>
      </w:pPr>
      <w:r>
        <w:rPr>
          <w:rStyle w:val="HideTWBExt"/>
        </w:rPr>
        <w:t>&lt;Amend&gt;</w:t>
      </w:r>
      <w:r>
        <w:rPr>
          <w:rStyle w:val="HideTWBExt"/>
        </w:rPr>
        <w:t>&lt;Date&gt;</w:t>
      </w:r>
      <w:r>
        <w:rPr>
          <w:rStyle w:val="HideTWBInt"/>
        </w:rPr>
        <w:t>{08/03/2023}</w:t>
      </w:r>
      <w:r>
        <w:t>8.3.2023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A9-0033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19</w:t>
      </w:r>
      <w:r>
        <w:rPr>
          <w:rStyle w:val="HideTWBExt"/>
        </w:rPr>
        <w:t>&lt;/NumAm&gt;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&lt;NumAm&gt;</w:t>
      </w:r>
      <w:r>
        <w:t>19</w:t>
      </w:r>
      <w:r>
        <w:rPr>
          <w:rStyle w:val="HideTWBExt"/>
        </w:rPr>
        <w:t>&lt;/NumAm&gt;</w:t>
      </w:r>
    </w:p>
    <w:p>
      <w:pPr>
        <w:pStyle w:val="NormalBold"/>
      </w:pPr>
      <w:r>
        <w:rPr>
          <w:rStyle w:val="HideTWBExt"/>
        </w:rPr>
        <w:t>&lt;RepeatBlock-By&gt;</w:t>
      </w:r>
      <w:r>
        <w:rPr>
          <w:rStyle w:val="HideTWBExt"/>
        </w:rPr>
        <w:t>&lt;Members&gt;</w:t>
      </w:r>
      <w:r>
        <w:t>Paolo Borchia, Isabella Tovaglieri, Matteo Adinolfi, Thierry Mariani, Markus Buchheit, Elena Lizzi</w:t>
      </w:r>
      <w:r>
        <w:rPr>
          <w:rStyle w:val="HideTWBExt"/>
        </w:rPr>
        <w:t>&lt;/Members&gt;</w:t>
      </w:r>
    </w:p>
    <w:p>
      <w:r>
        <w:rPr>
          <w:rStyle w:val="HideTWBExt"/>
        </w:rPr>
        <w:t>&lt;AuNomDe&gt;</w:t>
      </w:r>
      <w:r>
        <w:rPr>
          <w:rStyle w:val="HideTWBInt"/>
        </w:rPr>
        <w:t>{ID}</w:t>
      </w:r>
      <w:r>
        <w:t>on behalf of the ID Group</w:t>
      </w:r>
      <w:r>
        <w:rPr>
          <w:rStyle w:val="HideTWBExt"/>
        </w:rPr>
        <w:t>&lt;/AuNomDe&gt;</w:t>
      </w:r>
    </w:p>
    <w:p>
      <w:pPr>
        <w:pStyle w:val="NormalBold"/>
      </w:pPr>
      <w:r>
        <w:rPr>
          <w:rStyle w:val="HideTWBExt"/>
        </w:rPr>
        <w:t>&lt;/RepeatBlock-By&gt;</w:t>
      </w:r>
    </w:p>
    <w:p>
      <w:pPr>
        <w:pStyle w:val="AmDocTypeTab"/>
      </w:pPr>
      <w:r>
        <w:rPr>
          <w:rStyle w:val="HideTWBExt"/>
        </w:rPr>
        <w:t>&lt;TitreType&gt;</w:t>
      </w:r>
      <w:r>
        <w:t>Report</w:t>
      </w:r>
      <w:r>
        <w:rPr>
          <w:rStyle w:val="HideTWBExt"/>
        </w:rPr>
        <w:t>&lt;/TitreType&gt;</w:t>
      </w:r>
      <w:r>
        <w:tab/>
      </w:r>
      <w:r>
        <w:t>A9-0033/2023</w:t>
      </w:r>
    </w:p>
    <w:p>
      <w:pPr>
        <w:pStyle w:val="NormalBold"/>
      </w:pPr>
      <w:r>
        <w:rPr>
          <w:rStyle w:val="HideTWBExt"/>
        </w:rPr>
        <w:t>&lt;Rapporteur&gt;</w:t>
      </w:r>
      <w:r>
        <w:t>Ciarán Cuffe</w:t>
      </w:r>
      <w:r>
        <w:rPr>
          <w:rStyle w:val="HideTWBExt"/>
        </w:rPr>
        <w:t>&lt;/Rapporteur&gt;</w:t>
      </w:r>
    </w:p>
    <w:p>
      <w:r>
        <w:rPr>
          <w:rStyle w:val="HideTWBExt"/>
        </w:rPr>
        <w:t>&lt;Titre&gt;</w:t>
      </w:r>
      <w:r>
        <w:t>Energy performance of buildings (recast)</w:t>
      </w:r>
      <w:r>
        <w:rPr>
          <w:rStyle w:val="HideTWBExt"/>
        </w:rPr>
        <w:t>&lt;/Titre&gt;</w:t>
      </w:r>
    </w:p>
    <w:p>
      <w:pPr>
        <w:pStyle w:val="Normal12a"/>
      </w:pPr>
      <w:r>
        <w:rPr>
          <w:rStyle w:val="HideTWBExt"/>
        </w:rPr>
        <w:t>&lt;DocRef&gt;</w:t>
      </w:r>
      <w:r>
        <w:t>(COM(2021)0802 – C9-0469/2021 – 2021/0426(COD))</w:t>
      </w:r>
      <w:r>
        <w:rPr>
          <w:rStyle w:val="HideTWBExt"/>
        </w:rPr>
        <w:t>&lt;/DocRef&gt;</w:t>
      </w:r>
    </w:p>
    <w:p>
      <w:pPr>
        <w:pStyle w:val="NormalBold"/>
      </w:pPr>
      <w:r>
        <w:rPr>
          <w:rStyle w:val="HideTWBExt"/>
        </w:rPr>
        <w:t>&lt;DocAmend&gt;</w:t>
      </w:r>
      <w:r>
        <w:t>Proposal for a directive</w:t>
      </w:r>
      <w:r>
        <w:rPr>
          <w:rStyle w:val="HideTWBExt"/>
        </w:rPr>
        <w:t>&lt;/DocAmend&gt;</w:t>
      </w:r>
    </w:p>
    <w:p>
      <w:pPr>
        <w:pStyle w:val="NormalBold"/>
      </w:pPr>
      <w:r>
        <w:rPr>
          <w:rStyle w:val="HideTWBExt"/>
        </w:rPr>
        <w:t>&lt;Article&gt;</w:t>
      </w:r>
      <w:r>
        <w:t>Article 9 – paragraph 1 – point b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</w:tblPr>
      <w:tblGrid>
        <w:gridCol w:w="4876"/>
        <w:gridCol w:w="4876"/>
      </w:tblGrid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trHeight w:val="240"/>
          <w:jc w:val="center"/>
        </w:trPr>
        <w:tc>
          <w:tcPr>
            <w:tcW w:w="4876" w:type="dxa"/>
          </w:tcPr>
          <w:p>
            <w:pPr>
              <w:pStyle w:val="AmColumnHeading"/>
            </w:pPr>
            <w:r>
              <w:t>Text proposed by the Commission</w:t>
            </w:r>
          </w:p>
        </w:tc>
        <w:tc>
          <w:tcPr>
            <w:tcW w:w="4876" w:type="dxa"/>
          </w:tcPr>
          <w:p>
            <w:pPr>
              <w:pStyle w:val="AmColumnHeading"/>
            </w:pPr>
            <w:r>
              <w:t>Amendment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(b)</w:t>
            </w:r>
            <w:r>
              <w:tab/>
            </w:r>
            <w:r>
              <w:t>non-residential buildings and building units</w:t>
            </w:r>
            <w:r>
              <w:rPr>
                <w:b/>
                <w:i/>
              </w:rPr>
              <w:t>,</w:t>
            </w:r>
            <w:r>
              <w:t xml:space="preserve"> other than those </w:t>
            </w:r>
            <w:r>
              <w:rPr>
                <w:b/>
                <w:i/>
              </w:rPr>
              <w:t>owned by public bodies,</w:t>
            </w:r>
            <w:r>
              <w:t xml:space="preserve"> achieve at the latest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(b)</w:t>
            </w:r>
            <w:r>
              <w:tab/>
            </w:r>
            <w:r>
              <w:t xml:space="preserve">non-residential buildings and building units other than those </w:t>
            </w:r>
            <w:r>
              <w:rPr>
                <w:b/>
                <w:i/>
              </w:rPr>
              <w:t>referred to in point (a)</w:t>
            </w:r>
            <w:r>
              <w:t xml:space="preserve"> achieve at the latest</w:t>
            </w:r>
            <w:r>
              <w:rPr>
                <w:b/>
                <w:i/>
              </w:rPr>
              <w:t>: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(i)</w:t>
            </w:r>
            <w:r>
              <w:tab/>
            </w:r>
            <w:r>
              <w:rPr>
                <w:b/>
                <w:i/>
              </w:rPr>
              <w:t>after</w:t>
            </w:r>
            <w:r>
              <w:t xml:space="preserve"> 1 January </w:t>
            </w:r>
            <w:r>
              <w:rPr>
                <w:b/>
                <w:i/>
              </w:rPr>
              <w:t>2027</w:t>
            </w:r>
            <w:r>
              <w:t xml:space="preserve">, at least energy performance class </w:t>
            </w:r>
            <w:r>
              <w:rPr>
                <w:b/>
                <w:i/>
              </w:rPr>
              <w:t>F</w:t>
            </w:r>
            <w:r>
              <w:t>; and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(i)</w:t>
            </w:r>
            <w:r>
              <w:tab/>
            </w:r>
            <w:r>
              <w:rPr>
                <w:b/>
                <w:i/>
              </w:rPr>
              <w:t>from</w:t>
            </w:r>
            <w:r>
              <w:t xml:space="preserve"> 1 January </w:t>
            </w:r>
            <w:r>
              <w:rPr>
                <w:b/>
                <w:i/>
              </w:rPr>
              <w:t>2032</w:t>
            </w:r>
            <w:r>
              <w:t xml:space="preserve">, at least energy performance class </w:t>
            </w:r>
            <w:r>
              <w:rPr>
                <w:b/>
                <w:i/>
              </w:rPr>
              <w:t>E</w:t>
            </w:r>
            <w:r>
              <w:t>; and</w:t>
            </w:r>
          </w:p>
        </w:tc>
      </w:tr>
      <w:tr>
        <w:tblPrEx>
          <w:tblW w:w="0" w:type="auto"/>
          <w:jc w:val="center"/>
          <w:tblLayout w:type="fixed"/>
          <w:tblCellMar>
            <w:left w:w="340" w:type="dxa"/>
            <w:right w:w="340" w:type="dxa"/>
          </w:tblCellMar>
        </w:tblPrEx>
        <w:trPr>
          <w:jc w:val="center"/>
        </w:trPr>
        <w:tc>
          <w:tcPr>
            <w:tcW w:w="4876" w:type="dxa"/>
          </w:tcPr>
          <w:p>
            <w:pPr>
              <w:pStyle w:val="Normal6a"/>
            </w:pPr>
            <w:r>
              <w:t>(ii)</w:t>
            </w:r>
            <w:r>
              <w:tab/>
            </w:r>
            <w:r>
              <w:rPr>
                <w:b/>
                <w:i/>
              </w:rPr>
              <w:t>after</w:t>
            </w:r>
            <w:r>
              <w:t xml:space="preserve"> 1 January </w:t>
            </w:r>
            <w:r>
              <w:rPr>
                <w:b/>
                <w:i/>
              </w:rPr>
              <w:t>2030</w:t>
            </w:r>
            <w:r>
              <w:t xml:space="preserve">, at least energy performance class </w:t>
            </w:r>
            <w:r>
              <w:rPr>
                <w:b/>
                <w:i/>
              </w:rPr>
              <w:t>E</w:t>
            </w:r>
            <w:r>
              <w:t>;</w:t>
            </w:r>
          </w:p>
        </w:tc>
        <w:tc>
          <w:tcPr>
            <w:tcW w:w="4876" w:type="dxa"/>
          </w:tcPr>
          <w:p>
            <w:pPr>
              <w:pStyle w:val="Normal6a"/>
            </w:pPr>
            <w:r>
              <w:t>(ii)</w:t>
            </w:r>
            <w:r>
              <w:tab/>
            </w:r>
            <w:r>
              <w:rPr>
                <w:b/>
                <w:i/>
              </w:rPr>
              <w:t>from</w:t>
            </w:r>
            <w:r>
              <w:t xml:space="preserve"> 1 January </w:t>
            </w:r>
            <w:r>
              <w:rPr>
                <w:b/>
                <w:i/>
              </w:rPr>
              <w:t>2035</w:t>
            </w:r>
            <w:r>
              <w:t xml:space="preserve">, at least energy performance class </w:t>
            </w:r>
            <w:r>
              <w:rPr>
                <w:b/>
                <w:i/>
              </w:rPr>
              <w:t>D</w:t>
            </w:r>
            <w:r>
              <w:t>;</w:t>
            </w:r>
          </w:p>
        </w:tc>
      </w:tr>
    </w:tbl>
    <w:p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r>
        <w:t>en</w:t>
      </w:r>
      <w:r>
        <w:rPr>
          <w:rStyle w:val="HideTWBExt"/>
        </w:rPr>
        <w:t>&lt;/Original&gt;</w:t>
      </w:r>
    </w:p>
    <w:p>
      <w:r>
        <w:rPr>
          <w:rStyle w:val="HideTWBExt"/>
        </w:rPr>
        <w:t>&lt;/Amend&gt;</w:t>
      </w:r>
    </w:p>
    <w:p>
      <w:r>
        <w:rPr>
          <w:rStyle w:val="HideTWBExt"/>
        </w:rPr>
        <w:t>&lt;/RepeatBlock-Amend&gt;</w:t>
      </w:r>
    </w:p>
    <w:sectPr>
      <w:type w:val="nextPage"/>
      <w:pgSz w:w="11909" w:h="16834"/>
      <w:pgMar w:top="1134" w:right="1417" w:bottom="1417" w:left="1417" w:header="1134" w:footer="56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&lt;PathFdR&gt;</w:t>
    </w:r>
    <w:r>
      <w:t>AM\P9_AMA(2023)0033(011-019)EN.docx</w:t>
    </w:r>
    <w:r>
      <w:rPr>
        <w:rStyle w:val="HideTWBExt"/>
      </w:rPr>
      <w:t>&lt;/PathFdR&gt;</w:t>
    </w:r>
    <w:r>
      <w:tab/>
    </w:r>
    <w:r>
      <w:tab/>
    </w:r>
    <w:r>
      <w:t>PE</w:t>
    </w:r>
    <w:r>
      <w:rPr>
        <w:rStyle w:val="HideTWBExt"/>
      </w:rPr>
      <w:t>&lt;NoPE&gt;</w:t>
    </w:r>
    <w:r>
      <w:t>744.069</w:t>
    </w:r>
    <w:r>
      <w:rPr>
        <w:rStyle w:val="HideTWBExt"/>
      </w:rPr>
      <w:t>&lt;/NoPE&gt;</w:t>
    </w:r>
    <w:r>
      <w:rPr>
        <w:rStyle w:val="HideTWBExt"/>
      </w:rPr>
      <w:t>&lt;Version&gt;</w:t>
    </w:r>
    <w:r>
      <w:t>v01-00</w:t>
    </w:r>
    <w:r>
      <w:rPr>
        <w:rStyle w:val="HideTWBExt"/>
      </w:rPr>
      <w:t>&lt;/Version&gt;</w:t>
    </w:r>
  </w:p>
  <w:p>
    <w:pPr>
      <w:pStyle w:val="EPFooter2"/>
    </w:pPr>
    <w:r>
      <w:t>EN</w:t>
    </w:r>
    <w:r>
      <w:tab/>
    </w:r>
    <w:r>
      <w:rPr>
        <w:rStyle w:val="EPFooter2Motto"/>
      </w:rPr>
      <w:t>United in diversity</w:t>
    </w:r>
    <w:r>
      <w:tab/>
    </w:r>
    <w:r>
      <w:t>EN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465045 HideTWBExt;}{\s16\ql \li0\ri0\nowidctlpar\wrapdefault\aspalpha\aspnum\faauto\adjustright\rin0\lin0\itap0 \rtlch\fcs1 \af0\afs20\alang1025 \ltrch\fcs0 _x000d__x000a_\b\fs24\lang2057\langfe2057\cgrid\langnp2057\langfenp2057 \sbasedon0 \snext16 \spriority0 \styrsid8465045 NormalBold;}}{\*\rsidtbl \rsid24658\rsid358857\rsid735077\rsid787282\rsid2892074\rsid3622648\rsid4666813\rsid5708216\rsid6641733\rsid7553164_x000d__x000a_\rsid8465045\rsid8465581\rsid8681905\rsid8721650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6\hr20\min40}{\revtim\yr2019\mo6\dy26\hr20\min40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46504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72165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8465045 \rtlch\fcs1 \af0\afs20\alang1025 \ltrch\fcs0 \b\fs24\lang2057\langfe2057\cgrid\langnp2057\langfenp2057 {\rtlch\fcs1 \af0 \ltrch\fcs0 _x000d__x000a_\cs15\b0\v\f1\fs20\cf9\lang1024\langfe1024\noproof\insrsid8465045\charrsid14699840 {\*\bkmkstart By}&lt;}{\rtlch\fcs1 \af0 \ltrch\fcs0 \cs15\b0\v\f1\fs20\cf9\lang1024\langfe1024\noproof\insrsid8465045 By&gt;&lt;}{\rtlch\fcs1 \af0 \ltrch\fcs0 _x000d__x000a_\cs15\b0\v\f1\fs20\cf9\lang1024\langfe1024\noproof\insrsid8465045\charrsid14699840 Members&gt;}{\rtlch\fcs1 \af0 \ltrch\fcs0 \insrsid8465045\charrsid14699840 [ZMEMBERS]}{\rtlch\fcs1 \af0 \ltrch\fcs0 _x000d__x000a_\cs15\b0\v\f1\fs20\cf9\lang1024\langfe1024\noproof\insrsid8465045\charrsid14699840 &lt;/Members&gt;}{\rtlch\fcs1 \af0 \ltrch\fcs0 \insrsid8465045\charrsid14699840 _x000d__x000a_\par }\pard\plain \ltrpar\ql \li0\ri0\widctlpar\wrapdefault\aspalpha\aspnum\faauto\adjustright\rin0\lin0\itap0\pararsid8465045 \rtlch\fcs1 \af0\afs20\alang1025 \ltrch\fcs0 \fs24\lang2057\langfe2057\cgrid\langnp2057\langfenp2057 {\rtlch\fcs1 \af0 \ltrch\fcs0 _x000d__x000a_\cs15\v\f1\fs20\cf9\lang1024\langfe1024\noproof\langnp1043\insrsid8465045\charrsid5922106 &lt;AuNomDe&gt;&lt;OptDel&gt;}{\rtlch\fcs1 \af0 \ltrch\fcs0 \lang1024\langfe1024\noproof\langnp1043\insrsid8465045\charrsid5922106 [ZONBEHALF]}{\rtlch\fcs1 \af0 \ltrch\fcs0 _x000d__x000a_\cs15\v\f1\fs20\cf9\lang1024\langfe1024\noproof\langnp1043\insrsid8465045\charrsid5922106 &lt;/OptDel&gt;&lt;/AuNomDe&gt;}{\rtlch\fcs1 \af0 \ltrch\fcs0 \lang1043\langfe2057\langnp1043\insrsid8465045\charrsid5922106 _x000d__x000a_\par }{\rtlch\fcs1 \af0 \ltrch\fcs0 \cs15\v\f1\fs20\cf9\lang1024\langfe1024\noproof\insrsid8465045\charrsid68395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52211 HideTWBExt;}{\s16\ql \li0\ri0\nowidctlpar\tqr\tx9072\wrapdefault\aspalpha\aspnum\faauto\adjustright\rin0\lin0\itap0 \rtlch\fcs1 \af0\afs20\alang1025 \ltrch\fcs0 _x000d__x000a_\b\fs24\lang2057\langfe2057\cgrid\langnp2057\langfenp2057 \sbasedon0 \snext16 \spriority0 \styrsid16452211 AmDocTypeTab;}{\s17\ql \li0\ri0\sa240\nowidctlpar\wrapdefault\aspalpha\aspnum\faauto\adjustright\rin0\lin0\itap0 \rtlch\fcs1 \af0\afs20\alang1025 _x000d__x000a_\ltrch\fcs0 \fs24\lang2057\langfe2057\cgrid\langnp2057\langfenp2057 \sbasedon0 \snext17 \spriority0 \styrsid16452211 Normal12a;}{\s18\ql \li-851\ri-851\widctlpar\tqc\tx4535\tqr\tx9921\wrapdefault\aspalpha\aspnum\faauto\adjustright\rin-851\lin-851\itap0 _x000d__x000a_\rtlch\fcs1 \af1\afs20\alang1025 \ltrch\fcs0 \b\f1\fs48\lang2057\langfe2057\cgrid\langnp2057\langfenp2057 \sbasedon0 \snext0 \spriority0 \styrsid16452211 EPFooter2;}{_x000d__x000a_\s19\ql \li0\ri0\nowidctlpar\wrapdefault\aspalpha\aspnum\faauto\adjustright\rin0\lin0\itap0 \rtlch\fcs1 \af0\afs20\alang1025 \ltrch\fcs0 \b\fs24\lang2057\langfe2057\cgrid\langnp2057\langfenp2057 \sbasedon0 \snext19 \spriority0 \styrsid16452211 _x000d__x000a_NormalBold;}{\s20\qr \li0\ri0\sb240\sa240\nowidctlpar\wrapdefault\aspalpha\aspnum\faauto\adjustright\rin0\lin0\itap0 \rtlch\fcs1 \af0\afs20\alang1025 \ltrch\fcs0 \fs24\lang2057\langfe2057\cgrid\langnp2057\langfenp2057 _x000d__x000a_\sbasedon0 \snext20 \spriority0 \styrsid16452211 AmOrLang;}{\s21\ql \li0\ri0\sa120\nowidctlpar\wrapdefault\aspalpha\aspnum\faauto\adjustright\rin0\lin0\itap0 \rtlch\fcs1 \af0\afs20\alang1025 \ltrch\fcs0 _x000d__x000a_\fs24\lang2057\langfe2057\cgrid\langnp2057\langfenp2057 \sbasedon0 \snext21 \spriority0 \styrsid16452211 Normal6a;}{\s22\qc \li0\ri0\sb240\sa240\nowidctlpar\wrapdefault\aspalpha\aspnum\faauto\adjustright\rin0\lin0\itap0 \rtlch\fcs1 \af0\afs20\alang1025 _x000d__x000a_\ltrch\fcs0 \i\fs24\lang2057\langfe2057\cgrid\langnp2057\langfenp2057 \sbasedon0 \snext22 \spriority0 \styrsid16452211 AmCrossRef;}{\s23\qc \li0\ri0\sb240\sa240\keepn\nowidctlpar\wrapdefault\aspalpha\aspnum\faauto\adjustright\rin0\lin0\itap0 \rtlch\fcs1 _x000d__x000a_\af0\afs20\alang1025 \ltrch\fcs0 \i\fs24\lang2057\langfe2057\cgrid\langnp2057\langfenp2057 \sbasedon0 \snext25 \spriority0 \styrsid16452211 AmJustTitle;}{\s24\ql \li0\ri0\nowidctlpar_x000d__x000a_\tqr\tx9072\wrapdefault\aspalpha\aspnum\faauto\adjustright\rin0\lin0\itap0 \rtlch\fcs1 \af0\afs20\alang1025 \ltrch\fcs0 \fs24\lang2057\langfe2057\cgrid\langnp2057\langfenp2057 \sbasedon0 \snext24 \spriority0 \styrsid16452211 AmDateTab;}{_x000d__x000a_\s25\ql \li0\ri0\sa240\nowidctlpar\wrapdefault\aspalpha\aspnum\faauto\adjustright\rin0\lin0\itap0 \rtlch\fcs1 \af0\afs20\alang1025 \ltrch\fcs0 \i\fs24\lang2057\langfe2057\cgrid\langnp2057\langfenp2057 \sbasedon0 \snext25 \spriority0 \styrsid16452211 _x000d__x000a_AmJustText;}{\s26\qc \li0\ri0\sa240\nowidctlpar\wrapdefault\aspalpha\aspnum\faauto\adjustright\rin0\lin0\itap0 \rtlch\fcs1 \af0\afs20\alang1025 \ltrch\fcs0 \i\fs24\lang2057\langfe2057\cgrid\langnp2057\langfenp2057 _x000d__x000a_\sbasedon0 \snext26 \spriority0 \styrsid1645221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645221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6452211 EPFooter;}}_x000d__x000a_{\*\rsidtbl \rsid24658\rsid89252\rsid358857\rsid735077\rsid787282\rsid2892074\rsid3622648\rsid4666813\rsid5708216\rsid6641733\rsid7553164\rsid8465581\rsid8681905\rsid8724649\rsid9636012\rsid9862312\rsid11215221\rsid11370291\rsid11434737\rsid11607138_x000d__x000a_\rsid11824949\rsid12154954\rsid14424199\rsid15204470\rsid15285974\rsid15535219\rsid15950462\rsid16324206\rsid16452211\rsid16662270}{\mmathPr\mmathFont34\mbrkBin0\mbrkBinSub0\msmallFrac0\mdispDef1\mlMargin0\mrMargin0\mdefJc1\mwrapIndent1440\mintLim0_x000d__x000a_\mnaryLim1}{\info{\author FELIX Karina}{\operator FELIX Karina}{\creatim\yr2019\mo6\dy26\hr20\min40}{\revtim\yr2019\mo6\dy26\hr20\min40}{\version1}{\edmins0}{\nofpages2}{\nofwords111}{\nofchars634}{\*\company European Parliament}{\nofcharsws744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5221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92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\ltrpar \sectd \ltrsect\psz9\linex0\headery1134\footery567\sectlinegrid326\sectdefaultcl\sectrsid4791376\sftnbj\saftnnar\sftnrestart {\footerr \ltrpar \pard\plain \ltrpar\s28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5\v\f1\fs20\cf9\lang1024\langfe1024\noproof\insrsid16452211 &lt;PathFdR&gt;}{\rtlch\fcs1 \af0 \ltrch\fcs0 \insrsid16452211 [ZPATH]}{\rtlch\fcs1 \af0 \ltrch\fcs0 \cs15\v\f1\fs20\cf9\lang1024\langfe1024\noproof\insrsid16452211 &lt;/PathFdR&gt;}{\rtlch\fcs1 \af0 _x000d__x000a_\ltrch\fcs0 \insrsid16452211 \tab \tab PE}{\rtlch\fcs1 \af0 \ltrch\fcs0 \cs15\v\f1\fs20\cf9\lang1024\langfe1024\noproof\insrsid16452211 &lt;NoPE&gt;}{\rtlch\fcs1 \af0 \ltrch\fcs0 \insrsid16452211 [ZNRPE]}{\rtlch\fcs1 \af0 \ltrch\fcs0 _x000d__x000a_\cs15\v\f1\fs20\cf9\lang1024\langfe1024\noproof\insrsid16452211 &lt;/NoPE&gt;&lt;Version&gt;}{\rtlch\fcs1 \af0 \ltrch\fcs0 \insrsid16452211 [ZNRV]}{\rtlch\fcs1 \af0 \ltrch\fcs0 \cs15\v\f1\fs20\cf9\lang1024\langfe1024\noproof\insrsid16452211 &lt;/Version&gt;}{\rtlch\fcs1 _x000d__x000a_\af0 \ltrch\fcs0 \insrsid16452211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6452211  DOCPROPERTY &quot;&lt;Extension&gt;&quot; }}{\fldrslt {\rtlch\fcs1 \af1 \ltrch\fcs0 \insrsid16452211 XX}}}\sectd \ltrsect_x000d__x000a_\linex0\endnhere\sectdefaultcl\sftnbj {\rtlch\fcs1 \af1 \ltrch\fcs0 \insrsid16452211\charrsid5530783 \tab }{\rtlch\fcs1 \af1\afs22 \ltrch\fcs0 \b0\i\fs22\cf16\insrsid16452211\charrsid10767834 #(STD@_Motto#}{\rtlch\fcs1 \af1 \ltrch\fcs0 _x000d__x000a_\insrsid16452211\charrsid5530783 \tab }{\field{\*\fldinst {\rtlch\fcs1 \af1 \ltrch\fcs0 \insrsid16452211  DOCPROPERTY &quot;&lt;Extension&gt;&quot; }}{\fldrslt {\rtlch\fcs1 \af1 \ltrch\fcs0 \insrsid16452211 XX}}}\sectd \ltrsect\linex0\endnhere\sectdefaultcl\sftnbj {_x000d__x000a_\rtlch\fcs1 \af1 \ltrch\fcs0 \insrsid164522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nowidctlpar_x000d__x000a_\tqr\tx9072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{\*\bkmkstart restart}&lt;Amend&gt;&lt;Date&gt;}{\rtlch\fcs1 \af0 \ltrch\fcs0 \lang1024\langfe1024\noproof\insrsid16452211\charrsid14699840 [ZDATE]}{\rtlch\fcs1 \af0 \ltrch\fcs0 _x000d__x000a_\cs15\v\f1\fs20\cf9\lang1024\langfe1024\noproof\insrsid16452211\charrsid14699840 &lt;/Date&gt;}{\rtlch\fcs1 \af0 \ltrch\fcs0 \lang1024\langfe1024\noproof\insrsid16452211\charrsid14699840 \tab }{\rtlch\fcs1 \af0 \ltrch\fcs0 _x000d__x000a_\cs15\v\f1\fs20\cf9\lang1024\langfe1024\noproof\insrsid16452211\charrsid14699840 &lt;ANo&gt;}{\rtlch\fcs1 \af0 \ltrch\fcs0 \lang1024\langfe1024\noproof\insrsid16452211\charrsid14699840 [ZNRA]}{\rtlch\fcs1 \af0 \ltrch\fcs0 _x000d__x000a_\cs15\v\f1\fs20\cf9\lang1024\langfe1024\noproof\insrsid16452211\charrsid14699840 &lt;/ANo&gt;}{\rtlch\fcs1 \af0 \ltrch\fcs0 \lang1024\langfe1024\noproof\insrsid16452211\charrsid14699840 /}{\rtlch\fcs1 \af0 \ltrch\fcs0 _x000d__x000a_\cs15\v\f1\fs20\cf9\lang1024\langfe1024\noproof\insrsid16452211\charrsid14699840 &lt;NumAm&gt;}{\rtlch\fcs1 \af0 \ltrch\fcs0 \lang1024\langfe1024\noproof\insrsid16452211\charrsid14699840 [ZNRAM]}{\rtlch\fcs1 \af0 \ltrch\fcs0 _x000d__x000a_\cs15\v\f1\fs20\cf9\lang1024\langfe1024\noproof\insrsid16452211\charrsid14699840 &lt;/NumAm&gt;}{\rtlch\fcs1 \af0 \ltrch\fcs0 \lang1024\langfe1024\noproof\insrsid16452211\charrsid1469984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6452211 \rtlch\fcs1 _x000d__x000a_\af0\afs20\alang1025 \ltrch\fcs0 \b\fs24\lang2057\langfe2057\cgrid\langnp2057\langfenp2057 {\rtlch\fcs1 \af0 \ltrch\fcs0 \insrsid16452211\charrsid14699840 [ZDOCTYPE]\tab \tab }{\rtlch\fcs1 \af0 \ltrch\fcs0 _x000d__x000a_\cs15\b0\v\f1\fs20\cf9\insrsid16452211\charrsid14699840 &lt;NumAm&gt;}{\rtlch\fcs1 \af0 \ltrch\fcs0 \insrsid16452211\charrsid14699840 [ZNRAM]}{\rtlch\fcs1 \af0 \ltrch\fcs0 \cs15\b0\v\f1\fs20\cf9\insrsid16452211\charrsid14699840 &lt;/NumAm&gt;}{\rtlch\fcs1 \af0 _x000d__x000a_\ltrch\fcs0 \insrsid16452211\charrsid14699840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insrsid16452211\charrsid14699840 &lt;RepeatBlock-By&gt;}{\rtlch\fcs1 \af0 \ltrch\fcs0 \lang1024\langfe1024\noproof\insrsid16452211\charrsid14699840 [RepeatMembers]}{\rtlch\fcs1 \af0 \ltrch\fcs0 _x000d__x000a_\cs15\b0\v\f1\fs20\cf9\lang1024\langfe1024\noproof\insrsid16452211\charrsid14699840 {\*\bkmkstart By}&lt;}{\rtlch\fcs1 \af0 \ltrch\fcs0 \cs15\b0\v\f1\fs20\cf9\lang1024\langfe1024\noproof\insrsid16452211 By&gt;&lt;}{\rtlch\fcs1 \af0 \ltrch\fcs0 _x000d__x000a_\cs15\b0\v\f1\fs20\cf9\lang1024\langfe1024\noproof\insrsid16452211\charrsid14699840 Members&gt;}{\rtlch\fcs1 \af0 \ltrch\fcs0 \insrsid16452211\charrsid14699840 [ZMEMBERS]}{\rtlch\fcs1 \af0 \ltrch\fcs0 _x000d__x000a_\cs15\b0\v\f1\fs20\cf9\lang1024\langfe1024\noproof\insrsid16452211\charrsid14699840 &lt;/Members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43\insrsid16452211\charrsid5922106 &lt;AuNomDe&gt;&lt;OptDel&gt;}{\rtlch\fcs1 \af0 \ltrch\fcs0 \lang1024\langfe1024\noproof\langnp1043\insrsid16452211\charrsid5922106 [ZONBEHALF]}{\rtlch\fcs1 \af0 \ltrch\fcs0 _x000d__x000a_\cs15\v\f1\fs20\cf9\lang1024\langfe1024\noproof\langnp1043\insrsid16452211\charrsid5922106 &lt;/OptDel&gt;&lt;/AuNomDe&gt;}{\rtlch\fcs1 \af0 \ltrch\fcs0 \lang1043\langfe2057\langnp1043\insrsid16452211\charrsid5922106 _x000d__x000a_\par }{\rtlch\fcs1 \af0 \ltrch\fcs0 \cs15\v\f1\fs20\cf9\lang1024\langfe1024\noproof\insrsid16452211\charrsid6839579 &lt;/By&gt;}{\rtlch\fcs1 \af0 \ltrch\fcs0 \insrsid16452211\charrsid14699840 {\*\bkmkend By}&lt;&lt;&lt;}{\rtlch\fcs1 \af0 \ltrch\fcs0 _x000d__x000a_\cs15\v\f1\fs20\cf9\lang1024\langfe1024\noproof\insrsid16452211\charrsid14699840 &lt;/RepeatBlock-By&gt;}{\rtlch\fcs1 \af0 \ltrch\fcs0 \insrsid16452211\charrsid14699840 _x000d__x000a_\par }\pard\plain \ltrpar\s16\ql \li0\ri0\nowidctlpar\tqr\tx9072\wrapdefault\aspalpha\aspnum\faauto\adjustright\rin0\lin0\itap0\pararsid16452211 \rtlch\fcs1 \af0\afs20\alang1025 \ltrch\fcs0 \b\fs24\lang2057\langfe2057\cgrid\langnp2057\langfenp2057 {_x000d__x000a_\rtlch\fcs1 \af0 \ltrch\fcs0 \cs15\b0\v\f1\fs20\cf9\lang1024\langfe1024\noproof\insrsid16452211\charrsid14699840 &lt;TitreType&gt;}{\rtlch\fcs1 \af0 \ltrch\fcs0 \insrsid16452211\charrsid14699840 [ZAMENDDOCTYPE]}{\rtlch\fcs1 \af0 \ltrch\fcs0 _x000d__x000a_\cs15\b0\v\f1\fs20\cf9\lang1024\langfe1024\noproof\insrsid16452211\charrsid14699840 &lt;/TitreType&gt;}{\rtlch\fcs1 \af0 \ltrch\fcs0 \lang1024\langfe1024\noproof\insrsid16452211\charrsid14699840 \tab [ZNRA]/[ZDOCYEAR]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Rapporteur&gt;}{\rtlch\fcs1 \af0 \ltrch\fcs0 \lang1024\langfe1024\noproof\langnp1036\insrsid16452211\charrsid6839579 [ZAUTHORNAME]}{\rtlch\fcs1 \af0 _x000d__x000a_\ltrch\fcs0 \cs15\b0\v\f1\fs20\cf9\lang1024\langfe1024\noproof\langnp1036\insrsid16452211\charrsid6839579 &lt;/Rapporteur&gt;}{\rtlch\fcs1 \af0 \ltrch\fcs0 \lang1024\langfe1024\noproof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36\insrsid16452211\charrsid6839579 &lt;Titre&gt;}{\rtlch\fcs1 \af0 \ltrch\fcs0 \lang1024\langfe1024\noproof\langnp1036\insrsid16452211\charrsid6839579 [ZTITLE]}{\rtlch\fcs1 \af0 \ltrch\fcs0 _x000d__x000a_\cs15\v\f1\fs20\cf9\lang1024\langfe1024\noproof\langnp1036\insrsid16452211\charrsid6839579 &lt;/Titre&gt;}{\rtlch\fcs1 \af0 \ltrch\fcs0 \lang1036\langfe2057\langnp1036\insrsid16452211\charrsid6839579 _x000d__x000a_\par }\pard\plain \ltrpar\s17\ql \li0\ri0\sa240\nowidctlpar\wrapdefault\aspalpha\aspnum\faauto\adjustright\rin0\lin0\itap0\pararsid16452211 \rtlch\fcs1 \af0\afs20\alang1025 \ltrch\fcs0 \fs24\lang2057\langfe2057\cgrid\langnp2057\langfenp2057 {\rtlch\fcs1 \af0 _x000d__x000a_\ltrch\fcs0 \cs15\v\f1\fs20\cf9\lang1024\langfe1024\noproof\langnp1036\insrsid16452211\charrsid6839579 &lt;DocRef&gt;}{\rtlch\fcs1 \af0 \ltrch\fcs0 \lang1036\langfe2057\langnp1036\insrsid16452211\charrsid6839579 [ZDOCREF]}{\rtlch\fcs1 \af0 \ltrch\fcs0 _x000d__x000a_\cs15\v\f1\fs20\cf9\lang1024\langfe1024\noproof\langnp1036\insrsid16452211\charrsid6839579 &lt;/DocRef&gt;}{\rtlch\fcs1 \af0 \ltrch\fcs0 \lang1036\langfe2057\langnp1036\insrsid16452211\charrsid6839579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DocAmend&gt;}{\rtlch\fcs1 \af0 \ltrch\fcs0 \lang1036\langfe2057\langnp1036\insrsid16452211\charrsid6839579 [ZAMDOC][ZAMACT]}{\rtlch\fcs1 \af0 _x000d__x000a_\ltrch\fcs0 \cs15\b0\v\f1\fs20\cf9\lang1024\langfe1024\noproof\langnp1036\insrsid16452211\charrsid6839579 &lt;/DocAmend&gt;}{\rtlch\fcs1 \af0 \ltrch\fcs0 \lang1036\langfe2057\langnp1036\insrsid16452211\charrsid6839579 _x000d__x000a_\par }{\rtlch\fcs1 \af0 \ltrch\fcs0 \cs15\b0\v\f1\fs20\cf9\lang1024\langfe1024\noproof\langnp1036\insrsid16452211\charrsid6839579 &lt;Article&gt;}{\rtlch\fcs1 \af0 \ltrch\fcs0 \lang1036\langfe2057\langnp1036\insrsid16452211\charrsid6839579 [ZAMPART]}{\rtlch\fcs1 _x000d__x000a_\af0 \ltrch\fcs0 \cs15\b0\v\f1\fs20\cf9\lang1024\langfe1024\noproof\langnp1036\insrsid16452211\charrsid6839579 &lt;/Article&gt;}{\rtlch\fcs1 \af0 \ltrch\fcs0 \lang1036\langfe2057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36\langfe2057\langnp1036\insrsid16452211\charrsid6839579 &lt;DocAmend2&gt;&lt;OptDel&gt;}{\rtlch\fcs1 \af0 \ltrch\fcs0 \lang1036\langfe2057\langnp1036\insrsid16452211\charrsid6839579 [ZNRACT]}{\rtlch\fcs1 \af0 \ltrch\fcs0 _x000d__x000a_\cs15\v\f1\fs20\cf9\lang1036\langfe2057\langnp1036\insrsid16452211\charrsid6839579 &lt;/OptDel&gt;&lt;/DocAmend2&gt;}{\rtlch\fcs1 \af0 \ltrch\fcs0 \lang1036\langfe2057\langnp1036\insrsid16452211\charrsid6839579 _x000d__x000a_\par }{\rtlch\fcs1 \af0 \ltrch\fcs0 \cs15\v\f1\fs20\cf9\lang1036\langfe2057\langnp1036\insrsid16452211\charrsid6839579 &lt;Article2&gt;&lt;OptDel&gt;}{\rtlch\fcs1 \af0 \ltrch\fcs0 \lang1036\langfe2057\langnp1036\insrsid16452211\charrsid6839579 [ZACTPART]}{\rtlch\fcs1 _x000d__x000a_\af0 \ltrch\fcs0 \cs15\v\f1\fs20\cf9\lang1036\langfe2057\langnp1036\insrsid16452211\charrsid6839579 &lt;/OptDel&gt;&lt;/Article2&gt;}{\rtlch\fcs1 \af0 \ltrch\fcs0 \lang1036\langfe2057\langnp1036\insrsid16452211\charrsid6839579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6452211\charrsid683957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6452211\charrsid6839579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3097865 \rtlch\fcs1 \af0\afs20\alang1025 \ltrch\fcs0 \i\fs24\lang2057\langfe2057\cgrid\langnp2057\langfenp2057 {\rtlch\fcs1 \af0 \ltrch\fcs0 _x000d__x000a_\insrsid16452211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452211\charrsid14699840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9389144 \rtlch\fcs1 \af0\afs20\alang1025 \ltrch\fcs0 \fs24\lang2057\langfe2057\cgrid\langnp2057\langfenp2057 {\rtlch\fcs1 \af0 \ltrch\fcs0 _x000d__x000a_\insrsid16452211\charrsid14699840 [ZTEXTL]\cell [ZTEXTR]}{\rtlch\fcs1 \af0\afs24 \ltrch\fcs0 \insrsid16452211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6452211\charrsid14699840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6452211 \rtlch\fcs1 \af0\afs20\alang1025 \ltrch\fcs0 \fs24\lang2057\langfe2057\cgrid\langnp2057\langfenp2057 {\rtlch\fcs1 \af0 \ltrch\fcs0 _x000d__x000a_\insrsid16452211\charrsid14699840 Or. }{\rtlch\fcs1 \af0 \ltrch\fcs0 \cs15\v\f1\fs20\cf9\lang1024\langfe1024\noproof\insrsid16452211\charrsid14699840 &lt;Original&gt;}{\rtlch\fcs1 \af0 \ltrch\fcs0 \insrsid16452211\charrsid14699840 [ZORLANG]}{\rtlch\fcs1 \af0 _x000d__x000a_\ltrch\fcs0 \cs15\v\f1\fs20\cf9\lang1024\langfe1024\noproof\insrsid16452211\charrsid14699840 &lt;/Original&gt;}{\rtlch\fcs1 \af0 \ltrch\fcs0 \insrsid16452211\charrsid14699840 _x000d__x000a_\par }\pard\plain \ltrpar\s22\qc \li0\ri0\sb240\sa240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OptDel&gt;}{\rtlch\fcs1 \af0 \ltrch\fcs0 \insrsid16452211\charrsid14699840 [ZCROSSREF]}{\rtlch\fcs1 \af0 \ltrch\fcs0 _x000d__x000a_\cs15\i0\v\f1\fs20\cf9\lang1024\langfe1024\noproof\insrsid16452211\charrsid14699840 &lt;/OptDel&gt;}{\rtlch\fcs1 \af0 \ltrch\fcs0 \insrsid16452211\charrsid14699840 _x000d__x000a_\par }\pard\plain \ltrpar\s23\qc \li0\ri0\sb240\sa240\keepn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TitreJust&gt;}{\rtlch\fcs1 \af0 \ltrch\fcs0 \insrsid16452211\charrsid14699840 [ZJUSTIFICATION]}{\rtlch\fcs1 \af0 \ltrch\fcs0 _x000d__x000a_\cs15\i0\v\f1\fs20\cf9\lang1024\langfe1024\noproof\insrsid16452211\charrsid14699840 &lt;/TitreJust&gt;}{\rtlch\fcs1 \af0 \ltrch\fcs0 \insrsid16452211\charrsid14699840 _x000d__x000a_\par }\pard\plain \ltrpar\s25\ql \li0\ri0\sa240\nowidctlpar\wrapdefault\aspalpha\aspnum\faauto\adjustright\rin0\lin0\itap0\pararsid16452211 \rtlch\fcs1 \af0\afs20\alang1025 \ltrch\fcs0 \i\fs24\lang2057\langfe2057\cgrid\langnp2057\langfenp2057 {\rtlch\fcs1 _x000d__x000a_\af0 \ltrch\fcs0 \cs15\i0\v\f1\fs20\cf9\lang1024\langfe1024\noproof\insrsid16452211\charrsid14699840 &lt;OptDelPrev&gt;}{\rtlch\fcs1 \af0 \ltrch\fcs0 \insrsid16452211\charrsid14699840 [ZTEXTJUST]}{\rtlch\fcs1 \af0 \ltrch\fcs0 _x000d__x000a_\cs15\i0\v\f1\fs20\cf9\lang1024\langfe1024\noproof\insrsid16452211\charrsid14699840 &lt;/OptDelPrev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lang1024\langfe1024\noproof\insrsid16452211\charrsid14699840 \sect }\sectd \ltrsect\psz9\linex0\headery1134\footery505\endnhere\titlepg\sectdefaultcl\sectrsid14424199\sftnbj\sftnrestart \pard\plain \ltrpar_x000d__x000a_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ideTWBExt">
    <w:name w:val="HideTWBExt"/>
    <w:rPr>
      <w:rFonts w:ascii="Arial" w:hAnsi="Arial"/>
      <w:vanish/>
      <w:color w:val="000080"/>
      <w:sz w:val="20"/>
    </w:rPr>
  </w:style>
  <w:style w:type="paragraph" w:customStyle="1" w:styleId="AmDocTypeTab">
    <w:name w:val="AmDocTypeTab"/>
    <w:basedOn w:val="Normal"/>
    <w:pPr>
      <w:widowControl w:val="0"/>
      <w:tabs>
        <w:tab w:val="right" w:pos="9060"/>
      </w:tabs>
    </w:pPr>
    <w:rPr>
      <w:b/>
    </w:rPr>
  </w:style>
  <w:style w:type="paragraph" w:customStyle="1" w:styleId="Normal12a">
    <w:name w:val="Normal12a"/>
    <w:basedOn w:val="Normal"/>
    <w:pPr>
      <w:widowControl w:val="0"/>
      <w:spacing w:after="240"/>
    </w:pPr>
  </w:style>
  <w:style w:type="paragraph" w:customStyle="1" w:styleId="EPFooter2">
    <w:name w:val="EPFooter2"/>
    <w:basedOn w:val="Normal"/>
    <w:next w:val="Normal"/>
    <w:pPr>
      <w:widowControl/>
      <w:tabs>
        <w:tab w:val="center" w:pos="4520"/>
        <w:tab w:val="right" w:pos="9920"/>
      </w:tabs>
      <w:ind w:left="-840" w:right="-840"/>
    </w:pPr>
    <w:rPr>
      <w:rFonts w:ascii="Arial" w:eastAsia="Arial" w:hAnsi="Arial" w:cs="Arial"/>
      <w:b/>
      <w:sz w:val="48"/>
    </w:rPr>
  </w:style>
  <w:style w:type="character" w:customStyle="1" w:styleId="HideTWBInt">
    <w:name w:val="HideTWBInt"/>
    <w:rPr>
      <w:rFonts w:ascii="Arial" w:eastAsia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pPr>
      <w:widowControl w:val="0"/>
    </w:pPr>
    <w:rPr>
      <w:b/>
    </w:rPr>
  </w:style>
  <w:style w:type="paragraph" w:customStyle="1" w:styleId="AmOrLang">
    <w:name w:val="AmOrLang"/>
    <w:basedOn w:val="Normal"/>
    <w:pPr>
      <w:widowControl w:val="0"/>
      <w:spacing w:before="240" w:after="240"/>
      <w:jc w:val="right"/>
    </w:pPr>
  </w:style>
  <w:style w:type="paragraph" w:customStyle="1" w:styleId="Normal6a">
    <w:name w:val="Normal6a"/>
    <w:basedOn w:val="Normal"/>
    <w:pPr>
      <w:widowControl w:val="0"/>
      <w:spacing w:after="120"/>
    </w:pPr>
  </w:style>
  <w:style w:type="paragraph" w:customStyle="1" w:styleId="AmCrossRef">
    <w:name w:val="AmCrossRef"/>
    <w:basedOn w:val="Normal"/>
    <w:pPr>
      <w:widowControl w:val="0"/>
      <w:spacing w:before="240" w:after="240"/>
      <w:jc w:val="center"/>
    </w:pPr>
    <w:rPr>
      <w:i/>
    </w:rPr>
  </w:style>
  <w:style w:type="paragraph" w:customStyle="1" w:styleId="AmColumnHeading">
    <w:name w:val="AmColumnHeading"/>
    <w:basedOn w:val="Normal"/>
    <w:pPr>
      <w:widowControl w:val="0"/>
      <w:spacing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pPr>
      <w:keepNext/>
      <w:widowControl w:val="0"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pPr>
      <w:widowControl w:val="0"/>
      <w:tabs>
        <w:tab w:val="right" w:pos="9060"/>
      </w:tabs>
    </w:pPr>
  </w:style>
  <w:style w:type="paragraph" w:customStyle="1" w:styleId="AmJustText">
    <w:name w:val="AmJustText"/>
    <w:basedOn w:val="Normal"/>
    <w:pPr>
      <w:widowControl w:val="0"/>
      <w:spacing w:after="240"/>
    </w:pPr>
    <w:rPr>
      <w:i/>
    </w:rPr>
  </w:style>
  <w:style w:type="paragraph" w:customStyle="1" w:styleId="AmNumberTabs">
    <w:name w:val="AmNumberTabs"/>
    <w:basedOn w:val="Normal"/>
    <w:pPr>
      <w:widowControl w:val="0"/>
      <w:tabs>
        <w:tab w:val="left" w:pos="860"/>
        <w:tab w:val="left" w:pos="920"/>
        <w:tab w:val="left" w:pos="1020"/>
        <w:tab w:val="left" w:pos="1060"/>
        <w:tab w:val="left" w:pos="1120"/>
        <w:tab w:val="left" w:pos="1180"/>
        <w:tab w:val="left" w:pos="1240"/>
        <w:tab w:val="left" w:pos="1300"/>
        <w:tab w:val="left" w:pos="1360"/>
        <w:tab w:val="left" w:pos="1400"/>
        <w:tab w:val="left" w:pos="1460"/>
        <w:tab w:val="left" w:pos="1520"/>
        <w:tab w:val="left" w:pos="1580"/>
        <w:tab w:val="left" w:pos="1640"/>
        <w:tab w:val="left" w:pos="1700"/>
        <w:tab w:val="left" w:pos="1740"/>
        <w:tab w:val="left" w:pos="1800"/>
        <w:tab w:val="left" w:pos="1860"/>
        <w:tab w:val="left" w:pos="2060"/>
        <w:tab w:val="left" w:pos="2120"/>
        <w:tab w:val="left" w:pos="3360"/>
        <w:tab w:val="left" w:pos="3420"/>
      </w:tabs>
      <w:spacing w:before="240"/>
    </w:pPr>
    <w:rPr>
      <w:b/>
    </w:rPr>
  </w:style>
  <w:style w:type="paragraph" w:customStyle="1" w:styleId="EPFooter">
    <w:name w:val="EPFooter"/>
    <w:basedOn w:val="Normal"/>
    <w:pPr>
      <w:widowControl w:val="0"/>
      <w:tabs>
        <w:tab w:val="center" w:pos="4520"/>
        <w:tab w:val="right" w:pos="9060"/>
      </w:tabs>
      <w:spacing w:before="240" w:after="240"/>
    </w:pPr>
    <w:rPr>
      <w:sz w:val="22"/>
    </w:rPr>
  </w:style>
  <w:style w:type="character" w:customStyle="1" w:styleId="FooterChar">
    <w:name w:val="Footer Char"/>
    <w:rPr>
      <w:sz w:val="24"/>
    </w:rPr>
  </w:style>
  <w:style w:type="character" w:customStyle="1" w:styleId="EPFooter2Motto">
    <w:name w:val="EPFooter2Motto"/>
    <w:rPr>
      <w:rFonts w:ascii="Arial" w:hAnsi="Arial"/>
      <w:b/>
      <w:i/>
      <w:color w:val="C0C0C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&lt;FdR&gt;">
    <vt:lpwstr>\P9_AMA(2023)0033(011-019)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.render.id">
    <vt:lpwstr>2358</vt:lpwstr>
  </property>
  <property fmtid="{D5CDD505-2E9C-101B-9397-08002B2CF9AE}" pid="7" name="dmxml.render.traceId">
    <vt:lpwstr>6408d680ec7ccef8ead64aed9dcd16f9</vt:lpwstr>
  </property>
  <property fmtid="{D5CDD505-2E9C-101B-9397-08002B2CF9AE}" pid="8" name="FooterPath">
    <vt:lpwstr>AM\P9_AMA(2023)0033(011-019)EN.docx</vt:lpwstr>
  </property>
  <property fmtid="{D5CDD505-2E9C-101B-9397-08002B2CF9AE}" pid="9" name="PE Number">
    <vt:lpwstr>744.069</vt:lpwstr>
  </property>
  <property fmtid="{D5CDD505-2E9C-101B-9397-08002B2CF9AE}" pid="10" name="UID">
    <vt:lpwstr>eu.europa.europarl-DIN1-2023-0000027372_01.00-en-01.00_text-xml</vt:lpwstr>
  </property>
</Properties>
</file>