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4751A" w:rsidRPr="00855332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E4751A" w:rsidRPr="00855332" w:rsidRDefault="004123EC" w:rsidP="00C85D0F">
            <w:pPr>
              <w:pStyle w:val="EPName"/>
            </w:pPr>
            <w:bookmarkStart w:id="0" w:name="_GoBack"/>
            <w:bookmarkEnd w:id="0"/>
            <w:r w:rsidRPr="00855332">
              <w:t>Evropský parlament</w:t>
            </w:r>
          </w:p>
          <w:p w:rsidR="00E4751A" w:rsidRPr="00855332" w:rsidRDefault="00F22C19" w:rsidP="00F22C19">
            <w:pPr>
              <w:pStyle w:val="EPTerm"/>
            </w:pPr>
            <w:r w:rsidRPr="00855332">
              <w:t>2019-2024</w:t>
            </w:r>
          </w:p>
        </w:tc>
        <w:tc>
          <w:tcPr>
            <w:tcW w:w="2268" w:type="dxa"/>
            <w:shd w:val="clear" w:color="auto" w:fill="auto"/>
          </w:tcPr>
          <w:p w:rsidR="00E4751A" w:rsidRPr="00855332" w:rsidRDefault="00E4751A" w:rsidP="00C85D0F">
            <w:pPr>
              <w:pStyle w:val="EPLogo"/>
            </w:pPr>
            <w:r w:rsidRPr="00855332">
              <w:rPr>
                <w:lang w:val="en-GB"/>
              </w:rPr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6B6" w:rsidRPr="00855332" w:rsidRDefault="000856B6" w:rsidP="000856B6">
      <w:pPr>
        <w:pStyle w:val="LineTop"/>
      </w:pPr>
    </w:p>
    <w:p w:rsidR="000856B6" w:rsidRPr="00855332" w:rsidRDefault="000856B6" w:rsidP="000856B6">
      <w:pPr>
        <w:pStyle w:val="EPBody"/>
      </w:pPr>
      <w:r w:rsidRPr="00855332">
        <w:rPr>
          <w:rStyle w:val="HideTWBExt"/>
          <w:noProof w:val="0"/>
        </w:rPr>
        <w:t>&lt;</w:t>
      </w:r>
      <w:r w:rsidRPr="00855332">
        <w:rPr>
          <w:rStyle w:val="HideTWBExt"/>
          <w:i w:val="0"/>
          <w:noProof w:val="0"/>
        </w:rPr>
        <w:t>Commission</w:t>
      </w:r>
      <w:r w:rsidRPr="00855332">
        <w:rPr>
          <w:rStyle w:val="HideTWBExt"/>
          <w:noProof w:val="0"/>
        </w:rPr>
        <w:t>&gt;</w:t>
      </w:r>
      <w:r w:rsidR="00F22C19" w:rsidRPr="00855332">
        <w:rPr>
          <w:rStyle w:val="HideTWBInt"/>
        </w:rPr>
        <w:t>{AFCO}</w:t>
      </w:r>
      <w:r w:rsidR="00F22C19" w:rsidRPr="00855332">
        <w:t>Výbor pro ústavní záležitosti</w:t>
      </w:r>
      <w:r w:rsidRPr="00855332">
        <w:rPr>
          <w:rStyle w:val="HideTWBExt"/>
          <w:noProof w:val="0"/>
        </w:rPr>
        <w:t>&lt;/</w:t>
      </w:r>
      <w:r w:rsidRPr="00855332">
        <w:rPr>
          <w:rStyle w:val="HideTWBExt"/>
          <w:i w:val="0"/>
          <w:noProof w:val="0"/>
        </w:rPr>
        <w:t>Commission</w:t>
      </w:r>
      <w:r w:rsidRPr="00855332">
        <w:rPr>
          <w:rStyle w:val="HideTWBExt"/>
          <w:noProof w:val="0"/>
        </w:rPr>
        <w:t>&gt;</w:t>
      </w:r>
    </w:p>
    <w:p w:rsidR="000856B6" w:rsidRPr="00855332" w:rsidRDefault="000856B6" w:rsidP="000856B6">
      <w:pPr>
        <w:pStyle w:val="LineBottom"/>
      </w:pPr>
    </w:p>
    <w:p w:rsidR="00D6787A" w:rsidRPr="00855332" w:rsidRDefault="00D6787A" w:rsidP="00D6787A">
      <w:pPr>
        <w:pStyle w:val="CoverReference"/>
      </w:pPr>
      <w:r w:rsidRPr="00855332">
        <w:rPr>
          <w:rStyle w:val="HideTWBExt"/>
          <w:b w:val="0"/>
          <w:noProof w:val="0"/>
        </w:rPr>
        <w:t>&lt;RefProc&gt;</w:t>
      </w:r>
      <w:r w:rsidR="00F22C19" w:rsidRPr="00855332">
        <w:t>2019/2207</w:t>
      </w:r>
      <w:r w:rsidR="00F22C19" w:rsidRPr="00855332">
        <w:rPr>
          <w:rStyle w:val="HideTWBExt"/>
          <w:b w:val="0"/>
          <w:noProof w:val="0"/>
        </w:rPr>
        <w:t>&lt;/RefProc&gt;&lt;RefTypeProc&gt;</w:t>
      </w:r>
      <w:r w:rsidR="00F22C19" w:rsidRPr="00855332">
        <w:t>(INI)</w:t>
      </w:r>
      <w:r w:rsidRPr="00855332">
        <w:rPr>
          <w:rStyle w:val="HideTWBExt"/>
          <w:b w:val="0"/>
          <w:noProof w:val="0"/>
        </w:rPr>
        <w:t>&lt;/RefTypeProc&gt;</w:t>
      </w:r>
    </w:p>
    <w:p w:rsidR="00D6787A" w:rsidRPr="00855332" w:rsidRDefault="00D6787A" w:rsidP="00D6787A">
      <w:pPr>
        <w:pStyle w:val="CoverDate"/>
      </w:pPr>
      <w:r w:rsidRPr="00855332">
        <w:rPr>
          <w:rStyle w:val="HideTWBExt"/>
          <w:noProof w:val="0"/>
        </w:rPr>
        <w:t>&lt;Date&gt;</w:t>
      </w:r>
      <w:r w:rsidR="00F22C19" w:rsidRPr="00855332">
        <w:t>28.9.2020</w:t>
      </w:r>
      <w:r w:rsidRPr="00855332">
        <w:rPr>
          <w:rStyle w:val="HideTWBExt"/>
          <w:noProof w:val="0"/>
        </w:rPr>
        <w:t>&lt;/Date&gt;</w:t>
      </w:r>
    </w:p>
    <w:p w:rsidR="001E51D4" w:rsidRPr="00855332" w:rsidRDefault="001E51D4" w:rsidP="001E51D4">
      <w:pPr>
        <w:pStyle w:val="CoverDocType"/>
      </w:pPr>
      <w:r w:rsidRPr="00855332">
        <w:rPr>
          <w:rStyle w:val="HideTWBExt"/>
          <w:b w:val="0"/>
          <w:noProof w:val="0"/>
        </w:rPr>
        <w:t>&lt;TypeAM&gt;</w:t>
      </w:r>
      <w:r w:rsidRPr="00855332">
        <w:t>POZMĚŇOVACÍ NÁVRHY</w:t>
      </w:r>
      <w:r w:rsidRPr="00855332">
        <w:rPr>
          <w:rStyle w:val="HideTWBExt"/>
          <w:b w:val="0"/>
          <w:noProof w:val="0"/>
        </w:rPr>
        <w:t>&lt;/TypeAM&gt;</w:t>
      </w:r>
    </w:p>
    <w:p w:rsidR="001E51D4" w:rsidRPr="00855332" w:rsidRDefault="001E51D4" w:rsidP="001E51D4">
      <w:pPr>
        <w:pStyle w:val="CoverDocType24a"/>
      </w:pPr>
      <w:r w:rsidRPr="00855332">
        <w:rPr>
          <w:rStyle w:val="HideTWBExt"/>
          <w:b w:val="0"/>
          <w:noProof w:val="0"/>
        </w:rPr>
        <w:t>&lt;RangeAM&gt;</w:t>
      </w:r>
      <w:r w:rsidRPr="00855332">
        <w:t>1 - 44</w:t>
      </w:r>
      <w:r w:rsidRPr="00855332">
        <w:rPr>
          <w:rStyle w:val="HideTWBExt"/>
          <w:b w:val="0"/>
          <w:noProof w:val="0"/>
        </w:rPr>
        <w:t>&lt;/RangeAM&gt;</w:t>
      </w:r>
    </w:p>
    <w:p w:rsidR="001E51D4" w:rsidRPr="00855332" w:rsidRDefault="001E51D4" w:rsidP="001E51D4">
      <w:pPr>
        <w:pStyle w:val="CoverBold"/>
      </w:pPr>
      <w:r w:rsidRPr="00855332">
        <w:rPr>
          <w:rStyle w:val="HideTWBExt"/>
          <w:b w:val="0"/>
          <w:noProof w:val="0"/>
        </w:rPr>
        <w:t>&lt;TitreType&gt;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&lt;/TitreType&gt;</w:t>
      </w:r>
    </w:p>
    <w:p w:rsidR="001E51D4" w:rsidRPr="00855332" w:rsidRDefault="001E51D4" w:rsidP="001E51D4">
      <w:pPr>
        <w:pStyle w:val="CoverBold"/>
      </w:pPr>
      <w:r w:rsidRPr="00855332">
        <w:rPr>
          <w:rStyle w:val="HideTWBExt"/>
          <w:b w:val="0"/>
          <w:noProof w:val="0"/>
        </w:rPr>
        <w:t>&lt;Rapporteur&gt;</w:t>
      </w:r>
      <w:r w:rsidRPr="00855332">
        <w:t>Paulo Rangel</w:t>
      </w:r>
      <w:r w:rsidRPr="00855332">
        <w:rPr>
          <w:rStyle w:val="HideTWBExt"/>
          <w:b w:val="0"/>
          <w:noProof w:val="0"/>
        </w:rPr>
        <w:t>&lt;/Rapporteur&gt;</w:t>
      </w:r>
    </w:p>
    <w:p w:rsidR="001E51D4" w:rsidRPr="00855332" w:rsidRDefault="001E51D4" w:rsidP="001E51D4">
      <w:pPr>
        <w:pStyle w:val="CoverNormal24a"/>
      </w:pPr>
      <w:r w:rsidRPr="00855332">
        <w:rPr>
          <w:rStyle w:val="HideTWBExt"/>
          <w:noProof w:val="0"/>
        </w:rPr>
        <w:t>&lt;DocRefPE&gt;</w:t>
      </w:r>
      <w:r w:rsidRPr="00855332">
        <w:t>(PE648.270v01-00)</w:t>
      </w:r>
      <w:r w:rsidRPr="00855332">
        <w:rPr>
          <w:rStyle w:val="HideTWBExt"/>
          <w:noProof w:val="0"/>
        </w:rPr>
        <w:t>&lt;/DocRefPE&gt;</w:t>
      </w:r>
    </w:p>
    <w:p w:rsidR="001E51D4" w:rsidRPr="00855332" w:rsidRDefault="001E51D4" w:rsidP="001E51D4">
      <w:pPr>
        <w:pStyle w:val="CoverNormal"/>
      </w:pPr>
      <w:r w:rsidRPr="00855332">
        <w:rPr>
          <w:rStyle w:val="HideTWBExt"/>
          <w:noProof w:val="0"/>
        </w:rPr>
        <w:t>&lt;Titre&gt;</w:t>
      </w:r>
      <w:r w:rsidRPr="00855332">
        <w:t>Provádění evropského zatýkacího rozkazu a postupy předávání mezi členskými státy</w:t>
      </w:r>
      <w:r w:rsidRPr="00855332">
        <w:rPr>
          <w:rStyle w:val="HideTWBExt"/>
          <w:noProof w:val="0"/>
        </w:rPr>
        <w:t>&lt;/Titre&gt;</w:t>
      </w:r>
    </w:p>
    <w:p w:rsidR="001E51D4" w:rsidRPr="00855332" w:rsidRDefault="001E51D4" w:rsidP="001E51D4">
      <w:pPr>
        <w:pStyle w:val="CoverNormal24a"/>
      </w:pPr>
      <w:r w:rsidRPr="00855332">
        <w:rPr>
          <w:rStyle w:val="HideTWBExt"/>
          <w:noProof w:val="0"/>
        </w:rPr>
        <w:t>&lt;DocRef&gt;</w:t>
      </w:r>
      <w:r w:rsidRPr="00855332">
        <w:t>(2019/2207(INI))</w:t>
      </w:r>
      <w:r w:rsidRPr="00855332">
        <w:rPr>
          <w:rStyle w:val="HideTWBExt"/>
          <w:noProof w:val="0"/>
        </w:rPr>
        <w:t>&lt;/DocRef&gt;</w:t>
      </w:r>
    </w:p>
    <w:p w:rsidR="001E51D4" w:rsidRPr="00855332" w:rsidRDefault="001E51D4" w:rsidP="001E51D4">
      <w:pPr>
        <w:widowControl/>
        <w:tabs>
          <w:tab w:val="center" w:pos="4677"/>
        </w:tabs>
      </w:pPr>
      <w:r w:rsidRPr="00855332">
        <w:br w:type="page"/>
      </w:r>
      <w:r w:rsidRPr="00855332">
        <w:lastRenderedPageBreak/>
        <w:t>AM_Com_NonLegOpinion</w:t>
      </w:r>
    </w:p>
    <w:p w:rsidR="001E51D4" w:rsidRPr="00855332" w:rsidRDefault="001E51D4" w:rsidP="001E51D4">
      <w:pPr>
        <w:pStyle w:val="AmNumberTabs"/>
        <w:keepNext/>
      </w:pPr>
      <w:r w:rsidRPr="00855332">
        <w:br w:type="page"/>
      </w:r>
      <w:r w:rsidRPr="00855332">
        <w:rPr>
          <w:rStyle w:val="HideTWBExt"/>
          <w:b w:val="0"/>
          <w:noProof w:val="0"/>
        </w:rPr>
        <w:lastRenderedPageBreak/>
        <w:t>&lt;RepeatBlock-Amend&gt;</w:t>
      </w:r>
      <w:bookmarkStart w:id="1" w:name="restart"/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1</w:t>
      </w:r>
      <w:r w:rsidRPr="00855332">
        <w:rPr>
          <w:rStyle w:val="HideTWBExt"/>
          <w:b w:val="0"/>
          <w:noProof w:val="0"/>
        </w:rPr>
        <w:t>&lt;/NumAm&gt;</w:t>
      </w:r>
      <w:bookmarkEnd w:id="1"/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Paulo Rangel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odůvodnění -A (nový)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rPr>
                <w:b/>
                <w:i/>
                <w:szCs w:val="22"/>
              </w:rPr>
              <w:t>-A.</w:t>
            </w:r>
            <w:r w:rsidRPr="00855332">
              <w:rPr>
                <w:sz w:val="32"/>
              </w:rPr>
              <w:t xml:space="preserve"> </w:t>
            </w:r>
            <w:r w:rsidRPr="00855332">
              <w:rPr>
                <w:sz w:val="32"/>
              </w:rPr>
              <w:tab/>
            </w:r>
            <w:r w:rsidRPr="00855332">
              <w:rPr>
                <w:b/>
                <w:i/>
                <w:szCs w:val="22"/>
              </w:rPr>
              <w:t>vzhledem k tomu, že vazba mezi evropským zatýkacím rozkazem a občanstvím EU je logickým důsledkem volného pohybu osob založeného na zásadě vzájemného uznávání, podle níž je vzájemná důvěra mezi členskými státy nezbytnou podmínkou pro jeho účinné fungování, a řídí se zásadou všeobecného dodržování základních práv stanovených v SEU a v Listině základních práv Evropské unie;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2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Paulo Rangel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odůvodnění -A (nový)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rPr>
                <w:b/>
                <w:i/>
              </w:rPr>
              <w:t>-Aa.</w:t>
            </w:r>
            <w:r w:rsidRPr="00855332">
              <w:rPr>
                <w:sz w:val="32"/>
              </w:rPr>
              <w:t xml:space="preserve"> </w:t>
            </w:r>
            <w:r w:rsidRPr="00855332">
              <w:rPr>
                <w:sz w:val="32"/>
              </w:rPr>
              <w:tab/>
            </w:r>
            <w:r w:rsidRPr="00855332">
              <w:rPr>
                <w:b/>
                <w:i/>
              </w:rPr>
              <w:t>vzhledem k tomu, že orgány Spojeného království jsou odpovědné za vydávání a vykonávání značného počtu evropských zatýkacích rozkazů; vzhledem k tomu, že v politickém prohlášení o budoucích vztazích se uvádí, že mezi Spojeným královstvím a EU „bude ustanovena komplexní, úzká, vyvážená a vzájemná spolupráce v oblasti vymáhání práva a justiční spolupráce v trestních věcech“; vzhledem k tomu, že se stále jedná o nových ujednáních o spolupráci v oblasti trestního soudnictví mezi EU a Spojeným královstvím;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lastRenderedPageBreak/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3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Paulo Rangel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odůvodnění -A b (nový)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rPr>
                <w:b/>
                <w:i/>
              </w:rPr>
              <w:t>-Ab.</w:t>
            </w:r>
            <w:r w:rsidRPr="00855332">
              <w:rPr>
                <w:sz w:val="32"/>
              </w:rPr>
              <w:t xml:space="preserve"> </w:t>
            </w:r>
            <w:r w:rsidRPr="00855332">
              <w:rPr>
                <w:sz w:val="32"/>
              </w:rPr>
              <w:tab/>
            </w:r>
            <w:r w:rsidRPr="00855332">
              <w:rPr>
                <w:b/>
                <w:i/>
              </w:rPr>
              <w:t>vzhledem k tomu, že s vystoupením Spojeného království z EU se stávají čl. 10 odst. 4 a článek 5 protokolu 36 SEU zastaralými;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4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Paulo Rangel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 xml:space="preserve">Bod -1 (nový) 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rPr>
                <w:b/>
                <w:i/>
              </w:rPr>
              <w:t>-1.</w:t>
            </w:r>
            <w:r w:rsidRPr="00855332">
              <w:rPr>
                <w:sz w:val="32"/>
              </w:rPr>
              <w:t xml:space="preserve"> </w:t>
            </w:r>
            <w:r w:rsidRPr="00855332">
              <w:rPr>
                <w:sz w:val="32"/>
              </w:rPr>
              <w:tab/>
            </w:r>
            <w:r w:rsidRPr="00855332">
              <w:rPr>
                <w:b/>
                <w:i/>
              </w:rPr>
              <w:t>připomíná, že rámcové rozhodnutí o evropském zatýkacím rozkazu (dále jen „rámcové rozhodnutí“), které zavedlo jeden z nejstarších nástrojů založených na vzájemném uznávání v trestních věcech, přispělo k urychlení postupů předávání ve srovnání s tradičními systémy spolupráce při vydávání osob mezi různými jurisdikcemi;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5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Fabio Massimo Castaldo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1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 xml:space="preserve">1. </w:t>
            </w:r>
            <w:r w:rsidRPr="00855332">
              <w:tab/>
              <w:t xml:space="preserve">uznává, že provádění rámcového rozhodnutí o evropském zatýkacím rozkazu (dále jen „rámcové rozhodnutí“) </w:t>
            </w:r>
            <w:r w:rsidRPr="00855332">
              <w:rPr>
                <w:b/>
                <w:i/>
              </w:rPr>
              <w:t>zatěžuje právní systémy mnoha členských států</w:t>
            </w:r>
            <w:r w:rsidRPr="00855332">
              <w:t xml:space="preserve">; konstatuje, že </w:t>
            </w:r>
            <w:r w:rsidRPr="00855332">
              <w:rPr>
                <w:b/>
                <w:i/>
              </w:rPr>
              <w:t>rámcové</w:t>
            </w:r>
            <w:r w:rsidRPr="00855332">
              <w:t xml:space="preserve"> rozhodnutí odhalilo výrazné rozdíly v hmotném a procesním trestním právu, které panují mezi členskými státy;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t xml:space="preserve">1. </w:t>
            </w:r>
            <w:r w:rsidRPr="00855332">
              <w:tab/>
              <w:t xml:space="preserve">uznává, že provádění rámcového rozhodnutí o evropském zatýkacím rozkazu (dále jen „rámcové rozhodnutí“) </w:t>
            </w:r>
            <w:r w:rsidRPr="00855332">
              <w:rPr>
                <w:b/>
                <w:i/>
              </w:rPr>
              <w:t>je základním kamenem evropského prostoru svobody, bezpečnosti a práva; uznává, že jeho správné provádění má klíčový význam pro zajištění bezproblémové spolupráce mezi donucovacími orgány;</w:t>
            </w:r>
            <w:r w:rsidRPr="00855332">
              <w:t xml:space="preserve"> konstatuje</w:t>
            </w:r>
            <w:r w:rsidRPr="00855332">
              <w:rPr>
                <w:b/>
                <w:i/>
              </w:rPr>
              <w:t xml:space="preserve"> však</w:t>
            </w:r>
            <w:r w:rsidRPr="00855332">
              <w:t xml:space="preserve">, že </w:t>
            </w:r>
            <w:r w:rsidRPr="00855332">
              <w:rPr>
                <w:b/>
                <w:i/>
              </w:rPr>
              <w:t>provádění rámcového</w:t>
            </w:r>
            <w:r w:rsidRPr="00855332">
              <w:t xml:space="preserve"> rozhodnutí odhalilo výrazné rozdíly v hmotném a procesním trestním právu, které panují mezi členskými státy</w:t>
            </w:r>
            <w:r w:rsidRPr="00855332">
              <w:rPr>
                <w:b/>
                <w:i/>
              </w:rPr>
              <w:t xml:space="preserve"> a brání bezproblémovému provádění tohoto nástroje a v konečném důsledku i boji proti závažné trestné činnosti v celé EU</w:t>
            </w:r>
            <w:r w:rsidRPr="00855332">
              <w:t>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6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Paulo Rangel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1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rPr>
                <w:szCs w:val="24"/>
              </w:rPr>
              <w:t xml:space="preserve">1. </w:t>
            </w:r>
            <w:r w:rsidRPr="00855332">
              <w:rPr>
                <w:szCs w:val="24"/>
              </w:rPr>
              <w:tab/>
              <w:t>uznává, že provádění rámcového rozhodnutí o evropském zatýkacím rozkazu (dále jen „rámcové rozhodnutí“) zatěžuje právní systémy mnoha členských států; konstatuje, že rámcové rozhodnutí odhalilo výrazné rozdíly v hmotném a procesním trestním právu, které panují mezi členskými státy;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rPr>
                <w:szCs w:val="24"/>
              </w:rPr>
              <w:t xml:space="preserve">1. </w:t>
            </w:r>
            <w:r w:rsidRPr="00855332">
              <w:rPr>
                <w:szCs w:val="24"/>
              </w:rPr>
              <w:tab/>
              <w:t>uznává, že provádění rámcového rozhodnutí o evropském zatýkacím rozkazu (dále jen „rámcové rozhodnutí“) zatěžuje právní systémy mnoha členských států</w:t>
            </w:r>
            <w:r w:rsidRPr="00855332">
              <w:rPr>
                <w:b/>
                <w:i/>
                <w:szCs w:val="24"/>
              </w:rPr>
              <w:t>, zejména pokud jde o vydávání jejich vlastních státních příslušníků</w:t>
            </w:r>
            <w:r w:rsidRPr="00855332">
              <w:rPr>
                <w:szCs w:val="24"/>
              </w:rPr>
              <w:t>;</w:t>
            </w:r>
            <w:r w:rsidRPr="00855332">
              <w:rPr>
                <w:b/>
                <w:i/>
                <w:szCs w:val="24"/>
              </w:rPr>
              <w:t xml:space="preserve"> </w:t>
            </w:r>
            <w:r w:rsidRPr="00855332">
              <w:rPr>
                <w:szCs w:val="24"/>
              </w:rPr>
              <w:t>konstatuje, že rámcové rozhodnutí odhalilo výrazné rozdíly v hmotném a procesním trestním právu, které panují mezi členskými státy;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7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Gwendoline Delbos-Corfield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1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 xml:space="preserve">1. </w:t>
            </w:r>
            <w:r w:rsidRPr="00855332">
              <w:tab/>
              <w:t>uznává, že provádění rámcového rozhodnutí o evropském zatýkacím rozkazu (dále jen „rámcové rozhodnutí“) zatěžuje právní systémy mnoha členských států; konstatuje, že rámcové rozhodnutí odhalilo výrazné rozdíly v hmotném a procesním trestním právu, které panují mezi členskými státy;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t xml:space="preserve">1. </w:t>
            </w:r>
            <w:r w:rsidRPr="00855332">
              <w:tab/>
              <w:t xml:space="preserve">uznává, že provádění rámcového rozhodnutí o evropském zatýkacím rozkazu (dále jen „rámcové rozhodnutí“) zatěžuje právní systémy mnoha členských států; konstatuje, že rámcové rozhodnutí odhalilo výrazné rozdíly v hmotném a procesním trestním právu, které panují mezi členskými státy; </w:t>
            </w:r>
            <w:r w:rsidRPr="00855332">
              <w:rPr>
                <w:b/>
                <w:i/>
              </w:rPr>
              <w:t>domnívá se, že s přeshraničním rozměrem rostoucího počtu trestných činů, včetně trestných činů souvisejících s korupcí, nedovoleným obchodem, kybernetickou kriminalitou, poškozováním životního prostředí a násilím na základě pohlaví, roste i význam dodržování zásad právního státu a základních práv ze strany členských států, zejména pokud jde o procesní práva;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8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Giuliano Pisapia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1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rPr>
                <w:b/>
                <w:i/>
              </w:rPr>
              <w:t>1.</w:t>
            </w:r>
            <w:r w:rsidRPr="00855332">
              <w:tab/>
            </w:r>
            <w:r w:rsidRPr="00855332">
              <w:rPr>
                <w:b/>
                <w:i/>
              </w:rPr>
              <w:t>uznává</w:t>
            </w:r>
            <w:r w:rsidRPr="00855332">
              <w:t xml:space="preserve">, že </w:t>
            </w:r>
            <w:r w:rsidRPr="00855332">
              <w:rPr>
                <w:b/>
                <w:i/>
              </w:rPr>
              <w:t>provádění rámcového</w:t>
            </w:r>
            <w:r w:rsidRPr="00855332">
              <w:t xml:space="preserve"> rozhodnutí o evropském zatýkacím rozkazu (dále jen „rámcové rozhodnutí“) </w:t>
            </w:r>
            <w:r w:rsidRPr="00855332">
              <w:rPr>
                <w:b/>
                <w:i/>
              </w:rPr>
              <w:t>zatěžuje právní systémy mnoha členských států</w:t>
            </w:r>
            <w:r w:rsidRPr="00855332">
              <w:t>;</w:t>
            </w:r>
            <w:r w:rsidRPr="00855332">
              <w:rPr>
                <w:b/>
                <w:i/>
              </w:rPr>
              <w:t xml:space="preserve"> konstatuje</w:t>
            </w:r>
            <w:r w:rsidRPr="00855332">
              <w:t xml:space="preserve">, že rámcové rozhodnutí odhalilo výrazné rozdíly v hmotném a procesním trestním právu, které </w:t>
            </w:r>
            <w:r w:rsidRPr="00855332">
              <w:rPr>
                <w:b/>
                <w:i/>
              </w:rPr>
              <w:t xml:space="preserve">panují </w:t>
            </w:r>
            <w:r w:rsidRPr="00855332">
              <w:t>mezi členskými státy;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rPr>
                <w:b/>
                <w:i/>
              </w:rPr>
            </w:pPr>
            <w:r w:rsidRPr="00855332">
              <w:t>1.</w:t>
            </w:r>
            <w:r w:rsidRPr="00855332">
              <w:tab/>
            </w:r>
            <w:r w:rsidRPr="00855332">
              <w:rPr>
                <w:b/>
                <w:i/>
              </w:rPr>
              <w:t>je přesvědčen</w:t>
            </w:r>
            <w:r w:rsidRPr="00855332">
              <w:t xml:space="preserve">, že </w:t>
            </w:r>
            <w:r w:rsidRPr="00855332">
              <w:rPr>
                <w:b/>
                <w:i/>
              </w:rPr>
              <w:t>rámcové</w:t>
            </w:r>
            <w:r w:rsidRPr="00855332">
              <w:t xml:space="preserve"> rozhodnutí o evropském zatýkacím rozkazu (dále jen „rámcové rozhodnutí“) </w:t>
            </w:r>
            <w:r w:rsidRPr="00855332">
              <w:rPr>
                <w:b/>
                <w:i/>
              </w:rPr>
              <w:t>je úspěšným nástrojem justiční spolupráce, který vedl ke značnému zjednodušení a urychlení postupů předávání mezi členskými státy EU</w:t>
            </w:r>
            <w:r w:rsidRPr="00855332">
              <w:t>;</w:t>
            </w:r>
            <w:r w:rsidRPr="00855332">
              <w:rPr>
                <w:b/>
                <w:i/>
              </w:rPr>
              <w:t xml:space="preserve"> uznává však</w:t>
            </w:r>
            <w:r w:rsidRPr="00855332">
              <w:t xml:space="preserve">, že rámcové rozhodnutí </w:t>
            </w:r>
            <w:r w:rsidRPr="00855332">
              <w:rPr>
                <w:b/>
                <w:i/>
              </w:rPr>
              <w:t xml:space="preserve">zatěžuje právní systémy mnoha členských států a </w:t>
            </w:r>
            <w:r w:rsidRPr="00855332">
              <w:t>odhalilo výrazné rozdíly v hmotném a procesním trestním právu, které mezi členskými státy</w:t>
            </w:r>
            <w:r w:rsidRPr="00855332">
              <w:rPr>
                <w:b/>
                <w:i/>
              </w:rPr>
              <w:t xml:space="preserve"> panují</w:t>
            </w:r>
            <w:r w:rsidRPr="00855332">
              <w:t>;</w:t>
            </w:r>
            <w:r w:rsidRPr="00855332">
              <w:rPr>
                <w:b/>
                <w:i/>
              </w:rPr>
              <w:t xml:space="preserve"> zdůrazňuje, že je třeba zlepšit uplatňování rámcového rozhodnutí, což zahrnuje: </w:t>
            </w:r>
          </w:p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rPr>
                <w:b/>
                <w:i/>
              </w:rPr>
              <w:t>– další harmonizaci procesních práv podezřelých osob, včetně práva na spravedlivý proces a práva na obhajobu, zásady „ne bis in idem“ a pravidel výkonu zatýkacího rozkazu, pokud je osoba, na kterou se evropský zatýkací rozkaz vztahuje, nezletilá a vzhledem ke svému věku nemůže být podle práva vykonávajícího státu trestně odpovědná za jednání,  pro které je tento zatýkací rozkaz vydán; a</w:t>
            </w:r>
            <w:r w:rsidRPr="00855332">
              <w:rPr>
                <w:b/>
                <w:i/>
              </w:rPr>
              <w:br/>
              <w:t>– cílené změny rámcového rozhodnutí, které byly zdůrazněny již v usnesení Evropského parlamentu ze dne 27. února 2014 obsahujícím doporučení Komisi o přezkumu evropského zatýkacího rozkazu, jako je zahrnutí jednoznačné definice „justičního orgánu“ a zavedení povinného důvodu pro odmítnutí, pokud existují závažné důvody domnívat se, že provedení opatření by bylo neslučitelné s plněním povinností vykonávajícího členského státu podle článku 6 SEU a Listiny základních práv Evropské unie;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9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Paulo Rangel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1 a (nový)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rPr>
                <w:b/>
                <w:i/>
                <w:szCs w:val="22"/>
              </w:rPr>
              <w:t>1a.</w:t>
            </w:r>
            <w:r w:rsidRPr="00855332">
              <w:rPr>
                <w:sz w:val="28"/>
              </w:rPr>
              <w:t xml:space="preserve"> </w:t>
            </w:r>
            <w:r w:rsidRPr="00855332">
              <w:rPr>
                <w:sz w:val="28"/>
              </w:rPr>
              <w:tab/>
            </w:r>
            <w:r w:rsidRPr="00855332">
              <w:rPr>
                <w:b/>
                <w:i/>
                <w:szCs w:val="22"/>
              </w:rPr>
              <w:t>zdůrazňuje, že s účinným ukončením přechodných opatření v oblasti spravedlnosti a vnitřních věcí v souladu s hlavou VII protokolu 36 SEU se zvyšuje odpovědnost členských států v souladu s jejich povinností loajální spolupráce zakotvenou v čl. 4 odst. 3 SEU zdržet se přijímání jakýchkoli opatření, která by ohrozila dosažení cílů Unie, včetně cílů stanovených v článku 3 SEU;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10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Geert Bourgeois, Assita Kanko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2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>2.</w:t>
            </w:r>
            <w:r w:rsidRPr="00855332">
              <w:rPr>
                <w:szCs w:val="24"/>
              </w:rPr>
              <w:t xml:space="preserve"> </w:t>
            </w:r>
            <w:r w:rsidRPr="00855332">
              <w:rPr>
                <w:szCs w:val="24"/>
              </w:rPr>
              <w:tab/>
            </w:r>
            <w:r w:rsidRPr="00855332">
              <w:t>trvá na tom, že členské státy jsou odpovědné za zajištění vysoké úrovně vzájemné důvěry, která je podmíněna jejich závazkem respektovat Smlouvy, Listinu základních práv a právní předpisy EU, jakož i dodržováním unijních hodnot – i pokud jde o úctu k právnímu státu (článek 2 SEU) – ze strany jejich orgánů;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t>2.</w:t>
            </w:r>
            <w:r w:rsidRPr="00855332">
              <w:rPr>
                <w:szCs w:val="24"/>
              </w:rPr>
              <w:t xml:space="preserve"> </w:t>
            </w:r>
            <w:r w:rsidRPr="00855332">
              <w:rPr>
                <w:szCs w:val="24"/>
              </w:rPr>
              <w:tab/>
            </w:r>
            <w:r w:rsidRPr="00855332">
              <w:t xml:space="preserve">trvá na tom, že členské státy jsou odpovědné za zajištění vysoké úrovně vzájemné důvěry, která je podmíněna jejich závazkem respektovat Smlouvy, Listinu základních práv a právní předpisy EU, jakož i dodržováním unijních hodnot – i pokud jde o úctu k právnímu státu (článek 2 SEU) – ze strany jejich orgánů; </w:t>
            </w:r>
            <w:r w:rsidRPr="00855332">
              <w:rPr>
                <w:b/>
                <w:i/>
              </w:rPr>
              <w:t>zdůrazňuje, že zásada vzájemného uznávání, na níž je systém evropského zatýkacího rozkazu založen, je založena na vzájemné důvěře mezi členskými státy v to, že jejich vnitrostátní právní systémy jsou schopny zajistit rovnocennou a účinnou ochranu základních práv uznaných na úrovni EU, zejména v Listině základních práv Evropské unie;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11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Giuliano Pisapia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2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rPr>
                <w:szCs w:val="24"/>
              </w:rPr>
              <w:t>2.</w:t>
            </w:r>
            <w:r w:rsidRPr="00855332">
              <w:rPr>
                <w:szCs w:val="24"/>
              </w:rPr>
              <w:tab/>
            </w:r>
            <w:r w:rsidRPr="00855332">
              <w:t>trvá na tom, že členské státy jsou odpovědné za zajištění vysoké úrovně vzájemné důvěry, která je podmíněna jejich závazkem respektovat Smlouvy, Listinu základních práv a právní předpisy EU, jakož i dodržováním unijních hodnot – i pokud jde o úctu k právnímu státu (článek 2 SEU) – ze strany jejich orgánů;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rPr>
                <w:szCs w:val="24"/>
              </w:rPr>
              <w:t>2.</w:t>
            </w:r>
            <w:r w:rsidRPr="00855332">
              <w:rPr>
                <w:szCs w:val="24"/>
              </w:rPr>
              <w:tab/>
            </w:r>
            <w:r w:rsidRPr="00855332">
              <w:t xml:space="preserve">trvá na tom, že členské státy jsou odpovědné za zajištění vysoké úrovně vzájemné důvěry, která je podmíněna jejich závazkem respektovat Smlouvy, Listinu základních práv a právní předpisy EU, jakož i dodržováním unijních hodnot – i pokud jde o úctu k právnímu státu a dodržování základních práv (články 2 a 6 SEU) – ze strany jejich orgánů; </w:t>
            </w:r>
            <w:r w:rsidRPr="00855332">
              <w:rPr>
                <w:b/>
                <w:i/>
              </w:rPr>
              <w:t>zdůrazňuje, že znepokojení nad nedostatečnou nezávislosti vnitrostátních soudních orgánů a nedodržování evropských a mezinárodních norem týkajících se podmínek zadržování v některých členských státech přispěly k oslabení vzájemné důvěry v posledních letech; bere na vědomí podstatný vývoj judikatury Soudního dvora Evropské unie, pokud jde o uplatňování rámcového rozhodnutí, a zejména pokud jde o souvislost mezi výkonem evropských zatýkacích rozkazů a dodržováním zásad právního státu a základních práv; vyzývá Evropskou komisi, aby aktualizovala svou „Příručku k vydávání a výkonu evropského zatýkacího rozkazu“ s cílem zohlednit tento vývoj a poskytnout další pokyny týkající se evropských zatýkacích rozkazů vydaných členskými státy, na něž se vztahuje probíhající postup podle článku 7 SEU; vyzývá Komisi, aby tyto pokyny zahrnula do své nadcházející první výroční zprávy o právním státu;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12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Paulo Rangel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2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rPr>
                <w:szCs w:val="24"/>
              </w:rPr>
              <w:t>2.</w:t>
            </w:r>
            <w:r w:rsidRPr="00855332">
              <w:t xml:space="preserve"> </w:t>
            </w:r>
            <w:r w:rsidRPr="00855332">
              <w:tab/>
            </w:r>
            <w:r w:rsidRPr="00855332">
              <w:rPr>
                <w:szCs w:val="24"/>
              </w:rPr>
              <w:t>trvá na tom, že členské státy jsou odpovědné za zajištění vysoké úrovně vzájemné důvěry, která je podmíněna jejich závazkem respektovat Smlouvy, Listinu základních práv a právní předpisy EU, jakož i dodržováním unijních hodnot – i pokud jde o úctu k právnímu státu (článek 2 SEU) – ze strany jejich orgánů;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rPr>
                <w:szCs w:val="24"/>
              </w:rPr>
              <w:t>2.</w:t>
            </w:r>
            <w:r w:rsidRPr="00855332">
              <w:t xml:space="preserve"> </w:t>
            </w:r>
            <w:r w:rsidRPr="00855332">
              <w:tab/>
            </w:r>
            <w:r w:rsidRPr="00855332">
              <w:rPr>
                <w:szCs w:val="24"/>
              </w:rPr>
              <w:t xml:space="preserve">trvá na tom, že členské státy jsou odpovědné za zajištění vysoké úrovně vzájemné důvěry, která je podmíněna jejich závazkem respektovat Smlouvy, Listinu základních práv a právní předpisy EU, jakož i dodržováním unijních hodnot – i pokud jde o úctu k právnímu státu (článek 2 SEU) – ze strany jejich orgánů; </w:t>
            </w:r>
            <w:r w:rsidRPr="00855332">
              <w:rPr>
                <w:b/>
                <w:i/>
                <w:szCs w:val="24"/>
              </w:rPr>
              <w:t>pokud jde o evropský zatýkací rozkaz, členské státy mají proto povinnost zajistit vysokou úroveň ochrany procesních a základních práv, jakož i nezávislost svého soudnictví, aby se zaručila účinná právní ochrana, což jsou zásady, které byly potvrzeny nedávnou judikaturou Soudního dvora EU;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13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Fabio Massimo Castaldo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2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 xml:space="preserve">2. </w:t>
            </w:r>
            <w:r w:rsidRPr="00855332">
              <w:tab/>
              <w:t>trvá na tom, že členské státy jsou odpovědné za zajištění vysoké úrovně vzájemné důvěry, která je podmíněna jejich závazkem respektovat Smlouvy, Listinu základních práv a právní předpisy EU, jakož i dodržováním unijních hodnot – i pokud jde o úctu k právnímu státu (článek 2 SEU) – ze strany jejich orgánů;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t xml:space="preserve">2. </w:t>
            </w:r>
            <w:r w:rsidRPr="00855332">
              <w:tab/>
            </w:r>
            <w:r w:rsidRPr="00855332">
              <w:rPr>
                <w:b/>
                <w:i/>
                <w:szCs w:val="24"/>
              </w:rPr>
              <w:t>konstatuje, že z důvodu nedostatečné důvěry mezi členskými státy dosud nebylo dosaženo plného potenciálu provádění evropského zatýkacího rozkazu;</w:t>
            </w:r>
            <w:r w:rsidRPr="00855332">
              <w:rPr>
                <w:szCs w:val="24"/>
              </w:rPr>
              <w:t xml:space="preserve"> trvá na tom, že členské státy jsou odpovědné za zajištění vysoké úrovně vzájemné důvěry, která je podmíněna jejich závazkem respektovat Smlouvy, Listinu základních práv a právní předpisy EU, jakož i dodržováním unijních hodnot – i pokud jde o úctu k právnímu státu (článek 2 SEU) – ze strany jejich orgánů;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14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Pascal Durand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2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 xml:space="preserve">2. </w:t>
            </w:r>
            <w:r w:rsidRPr="00855332">
              <w:tab/>
              <w:t xml:space="preserve">trvá na tom, že členské státy </w:t>
            </w:r>
            <w:r w:rsidRPr="00855332">
              <w:rPr>
                <w:b/>
                <w:i/>
              </w:rPr>
              <w:t>jsou odpovědné za zajištění vysoké úrovně</w:t>
            </w:r>
            <w:r w:rsidRPr="00855332">
              <w:t xml:space="preserve"> vzájemné důvěry, která je podmíněna jejich závazkem respektovat Smlouvy, Listinu základních práv a právní předpisy EU, jakož i dodržováním unijních hodnot – i pokud jde o úctu k právnímu státu (článek 2 SEU) – ze strany jejich orgánů;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t xml:space="preserve">2. </w:t>
            </w:r>
            <w:r w:rsidRPr="00855332">
              <w:tab/>
              <w:t xml:space="preserve">trvá na tom, že členské státy </w:t>
            </w:r>
            <w:r w:rsidRPr="00855332">
              <w:rPr>
                <w:b/>
                <w:i/>
              </w:rPr>
              <w:t>jsou povinny zajistit vysokou úroveň</w:t>
            </w:r>
            <w:r w:rsidRPr="00855332">
              <w:t xml:space="preserve"> vzájemné důvěry, která je podmíněna jejich závazkem respektovat Smlouvy</w:t>
            </w:r>
            <w:r w:rsidRPr="00855332">
              <w:rPr>
                <w:b/>
                <w:i/>
              </w:rPr>
              <w:t>, zejména čl. 4 odst. 3 SEU</w:t>
            </w:r>
            <w:r w:rsidRPr="00855332">
              <w:t>, Listinu základních práv a právní předpisy EU, jakož i dodržováním unijních hodnot – i pokud jde o úctu k právnímu státu (článek 2 SEU) – ze strany jejich orgánů;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15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Leila Chaibi, Helmut Scholz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2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>2.</w:t>
            </w:r>
            <w:r w:rsidRPr="00855332">
              <w:tab/>
              <w:t>trvá na tom, že členské státy jsou odpovědné za zajištění vysoké úrovně vzájemné důvěry, která je podmíněna jejich závazkem respektovat Smlouvy, Listinu základních práv a právní předpisy EU, jakož i dodržováním unijních hodnot – i pokud jde o úctu k právnímu státu (článek 2 SEU) – ze strany jejich orgánů;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rPr>
                <w:szCs w:val="24"/>
              </w:rPr>
              <w:t>2.</w:t>
            </w:r>
            <w:r w:rsidRPr="00855332">
              <w:rPr>
                <w:szCs w:val="24"/>
              </w:rPr>
              <w:tab/>
              <w:t xml:space="preserve">trvá na tom, že členské státy jsou odpovědné za zajištění vysoké úrovně vzájemné důvěry, která je podmíněna jejich závazkem respektovat Smlouvy, Listinu základních práv a právní předpisy EU, jakož i dodržováním unijních hodnot – i pokud jde o úctu k právnímu státu (článek 2 SEU) – ze strany jejich orgánů; </w:t>
            </w:r>
            <w:r w:rsidRPr="00855332">
              <w:rPr>
                <w:b/>
                <w:i/>
                <w:szCs w:val="24"/>
              </w:rPr>
              <w:t>v této souvislosti zdůrazňuje potřebu nezávislosti soudních orgánů;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16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Jorge Buxadé Villalba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2 a (nový)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</w:p>
        </w:tc>
        <w:tc>
          <w:tcPr>
            <w:tcW w:w="4876" w:type="dxa"/>
          </w:tcPr>
          <w:p w:rsidR="001E51D4" w:rsidRPr="00855332" w:rsidRDefault="001E51D4" w:rsidP="00C616E8">
            <w:pPr>
              <w:pStyle w:val="Normal6a"/>
              <w:rPr>
                <w:i/>
                <w:szCs w:val="24"/>
              </w:rPr>
            </w:pPr>
            <w:r w:rsidRPr="00855332">
              <w:rPr>
                <w:b/>
                <w:i/>
                <w:szCs w:val="24"/>
              </w:rPr>
              <w:t>2a</w:t>
            </w:r>
            <w:r w:rsidR="00C616E8" w:rsidRPr="00855332">
              <w:rPr>
                <w:b/>
                <w:i/>
                <w:szCs w:val="24"/>
              </w:rPr>
              <w:t>.</w:t>
            </w:r>
            <w:r w:rsidRPr="00855332">
              <w:rPr>
                <w:b/>
                <w:i/>
                <w:szCs w:val="24"/>
              </w:rPr>
              <w:t xml:space="preserve"> </w:t>
            </w:r>
            <w:r w:rsidRPr="00855332">
              <w:tab/>
            </w:r>
            <w:r w:rsidRPr="00855332">
              <w:rPr>
                <w:b/>
                <w:i/>
                <w:szCs w:val="24"/>
              </w:rPr>
              <w:t>v této souvislosti se domnívá, že pokud jsou tyto povinnosti dodržovány, měl by nástroj fungovat na základě vzájemného uznávání, a jakákoli výjimka z této povinnosti by se proto měla vždy vykládat restriktivně;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17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Jorge Buxadé Villalba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3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b/>
                <w:i/>
              </w:rPr>
            </w:pPr>
            <w:r w:rsidRPr="00855332">
              <w:rPr>
                <w:b/>
                <w:i/>
              </w:rPr>
              <w:t>3.</w:t>
            </w:r>
            <w:r w:rsidRPr="00855332">
              <w:t xml:space="preserve"> </w:t>
            </w:r>
            <w:r w:rsidRPr="00855332">
              <w:tab/>
            </w:r>
            <w:r w:rsidRPr="00855332">
              <w:rPr>
                <w:b/>
                <w:i/>
              </w:rPr>
              <w:t>zdůrazňuje, že vytvoření mechanismu EU pro demokracii, právní stát a základní práva přispěje k prohloubení vzájemné důvěry mezi členskými státy;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b/>
                <w:i/>
                <w:szCs w:val="24"/>
              </w:rPr>
            </w:pPr>
            <w:r w:rsidRPr="00855332">
              <w:rPr>
                <w:b/>
                <w:i/>
              </w:rPr>
              <w:t>vypouští se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18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Paulo Rangel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3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rPr>
                <w:szCs w:val="24"/>
              </w:rPr>
              <w:t>3.</w:t>
            </w:r>
            <w:r w:rsidRPr="00855332">
              <w:t xml:space="preserve"> </w:t>
            </w:r>
            <w:r w:rsidRPr="00855332">
              <w:tab/>
            </w:r>
            <w:r w:rsidRPr="00855332">
              <w:rPr>
                <w:szCs w:val="24"/>
              </w:rPr>
              <w:t>zdůrazňuje, že vytvoření mechanismu EU pro demokracii, právní stát a základní práva přispěje k prohloubení vzájemné důvěry mezi členskými státy;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rPr>
                <w:szCs w:val="24"/>
              </w:rPr>
              <w:t>3.</w:t>
            </w:r>
            <w:r w:rsidRPr="00855332">
              <w:t xml:space="preserve"> </w:t>
            </w:r>
            <w:r w:rsidRPr="00855332">
              <w:tab/>
              <w:t>zdůrazňuje, že vytvoření mechanismu EU pro demokracii, právní stát a základní práva</w:t>
            </w:r>
            <w:r w:rsidRPr="00855332">
              <w:rPr>
                <w:b/>
                <w:i/>
                <w:vertAlign w:val="superscript"/>
              </w:rPr>
              <w:t>1a</w:t>
            </w:r>
            <w:r w:rsidRPr="00855332">
              <w:t xml:space="preserve">  přispěje k prohloubení vzájemné důvěry mezi členskými státy, čímž se zlepší i fungování zásady vzájemného uznávání;</w:t>
            </w:r>
            <w:r w:rsidRPr="00855332">
              <w:rPr>
                <w:b/>
                <w:i/>
              </w:rPr>
              <w:t xml:space="preserve"> v této souvislosti bere na vědomí iniciativu „cyklus přezkumu právního státu“, kterou Evropská komise oznámila v červenci 2019</w:t>
            </w:r>
            <w:r w:rsidRPr="00855332">
              <w:rPr>
                <w:b/>
                <w:i/>
                <w:vertAlign w:val="superscript"/>
              </w:rPr>
              <w:t>2a</w:t>
            </w:r>
            <w:r w:rsidRPr="00855332">
              <w:rPr>
                <w:b/>
                <w:i/>
              </w:rPr>
              <w:t>, a se zájmem očekává první výroční zprávu o právním státu v každém členském státě, která se očekává ve druhé polovině roku 2020.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t>__________________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b/>
                <w:i/>
                <w:szCs w:val="24"/>
              </w:rPr>
            </w:pPr>
            <w:r w:rsidRPr="00855332">
              <w:t>__________________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b/>
                <w:i/>
                <w:szCs w:val="24"/>
              </w:rPr>
            </w:pPr>
            <w:r w:rsidRPr="00855332">
              <w:rPr>
                <w:b/>
                <w:i/>
                <w:szCs w:val="24"/>
              </w:rPr>
              <w:t xml:space="preserve">1a </w:t>
            </w:r>
            <w:r w:rsidRPr="00855332">
              <w:rPr>
                <w:b/>
                <w:i/>
              </w:rPr>
              <w:t>Úř. věst. C 215, 19.6.2018, s. 162-177.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Header"/>
              <w:widowControl/>
              <w:tabs>
                <w:tab w:val="left" w:pos="317"/>
              </w:tabs>
              <w:spacing w:after="120"/>
              <w:rPr>
                <w:b/>
                <w:i/>
              </w:rPr>
            </w:pPr>
            <w:r w:rsidRPr="00855332">
              <w:rPr>
                <w:b/>
                <w:i/>
                <w:szCs w:val="24"/>
              </w:rPr>
              <w:t xml:space="preserve">2a </w:t>
            </w:r>
            <w:r w:rsidRPr="00855332">
              <w:rPr>
                <w:b/>
                <w:i/>
              </w:rPr>
              <w:t>COM(2019)343.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19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Domènec Ruiz Devesa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3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 xml:space="preserve">3. </w:t>
            </w:r>
            <w:r w:rsidRPr="00855332">
              <w:tab/>
              <w:t xml:space="preserve">zdůrazňuje, že </w:t>
            </w:r>
            <w:r w:rsidRPr="00855332">
              <w:rPr>
                <w:b/>
                <w:i/>
              </w:rPr>
              <w:t>vytvoření</w:t>
            </w:r>
            <w:r w:rsidRPr="00855332">
              <w:t xml:space="preserve"> mechanismu EU pro demokracii, právní stát a základní práva přispěje k prohloubení vzájemné důvěry mezi členskými státy;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t xml:space="preserve">3. </w:t>
            </w:r>
            <w:r w:rsidRPr="00855332">
              <w:tab/>
              <w:t xml:space="preserve">zdůrazňuje, že </w:t>
            </w:r>
            <w:r w:rsidRPr="00855332">
              <w:rPr>
                <w:b/>
                <w:i/>
              </w:rPr>
              <w:t>rámcové rozhodnutí by se mělo provádět v koordinaci s vytvořením</w:t>
            </w:r>
            <w:r w:rsidRPr="00855332">
              <w:t xml:space="preserve"> mechanismu EU pro demokracii, právní stát a základní práva</w:t>
            </w:r>
            <w:r w:rsidRPr="00855332">
              <w:rPr>
                <w:b/>
                <w:i/>
              </w:rPr>
              <w:t>, což</w:t>
            </w:r>
            <w:r w:rsidRPr="00855332">
              <w:t xml:space="preserve"> přispěje k prohloubení vzájemné důvěry mezi členskými státy;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20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Pascal Durand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3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 xml:space="preserve">3. </w:t>
            </w:r>
            <w:r w:rsidRPr="00855332">
              <w:tab/>
              <w:t>zdůrazňuje, že vytvoření mechanismu EU pro demokracii, právní stát a základní práva přispěje k prohloubení vzájemné důvěry mezi členskými státy;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t xml:space="preserve">3. </w:t>
            </w:r>
            <w:r w:rsidRPr="00855332">
              <w:tab/>
              <w:t xml:space="preserve">zdůrazňuje, že vytvoření mechanismu EU pro demokracii, právní stát a základní práva přispěje k prohloubení vzájemné důvěry mezi členskými státy; </w:t>
            </w:r>
            <w:r w:rsidRPr="00855332">
              <w:rPr>
                <w:b/>
                <w:bCs/>
                <w:i/>
                <w:iCs/>
              </w:rPr>
              <w:t>konstatuje, že porušování článku 7 SEU ze strany členských států ohrožuje řádné uplatňování rámcového nařízení, neboť snižuje důvěru mezi stranami;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21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Fabio Massimo Castaldo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3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 xml:space="preserve">3. </w:t>
            </w:r>
            <w:r w:rsidRPr="00855332">
              <w:tab/>
              <w:t>zdůrazňuje, že vytvoření mechanismu EU pro demokracii, právní stát a základní práva přispěje k prohloubení vzájemné důvěry mezi členskými státy;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t xml:space="preserve">3. </w:t>
            </w:r>
            <w:r w:rsidRPr="00855332">
              <w:tab/>
              <w:t xml:space="preserve">zdůrazňuje, že vytvoření mechanismu EU pro demokracii, právní stát a základní práva přispěje k </w:t>
            </w:r>
            <w:r w:rsidRPr="00855332">
              <w:rPr>
                <w:b/>
                <w:i/>
              </w:rPr>
              <w:t xml:space="preserve">vytvoření rovných podmínek, a tím i k </w:t>
            </w:r>
            <w:r w:rsidRPr="00855332">
              <w:t>prohloubení vzájemné důvěry mezi členskými státy;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22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Leila Chaibi, Helmut Scholz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3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>3.</w:t>
            </w:r>
            <w:r w:rsidRPr="00855332">
              <w:tab/>
              <w:t>zdůrazňuje, že vytvoření mechanismu EU pro demokracii, právní stát a základní práva přispěje k prohloubení vzájemné důvěry mezi členskými státy;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rPr>
                <w:szCs w:val="24"/>
              </w:rPr>
              <w:t>3.</w:t>
            </w:r>
            <w:r w:rsidRPr="00855332">
              <w:rPr>
                <w:szCs w:val="24"/>
              </w:rPr>
              <w:tab/>
              <w:t xml:space="preserve">zdůrazňuje, že vytvoření mechanismu EU pro demokracii, právní stát a základní práva přispěje k prohloubení vzájemné důvěry mezi členskými státy; </w:t>
            </w:r>
            <w:r w:rsidRPr="00855332">
              <w:rPr>
                <w:b/>
                <w:i/>
                <w:szCs w:val="24"/>
              </w:rPr>
              <w:t>kritizuje předávání zatčených podezřelých do členských států s prokázanými systematickými a všeobecnými nedostatky v oblasti právního státu a/nebo nedodržováním zásad evropských vězeňských pravidel;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23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Jorge Buxadé Villalba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3 a (new)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i/>
                <w:szCs w:val="24"/>
              </w:rPr>
            </w:pPr>
            <w:r w:rsidRPr="00855332">
              <w:rPr>
                <w:b/>
                <w:i/>
                <w:szCs w:val="24"/>
              </w:rPr>
              <w:t>3a.</w:t>
            </w:r>
            <w:r w:rsidRPr="00855332">
              <w:t xml:space="preserve"> </w:t>
            </w:r>
            <w:r w:rsidRPr="00855332">
              <w:tab/>
            </w:r>
            <w:r w:rsidRPr="00855332">
              <w:rPr>
                <w:b/>
                <w:i/>
                <w:szCs w:val="24"/>
              </w:rPr>
              <w:t>zdůrazňuje, že čtyři základní svobody a cíl silnější EU vyžadují důvěru v soudní a vězeňské systémy členských států; domnívá se, že rámcové rozhodnutí je klíčovým mechanismem k dosažení tohoto cíle, a proto by měla být zlepšena jeho účinnost a rychlost a dodržování rozhodnutí vnitrostátních soudců;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24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Jorge Buxadé Villalba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4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 xml:space="preserve">4. </w:t>
            </w:r>
            <w:r w:rsidRPr="00855332">
              <w:tab/>
              <w:t xml:space="preserve">je přesvědčen o tom, že je zapotřebí </w:t>
            </w:r>
            <w:r w:rsidRPr="00855332">
              <w:rPr>
                <w:b/>
                <w:i/>
              </w:rPr>
              <w:t>přijmout další horizontální opatření s cílem posílit vzájemnou důvěru mezi systémy trestního soudnictví členských států</w:t>
            </w:r>
            <w:r w:rsidRPr="00855332">
              <w:t xml:space="preserve">, </w:t>
            </w:r>
            <w:r w:rsidRPr="00855332">
              <w:rPr>
                <w:b/>
                <w:i/>
              </w:rPr>
              <w:t>což povede k</w:t>
            </w:r>
            <w:r w:rsidRPr="00855332">
              <w:t xml:space="preserve"> účinnější justiční </w:t>
            </w:r>
            <w:r w:rsidRPr="00855332">
              <w:rPr>
                <w:b/>
                <w:i/>
              </w:rPr>
              <w:t>spolupráci</w:t>
            </w:r>
            <w:r w:rsidRPr="00855332">
              <w:t>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t xml:space="preserve">4. </w:t>
            </w:r>
            <w:r w:rsidRPr="00855332">
              <w:tab/>
              <w:t xml:space="preserve">je přesvědčen o tom, že je zapotřebí </w:t>
            </w:r>
            <w:r w:rsidRPr="00855332">
              <w:rPr>
                <w:b/>
                <w:i/>
              </w:rPr>
              <w:t>co nejdříve přijmout změny rámcového rozhodnutí o evropském zatýkacím rozkazu</w:t>
            </w:r>
            <w:r w:rsidRPr="00855332">
              <w:t xml:space="preserve">, </w:t>
            </w:r>
            <w:r w:rsidRPr="00855332">
              <w:rPr>
                <w:b/>
                <w:i/>
              </w:rPr>
              <w:t>aby se dosáhlo</w:t>
            </w:r>
            <w:r w:rsidRPr="00855332">
              <w:t xml:space="preserve"> účinnější justiční </w:t>
            </w:r>
            <w:r w:rsidRPr="00855332">
              <w:rPr>
                <w:b/>
                <w:i/>
              </w:rPr>
              <w:t>spolupráce</w:t>
            </w:r>
            <w:r w:rsidRPr="00855332">
              <w:t>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25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Fabio Massimo Castaldo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4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 xml:space="preserve">4. </w:t>
            </w:r>
            <w:r w:rsidRPr="00855332">
              <w:tab/>
              <w:t xml:space="preserve">je přesvědčen o tom, že je zapotřebí </w:t>
            </w:r>
            <w:r w:rsidRPr="00855332">
              <w:rPr>
                <w:b/>
                <w:i/>
              </w:rPr>
              <w:t>přijmout</w:t>
            </w:r>
            <w:r w:rsidRPr="00855332">
              <w:t xml:space="preserve"> další </w:t>
            </w:r>
            <w:r w:rsidRPr="00855332">
              <w:rPr>
                <w:b/>
                <w:i/>
              </w:rPr>
              <w:t>horizontální opatření</w:t>
            </w:r>
            <w:r w:rsidRPr="00855332">
              <w:t xml:space="preserve"> s cílem posílit vzájemnou důvěru mezi systémy trestního soudnictví členských států, což povede k účinnější justiční spolupráci;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t xml:space="preserve">4. </w:t>
            </w:r>
            <w:r w:rsidRPr="00855332">
              <w:tab/>
              <w:t xml:space="preserve">je přesvědčen o tom, že je zapotřebí </w:t>
            </w:r>
            <w:r w:rsidRPr="00855332">
              <w:rPr>
                <w:b/>
                <w:i/>
              </w:rPr>
              <w:t>dalších horizontálních opatření na evropské úrovni a</w:t>
            </w:r>
            <w:r w:rsidRPr="00855332">
              <w:t xml:space="preserve"> další </w:t>
            </w:r>
            <w:r w:rsidRPr="00855332">
              <w:rPr>
                <w:b/>
                <w:i/>
              </w:rPr>
              <w:t>harmonizace vnitrostátních právních předpisů s cílem zabránit tomu, aby pachatelé trestných činů využívali stávajících rozdílů a mezer v právních předpisech v celé EU, a</w:t>
            </w:r>
            <w:r w:rsidRPr="00855332">
              <w:t xml:space="preserve"> s cílem posílit vzájemnou důvěru mezi systémy trestního soudnictví členských států, což povede k účinnější justiční spolupráci;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26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Gwendoline Delbos-Corfield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4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>4.</w:t>
            </w:r>
            <w:r w:rsidRPr="00855332">
              <w:tab/>
              <w:t>je přesvědčen o tom, že je zapotřebí přijmout další horizontální opatření s cílem posílit vzájemnou důvěru mezi systémy trestního soudnictví členských států, což povede k účinnější justiční spolupráci;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t>4.</w:t>
            </w:r>
            <w:r w:rsidRPr="00855332">
              <w:tab/>
              <w:t xml:space="preserve">je přesvědčen o tom, že je zapotřebí přijmout další horizontální opatření s cílem posílit vzájemnou důvěru mezi systémy trestního soudnictví členských států, což povede k účinnější justiční spolupráci; </w:t>
            </w:r>
            <w:r w:rsidRPr="00855332">
              <w:rPr>
                <w:b/>
                <w:i/>
              </w:rPr>
              <w:t>trvá na tom, že by se měly lépe prozkoumat alternativy k evropskému zatýkacímu rozkazu a mělo by se do nich více investovat, a zdůrazňuje, že evropský zatýkací rozkaz by se měl používat pouze za výjimečných okolností a jako krajní opatření;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27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Domènec Ruiz Devesa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4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 xml:space="preserve">4. </w:t>
            </w:r>
            <w:r w:rsidRPr="00855332">
              <w:tab/>
              <w:t xml:space="preserve"> </w:t>
            </w:r>
            <w:r w:rsidRPr="00855332">
              <w:rPr>
                <w:b/>
                <w:i/>
              </w:rPr>
              <w:t>je</w:t>
            </w:r>
            <w:r w:rsidRPr="00855332">
              <w:t xml:space="preserve"> přesvědčen o tom, že je zapotřebí přijmout další horizontální opatření s cílem posílit vzájemnou důvěru mezi systémy trestního soudnictví členských států, což povede k účinnější justiční spolupráci;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t xml:space="preserve">4. </w:t>
            </w:r>
            <w:r w:rsidRPr="00855332">
              <w:tab/>
            </w:r>
            <w:r w:rsidRPr="00855332">
              <w:rPr>
                <w:b/>
                <w:i/>
              </w:rPr>
              <w:t>je</w:t>
            </w:r>
            <w:r w:rsidRPr="00855332">
              <w:t xml:space="preserve"> přesvědčen o tom, že je zapotřebí přijmout další horizontální opatření s cílem </w:t>
            </w:r>
            <w:r w:rsidRPr="00855332">
              <w:rPr>
                <w:b/>
                <w:i/>
              </w:rPr>
              <w:t xml:space="preserve">prohloubit zásadu loajální spolupráce (čl. 4 odst. 3 SEU) a </w:t>
            </w:r>
            <w:r w:rsidRPr="00855332">
              <w:t xml:space="preserve">posílit vzájemnou důvěru mezi systémy trestního soudnictví členských států, což povede k účinnější justiční spolupráci; </w:t>
            </w:r>
            <w:r w:rsidRPr="00855332">
              <w:rPr>
                <w:b/>
                <w:i/>
              </w:rPr>
              <w:t>zdůrazňuje, že vnitrostátní soudní orgány by měly uplatňovat zásadu oboustranné trestnosti, aniž by posuzovaly podstatu obvinění;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28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Giuliano Pisapia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4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 xml:space="preserve">4. </w:t>
            </w:r>
            <w:r w:rsidRPr="00855332">
              <w:tab/>
              <w:t>je přesvědčen o tom, že je zapotřebí přijmout další horizontální opatření s cílem posílit vzájemnou důvěru mezi systémy trestního soudnictví členských států, což povede k účinnější justiční spolupráci;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t xml:space="preserve">4. </w:t>
            </w:r>
            <w:r w:rsidRPr="00855332">
              <w:tab/>
              <w:t>je přesvědčen o tom, že je zapotřebí přijmout další horizontální opatření s cílem posílit vzájemnou důvěru mezi systémy trestního soudnictví členských států, což povede k účinnější justiční spolupráci;</w:t>
            </w:r>
            <w:r w:rsidRPr="00855332">
              <w:rPr>
                <w:b/>
                <w:i/>
              </w:rPr>
              <w:t xml:space="preserve"> v této souvislosti zdůrazňuje významnou úlohu agentur, jako je Agentura EU pro justiční spolupráci v trestních věcech (Eurojust), a iniciativ, jako je nedávné zřízení koordinační skupiny pro evropský zatýkací rozkaz, jejichž cílem je rozvíjet vzájemnou důvěru;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29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Leila Chaibi, Helmut Scholz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4 a (nový)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rPr>
                <w:b/>
                <w:i/>
                <w:szCs w:val="24"/>
              </w:rPr>
              <w:t>4a.</w:t>
            </w:r>
            <w:r w:rsidRPr="00855332">
              <w:t xml:space="preserve"> </w:t>
            </w:r>
            <w:r w:rsidRPr="00855332">
              <w:tab/>
            </w:r>
            <w:r w:rsidRPr="00855332">
              <w:rPr>
                <w:b/>
                <w:i/>
                <w:szCs w:val="24"/>
              </w:rPr>
              <w:t>zdůrazňuje, že je třeba vytvořit evropskou síť obhájců, kteří by byli schopni hájit práva a minimální normy pro všechny podezřelé, obviněné nebo odsouzené osoby, které jsou ve vyšetřovací vazbě v jiném členském státě s odlišným jazykem, odlišným řízením a bez společných norem, pokud jde např. o zastupování advokátem;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30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Jorge Buxadé Villalba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4 a (nový)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i/>
                <w:szCs w:val="24"/>
              </w:rPr>
            </w:pPr>
            <w:r w:rsidRPr="00855332">
              <w:rPr>
                <w:b/>
                <w:i/>
              </w:rPr>
              <w:t>4.a</w:t>
            </w:r>
            <w:r w:rsidRPr="00855332">
              <w:tab/>
            </w:r>
            <w:r w:rsidRPr="00855332">
              <w:rPr>
                <w:b/>
                <w:i/>
              </w:rPr>
              <w:t>zdůrazňuje, že vzájemné uznávání soudních rozhodnutí v trestních věcech je klíčem k zajištění fungování schengenského prostoru a jeho další existence v budoucnosti;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31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Jorge Buxadé Villalba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5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b/>
                <w:i/>
              </w:rPr>
            </w:pPr>
            <w:r w:rsidRPr="00855332">
              <w:rPr>
                <w:b/>
                <w:i/>
                <w:szCs w:val="24"/>
              </w:rPr>
              <w:t>5.</w:t>
            </w:r>
            <w:r w:rsidRPr="00855332">
              <w:rPr>
                <w:b/>
                <w:i/>
              </w:rPr>
              <w:t xml:space="preserve"> </w:t>
            </w:r>
            <w:r w:rsidRPr="00855332">
              <w:rPr>
                <w:b/>
                <w:i/>
              </w:rPr>
              <w:tab/>
              <w:t>domnívá se, že rámcové rozhodnutí by mělo být plně zapracováno do Lisabonské smlouvy jako nový legislativní nástroj; je přesvědčen o tom, že by tento krok vedl k významným přínosům v podobě demokratické legitimity, právní jistoty, transparentnosti a pevnější soudržnosti s dalšími trestněprávními nástroji, a že by se tak poskytl prostor pro vyjasnění pojmu „justiční orgán“ coby samostatného konceptu práva EU;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b/>
                <w:i/>
                <w:szCs w:val="24"/>
              </w:rPr>
            </w:pPr>
            <w:r w:rsidRPr="00855332">
              <w:rPr>
                <w:b/>
                <w:i/>
              </w:rPr>
              <w:t>vypouští se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32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Geert Bourgeois, Assita Kanko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5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>5.</w:t>
            </w:r>
            <w:r w:rsidRPr="00855332">
              <w:rPr>
                <w:szCs w:val="24"/>
              </w:rPr>
              <w:t xml:space="preserve"> </w:t>
            </w:r>
            <w:r w:rsidRPr="00855332">
              <w:rPr>
                <w:szCs w:val="24"/>
              </w:rPr>
              <w:tab/>
            </w:r>
            <w:r w:rsidRPr="00855332">
              <w:rPr>
                <w:b/>
                <w:i/>
              </w:rPr>
              <w:t>domnívá se, že rámcové rozhodnutí by mělo být plně zapracováno do Lisabonské smlouvy jako nový legislativní nástroj;</w:t>
            </w:r>
            <w:r w:rsidRPr="00855332">
              <w:t xml:space="preserve"> </w:t>
            </w:r>
            <w:r w:rsidRPr="00855332">
              <w:rPr>
                <w:b/>
                <w:i/>
              </w:rPr>
              <w:t>je</w:t>
            </w:r>
            <w:r w:rsidRPr="00855332">
              <w:t xml:space="preserve"> přesvědčen</w:t>
            </w:r>
            <w:r w:rsidRPr="00855332">
              <w:rPr>
                <w:b/>
                <w:i/>
              </w:rPr>
              <w:t xml:space="preserve"> o tom</w:t>
            </w:r>
            <w:r w:rsidRPr="00855332">
              <w:t xml:space="preserve">, že </w:t>
            </w:r>
            <w:r w:rsidRPr="00855332">
              <w:rPr>
                <w:b/>
                <w:i/>
              </w:rPr>
              <w:t>by tento krok vedl k významným přínosům v podobě demokratické legitimity, právní jistoty,</w:t>
            </w:r>
            <w:r w:rsidRPr="00855332">
              <w:t xml:space="preserve"> transparentnosti a </w:t>
            </w:r>
            <w:r w:rsidRPr="00855332">
              <w:rPr>
                <w:b/>
                <w:i/>
              </w:rPr>
              <w:t>pevnější soudržnosti s dalšími trestněprávními nástroji, a že</w:t>
            </w:r>
            <w:r w:rsidRPr="00855332">
              <w:t xml:space="preserve"> by </w:t>
            </w:r>
            <w:r w:rsidRPr="00855332">
              <w:rPr>
                <w:b/>
                <w:i/>
              </w:rPr>
              <w:t>se tak poskytl prostor pro vyjasnění pojmu „justiční orgán“ coby samostatného konceptu práva</w:t>
            </w:r>
            <w:r w:rsidRPr="00855332">
              <w:t xml:space="preserve"> EU;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t>5.</w:t>
            </w:r>
            <w:r w:rsidRPr="00855332">
              <w:rPr>
                <w:szCs w:val="24"/>
              </w:rPr>
              <w:t xml:space="preserve"> </w:t>
            </w:r>
            <w:r w:rsidRPr="00855332">
              <w:rPr>
                <w:szCs w:val="24"/>
              </w:rPr>
              <w:tab/>
            </w:r>
            <w:r w:rsidRPr="00855332">
              <w:rPr>
                <w:b/>
                <w:i/>
              </w:rPr>
              <w:t>je</w:t>
            </w:r>
            <w:r w:rsidRPr="00855332">
              <w:t xml:space="preserve"> přesvědčen, že </w:t>
            </w:r>
            <w:r w:rsidRPr="00855332">
              <w:rPr>
                <w:b/>
                <w:i/>
              </w:rPr>
              <w:t>zajištění větší</w:t>
            </w:r>
            <w:r w:rsidRPr="00855332">
              <w:t xml:space="preserve"> transparentnosti a </w:t>
            </w:r>
            <w:r w:rsidRPr="00855332">
              <w:rPr>
                <w:b/>
                <w:i/>
              </w:rPr>
              <w:t>nezávislé kontroly používání evropského zatýkacího rozkazu</w:t>
            </w:r>
            <w:r w:rsidRPr="00855332">
              <w:t xml:space="preserve"> by </w:t>
            </w:r>
            <w:r w:rsidRPr="00855332">
              <w:rPr>
                <w:b/>
                <w:i/>
              </w:rPr>
              <w:t>přineslo značnou demokratickou legitimitu a důvěru v širší prostor trestního soudnictví</w:t>
            </w:r>
            <w:r w:rsidRPr="00855332">
              <w:t xml:space="preserve"> EU;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33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Gwendoline Delbos-Corfield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5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>5.</w:t>
            </w:r>
            <w:r w:rsidRPr="00855332">
              <w:tab/>
              <w:t>domnívá se, že rámcové rozhodnutí by mělo být plně zapracováno do Lisabonské smlouvy jako nový legislativní nástroj; je přesvědčen o tom, že by tento krok vedl k významným přínosům v podobě demokratické legitimity, právní jistoty, transparentnosti a pevnější soudržnosti s dalšími trestněprávními nástroji, a že by se tak poskytl prostor pro vyjasnění pojmu „justiční orgán“ coby samostatného konceptu práva EU;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t>5.</w:t>
            </w:r>
            <w:r w:rsidRPr="00855332">
              <w:tab/>
              <w:t>domnívá se, že rámcové rozhodnutí by mělo být plně zapracováno do Lisabonské smlouvy jako nový legislativní nástroj</w:t>
            </w:r>
            <w:r w:rsidRPr="00855332">
              <w:rPr>
                <w:b/>
                <w:i/>
              </w:rPr>
              <w:t>, jakmile bude zaručeno, že všechny členské státy v plné míře dodržují své závazky v oblasti právního státu a základních práv zakotvené ve Smlouvách;</w:t>
            </w:r>
            <w:r w:rsidRPr="00855332">
              <w:t xml:space="preserve"> </w:t>
            </w:r>
            <w:r w:rsidRPr="00855332">
              <w:rPr>
                <w:b/>
                <w:i/>
              </w:rPr>
              <w:t>je přesvědčen, že takový nástroj by měl poskytnout odpovídající záruky a zajistit, aby vykonávající justiční orgány mohly odmítnout vykonat evropský zatýkací rozkaz, pokud to odůvodňují nedostatky v oblasti právního státu a základních práv ve vystavujícím členském státě</w:t>
            </w:r>
            <w:r w:rsidRPr="00855332">
              <w:t>; je přesvědčen o tom, že by tento krok vedl k významným přínosům v podobě demokratické legitimity, právní jistoty, transparentnosti a pevnější soudržnosti s dalšími trestněprávními nástroji, a že by se tak poskytl prostor pro vyjasnění pojmu „justiční orgán“ coby samostatného konceptu práva EU;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34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Pascal Durand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5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 xml:space="preserve">5. </w:t>
            </w:r>
            <w:r w:rsidRPr="00855332">
              <w:tab/>
            </w:r>
            <w:r w:rsidRPr="00855332">
              <w:rPr>
                <w:b/>
                <w:i/>
              </w:rPr>
              <w:t>domnívá se, že rámcové</w:t>
            </w:r>
            <w:r w:rsidRPr="00855332">
              <w:t xml:space="preserve"> rozhodnutí </w:t>
            </w:r>
            <w:r w:rsidRPr="00855332">
              <w:rPr>
                <w:b/>
                <w:i/>
              </w:rPr>
              <w:t xml:space="preserve">by mělo být plně zapracováno </w:t>
            </w:r>
            <w:r w:rsidRPr="00855332">
              <w:t xml:space="preserve">do Lisabonské smlouvy </w:t>
            </w:r>
            <w:r w:rsidRPr="00855332">
              <w:rPr>
                <w:b/>
                <w:i/>
              </w:rPr>
              <w:t>jako nový legislativní nástroj</w:t>
            </w:r>
            <w:r w:rsidRPr="00855332">
              <w:t>; je přesvědčen o tom, že by tento krok vedl k významným přínosům v podobě demokratické legitimity, právní jistoty, transparentnosti a pevnější soudržnosti s dalšími trestněprávními nástroji, a že by se tak poskytl prostor pro vyjasnění pojmu „justiční orgán“ coby samostatného konceptu práva EU;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t xml:space="preserve">5. </w:t>
            </w:r>
            <w:r w:rsidRPr="00855332">
              <w:tab/>
            </w:r>
            <w:r w:rsidRPr="00855332">
              <w:rPr>
                <w:b/>
                <w:i/>
              </w:rPr>
              <w:t>zvažuje výhody začlenění rámcového</w:t>
            </w:r>
            <w:r w:rsidRPr="00855332">
              <w:t xml:space="preserve"> rozhodnutí do Lisabonské smlouvy </w:t>
            </w:r>
            <w:r w:rsidRPr="00855332">
              <w:rPr>
                <w:b/>
                <w:i/>
              </w:rPr>
              <w:t>jako nařízení EU</w:t>
            </w:r>
            <w:r w:rsidRPr="00855332">
              <w:t xml:space="preserve">; je přesvědčen o tom, že by tento krok vedl k významným přínosům v podobě demokratické legitimity, právní jistoty, transparentnosti a pevnější soudržnosti s dalšími trestněprávními nástroji, a že by se tak poskytl prostor pro vyjasnění pojmu „justiční orgán“ coby samostatného konceptu práva EU; </w:t>
            </w:r>
            <w:r w:rsidRPr="00855332">
              <w:rPr>
                <w:b/>
                <w:bCs/>
                <w:i/>
                <w:iCs/>
              </w:rPr>
              <w:t>připomíná však, že toto začlenění by se nemělo uskutečnit na úkor rychlého zlepšení uplatňování stávajícího rámce;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35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Domènec Ruiz Devesa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5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 xml:space="preserve">5. </w:t>
            </w:r>
            <w:r w:rsidRPr="00855332">
              <w:tab/>
            </w:r>
            <w:r w:rsidR="00D00A8F" w:rsidRPr="00855332">
              <w:t>domnívá se, že rámcové rozhodnutí by mělo být plně zapracováno do Lisabonské smlouvy jako nový legislativní nástroj; je přesvědčen o tom, že by tento krok vedl k významným přínosům v podobě demokratické legitimity, právní jistoty, transparentnosti a pevnější soudržnosti s dalšími trestněprávními nástroji, a že by se tak poskytl prostor pro vyjasnění pojmu „justiční orgán“ coby samostatného konceptu práva EU;</w:t>
            </w:r>
          </w:p>
        </w:tc>
        <w:tc>
          <w:tcPr>
            <w:tcW w:w="4876" w:type="dxa"/>
          </w:tcPr>
          <w:p w:rsidR="001E51D4" w:rsidRPr="00855332" w:rsidRDefault="001E51D4" w:rsidP="00D00A8F">
            <w:pPr>
              <w:pStyle w:val="Normal6a"/>
              <w:rPr>
                <w:szCs w:val="24"/>
              </w:rPr>
            </w:pPr>
            <w:r w:rsidRPr="00855332">
              <w:t xml:space="preserve">5. </w:t>
            </w:r>
            <w:r w:rsidRPr="00855332">
              <w:tab/>
            </w:r>
            <w:r w:rsidR="00D00A8F" w:rsidRPr="00855332">
              <w:t>domnívá se, že rámcové rozhodnutí by mělo být plně zapracováno do Lisabonské smlouvy jako nový legislativní nástroj; je přesvědčen o tom, že by tento krok vedl k významným přínosům v podobě demokratické legitimity, právní jistoty, transparentnosti a pevnější soudržnosti s dalšími trestněprávními nástroji, a že by se tak poskytl prostor pro vyjasnění pojmu „justiční orgán“ coby samostatného konceptu práva EU</w:t>
            </w:r>
            <w:r w:rsidRPr="00855332">
              <w:t xml:space="preserve">; </w:t>
            </w:r>
            <w:r w:rsidR="00D00A8F" w:rsidRPr="00855332">
              <w:rPr>
                <w:b/>
                <w:i/>
              </w:rPr>
              <w:t>podporuje zahrnutí zločinů proti ústavní integritě členských států EU do seznamu rámcového rozhodnutí</w:t>
            </w:r>
            <w:r w:rsidRPr="00855332">
              <w:rPr>
                <w:b/>
                <w:i/>
              </w:rPr>
              <w:t>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36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Paulo Rangel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5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rPr>
                <w:szCs w:val="24"/>
              </w:rPr>
              <w:t>5.</w:t>
            </w:r>
            <w:r w:rsidRPr="00855332">
              <w:t xml:space="preserve"> </w:t>
            </w:r>
            <w:r w:rsidRPr="00855332">
              <w:tab/>
              <w:t>domnívá se, že rámcové rozhodnutí by mělo být plně zapracováno do Lisabonské smlouvy jako nový legislativní nástroj; je přesvědčen o tom, že by tento krok vedl k významným přínosům v podobě demokratické legitimity, právní jistoty, transparentnosti a pevnější soudržnosti s dalšími trestněprávními nástroji, a že by se tak poskytl prostor pro vyjasnění pojmu „justiční orgán“ coby samostatného konceptu práva EU;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rPr>
                <w:szCs w:val="24"/>
              </w:rPr>
              <w:t>5.</w:t>
            </w:r>
            <w:r w:rsidRPr="00855332">
              <w:t xml:space="preserve"> </w:t>
            </w:r>
            <w:r w:rsidRPr="00855332">
              <w:tab/>
              <w:t>domnívá se, že rámcové rozhodnutí by mělo být plně zapracováno do Lisabonské smlouvy jako nový legislativní nástroj</w:t>
            </w:r>
            <w:r w:rsidRPr="00855332">
              <w:rPr>
                <w:b/>
                <w:i/>
              </w:rPr>
              <w:t xml:space="preserve"> ve smyslu článku 288 SFEU a v souladu s čl. 10 odst. 2 protokolu 36 SEU</w:t>
            </w:r>
            <w:r w:rsidRPr="00855332">
              <w:t>; je přesvědčen o tom, že by tento krok vedl k významným přínosům v podobě demokratické legitimity, právní jistoty, transparentnosti a pevnější soudržnosti s dalšími trestněprávními nástroji</w:t>
            </w:r>
            <w:r w:rsidRPr="00855332">
              <w:rPr>
                <w:b/>
                <w:i/>
              </w:rPr>
              <w:t xml:space="preserve"> přijatými v rámci řádného legislativního postupu</w:t>
            </w:r>
            <w:r w:rsidRPr="00855332">
              <w:t xml:space="preserve">, a že by se tak poskytl prostor pro vyjasnění pojmu „justiční orgán“ coby samostatného konceptu práva EU; </w:t>
            </w:r>
            <w:r w:rsidRPr="00855332">
              <w:rPr>
                <w:b/>
                <w:i/>
              </w:rPr>
              <w:t>tato „lisabonizace“ by měla mimo jiné uložit vydávajícím orgánům povinnost důsledně provádět test přiměřenosti, stanovit výslovné důvody pro odmítnutí předat osobu v souladu s článkem 6 SEU a Listinou základních práv Evropské unie, stanovit výslovnou oznamovací povinnost členských států o vydávání a výkonu evropských zatýkacích rozkazů a posílit donucovací pravomoci Komise;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37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Fabio Massimo Castaldo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5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 xml:space="preserve">5. </w:t>
            </w:r>
            <w:r w:rsidRPr="00855332">
              <w:tab/>
            </w:r>
            <w:r w:rsidRPr="00855332">
              <w:rPr>
                <w:b/>
                <w:i/>
              </w:rPr>
              <w:t>domnívá se</w:t>
            </w:r>
            <w:r w:rsidRPr="00855332">
              <w:t xml:space="preserve">, že rámcové rozhodnutí </w:t>
            </w:r>
            <w:r w:rsidRPr="00855332">
              <w:rPr>
                <w:b/>
                <w:i/>
              </w:rPr>
              <w:t>by mělo být</w:t>
            </w:r>
            <w:r w:rsidRPr="00855332">
              <w:t xml:space="preserve"> plně zapracováno do Lisabonské smlouvy jako nový legislativní nástroj; je přesvědčen o tom, že by tento krok vedl k významným přínosům v podobě demokratické legitimity, právní jistoty, transparentnosti a pevnější soudržnosti s dalšími trestněprávními nástroji, a že by se tak poskytl prostor pro vyjasnění pojmu „justiční orgán“ coby samostatného konceptu práva EU;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t xml:space="preserve">5. </w:t>
            </w:r>
            <w:r w:rsidRPr="00855332">
              <w:tab/>
            </w:r>
            <w:r w:rsidRPr="00855332">
              <w:rPr>
                <w:b/>
                <w:i/>
              </w:rPr>
              <w:t>připomíná, že rámcové rozhodnutí bylo přijato metodou mezivládní spolupráce v rámci bývalého třetího pilíře týkajícího se policejní a justiční spolupráce v trestních věcech;</w:t>
            </w:r>
            <w:r w:rsidRPr="00855332">
              <w:t xml:space="preserve"> </w:t>
            </w:r>
            <w:r w:rsidRPr="00855332">
              <w:rPr>
                <w:b/>
                <w:i/>
              </w:rPr>
              <w:t>domnívá se, že je naléhavě nutné, aby bylo rámcové rozhodnutí</w:t>
            </w:r>
            <w:r w:rsidRPr="00855332">
              <w:t xml:space="preserve"> plně zapracováno do Lisabonské smlouvy jako nový legislativní nástroj</w:t>
            </w:r>
            <w:r w:rsidRPr="00855332">
              <w:rPr>
                <w:b/>
                <w:i/>
              </w:rPr>
              <w:t>, což umožní Evropskému parlamentu jednat jako spolunormotvůrce</w:t>
            </w:r>
            <w:r w:rsidRPr="00855332">
              <w:t>; je přesvědčen o tom, že by tento krok vedl k významným přínosům v podobě demokratické legitimity, právní jistoty, transparentnosti a pevnější soudržnosti s dalšími trestněprávními nástroji, a že by se tak poskytl prostor pro vyjasnění pojmu „justiční orgán“ coby samostatného konceptu práva EU;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38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Geert Bourgeois, Assita Kanko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5 a (nový)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rPr>
                <w:b/>
                <w:i/>
                <w:szCs w:val="24"/>
              </w:rPr>
              <w:t>5a.</w:t>
            </w:r>
            <w:r w:rsidRPr="00855332">
              <w:rPr>
                <w:szCs w:val="24"/>
              </w:rPr>
              <w:t xml:space="preserve"> </w:t>
            </w:r>
            <w:r w:rsidRPr="00855332">
              <w:rPr>
                <w:szCs w:val="24"/>
              </w:rPr>
              <w:tab/>
            </w:r>
            <w:r w:rsidRPr="00855332">
              <w:rPr>
                <w:b/>
                <w:i/>
                <w:szCs w:val="24"/>
              </w:rPr>
              <w:t>zdůrazňuje, že Listina základních práv jakožto pramen primárního práva má vždy přednost před jakýmkoli sekundárním právním předpisem týkajícím se evropského zatýkacího rozkazu; trvá na tom, že jak je uvedeno v čl. 51 odst. 1 Listiny základních práv, členské státy, a v důsledku toho i jejich soudy, musí Listinu dodržovat, pokud uplatňují právo EU, jako je tomu v případě, kdy vystavující justiční orgán a vykonávající justiční orgán uplatňují ustanovení vnitrostátních právních předpisů přijatých za účelem provedení rámcového rozhodnutí; domnívá se proto, že automatické předání je vyloučeno, jak potvrdil Evropský soudní dvůr v rozsudku Aranyosi (C-404/15); trvá na tom, že soudní kontrola je vždy nezbytná, aby bylo možné mimo jiné ověřit, zda existuje zákonné rozhodnutí, příslušný orgán a dodržování základních práv; konstatuje, že pokud má justiční orgán vykonávajícího členského státu k dispozici důkazy o tom, že ve vystavujícím členském státě reálně hrozí porušení základních práv, je tento justiční orgán povinen posoudit existenci tohoto rizika, když má rozhodnout o předání osoby orgánům vystavujícího členského státu;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39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Gwendoline Delbos-Corfield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5 a (nový)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rPr>
                <w:b/>
                <w:i/>
              </w:rPr>
              <w:t>5a.</w:t>
            </w:r>
            <w:r w:rsidRPr="00855332">
              <w:tab/>
            </w:r>
            <w:r w:rsidRPr="00855332">
              <w:rPr>
                <w:b/>
                <w:i/>
              </w:rPr>
              <w:t>znovu připomíná, že pro ochranu právního státu, demokracie a základních práv v EU a pro budování vzájemné důvěry mezi členskými státy je nezbytný pokrok v probíhajících postupech podle článku 7;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/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40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Geert Bourgeois, Assita Kanko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6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>6.</w:t>
            </w:r>
            <w:r w:rsidRPr="00855332">
              <w:rPr>
                <w:szCs w:val="24"/>
              </w:rPr>
              <w:t xml:space="preserve"> </w:t>
            </w:r>
            <w:r w:rsidRPr="00855332">
              <w:rPr>
                <w:szCs w:val="24"/>
              </w:rPr>
              <w:tab/>
            </w:r>
            <w:r w:rsidRPr="00855332">
              <w:rPr>
                <w:b/>
                <w:i/>
              </w:rPr>
              <w:t>konstatuje, že vystoupení Spojeného království z EU nabízí příležitost k dalšímu sjednocování prostoru trestního soudnictví;</w:t>
            </w:r>
            <w:r w:rsidRPr="00855332">
              <w:t xml:space="preserve"> připomíná, že se v politickém prohlášení o rámci budoucích vztahů uvádí, že mezi Spojeným královstvím a EU „bude ustanovena komplexní, úzká, vyvážená a vzájemná spolupráce v oblasti vymáhání práva a justiční spolupráce v trestních věcech“; trvá na tom, že se jakákoli dohoda mezi Spojeným královstvím a EU ohledně justiční spolupráce v trestních věcech musí opírat mimo jiné o závazky obou stran dodržovat základní práva a že se taková dohoda musí zakládat na pravomoci Soudního dvora EU v této oblasti;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t>6.</w:t>
            </w:r>
            <w:r w:rsidRPr="00855332">
              <w:rPr>
                <w:szCs w:val="24"/>
              </w:rPr>
              <w:t xml:space="preserve"> </w:t>
            </w:r>
            <w:r w:rsidRPr="00855332">
              <w:rPr>
                <w:szCs w:val="24"/>
              </w:rPr>
              <w:tab/>
            </w:r>
            <w:r w:rsidRPr="00855332">
              <w:t>připomíná, že se v politickém prohlášení o rámci budoucích vztahů uvádí, že mezi Spojeným královstvím a EU „bude ustanovena komplexní, úzká, vyvážená a vzájemná spolupráce v oblasti vymáhání práva a justiční spolupráce v trestních věcech“; trvá na tom, že se jakákoli dohoda mezi Spojeným královstvím a EU ohledně justiční spolupráce v trestních věcech musí opírat mimo jiné o závazky obou stran dodržovat základní práva a že se taková dohoda musí zakládat na pravomoci Soudního dvora EU v této oblasti;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41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Loránt Vincze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6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 xml:space="preserve">6. </w:t>
            </w:r>
            <w:r w:rsidRPr="00855332">
              <w:tab/>
              <w:t>konstatuje, že vystoupení Spojeného království z EU nabízí příležitost k dalšímu sjednocování prostoru trestního soudnictví; připomíná, že se v politickém prohlášení o rámci budoucích vztahů uvádí, že mezi Spojeným královstvím a EU „bude ustanovena komplexní, úzká, vyvážená a vzájemná spolupráce v oblasti vymáhání práva a justiční spolupráce v trestních věcech“; trvá na tom, že se jakákoli dohoda mezi Spojeným královstvím a EU ohledně justiční spolupráce v trestních věcech musí opírat mimo jiné o závazky obou stran dodržovat základní práva a že se taková dohoda musí zakládat na pravomoci Soudního dvora EU v této oblasti;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t xml:space="preserve">6. </w:t>
            </w:r>
            <w:r w:rsidRPr="00855332">
              <w:tab/>
              <w:t xml:space="preserve">konstatuje, že vystoupení Spojeného království z EU nabízí příležitost k dalšímu sjednocování prostoru trestního soudnictví; připomíná, že se v politickém prohlášení o rámci budoucích vztahů uvádí, že mezi Spojeným královstvím a EU „bude ustanovena komplexní, úzká, vyvážená a vzájemná spolupráce v oblasti vymáhání práva a justiční spolupráce v trestních věcech“; </w:t>
            </w:r>
            <w:r w:rsidRPr="00855332">
              <w:rPr>
                <w:b/>
                <w:bCs/>
                <w:i/>
                <w:iCs/>
              </w:rPr>
              <w:t>zdůrazňuje, že pokud EU a Spojené království nedosáhnou do konce přechodného období nové dohody o vydávání v rámci všeobecné dohody o partnerství, budou se strany muset vrátit k Evropské úmluvě Rady Evropy o vydávání z roku 1957, což bude mít za následek namísto technických procesů výrazně pomalejší procesy politické a diplomatické povahy;</w:t>
            </w:r>
            <w:r w:rsidRPr="00855332">
              <w:t xml:space="preserve"> trvá na tom, že se jakákoli dohoda mezi Spojeným královstvím a EU ohledně justiční spolupráce v trestních věcech musí opírat mimo jiné o závazky obou stran dodržovat základní práva</w:t>
            </w:r>
            <w:r w:rsidRPr="00855332">
              <w:rPr>
                <w:b/>
                <w:i/>
              </w:rPr>
              <w:t>, včetně trvalého závazku Spojeného království k dodržování rámce Evropské úmluvy o lidských právech (EÚLP),</w:t>
            </w:r>
            <w:r w:rsidRPr="00855332">
              <w:t xml:space="preserve"> a že se taková dohoda musí zakládat na pravomoci Soudního dvora EU v této oblasti;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pPr>
        <w:rPr>
          <w:rStyle w:val="HideTWBExt"/>
          <w:noProof w:val="0"/>
        </w:rPr>
      </w:pPr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42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Paulo Rangel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6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rPr>
                <w:szCs w:val="24"/>
              </w:rPr>
              <w:t>6.</w:t>
            </w:r>
            <w:r w:rsidRPr="00855332">
              <w:t xml:space="preserve"> </w:t>
            </w:r>
            <w:r w:rsidRPr="00855332">
              <w:tab/>
              <w:t xml:space="preserve">konstatuje, že vystoupení Spojeného království z EU nabízí příležitost k dalšímu sjednocování prostoru trestního soudnictví; připomíná, že se v politickém prohlášení o rámci budoucích vztahů uvádí, že mezi Spojeným královstvím a EU „bude ustanovena komplexní, úzká, vyvážená a vzájemná spolupráce v oblasti vymáhání práva a justiční spolupráce v trestních věcech“; trvá na tom, že se jakákoli dohoda mezi Spojeným královstvím a EU ohledně justiční spolupráce v trestních věcech musí opírat mimo jiné o závazky obou stran dodržovat základní práva a </w:t>
            </w:r>
            <w:r w:rsidRPr="00855332">
              <w:rPr>
                <w:b/>
                <w:i/>
              </w:rPr>
              <w:t>že se taková dohoda musí zakládat na</w:t>
            </w:r>
            <w:r w:rsidRPr="00855332">
              <w:t xml:space="preserve"> pravomoci Soudního dvora EU v této oblasti;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rPr>
                <w:szCs w:val="24"/>
              </w:rPr>
              <w:t>6.</w:t>
            </w:r>
            <w:r w:rsidRPr="00855332">
              <w:t xml:space="preserve"> </w:t>
            </w:r>
            <w:r w:rsidRPr="00855332">
              <w:tab/>
              <w:t>konstatuje, že vystoupení Spojeného království z EU nabízí příležitost k dalšímu sjednocování prostoru trestního soudnictví; připomíná, že se v politickém prohlášení o rámci budoucích vztahů uvádí, že mezi Spojeným královstvím a EU „bude ustanovena komplexní, úzká, vyvážená a vzájemná spolupráce v oblasti vymáhání práva a justiční spolupráce v trestních věcech“; trvá na tom, že se jakákoli dohoda mezi Spojeným královstvím a EU ohledně justiční spolupráce v trestních věcech musí opírat mimo jiné o závazky obou stran dodržovat základní práva</w:t>
            </w:r>
            <w:r w:rsidRPr="00855332">
              <w:rPr>
                <w:b/>
                <w:i/>
              </w:rPr>
              <w:t>, včetně dodržování</w:t>
            </w:r>
            <w:r w:rsidRPr="00855332">
              <w:t xml:space="preserve"> a </w:t>
            </w:r>
            <w:r w:rsidRPr="00855332">
              <w:rPr>
                <w:b/>
                <w:i/>
              </w:rPr>
              <w:t>uplatňování EÚLP, zásady ne bis in idem a procesních práv, a o</w:t>
            </w:r>
            <w:r w:rsidRPr="00855332">
              <w:t xml:space="preserve"> pravomoci Soudního dvora EU v této oblasti;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43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Fabio Massimo Castaldo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6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  <w:r w:rsidRPr="00855332">
              <w:t xml:space="preserve">6. </w:t>
            </w:r>
            <w:r w:rsidRPr="00855332">
              <w:tab/>
              <w:t xml:space="preserve">konstatuje, že </w:t>
            </w:r>
            <w:r w:rsidRPr="00855332">
              <w:rPr>
                <w:b/>
                <w:i/>
              </w:rPr>
              <w:t>vystoupení Spojeného království</w:t>
            </w:r>
            <w:r w:rsidRPr="00855332">
              <w:t xml:space="preserve"> z EU nabízí příležitost k dalšímu sjednocování prostoru trestního soudnictví; připomíná, že se v politickém prohlášení o rámci budoucích vztahů uvádí, že mezi Spojeným královstvím a EU „bude ustanovena komplexní, úzká, vyvážená a vzájemná spolupráce v oblasti vymáhání práva a justiční spolupráce v trestních věcech“; trvá na tom, že se jakákoli dohoda mezi Spojeným královstvím a EU ohledně justiční spolupráce v trestních věcech musí opírat mimo jiné o závazky obou stran dodržovat základní práva a že se taková dohoda musí zakládat na pravomoci Soudního dvora EU v této oblasti;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t xml:space="preserve">6. </w:t>
            </w:r>
            <w:r w:rsidRPr="00855332">
              <w:tab/>
              <w:t xml:space="preserve">konstatuje, že </w:t>
            </w:r>
            <w:r w:rsidRPr="00855332">
              <w:rPr>
                <w:b/>
                <w:i/>
              </w:rPr>
              <w:t>Spojené království vždy bránilo provádění nástroje a že jeho vystoupení</w:t>
            </w:r>
            <w:r w:rsidRPr="00855332">
              <w:t xml:space="preserve"> z EU nabízí příležitost k dalšímu sjednocování prostoru trestního soudnictví; připomíná, že se v politickém prohlášení o rámci budoucích vztahů uvádí, že mezi Spojeným královstvím a EU „bude ustanovena komplexní, úzká, vyvážená a vzájemná spolupráce v oblasti vymáhání práva a justiční spolupráce v trestních věcech“; trvá na tom, že se jakákoli dohoda mezi Spojeným královstvím a EU ohledně justiční spolupráce v trestních věcech musí opírat mimo jiné o závazky obou stran dodržovat základní práva a že se taková dohoda musí zakládat na pravomoci Soudního dvora EU v této oblasti;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pPr>
        <w:pStyle w:val="AmNumberTabs"/>
        <w:keepNext/>
        <w:rPr>
          <w:rStyle w:val="HideTWBExt"/>
          <w:noProof w:val="0"/>
        </w:rPr>
      </w:pPr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pPr>
        <w:pStyle w:val="AmNumberTabs"/>
        <w:keepNext/>
      </w:pPr>
      <w:r w:rsidRPr="00855332">
        <w:rPr>
          <w:rStyle w:val="HideTWBExt"/>
          <w:b w:val="0"/>
          <w:noProof w:val="0"/>
        </w:rPr>
        <w:t>&lt;Amend&gt;</w:t>
      </w:r>
      <w:r w:rsidRPr="00855332">
        <w:t>Pozměňovací návrh</w:t>
      </w:r>
      <w:r w:rsidRPr="00855332">
        <w:tab/>
      </w:r>
      <w:r w:rsidRPr="00855332">
        <w:tab/>
      </w:r>
      <w:r w:rsidRPr="00855332">
        <w:rPr>
          <w:rStyle w:val="HideTWBExt"/>
          <w:b w:val="0"/>
          <w:noProof w:val="0"/>
        </w:rPr>
        <w:t>&lt;NumAm&gt;</w:t>
      </w:r>
      <w:r w:rsidRPr="00855332">
        <w:t>44</w:t>
      </w:r>
      <w:r w:rsidRPr="00855332">
        <w:rPr>
          <w:rStyle w:val="HideTWBExt"/>
          <w:b w:val="0"/>
          <w:noProof w:val="0"/>
        </w:rPr>
        <w:t>&lt;/NumAm&gt;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&lt;RepeatBlock-By&gt;&lt;Members&gt;</w:t>
      </w:r>
      <w:r w:rsidRPr="00855332">
        <w:t>Pascal Durand</w:t>
      </w:r>
      <w:r w:rsidRPr="00855332">
        <w:rPr>
          <w:rStyle w:val="HideTWBExt"/>
          <w:b w:val="0"/>
          <w:noProof w:val="0"/>
        </w:rPr>
        <w:t>&lt;/Members&gt;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&lt;/RepeatBlock-By&gt;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&lt;DocAmend&gt;</w:t>
      </w:r>
      <w:r w:rsidRPr="00855332">
        <w:t>Návrh stanoviska</w:t>
      </w:r>
      <w:r w:rsidRPr="00855332">
        <w:rPr>
          <w:rStyle w:val="HideTWBExt"/>
          <w:b w:val="0"/>
          <w:noProof w:val="0"/>
        </w:rPr>
        <w:t>&lt;/DocAmend&gt;</w:t>
      </w:r>
    </w:p>
    <w:p w:rsidR="001E51D4" w:rsidRPr="00855332" w:rsidRDefault="001E51D4" w:rsidP="001E51D4">
      <w:pPr>
        <w:pStyle w:val="NormalBold"/>
      </w:pPr>
      <w:r w:rsidRPr="00855332">
        <w:rPr>
          <w:rStyle w:val="HideTWBExt"/>
          <w:b w:val="0"/>
          <w:noProof w:val="0"/>
        </w:rPr>
        <w:t>&lt;Article&gt;</w:t>
      </w:r>
      <w:r w:rsidRPr="00855332">
        <w:t>Bod 6 a (nový)</w:t>
      </w:r>
      <w:r w:rsidRPr="0085533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E51D4" w:rsidRPr="00855332" w:rsidTr="00655B0C">
        <w:trPr>
          <w:jc w:val="center"/>
        </w:trPr>
        <w:tc>
          <w:tcPr>
            <w:tcW w:w="9752" w:type="dxa"/>
            <w:gridSpan w:val="2"/>
          </w:tcPr>
          <w:p w:rsidR="001E51D4" w:rsidRPr="00855332" w:rsidRDefault="001E51D4" w:rsidP="00655B0C">
            <w:pPr>
              <w:keepNext/>
            </w:pP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Návrh stanoviska</w:t>
            </w: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AmColumnHeading"/>
              <w:keepNext/>
            </w:pPr>
            <w:r w:rsidRPr="00855332">
              <w:t>Pozměňovací návrh</w:t>
            </w:r>
          </w:p>
        </w:tc>
      </w:tr>
      <w:tr w:rsidR="001E51D4" w:rsidRPr="00855332" w:rsidTr="00655B0C">
        <w:trPr>
          <w:jc w:val="center"/>
        </w:trPr>
        <w:tc>
          <w:tcPr>
            <w:tcW w:w="4876" w:type="dxa"/>
          </w:tcPr>
          <w:p w:rsidR="001E51D4" w:rsidRPr="00855332" w:rsidRDefault="001E51D4" w:rsidP="00655B0C">
            <w:pPr>
              <w:pStyle w:val="Normal6a"/>
            </w:pPr>
          </w:p>
        </w:tc>
        <w:tc>
          <w:tcPr>
            <w:tcW w:w="4876" w:type="dxa"/>
          </w:tcPr>
          <w:p w:rsidR="001E51D4" w:rsidRPr="00855332" w:rsidRDefault="001E51D4" w:rsidP="00655B0C">
            <w:pPr>
              <w:pStyle w:val="Normal6a"/>
              <w:rPr>
                <w:szCs w:val="24"/>
              </w:rPr>
            </w:pPr>
            <w:r w:rsidRPr="00855332">
              <w:rPr>
                <w:b/>
                <w:bCs/>
                <w:i/>
                <w:iCs/>
              </w:rPr>
              <w:t>6a.</w:t>
            </w:r>
            <w:r w:rsidRPr="00855332">
              <w:t xml:space="preserve"> </w:t>
            </w:r>
            <w:r w:rsidRPr="00855332">
              <w:tab/>
            </w:r>
            <w:r w:rsidRPr="00855332">
              <w:rPr>
                <w:b/>
                <w:bCs/>
                <w:i/>
                <w:iCs/>
              </w:rPr>
              <w:t>v této souvislosti navrhuje, aby Evropský parlament v současném volebním období pořádal pravidelná slyšení s členskými státy a agenturou Eurojust s cílem posílit dialog a transparentnost mezi stranami rámcového nařízení;</w:t>
            </w:r>
          </w:p>
        </w:tc>
      </w:tr>
    </w:tbl>
    <w:p w:rsidR="001E51D4" w:rsidRPr="00855332" w:rsidRDefault="001E51D4" w:rsidP="001E51D4">
      <w:pPr>
        <w:pStyle w:val="AmOrLang"/>
      </w:pPr>
      <w:r w:rsidRPr="00855332">
        <w:t xml:space="preserve">Or. </w:t>
      </w:r>
      <w:r w:rsidRPr="00855332">
        <w:rPr>
          <w:rStyle w:val="HideTWBExt"/>
          <w:noProof w:val="0"/>
        </w:rPr>
        <w:t>&lt;Original&gt;</w:t>
      </w:r>
      <w:r w:rsidRPr="00855332">
        <w:rPr>
          <w:rStyle w:val="HideTWBInt"/>
        </w:rPr>
        <w:t>{EN}</w:t>
      </w:r>
      <w:r w:rsidRPr="00855332">
        <w:t>en</w:t>
      </w:r>
      <w:r w:rsidRPr="00855332">
        <w:rPr>
          <w:rStyle w:val="HideTWBExt"/>
          <w:noProof w:val="0"/>
        </w:rPr>
        <w:t>&lt;/Original&gt;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&lt;/Amend&gt;</w:t>
      </w:r>
    </w:p>
    <w:p w:rsidR="001E51D4" w:rsidRPr="00855332" w:rsidRDefault="001E51D4" w:rsidP="001E51D4">
      <w:r w:rsidRPr="00855332">
        <w:rPr>
          <w:rStyle w:val="HideTWBExt"/>
          <w:noProof w:val="0"/>
        </w:rPr>
        <w:t>&lt;/RepeatBlock-Amend&gt;</w:t>
      </w:r>
    </w:p>
    <w:p w:rsidR="001E51D4" w:rsidRPr="00855332" w:rsidRDefault="001E51D4" w:rsidP="001E51D4"/>
    <w:p w:rsidR="001E51D4" w:rsidRPr="00855332" w:rsidRDefault="001E51D4" w:rsidP="001E51D4">
      <w:pPr>
        <w:pStyle w:val="AmNumberTabs"/>
        <w:keepNext/>
      </w:pPr>
    </w:p>
    <w:p w:rsidR="004F7EAC" w:rsidRPr="00855332" w:rsidRDefault="004F7EAC" w:rsidP="001E51D4">
      <w:pPr>
        <w:pStyle w:val="AmNumberTabs"/>
        <w:keepNext/>
      </w:pPr>
    </w:p>
    <w:sectPr w:rsidR="004F7EAC" w:rsidRPr="00855332" w:rsidSect="001E5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5" w:h="16837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EC" w:rsidRPr="001E51D4" w:rsidRDefault="004123EC">
      <w:r w:rsidRPr="001E51D4">
        <w:separator/>
      </w:r>
    </w:p>
  </w:endnote>
  <w:endnote w:type="continuationSeparator" w:id="0">
    <w:p w:rsidR="004123EC" w:rsidRPr="001E51D4" w:rsidRDefault="004123EC">
      <w:r w:rsidRPr="001E51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D4" w:rsidRPr="001E51D4" w:rsidRDefault="001E51D4" w:rsidP="001E51D4">
    <w:pPr>
      <w:pStyle w:val="EPFooter"/>
    </w:pPr>
    <w:r w:rsidRPr="001E51D4">
      <w:t>PE</w:t>
    </w:r>
    <w:r w:rsidRPr="001E51D4">
      <w:rPr>
        <w:rStyle w:val="HideTWBExt"/>
        <w:noProof w:val="0"/>
      </w:rPr>
      <w:t>&lt;NoPE&gt;</w:t>
    </w:r>
    <w:r w:rsidRPr="001E51D4">
      <w:t>658.701</w:t>
    </w:r>
    <w:r w:rsidRPr="001E51D4">
      <w:rPr>
        <w:rStyle w:val="HideTWBExt"/>
        <w:noProof w:val="0"/>
      </w:rPr>
      <w:t>&lt;/NoPE&gt;&lt;Version&gt;</w:t>
    </w:r>
    <w:r w:rsidRPr="001E51D4">
      <w:t>v01-00</w:t>
    </w:r>
    <w:r w:rsidRPr="001E51D4">
      <w:rPr>
        <w:rStyle w:val="HideTWBExt"/>
        <w:noProof w:val="0"/>
      </w:rPr>
      <w:t>&lt;/Version&gt;</w:t>
    </w:r>
    <w:r w:rsidRPr="001E51D4">
      <w:tab/>
    </w:r>
    <w:r w:rsidRPr="001E51D4">
      <w:fldChar w:fldCharType="begin"/>
    </w:r>
    <w:r w:rsidRPr="001E51D4">
      <w:instrText xml:space="preserve"> PAGE  \* MERGEFORMAT </w:instrText>
    </w:r>
    <w:r w:rsidRPr="001E51D4">
      <w:fldChar w:fldCharType="separate"/>
    </w:r>
    <w:r w:rsidR="00855332">
      <w:rPr>
        <w:noProof/>
      </w:rPr>
      <w:t>2</w:t>
    </w:r>
    <w:r w:rsidRPr="001E51D4">
      <w:fldChar w:fldCharType="end"/>
    </w:r>
    <w:r w:rsidRPr="001E51D4">
      <w:t>/</w:t>
    </w:r>
    <w:r w:rsidR="0068442E">
      <w:rPr>
        <w:noProof/>
      </w:rPr>
      <w:fldChar w:fldCharType="begin"/>
    </w:r>
    <w:r w:rsidR="0068442E">
      <w:rPr>
        <w:noProof/>
      </w:rPr>
      <w:instrText xml:space="preserve"> NUMPAGES  \* MERGEFORMAT </w:instrText>
    </w:r>
    <w:r w:rsidR="0068442E">
      <w:rPr>
        <w:noProof/>
      </w:rPr>
      <w:fldChar w:fldCharType="separate"/>
    </w:r>
    <w:r w:rsidR="00855332">
      <w:rPr>
        <w:noProof/>
      </w:rPr>
      <w:t>26</w:t>
    </w:r>
    <w:r w:rsidR="0068442E">
      <w:rPr>
        <w:noProof/>
      </w:rPr>
      <w:fldChar w:fldCharType="end"/>
    </w:r>
    <w:r w:rsidRPr="001E51D4">
      <w:tab/>
    </w:r>
    <w:r w:rsidRPr="001E51D4">
      <w:rPr>
        <w:rStyle w:val="HideTWBExt"/>
        <w:noProof w:val="0"/>
      </w:rPr>
      <w:t>&lt;PathFdR&gt;</w:t>
    </w:r>
    <w:r w:rsidRPr="001E51D4">
      <w:t>AM\1214125CS.docx</w:t>
    </w:r>
    <w:r w:rsidRPr="001E51D4">
      <w:rPr>
        <w:rStyle w:val="HideTWBExt"/>
        <w:noProof w:val="0"/>
      </w:rPr>
      <w:t>&lt;/PathFdR&gt;</w:t>
    </w:r>
  </w:p>
  <w:p w:rsidR="002E29E1" w:rsidRPr="001E51D4" w:rsidRDefault="001E51D4" w:rsidP="001E51D4">
    <w:pPr>
      <w:pStyle w:val="EPFooter2"/>
    </w:pPr>
    <w:r w:rsidRPr="001E51D4"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D4" w:rsidRPr="001E51D4" w:rsidRDefault="001E51D4" w:rsidP="001E51D4">
    <w:pPr>
      <w:pStyle w:val="EPFooter"/>
    </w:pPr>
    <w:r w:rsidRPr="001E51D4">
      <w:rPr>
        <w:rStyle w:val="HideTWBExt"/>
        <w:noProof w:val="0"/>
      </w:rPr>
      <w:t>&lt;PathFdR&gt;</w:t>
    </w:r>
    <w:r w:rsidRPr="001E51D4">
      <w:t>AM\1214125CS.docx</w:t>
    </w:r>
    <w:r w:rsidRPr="001E51D4">
      <w:rPr>
        <w:rStyle w:val="HideTWBExt"/>
        <w:noProof w:val="0"/>
      </w:rPr>
      <w:t>&lt;/PathFdR&gt;</w:t>
    </w:r>
    <w:r w:rsidRPr="001E51D4">
      <w:tab/>
    </w:r>
    <w:r w:rsidRPr="001E51D4">
      <w:fldChar w:fldCharType="begin"/>
    </w:r>
    <w:r w:rsidRPr="001E51D4">
      <w:instrText xml:space="preserve"> PAGE  \* MERGEFORMAT </w:instrText>
    </w:r>
    <w:r w:rsidRPr="001E51D4">
      <w:fldChar w:fldCharType="separate"/>
    </w:r>
    <w:r w:rsidR="00855332">
      <w:rPr>
        <w:noProof/>
      </w:rPr>
      <w:t>25</w:t>
    </w:r>
    <w:r w:rsidRPr="001E51D4">
      <w:fldChar w:fldCharType="end"/>
    </w:r>
    <w:r w:rsidRPr="001E51D4">
      <w:t>/</w:t>
    </w:r>
    <w:r w:rsidR="0068442E">
      <w:rPr>
        <w:noProof/>
      </w:rPr>
      <w:fldChar w:fldCharType="begin"/>
    </w:r>
    <w:r w:rsidR="0068442E">
      <w:rPr>
        <w:noProof/>
      </w:rPr>
      <w:instrText xml:space="preserve"> NUMPAGES  \* MERGEFORMAT </w:instrText>
    </w:r>
    <w:r w:rsidR="0068442E">
      <w:rPr>
        <w:noProof/>
      </w:rPr>
      <w:fldChar w:fldCharType="separate"/>
    </w:r>
    <w:r w:rsidR="00855332">
      <w:rPr>
        <w:noProof/>
      </w:rPr>
      <w:t>26</w:t>
    </w:r>
    <w:r w:rsidR="0068442E">
      <w:rPr>
        <w:noProof/>
      </w:rPr>
      <w:fldChar w:fldCharType="end"/>
    </w:r>
    <w:r w:rsidRPr="001E51D4">
      <w:tab/>
      <w:t>PE</w:t>
    </w:r>
    <w:r w:rsidRPr="001E51D4">
      <w:rPr>
        <w:rStyle w:val="HideTWBExt"/>
        <w:noProof w:val="0"/>
      </w:rPr>
      <w:t>&lt;NoPE&gt;</w:t>
    </w:r>
    <w:r w:rsidRPr="001E51D4">
      <w:t>658.701</w:t>
    </w:r>
    <w:r w:rsidRPr="001E51D4">
      <w:rPr>
        <w:rStyle w:val="HideTWBExt"/>
        <w:noProof w:val="0"/>
      </w:rPr>
      <w:t>&lt;/NoPE&gt;&lt;Version&gt;</w:t>
    </w:r>
    <w:r w:rsidRPr="001E51D4">
      <w:t>v01-00</w:t>
    </w:r>
    <w:r w:rsidRPr="001E51D4">
      <w:rPr>
        <w:rStyle w:val="HideTWBExt"/>
        <w:noProof w:val="0"/>
      </w:rPr>
      <w:t>&lt;/Version&gt;</w:t>
    </w:r>
  </w:p>
  <w:p w:rsidR="002E29E1" w:rsidRPr="001E51D4" w:rsidRDefault="001E51D4" w:rsidP="001E51D4">
    <w:pPr>
      <w:pStyle w:val="EPFooter2"/>
    </w:pPr>
    <w:r w:rsidRPr="001E51D4">
      <w:tab/>
    </w:r>
    <w:r w:rsidRPr="001E51D4">
      <w:tab/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D4" w:rsidRPr="001E51D4" w:rsidRDefault="001E51D4" w:rsidP="001E51D4">
    <w:pPr>
      <w:pStyle w:val="EPFooter"/>
    </w:pPr>
    <w:r w:rsidRPr="001E51D4">
      <w:rPr>
        <w:rStyle w:val="HideTWBExt"/>
        <w:noProof w:val="0"/>
      </w:rPr>
      <w:t>&lt;PathFdR&gt;</w:t>
    </w:r>
    <w:r w:rsidRPr="001E51D4">
      <w:t>AM\1214125CS.docx</w:t>
    </w:r>
    <w:r w:rsidRPr="001E51D4">
      <w:rPr>
        <w:rStyle w:val="HideTWBExt"/>
        <w:noProof w:val="0"/>
      </w:rPr>
      <w:t>&lt;/PathFdR&gt;</w:t>
    </w:r>
    <w:r w:rsidRPr="001E51D4">
      <w:tab/>
    </w:r>
    <w:r w:rsidRPr="001E51D4">
      <w:tab/>
      <w:t>PE</w:t>
    </w:r>
    <w:r w:rsidRPr="001E51D4">
      <w:rPr>
        <w:rStyle w:val="HideTWBExt"/>
        <w:noProof w:val="0"/>
      </w:rPr>
      <w:t>&lt;NoPE&gt;</w:t>
    </w:r>
    <w:r w:rsidRPr="001E51D4">
      <w:t>658.701</w:t>
    </w:r>
    <w:r w:rsidRPr="001E51D4">
      <w:rPr>
        <w:rStyle w:val="HideTWBExt"/>
        <w:noProof w:val="0"/>
      </w:rPr>
      <w:t>&lt;/NoPE&gt;&lt;Version&gt;</w:t>
    </w:r>
    <w:r w:rsidRPr="001E51D4">
      <w:t>v01-00</w:t>
    </w:r>
    <w:r w:rsidRPr="001E51D4">
      <w:rPr>
        <w:rStyle w:val="HideTWBExt"/>
        <w:noProof w:val="0"/>
      </w:rPr>
      <w:t>&lt;/Version&gt;</w:t>
    </w:r>
  </w:p>
  <w:p w:rsidR="002E29E1" w:rsidRPr="001E51D4" w:rsidRDefault="001E51D4" w:rsidP="001E51D4">
    <w:pPr>
      <w:pStyle w:val="EPFooter2"/>
    </w:pPr>
    <w:r w:rsidRPr="001E51D4">
      <w:t>CS</w:t>
    </w:r>
    <w:r w:rsidRPr="001E51D4">
      <w:tab/>
    </w:r>
    <w:r w:rsidRPr="001E51D4">
      <w:rPr>
        <w:b w:val="0"/>
        <w:i/>
        <w:color w:val="C0C0C0"/>
        <w:sz w:val="22"/>
      </w:rPr>
      <w:t>Jednotná v rozmanitosti</w:t>
    </w:r>
    <w:r w:rsidRPr="001E51D4">
      <w:tab/>
      <w:t>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EC" w:rsidRPr="001E51D4" w:rsidRDefault="004123EC">
      <w:r w:rsidRPr="001E51D4">
        <w:separator/>
      </w:r>
    </w:p>
  </w:footnote>
  <w:footnote w:type="continuationSeparator" w:id="0">
    <w:p w:rsidR="004123EC" w:rsidRPr="001E51D4" w:rsidRDefault="004123EC">
      <w:r w:rsidRPr="001E51D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E8" w:rsidRDefault="00C61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E8" w:rsidRDefault="00C616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E8" w:rsidRDefault="00C616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B6B413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1A2118C2"/>
    <w:multiLevelType w:val="multilevel"/>
    <w:tmpl w:val="1368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26B2409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5" w15:restartNumberingAfterBreak="0">
    <w:nsid w:val="4C51729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71FF0C87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fr-FR" w:vendorID="9" w:dllVersion="512" w:checkStyle="0"/>
  <w:activeWritingStyle w:appName="MSWord" w:lang="cs-CZ" w:vendorID="7" w:dllVersion="514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PLURMNU" w:val=" 1"/>
    <w:docVar w:name="COMMKEY" w:val="AFCO"/>
    <w:docVar w:name="CVar" w:val="2"/>
    <w:docVar w:name="iNoAmend" w:val="2"/>
    <w:docVar w:name="InsideLoop" w:val="1"/>
    <w:docVar w:name="LastEditedSection" w:val=" 1"/>
    <w:docVar w:name="RepeatBlock-AmendCS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06\fbidi \froman\fcharset238\fprq2 Times New Roman CE;}{\f307\fbidi \froman\fcharset204\fprq2 Times New Roman Cyr;}_x000d__x000a_{\f309\fbidi \froman\fcharset161\fprq2 Times New Roman Greek;}{\f310\fbidi \froman\fcharset162\fprq2 Times New Roman Tur;}{\f311\fbidi \froman\fcharset177\fprq2 Times New Roman (Hebrew);}{\f312\fbidi \froman\fcharset178\fprq2 Times New Roman (Arabic);}_x000d__x000a_{\f313\fbidi \froman\fcharset186\fprq2 Times New Roman Baltic;}{\f314\fbidi \froman\fcharset163\fprq2 Times New Roman (Vietnamese);}{\f316\fbidi \fswiss\fcharset238\fprq2 Arial CE;}{\f317\fbidi \fswiss\fcharset204\fprq2 Arial Cyr;}_x000d__x000a_{\f319\fbidi \fswiss\fcharset161\fprq2 Arial Greek;}{\f320\fbidi \fswiss\fcharset162\fprq2 Arial Tur;}{\f321\fbidi \fswiss\fcharset177\fprq2 Arial (Hebrew);}{\f322\fbidi \fswiss\fcharset178\fprq2 Arial (Arabic);}_x000d__x000a_{\f323\fbidi \fswiss\fcharset186\fprq2 Arial Baltic;}{\f324\fbidi \fswiss\fcharset163\fprq2 Arial (Vietnamese);}{\f646\fbidi \froman\fcharset238\fprq2 Cambria Math CE;}{\f647\fbidi \froman\fcharset204\fprq2 Cambria Math Cyr;}_x000d__x000a_{\f649\fbidi \froman\fcharset161\fprq2 Cambria Math Greek;}{\f650\fbidi \froman\fcharset162\fprq2 Cambria Math Tur;}{\f653\fbidi \froman\fcharset186\fprq2 Cambria Math Baltic;}{\f65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}{\colortbl;\red0\green0\blue0;_x000d__x000a_\red0\green0\blue255;\red0\green255\blue255;\red0\green255\blue0;\red255\green0\blue255;\red255\green0\blue0;\red255\green255\blue0;\red255\green255\blue255;\red0\green0\blue128;\red0\green128\blue128;\red0\green128\blue0;\red128\green0\blue128;_x000d__x000a_\red128\green0\blue0;\red128\green128\blue0;\red128\green128\blue128;\red192\green192\blue192;\caccentone\ctint255\cshade191\red46\green116\blue181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\styrsid7823322 Normal;}{\s1\ql \li0\ri0\sb240\keep\keepn\widctlpar\wrapdefault\aspalpha\aspnum\faauto\outlinelevel0\adjustright\rin0\lin0\itap0 \rtlch\fcs1 _x000d__x000a_\af31503\afs32\alang1025 \ltrch\fcs0 \fs32\cf17\lang2057\langfe2057\loch\f31502\hich\af31502\dbch\af31501\cgrid\langnp2057\langfenp2057 \sbasedon0 \snext0 \slink15 \ssemihidden \sqformat \spriority0 \styrsid223860 heading 1;}{\*\cs10 \additive _x000d__x000a_\ssemihidden \sunhideused \spriority1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439647 HideTWBExt;}{\*\cs18 \additive \v\f1\fs20\cf15 _x000d__x000a_\spriority0 \styrsid9439647 HideTWBInt;}{\s19\qr \li0\ri0\sb240\sa240\nowidctlpar\wrapdefault\aspalpha\aspnum\faauto\adjustright\rin0\lin0\itap0 \rtlch\fcs1 \af0\afs20\alang1025 \ltrch\fcs0 \fs24\lang1029\langfe2057\cgrid\langnp1029\langfenp2057 _x000d__x000a_\sbasedon0 \snext19 \spriority0 \styrsid9439647 AmOrLang;}{\s20\ql \li0\ri0\sa120\nowidctlpar\wrapdefault\aspalpha\aspnum\faauto\adjustright\rin0\lin0\itap0 \rtlch\fcs1 \af0\afs20\alang1025 \ltrch\fcs0 _x000d__x000a_\fs24\lang1029\langfe2057\cgrid\langnp1029\langfenp2057 \sbasedon0 \snext20 \spriority0 \styrsid9439647 Normal6a;}{\s21\ql \li0\ri0\nowidctlpar\wrapdefault\aspalpha\aspnum\faauto\adjustright\rin0\lin0\itap0 \rtlch\fcs1 \af0\afs20\alang1025 \ltrch\fcs0 _x000d__x000a_\b\fs24\lang1029\langfe2057\cgrid\langnp1029\langfenp2057 \sbasedon0 \snext21 \spriority0 \styrsid9439647 NormalBold;}{\s22\qc \li0\ri0\sa240\nowidctlpar\wrapdefault\aspalpha\aspnum\faauto\adjustright\rin0\lin0\itap0 \rtlch\fcs1 \af0\afs20\alang1025 _x000d__x000a_\ltrch\fcs0 \i\fs24\lang1029\langfe2057\cgrid\langnp1029\langfenp2057 \sbasedon0 \snext22 \spriority0 \styrsid9439647 AmColumnHeading;}{\s23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29\langfe2057\cgrid\langnp1029\langfenp2057 \sbasedon0 \snext23 \spriority0 \styrsid9439647 AmNumberTabs;}}{\*\rsidtbl \rsid24658\rsid223860\rsid735077\rsid1718133\rsid2892074\rsid3565327\rsid4147276\rsid4666813\rsid6641733_x000d__x000a_\rsid7823322\rsid9439647\rsid9636012\rsid10377208\rsid11215221\rsid11549030\rsid12154954\rsid14382809\rsid14424199\rsid15204470\rsid15285974\rsid15950462\rsid16324206\rsid16662270}{\mmathPr\mmathFont34\mbrkBin0\mbrkBinSub0\msmallFrac0\mdispDef1\mlMargin0_x000d__x000a_\mrMargin0\mdefJc1\mwrapIndent1440\mintLim0\mnaryLim1}{\info{\author EINHORNOVA Marta}{\operator EINHORNOVA Marta}{\creatim\yr2020\mo9\dy30\hr19\min23}{\revtim\yr2020\mo9\dy30\hr19\min23}{\version1}{\edmins0}{\nofpages1}{\nofwords68}{\nofchars392}_x000d__x000a_{\nofcharsws459}{\vern57449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43964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D:\\USERS\\MEINHO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41472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1472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1472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147276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3\ql \li0\ri0\sb240\keepn\nowidctlpar_x000d__x000a_\tx879\tx936\tx1021\tx1077\tx1134\tx1191\tx1247\tx1304\tx1361\tx1418\tx1474\tx1531\tx1588\tx1644\tx1701\tx1758\tx1814\tx1871\tx2070\tx2126\tx3374\tx3430\wrapdefault\aspalpha\aspnum\faauto\adjustright\rin0\lin0\itap0\pararsid13646180 \rtlch\fcs1 _x000d__x000a_\af0\afs20\alang1025 \ltrch\fcs0 \b\fs24\lang1029\langfe2057\cgrid\langnp1029\langfenp2057 {\rtlch\fcs1 \af0 \ltrch\fcs0 \cs17\b0\v\f1\fs20\cf9\insrsid9439647\charrsid4269036 {\*\bkmkstart restart}&lt;Amend&gt;}{\rtlch\fcs1 \af306 \ltrch\fcs0 _x000d__x000a_\f306\insrsid9439647\charrsid4269036 Pozm\'ec\'f2ovac\'ed n\'e1vrh}{\rtlch\fcs1 \af0 \ltrch\fcs0 \insrsid9439647\charrsid4269036 \tab \tab }{\rtlch\fcs1 \af0 \ltrch\fcs0 \cs17\b0\v\f1\fs20\cf9\insrsid9439647\charrsid4269036 &lt;NumAm&gt;}{\rtlch\fcs1 \af0 _x000d__x000a_\ltrch\fcs0 \insrsid9439647\charrsid4269036 #}{\rtlch\fcs1 \af1 \ltrch\fcs0 \cs18\v\f1\fs20\cf15\insrsid9439647\charrsid4269036 ENMIENDA@NRAM@}{\rtlch\fcs1 \af0 \ltrch\fcs0 \insrsid9439647\charrsid4269036 #}{\rtlch\fcs1 \af0 \ltrch\fcs0 _x000d__x000a_\cs17\b0\v\f1\fs20\cf9\insrsid9439647\charrsid4269036 &lt;/NumAm&gt;}{\rtlch\fcs1 \af0 \ltrch\fcs0 \insrsid9439647\charrsid4269036 _x000d__x000a_\par }\pard\plain \ltrpar\s21\ql \li0\ri0\nowidctlpar\wrapdefault\aspalpha\aspnum\faauto\adjustright\rin0\lin0\itap0\pararsid3025377 \rtlch\fcs1 \af0\afs20\alang1025 \ltrch\fcs0 \b\fs24\lang1029\langfe2057\cgrid\langnp1029\langfenp2057 {\rtlch\fcs1 \af0 _x000d__x000a_\ltrch\fcs0 \cs17\b0\v\f1\fs20\cf9\insrsid9439647\charrsid4269036 &lt;RepeatBlock-By&gt;}{\rtlch\fcs1 \af0 \ltrch\fcs0 \insrsid9439647\charrsid4269036 #}{\rtlch\fcs1 \af1 \ltrch\fcs0 \cs18\v\f1\fs20\cf15\insrsid9439647\charrsid4269036 (MOD@InsideLoop()}{_x000d__x000a_\rtlch\fcs1 \af0 \ltrch\fcs0 \insrsid9439647\charrsid4269036 ##}{\rtlch\fcs1 \af1 \ltrch\fcs0 \cs18\v\f1\fs20\cf15\insrsid9439647\charrsid4269036 &gt;&gt;&gt;@[ZMEMBERSMSG]@}{\rtlch\fcs1 \af0 \ltrch\fcs0 \insrsid9439647\charrsid4269036 #}{\rtlch\fcs1 \af0 _x000d__x000a_\ltrch\fcs0 \cs17\b0\v\f1\fs20\cf9\insrsid9439647\charrsid4269036 &lt;Members&gt;}{\rtlch\fcs1 \af0 \ltrch\fcs0 \insrsid9439647\charrsid4269036 #}{\rtlch\fcs1 \af1 \ltrch\fcs0 \cs18\v\f1\fs20\cf15\insrsid9439647\charrsid4269036 (MOD@InsideLoop(\'a7)}{_x000d__x000a_\rtlch\fcs1 \af0 \ltrch\fcs0 \insrsid9439647\charrsid4269036 #}{\rtlch\fcs1 \af0 \ltrch\fcs0 \cf10\insrsid9439647\charrsid4269036 \u9668\'3f}{\rtlch\fcs1 \af0 \ltrch\fcs0 \insrsid9439647\charrsid4269036 #}{\rtlch\fcs1 \af1 \ltrch\fcs0 _x000d__x000a_\cs18\v\f1\fs20\cf15\insrsid9439647\charrsid4269036 TVTMEMBERS\'a7@MEMBERS@}{\rtlch\fcs1 \af0 \ltrch\fcs0 \insrsid9439647\charrsid4269036 #}{\rtlch\fcs1 \af0 \ltrch\fcs0 \cf10\insrsid9439647\charrsid4269036 \u9658\'3f}{\rtlch\fcs1 \af0 \ltrch\fcs0 _x000d__x000a_\cs17\b0\v\f1\fs20\cf9\insrsid9439647\charrsid4269036 &lt;/Members&gt;}{\rtlch\fcs1 \af0 \ltrch\fcs0 \insrsid9439647\charrsid4269036 _x000d__x000a_\par }\pard\plain \ltrpar\ql \li0\ri0\widctlpar\wrapdefault\aspalpha\aspnum\faauto\adjustright\rin0\lin0\itap0\pararsid3025377 \rtlch\fcs1 \af0\afs20\alang1025 \ltrch\fcs0 \fs24\lang2057\langfe2057\cgrid\langnp2057\langfenp2057 {\rtlch\fcs1 \af0 \ltrch\fcs0 _x000d__x000a_\cs17\v\f1\fs20\cf9\lang1029\langfe2057\langnp1029\insrsid9439647\charrsid4269036 &lt;AuNomDe&gt;&lt;OptDel&gt;}{\rtlch\fcs1 \af0 \ltrch\fcs0 \lang1029\langfe2057\langnp1029\insrsid9439647\charrsid4269036 #}{\rtlch\fcs1 \af1 \ltrch\fcs0 _x000d__x000a_\cs18\v\f1\fs20\cf15\lang1029\langfe2057\langnp1029\insrsid9439647\charrsid4269036 MNU[ONBEHALFYES][NOTAPP]@CHOICE@}{\rtlch\fcs1 \af0 \ltrch\fcs0 \lang1029\langfe2057\langnp1029\insrsid9439647\charrsid4269036 #}{\rtlch\fcs1 \af0 \ltrch\fcs0 _x000d__x000a_\cs17\v\f1\fs20\cf9\lang1029\langfe2057\langnp1029\insrsid9439647\charrsid4269036 &lt;/OptDel&gt;&lt;/AuNomDe&gt;}{\rtlch\fcs1 \af0 \ltrch\fcs0 \lang1029\langfe2057\langnp1029\insrsid9439647\charrsid4269036 _x000d__x000a_\par &lt;&lt;&lt;}{\rtlch\fcs1 \af0 \ltrch\fcs0 \cs17\v\f1\fs20\cf9\lang1029\langfe2057\langnp1029\insrsid9439647\charrsid4269036 &lt;/RepeatBlock-By&gt;}{\rtlch\fcs1 \af0 \ltrch\fcs0 \lang1029\langfe2057\langnp1029\insrsid9439647\charrsid4269036 _x000d__x000a_\par }\pard\plain \ltrpar\s21\ql \li0\ri0\nowidctlpar\wrapdefault\aspalpha\aspnum\faauto\adjustright\rin0\lin0\itap0\pararsid3025377 \rtlch\fcs1 \af0\afs20\alang1025 \ltrch\fcs0 \b\fs24\lang1029\langfe2057\cgrid\langnp1029\langfenp2057 {\rtlch\fcs1 \af0 _x000d__x000a_\ltrch\fcs0 \cs17\b0\v\f1\fs20\cf9\insrsid9439647\charrsid4269036 &lt;DocAmend&gt;}{\rtlch\fcs1 \af0 \ltrch\fcs0 \insrsid9439647\charrsid4269036 N\'e1vrh stanoviska}{\rtlch\fcs1 \af0 \ltrch\fcs0 \cs17\b0\v\f1\fs20\cf9\insrsid9439647\charrsid4269036 &lt;/DocAmend&gt;}_x000d__x000a_{\rtlch\fcs1 \af0 \ltrch\fcs0 \insrsid9439647\charrsid4269036 _x000d__x000a_\par }\pard \ltrpar\s21\ql \li0\ri0\nowidctlpar\wrapdefault\aspalpha\aspnum\faauto\adjustright\rin0\lin0\itap0\pararsid14055546 {\rtlch\fcs1 \af0 \ltrch\fcs0 \cs17\b0\v\f1\fs20\cf9\insrsid9439647\charrsid4269036 &lt;Article&gt;}{\rtlch\fcs1 \af0 \ltrch\fcs0 _x000d__x000a_\cf10\insrsid9439647\charrsid4269036 \u9668\'3f}{\rtlch\fcs1 \af0 \ltrch\fcs0 \insrsid9439647\charrsid4269036 #}{\rtlch\fcs1 \af1 \ltrch\fcs0 \cs18\v\f1\fs20\cf15\insrsid9439647\charrsid4269036 TVTAMPART@AMPART@}{\rtlch\fcs1 \af0 \ltrch\fcs0 _x000d__x000a_\insrsid9439647\charrsid4269036 #}{\rtlch\fcs1 \af0 \ltrch\fcs0 \cf10\insrsid9439647\charrsid4269036 \u9658\'3f}{\rtlch\fcs1 \af0 \ltrch\fcs0 \cs17\b0\v\f1\fs20\cf9\insrsid9439647\charrsid4269036 &lt;/Article&gt;}{\rtlch\fcs1 \af0 \ltrch\fcs0 _x000d__x000a_\insrsid9439647\charrsid4269036 _x000d__x000a_\par \ltrrow}\trowd \ltrrow\ts11\trqc\trgaph340\trleft0\trftsWidth3\trwWidth9752\trftsWidthB3\trpaddl340\trpaddr340\trpaddfl3\trpaddft3\trpaddfb3\trpaddfr3\tblrsid14055546\tblind0\tblindtype3 \clvertalt\clbrdrt\brdrtbl \clbrdrl\brdrtbl \clbrdrb\brdrtbl _x000d__x000a_\clbrdrr\brdrtbl \cltxlrtb\clftsWidth3\clwWidth9752\clshdrawnil \cellx9752\pard\plain \ltrpar\ql \li0\ri0\keepn\widctlpar\intbl\wrapdefault\aspalpha\aspnum\faauto\adjustright\rin0\lin0\pararsid10708565 \rtlch\fcs1 \af0\afs20\alang1025 \ltrch\fcs0 _x000d__x000a_\fs24\lang2057\langfe2057\cgrid\langnp2057\langfenp2057 {\rtlch\fcs1 \af0 \ltrch\fcs0 \lang1029\langfe2057\langnp1029\insrsid9439647\charrsid426903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29\langfe2057\langnp1029\insrsid9439647\charrsid4269036 \trowd \ltrrow\ts11\trqc\trgaph340\trleft0\trftsWidth3\trwWidth9752\trftsWidthB3\trpaddl340\trpaddr340\trpaddfl3\trpaddft3\trpaddfb3\trpaddfr3\tblrsid14055546\tblind0\tblindtype3 \clvertalt_x000d__x000a_\clbrdrt\brdrtbl \clbrdrl\brdrtbl \clbrdrb\brdrtbl \clbrdrr\brdrtbl \cltxlrtb\clftsWidth3\clwWidth9752\clshdrawnil \cellx9752\row \ltrrow}\trowd \ltrrow_x000d__x000a_\ts11\trqc\trgaph340\trleft0\trftsWidth3\trwWidth9752\trftsWidthB3\trpaddl340\trpaddr340\trpaddfl3\trpaddft3\trpaddfb3\trpaddfr3\tblrsid14055546\tblind0\tblindtype3 \clvertalt\clbrdrt\brdrtbl \clbrdrl\brdrtbl \clbrdrb\brdrtbl \clbrdrr\brdrtbl _x000d__x000a_\cltxlrtb\clftsWidth3\clwWidth4876\clshdrawnil \cellx4876\clvertalt\clbrdrt\brdrtbl \clbrdrl\brdrtbl \clbrdrb\brdrtbl \clbrdrr\brdrtbl \cltxlrtb\clftsWidth3\clwWidth4876\clshdrawnil \cellx9752\pard\plain \ltrpar_x000d__x000a_\s22\qc \li0\ri0\sa240\keepn\nowidctlpar\intbl\wrapdefault\aspalpha\aspnum\faauto\adjustright\rin0\lin0\pararsid10708565 \rtlch\fcs1 \af0\afs20\alang1025 \ltrch\fcs0 \i\fs24\lang1029\langfe2057\cgrid\langnp1029\langfenp2057 {\rtlch\fcs1 \af0 \ltrch\fcs0 _x000d__x000a_\insrsid9439647\charrsid4269036 N\'e1vrh stanoviska\cell }{\rtlch\fcs1 \af306 \ltrch\fcs0 \f306\insrsid9439647\charrsid4269036 Pozm\'ec\'f2ovac\'ed n\'e1vrh}{\rtlch\fcs1 \af0 \ltrch\fcs0 \insrsid9439647\charrsid426903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29\langfe2057\langnp1029\insrsid9439647\charrsid4269036 \trowd \ltrrow\ts11\trqc\trgaph340\trleft0\trftsWidth3\trwWidth9752\trftsWidthB3\trpaddl340\trpaddr340\trpaddfl3\trpaddft3\trpaddfb3\trpaddfr3\tblrsid14055546\tblind0\tblindtype3 \clvertalt_x000d__x000a_\clbrdrt\brdrtbl \clbrdrl\brdrtbl \clbrdrb\brdrtbl \clbrdrr\brdrtbl \cltxlrtb\clftsWidth3\clwWidth4876\clshdrawnil \cellx4876\clvertalt\clbrdrt\brdrtbl \clbrdrl\brdrtbl \clbrdrb\brdrtbl \clbrdrr\brdrtbl \cltxlrtb\clftsWidth3\clwWidth4876\clshdrawnil _x000d__x000a_\cellx9752\row \ltrrow}\pard\plain \ltrpar\s20\ql \li0\ri0\sa120\nowidctlpar\intbl\wrapdefault\aspalpha\aspnum\faauto\adjustright\rin0\lin0\pararsid14055546 \rtlch\fcs1 \af0\afs20\alang1025 \ltrch\fcs0 _x000d__x000a_\fs24\lang1029\langfe2057\cgrid\langnp1029\langfenp2057 {\rtlch\fcs1 \af0 \ltrch\fcs0 \insrsid9439647\charrsid4269036 ##\cell ##}{\rtlch\fcs1 \af0\afs24 \ltrch\fcs0 \insrsid9439647\charrsid426903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29\langfe2057\langnp1029\insrsid9439647\charrsid4269036 \trowd \lastrow \ltrrow\ts11\trqc\trgaph340\trleft0\trftsWidth3\trwWidth9752\trftsWidthB3\trpaddl340\trpaddr340\trpaddfl3\trpaddft3\trpaddfb3\trpaddfr3\tblrsid14055546\tblind0\tblindtype3 _x000d__x000a_\clvertalt\clbrdrt\brdrtbl \clbrdrl\brdrtbl \clbrdrb\brdrtbl \clbrdrr\brdrtbl \cltxlrtb\clftsWidth3\clwWidth4876\clshdrawnil \cellx4876\clvertalt\clbrdrt\brdrtbl \clbrdrl\brdrtbl \clbrdrb\brdrtbl \clbrdrr\brdrtbl _x000d__x000a_\cltxlrtb\clftsWidth3\clwWidth4876\clshdrawnil \cellx9752\row }\pard\plain \ltrpar\s19\qr \li0\ri0\sb240\sa240\nowidctlpar\wrapdefault\aspalpha\aspnum\faauto\adjustright\rin0\lin0\itap0\pararsid14055546 \rtlch\fcs1 \af0\afs20\alang1025 \ltrch\fcs0 _x000d__x000a_\fs24\lang1029\langfe2057\cgrid\langnp1029\langfenp2057 {\rtlch\fcs1 \af0 \ltrch\fcs0 \insrsid9439647\charrsid4269036 Or. }{\rtlch\fcs1 \af0 \ltrch\fcs0 \cs17\v\f1\fs20\cf9\insrsid9439647\charrsid4269036 &lt;Original&gt;}{\rtlch\fcs1 \af0 \ltrch\fcs0 _x000d__x000a_\insrsid9439647\charrsid4269036 #}{\rtlch\fcs1 \af1 \ltrch\fcs0 \cs18\v\f1\fs20\cf15\insrsid9439647\charrsid4269036 KEY(MAIN/LANGMIN)sh@ORLANGMSG@}{\rtlch\fcs1 \af0 \ltrch\fcs0 \insrsid9439647\charrsid4269036 #}{\rtlch\fcs1 \af0 \ltrch\fcs0 _x000d__x000a_\cs17\v\f1\fs20\cf9\insrsid9439647\charrsid4269036 &lt;/Original&gt;}{\rtlch\fcs1 \af0 \ltrch\fcs0 \insrsid9439647\charrsid4269036 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cs17\v\f1\fs20\cf9\lang1029\langfe2057\langnp1029\insrsid9439647\charrsid4269036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f1_x000d__x000a_3a714e9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28776 HideTWBExt;}{\s16\qr \li0\ri0\sb240\sa240\nowidctlpar\wrapdefault\aspalpha\aspnum\faauto\adjustright\rin0\lin0\itap0 \rtlch\fcs1 \af0\afs20\alang1025 \ltrch\fcs0 _x000d__x000a_\fs24\lang2057\langfe2057\cgrid\langnp2057\langfenp2057 \sbasedon0 \snext16 \spriority0 \styrsid228776 AmOrLang;}{\s17\ql \li0\ri0\sa120\nowidctlpar\wrapdefault\aspalpha\aspnum\faauto\adjustright\rin0\lin0\itap0 \rtlch\fcs1 \af0\afs20\alang1025 _x000d__x000a_\ltrch\fcs0 \fs24\lang2057\langfe2057\cgrid\langnp2057\langfenp2057 \sbasedon0 \snext17 \spriority0 \styrsid228776 Normal6a;}{\s18\ql \li0\ri0\nowidctlpar\wrapdefault\aspalpha\aspnum\faauto\adjustright\rin0\lin0\itap0 \rtlch\fcs1 \af0\afs20\alang1025 _x000d__x000a_\ltrch\fcs0 \b\fs24\lang2057\langfe2057\cgrid\langnp2057\langfenp2057 \sbasedon0 \snext18 \spriority0 \styrsid228776 NormalBold;}{\s19\qc \li0\ri0\sa240\nowidctlpar\wrapdefault\aspalpha\aspnum\faauto\adjustright\rin0\lin0\itap0 \rtlch\fcs1 _x000d__x000a_\af0\afs20\alang1025 \ltrch\fcs0 \i\fs24\lang2057\langfe2057\cgrid\langnp2057\langfenp2057 \sbasedon0 \snext19 \spriority0 \styrsid228776 AmColumnHeading;}{\s20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0 \spriority0 \styrsid228776 AmNumberTabs;}}{\*\rsidtbl \rsid24658\rsid228776\rsid358857\rsid735077\rsid787282\rsid1457763\rsid2892074\rsid3622648\rsid4666813_x000d__x000a_\rsid5708216\rsid6641733\rsid7553164\rsid8465581\rsid8681905\rsid8724649\rsid9636012\rsid986231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FELIX Karina}{\operator FELIX Karina}{\creatim\yr2019\mo7\dy3\hr16\min19}_x000d__x000a_{\revtim\yr2019\mo7\dy3\hr16\min19}{\version1}{\edmins0}{\nofpages1}{\nofwords25}{\nofchars291}{\*\company European Parliament}{\nofcharsws294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28776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457763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577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577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57763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0\ql \li0\ri0\sb240\keepn\nowidctlpar\tx879\tx936\tx1021\tx1077\tx1134\tx1191\tx1247\tx1304\tx1361\tx1418\tx1474\tx1531\tx1588\tx1644\tx1701\tx1758\tx1814\tx1871\tx2070\tx2126\tx3374\tx3430\wrapdefault\aspalpha\aspnum\faauto\adjustright\rin0_x000d__x000a_\lin0\itap0\pararsid228776 \rtlch\fcs1 \af0\afs20\alang1025 \ltrch\fcs0 \b\fs24\lang2057\langfe2057\cgrid\langnp2057\langfenp2057 {\rtlch\fcs1 \af0 \ltrch\fcs0 \cs15\b0\v\f1\fs20\cf9\lang1024\langfe1024\noproof\insrsid228776\charrsid4417459 _x000d__x000a_{\*\bkmkstart restart}&lt;Amend&gt;}{\rtlch\fcs1 \af0 \ltrch\fcs0 \insrsid228776\charrsid1799708 [ZAMENDMENT]}{\rtlch\fcs1 \af0 \ltrch\fcs0 \insrsid228776 \tab \tab }{\rtlch\fcs1 \af0 \ltrch\fcs0 _x000d__x000a_\cs15\b0\v\f1\fs20\cf9\lang1024\langfe1024\noproof\insrsid228776\charrsid4417459 &lt;NumAm&gt;}{\rtlch\fcs1 \af0 \ltrch\fcs0 \insrsid228776\charrsid1799708 [ZNRAM]}{\rtlch\fcs1 \af0 \ltrch\fcs0 _x000d__x000a_\cs15\b0\v\f1\fs20\cf9\lang1024\langfe1024\noproof\insrsid228776\charrsid4417459 &lt;/NumAm&gt;}{\rtlch\fcs1 \af0 \ltrch\fcs0 \insrsid228776\charrsid4080556 _x000d__x000a_\par }\pard\plain \ltrpar\s18\ql \li0\ri0\nowidctlpar\wrapdefault\aspalpha\aspnum\faauto\adjustright\rin0\lin0\itap0\pararsid228776 \rtlch\fcs1 \af0\afs20\alang1025 \ltrch\fcs0 \b\fs24\lang2057\langfe2057\cgrid\langnp2057\langfenp2057 {\rtlch\fcs1 \af0 _x000d__x000a_\ltrch\fcs0 \cs15\b0\v\f1\fs20\cf9\lang1024\langfe1024\noproof\insrsid228776\charrsid14699840 &lt;RepeatBlock-By&gt;}{\rtlch\fcs1 \af0 \ltrch\fcs0 \lang1024\langfe1024\noproof\insrsid228776\charrsid14699840 [RepeatMembers]}{\rtlch\fcs1 \af0 \ltrch\fcs0 _x000d__x000a_\cs15\b0\v\f1\fs20\cf9\lang1024\langfe1024\noproof\insrsid228776\charrsid14699840 &lt;Members&gt;}{\rtlch\fcs1 \af0 \ltrch\fcs0 \insrsid228776\charrsid14699840 [ZMEMBERS]}{\rtlch\fcs1 \af0 \ltrch\fcs0 _x000d__x000a_\cs15\b0\v\f1\fs20\cf9\lang1024\langfe1024\noproof\insrsid228776\charrsid14699840 &lt;/Members&gt;}{\rtlch\fcs1 \af0 \ltrch\fcs0 \insrsid228776\charrsid14699840 _x000d__x000a_\par }\pard\plain \ltrpar\ql \li0\ri0\widctlpar\wrapdefault\aspalpha\aspnum\faauto\adjustright\rin0\lin0\itap0\pararsid228776 \rtlch\fcs1 \af0\afs20\alang1025 \ltrch\fcs0 \fs24\lang2057\langfe2057\cgrid\langnp2057\langfenp2057 {\rtlch\fcs1 \af0 \ltrch\fcs0 _x000d__x000a_\cs15\v\f1\fs20\cf9\lang1024\langfe1024\noproof\langnp1043\insrsid228776\charrsid272660 &lt;AuNomDe&gt;&lt;OptDel&gt;}{\rtlch\fcs1 \af0 \ltrch\fcs0 \lang1043\langfe2057\langnp1043\insrsid228776\charrsid272660 [ZONBEHALF]}{\rtlch\fcs1 \af0 \ltrch\fcs0 _x000d__x000a_\cs15\v\f1\fs20\cf9\lang1024\langfe1024\noproof\langnp1043\insrsid228776\charrsid272660 &lt;/OptDel&gt;&lt;/AuNomDe&gt;}{\rtlch\fcs1 \af0 \ltrch\fcs0 \lang1043\langfe2057\langnp1043\insrsid228776\charrsid272660 _x000d__x000a_\par }{\rtlch\fcs1 \af0 \ltrch\fcs0 \insrsid228776\charrsid14699840 &lt;&lt;&lt;}{\rtlch\fcs1 \af0 \ltrch\fcs0 \cs15\v\f1\fs20\cf9\lang1024\langfe1024\noproof\insrsid228776\charrsid14699840 &lt;/RepeatBlock-By&gt;}{\rtlch\fcs1 \af0 \ltrch\fcs0 _x000d__x000a_\insrsid228776\charrsid14699840 _x000d__x000a_\par }\pard\plain \ltrpar\s18\ql \li0\ri0\nowidctlpar\wrapdefault\aspalpha\aspnum\faauto\adjustright\rin0\lin0\itap0\pararsid228776 \rtlch\fcs1 \af0\afs20\alang1025 \ltrch\fcs0 \b\fs24\lang2057\langfe2057\cgrid\langnp2057\langfenp2057 {\rtlch\fcs1 \af0 _x000d__x000a_\ltrch\fcs0 \cs15\b0\v\f1\fs20\cf9\lang1024\langfe1024\noproof\insrsid228776\charrsid4737239 &lt;DocAmend&gt;}{\rtlch\fcs1 \af0 \ltrch\fcs0 \insrsid228776\charrsid1799708 [Z}{\rtlch\fcs1 \af0 \ltrch\fcs0 \insrsid228776 AMDOC}{\rtlch\fcs1 \af0 \ltrch\fcs0 _x000d__x000a_\insrsid228776\charrsid1799708 ]}{\rtlch\fcs1 \af0 \ltrch\fcs0 \cs15\b0\v\f1\fs20\cf9\lang1024\langfe1024\noproof\insrsid228776\charrsid4737239 &lt;/DocAmend&gt;}{\rtlch\fcs1 \af0 \ltrch\fcs0 \insrsid228776\charrsid1799708 _x000d__x000a_\par }{\rtlch\fcs1 \af0 \ltrch\fcs0 \cs15\b0\v\f1\fs20\cf9\lang1024\langfe1024\noproof\insrsid228776\charrsid1799708 &lt;Article&gt;}{\rtlch\fcs1 \af0 \ltrch\fcs0 \insrsid228776\charrsid1799708 [ZAMPART]}{\rtlch\fcs1 \af0 \ltrch\fcs0 _x000d__x000a_\cs15\b0\v\f1\fs20\cf9\lang1024\langfe1024\noproof\insrsid228776\charrsid1799708 &lt;/Article&gt;}{\rtlch\fcs1 \af0 \ltrch\fcs0 \insrsid228776\charrsid1799708 _x000d__x000a_\par \ltrrow}\trowd \irow0\irowband0\ltrrow\ts11\trqc\trgaph340\trleft-340\trftsWidth3\trwWidth9752\trftsWidthB3\trpaddl340\trpaddr340\trpaddfl3\trpaddft3\trpaddfb3\trpaddfr3\tblrsid14055546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0708565 \rtlch\fcs1 \af0\afs20\alang1025 _x000d__x000a_\ltrch\fcs0 \fs24\lang2057\langfe2057\cgrid\langnp2057\langfenp2057 {\rtlch\fcs1 \af0 \ltrch\fcs0 \insrsid228776\charrsid1799708 \cell }\pard\plain \ltrpar\ql \li0\ri0\widctlpar\intbl\wrapdefault\aspalpha\aspnum\faauto\adjustright\rin0\lin0 \rtlch\fcs1 _x000d__x000a_\af0\afs20\alang1025 \ltrch\fcs0 \fs24\lang2057\langfe2057\cgrid\langnp2057\langfenp2057 {\rtlch\fcs1 \af0 \ltrch\fcs0 \insrsid228776\charrsid1799708 \trowd \irow0\irowband0\ltrrow_x000d__x000a_\ts11\trqc\trgaph340\trleft-340\trftsWidth3\trwWidth9752\trftsWidthB3\trpaddl340\trpaddr340\trpaddfl3\trpaddft3\trpaddfb3\trpaddfr3\tblrsid14055546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14055546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19\qc \li0\ri0\sa240\keepn\nowidctlpar\intbl\wrapdefault\aspalpha\aspnum\faauto\adjustright\rin0\lin0\pararsid10708565 \rtlch\fcs1 \af0\afs20\alang1025 \ltrch\fcs0 \i\fs24\lang2057\langfe2057\cgrid\langnp2057\langfenp2057 {\rtlch\fcs1 \af0 \ltrch\fcs0 _x000d__x000a_\insrsid228776\charrsid1799708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228776\charrsid1799708 \trowd \irow1\irowband1\ltrrow_x000d__x000a_\ts11\trqc\trgaph340\trleft-340\trftsWidth3\trwWidth9752\trftsWidthB3\trpaddl340\trpaddr340\trpaddfl3\trpaddft3\trpaddfb3\trpaddfr3\tblrsid14055546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7\ql \li0\ri0\sa120\nowidctlpar\intbl\wrapdefault\aspalpha\aspnum\faauto\adjustright\rin0\lin0\pararsid14055546 \rtlch\fcs1 \af0\afs20\alang1025 \ltrch\fcs0 \fs24\lang2057\langfe2057\cgrid\langnp2057\langfenp2057 {\rtlch\fcs1 \af0 \ltrch\fcs0 _x000d__x000a_\insrsid228776\charrsid1799708 [ZTEXTL]\cell [ZTEXTR]}{\rtlch\fcs1 \af0\afs24 \ltrch\fcs0 \insrsid228776\charrsid1799708 \cell }\pard\plain \ltrpar\ql \li0\ri0\widctlpar\intbl\wrapdefault\aspalpha\aspnum\faauto\adjustright\rin0\lin0 \rtlch\fcs1 _x000d__x000a_\af0\afs20\alang1025 \ltrch\fcs0 \fs24\lang2057\langfe2057\cgrid\langnp2057\langfenp2057 {\rtlch\fcs1 \af0 \ltrch\fcs0 \insrsid228776\charrsid1799708 \trowd \irow2\irowband2\lastrow \ltrrow_x000d__x000a_\ts11\trqc\trgaph340\trleft-340\trftsWidth3\trwWidth9752\trftsWidthB3\trpaddl340\trpaddr340\trpaddfl3\trpaddft3\trpaddfb3\trpaddfr3\tblrsid14055546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16\qr \li0\ri0\sb240\sa240\nowidctlpar\wrapdefault\aspalpha\aspnum\faauto\adjustright\rin0\lin0\itap0\pararsid228776 \rtlch\fcs1 \af0\afs20\alang1025 \ltrch\fcs0 \fs24\lang2057\langfe2057\cgrid\langnp2057\langfenp2057 {\rtlch\fcs1 \af0 \ltrch\fcs0 _x000d__x000a_\insrsid228776\charrsid1799708 Or. }{\rtlch\fcs1 \af0 \ltrch\fcs0 \cs15\v\f1\fs20\cf9\lang1024\langfe1024\noproof\insrsid228776\charrsid1799708 &lt;Original&gt;}{\rtlch\fcs1 \af0 \ltrch\fcs0 \insrsid228776\charrsid1799708 [ZORLANG]}{\rtlch\fcs1 \af0 _x000d__x000a_\ltrch\fcs0 \cs15\v\f1\fs20\cf9\lang1024\langfe1024\noproof\insrsid228776\charrsid1799708 &lt;/Original&gt;}{\rtlch\fcs1 \af0 \ltrch\fcs0 \insrsid228776\charrsid1799708 _x000d__x000a_\par }\pard\plain \ltrpar\ql \li0\ri0\widctlpar\wrapdefault\aspalpha\aspnum\faauto\adjustright\rin0\lin0\itap0\pararsid228776 \rtlch\fcs1 \af0\afs20\alang1025 \ltrch\fcs0 \fs24\lang2057\langfe2057\cgrid\langnp2057\langfenp2057 {\rtlch\fcs1 \af0 \ltrch\fcs0 _x000d__x000a_\cs15\v\f1\fs20\cf9\lang1024\langfe1024\noproof\insrsid228776\charrsid179970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8_x000d__x000a_3844aa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Com_NonLegOpinion"/>
    <w:docVar w:name="strSubDir" w:val="1214"/>
    <w:docVar w:name="TXTAUTHOR" w:val="Paulo Rangel"/>
    <w:docVar w:name="TXTLANGUE" w:val="CS"/>
    <w:docVar w:name="TXTLANGUEMIN" w:val="cs"/>
    <w:docVar w:name="TXTNRFIRSTAM" w:val="1"/>
    <w:docVar w:name="TXTNRLASTAM" w:val="2"/>
    <w:docVar w:name="TXTNRPE" w:val="658.701"/>
    <w:docVar w:name="TXTNRPE2" w:val="648.270"/>
    <w:docVar w:name="TXTPEorAP" w:val="PE"/>
    <w:docVar w:name="TXTROUTE" w:val="AM\1214125CS.docx"/>
    <w:docVar w:name="TXTTITLE" w:val="The Implementation of the European Arrest Warrant and the Surrender Procedures between Member States"/>
    <w:docVar w:name="TXTVERSION" w:val="01-00"/>
    <w:docVar w:name="TXTVERSION2" w:val="01-00"/>
  </w:docVars>
  <w:rsids>
    <w:rsidRoot w:val="004123EC"/>
    <w:rsid w:val="00042914"/>
    <w:rsid w:val="000449AB"/>
    <w:rsid w:val="000856B6"/>
    <w:rsid w:val="000B5DC7"/>
    <w:rsid w:val="00140551"/>
    <w:rsid w:val="00142B74"/>
    <w:rsid w:val="001E51D4"/>
    <w:rsid w:val="00202B0E"/>
    <w:rsid w:val="00262416"/>
    <w:rsid w:val="00272657"/>
    <w:rsid w:val="00276AF6"/>
    <w:rsid w:val="002E29E1"/>
    <w:rsid w:val="002F2F21"/>
    <w:rsid w:val="002F3259"/>
    <w:rsid w:val="00370BE8"/>
    <w:rsid w:val="00390616"/>
    <w:rsid w:val="003B23F7"/>
    <w:rsid w:val="003E38E2"/>
    <w:rsid w:val="004123EC"/>
    <w:rsid w:val="004262C2"/>
    <w:rsid w:val="00491E6D"/>
    <w:rsid w:val="004A2427"/>
    <w:rsid w:val="004A32DF"/>
    <w:rsid w:val="004A40CE"/>
    <w:rsid w:val="004C032D"/>
    <w:rsid w:val="004C579A"/>
    <w:rsid w:val="004F44BB"/>
    <w:rsid w:val="004F7EAC"/>
    <w:rsid w:val="00521A86"/>
    <w:rsid w:val="00556B89"/>
    <w:rsid w:val="005757CD"/>
    <w:rsid w:val="00587102"/>
    <w:rsid w:val="005D04A2"/>
    <w:rsid w:val="005E6B56"/>
    <w:rsid w:val="005F175C"/>
    <w:rsid w:val="005F3A36"/>
    <w:rsid w:val="005F5B12"/>
    <w:rsid w:val="00680AA9"/>
    <w:rsid w:val="0068442E"/>
    <w:rsid w:val="00686824"/>
    <w:rsid w:val="006A3135"/>
    <w:rsid w:val="006B0EA8"/>
    <w:rsid w:val="006C136E"/>
    <w:rsid w:val="006D5228"/>
    <w:rsid w:val="00742225"/>
    <w:rsid w:val="007630CD"/>
    <w:rsid w:val="00776553"/>
    <w:rsid w:val="007837D1"/>
    <w:rsid w:val="007A6C3E"/>
    <w:rsid w:val="007C48A3"/>
    <w:rsid w:val="007D142A"/>
    <w:rsid w:val="007F22E4"/>
    <w:rsid w:val="00821E7F"/>
    <w:rsid w:val="008305E9"/>
    <w:rsid w:val="00847353"/>
    <w:rsid w:val="00855332"/>
    <w:rsid w:val="00860E96"/>
    <w:rsid w:val="008D6E5C"/>
    <w:rsid w:val="009079C1"/>
    <w:rsid w:val="0093376E"/>
    <w:rsid w:val="00952B7C"/>
    <w:rsid w:val="009531F4"/>
    <w:rsid w:val="00992DA2"/>
    <w:rsid w:val="00995DD2"/>
    <w:rsid w:val="009A4B45"/>
    <w:rsid w:val="009B1A30"/>
    <w:rsid w:val="009E0F42"/>
    <w:rsid w:val="009F34EA"/>
    <w:rsid w:val="009F3795"/>
    <w:rsid w:val="00A365F2"/>
    <w:rsid w:val="00A36655"/>
    <w:rsid w:val="00A804CE"/>
    <w:rsid w:val="00A818D8"/>
    <w:rsid w:val="00AB2324"/>
    <w:rsid w:val="00AB4119"/>
    <w:rsid w:val="00AD74E0"/>
    <w:rsid w:val="00B27AC5"/>
    <w:rsid w:val="00B371C6"/>
    <w:rsid w:val="00B4654C"/>
    <w:rsid w:val="00B52CA8"/>
    <w:rsid w:val="00BA3694"/>
    <w:rsid w:val="00BA4548"/>
    <w:rsid w:val="00BB2984"/>
    <w:rsid w:val="00BC4200"/>
    <w:rsid w:val="00BD7D4A"/>
    <w:rsid w:val="00C52038"/>
    <w:rsid w:val="00C616E8"/>
    <w:rsid w:val="00D00A8F"/>
    <w:rsid w:val="00D03964"/>
    <w:rsid w:val="00D6787A"/>
    <w:rsid w:val="00DC01F1"/>
    <w:rsid w:val="00E158AC"/>
    <w:rsid w:val="00E2597D"/>
    <w:rsid w:val="00E4751A"/>
    <w:rsid w:val="00E56F4F"/>
    <w:rsid w:val="00EB0900"/>
    <w:rsid w:val="00EF54D2"/>
    <w:rsid w:val="00EF70AC"/>
    <w:rsid w:val="00F22C19"/>
    <w:rsid w:val="00F25EB9"/>
    <w:rsid w:val="00F30AA4"/>
    <w:rsid w:val="00F3338B"/>
    <w:rsid w:val="00FA396F"/>
    <w:rsid w:val="00FA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BA6EA-E1B4-41DF-B092-EEBFE190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53"/>
    <w:pPr>
      <w:widowControl w:val="0"/>
    </w:pPr>
    <w:rPr>
      <w:sz w:val="24"/>
      <w:lang w:val="cs-CZ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 w:val="0"/>
      <w:sz w:val="48"/>
      <w:lang w:eastAsia="en-US"/>
    </w:rPr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styleId="Header">
    <w:name w:val="header"/>
    <w:basedOn w:val="Normal"/>
    <w:link w:val="HeaderChar"/>
    <w:rsid w:val="009B1A30"/>
    <w:pPr>
      <w:tabs>
        <w:tab w:val="center" w:pos="4513"/>
        <w:tab w:val="right" w:pos="9026"/>
      </w:tabs>
    </w:pPr>
  </w:style>
  <w:style w:type="paragraph" w:customStyle="1" w:styleId="NormalBold">
    <w:name w:val="NormalBold"/>
    <w:basedOn w:val="Normal"/>
    <w:rsid w:val="00D6787A"/>
    <w:rPr>
      <w:b/>
    </w:rPr>
  </w:style>
  <w:style w:type="paragraph" w:customStyle="1" w:styleId="EPName">
    <w:name w:val="EPName"/>
    <w:basedOn w:val="Normal"/>
    <w:rsid w:val="00F3338B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D6787A"/>
    <w:pPr>
      <w:spacing w:after="480"/>
      <w:ind w:left="1417"/>
    </w:pPr>
  </w:style>
  <w:style w:type="paragraph" w:customStyle="1" w:styleId="CoverNormal">
    <w:name w:val="CoverNormal"/>
    <w:basedOn w:val="Normal"/>
    <w:rsid w:val="00D6787A"/>
    <w:pPr>
      <w:ind w:left="1418"/>
    </w:pPr>
  </w:style>
  <w:style w:type="paragraph" w:customStyle="1" w:styleId="CoverReference">
    <w:name w:val="CoverReference"/>
    <w:basedOn w:val="Normal"/>
    <w:rsid w:val="009A4B45"/>
    <w:pPr>
      <w:spacing w:before="1080"/>
      <w:jc w:val="right"/>
    </w:pPr>
    <w:rPr>
      <w:rFonts w:ascii="Arial" w:hAnsi="Arial" w:cs="Arial"/>
      <w:b/>
    </w:rPr>
  </w:style>
  <w:style w:type="paragraph" w:customStyle="1" w:styleId="CoverDocType">
    <w:name w:val="CoverDocType"/>
    <w:basedOn w:val="Normal"/>
    <w:rsid w:val="00D6787A"/>
    <w:pPr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rsid w:val="00D6787A"/>
    <w:pPr>
      <w:spacing w:before="240" w:after="1200"/>
    </w:pPr>
  </w:style>
  <w:style w:type="paragraph" w:customStyle="1" w:styleId="CoverDocType24a">
    <w:name w:val="CoverDocType24a"/>
    <w:basedOn w:val="Normal"/>
    <w:rsid w:val="006A3135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AmColumnHeading">
    <w:name w:val="AmColumnHeading"/>
    <w:basedOn w:val="Normal"/>
    <w:rsid w:val="00EF70AC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4F7EAC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CoverBold">
    <w:name w:val="CoverBold"/>
    <w:basedOn w:val="Normal"/>
    <w:rsid w:val="00EF70AC"/>
    <w:pPr>
      <w:ind w:left="1417"/>
    </w:pPr>
    <w:rPr>
      <w:b/>
    </w:rPr>
  </w:style>
  <w:style w:type="table" w:styleId="TableGrid">
    <w:name w:val="Table Grid"/>
    <w:basedOn w:val="TableNormal"/>
    <w:rsid w:val="0008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0856B6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0856B6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0856B6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F3338B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F3338B"/>
    <w:pPr>
      <w:jc w:val="right"/>
    </w:pPr>
  </w:style>
  <w:style w:type="paragraph" w:customStyle="1" w:styleId="EPFooter">
    <w:name w:val="EPFooter"/>
    <w:basedOn w:val="Normal"/>
    <w:rsid w:val="00C52038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5F5B12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9B1A30"/>
    <w:rPr>
      <w:sz w:val="24"/>
    </w:rPr>
  </w:style>
  <w:style w:type="paragraph" w:customStyle="1" w:styleId="ZDateAM">
    <w:name w:val="ZDateAM"/>
    <w:basedOn w:val="Normal"/>
    <w:rsid w:val="00F22C19"/>
    <w:pPr>
      <w:tabs>
        <w:tab w:val="right" w:pos="9356"/>
      </w:tabs>
      <w:spacing w:after="480"/>
    </w:pPr>
    <w:rPr>
      <w:noProof/>
      <w:lang w:val="en-GB"/>
    </w:rPr>
  </w:style>
  <w:style w:type="paragraph" w:styleId="Footer">
    <w:name w:val="footer"/>
    <w:basedOn w:val="Normal"/>
    <w:link w:val="FooterChar"/>
    <w:semiHidden/>
    <w:rsid w:val="00F22C19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F22C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EINHO~1\AppData\Local\Temp\AM_Com_NonLegOpin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AM_Com_NonLegOpinion.dotx</Template>
  <TotalTime>0</TotalTime>
  <Pages>27</Pages>
  <Words>6363</Words>
  <Characters>37165</Characters>
  <Application>Microsoft Office Word</Application>
  <DocSecurity>0</DocSecurity>
  <Lines>1615</Lines>
  <Paragraphs>558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AM_Com_NonLegOpinion</vt:lpstr>
    </vt:vector>
  </TitlesOfParts>
  <Company>European Parliament</Company>
  <LinksUpToDate>false</LinksUpToDate>
  <CharactersWithSpaces>42970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AM_Com_NonLegOpinion</dc:title>
  <dc:subject/>
  <dc:creator>EINHORNOVA Marta</dc:creator>
  <cp:keywords/>
  <cp:lastModifiedBy>VIDROVA Kamila</cp:lastModifiedBy>
  <cp:revision>2</cp:revision>
  <cp:lastPrinted>2003-08-28T15:32:00Z</cp:lastPrinted>
  <dcterms:created xsi:type="dcterms:W3CDTF">2020-10-13T10:39:00Z</dcterms:created>
  <dcterms:modified xsi:type="dcterms:W3CDTF">2020-10-13T10:39:00Z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CS</vt:lpwstr>
  </property>
  <property fmtid="{D5CDD505-2E9C-101B-9397-08002B2CF9AE}" pid="3" name="Created with">
    <vt:lpwstr>9.9.1 Build [20200705]</vt:lpwstr>
  </property>
  <property fmtid="{D5CDD505-2E9C-101B-9397-08002B2CF9AE}" pid="4" name="LastEdited with">
    <vt:lpwstr>9.9.1 Build [20200705]</vt:lpwstr>
  </property>
  <property fmtid="{D5CDD505-2E9C-101B-9397-08002B2CF9AE}" pid="5" name="&lt;FdR&gt;">
    <vt:lpwstr>1214125</vt:lpwstr>
  </property>
  <property fmtid="{D5CDD505-2E9C-101B-9397-08002B2CF9AE}" pid="6" name="&lt;Type&gt;">
    <vt:lpwstr>AM</vt:lpwstr>
  </property>
  <property fmtid="{D5CDD505-2E9C-101B-9397-08002B2CF9AE}" pid="7" name="&lt;ModelCod&gt;">
    <vt:lpwstr>\\eiciLUXpr1\pdocep$\DocEP\DOCS\General\AM\AM_NonLeg\AM_Com_NonLeg\AM_Com_NonLegOpinion.dotx(17/04/2020 19:26:11)</vt:lpwstr>
  </property>
  <property fmtid="{D5CDD505-2E9C-101B-9397-08002B2CF9AE}" pid="8" name="&lt;ModelTra&gt;">
    <vt:lpwstr>\\eiciLUXpr1\pdocep$\DocEP\TRANSFIL\CS\AM_Com_NonLegOpinion.CS(03/07/2020 09:11:00)</vt:lpwstr>
  </property>
  <property fmtid="{D5CDD505-2E9C-101B-9397-08002B2CF9AE}" pid="9" name="&lt;Model&gt;">
    <vt:lpwstr>AM_Com_NonLegOpinion</vt:lpwstr>
  </property>
  <property fmtid="{D5CDD505-2E9C-101B-9397-08002B2CF9AE}" pid="10" name="FooterPath">
    <vt:lpwstr>AM\1214125CS.docx</vt:lpwstr>
  </property>
  <property fmtid="{D5CDD505-2E9C-101B-9397-08002B2CF9AE}" pid="11" name="PE number">
    <vt:lpwstr>658.701</vt:lpwstr>
  </property>
  <property fmtid="{D5CDD505-2E9C-101B-9397-08002B2CF9AE}" pid="12" name="Bookout">
    <vt:lpwstr>OK - 2020/10/13 12:39</vt:lpwstr>
  </property>
</Properties>
</file>